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jc w:val="left"/>
        <w:rPr>
          <w:rFonts w:hint="eastAsia" w:ascii="仿宋" w:hAnsi="仿宋" w:eastAsia="仿宋" w:cs="仿宋"/>
          <w:b/>
          <w:color w:val="C00000"/>
          <w:sz w:val="32"/>
          <w:highlight w:val="none"/>
          <w:lang w:eastAsia="zh-CN"/>
        </w:rPr>
      </w:pPr>
      <w:r>
        <w:rPr>
          <w:rFonts w:hint="eastAsia" w:ascii="仿宋" w:hAnsi="仿宋" w:eastAsia="仿宋" w:cs="仿宋"/>
          <w:b/>
          <w:sz w:val="32"/>
          <w:highlight w:val="none"/>
          <w:lang w:eastAsia="zh-CN"/>
        </w:rPr>
        <w:t>文件编号：</w:t>
      </w:r>
      <w:r>
        <w:rPr>
          <w:rFonts w:hint="eastAsia" w:ascii="仿宋" w:hAnsi="仿宋" w:eastAsia="仿宋" w:cs="仿宋"/>
          <w:b/>
          <w:sz w:val="32"/>
          <w:highlight w:val="none"/>
          <w:lang w:val="en-US" w:eastAsia="zh-CN"/>
        </w:rPr>
        <w:t>JN(CS)2021-032号</w:t>
      </w:r>
    </w:p>
    <w:p>
      <w:pPr>
        <w:spacing w:line="360" w:lineRule="auto"/>
        <w:jc w:val="center"/>
        <w:rPr>
          <w:rFonts w:hint="eastAsia" w:ascii="仿宋" w:hAnsi="仿宋" w:eastAsia="仿宋" w:cs="仿宋"/>
          <w:b/>
          <w:color w:val="auto"/>
          <w:kern w:val="0"/>
          <w:sz w:val="56"/>
          <w:szCs w:val="22"/>
          <w:highlight w:val="none"/>
          <w:lang w:val="en-US" w:eastAsia="zh-CN" w:bidi="ar-SA"/>
        </w:rPr>
      </w:pPr>
    </w:p>
    <w:p>
      <w:pPr>
        <w:pStyle w:val="2"/>
        <w:rPr>
          <w:rFonts w:hint="eastAsia" w:ascii="仿宋" w:hAnsi="仿宋" w:eastAsia="仿宋" w:cs="仿宋"/>
          <w:b/>
          <w:color w:val="auto"/>
          <w:kern w:val="0"/>
          <w:sz w:val="56"/>
          <w:szCs w:val="22"/>
          <w:highlight w:val="none"/>
          <w:lang w:val="en-US" w:eastAsia="zh-CN" w:bidi="ar-SA"/>
        </w:rPr>
      </w:pPr>
    </w:p>
    <w:p>
      <w:pPr>
        <w:pStyle w:val="2"/>
        <w:rPr>
          <w:rFonts w:hint="eastAsia" w:ascii="仿宋" w:hAnsi="仿宋" w:eastAsia="仿宋" w:cs="仿宋"/>
          <w:b/>
          <w:color w:val="auto"/>
          <w:kern w:val="0"/>
          <w:sz w:val="56"/>
          <w:szCs w:val="22"/>
          <w:highlight w:val="none"/>
          <w:lang w:val="en-US" w:eastAsia="zh-CN" w:bidi="ar-SA"/>
        </w:rPr>
      </w:pPr>
    </w:p>
    <w:p>
      <w:pPr>
        <w:pStyle w:val="2"/>
        <w:rPr>
          <w:rFonts w:hint="eastAsia" w:ascii="仿宋" w:hAnsi="仿宋" w:eastAsia="仿宋" w:cs="仿宋"/>
          <w:b/>
          <w:color w:val="auto"/>
          <w:kern w:val="0"/>
          <w:sz w:val="56"/>
          <w:szCs w:val="22"/>
          <w:highlight w:val="none"/>
          <w:lang w:val="en-US" w:eastAsia="zh-CN" w:bidi="ar-SA"/>
        </w:rPr>
      </w:pPr>
    </w:p>
    <w:p>
      <w:pPr>
        <w:spacing w:line="360" w:lineRule="auto"/>
        <w:jc w:val="center"/>
        <w:rPr>
          <w:rFonts w:hint="eastAsia" w:ascii="仿宋" w:hAnsi="仿宋" w:eastAsia="仿宋" w:cs="仿宋"/>
          <w:b/>
          <w:color w:val="auto"/>
          <w:kern w:val="0"/>
          <w:sz w:val="48"/>
          <w:szCs w:val="20"/>
          <w:highlight w:val="none"/>
          <w:lang w:val="en-US" w:eastAsia="zh-CN" w:bidi="ar-SA"/>
        </w:rPr>
      </w:pPr>
      <w:r>
        <w:rPr>
          <w:rFonts w:hint="eastAsia" w:ascii="仿宋" w:hAnsi="仿宋" w:eastAsia="仿宋" w:cs="仿宋"/>
          <w:b/>
          <w:color w:val="auto"/>
          <w:kern w:val="0"/>
          <w:sz w:val="48"/>
          <w:szCs w:val="20"/>
          <w:highlight w:val="none"/>
          <w:lang w:val="en-US" w:eastAsia="zh-CN" w:bidi="ar-SA"/>
        </w:rPr>
        <w:t>塔里木河流域巴音郭楞管理局2021年维修养护项目（巴音局水闸日常维修养护项目）</w:t>
      </w:r>
    </w:p>
    <w:p>
      <w:pPr>
        <w:spacing w:line="360" w:lineRule="auto"/>
        <w:jc w:val="center"/>
        <w:rPr>
          <w:rFonts w:hint="eastAsia" w:ascii="仿宋" w:hAnsi="仿宋" w:eastAsia="仿宋" w:cs="仿宋"/>
          <w:b/>
          <w:color w:val="auto"/>
          <w:kern w:val="0"/>
          <w:sz w:val="56"/>
          <w:szCs w:val="22"/>
          <w:highlight w:val="none"/>
          <w:lang w:val="en-US" w:eastAsia="zh-CN" w:bidi="ar-SA"/>
        </w:rPr>
      </w:pPr>
      <w:r>
        <w:rPr>
          <w:rFonts w:hint="eastAsia" w:ascii="仿宋" w:hAnsi="仿宋" w:eastAsia="仿宋" w:cs="仿宋"/>
          <w:b/>
          <w:color w:val="auto"/>
          <w:kern w:val="0"/>
          <w:sz w:val="56"/>
          <w:szCs w:val="22"/>
          <w:highlight w:val="none"/>
          <w:lang w:val="en-US" w:eastAsia="zh-CN" w:bidi="ar-SA"/>
        </w:rPr>
        <w:t>竞争性磋商文件</w:t>
      </w:r>
    </w:p>
    <w:p>
      <w:pPr>
        <w:pStyle w:val="19"/>
        <w:spacing w:line="360" w:lineRule="auto"/>
        <w:jc w:val="both"/>
        <w:rPr>
          <w:rFonts w:hint="eastAsia" w:ascii="仿宋" w:hAnsi="仿宋" w:eastAsia="仿宋" w:cs="仿宋"/>
          <w:color w:val="auto"/>
          <w:sz w:val="32"/>
          <w:szCs w:val="32"/>
          <w:highlight w:val="none"/>
        </w:rPr>
      </w:pPr>
    </w:p>
    <w:p>
      <w:pPr>
        <w:pStyle w:val="19"/>
        <w:spacing w:line="360" w:lineRule="auto"/>
        <w:jc w:val="center"/>
        <w:rPr>
          <w:rFonts w:hint="eastAsia" w:ascii="仿宋" w:hAnsi="仿宋" w:eastAsia="仿宋" w:cs="仿宋"/>
          <w:color w:val="auto"/>
          <w:sz w:val="32"/>
          <w:szCs w:val="32"/>
          <w:highlight w:val="none"/>
        </w:rPr>
      </w:pPr>
    </w:p>
    <w:p>
      <w:pPr>
        <w:pStyle w:val="19"/>
        <w:spacing w:line="360" w:lineRule="auto"/>
        <w:jc w:val="center"/>
        <w:rPr>
          <w:rFonts w:hint="eastAsia" w:ascii="仿宋" w:hAnsi="仿宋" w:eastAsia="仿宋" w:cs="仿宋"/>
          <w:color w:val="auto"/>
          <w:sz w:val="32"/>
          <w:szCs w:val="32"/>
          <w:highlight w:val="none"/>
        </w:rPr>
      </w:pPr>
    </w:p>
    <w:p>
      <w:pPr>
        <w:pStyle w:val="19"/>
        <w:spacing w:line="360" w:lineRule="auto"/>
        <w:jc w:val="both"/>
        <w:rPr>
          <w:rFonts w:hint="eastAsia" w:ascii="仿宋" w:hAnsi="仿宋" w:eastAsia="仿宋" w:cs="仿宋"/>
          <w:b/>
          <w:bCs/>
          <w:color w:val="auto"/>
          <w:w w:val="95"/>
          <w:kern w:val="0"/>
          <w:sz w:val="36"/>
          <w:szCs w:val="36"/>
          <w:lang w:val="zh-CN" w:eastAsia="zh-CN" w:bidi="ar-SA"/>
        </w:rPr>
      </w:pPr>
      <w:r>
        <w:rPr>
          <w:rFonts w:hint="eastAsia" w:ascii="仿宋" w:hAnsi="仿宋" w:eastAsia="仿宋" w:cs="仿宋"/>
          <w:b/>
          <w:bCs/>
          <w:color w:val="auto"/>
          <w:w w:val="95"/>
          <w:kern w:val="0"/>
          <w:sz w:val="36"/>
          <w:szCs w:val="36"/>
          <w:lang w:val="en-US" w:eastAsia="zh-CN" w:bidi="ar-SA"/>
        </w:rPr>
        <w:t>采购单位：新疆维吾尔自治区塔里木河流域巴音郭楞管理局开都-孔雀河管理处</w:t>
      </w:r>
    </w:p>
    <w:p>
      <w:pPr>
        <w:pStyle w:val="9"/>
        <w:tabs>
          <w:tab w:val="left" w:pos="1204"/>
        </w:tabs>
        <w:kinsoku w:val="0"/>
        <w:overflowPunct w:val="0"/>
        <w:spacing w:before="0" w:line="501" w:lineRule="exact"/>
        <w:ind w:left="0"/>
        <w:jc w:val="center"/>
        <w:rPr>
          <w:rFonts w:hint="eastAsia" w:ascii="仿宋" w:hAnsi="仿宋" w:eastAsia="仿宋" w:cs="仿宋"/>
          <w:b/>
          <w:bCs/>
          <w:w w:val="95"/>
          <w:sz w:val="36"/>
          <w:szCs w:val="36"/>
        </w:rPr>
      </w:pPr>
    </w:p>
    <w:p>
      <w:pPr>
        <w:pStyle w:val="9"/>
        <w:tabs>
          <w:tab w:val="left" w:pos="1204"/>
        </w:tabs>
        <w:kinsoku w:val="0"/>
        <w:overflowPunct w:val="0"/>
        <w:spacing w:before="0" w:line="501" w:lineRule="exact"/>
        <w:ind w:left="0"/>
        <w:jc w:val="left"/>
        <w:rPr>
          <w:rFonts w:hint="eastAsia" w:ascii="仿宋" w:hAnsi="仿宋" w:eastAsia="仿宋" w:cs="仿宋"/>
          <w:b/>
          <w:bCs/>
          <w:w w:val="95"/>
          <w:sz w:val="36"/>
          <w:szCs w:val="36"/>
          <w:lang w:val="en-US" w:eastAsia="zh-CN"/>
        </w:rPr>
      </w:pPr>
      <w:r>
        <w:rPr>
          <w:rFonts w:hint="eastAsia" w:ascii="仿宋" w:hAnsi="仿宋" w:eastAsia="仿宋" w:cs="仿宋"/>
          <w:b/>
          <w:bCs/>
          <w:w w:val="95"/>
          <w:sz w:val="36"/>
          <w:szCs w:val="36"/>
          <w:lang w:val="en-US" w:eastAsia="zh-CN"/>
        </w:rPr>
        <w:t>招标代理公司：新疆景诺工程咨询有限公司</w:t>
      </w:r>
    </w:p>
    <w:p>
      <w:pPr>
        <w:pStyle w:val="9"/>
        <w:tabs>
          <w:tab w:val="left" w:pos="1204"/>
        </w:tabs>
        <w:kinsoku w:val="0"/>
        <w:overflowPunct w:val="0"/>
        <w:spacing w:before="0" w:line="501" w:lineRule="exact"/>
        <w:ind w:left="0"/>
        <w:jc w:val="both"/>
        <w:rPr>
          <w:rFonts w:hint="eastAsia" w:ascii="仿宋" w:hAnsi="仿宋" w:eastAsia="仿宋" w:cs="仿宋"/>
          <w:b/>
          <w:bCs/>
          <w:w w:val="95"/>
          <w:sz w:val="36"/>
          <w:szCs w:val="36"/>
        </w:rPr>
      </w:pPr>
    </w:p>
    <w:p>
      <w:pPr>
        <w:pStyle w:val="9"/>
        <w:tabs>
          <w:tab w:val="left" w:pos="1204"/>
        </w:tabs>
        <w:kinsoku w:val="0"/>
        <w:overflowPunct w:val="0"/>
        <w:spacing w:before="0" w:line="501" w:lineRule="exact"/>
        <w:ind w:left="0"/>
        <w:jc w:val="center"/>
        <w:rPr>
          <w:rFonts w:hint="eastAsia" w:ascii="仿宋" w:hAnsi="仿宋" w:eastAsia="仿宋" w:cs="仿宋"/>
          <w:b/>
          <w:bCs/>
          <w:w w:val="95"/>
          <w:sz w:val="36"/>
          <w:szCs w:val="36"/>
          <w:lang w:val="en-US" w:eastAsia="zh-CN"/>
        </w:rPr>
      </w:pPr>
      <w:r>
        <w:rPr>
          <w:rFonts w:hint="eastAsia" w:ascii="仿宋" w:hAnsi="仿宋" w:eastAsia="仿宋" w:cs="仿宋"/>
          <w:b/>
          <w:bCs/>
          <w:w w:val="95"/>
          <w:sz w:val="36"/>
          <w:szCs w:val="36"/>
          <w:lang w:val="en-US" w:eastAsia="zh-CN"/>
        </w:rPr>
        <w:t>2021年6月</w:t>
      </w:r>
    </w:p>
    <w:p>
      <w:pPr>
        <w:pStyle w:val="9"/>
        <w:tabs>
          <w:tab w:val="left" w:pos="1204"/>
        </w:tabs>
        <w:kinsoku w:val="0"/>
        <w:overflowPunct w:val="0"/>
        <w:spacing w:before="0" w:line="501" w:lineRule="exact"/>
        <w:ind w:left="1"/>
        <w:jc w:val="center"/>
        <w:rPr>
          <w:rFonts w:hint="eastAsia" w:ascii="仿宋" w:hAnsi="仿宋" w:eastAsia="仿宋" w:cs="仿宋"/>
          <w:b/>
          <w:bCs/>
          <w:w w:val="95"/>
          <w:sz w:val="36"/>
          <w:szCs w:val="36"/>
        </w:rPr>
        <w:sectPr>
          <w:headerReference r:id="rId4" w:type="first"/>
          <w:footerReference r:id="rId6" w:type="first"/>
          <w:headerReference r:id="rId3" w:type="default"/>
          <w:footerReference r:id="rId5" w:type="default"/>
          <w:pgSz w:w="11910" w:h="16840"/>
          <w:pgMar w:top="1440" w:right="1800" w:bottom="1440" w:left="1800" w:header="763" w:footer="766" w:gutter="0"/>
          <w:pgBorders>
            <w:top w:val="none" w:sz="0" w:space="0"/>
            <w:left w:val="none" w:sz="0" w:space="0"/>
            <w:bottom w:val="none" w:sz="0" w:space="0"/>
            <w:right w:val="none" w:sz="0" w:space="0"/>
          </w:pgBorders>
          <w:pgNumType w:fmt="numberInDash" w:start="0"/>
          <w:cols w:space="720" w:num="1"/>
          <w:titlePg/>
          <w:docGrid w:linePitch="286" w:charSpace="0"/>
        </w:sectPr>
      </w:pPr>
    </w:p>
    <w:p>
      <w:pPr>
        <w:pStyle w:val="9"/>
        <w:tabs>
          <w:tab w:val="left" w:pos="1204"/>
        </w:tabs>
        <w:kinsoku w:val="0"/>
        <w:overflowPunct w:val="0"/>
        <w:spacing w:before="0" w:line="501" w:lineRule="exact"/>
        <w:ind w:left="0"/>
        <w:jc w:val="center"/>
        <w:rPr>
          <w:rFonts w:hint="eastAsia" w:ascii="仿宋" w:hAnsi="仿宋" w:eastAsia="仿宋" w:cs="仿宋"/>
          <w:color w:val="auto"/>
          <w:sz w:val="36"/>
          <w:szCs w:val="36"/>
          <w:highlight w:val="none"/>
        </w:rPr>
      </w:pPr>
      <w:r>
        <w:rPr>
          <w:rFonts w:hint="eastAsia" w:ascii="仿宋" w:hAnsi="仿宋" w:eastAsia="仿宋" w:cs="仿宋"/>
          <w:b/>
          <w:bCs/>
          <w:color w:val="auto"/>
          <w:w w:val="95"/>
          <w:sz w:val="36"/>
          <w:szCs w:val="36"/>
          <w:highlight w:val="none"/>
        </w:rPr>
        <w:t>目</w:t>
      </w:r>
      <w:r>
        <w:rPr>
          <w:rFonts w:hint="eastAsia" w:ascii="仿宋" w:hAnsi="仿宋" w:eastAsia="仿宋" w:cs="仿宋"/>
          <w:b/>
          <w:bCs/>
          <w:color w:val="auto"/>
          <w:w w:val="95"/>
          <w:sz w:val="36"/>
          <w:szCs w:val="36"/>
          <w:highlight w:val="none"/>
        </w:rPr>
        <w:tab/>
      </w:r>
      <w:r>
        <w:rPr>
          <w:rFonts w:hint="eastAsia" w:ascii="仿宋" w:hAnsi="仿宋" w:eastAsia="仿宋" w:cs="仿宋"/>
          <w:b/>
          <w:bCs/>
          <w:color w:val="auto"/>
          <w:sz w:val="36"/>
          <w:szCs w:val="36"/>
          <w:highlight w:val="none"/>
        </w:rPr>
        <w:t>录</w:t>
      </w:r>
    </w:p>
    <w:p>
      <w:pPr>
        <w:pStyle w:val="13"/>
        <w:tabs>
          <w:tab w:val="right" w:leader="dot" w:pos="9693"/>
          <w:tab w:val="clear" w:pos="9400"/>
        </w:tabs>
        <w:rPr>
          <w:sz w:val="28"/>
          <w:szCs w:val="32"/>
        </w:rPr>
      </w:pPr>
      <w:r>
        <w:rPr>
          <w:rFonts w:hint="eastAsia" w:ascii="仿宋" w:hAnsi="仿宋" w:eastAsia="仿宋" w:cs="仿宋"/>
          <w:color w:val="auto"/>
          <w:sz w:val="56"/>
          <w:szCs w:val="72"/>
          <w:highlight w:val="none"/>
        </w:rPr>
        <w:fldChar w:fldCharType="begin"/>
      </w:r>
      <w:r>
        <w:rPr>
          <w:rFonts w:hint="eastAsia" w:ascii="仿宋" w:hAnsi="仿宋" w:eastAsia="仿宋" w:cs="仿宋"/>
          <w:color w:val="auto"/>
          <w:sz w:val="56"/>
          <w:szCs w:val="72"/>
          <w:highlight w:val="none"/>
        </w:rPr>
        <w:instrText xml:space="preserve"> TOC \o "1-3" \h \z </w:instrText>
      </w:r>
      <w:r>
        <w:rPr>
          <w:rFonts w:hint="eastAsia" w:ascii="仿宋" w:hAnsi="仿宋" w:eastAsia="仿宋" w:cs="仿宋"/>
          <w:color w:val="auto"/>
          <w:sz w:val="56"/>
          <w:szCs w:val="72"/>
          <w:highlight w:val="none"/>
        </w:rPr>
        <w:fldChar w:fldCharType="separate"/>
      </w:r>
      <w:r>
        <w:rPr>
          <w:rFonts w:hint="eastAsia" w:ascii="仿宋" w:hAnsi="仿宋" w:eastAsia="仿宋" w:cs="仿宋"/>
          <w:color w:val="auto"/>
          <w:sz w:val="28"/>
          <w:szCs w:val="72"/>
          <w:highlight w:val="none"/>
        </w:rPr>
        <w:fldChar w:fldCharType="begin"/>
      </w:r>
      <w:r>
        <w:rPr>
          <w:rFonts w:hint="eastAsia" w:ascii="仿宋" w:hAnsi="仿宋" w:eastAsia="仿宋" w:cs="仿宋"/>
          <w:sz w:val="28"/>
          <w:szCs w:val="72"/>
          <w:highlight w:val="none"/>
        </w:rPr>
        <w:instrText xml:space="preserve"> HYPERLINK \l _Toc5431 </w:instrText>
      </w:r>
      <w:r>
        <w:rPr>
          <w:rFonts w:hint="eastAsia" w:ascii="仿宋" w:hAnsi="仿宋" w:eastAsia="仿宋" w:cs="仿宋"/>
          <w:sz w:val="28"/>
          <w:szCs w:val="72"/>
          <w:highlight w:val="none"/>
        </w:rPr>
        <w:fldChar w:fldCharType="separate"/>
      </w:r>
      <w:r>
        <w:rPr>
          <w:rFonts w:hint="eastAsia" w:ascii="仿宋" w:hAnsi="仿宋" w:eastAsia="仿宋" w:cs="仿宋"/>
          <w:w w:val="95"/>
          <w:sz w:val="28"/>
          <w:szCs w:val="32"/>
        </w:rPr>
        <w:t>第一章   招标公告</w:t>
      </w:r>
      <w:r>
        <w:rPr>
          <w:sz w:val="28"/>
          <w:szCs w:val="32"/>
        </w:rPr>
        <w:tab/>
      </w:r>
      <w:r>
        <w:rPr>
          <w:sz w:val="28"/>
          <w:szCs w:val="32"/>
        </w:rPr>
        <w:fldChar w:fldCharType="begin"/>
      </w:r>
      <w:r>
        <w:rPr>
          <w:sz w:val="28"/>
          <w:szCs w:val="32"/>
        </w:rPr>
        <w:instrText xml:space="preserve"> PAGEREF _Toc5431 \h </w:instrText>
      </w:r>
      <w:r>
        <w:rPr>
          <w:sz w:val="28"/>
          <w:szCs w:val="32"/>
        </w:rPr>
        <w:fldChar w:fldCharType="separate"/>
      </w:r>
      <w:r>
        <w:rPr>
          <w:sz w:val="28"/>
          <w:szCs w:val="32"/>
        </w:rPr>
        <w:t>1</w:t>
      </w:r>
      <w:r>
        <w:rPr>
          <w:sz w:val="28"/>
          <w:szCs w:val="32"/>
        </w:rPr>
        <w:fldChar w:fldCharType="end"/>
      </w:r>
      <w:r>
        <w:rPr>
          <w:rFonts w:hint="eastAsia" w:ascii="仿宋" w:hAnsi="仿宋" w:eastAsia="仿宋" w:cs="仿宋"/>
          <w:color w:val="auto"/>
          <w:sz w:val="28"/>
          <w:szCs w:val="72"/>
          <w:highlight w:val="none"/>
        </w:rPr>
        <w:fldChar w:fldCharType="end"/>
      </w:r>
    </w:p>
    <w:p>
      <w:pPr>
        <w:pStyle w:val="13"/>
        <w:tabs>
          <w:tab w:val="right" w:pos="2400"/>
          <w:tab w:val="right" w:leader="dot" w:pos="9693"/>
          <w:tab w:val="clear" w:pos="9400"/>
        </w:tabs>
        <w:rPr>
          <w:sz w:val="28"/>
          <w:szCs w:val="32"/>
        </w:rPr>
      </w:pPr>
      <w:r>
        <w:rPr>
          <w:rFonts w:hint="eastAsia" w:ascii="仿宋" w:hAnsi="仿宋" w:eastAsia="仿宋" w:cs="仿宋"/>
          <w:color w:val="auto"/>
          <w:sz w:val="28"/>
          <w:szCs w:val="220"/>
          <w:highlight w:val="none"/>
        </w:rPr>
        <w:fldChar w:fldCharType="begin"/>
      </w:r>
      <w:r>
        <w:rPr>
          <w:rFonts w:hint="eastAsia" w:ascii="仿宋" w:hAnsi="仿宋" w:eastAsia="仿宋" w:cs="仿宋"/>
          <w:sz w:val="28"/>
          <w:szCs w:val="220"/>
          <w:highlight w:val="none"/>
        </w:rPr>
        <w:instrText xml:space="preserve"> HYPERLINK \l _Toc22145 </w:instrText>
      </w:r>
      <w:r>
        <w:rPr>
          <w:rFonts w:hint="eastAsia" w:ascii="仿宋" w:hAnsi="仿宋" w:eastAsia="仿宋" w:cs="仿宋"/>
          <w:sz w:val="28"/>
          <w:szCs w:val="220"/>
          <w:highlight w:val="none"/>
        </w:rPr>
        <w:fldChar w:fldCharType="separate"/>
      </w:r>
      <w:r>
        <w:rPr>
          <w:rFonts w:hint="eastAsia" w:ascii="仿宋" w:hAnsi="仿宋" w:eastAsia="仿宋" w:cs="仿宋"/>
          <w:w w:val="95"/>
          <w:sz w:val="28"/>
          <w:szCs w:val="52"/>
        </w:rPr>
        <w:t>第二章</w:t>
      </w:r>
      <w:r>
        <w:rPr>
          <w:rFonts w:hint="eastAsia" w:ascii="仿宋" w:hAnsi="仿宋" w:eastAsia="仿宋" w:cs="仿宋"/>
          <w:w w:val="95"/>
          <w:sz w:val="28"/>
          <w:szCs w:val="52"/>
        </w:rPr>
        <w:tab/>
      </w:r>
      <w:r>
        <w:rPr>
          <w:rFonts w:hint="eastAsia" w:ascii="仿宋" w:hAnsi="仿宋" w:eastAsia="仿宋" w:cs="仿宋"/>
          <w:sz w:val="28"/>
          <w:szCs w:val="52"/>
        </w:rPr>
        <w:t>供应商须知及前附表</w:t>
      </w:r>
      <w:r>
        <w:rPr>
          <w:sz w:val="28"/>
          <w:szCs w:val="32"/>
        </w:rPr>
        <w:tab/>
      </w:r>
      <w:r>
        <w:rPr>
          <w:sz w:val="28"/>
          <w:szCs w:val="32"/>
        </w:rPr>
        <w:fldChar w:fldCharType="begin"/>
      </w:r>
      <w:r>
        <w:rPr>
          <w:sz w:val="28"/>
          <w:szCs w:val="32"/>
        </w:rPr>
        <w:instrText xml:space="preserve"> PAGEREF _Toc22145 \h </w:instrText>
      </w:r>
      <w:r>
        <w:rPr>
          <w:sz w:val="28"/>
          <w:szCs w:val="32"/>
        </w:rPr>
        <w:fldChar w:fldCharType="separate"/>
      </w:r>
      <w:r>
        <w:rPr>
          <w:sz w:val="28"/>
          <w:szCs w:val="32"/>
        </w:rPr>
        <w:t>3</w:t>
      </w:r>
      <w:r>
        <w:rPr>
          <w:sz w:val="28"/>
          <w:szCs w:val="32"/>
        </w:rPr>
        <w:fldChar w:fldCharType="end"/>
      </w:r>
      <w:r>
        <w:rPr>
          <w:rFonts w:hint="eastAsia" w:ascii="仿宋" w:hAnsi="仿宋" w:eastAsia="仿宋" w:cs="仿宋"/>
          <w:color w:val="auto"/>
          <w:sz w:val="28"/>
          <w:szCs w:val="220"/>
          <w:highlight w:val="none"/>
        </w:rPr>
        <w:fldChar w:fldCharType="end"/>
      </w:r>
    </w:p>
    <w:p>
      <w:pPr>
        <w:pStyle w:val="14"/>
        <w:tabs>
          <w:tab w:val="right" w:leader="dot" w:pos="9693"/>
        </w:tabs>
        <w:rPr>
          <w:sz w:val="28"/>
          <w:szCs w:val="32"/>
        </w:rPr>
      </w:pPr>
      <w:r>
        <w:rPr>
          <w:rFonts w:hint="eastAsia" w:ascii="仿宋" w:hAnsi="仿宋" w:eastAsia="仿宋" w:cs="仿宋"/>
          <w:color w:val="auto"/>
          <w:sz w:val="28"/>
          <w:szCs w:val="220"/>
          <w:highlight w:val="none"/>
        </w:rPr>
        <w:fldChar w:fldCharType="begin"/>
      </w:r>
      <w:r>
        <w:rPr>
          <w:rFonts w:hint="eastAsia" w:ascii="仿宋" w:hAnsi="仿宋" w:eastAsia="仿宋" w:cs="仿宋"/>
          <w:sz w:val="28"/>
          <w:szCs w:val="220"/>
          <w:highlight w:val="none"/>
        </w:rPr>
        <w:instrText xml:space="preserve"> HYPERLINK \l _Toc26178 </w:instrText>
      </w:r>
      <w:r>
        <w:rPr>
          <w:rFonts w:hint="eastAsia" w:ascii="仿宋" w:hAnsi="仿宋" w:eastAsia="仿宋" w:cs="仿宋"/>
          <w:sz w:val="28"/>
          <w:szCs w:val="220"/>
          <w:highlight w:val="none"/>
        </w:rPr>
        <w:fldChar w:fldCharType="separate"/>
      </w:r>
      <w:r>
        <w:rPr>
          <w:rFonts w:hint="eastAsia" w:ascii="仿宋" w:hAnsi="仿宋" w:eastAsia="仿宋" w:cs="仿宋"/>
          <w:sz w:val="28"/>
          <w:szCs w:val="40"/>
        </w:rPr>
        <w:t>（一）供应商须知前附表</w:t>
      </w:r>
      <w:r>
        <w:rPr>
          <w:sz w:val="28"/>
          <w:szCs w:val="32"/>
        </w:rPr>
        <w:tab/>
      </w:r>
      <w:r>
        <w:rPr>
          <w:sz w:val="28"/>
          <w:szCs w:val="32"/>
        </w:rPr>
        <w:fldChar w:fldCharType="begin"/>
      </w:r>
      <w:r>
        <w:rPr>
          <w:sz w:val="28"/>
          <w:szCs w:val="32"/>
        </w:rPr>
        <w:instrText xml:space="preserve"> PAGEREF _Toc26178 \h </w:instrText>
      </w:r>
      <w:r>
        <w:rPr>
          <w:sz w:val="28"/>
          <w:szCs w:val="32"/>
        </w:rPr>
        <w:fldChar w:fldCharType="separate"/>
      </w:r>
      <w:r>
        <w:rPr>
          <w:sz w:val="28"/>
          <w:szCs w:val="32"/>
        </w:rPr>
        <w:t>3</w:t>
      </w:r>
      <w:r>
        <w:rPr>
          <w:sz w:val="28"/>
          <w:szCs w:val="32"/>
        </w:rPr>
        <w:fldChar w:fldCharType="end"/>
      </w:r>
      <w:r>
        <w:rPr>
          <w:rFonts w:hint="eastAsia" w:ascii="仿宋" w:hAnsi="仿宋" w:eastAsia="仿宋" w:cs="仿宋"/>
          <w:color w:val="auto"/>
          <w:sz w:val="28"/>
          <w:szCs w:val="220"/>
          <w:highlight w:val="none"/>
        </w:rPr>
        <w:fldChar w:fldCharType="end"/>
      </w:r>
    </w:p>
    <w:p>
      <w:pPr>
        <w:pStyle w:val="14"/>
        <w:tabs>
          <w:tab w:val="right" w:leader="dot" w:pos="9693"/>
        </w:tabs>
        <w:rPr>
          <w:sz w:val="28"/>
          <w:szCs w:val="32"/>
        </w:rPr>
      </w:pPr>
      <w:r>
        <w:rPr>
          <w:rFonts w:hint="eastAsia" w:ascii="仿宋" w:hAnsi="仿宋" w:eastAsia="仿宋" w:cs="仿宋"/>
          <w:color w:val="auto"/>
          <w:sz w:val="28"/>
          <w:szCs w:val="220"/>
          <w:highlight w:val="none"/>
        </w:rPr>
        <w:fldChar w:fldCharType="begin"/>
      </w:r>
      <w:r>
        <w:rPr>
          <w:rFonts w:hint="eastAsia" w:ascii="仿宋" w:hAnsi="仿宋" w:eastAsia="仿宋" w:cs="仿宋"/>
          <w:sz w:val="28"/>
          <w:szCs w:val="220"/>
          <w:highlight w:val="none"/>
        </w:rPr>
        <w:instrText xml:space="preserve"> HYPERLINK \l _Toc12690 </w:instrText>
      </w:r>
      <w:r>
        <w:rPr>
          <w:rFonts w:hint="eastAsia" w:ascii="仿宋" w:hAnsi="仿宋" w:eastAsia="仿宋" w:cs="仿宋"/>
          <w:sz w:val="28"/>
          <w:szCs w:val="220"/>
          <w:highlight w:val="none"/>
        </w:rPr>
        <w:fldChar w:fldCharType="separate"/>
      </w:r>
      <w:r>
        <w:rPr>
          <w:rFonts w:hint="eastAsia" w:ascii="仿宋" w:hAnsi="仿宋" w:eastAsia="仿宋" w:cs="仿宋"/>
          <w:sz w:val="28"/>
          <w:szCs w:val="32"/>
        </w:rPr>
        <w:t>（二）供应商须知</w:t>
      </w:r>
      <w:r>
        <w:rPr>
          <w:sz w:val="28"/>
          <w:szCs w:val="32"/>
        </w:rPr>
        <w:tab/>
      </w:r>
      <w:r>
        <w:rPr>
          <w:sz w:val="28"/>
          <w:szCs w:val="32"/>
        </w:rPr>
        <w:fldChar w:fldCharType="begin"/>
      </w:r>
      <w:r>
        <w:rPr>
          <w:sz w:val="28"/>
          <w:szCs w:val="32"/>
        </w:rPr>
        <w:instrText xml:space="preserve"> PAGEREF _Toc12690 \h </w:instrText>
      </w:r>
      <w:r>
        <w:rPr>
          <w:sz w:val="28"/>
          <w:szCs w:val="32"/>
        </w:rPr>
        <w:fldChar w:fldCharType="separate"/>
      </w:r>
      <w:r>
        <w:rPr>
          <w:sz w:val="28"/>
          <w:szCs w:val="32"/>
        </w:rPr>
        <w:t>8</w:t>
      </w:r>
      <w:r>
        <w:rPr>
          <w:sz w:val="28"/>
          <w:szCs w:val="32"/>
        </w:rPr>
        <w:fldChar w:fldCharType="end"/>
      </w:r>
      <w:r>
        <w:rPr>
          <w:rFonts w:hint="eastAsia" w:ascii="仿宋" w:hAnsi="仿宋" w:eastAsia="仿宋" w:cs="仿宋"/>
          <w:color w:val="auto"/>
          <w:sz w:val="28"/>
          <w:szCs w:val="220"/>
          <w:highlight w:val="none"/>
        </w:rPr>
        <w:fldChar w:fldCharType="end"/>
      </w:r>
    </w:p>
    <w:p>
      <w:pPr>
        <w:pStyle w:val="14"/>
        <w:tabs>
          <w:tab w:val="right" w:leader="dot" w:pos="9693"/>
        </w:tabs>
        <w:rPr>
          <w:sz w:val="28"/>
          <w:szCs w:val="32"/>
        </w:rPr>
      </w:pPr>
      <w:r>
        <w:rPr>
          <w:rFonts w:hint="eastAsia" w:ascii="仿宋" w:hAnsi="仿宋" w:eastAsia="仿宋" w:cs="仿宋"/>
          <w:color w:val="auto"/>
          <w:sz w:val="28"/>
          <w:szCs w:val="220"/>
          <w:highlight w:val="none"/>
        </w:rPr>
        <w:fldChar w:fldCharType="begin"/>
      </w:r>
      <w:r>
        <w:rPr>
          <w:rFonts w:hint="eastAsia" w:ascii="仿宋" w:hAnsi="仿宋" w:eastAsia="仿宋" w:cs="仿宋"/>
          <w:sz w:val="28"/>
          <w:szCs w:val="220"/>
          <w:highlight w:val="none"/>
        </w:rPr>
        <w:instrText xml:space="preserve"> HYPERLINK \l _Toc16278 </w:instrText>
      </w:r>
      <w:r>
        <w:rPr>
          <w:rFonts w:hint="eastAsia" w:ascii="仿宋" w:hAnsi="仿宋" w:eastAsia="仿宋" w:cs="仿宋"/>
          <w:sz w:val="28"/>
          <w:szCs w:val="220"/>
          <w:highlight w:val="none"/>
        </w:rPr>
        <w:fldChar w:fldCharType="separate"/>
      </w:r>
      <w:r>
        <w:rPr>
          <w:rFonts w:hint="eastAsia" w:ascii="仿宋" w:hAnsi="仿宋" w:eastAsia="仿宋" w:cs="仿宋"/>
          <w:sz w:val="28"/>
          <w:szCs w:val="32"/>
        </w:rPr>
        <w:t>（三）《竞争性磋商文件》</w:t>
      </w:r>
      <w:r>
        <w:rPr>
          <w:sz w:val="28"/>
          <w:szCs w:val="32"/>
        </w:rPr>
        <w:tab/>
      </w:r>
      <w:r>
        <w:rPr>
          <w:sz w:val="28"/>
          <w:szCs w:val="32"/>
        </w:rPr>
        <w:fldChar w:fldCharType="begin"/>
      </w:r>
      <w:r>
        <w:rPr>
          <w:sz w:val="28"/>
          <w:szCs w:val="32"/>
        </w:rPr>
        <w:instrText xml:space="preserve"> PAGEREF _Toc16278 \h </w:instrText>
      </w:r>
      <w:r>
        <w:rPr>
          <w:sz w:val="28"/>
          <w:szCs w:val="32"/>
        </w:rPr>
        <w:fldChar w:fldCharType="separate"/>
      </w:r>
      <w:r>
        <w:rPr>
          <w:sz w:val="28"/>
          <w:szCs w:val="32"/>
        </w:rPr>
        <w:t>10</w:t>
      </w:r>
      <w:r>
        <w:rPr>
          <w:sz w:val="28"/>
          <w:szCs w:val="32"/>
        </w:rPr>
        <w:fldChar w:fldCharType="end"/>
      </w:r>
      <w:r>
        <w:rPr>
          <w:rFonts w:hint="eastAsia" w:ascii="仿宋" w:hAnsi="仿宋" w:eastAsia="仿宋" w:cs="仿宋"/>
          <w:color w:val="auto"/>
          <w:sz w:val="28"/>
          <w:szCs w:val="220"/>
          <w:highlight w:val="none"/>
        </w:rPr>
        <w:fldChar w:fldCharType="end"/>
      </w:r>
    </w:p>
    <w:p>
      <w:pPr>
        <w:pStyle w:val="14"/>
        <w:tabs>
          <w:tab w:val="right" w:leader="dot" w:pos="9693"/>
        </w:tabs>
        <w:rPr>
          <w:sz w:val="28"/>
          <w:szCs w:val="32"/>
        </w:rPr>
      </w:pPr>
      <w:r>
        <w:rPr>
          <w:rFonts w:hint="eastAsia" w:ascii="仿宋" w:hAnsi="仿宋" w:eastAsia="仿宋" w:cs="仿宋"/>
          <w:color w:val="auto"/>
          <w:sz w:val="28"/>
          <w:szCs w:val="220"/>
          <w:highlight w:val="none"/>
        </w:rPr>
        <w:fldChar w:fldCharType="begin"/>
      </w:r>
      <w:r>
        <w:rPr>
          <w:rFonts w:hint="eastAsia" w:ascii="仿宋" w:hAnsi="仿宋" w:eastAsia="仿宋" w:cs="仿宋"/>
          <w:sz w:val="28"/>
          <w:szCs w:val="220"/>
          <w:highlight w:val="none"/>
        </w:rPr>
        <w:instrText xml:space="preserve"> HYPERLINK \l _Toc26273 </w:instrText>
      </w:r>
      <w:r>
        <w:rPr>
          <w:rFonts w:hint="eastAsia" w:ascii="仿宋" w:hAnsi="仿宋" w:eastAsia="仿宋" w:cs="仿宋"/>
          <w:sz w:val="28"/>
          <w:szCs w:val="220"/>
          <w:highlight w:val="none"/>
        </w:rPr>
        <w:fldChar w:fldCharType="separate"/>
      </w:r>
      <w:r>
        <w:rPr>
          <w:rFonts w:hint="eastAsia" w:ascii="仿宋" w:hAnsi="仿宋" w:eastAsia="仿宋" w:cs="仿宋"/>
          <w:sz w:val="28"/>
          <w:szCs w:val="32"/>
        </w:rPr>
        <w:t>（四）《磋商响应性文件》的编制</w:t>
      </w:r>
      <w:r>
        <w:rPr>
          <w:sz w:val="28"/>
          <w:szCs w:val="32"/>
        </w:rPr>
        <w:tab/>
      </w:r>
      <w:r>
        <w:rPr>
          <w:sz w:val="28"/>
          <w:szCs w:val="32"/>
        </w:rPr>
        <w:fldChar w:fldCharType="begin"/>
      </w:r>
      <w:r>
        <w:rPr>
          <w:sz w:val="28"/>
          <w:szCs w:val="32"/>
        </w:rPr>
        <w:instrText xml:space="preserve"> PAGEREF _Toc26273 \h </w:instrText>
      </w:r>
      <w:r>
        <w:rPr>
          <w:sz w:val="28"/>
          <w:szCs w:val="32"/>
        </w:rPr>
        <w:fldChar w:fldCharType="separate"/>
      </w:r>
      <w:r>
        <w:rPr>
          <w:sz w:val="28"/>
          <w:szCs w:val="32"/>
        </w:rPr>
        <w:t>11</w:t>
      </w:r>
      <w:r>
        <w:rPr>
          <w:sz w:val="28"/>
          <w:szCs w:val="32"/>
        </w:rPr>
        <w:fldChar w:fldCharType="end"/>
      </w:r>
      <w:r>
        <w:rPr>
          <w:rFonts w:hint="eastAsia" w:ascii="仿宋" w:hAnsi="仿宋" w:eastAsia="仿宋" w:cs="仿宋"/>
          <w:color w:val="auto"/>
          <w:sz w:val="28"/>
          <w:szCs w:val="220"/>
          <w:highlight w:val="none"/>
        </w:rPr>
        <w:fldChar w:fldCharType="end"/>
      </w:r>
    </w:p>
    <w:p>
      <w:pPr>
        <w:pStyle w:val="14"/>
        <w:tabs>
          <w:tab w:val="right" w:leader="dot" w:pos="9693"/>
        </w:tabs>
        <w:rPr>
          <w:sz w:val="28"/>
          <w:szCs w:val="32"/>
        </w:rPr>
      </w:pPr>
      <w:r>
        <w:rPr>
          <w:rFonts w:hint="eastAsia" w:ascii="仿宋" w:hAnsi="仿宋" w:eastAsia="仿宋" w:cs="仿宋"/>
          <w:color w:val="auto"/>
          <w:sz w:val="28"/>
          <w:szCs w:val="220"/>
          <w:highlight w:val="none"/>
        </w:rPr>
        <w:fldChar w:fldCharType="begin"/>
      </w:r>
      <w:r>
        <w:rPr>
          <w:rFonts w:hint="eastAsia" w:ascii="仿宋" w:hAnsi="仿宋" w:eastAsia="仿宋" w:cs="仿宋"/>
          <w:sz w:val="28"/>
          <w:szCs w:val="220"/>
          <w:highlight w:val="none"/>
        </w:rPr>
        <w:instrText xml:space="preserve"> HYPERLINK \l _Toc23406 </w:instrText>
      </w:r>
      <w:r>
        <w:rPr>
          <w:rFonts w:hint="eastAsia" w:ascii="仿宋" w:hAnsi="仿宋" w:eastAsia="仿宋" w:cs="仿宋"/>
          <w:sz w:val="28"/>
          <w:szCs w:val="220"/>
          <w:highlight w:val="none"/>
        </w:rPr>
        <w:fldChar w:fldCharType="separate"/>
      </w:r>
      <w:r>
        <w:rPr>
          <w:rFonts w:hint="eastAsia" w:ascii="仿宋" w:hAnsi="仿宋" w:eastAsia="仿宋" w:cs="仿宋"/>
          <w:sz w:val="28"/>
          <w:szCs w:val="32"/>
        </w:rPr>
        <w:t>（</w:t>
      </w:r>
      <w:r>
        <w:rPr>
          <w:rFonts w:hint="eastAsia" w:ascii="仿宋" w:hAnsi="仿宋" w:eastAsia="仿宋" w:cs="仿宋"/>
          <w:sz w:val="28"/>
          <w:szCs w:val="32"/>
          <w:lang w:eastAsia="zh-CN"/>
        </w:rPr>
        <w:t>五</w:t>
      </w:r>
      <w:r>
        <w:rPr>
          <w:rFonts w:hint="eastAsia" w:ascii="仿宋" w:hAnsi="仿宋" w:eastAsia="仿宋" w:cs="仿宋"/>
          <w:sz w:val="28"/>
          <w:szCs w:val="32"/>
        </w:rPr>
        <w:t>）评标</w:t>
      </w:r>
      <w:r>
        <w:rPr>
          <w:sz w:val="28"/>
          <w:szCs w:val="32"/>
        </w:rPr>
        <w:tab/>
      </w:r>
      <w:r>
        <w:rPr>
          <w:sz w:val="28"/>
          <w:szCs w:val="32"/>
        </w:rPr>
        <w:fldChar w:fldCharType="begin"/>
      </w:r>
      <w:r>
        <w:rPr>
          <w:sz w:val="28"/>
          <w:szCs w:val="32"/>
        </w:rPr>
        <w:instrText xml:space="preserve"> PAGEREF _Toc23406 \h </w:instrText>
      </w:r>
      <w:r>
        <w:rPr>
          <w:sz w:val="28"/>
          <w:szCs w:val="32"/>
        </w:rPr>
        <w:fldChar w:fldCharType="separate"/>
      </w:r>
      <w:r>
        <w:rPr>
          <w:sz w:val="28"/>
          <w:szCs w:val="32"/>
        </w:rPr>
        <w:t>15</w:t>
      </w:r>
      <w:r>
        <w:rPr>
          <w:sz w:val="28"/>
          <w:szCs w:val="32"/>
        </w:rPr>
        <w:fldChar w:fldCharType="end"/>
      </w:r>
      <w:r>
        <w:rPr>
          <w:rFonts w:hint="eastAsia" w:ascii="仿宋" w:hAnsi="仿宋" w:eastAsia="仿宋" w:cs="仿宋"/>
          <w:color w:val="auto"/>
          <w:sz w:val="28"/>
          <w:szCs w:val="220"/>
          <w:highlight w:val="none"/>
        </w:rPr>
        <w:fldChar w:fldCharType="end"/>
      </w:r>
    </w:p>
    <w:p>
      <w:pPr>
        <w:pStyle w:val="14"/>
        <w:tabs>
          <w:tab w:val="right" w:leader="dot" w:pos="9693"/>
        </w:tabs>
        <w:rPr>
          <w:sz w:val="28"/>
          <w:szCs w:val="32"/>
        </w:rPr>
      </w:pPr>
      <w:r>
        <w:rPr>
          <w:rFonts w:hint="eastAsia" w:ascii="仿宋" w:hAnsi="仿宋" w:eastAsia="仿宋" w:cs="仿宋"/>
          <w:color w:val="auto"/>
          <w:sz w:val="28"/>
          <w:szCs w:val="220"/>
          <w:highlight w:val="none"/>
        </w:rPr>
        <w:fldChar w:fldCharType="begin"/>
      </w:r>
      <w:r>
        <w:rPr>
          <w:rFonts w:hint="eastAsia" w:ascii="仿宋" w:hAnsi="仿宋" w:eastAsia="仿宋" w:cs="仿宋"/>
          <w:sz w:val="28"/>
          <w:szCs w:val="220"/>
          <w:highlight w:val="none"/>
        </w:rPr>
        <w:instrText xml:space="preserve"> HYPERLINK \l _Toc26538 </w:instrText>
      </w:r>
      <w:r>
        <w:rPr>
          <w:rFonts w:hint="eastAsia" w:ascii="仿宋" w:hAnsi="仿宋" w:eastAsia="仿宋" w:cs="仿宋"/>
          <w:sz w:val="28"/>
          <w:szCs w:val="220"/>
          <w:highlight w:val="none"/>
        </w:rPr>
        <w:fldChar w:fldCharType="separate"/>
      </w:r>
      <w:r>
        <w:rPr>
          <w:rFonts w:hint="eastAsia" w:ascii="仿宋" w:hAnsi="仿宋" w:eastAsia="仿宋" w:cs="仿宋"/>
          <w:sz w:val="28"/>
          <w:szCs w:val="32"/>
        </w:rPr>
        <w:t>（</w:t>
      </w:r>
      <w:r>
        <w:rPr>
          <w:rFonts w:hint="eastAsia" w:ascii="仿宋" w:hAnsi="仿宋" w:eastAsia="仿宋" w:cs="仿宋"/>
          <w:sz w:val="28"/>
          <w:szCs w:val="32"/>
          <w:lang w:eastAsia="zh-CN"/>
        </w:rPr>
        <w:t>六</w:t>
      </w:r>
      <w:r>
        <w:rPr>
          <w:rFonts w:hint="eastAsia" w:ascii="仿宋" w:hAnsi="仿宋" w:eastAsia="仿宋" w:cs="仿宋"/>
          <w:sz w:val="28"/>
          <w:szCs w:val="32"/>
        </w:rPr>
        <w:t>）定标</w:t>
      </w:r>
      <w:r>
        <w:rPr>
          <w:sz w:val="28"/>
          <w:szCs w:val="32"/>
        </w:rPr>
        <w:tab/>
      </w:r>
      <w:r>
        <w:rPr>
          <w:sz w:val="28"/>
          <w:szCs w:val="32"/>
        </w:rPr>
        <w:fldChar w:fldCharType="begin"/>
      </w:r>
      <w:r>
        <w:rPr>
          <w:sz w:val="28"/>
          <w:szCs w:val="32"/>
        </w:rPr>
        <w:instrText xml:space="preserve"> PAGEREF _Toc26538 \h </w:instrText>
      </w:r>
      <w:r>
        <w:rPr>
          <w:sz w:val="28"/>
          <w:szCs w:val="32"/>
        </w:rPr>
        <w:fldChar w:fldCharType="separate"/>
      </w:r>
      <w:r>
        <w:rPr>
          <w:sz w:val="28"/>
          <w:szCs w:val="32"/>
        </w:rPr>
        <w:t>16</w:t>
      </w:r>
      <w:r>
        <w:rPr>
          <w:sz w:val="28"/>
          <w:szCs w:val="32"/>
        </w:rPr>
        <w:fldChar w:fldCharType="end"/>
      </w:r>
      <w:r>
        <w:rPr>
          <w:rFonts w:hint="eastAsia" w:ascii="仿宋" w:hAnsi="仿宋" w:eastAsia="仿宋" w:cs="仿宋"/>
          <w:color w:val="auto"/>
          <w:sz w:val="28"/>
          <w:szCs w:val="220"/>
          <w:highlight w:val="none"/>
        </w:rPr>
        <w:fldChar w:fldCharType="end"/>
      </w:r>
    </w:p>
    <w:p>
      <w:pPr>
        <w:pStyle w:val="14"/>
        <w:tabs>
          <w:tab w:val="right" w:leader="dot" w:pos="9693"/>
        </w:tabs>
        <w:rPr>
          <w:sz w:val="28"/>
          <w:szCs w:val="32"/>
        </w:rPr>
      </w:pPr>
      <w:r>
        <w:rPr>
          <w:rFonts w:hint="eastAsia" w:ascii="仿宋" w:hAnsi="仿宋" w:eastAsia="仿宋" w:cs="仿宋"/>
          <w:color w:val="auto"/>
          <w:sz w:val="28"/>
          <w:szCs w:val="220"/>
          <w:highlight w:val="none"/>
        </w:rPr>
        <w:fldChar w:fldCharType="begin"/>
      </w:r>
      <w:r>
        <w:rPr>
          <w:rFonts w:hint="eastAsia" w:ascii="仿宋" w:hAnsi="仿宋" w:eastAsia="仿宋" w:cs="仿宋"/>
          <w:sz w:val="28"/>
          <w:szCs w:val="220"/>
          <w:highlight w:val="none"/>
        </w:rPr>
        <w:instrText xml:space="preserve"> HYPERLINK \l _Toc18879 </w:instrText>
      </w:r>
      <w:r>
        <w:rPr>
          <w:rFonts w:hint="eastAsia" w:ascii="仿宋" w:hAnsi="仿宋" w:eastAsia="仿宋" w:cs="仿宋"/>
          <w:sz w:val="28"/>
          <w:szCs w:val="220"/>
          <w:highlight w:val="none"/>
        </w:rPr>
        <w:fldChar w:fldCharType="separate"/>
      </w:r>
      <w:r>
        <w:rPr>
          <w:rFonts w:hint="eastAsia" w:ascii="仿宋" w:hAnsi="仿宋" w:eastAsia="仿宋" w:cs="仿宋"/>
          <w:sz w:val="28"/>
          <w:szCs w:val="32"/>
        </w:rPr>
        <w:t>（</w:t>
      </w:r>
      <w:r>
        <w:rPr>
          <w:rFonts w:hint="eastAsia" w:ascii="仿宋" w:hAnsi="仿宋" w:eastAsia="仿宋" w:cs="仿宋"/>
          <w:sz w:val="28"/>
          <w:szCs w:val="32"/>
          <w:lang w:eastAsia="zh-CN"/>
        </w:rPr>
        <w:t>七</w:t>
      </w:r>
      <w:r>
        <w:rPr>
          <w:rFonts w:hint="eastAsia" w:ascii="仿宋" w:hAnsi="仿宋" w:eastAsia="仿宋" w:cs="仿宋"/>
          <w:sz w:val="28"/>
          <w:szCs w:val="32"/>
        </w:rPr>
        <w:t>）合同签订及履行</w:t>
      </w:r>
      <w:r>
        <w:rPr>
          <w:sz w:val="28"/>
          <w:szCs w:val="32"/>
        </w:rPr>
        <w:tab/>
      </w:r>
      <w:r>
        <w:rPr>
          <w:sz w:val="28"/>
          <w:szCs w:val="32"/>
        </w:rPr>
        <w:fldChar w:fldCharType="begin"/>
      </w:r>
      <w:r>
        <w:rPr>
          <w:sz w:val="28"/>
          <w:szCs w:val="32"/>
        </w:rPr>
        <w:instrText xml:space="preserve"> PAGEREF _Toc18879 \h </w:instrText>
      </w:r>
      <w:r>
        <w:rPr>
          <w:sz w:val="28"/>
          <w:szCs w:val="32"/>
        </w:rPr>
        <w:fldChar w:fldCharType="separate"/>
      </w:r>
      <w:r>
        <w:rPr>
          <w:sz w:val="28"/>
          <w:szCs w:val="32"/>
        </w:rPr>
        <w:t>17</w:t>
      </w:r>
      <w:r>
        <w:rPr>
          <w:sz w:val="28"/>
          <w:szCs w:val="32"/>
        </w:rPr>
        <w:fldChar w:fldCharType="end"/>
      </w:r>
      <w:r>
        <w:rPr>
          <w:rFonts w:hint="eastAsia" w:ascii="仿宋" w:hAnsi="仿宋" w:eastAsia="仿宋" w:cs="仿宋"/>
          <w:color w:val="auto"/>
          <w:sz w:val="28"/>
          <w:szCs w:val="220"/>
          <w:highlight w:val="none"/>
        </w:rPr>
        <w:fldChar w:fldCharType="end"/>
      </w:r>
    </w:p>
    <w:p>
      <w:pPr>
        <w:pStyle w:val="14"/>
        <w:tabs>
          <w:tab w:val="right" w:leader="dot" w:pos="9693"/>
        </w:tabs>
        <w:rPr>
          <w:sz w:val="28"/>
          <w:szCs w:val="32"/>
        </w:rPr>
      </w:pPr>
      <w:r>
        <w:rPr>
          <w:rFonts w:hint="eastAsia" w:ascii="仿宋" w:hAnsi="仿宋" w:eastAsia="仿宋" w:cs="仿宋"/>
          <w:color w:val="auto"/>
          <w:sz w:val="28"/>
          <w:szCs w:val="220"/>
          <w:highlight w:val="none"/>
        </w:rPr>
        <w:fldChar w:fldCharType="begin"/>
      </w:r>
      <w:r>
        <w:rPr>
          <w:rFonts w:hint="eastAsia" w:ascii="仿宋" w:hAnsi="仿宋" w:eastAsia="仿宋" w:cs="仿宋"/>
          <w:sz w:val="28"/>
          <w:szCs w:val="220"/>
          <w:highlight w:val="none"/>
        </w:rPr>
        <w:instrText xml:space="preserve"> HYPERLINK \l _Toc31505 </w:instrText>
      </w:r>
      <w:r>
        <w:rPr>
          <w:rFonts w:hint="eastAsia" w:ascii="仿宋" w:hAnsi="仿宋" w:eastAsia="仿宋" w:cs="仿宋"/>
          <w:sz w:val="28"/>
          <w:szCs w:val="220"/>
          <w:highlight w:val="none"/>
        </w:rPr>
        <w:fldChar w:fldCharType="separate"/>
      </w:r>
      <w:r>
        <w:rPr>
          <w:rFonts w:hint="eastAsia" w:ascii="仿宋" w:hAnsi="仿宋" w:eastAsia="仿宋" w:cs="仿宋"/>
          <w:sz w:val="28"/>
          <w:szCs w:val="32"/>
        </w:rPr>
        <w:t>（</w:t>
      </w:r>
      <w:r>
        <w:rPr>
          <w:rFonts w:hint="eastAsia" w:ascii="仿宋" w:hAnsi="仿宋" w:eastAsia="仿宋" w:cs="仿宋"/>
          <w:sz w:val="28"/>
          <w:szCs w:val="32"/>
          <w:lang w:eastAsia="zh-CN"/>
        </w:rPr>
        <w:t>八</w:t>
      </w:r>
      <w:r>
        <w:rPr>
          <w:rFonts w:hint="eastAsia" w:ascii="仿宋" w:hAnsi="仿宋" w:eastAsia="仿宋" w:cs="仿宋"/>
          <w:sz w:val="28"/>
          <w:szCs w:val="32"/>
        </w:rPr>
        <w:t>）重新招标和不再招标</w:t>
      </w:r>
      <w:r>
        <w:rPr>
          <w:sz w:val="28"/>
          <w:szCs w:val="32"/>
        </w:rPr>
        <w:tab/>
      </w:r>
      <w:r>
        <w:rPr>
          <w:sz w:val="28"/>
          <w:szCs w:val="32"/>
        </w:rPr>
        <w:fldChar w:fldCharType="begin"/>
      </w:r>
      <w:r>
        <w:rPr>
          <w:sz w:val="28"/>
          <w:szCs w:val="32"/>
        </w:rPr>
        <w:instrText xml:space="preserve"> PAGEREF _Toc31505 \h </w:instrText>
      </w:r>
      <w:r>
        <w:rPr>
          <w:sz w:val="28"/>
          <w:szCs w:val="32"/>
        </w:rPr>
        <w:fldChar w:fldCharType="separate"/>
      </w:r>
      <w:r>
        <w:rPr>
          <w:sz w:val="28"/>
          <w:szCs w:val="32"/>
        </w:rPr>
        <w:t>18</w:t>
      </w:r>
      <w:r>
        <w:rPr>
          <w:sz w:val="28"/>
          <w:szCs w:val="32"/>
        </w:rPr>
        <w:fldChar w:fldCharType="end"/>
      </w:r>
      <w:r>
        <w:rPr>
          <w:rFonts w:hint="eastAsia" w:ascii="仿宋" w:hAnsi="仿宋" w:eastAsia="仿宋" w:cs="仿宋"/>
          <w:color w:val="auto"/>
          <w:sz w:val="28"/>
          <w:szCs w:val="220"/>
          <w:highlight w:val="none"/>
        </w:rPr>
        <w:fldChar w:fldCharType="end"/>
      </w:r>
    </w:p>
    <w:p>
      <w:pPr>
        <w:pStyle w:val="14"/>
        <w:tabs>
          <w:tab w:val="right" w:leader="dot" w:pos="9693"/>
        </w:tabs>
        <w:rPr>
          <w:sz w:val="28"/>
          <w:szCs w:val="32"/>
        </w:rPr>
      </w:pPr>
      <w:r>
        <w:rPr>
          <w:rFonts w:hint="eastAsia" w:ascii="仿宋" w:hAnsi="仿宋" w:eastAsia="仿宋" w:cs="仿宋"/>
          <w:color w:val="auto"/>
          <w:sz w:val="28"/>
          <w:szCs w:val="220"/>
          <w:highlight w:val="none"/>
        </w:rPr>
        <w:fldChar w:fldCharType="begin"/>
      </w:r>
      <w:r>
        <w:rPr>
          <w:rFonts w:hint="eastAsia" w:ascii="仿宋" w:hAnsi="仿宋" w:eastAsia="仿宋" w:cs="仿宋"/>
          <w:sz w:val="28"/>
          <w:szCs w:val="220"/>
          <w:highlight w:val="none"/>
        </w:rPr>
        <w:instrText xml:space="preserve"> HYPERLINK \l _Toc23704 </w:instrText>
      </w:r>
      <w:r>
        <w:rPr>
          <w:rFonts w:hint="eastAsia" w:ascii="仿宋" w:hAnsi="仿宋" w:eastAsia="仿宋" w:cs="仿宋"/>
          <w:sz w:val="28"/>
          <w:szCs w:val="220"/>
          <w:highlight w:val="none"/>
        </w:rPr>
        <w:fldChar w:fldCharType="separate"/>
      </w:r>
      <w:r>
        <w:rPr>
          <w:rFonts w:hint="eastAsia" w:ascii="仿宋" w:hAnsi="仿宋" w:eastAsia="仿宋" w:cs="仿宋"/>
          <w:sz w:val="28"/>
          <w:szCs w:val="32"/>
        </w:rPr>
        <w:t>（</w:t>
      </w:r>
      <w:r>
        <w:rPr>
          <w:rFonts w:hint="eastAsia" w:ascii="仿宋" w:hAnsi="仿宋" w:eastAsia="仿宋" w:cs="仿宋"/>
          <w:sz w:val="28"/>
          <w:szCs w:val="32"/>
          <w:lang w:eastAsia="zh-CN"/>
        </w:rPr>
        <w:t>九</w:t>
      </w:r>
      <w:r>
        <w:rPr>
          <w:rFonts w:hint="eastAsia" w:ascii="仿宋" w:hAnsi="仿宋" w:eastAsia="仿宋" w:cs="仿宋"/>
          <w:sz w:val="28"/>
          <w:szCs w:val="32"/>
        </w:rPr>
        <w:t>）纪律和监督</w:t>
      </w:r>
      <w:r>
        <w:rPr>
          <w:sz w:val="28"/>
          <w:szCs w:val="32"/>
        </w:rPr>
        <w:tab/>
      </w:r>
      <w:r>
        <w:rPr>
          <w:sz w:val="28"/>
          <w:szCs w:val="32"/>
        </w:rPr>
        <w:fldChar w:fldCharType="begin"/>
      </w:r>
      <w:r>
        <w:rPr>
          <w:sz w:val="28"/>
          <w:szCs w:val="32"/>
        </w:rPr>
        <w:instrText xml:space="preserve"> PAGEREF _Toc23704 \h </w:instrText>
      </w:r>
      <w:r>
        <w:rPr>
          <w:sz w:val="28"/>
          <w:szCs w:val="32"/>
        </w:rPr>
        <w:fldChar w:fldCharType="separate"/>
      </w:r>
      <w:r>
        <w:rPr>
          <w:sz w:val="28"/>
          <w:szCs w:val="32"/>
        </w:rPr>
        <w:t>19</w:t>
      </w:r>
      <w:r>
        <w:rPr>
          <w:sz w:val="28"/>
          <w:szCs w:val="32"/>
        </w:rPr>
        <w:fldChar w:fldCharType="end"/>
      </w:r>
      <w:r>
        <w:rPr>
          <w:rFonts w:hint="eastAsia" w:ascii="仿宋" w:hAnsi="仿宋" w:eastAsia="仿宋" w:cs="仿宋"/>
          <w:color w:val="auto"/>
          <w:sz w:val="28"/>
          <w:szCs w:val="220"/>
          <w:highlight w:val="none"/>
        </w:rPr>
        <w:fldChar w:fldCharType="end"/>
      </w:r>
    </w:p>
    <w:p>
      <w:pPr>
        <w:pStyle w:val="14"/>
        <w:tabs>
          <w:tab w:val="right" w:leader="dot" w:pos="9693"/>
        </w:tabs>
        <w:rPr>
          <w:sz w:val="28"/>
          <w:szCs w:val="32"/>
        </w:rPr>
      </w:pPr>
      <w:r>
        <w:rPr>
          <w:rFonts w:hint="eastAsia" w:ascii="仿宋" w:hAnsi="仿宋" w:eastAsia="仿宋" w:cs="仿宋"/>
          <w:color w:val="auto"/>
          <w:sz w:val="28"/>
          <w:szCs w:val="220"/>
          <w:highlight w:val="none"/>
        </w:rPr>
        <w:fldChar w:fldCharType="begin"/>
      </w:r>
      <w:r>
        <w:rPr>
          <w:rFonts w:hint="eastAsia" w:ascii="仿宋" w:hAnsi="仿宋" w:eastAsia="仿宋" w:cs="仿宋"/>
          <w:sz w:val="28"/>
          <w:szCs w:val="220"/>
          <w:highlight w:val="none"/>
        </w:rPr>
        <w:instrText xml:space="preserve"> HYPERLINK \l _Toc8958 </w:instrText>
      </w:r>
      <w:r>
        <w:rPr>
          <w:rFonts w:hint="eastAsia" w:ascii="仿宋" w:hAnsi="仿宋" w:eastAsia="仿宋" w:cs="仿宋"/>
          <w:sz w:val="28"/>
          <w:szCs w:val="220"/>
          <w:highlight w:val="none"/>
        </w:rPr>
        <w:fldChar w:fldCharType="separate"/>
      </w:r>
      <w:r>
        <w:rPr>
          <w:rFonts w:hint="eastAsia" w:ascii="仿宋" w:hAnsi="仿宋" w:eastAsia="仿宋" w:cs="仿宋"/>
          <w:sz w:val="28"/>
          <w:szCs w:val="32"/>
        </w:rPr>
        <w:t>（十）无效投标</w:t>
      </w:r>
      <w:r>
        <w:rPr>
          <w:sz w:val="28"/>
          <w:szCs w:val="32"/>
        </w:rPr>
        <w:tab/>
      </w:r>
      <w:r>
        <w:rPr>
          <w:sz w:val="28"/>
          <w:szCs w:val="32"/>
        </w:rPr>
        <w:fldChar w:fldCharType="begin"/>
      </w:r>
      <w:r>
        <w:rPr>
          <w:sz w:val="28"/>
          <w:szCs w:val="32"/>
        </w:rPr>
        <w:instrText xml:space="preserve"> PAGEREF _Toc8958 \h </w:instrText>
      </w:r>
      <w:r>
        <w:rPr>
          <w:sz w:val="28"/>
          <w:szCs w:val="32"/>
        </w:rPr>
        <w:fldChar w:fldCharType="separate"/>
      </w:r>
      <w:r>
        <w:rPr>
          <w:sz w:val="28"/>
          <w:szCs w:val="32"/>
        </w:rPr>
        <w:t>21</w:t>
      </w:r>
      <w:r>
        <w:rPr>
          <w:sz w:val="28"/>
          <w:szCs w:val="32"/>
        </w:rPr>
        <w:fldChar w:fldCharType="end"/>
      </w:r>
      <w:r>
        <w:rPr>
          <w:rFonts w:hint="eastAsia" w:ascii="仿宋" w:hAnsi="仿宋" w:eastAsia="仿宋" w:cs="仿宋"/>
          <w:color w:val="auto"/>
          <w:sz w:val="28"/>
          <w:szCs w:val="220"/>
          <w:highlight w:val="none"/>
        </w:rPr>
        <w:fldChar w:fldCharType="end"/>
      </w:r>
    </w:p>
    <w:p>
      <w:pPr>
        <w:pStyle w:val="14"/>
        <w:tabs>
          <w:tab w:val="right" w:leader="dot" w:pos="9693"/>
        </w:tabs>
        <w:rPr>
          <w:sz w:val="28"/>
          <w:szCs w:val="32"/>
        </w:rPr>
      </w:pPr>
      <w:r>
        <w:rPr>
          <w:rFonts w:hint="eastAsia" w:ascii="仿宋" w:hAnsi="仿宋" w:eastAsia="仿宋" w:cs="仿宋"/>
          <w:color w:val="auto"/>
          <w:sz w:val="28"/>
          <w:szCs w:val="220"/>
          <w:highlight w:val="none"/>
        </w:rPr>
        <w:fldChar w:fldCharType="begin"/>
      </w:r>
      <w:r>
        <w:rPr>
          <w:rFonts w:hint="eastAsia" w:ascii="仿宋" w:hAnsi="仿宋" w:eastAsia="仿宋" w:cs="仿宋"/>
          <w:sz w:val="28"/>
          <w:szCs w:val="220"/>
          <w:highlight w:val="none"/>
        </w:rPr>
        <w:instrText xml:space="preserve"> HYPERLINK \l _Toc27786 </w:instrText>
      </w:r>
      <w:r>
        <w:rPr>
          <w:rFonts w:hint="eastAsia" w:ascii="仿宋" w:hAnsi="仿宋" w:eastAsia="仿宋" w:cs="仿宋"/>
          <w:sz w:val="28"/>
          <w:szCs w:val="220"/>
          <w:highlight w:val="none"/>
        </w:rPr>
        <w:fldChar w:fldCharType="separate"/>
      </w:r>
      <w:r>
        <w:rPr>
          <w:rFonts w:hint="eastAsia" w:ascii="仿宋" w:hAnsi="仿宋" w:eastAsia="仿宋" w:cs="仿宋"/>
          <w:sz w:val="28"/>
          <w:szCs w:val="32"/>
        </w:rPr>
        <w:t>（十</w:t>
      </w:r>
      <w:r>
        <w:rPr>
          <w:rFonts w:hint="eastAsia" w:ascii="仿宋" w:hAnsi="仿宋" w:eastAsia="仿宋" w:cs="仿宋"/>
          <w:sz w:val="28"/>
          <w:szCs w:val="32"/>
          <w:lang w:eastAsia="zh-CN"/>
        </w:rPr>
        <w:t>一</w:t>
      </w:r>
      <w:r>
        <w:rPr>
          <w:rFonts w:hint="eastAsia" w:ascii="仿宋" w:hAnsi="仿宋" w:eastAsia="仿宋" w:cs="仿宋"/>
          <w:sz w:val="28"/>
          <w:szCs w:val="32"/>
        </w:rPr>
        <w:t>）废标</w:t>
      </w:r>
      <w:r>
        <w:rPr>
          <w:sz w:val="28"/>
          <w:szCs w:val="32"/>
        </w:rPr>
        <w:tab/>
      </w:r>
      <w:r>
        <w:rPr>
          <w:sz w:val="28"/>
          <w:szCs w:val="32"/>
        </w:rPr>
        <w:fldChar w:fldCharType="begin"/>
      </w:r>
      <w:r>
        <w:rPr>
          <w:sz w:val="28"/>
          <w:szCs w:val="32"/>
        </w:rPr>
        <w:instrText xml:space="preserve"> PAGEREF _Toc27786 \h </w:instrText>
      </w:r>
      <w:r>
        <w:rPr>
          <w:sz w:val="28"/>
          <w:szCs w:val="32"/>
        </w:rPr>
        <w:fldChar w:fldCharType="separate"/>
      </w:r>
      <w:r>
        <w:rPr>
          <w:sz w:val="28"/>
          <w:szCs w:val="32"/>
        </w:rPr>
        <w:t>21</w:t>
      </w:r>
      <w:r>
        <w:rPr>
          <w:sz w:val="28"/>
          <w:szCs w:val="32"/>
        </w:rPr>
        <w:fldChar w:fldCharType="end"/>
      </w:r>
      <w:r>
        <w:rPr>
          <w:rFonts w:hint="eastAsia" w:ascii="仿宋" w:hAnsi="仿宋" w:eastAsia="仿宋" w:cs="仿宋"/>
          <w:color w:val="auto"/>
          <w:sz w:val="28"/>
          <w:szCs w:val="220"/>
          <w:highlight w:val="none"/>
        </w:rPr>
        <w:fldChar w:fldCharType="end"/>
      </w:r>
    </w:p>
    <w:p>
      <w:pPr>
        <w:pStyle w:val="14"/>
        <w:tabs>
          <w:tab w:val="right" w:leader="dot" w:pos="9693"/>
        </w:tabs>
        <w:rPr>
          <w:sz w:val="28"/>
          <w:szCs w:val="32"/>
        </w:rPr>
      </w:pPr>
      <w:r>
        <w:rPr>
          <w:rFonts w:hint="eastAsia" w:ascii="仿宋" w:hAnsi="仿宋" w:eastAsia="仿宋" w:cs="仿宋"/>
          <w:color w:val="auto"/>
          <w:sz w:val="28"/>
          <w:szCs w:val="220"/>
          <w:highlight w:val="none"/>
        </w:rPr>
        <w:fldChar w:fldCharType="begin"/>
      </w:r>
      <w:r>
        <w:rPr>
          <w:rFonts w:hint="eastAsia" w:ascii="仿宋" w:hAnsi="仿宋" w:eastAsia="仿宋" w:cs="仿宋"/>
          <w:sz w:val="28"/>
          <w:szCs w:val="220"/>
          <w:highlight w:val="none"/>
        </w:rPr>
        <w:instrText xml:space="preserve"> HYPERLINK \l _Toc24735 </w:instrText>
      </w:r>
      <w:r>
        <w:rPr>
          <w:rFonts w:hint="eastAsia" w:ascii="仿宋" w:hAnsi="仿宋" w:eastAsia="仿宋" w:cs="仿宋"/>
          <w:sz w:val="28"/>
          <w:szCs w:val="220"/>
          <w:highlight w:val="none"/>
        </w:rPr>
        <w:fldChar w:fldCharType="separate"/>
      </w:r>
      <w:r>
        <w:rPr>
          <w:rFonts w:hint="eastAsia" w:ascii="仿宋" w:hAnsi="仿宋" w:eastAsia="仿宋" w:cs="仿宋"/>
          <w:sz w:val="28"/>
          <w:szCs w:val="32"/>
        </w:rPr>
        <w:t>（十</w:t>
      </w:r>
      <w:r>
        <w:rPr>
          <w:rFonts w:hint="eastAsia" w:ascii="仿宋" w:hAnsi="仿宋" w:eastAsia="仿宋" w:cs="仿宋"/>
          <w:sz w:val="28"/>
          <w:szCs w:val="32"/>
          <w:lang w:eastAsia="zh-CN"/>
        </w:rPr>
        <w:t>二</w:t>
      </w:r>
      <w:r>
        <w:rPr>
          <w:rFonts w:hint="eastAsia" w:ascii="仿宋" w:hAnsi="仿宋" w:eastAsia="仿宋" w:cs="仿宋"/>
          <w:sz w:val="28"/>
          <w:szCs w:val="32"/>
        </w:rPr>
        <w:t>）质疑和投诉</w:t>
      </w:r>
      <w:r>
        <w:rPr>
          <w:sz w:val="28"/>
          <w:szCs w:val="32"/>
        </w:rPr>
        <w:tab/>
      </w:r>
      <w:r>
        <w:rPr>
          <w:sz w:val="28"/>
          <w:szCs w:val="32"/>
        </w:rPr>
        <w:fldChar w:fldCharType="begin"/>
      </w:r>
      <w:r>
        <w:rPr>
          <w:sz w:val="28"/>
          <w:szCs w:val="32"/>
        </w:rPr>
        <w:instrText xml:space="preserve"> PAGEREF _Toc24735 \h </w:instrText>
      </w:r>
      <w:r>
        <w:rPr>
          <w:sz w:val="28"/>
          <w:szCs w:val="32"/>
        </w:rPr>
        <w:fldChar w:fldCharType="separate"/>
      </w:r>
      <w:r>
        <w:rPr>
          <w:sz w:val="28"/>
          <w:szCs w:val="32"/>
        </w:rPr>
        <w:t>22</w:t>
      </w:r>
      <w:r>
        <w:rPr>
          <w:sz w:val="28"/>
          <w:szCs w:val="32"/>
        </w:rPr>
        <w:fldChar w:fldCharType="end"/>
      </w:r>
      <w:r>
        <w:rPr>
          <w:rFonts w:hint="eastAsia" w:ascii="仿宋" w:hAnsi="仿宋" w:eastAsia="仿宋" w:cs="仿宋"/>
          <w:color w:val="auto"/>
          <w:sz w:val="28"/>
          <w:szCs w:val="220"/>
          <w:highlight w:val="none"/>
        </w:rPr>
        <w:fldChar w:fldCharType="end"/>
      </w:r>
    </w:p>
    <w:p>
      <w:pPr>
        <w:pStyle w:val="13"/>
        <w:tabs>
          <w:tab w:val="right" w:pos="2400"/>
          <w:tab w:val="right" w:leader="dot" w:pos="9693"/>
          <w:tab w:val="clear" w:pos="9400"/>
        </w:tabs>
        <w:rPr>
          <w:sz w:val="28"/>
          <w:szCs w:val="32"/>
        </w:rPr>
      </w:pPr>
      <w:r>
        <w:rPr>
          <w:rFonts w:hint="eastAsia" w:ascii="仿宋" w:hAnsi="仿宋" w:eastAsia="仿宋" w:cs="仿宋"/>
          <w:color w:val="auto"/>
          <w:sz w:val="28"/>
          <w:szCs w:val="220"/>
          <w:highlight w:val="none"/>
        </w:rPr>
        <w:fldChar w:fldCharType="begin"/>
      </w:r>
      <w:r>
        <w:rPr>
          <w:rFonts w:hint="eastAsia" w:ascii="仿宋" w:hAnsi="仿宋" w:eastAsia="仿宋" w:cs="仿宋"/>
          <w:sz w:val="28"/>
          <w:szCs w:val="220"/>
          <w:highlight w:val="none"/>
        </w:rPr>
        <w:instrText xml:space="preserve"> HYPERLINK \l _Toc23908 </w:instrText>
      </w:r>
      <w:r>
        <w:rPr>
          <w:rFonts w:hint="eastAsia" w:ascii="仿宋" w:hAnsi="仿宋" w:eastAsia="仿宋" w:cs="仿宋"/>
          <w:sz w:val="28"/>
          <w:szCs w:val="220"/>
          <w:highlight w:val="none"/>
        </w:rPr>
        <w:fldChar w:fldCharType="separate"/>
      </w:r>
      <w:r>
        <w:rPr>
          <w:rFonts w:hint="eastAsia" w:ascii="仿宋" w:hAnsi="仿宋" w:eastAsia="仿宋" w:cs="仿宋"/>
          <w:w w:val="95"/>
          <w:sz w:val="28"/>
          <w:szCs w:val="32"/>
        </w:rPr>
        <w:t>第三章</w:t>
      </w:r>
      <w:r>
        <w:rPr>
          <w:rFonts w:hint="eastAsia" w:ascii="仿宋" w:hAnsi="仿宋" w:eastAsia="仿宋" w:cs="仿宋"/>
          <w:w w:val="95"/>
          <w:sz w:val="28"/>
          <w:szCs w:val="32"/>
        </w:rPr>
        <w:tab/>
      </w:r>
      <w:r>
        <w:rPr>
          <w:rFonts w:hint="eastAsia" w:ascii="仿宋" w:hAnsi="仿宋" w:eastAsia="仿宋" w:cs="仿宋"/>
          <w:spacing w:val="1"/>
          <w:sz w:val="28"/>
          <w:szCs w:val="32"/>
        </w:rPr>
        <w:t>评标办法</w:t>
      </w:r>
      <w:r>
        <w:rPr>
          <w:sz w:val="28"/>
          <w:szCs w:val="32"/>
        </w:rPr>
        <w:tab/>
      </w:r>
      <w:r>
        <w:rPr>
          <w:sz w:val="28"/>
          <w:szCs w:val="32"/>
        </w:rPr>
        <w:fldChar w:fldCharType="begin"/>
      </w:r>
      <w:r>
        <w:rPr>
          <w:sz w:val="28"/>
          <w:szCs w:val="32"/>
        </w:rPr>
        <w:instrText xml:space="preserve"> PAGEREF _Toc23908 \h </w:instrText>
      </w:r>
      <w:r>
        <w:rPr>
          <w:sz w:val="28"/>
          <w:szCs w:val="32"/>
        </w:rPr>
        <w:fldChar w:fldCharType="separate"/>
      </w:r>
      <w:r>
        <w:rPr>
          <w:sz w:val="28"/>
          <w:szCs w:val="32"/>
        </w:rPr>
        <w:t>24</w:t>
      </w:r>
      <w:r>
        <w:rPr>
          <w:sz w:val="28"/>
          <w:szCs w:val="32"/>
        </w:rPr>
        <w:fldChar w:fldCharType="end"/>
      </w:r>
      <w:r>
        <w:rPr>
          <w:rFonts w:hint="eastAsia" w:ascii="仿宋" w:hAnsi="仿宋" w:eastAsia="仿宋" w:cs="仿宋"/>
          <w:color w:val="auto"/>
          <w:sz w:val="28"/>
          <w:szCs w:val="220"/>
          <w:highlight w:val="none"/>
        </w:rPr>
        <w:fldChar w:fldCharType="end"/>
      </w:r>
    </w:p>
    <w:p>
      <w:pPr>
        <w:pStyle w:val="13"/>
        <w:tabs>
          <w:tab w:val="right" w:leader="dot" w:pos="9693"/>
          <w:tab w:val="clear" w:pos="9400"/>
        </w:tabs>
        <w:rPr>
          <w:sz w:val="28"/>
          <w:szCs w:val="32"/>
        </w:rPr>
      </w:pPr>
      <w:r>
        <w:rPr>
          <w:rFonts w:hint="eastAsia" w:ascii="仿宋" w:hAnsi="仿宋" w:eastAsia="仿宋" w:cs="仿宋"/>
          <w:color w:val="auto"/>
          <w:sz w:val="28"/>
          <w:szCs w:val="220"/>
          <w:highlight w:val="none"/>
        </w:rPr>
        <w:fldChar w:fldCharType="begin"/>
      </w:r>
      <w:r>
        <w:rPr>
          <w:rFonts w:hint="eastAsia" w:ascii="仿宋" w:hAnsi="仿宋" w:eastAsia="仿宋" w:cs="仿宋"/>
          <w:sz w:val="28"/>
          <w:szCs w:val="220"/>
          <w:highlight w:val="none"/>
        </w:rPr>
        <w:instrText xml:space="preserve"> HYPERLINK \l _Toc14967 </w:instrText>
      </w:r>
      <w:r>
        <w:rPr>
          <w:rFonts w:hint="eastAsia" w:ascii="仿宋" w:hAnsi="仿宋" w:eastAsia="仿宋" w:cs="仿宋"/>
          <w:sz w:val="28"/>
          <w:szCs w:val="220"/>
          <w:highlight w:val="none"/>
        </w:rPr>
        <w:fldChar w:fldCharType="separate"/>
      </w:r>
      <w:r>
        <w:rPr>
          <w:rFonts w:hint="eastAsia" w:ascii="仿宋" w:hAnsi="仿宋" w:eastAsia="仿宋" w:cs="仿宋"/>
          <w:sz w:val="28"/>
          <w:szCs w:val="96"/>
          <w:lang w:eastAsia="zh-CN"/>
        </w:rPr>
        <w:t xml:space="preserve">第四章 </w:t>
      </w:r>
      <w:r>
        <w:rPr>
          <w:rFonts w:hint="eastAsia" w:ascii="仿宋" w:hAnsi="仿宋" w:eastAsia="仿宋" w:cs="仿宋"/>
          <w:sz w:val="28"/>
          <w:szCs w:val="96"/>
          <w:highlight w:val="none"/>
          <w:lang w:eastAsia="zh-CN"/>
        </w:rPr>
        <w:t>磋商内容</w:t>
      </w:r>
      <w:r>
        <w:rPr>
          <w:sz w:val="28"/>
          <w:szCs w:val="32"/>
        </w:rPr>
        <w:tab/>
      </w:r>
      <w:r>
        <w:rPr>
          <w:sz w:val="28"/>
          <w:szCs w:val="32"/>
        </w:rPr>
        <w:fldChar w:fldCharType="begin"/>
      </w:r>
      <w:r>
        <w:rPr>
          <w:sz w:val="28"/>
          <w:szCs w:val="32"/>
        </w:rPr>
        <w:instrText xml:space="preserve"> PAGEREF _Toc14967 \h </w:instrText>
      </w:r>
      <w:r>
        <w:rPr>
          <w:sz w:val="28"/>
          <w:szCs w:val="32"/>
        </w:rPr>
        <w:fldChar w:fldCharType="separate"/>
      </w:r>
      <w:r>
        <w:rPr>
          <w:sz w:val="28"/>
          <w:szCs w:val="32"/>
        </w:rPr>
        <w:t>33</w:t>
      </w:r>
      <w:r>
        <w:rPr>
          <w:sz w:val="28"/>
          <w:szCs w:val="32"/>
        </w:rPr>
        <w:fldChar w:fldCharType="end"/>
      </w:r>
      <w:r>
        <w:rPr>
          <w:rFonts w:hint="eastAsia" w:ascii="仿宋" w:hAnsi="仿宋" w:eastAsia="仿宋" w:cs="仿宋"/>
          <w:color w:val="auto"/>
          <w:sz w:val="28"/>
          <w:szCs w:val="220"/>
          <w:highlight w:val="none"/>
        </w:rPr>
        <w:fldChar w:fldCharType="end"/>
      </w:r>
    </w:p>
    <w:p>
      <w:pPr>
        <w:pStyle w:val="13"/>
        <w:tabs>
          <w:tab w:val="right" w:pos="2400"/>
          <w:tab w:val="right" w:leader="dot" w:pos="9693"/>
          <w:tab w:val="clear" w:pos="9400"/>
        </w:tabs>
        <w:rPr>
          <w:sz w:val="28"/>
          <w:szCs w:val="32"/>
        </w:rPr>
      </w:pPr>
      <w:r>
        <w:rPr>
          <w:rFonts w:hint="eastAsia" w:ascii="仿宋" w:hAnsi="仿宋" w:eastAsia="仿宋" w:cs="仿宋"/>
          <w:color w:val="auto"/>
          <w:sz w:val="28"/>
          <w:szCs w:val="220"/>
          <w:highlight w:val="none"/>
        </w:rPr>
        <w:fldChar w:fldCharType="begin"/>
      </w:r>
      <w:r>
        <w:rPr>
          <w:rFonts w:hint="eastAsia" w:ascii="仿宋" w:hAnsi="仿宋" w:eastAsia="仿宋" w:cs="仿宋"/>
          <w:sz w:val="28"/>
          <w:szCs w:val="220"/>
          <w:highlight w:val="none"/>
        </w:rPr>
        <w:instrText xml:space="preserve"> HYPERLINK \l _Toc19913 </w:instrText>
      </w:r>
      <w:r>
        <w:rPr>
          <w:rFonts w:hint="eastAsia" w:ascii="仿宋" w:hAnsi="仿宋" w:eastAsia="仿宋" w:cs="仿宋"/>
          <w:sz w:val="28"/>
          <w:szCs w:val="220"/>
          <w:highlight w:val="none"/>
        </w:rPr>
        <w:fldChar w:fldCharType="separate"/>
      </w:r>
      <w:r>
        <w:rPr>
          <w:rFonts w:hint="eastAsia" w:ascii="仿宋" w:hAnsi="仿宋" w:eastAsia="仿宋" w:cs="仿宋"/>
          <w:sz w:val="28"/>
          <w:szCs w:val="32"/>
        </w:rPr>
        <w:t>第五章</w:t>
      </w:r>
      <w:r>
        <w:rPr>
          <w:rFonts w:hint="eastAsia" w:ascii="仿宋" w:hAnsi="仿宋" w:eastAsia="仿宋" w:cs="仿宋"/>
          <w:sz w:val="28"/>
          <w:szCs w:val="32"/>
        </w:rPr>
        <w:tab/>
      </w:r>
      <w:r>
        <w:rPr>
          <w:rFonts w:hint="eastAsia" w:ascii="仿宋" w:hAnsi="仿宋" w:eastAsia="仿宋" w:cs="仿宋"/>
          <w:sz w:val="28"/>
          <w:szCs w:val="32"/>
        </w:rPr>
        <w:t>合同条款及合同格式（仅供参考）</w:t>
      </w:r>
      <w:r>
        <w:rPr>
          <w:sz w:val="28"/>
          <w:szCs w:val="32"/>
        </w:rPr>
        <w:tab/>
      </w:r>
      <w:r>
        <w:rPr>
          <w:sz w:val="28"/>
          <w:szCs w:val="32"/>
        </w:rPr>
        <w:fldChar w:fldCharType="begin"/>
      </w:r>
      <w:r>
        <w:rPr>
          <w:sz w:val="28"/>
          <w:szCs w:val="32"/>
        </w:rPr>
        <w:instrText xml:space="preserve"> PAGEREF _Toc19913 \h </w:instrText>
      </w:r>
      <w:r>
        <w:rPr>
          <w:sz w:val="28"/>
          <w:szCs w:val="32"/>
        </w:rPr>
        <w:fldChar w:fldCharType="separate"/>
      </w:r>
      <w:r>
        <w:rPr>
          <w:sz w:val="28"/>
          <w:szCs w:val="32"/>
        </w:rPr>
        <w:t>46</w:t>
      </w:r>
      <w:r>
        <w:rPr>
          <w:sz w:val="28"/>
          <w:szCs w:val="32"/>
        </w:rPr>
        <w:fldChar w:fldCharType="end"/>
      </w:r>
      <w:r>
        <w:rPr>
          <w:rFonts w:hint="eastAsia" w:ascii="仿宋" w:hAnsi="仿宋" w:eastAsia="仿宋" w:cs="仿宋"/>
          <w:color w:val="auto"/>
          <w:sz w:val="28"/>
          <w:szCs w:val="220"/>
          <w:highlight w:val="none"/>
        </w:rPr>
        <w:fldChar w:fldCharType="end"/>
      </w:r>
    </w:p>
    <w:p>
      <w:pPr>
        <w:pStyle w:val="13"/>
        <w:tabs>
          <w:tab w:val="right" w:pos="2400"/>
          <w:tab w:val="right" w:leader="dot" w:pos="9693"/>
          <w:tab w:val="clear" w:pos="9400"/>
        </w:tabs>
        <w:rPr>
          <w:sz w:val="28"/>
          <w:szCs w:val="32"/>
        </w:rPr>
      </w:pPr>
      <w:r>
        <w:rPr>
          <w:rFonts w:hint="eastAsia" w:ascii="仿宋" w:hAnsi="仿宋" w:eastAsia="仿宋" w:cs="仿宋"/>
          <w:color w:val="auto"/>
          <w:sz w:val="28"/>
          <w:szCs w:val="220"/>
          <w:highlight w:val="none"/>
        </w:rPr>
        <w:fldChar w:fldCharType="begin"/>
      </w:r>
      <w:r>
        <w:rPr>
          <w:rFonts w:hint="eastAsia" w:ascii="仿宋" w:hAnsi="仿宋" w:eastAsia="仿宋" w:cs="仿宋"/>
          <w:sz w:val="28"/>
          <w:szCs w:val="220"/>
          <w:highlight w:val="none"/>
        </w:rPr>
        <w:instrText xml:space="preserve"> HYPERLINK \l _Toc26145 </w:instrText>
      </w:r>
      <w:r>
        <w:rPr>
          <w:rFonts w:hint="eastAsia" w:ascii="仿宋" w:hAnsi="仿宋" w:eastAsia="仿宋" w:cs="仿宋"/>
          <w:sz w:val="28"/>
          <w:szCs w:val="220"/>
          <w:highlight w:val="none"/>
        </w:rPr>
        <w:fldChar w:fldCharType="separate"/>
      </w:r>
      <w:r>
        <w:rPr>
          <w:rFonts w:hint="eastAsia" w:ascii="仿宋" w:hAnsi="仿宋" w:eastAsia="仿宋" w:cs="仿宋"/>
          <w:w w:val="95"/>
          <w:sz w:val="28"/>
          <w:szCs w:val="96"/>
        </w:rPr>
        <w:t>第六章</w:t>
      </w:r>
      <w:r>
        <w:rPr>
          <w:rFonts w:hint="eastAsia" w:ascii="仿宋" w:hAnsi="仿宋" w:eastAsia="仿宋" w:cs="仿宋"/>
          <w:w w:val="95"/>
          <w:sz w:val="28"/>
          <w:szCs w:val="96"/>
        </w:rPr>
        <w:tab/>
      </w:r>
      <w:r>
        <w:rPr>
          <w:rFonts w:hint="eastAsia" w:ascii="仿宋" w:hAnsi="仿宋" w:eastAsia="仿宋" w:cs="仿宋"/>
          <w:sz w:val="28"/>
          <w:szCs w:val="96"/>
        </w:rPr>
        <w:t>磋商响应性文件格式</w:t>
      </w:r>
      <w:r>
        <w:rPr>
          <w:sz w:val="28"/>
          <w:szCs w:val="32"/>
        </w:rPr>
        <w:tab/>
      </w:r>
      <w:r>
        <w:rPr>
          <w:sz w:val="28"/>
          <w:szCs w:val="32"/>
        </w:rPr>
        <w:fldChar w:fldCharType="begin"/>
      </w:r>
      <w:r>
        <w:rPr>
          <w:sz w:val="28"/>
          <w:szCs w:val="32"/>
        </w:rPr>
        <w:instrText xml:space="preserve"> PAGEREF _Toc26145 \h </w:instrText>
      </w:r>
      <w:r>
        <w:rPr>
          <w:sz w:val="28"/>
          <w:szCs w:val="32"/>
        </w:rPr>
        <w:fldChar w:fldCharType="separate"/>
      </w:r>
      <w:r>
        <w:rPr>
          <w:sz w:val="28"/>
          <w:szCs w:val="32"/>
        </w:rPr>
        <w:t>51</w:t>
      </w:r>
      <w:r>
        <w:rPr>
          <w:sz w:val="28"/>
          <w:szCs w:val="32"/>
        </w:rPr>
        <w:fldChar w:fldCharType="end"/>
      </w:r>
      <w:r>
        <w:rPr>
          <w:rFonts w:hint="eastAsia" w:ascii="仿宋" w:hAnsi="仿宋" w:eastAsia="仿宋" w:cs="仿宋"/>
          <w:color w:val="auto"/>
          <w:sz w:val="28"/>
          <w:szCs w:val="220"/>
          <w:highlight w:val="none"/>
        </w:rPr>
        <w:fldChar w:fldCharType="end"/>
      </w:r>
    </w:p>
    <w:p>
      <w:pPr>
        <w:pStyle w:val="3"/>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sz w:val="44"/>
          <w:szCs w:val="56"/>
        </w:rPr>
      </w:pPr>
      <w:r>
        <w:rPr>
          <w:rFonts w:hint="eastAsia" w:ascii="仿宋" w:hAnsi="仿宋" w:eastAsia="仿宋" w:cs="仿宋"/>
          <w:color w:val="auto"/>
          <w:sz w:val="44"/>
          <w:szCs w:val="220"/>
          <w:highlight w:val="none"/>
        </w:rPr>
        <w:fldChar w:fldCharType="end"/>
      </w:r>
    </w:p>
    <w:p>
      <w:pPr>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3"/>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rPr>
        <w:sectPr>
          <w:footerReference r:id="rId8" w:type="first"/>
          <w:footerReference r:id="rId7" w:type="default"/>
          <w:pgSz w:w="11910" w:h="16840"/>
          <w:pgMar w:top="1040" w:right="1137" w:bottom="960" w:left="1080" w:header="763" w:footer="766" w:gutter="0"/>
          <w:pgBorders>
            <w:top w:val="none" w:sz="0" w:space="0"/>
            <w:left w:val="none" w:sz="0" w:space="0"/>
            <w:bottom w:val="none" w:sz="0" w:space="0"/>
            <w:right w:val="none" w:sz="0" w:space="0"/>
          </w:pgBorders>
          <w:pgNumType w:fmt="numberInDash"/>
          <w:cols w:space="720" w:num="1"/>
          <w:titlePg/>
          <w:docGrid w:linePitch="286" w:charSpace="0"/>
        </w:sectPr>
      </w:pPr>
    </w:p>
    <w:p>
      <w:pPr>
        <w:pStyle w:val="3"/>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44"/>
          <w:szCs w:val="44"/>
        </w:rPr>
      </w:pPr>
      <w:r>
        <w:rPr>
          <w:rFonts w:hint="eastAsia" w:ascii="仿宋" w:hAnsi="仿宋" w:eastAsia="仿宋" w:cs="仿宋"/>
        </w:rPr>
        <w:t xml:space="preserve"> </w:t>
      </w:r>
      <w:bookmarkStart w:id="0" w:name="_Toc5431"/>
      <w:r>
        <w:rPr>
          <w:rFonts w:hint="eastAsia" w:ascii="仿宋" w:hAnsi="仿宋" w:eastAsia="仿宋" w:cs="仿宋"/>
          <w:w w:val="95"/>
        </w:rPr>
        <w:t>第一章   招标公告</w:t>
      </w:r>
      <w:bookmarkEnd w:id="0"/>
    </w:p>
    <w:p>
      <w:pPr>
        <w:keepNext w:val="0"/>
        <w:keepLines w:val="0"/>
        <w:widowControl/>
        <w:suppressLineNumbers w:val="0"/>
        <w:spacing w:before="0" w:beforeAutospacing="0" w:after="0" w:afterAutospacing="0" w:line="480" w:lineRule="auto"/>
        <w:ind w:left="0" w:right="0"/>
        <w:jc w:val="center"/>
        <w:rPr>
          <w:rFonts w:hint="eastAsia" w:ascii="仿宋" w:hAnsi="仿宋" w:eastAsia="仿宋" w:cs="仿宋"/>
          <w:kern w:val="0"/>
          <w:sz w:val="22"/>
          <w:szCs w:val="21"/>
        </w:rPr>
      </w:pPr>
      <w:r>
        <w:rPr>
          <w:rFonts w:hint="eastAsia" w:ascii="仿宋" w:hAnsi="仿宋" w:eastAsia="仿宋" w:cs="仿宋"/>
          <w:b/>
          <w:bCs/>
          <w:kern w:val="0"/>
          <w:sz w:val="28"/>
          <w:szCs w:val="28"/>
        </w:rPr>
        <w:t>公告编号：</w:t>
      </w:r>
      <w:r>
        <w:rPr>
          <w:rFonts w:hint="eastAsia" w:ascii="仿宋" w:hAnsi="仿宋" w:eastAsia="仿宋" w:cs="仿宋"/>
          <w:b/>
          <w:bCs/>
          <w:kern w:val="0"/>
          <w:sz w:val="28"/>
          <w:szCs w:val="28"/>
          <w:lang w:val="en-US" w:eastAsia="zh-CN"/>
        </w:rPr>
        <w:t>JN(CS)2021-032</w:t>
      </w:r>
    </w:p>
    <w:p>
      <w:pPr>
        <w:keepNext w:val="0"/>
        <w:keepLines w:val="0"/>
        <w:pageBreakBefore w:val="0"/>
        <w:widowControl/>
        <w:kinsoku/>
        <w:wordWrap/>
        <w:overflowPunct/>
        <w:topLinePunct w:val="0"/>
        <w:autoSpaceDE/>
        <w:autoSpaceDN/>
        <w:bidi w:val="0"/>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受采购单位的委托，</w:t>
      </w:r>
      <w:r>
        <w:rPr>
          <w:rFonts w:hint="eastAsia" w:ascii="仿宋" w:hAnsi="仿宋" w:eastAsia="仿宋" w:cs="仿宋"/>
          <w:kern w:val="0"/>
          <w:sz w:val="28"/>
          <w:szCs w:val="28"/>
          <w:lang w:eastAsia="zh-CN"/>
        </w:rPr>
        <w:t>新疆景诺工程咨询有限公司</w:t>
      </w:r>
      <w:r>
        <w:rPr>
          <w:rFonts w:hint="eastAsia" w:ascii="仿宋" w:hAnsi="仿宋" w:eastAsia="仿宋" w:cs="仿宋"/>
          <w:kern w:val="0"/>
          <w:sz w:val="28"/>
          <w:szCs w:val="28"/>
        </w:rPr>
        <w:t>将对下列项目进行</w:t>
      </w:r>
      <w:r>
        <w:rPr>
          <w:rFonts w:hint="eastAsia" w:ascii="仿宋" w:hAnsi="仿宋" w:eastAsia="仿宋" w:cs="仿宋"/>
          <w:kern w:val="0"/>
          <w:sz w:val="28"/>
          <w:szCs w:val="28"/>
          <w:lang w:eastAsia="zh-CN"/>
        </w:rPr>
        <w:t>竞争性磋商</w:t>
      </w:r>
      <w:r>
        <w:rPr>
          <w:rFonts w:hint="eastAsia" w:ascii="仿宋" w:hAnsi="仿宋" w:eastAsia="仿宋" w:cs="仿宋"/>
          <w:kern w:val="0"/>
          <w:sz w:val="28"/>
          <w:szCs w:val="28"/>
        </w:rPr>
        <w:t>采购，现邀请合格供应商提交密封的投标文件。</w:t>
      </w:r>
    </w:p>
    <w:p>
      <w:pPr>
        <w:keepNext w:val="0"/>
        <w:keepLines w:val="0"/>
        <w:pageBreakBefore w:val="0"/>
        <w:widowControl/>
        <w:kinsoku/>
        <w:wordWrap/>
        <w:overflowPunct/>
        <w:topLinePunct w:val="0"/>
        <w:autoSpaceDE/>
        <w:autoSpaceDN/>
        <w:bidi w:val="0"/>
        <w:snapToGrid/>
        <w:spacing w:line="360" w:lineRule="auto"/>
        <w:textAlignment w:val="auto"/>
        <w:rPr>
          <w:rFonts w:hint="eastAsia" w:ascii="仿宋" w:hAnsi="仿宋" w:eastAsia="仿宋" w:cs="仿宋"/>
          <w:color w:val="auto"/>
          <w:kern w:val="0"/>
          <w:sz w:val="28"/>
          <w:szCs w:val="28"/>
          <w:highlight w:val="none"/>
        </w:rPr>
      </w:pPr>
      <w:r>
        <w:rPr>
          <w:rFonts w:hint="eastAsia" w:ascii="仿宋" w:hAnsi="仿宋" w:eastAsia="仿宋" w:cs="仿宋"/>
          <w:kern w:val="0"/>
          <w:sz w:val="28"/>
          <w:szCs w:val="28"/>
        </w:rPr>
        <w:t>1</w:t>
      </w:r>
      <w:r>
        <w:rPr>
          <w:rFonts w:hint="eastAsia" w:ascii="仿宋" w:hAnsi="仿宋" w:eastAsia="仿宋" w:cs="仿宋"/>
          <w:kern w:val="0"/>
          <w:sz w:val="28"/>
          <w:szCs w:val="28"/>
          <w:highlight w:val="none"/>
        </w:rPr>
        <w:t>、</w:t>
      </w:r>
      <w:r>
        <w:rPr>
          <w:rFonts w:hint="eastAsia" w:ascii="仿宋" w:hAnsi="仿宋" w:eastAsia="仿宋" w:cs="仿宋"/>
          <w:color w:val="auto"/>
          <w:kern w:val="0"/>
          <w:sz w:val="28"/>
          <w:szCs w:val="28"/>
          <w:highlight w:val="none"/>
        </w:rPr>
        <w:t>招标文件编号：</w:t>
      </w:r>
      <w:r>
        <w:rPr>
          <w:rFonts w:hint="eastAsia" w:ascii="仿宋" w:hAnsi="仿宋" w:eastAsia="仿宋" w:cs="仿宋"/>
          <w:color w:val="auto"/>
          <w:kern w:val="0"/>
          <w:sz w:val="28"/>
          <w:szCs w:val="28"/>
          <w:highlight w:val="none"/>
          <w:lang w:val="en-US" w:eastAsia="zh-CN"/>
        </w:rPr>
        <w:t>JN(CS)2021-032</w:t>
      </w:r>
    </w:p>
    <w:p>
      <w:pPr>
        <w:keepNext w:val="0"/>
        <w:keepLines w:val="0"/>
        <w:pageBreakBefore w:val="0"/>
        <w:widowControl/>
        <w:kinsoku/>
        <w:wordWrap/>
        <w:overflowPunct/>
        <w:topLinePunct w:val="0"/>
        <w:autoSpaceDE/>
        <w:autoSpaceDN/>
        <w:bidi w:val="0"/>
        <w:snapToGrid/>
        <w:spacing w:line="360" w:lineRule="auto"/>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2、采购项目</w:t>
      </w:r>
      <w:r>
        <w:rPr>
          <w:rFonts w:hint="eastAsia" w:ascii="仿宋" w:hAnsi="仿宋" w:eastAsia="仿宋" w:cs="仿宋"/>
          <w:color w:val="auto"/>
          <w:kern w:val="0"/>
          <w:sz w:val="28"/>
          <w:szCs w:val="28"/>
          <w:highlight w:val="none"/>
          <w:lang w:eastAsia="zh-CN"/>
        </w:rPr>
        <w:t>名称：</w:t>
      </w:r>
      <w:r>
        <w:rPr>
          <w:rFonts w:hint="eastAsia" w:ascii="仿宋" w:hAnsi="仿宋" w:eastAsia="仿宋" w:cs="仿宋"/>
          <w:color w:val="auto"/>
          <w:kern w:val="0"/>
          <w:sz w:val="28"/>
          <w:szCs w:val="28"/>
          <w:highlight w:val="none"/>
          <w:lang w:val="en-US" w:eastAsia="zh-CN"/>
        </w:rPr>
        <w:t>塔里木河流域巴音郭楞管理局2021年维修养护项目（巴音局水闸日常维修养护项目）</w:t>
      </w:r>
    </w:p>
    <w:p>
      <w:pPr>
        <w:keepNext w:val="0"/>
        <w:keepLines w:val="0"/>
        <w:pageBreakBefore w:val="0"/>
        <w:widowControl/>
        <w:kinsoku/>
        <w:wordWrap/>
        <w:overflowPunct/>
        <w:topLinePunct w:val="0"/>
        <w:autoSpaceDE/>
        <w:autoSpaceDN/>
        <w:bidi w:val="0"/>
        <w:snapToGrid/>
        <w:spacing w:line="360" w:lineRule="auto"/>
        <w:textAlignment w:val="auto"/>
        <w:rPr>
          <w:rFonts w:hint="eastAsia" w:ascii="仿宋" w:hAnsi="仿宋" w:eastAsia="仿宋" w:cs="仿宋"/>
          <w:color w:val="auto"/>
          <w:kern w:val="0"/>
          <w:sz w:val="28"/>
          <w:szCs w:val="28"/>
          <w:highlight w:val="none"/>
          <w:lang w:val="zh-CN" w:eastAsia="zh-CN"/>
        </w:rPr>
      </w:pPr>
      <w:r>
        <w:rPr>
          <w:rFonts w:hint="eastAsia" w:ascii="仿宋" w:hAnsi="仿宋" w:eastAsia="仿宋" w:cs="仿宋"/>
          <w:color w:val="auto"/>
          <w:kern w:val="0"/>
          <w:sz w:val="28"/>
          <w:szCs w:val="28"/>
          <w:highlight w:val="none"/>
        </w:rPr>
        <w:t>3、采购单位名称</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新疆维吾尔自治区塔里木河流域巴音郭楞管理局开都-孔雀河管理处</w:t>
      </w:r>
    </w:p>
    <w:p>
      <w:pPr>
        <w:keepNext w:val="0"/>
        <w:keepLines w:val="0"/>
        <w:pageBreakBefore w:val="0"/>
        <w:widowControl/>
        <w:kinsoku/>
        <w:wordWrap/>
        <w:overflowPunct/>
        <w:topLinePunct w:val="0"/>
        <w:autoSpaceDE/>
        <w:autoSpaceDN/>
        <w:bidi w:val="0"/>
        <w:snapToGrid/>
        <w:spacing w:line="360" w:lineRule="auto"/>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4、采购机构名称：新疆景诺工程咨询有限公司</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5、采购机构地址：</w:t>
      </w:r>
      <w:r>
        <w:rPr>
          <w:rFonts w:hint="eastAsia" w:ascii="仿宋" w:hAnsi="仿宋" w:eastAsia="仿宋" w:cs="仿宋"/>
          <w:color w:val="auto"/>
          <w:kern w:val="0"/>
          <w:sz w:val="28"/>
          <w:szCs w:val="28"/>
          <w:highlight w:val="none"/>
          <w:lang w:eastAsia="zh-CN"/>
        </w:rPr>
        <w:t>新疆库尔勒市人民东路</w:t>
      </w:r>
      <w:r>
        <w:rPr>
          <w:rFonts w:hint="eastAsia" w:ascii="仿宋" w:hAnsi="仿宋" w:eastAsia="仿宋" w:cs="仿宋"/>
          <w:color w:val="auto"/>
          <w:kern w:val="0"/>
          <w:sz w:val="28"/>
          <w:szCs w:val="28"/>
          <w:highlight w:val="none"/>
          <w:lang w:val="en-US" w:eastAsia="zh-CN"/>
        </w:rPr>
        <w:t>富士特大厦4楼。</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6、采购内容及预算</w:t>
      </w:r>
      <w:r>
        <w:rPr>
          <w:rFonts w:hint="eastAsia" w:ascii="仿宋" w:hAnsi="仿宋" w:eastAsia="仿宋" w:cs="仿宋"/>
          <w:color w:val="auto"/>
          <w:kern w:val="0"/>
          <w:sz w:val="28"/>
          <w:szCs w:val="28"/>
          <w:highlight w:val="none"/>
          <w:lang w:eastAsia="zh-CN"/>
        </w:rPr>
        <w:t>： 巴音郭楞管理局</w:t>
      </w:r>
      <w:r>
        <w:rPr>
          <w:rFonts w:hint="eastAsia" w:ascii="仿宋" w:hAnsi="仿宋" w:eastAsia="仿宋" w:cs="仿宋"/>
          <w:color w:val="auto"/>
          <w:kern w:val="0"/>
          <w:sz w:val="28"/>
          <w:szCs w:val="28"/>
          <w:highlight w:val="none"/>
          <w:lang w:val="en-US" w:eastAsia="zh-CN"/>
        </w:rPr>
        <w:t>106座（199套）</w:t>
      </w:r>
      <w:r>
        <w:rPr>
          <w:rFonts w:hint="eastAsia" w:ascii="仿宋" w:hAnsi="仿宋" w:eastAsia="仿宋" w:cs="仿宋"/>
          <w:color w:val="auto"/>
          <w:kern w:val="0"/>
          <w:sz w:val="28"/>
          <w:szCs w:val="28"/>
          <w:highlight w:val="none"/>
          <w:lang w:eastAsia="zh-CN"/>
        </w:rPr>
        <w:t>水闸日常维护保养、</w:t>
      </w:r>
      <w:r>
        <w:rPr>
          <w:rFonts w:hint="eastAsia" w:ascii="仿宋" w:hAnsi="仿宋" w:eastAsia="仿宋" w:cs="仿宋"/>
          <w:color w:val="auto"/>
          <w:kern w:val="0"/>
          <w:sz w:val="28"/>
          <w:szCs w:val="28"/>
          <w:highlight w:val="none"/>
          <w:lang w:val="en-US" w:eastAsia="zh-CN"/>
        </w:rPr>
        <w:t>67扇闸门</w:t>
      </w:r>
      <w:r>
        <w:rPr>
          <w:rFonts w:hint="eastAsia" w:ascii="仿宋" w:hAnsi="仿宋" w:eastAsia="仿宋" w:cs="仿宋"/>
          <w:color w:val="auto"/>
          <w:kern w:val="0"/>
          <w:sz w:val="28"/>
          <w:szCs w:val="28"/>
          <w:highlight w:val="none"/>
          <w:lang w:eastAsia="zh-CN"/>
        </w:rPr>
        <w:t>除锈喷漆及</w:t>
      </w:r>
      <w:r>
        <w:rPr>
          <w:rFonts w:hint="eastAsia" w:ascii="仿宋" w:hAnsi="仿宋" w:eastAsia="仿宋" w:cs="仿宋"/>
          <w:color w:val="auto"/>
          <w:kern w:val="0"/>
          <w:sz w:val="28"/>
          <w:szCs w:val="28"/>
          <w:highlight w:val="none"/>
          <w:lang w:val="en-US" w:eastAsia="zh-CN"/>
        </w:rPr>
        <w:t>闸门侧行走支撑制作安装等，预算110万元（含2万元备用金）；</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7、项目实施地点、供货时间、简要技术要求等：详见招标文件。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8、供应商资质基本要求：</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（1）符合《中华人民共和国政府采购法》第二十二条的相关规定；</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（2）在中华人民共和国境内依法注册的、具有独立承担民事责任的能力；</w:t>
      </w:r>
    </w:p>
    <w:p>
      <w:pPr>
        <w:keepNext w:val="0"/>
        <w:keepLines w:val="0"/>
        <w:pageBreakBefore w:val="0"/>
        <w:widowControl/>
        <w:kinsoku/>
        <w:wordWrap/>
        <w:overflowPunct/>
        <w:topLinePunct w:val="0"/>
        <w:autoSpaceDE/>
        <w:autoSpaceDN/>
        <w:bidi w:val="0"/>
        <w:adjustRightInd/>
        <w:snapToGrid/>
        <w:spacing w:line="360" w:lineRule="auto"/>
        <w:ind w:right="-241" w:rightChars="-115"/>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（3）</w:t>
      </w:r>
      <w:r>
        <w:rPr>
          <w:rFonts w:hint="eastAsia" w:ascii="仿宋" w:hAnsi="仿宋" w:eastAsia="仿宋" w:cs="仿宋"/>
          <w:kern w:val="0"/>
          <w:sz w:val="28"/>
          <w:szCs w:val="28"/>
          <w:lang w:val="en-US" w:eastAsia="zh-CN"/>
        </w:rPr>
        <w:t>有效的法人或者其他组织的营业执照等证明文件，自然人的身份证明；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（4）具有履行合同所必须的设备和专业技术能力；</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（5）具有良好的商业信誉和健全的财务会计制度；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（6）具有依法缴纳税收和社会保证资金的良好记录；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（7）近三年内，在经营活动中没有重大违法记录；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（8）经信用中</w:t>
      </w:r>
      <w:r>
        <w:rPr>
          <w:rFonts w:hint="eastAsia" w:ascii="仿宋" w:hAnsi="仿宋" w:eastAsia="仿宋" w:cs="仿宋"/>
          <w:color w:val="000000"/>
          <w:kern w:val="0"/>
          <w:sz w:val="28"/>
          <w:szCs w:val="28"/>
        </w:rPr>
        <w:t>国（</w:t>
      </w:r>
      <w:r>
        <w:rPr>
          <w:rFonts w:hint="eastAsia" w:ascii="仿宋" w:hAnsi="仿宋" w:eastAsia="仿宋" w:cs="仿宋"/>
          <w:color w:val="000000"/>
          <w:kern w:val="0"/>
          <w:sz w:val="28"/>
          <w:szCs w:val="28"/>
          <w:u w:val="single"/>
        </w:rPr>
        <w:t>www.creditchina.gov.cn）、中国政府采购网（www.ccgp.gov.cn）等渠道查询后</w:t>
      </w:r>
      <w:r>
        <w:rPr>
          <w:rFonts w:hint="eastAsia" w:ascii="仿宋" w:hAnsi="仿宋" w:eastAsia="仿宋" w:cs="仿宋"/>
          <w:color w:val="000000"/>
          <w:kern w:val="0"/>
          <w:sz w:val="28"/>
          <w:szCs w:val="28"/>
        </w:rPr>
        <w:t>，列</w:t>
      </w:r>
      <w:r>
        <w:rPr>
          <w:rFonts w:hint="eastAsia" w:ascii="仿宋" w:hAnsi="仿宋" w:eastAsia="仿宋" w:cs="仿宋"/>
          <w:kern w:val="0"/>
          <w:sz w:val="28"/>
          <w:szCs w:val="28"/>
        </w:rPr>
        <w:t>入失信被执行人、重大税收违法案件当事人名单、政府采购严重违法失信行为记录名单的，取消投标资格。（提供“信用中国”网站无任何不良记录的查询截图并加盖公章，时间为投标截止时间前20天内）；</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9</w:t>
      </w:r>
      <w:r>
        <w:rPr>
          <w:rFonts w:hint="eastAsia" w:ascii="仿宋" w:hAnsi="仿宋" w:eastAsia="仿宋" w:cs="仿宋"/>
          <w:kern w:val="0"/>
          <w:sz w:val="28"/>
          <w:szCs w:val="28"/>
        </w:rPr>
        <w:t>）缴纳投标保证金：</w:t>
      </w:r>
      <w:r>
        <w:rPr>
          <w:rFonts w:hint="eastAsia" w:ascii="仿宋" w:hAnsi="仿宋" w:eastAsia="仿宋" w:cs="仿宋"/>
          <w:kern w:val="0"/>
          <w:sz w:val="28"/>
          <w:szCs w:val="28"/>
          <w:lang w:val="en-US" w:eastAsia="zh-CN"/>
        </w:rPr>
        <w:t>贰万元整（人民币）；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rPr>
        <w:t>为充分保证完善的售后服务，本项目不接受联合体投标</w:t>
      </w:r>
      <w:r>
        <w:rPr>
          <w:rFonts w:hint="eastAsia" w:ascii="仿宋" w:hAnsi="仿宋" w:eastAsia="仿宋" w:cs="仿宋"/>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11</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投标供应商营业范围含有水工金属结构制作、安装、销售及维修或启闭机制作、安装销售及维修或工程服务及修缮服务等。</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9、投标人具备政府采购云平台备案及账号（投标时为政采云临时供应商，中标后需为政采云正式供应商）；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10、本项目为电子招投标项目不要求投标人达到现场开标，投标人需要使用CA加密设备进行投标，凡参加本项目供应商可通过新疆数字证书认证中心官网（https://www.xjca.com.cn/）或下载“新疆政务通”APP自行进行申领。如原有兵团或公共资源使用的CA，可与新疆CA联系，申请增加电子证书即可，无需重复申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11、</w:t>
      </w:r>
      <w:r>
        <w:rPr>
          <w:rFonts w:hint="eastAsia" w:ascii="仿宋" w:hAnsi="仿宋" w:eastAsia="仿宋" w:cs="仿宋"/>
          <w:kern w:val="0"/>
          <w:sz w:val="28"/>
          <w:szCs w:val="28"/>
        </w:rPr>
        <w:t>招标文件获取方式：</w:t>
      </w:r>
      <w:r>
        <w:rPr>
          <w:rFonts w:hint="eastAsia" w:ascii="仿宋" w:hAnsi="仿宋" w:eastAsia="仿宋" w:cs="仿宋"/>
          <w:kern w:val="0"/>
          <w:sz w:val="28"/>
          <w:szCs w:val="28"/>
          <w:lang w:eastAsia="zh-CN"/>
        </w:rPr>
        <w:t>供应商登陆政采云平台</w:t>
      </w:r>
      <w:r>
        <w:rPr>
          <w:rFonts w:hint="eastAsia" w:ascii="仿宋" w:hAnsi="仿宋" w:eastAsia="仿宋" w:cs="仿宋"/>
          <w:kern w:val="0"/>
          <w:sz w:val="28"/>
          <w:szCs w:val="28"/>
          <w:lang w:eastAsia="zh-CN"/>
        </w:rPr>
        <w:fldChar w:fldCharType="begin"/>
      </w:r>
      <w:r>
        <w:rPr>
          <w:rFonts w:hint="eastAsia" w:ascii="仿宋" w:hAnsi="仿宋" w:eastAsia="仿宋" w:cs="仿宋"/>
          <w:kern w:val="0"/>
          <w:sz w:val="28"/>
          <w:szCs w:val="28"/>
          <w:lang w:eastAsia="zh-CN"/>
        </w:rPr>
        <w:instrText xml:space="preserve"> HYPERLINK "https://www.zcygov.cn/" </w:instrText>
      </w:r>
      <w:r>
        <w:rPr>
          <w:rFonts w:hint="eastAsia" w:ascii="仿宋" w:hAnsi="仿宋" w:eastAsia="仿宋" w:cs="仿宋"/>
          <w:kern w:val="0"/>
          <w:sz w:val="28"/>
          <w:szCs w:val="28"/>
          <w:lang w:eastAsia="zh-CN"/>
        </w:rPr>
        <w:fldChar w:fldCharType="separate"/>
      </w:r>
      <w:r>
        <w:rPr>
          <w:rFonts w:hint="eastAsia" w:ascii="仿宋" w:hAnsi="仿宋" w:eastAsia="仿宋" w:cs="仿宋"/>
          <w:kern w:val="0"/>
          <w:sz w:val="28"/>
          <w:szCs w:val="28"/>
          <w:lang w:eastAsia="zh-CN"/>
        </w:rPr>
        <w:t>https://www.zcygov.cn/</w:t>
      </w:r>
      <w:r>
        <w:rPr>
          <w:rFonts w:hint="eastAsia" w:ascii="仿宋" w:hAnsi="仿宋" w:eastAsia="仿宋" w:cs="仿宋"/>
          <w:kern w:val="0"/>
          <w:sz w:val="28"/>
          <w:szCs w:val="28"/>
          <w:lang w:eastAsia="zh-CN"/>
        </w:rPr>
        <w:fldChar w:fldCharType="end"/>
      </w:r>
      <w:r>
        <w:rPr>
          <w:rFonts w:hint="eastAsia" w:ascii="仿宋" w:hAnsi="仿宋" w:eastAsia="仿宋" w:cs="仿宋"/>
          <w:kern w:val="0"/>
          <w:sz w:val="28"/>
          <w:szCs w:val="28"/>
          <w:lang w:eastAsia="zh-CN"/>
        </w:rPr>
        <w:t>在线申请获取采购文件（进入“项目采购”应用，在获取采购文件菜单中选择项目，申请获取采购文件）</w:t>
      </w:r>
      <w:r>
        <w:rPr>
          <w:rFonts w:hint="eastAsia" w:ascii="仿宋" w:hAnsi="仿宋" w:eastAsia="仿宋" w:cs="仿宋"/>
          <w:kern w:val="0"/>
          <w:sz w:val="28"/>
          <w:szCs w:val="28"/>
          <w:lang w:val="en-US" w:eastAsia="zh-CN"/>
        </w:rPr>
        <w:t>获取招标文件资料：</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（1）有效的法人或者其他组织的营业执照等证明文件副本扫面件，或自然人的身份证明原件；（营业范围含有水工金属结构制作、安装、销售及维修或启闭机制作、安装销售及维修或工程服务及修缮服务）</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lang w:val="en-US" w:eastAsia="zh-CN"/>
        </w:rPr>
      </w:pPr>
      <w:r>
        <w:rPr>
          <w:rFonts w:hint="eastAsia" w:ascii="仿宋" w:hAnsi="仿宋" w:eastAsia="仿宋" w:cs="仿宋"/>
          <w:kern w:val="0"/>
          <w:sz w:val="28"/>
          <w:szCs w:val="28"/>
          <w:lang w:val="en-US" w:eastAsia="zh-CN"/>
        </w:rPr>
        <w:t>（2）法人授权委托书原件扫描件或具有同等法律效力的证明材料及被授权人《居民身份证》</w:t>
      </w:r>
      <w:r>
        <w:rPr>
          <w:rFonts w:hint="eastAsia" w:ascii="仿宋" w:hAnsi="仿宋" w:eastAsia="仿宋" w:cs="仿宋"/>
          <w:color w:val="auto"/>
          <w:kern w:val="0"/>
          <w:sz w:val="28"/>
          <w:szCs w:val="28"/>
          <w:lang w:val="en-US" w:eastAsia="zh-CN"/>
        </w:rPr>
        <w:t>原件扫描件；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lang w:val="en-US" w:eastAsia="zh-CN"/>
        </w:rPr>
        <w:t>12</w:t>
      </w:r>
      <w:r>
        <w:rPr>
          <w:rFonts w:hint="eastAsia" w:ascii="仿宋" w:hAnsi="仿宋" w:eastAsia="仿宋" w:cs="仿宋"/>
          <w:color w:val="auto"/>
          <w:kern w:val="0"/>
          <w:sz w:val="28"/>
          <w:szCs w:val="28"/>
        </w:rPr>
        <w:t>、获取招标文件时</w:t>
      </w:r>
      <w:r>
        <w:rPr>
          <w:rFonts w:hint="eastAsia" w:ascii="仿宋" w:hAnsi="仿宋" w:eastAsia="仿宋" w:cs="仿宋"/>
          <w:color w:val="auto"/>
          <w:kern w:val="0"/>
          <w:sz w:val="28"/>
          <w:szCs w:val="28"/>
          <w:highlight w:val="none"/>
        </w:rPr>
        <w:t>间：</w:t>
      </w:r>
      <w:r>
        <w:rPr>
          <w:rFonts w:hint="eastAsia" w:ascii="仿宋" w:hAnsi="仿宋" w:eastAsia="仿宋" w:cs="仿宋"/>
          <w:color w:val="auto"/>
          <w:kern w:val="0"/>
          <w:sz w:val="28"/>
          <w:szCs w:val="28"/>
          <w:highlight w:val="none"/>
          <w:lang w:val="en-US" w:eastAsia="zh-CN"/>
        </w:rPr>
        <w:t>2021</w:t>
      </w:r>
      <w:r>
        <w:rPr>
          <w:rFonts w:hint="eastAsia" w:ascii="仿宋" w:hAnsi="仿宋" w:eastAsia="仿宋" w:cs="仿宋"/>
          <w:color w:val="auto"/>
          <w:kern w:val="0"/>
          <w:sz w:val="28"/>
          <w:szCs w:val="28"/>
          <w:highlight w:val="none"/>
          <w:lang w:eastAsia="zh-CN"/>
        </w:rPr>
        <w:t>年</w:t>
      </w:r>
      <w:r>
        <w:rPr>
          <w:rFonts w:hint="eastAsia" w:ascii="仿宋" w:hAnsi="仿宋" w:eastAsia="仿宋" w:cs="仿宋"/>
          <w:color w:val="auto"/>
          <w:kern w:val="0"/>
          <w:sz w:val="28"/>
          <w:szCs w:val="28"/>
          <w:highlight w:val="none"/>
          <w:lang w:val="en-US" w:eastAsia="zh-CN"/>
        </w:rPr>
        <w:t>06</w:t>
      </w:r>
      <w:r>
        <w:rPr>
          <w:rFonts w:hint="eastAsia" w:ascii="仿宋" w:hAnsi="仿宋" w:eastAsia="仿宋" w:cs="仿宋"/>
          <w:color w:val="auto"/>
          <w:kern w:val="0"/>
          <w:sz w:val="28"/>
          <w:szCs w:val="28"/>
          <w:highlight w:val="none"/>
          <w:lang w:eastAsia="zh-CN"/>
        </w:rPr>
        <w:t>月</w:t>
      </w:r>
      <w:r>
        <w:rPr>
          <w:rFonts w:hint="eastAsia" w:ascii="仿宋" w:hAnsi="仿宋" w:eastAsia="仿宋" w:cs="仿宋"/>
          <w:color w:val="auto"/>
          <w:kern w:val="0"/>
          <w:sz w:val="28"/>
          <w:szCs w:val="28"/>
          <w:highlight w:val="none"/>
          <w:lang w:val="en-US" w:eastAsia="zh-CN"/>
        </w:rPr>
        <w:t>08</w:t>
      </w:r>
      <w:r>
        <w:rPr>
          <w:rFonts w:hint="eastAsia" w:ascii="仿宋" w:hAnsi="仿宋" w:eastAsia="仿宋" w:cs="仿宋"/>
          <w:color w:val="auto"/>
          <w:kern w:val="0"/>
          <w:sz w:val="28"/>
          <w:szCs w:val="28"/>
          <w:highlight w:val="none"/>
          <w:lang w:eastAsia="zh-CN"/>
        </w:rPr>
        <w:t>日起至</w:t>
      </w:r>
      <w:r>
        <w:rPr>
          <w:rFonts w:hint="eastAsia" w:ascii="仿宋" w:hAnsi="仿宋" w:eastAsia="仿宋" w:cs="仿宋"/>
          <w:color w:val="auto"/>
          <w:kern w:val="0"/>
          <w:sz w:val="28"/>
          <w:szCs w:val="28"/>
          <w:highlight w:val="none"/>
          <w:lang w:val="en-US" w:eastAsia="zh-CN"/>
        </w:rPr>
        <w:t>2021</w:t>
      </w:r>
      <w:r>
        <w:rPr>
          <w:rFonts w:hint="eastAsia" w:ascii="仿宋" w:hAnsi="仿宋" w:eastAsia="仿宋" w:cs="仿宋"/>
          <w:color w:val="auto"/>
          <w:kern w:val="0"/>
          <w:sz w:val="28"/>
          <w:szCs w:val="28"/>
          <w:highlight w:val="none"/>
          <w:lang w:eastAsia="zh-CN"/>
        </w:rPr>
        <w:t>年</w:t>
      </w:r>
      <w:r>
        <w:rPr>
          <w:rFonts w:hint="eastAsia" w:ascii="仿宋" w:hAnsi="仿宋" w:eastAsia="仿宋" w:cs="仿宋"/>
          <w:color w:val="auto"/>
          <w:kern w:val="0"/>
          <w:sz w:val="28"/>
          <w:szCs w:val="28"/>
          <w:highlight w:val="none"/>
          <w:lang w:val="en-US" w:eastAsia="zh-CN"/>
        </w:rPr>
        <w:t>06</w:t>
      </w:r>
      <w:r>
        <w:rPr>
          <w:rFonts w:hint="eastAsia" w:ascii="仿宋" w:hAnsi="仿宋" w:eastAsia="仿宋" w:cs="仿宋"/>
          <w:color w:val="auto"/>
          <w:kern w:val="0"/>
          <w:sz w:val="28"/>
          <w:szCs w:val="28"/>
          <w:highlight w:val="none"/>
          <w:lang w:eastAsia="zh-CN"/>
        </w:rPr>
        <w:t>月</w:t>
      </w:r>
      <w:r>
        <w:rPr>
          <w:rFonts w:hint="eastAsia" w:ascii="仿宋" w:hAnsi="仿宋" w:eastAsia="仿宋" w:cs="仿宋"/>
          <w:color w:val="auto"/>
          <w:kern w:val="0"/>
          <w:sz w:val="28"/>
          <w:szCs w:val="28"/>
          <w:highlight w:val="none"/>
          <w:lang w:val="en-US" w:eastAsia="zh-CN"/>
        </w:rPr>
        <w:t>16</w:t>
      </w:r>
      <w:r>
        <w:rPr>
          <w:rFonts w:hint="eastAsia" w:ascii="仿宋" w:hAnsi="仿宋" w:eastAsia="仿宋" w:cs="仿宋"/>
          <w:color w:val="auto"/>
          <w:kern w:val="0"/>
          <w:sz w:val="28"/>
          <w:szCs w:val="28"/>
          <w:highlight w:val="none"/>
          <w:lang w:eastAsia="zh-CN"/>
        </w:rPr>
        <w:t>日止</w:t>
      </w:r>
      <w:r>
        <w:rPr>
          <w:rFonts w:hint="eastAsia" w:ascii="仿宋" w:hAnsi="仿宋" w:eastAsia="仿宋" w:cs="仿宋"/>
          <w:color w:val="auto"/>
          <w:kern w:val="0"/>
          <w:sz w:val="28"/>
          <w:szCs w:val="28"/>
          <w:highlight w:val="none"/>
        </w:rPr>
        <w:t>。</w:t>
      </w:r>
    </w:p>
    <w:p>
      <w:pPr>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、投标保证金缴纳及确认时间：</w:t>
      </w:r>
      <w:r>
        <w:rPr>
          <w:rFonts w:hint="eastAsia" w:ascii="仿宋" w:hAnsi="仿宋" w:eastAsia="仿宋" w:cs="仿宋"/>
          <w:color w:val="auto"/>
          <w:kern w:val="0"/>
          <w:sz w:val="30"/>
          <w:szCs w:val="30"/>
          <w:highlight w:val="none"/>
        </w:rPr>
        <w:t>投标保证金缴纳及确认时间：凡拟参加本次招标项目的供应商，必须在</w:t>
      </w:r>
      <w:r>
        <w:rPr>
          <w:rFonts w:hint="eastAsia" w:ascii="仿宋" w:hAnsi="仿宋" w:eastAsia="仿宋" w:cs="仿宋"/>
          <w:color w:val="auto"/>
          <w:kern w:val="0"/>
          <w:sz w:val="30"/>
          <w:szCs w:val="30"/>
          <w:highlight w:val="none"/>
          <w:lang w:eastAsia="zh-CN"/>
        </w:rPr>
        <w:t>2021</w:t>
      </w:r>
      <w:r>
        <w:rPr>
          <w:rFonts w:hint="eastAsia" w:ascii="仿宋" w:hAnsi="仿宋" w:eastAsia="仿宋" w:cs="仿宋"/>
          <w:color w:val="auto"/>
          <w:kern w:val="0"/>
          <w:sz w:val="30"/>
          <w:szCs w:val="30"/>
          <w:highlight w:val="none"/>
        </w:rPr>
        <w:t>年</w:t>
      </w:r>
      <w:r>
        <w:rPr>
          <w:rFonts w:hint="eastAsia" w:ascii="仿宋" w:hAnsi="仿宋" w:eastAsia="仿宋" w:cs="仿宋"/>
          <w:color w:val="auto"/>
          <w:kern w:val="0"/>
          <w:sz w:val="30"/>
          <w:szCs w:val="30"/>
          <w:highlight w:val="none"/>
          <w:lang w:val="en-US" w:eastAsia="zh-CN"/>
        </w:rPr>
        <w:t>06</w:t>
      </w:r>
      <w:r>
        <w:rPr>
          <w:rFonts w:hint="eastAsia" w:ascii="仿宋" w:hAnsi="仿宋" w:eastAsia="仿宋" w:cs="仿宋"/>
          <w:color w:val="auto"/>
          <w:kern w:val="0"/>
          <w:sz w:val="30"/>
          <w:szCs w:val="30"/>
          <w:highlight w:val="none"/>
        </w:rPr>
        <w:t>月</w:t>
      </w:r>
      <w:r>
        <w:rPr>
          <w:rFonts w:hint="eastAsia" w:ascii="仿宋" w:hAnsi="仿宋" w:eastAsia="仿宋" w:cs="仿宋"/>
          <w:color w:val="auto"/>
          <w:kern w:val="0"/>
          <w:sz w:val="30"/>
          <w:szCs w:val="30"/>
          <w:highlight w:val="none"/>
          <w:lang w:val="en-US" w:eastAsia="zh-CN"/>
        </w:rPr>
        <w:t>21</w:t>
      </w:r>
      <w:r>
        <w:rPr>
          <w:rFonts w:hint="eastAsia" w:ascii="仿宋" w:hAnsi="仿宋" w:eastAsia="仿宋" w:cs="仿宋"/>
          <w:color w:val="auto"/>
          <w:kern w:val="0"/>
          <w:sz w:val="30"/>
          <w:szCs w:val="30"/>
          <w:highlight w:val="none"/>
        </w:rPr>
        <w:t>日1</w:t>
      </w:r>
      <w:r>
        <w:rPr>
          <w:rFonts w:hint="eastAsia" w:ascii="仿宋" w:hAnsi="仿宋" w:eastAsia="仿宋" w:cs="仿宋"/>
          <w:color w:val="auto"/>
          <w:kern w:val="0"/>
          <w:sz w:val="30"/>
          <w:szCs w:val="30"/>
          <w:highlight w:val="none"/>
          <w:lang w:val="en-US" w:eastAsia="zh-CN"/>
        </w:rPr>
        <w:t>0</w:t>
      </w: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val="en-US" w:eastAsia="zh-CN"/>
        </w:rPr>
        <w:t>3</w:t>
      </w:r>
      <w:r>
        <w:rPr>
          <w:rFonts w:hint="eastAsia" w:ascii="仿宋" w:hAnsi="仿宋" w:eastAsia="仿宋" w:cs="仿宋"/>
          <w:color w:val="auto"/>
          <w:kern w:val="0"/>
          <w:sz w:val="30"/>
          <w:szCs w:val="30"/>
          <w:highlight w:val="none"/>
        </w:rPr>
        <w:t>0时（北京时间）前将投标保证金</w:t>
      </w:r>
      <w:r>
        <w:rPr>
          <w:rFonts w:hint="eastAsia" w:ascii="仿宋" w:hAnsi="仿宋" w:eastAsia="仿宋" w:cs="仿宋"/>
          <w:color w:val="auto"/>
          <w:kern w:val="0"/>
          <w:sz w:val="30"/>
          <w:szCs w:val="30"/>
          <w:highlight w:val="none"/>
          <w:lang w:eastAsia="zh-CN"/>
        </w:rPr>
        <w:t>确认到账</w:t>
      </w:r>
      <w:r>
        <w:rPr>
          <w:rFonts w:hint="eastAsia" w:ascii="仿宋" w:hAnsi="仿宋" w:eastAsia="仿宋" w:cs="仿宋"/>
          <w:color w:val="auto"/>
          <w:kern w:val="0"/>
          <w:sz w:val="30"/>
          <w:szCs w:val="30"/>
          <w:highlight w:val="none"/>
        </w:rPr>
        <w:t>指定账户，</w:t>
      </w:r>
      <w:r>
        <w:rPr>
          <w:rFonts w:hint="eastAsia" w:ascii="仿宋" w:hAnsi="仿宋" w:eastAsia="仿宋" w:cs="仿宋"/>
          <w:color w:val="auto"/>
          <w:kern w:val="0"/>
          <w:sz w:val="28"/>
          <w:szCs w:val="28"/>
          <w:highlight w:val="none"/>
        </w:rPr>
        <w:t>投标保证金汇款凭证上用途栏应注明本项目</w:t>
      </w:r>
      <w:r>
        <w:rPr>
          <w:rFonts w:hint="eastAsia" w:ascii="仿宋" w:hAnsi="仿宋" w:eastAsia="仿宋" w:cs="仿宋"/>
          <w:color w:val="auto"/>
          <w:kern w:val="0"/>
          <w:sz w:val="28"/>
          <w:szCs w:val="28"/>
          <w:highlight w:val="none"/>
          <w:lang w:eastAsia="zh-CN"/>
        </w:rPr>
        <w:t>名称</w:t>
      </w:r>
      <w:r>
        <w:rPr>
          <w:rFonts w:hint="eastAsia" w:ascii="仿宋" w:hAnsi="仿宋" w:eastAsia="仿宋" w:cs="仿宋"/>
          <w:color w:val="auto"/>
          <w:kern w:val="0"/>
          <w:sz w:val="28"/>
          <w:szCs w:val="28"/>
          <w:highlight w:val="none"/>
        </w:rPr>
        <w:t>[标准格式：“项目名称+投标保证金”（如字数超出规定字数可简写项目名称）]。否则，届时其投标将被拒绝。</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、开标（投标）日期：</w:t>
      </w:r>
      <w:r>
        <w:rPr>
          <w:rFonts w:hint="eastAsia" w:ascii="仿宋" w:hAnsi="仿宋" w:eastAsia="仿宋" w:cs="仿宋"/>
          <w:color w:val="auto"/>
          <w:kern w:val="0"/>
          <w:sz w:val="28"/>
          <w:szCs w:val="28"/>
          <w:lang w:eastAsia="zh-CN"/>
        </w:rPr>
        <w:t>2021年</w:t>
      </w:r>
      <w:r>
        <w:rPr>
          <w:rFonts w:hint="eastAsia" w:ascii="仿宋" w:hAnsi="仿宋" w:eastAsia="仿宋" w:cs="仿宋"/>
          <w:color w:val="auto"/>
          <w:kern w:val="0"/>
          <w:sz w:val="28"/>
          <w:szCs w:val="28"/>
          <w:lang w:val="en-US" w:eastAsia="zh-CN"/>
        </w:rPr>
        <w:t>06</w:t>
      </w:r>
      <w:r>
        <w:rPr>
          <w:rFonts w:hint="eastAsia" w:ascii="仿宋" w:hAnsi="仿宋" w:eastAsia="仿宋" w:cs="仿宋"/>
          <w:color w:val="auto"/>
          <w:kern w:val="0"/>
          <w:sz w:val="28"/>
          <w:szCs w:val="28"/>
          <w:lang w:eastAsia="zh-CN"/>
        </w:rPr>
        <w:t>月</w:t>
      </w:r>
      <w:r>
        <w:rPr>
          <w:rFonts w:hint="eastAsia" w:ascii="仿宋" w:hAnsi="仿宋" w:eastAsia="仿宋" w:cs="仿宋"/>
          <w:color w:val="auto"/>
          <w:kern w:val="0"/>
          <w:sz w:val="28"/>
          <w:szCs w:val="28"/>
          <w:lang w:val="en-US" w:eastAsia="zh-CN"/>
        </w:rPr>
        <w:t>21</w:t>
      </w:r>
      <w:r>
        <w:rPr>
          <w:rFonts w:hint="eastAsia" w:ascii="仿宋" w:hAnsi="仿宋" w:eastAsia="仿宋" w:cs="仿宋"/>
          <w:color w:val="auto"/>
          <w:kern w:val="0"/>
          <w:sz w:val="28"/>
          <w:szCs w:val="28"/>
          <w:lang w:eastAsia="zh-CN"/>
        </w:rPr>
        <w:t>日</w:t>
      </w:r>
      <w:r>
        <w:rPr>
          <w:rFonts w:hint="eastAsia" w:ascii="仿宋" w:hAnsi="仿宋" w:eastAsia="仿宋" w:cs="仿宋"/>
          <w:color w:val="auto"/>
          <w:kern w:val="0"/>
          <w:sz w:val="28"/>
          <w:szCs w:val="28"/>
          <w:lang w:val="en-US" w:eastAsia="zh-CN"/>
        </w:rPr>
        <w:t>上</w:t>
      </w:r>
      <w:r>
        <w:rPr>
          <w:rFonts w:hint="eastAsia" w:ascii="仿宋" w:hAnsi="仿宋" w:eastAsia="仿宋" w:cs="仿宋"/>
          <w:color w:val="auto"/>
          <w:kern w:val="0"/>
          <w:sz w:val="28"/>
          <w:szCs w:val="28"/>
          <w:lang w:eastAsia="zh-CN"/>
        </w:rPr>
        <w:t>午1</w:t>
      </w:r>
      <w:r>
        <w:rPr>
          <w:rFonts w:hint="eastAsia" w:ascii="仿宋" w:hAnsi="仿宋" w:eastAsia="仿宋" w:cs="仿宋"/>
          <w:color w:val="auto"/>
          <w:kern w:val="0"/>
          <w:sz w:val="28"/>
          <w:szCs w:val="28"/>
          <w:lang w:val="en-US" w:eastAsia="zh-CN"/>
        </w:rPr>
        <w:t>0</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lang w:eastAsia="zh-CN"/>
        </w:rPr>
        <w:t>0时</w:t>
      </w:r>
      <w:r>
        <w:rPr>
          <w:rFonts w:hint="eastAsia" w:ascii="仿宋" w:hAnsi="仿宋" w:eastAsia="仿宋" w:cs="仿宋"/>
          <w:color w:val="auto"/>
          <w:kern w:val="0"/>
          <w:sz w:val="28"/>
          <w:szCs w:val="28"/>
        </w:rPr>
        <w:t>（北京时间）。若逾时，届时其投标将被拒绝。</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、招标文件发售费用：</w:t>
      </w:r>
      <w:r>
        <w:rPr>
          <w:rFonts w:hint="eastAsia" w:ascii="仿宋" w:hAnsi="仿宋" w:eastAsia="仿宋" w:cs="仿宋"/>
          <w:kern w:val="0"/>
          <w:sz w:val="28"/>
          <w:szCs w:val="28"/>
          <w:lang w:eastAsia="zh-CN"/>
        </w:rPr>
        <w:t>免费</w:t>
      </w:r>
      <w:r>
        <w:rPr>
          <w:rFonts w:hint="eastAsia" w:ascii="仿宋" w:hAnsi="仿宋" w:eastAsia="仿宋" w:cs="仿宋"/>
          <w:kern w:val="0"/>
          <w:sz w:val="28"/>
          <w:szCs w:val="28"/>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、开标地点：</w:t>
      </w:r>
      <w:r>
        <w:rPr>
          <w:rFonts w:hint="eastAsia" w:ascii="仿宋" w:hAnsi="仿宋" w:eastAsia="仿宋" w:cs="仿宋"/>
          <w:kern w:val="0"/>
          <w:sz w:val="28"/>
          <w:szCs w:val="28"/>
          <w:lang w:eastAsia="zh-CN"/>
        </w:rPr>
        <w:t>新疆库尔勒市人民东路</w:t>
      </w:r>
      <w:r>
        <w:rPr>
          <w:rFonts w:hint="eastAsia" w:ascii="仿宋" w:hAnsi="仿宋" w:eastAsia="仿宋" w:cs="仿宋"/>
          <w:kern w:val="0"/>
          <w:sz w:val="28"/>
          <w:szCs w:val="28"/>
          <w:lang w:val="en-US" w:eastAsia="zh-CN"/>
        </w:rPr>
        <w:t>富士特大厦4楼。</w:t>
      </w:r>
    </w:p>
    <w:p>
      <w:pPr>
        <w:keepNext w:val="0"/>
        <w:keepLines w:val="0"/>
        <w:pageBreakBefore w:val="0"/>
        <w:widowControl/>
        <w:kinsoku/>
        <w:wordWrap/>
        <w:overflowPunct/>
        <w:topLinePunct w:val="0"/>
        <w:autoSpaceDE/>
        <w:autoSpaceDN/>
        <w:bidi w:val="0"/>
        <w:adjustRightInd/>
        <w:snapToGrid/>
        <w:spacing w:line="360" w:lineRule="auto"/>
        <w:ind w:left="560" w:hanging="560" w:hanging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17、采购单位联系人：张跃强   联系电</w:t>
      </w:r>
      <w:r>
        <w:rPr>
          <w:rFonts w:hint="eastAsia" w:ascii="仿宋" w:hAnsi="仿宋" w:eastAsia="仿宋" w:cs="仿宋"/>
          <w:kern w:val="0"/>
          <w:sz w:val="28"/>
          <w:szCs w:val="28"/>
          <w:highlight w:val="none"/>
        </w:rPr>
        <w:t>话:</w:t>
      </w:r>
      <w:r>
        <w:rPr>
          <w:rFonts w:hint="eastAsia" w:ascii="仿宋" w:hAnsi="仿宋" w:eastAsia="仿宋" w:cs="仿宋"/>
          <w:kern w:val="0"/>
          <w:sz w:val="28"/>
          <w:szCs w:val="28"/>
          <w:highlight w:val="none"/>
          <w:lang w:val="en-US" w:eastAsia="zh-CN"/>
        </w:rPr>
        <w:t>17709962787，</w:t>
      </w:r>
    </w:p>
    <w:p>
      <w:pPr>
        <w:keepNext w:val="0"/>
        <w:keepLines w:val="0"/>
        <w:pageBreakBefore w:val="0"/>
        <w:widowControl/>
        <w:kinsoku/>
        <w:wordWrap/>
        <w:overflowPunct/>
        <w:topLinePunct w:val="0"/>
        <w:autoSpaceDE/>
        <w:autoSpaceDN/>
        <w:bidi w:val="0"/>
        <w:adjustRightInd/>
        <w:snapToGrid/>
        <w:spacing w:line="360" w:lineRule="auto"/>
        <w:ind w:left="560" w:hanging="560" w:hangingChars="200"/>
        <w:jc w:val="left"/>
        <w:textAlignment w:val="auto"/>
        <w:rPr>
          <w:rFonts w:hint="eastAsia" w:ascii="仿宋" w:hAnsi="仿宋" w:eastAsia="仿宋" w:cs="仿宋"/>
          <w:sz w:val="24"/>
          <w:szCs w:val="24"/>
        </w:rPr>
      </w:pPr>
      <w:r>
        <w:rPr>
          <w:rFonts w:hint="eastAsia" w:ascii="仿宋" w:hAnsi="仿宋" w:eastAsia="仿宋" w:cs="仿宋"/>
          <w:kern w:val="0"/>
          <w:sz w:val="28"/>
          <w:szCs w:val="28"/>
        </w:rPr>
        <w:t>拷贝招标文件联系人：</w:t>
      </w:r>
      <w:r>
        <w:rPr>
          <w:rFonts w:hint="eastAsia" w:ascii="仿宋" w:hAnsi="仿宋" w:eastAsia="仿宋" w:cs="仿宋"/>
          <w:kern w:val="0"/>
          <w:sz w:val="28"/>
          <w:szCs w:val="28"/>
          <w:lang w:eastAsia="zh-CN"/>
        </w:rPr>
        <w:t>赵焕焕</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联系电话:</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eastAsia="zh-CN"/>
        </w:rPr>
        <w:t>15700978629，</w:t>
      </w:r>
    </w:p>
    <w:p>
      <w:pPr>
        <w:pStyle w:val="2"/>
        <w:rPr>
          <w:rFonts w:hint="eastAsia" w:ascii="仿宋" w:hAnsi="仿宋" w:eastAsia="仿宋" w:cs="仿宋"/>
          <w:sz w:val="24"/>
          <w:szCs w:val="24"/>
        </w:rPr>
      </w:pPr>
    </w:p>
    <w:p>
      <w:pPr>
        <w:pStyle w:val="3"/>
        <w:keepNext/>
        <w:keepLines/>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8"/>
          <w:szCs w:val="40"/>
        </w:rPr>
      </w:pPr>
      <w:bookmarkStart w:id="1" w:name="_Toc22145"/>
      <w:r>
        <w:rPr>
          <w:rFonts w:hint="eastAsia" w:ascii="仿宋" w:hAnsi="仿宋" w:eastAsia="仿宋" w:cs="仿宋"/>
          <w:w w:val="95"/>
          <w:sz w:val="28"/>
          <w:szCs w:val="40"/>
        </w:rPr>
        <w:t>第</w:t>
      </w:r>
      <w:bookmarkStart w:id="2" w:name="（一）供应商须知前附表"/>
      <w:bookmarkEnd w:id="2"/>
      <w:bookmarkStart w:id="3" w:name="bookmark2"/>
      <w:bookmarkEnd w:id="3"/>
      <w:r>
        <w:rPr>
          <w:rFonts w:hint="eastAsia" w:ascii="仿宋" w:hAnsi="仿宋" w:eastAsia="仿宋" w:cs="仿宋"/>
          <w:w w:val="95"/>
          <w:sz w:val="28"/>
          <w:szCs w:val="40"/>
        </w:rPr>
        <w:t>二章</w:t>
      </w:r>
      <w:r>
        <w:rPr>
          <w:rFonts w:hint="eastAsia" w:ascii="仿宋" w:hAnsi="仿宋" w:eastAsia="仿宋" w:cs="仿宋"/>
          <w:w w:val="95"/>
          <w:sz w:val="28"/>
          <w:szCs w:val="40"/>
        </w:rPr>
        <w:tab/>
      </w:r>
      <w:r>
        <w:rPr>
          <w:rFonts w:hint="eastAsia" w:ascii="仿宋" w:hAnsi="仿宋" w:eastAsia="仿宋" w:cs="仿宋"/>
          <w:sz w:val="28"/>
          <w:szCs w:val="40"/>
        </w:rPr>
        <w:t>供应商须知及前附表</w:t>
      </w:r>
      <w:bookmarkEnd w:id="1"/>
    </w:p>
    <w:p>
      <w:pPr>
        <w:pStyle w:val="4"/>
        <w:keepNext/>
        <w:keepLines/>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8"/>
          <w:szCs w:val="28"/>
        </w:rPr>
      </w:pPr>
      <w:bookmarkStart w:id="4" w:name="_Toc26178"/>
      <w:r>
        <w:rPr>
          <w:rFonts w:hint="eastAsia" w:ascii="仿宋" w:hAnsi="仿宋" w:eastAsia="仿宋" w:cs="仿宋"/>
          <w:sz w:val="28"/>
          <w:szCs w:val="28"/>
        </w:rPr>
        <w:t>（一）供应商须知前附表</w:t>
      </w:r>
      <w:bookmarkEnd w:id="4"/>
    </w:p>
    <w:tbl>
      <w:tblPr>
        <w:tblStyle w:val="15"/>
        <w:tblW w:w="11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10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exact"/>
          <w:jc w:val="center"/>
        </w:trPr>
        <w:tc>
          <w:tcPr>
            <w:tcW w:w="672" w:type="dxa"/>
            <w:vAlign w:val="center"/>
          </w:tcPr>
          <w:p>
            <w:pPr>
              <w:pStyle w:val="20"/>
              <w:kinsoku w:val="0"/>
              <w:overflowPunct w:val="0"/>
              <w:spacing w:before="74"/>
              <w:ind w:left="130"/>
              <w:jc w:val="both"/>
              <w:rPr>
                <w:rFonts w:hint="eastAsia" w:ascii="仿宋" w:hAnsi="仿宋" w:eastAsia="仿宋" w:cs="仿宋"/>
              </w:rPr>
            </w:pPr>
            <w:r>
              <w:rPr>
                <w:rFonts w:hint="eastAsia" w:ascii="仿宋" w:hAnsi="仿宋" w:eastAsia="仿宋" w:cs="仿宋"/>
              </w:rPr>
              <w:t>序号</w:t>
            </w:r>
          </w:p>
        </w:tc>
        <w:tc>
          <w:tcPr>
            <w:tcW w:w="10437" w:type="dxa"/>
            <w:tcBorders>
              <w:bottom w:val="single" w:color="auto" w:sz="4" w:space="0"/>
            </w:tcBorders>
            <w:vAlign w:val="center"/>
          </w:tcPr>
          <w:p>
            <w:pPr>
              <w:pStyle w:val="20"/>
              <w:tabs>
                <w:tab w:val="left" w:pos="627"/>
                <w:tab w:val="left" w:pos="1227"/>
                <w:tab w:val="left" w:pos="1832"/>
              </w:tabs>
              <w:kinsoku w:val="0"/>
              <w:overflowPunct w:val="0"/>
              <w:spacing w:before="74"/>
              <w:ind w:left="25"/>
              <w:jc w:val="center"/>
              <w:rPr>
                <w:rFonts w:hint="eastAsia" w:ascii="仿宋" w:hAnsi="仿宋" w:eastAsia="仿宋" w:cs="仿宋"/>
              </w:rPr>
            </w:pPr>
            <w:r>
              <w:rPr>
                <w:rFonts w:hint="eastAsia" w:ascii="仿宋" w:hAnsi="仿宋" w:eastAsia="仿宋" w:cs="仿宋"/>
                <w:w w:val="95"/>
              </w:rPr>
              <w:t>内</w:t>
            </w:r>
            <w:r>
              <w:rPr>
                <w:rFonts w:hint="eastAsia" w:ascii="仿宋" w:hAnsi="仿宋" w:eastAsia="仿宋" w:cs="仿宋"/>
                <w:w w:val="95"/>
              </w:rPr>
              <w:tab/>
            </w:r>
            <w:r>
              <w:rPr>
                <w:rFonts w:hint="eastAsia" w:ascii="仿宋" w:hAnsi="仿宋" w:eastAsia="仿宋" w:cs="仿宋"/>
                <w:w w:val="95"/>
              </w:rPr>
              <w:t>容</w:t>
            </w:r>
            <w:r>
              <w:rPr>
                <w:rFonts w:hint="eastAsia" w:ascii="仿宋" w:hAnsi="仿宋" w:eastAsia="仿宋" w:cs="仿宋"/>
                <w:w w:val="95"/>
              </w:rPr>
              <w:tab/>
            </w:r>
            <w:r>
              <w:rPr>
                <w:rFonts w:hint="eastAsia" w:ascii="仿宋" w:hAnsi="仿宋" w:eastAsia="仿宋" w:cs="仿宋"/>
                <w:w w:val="95"/>
              </w:rPr>
              <w:t>规</w:t>
            </w:r>
            <w:r>
              <w:rPr>
                <w:rFonts w:hint="eastAsia" w:ascii="仿宋" w:hAnsi="仿宋" w:eastAsia="仿宋" w:cs="仿宋"/>
                <w:w w:val="95"/>
              </w:rPr>
              <w:tab/>
            </w:r>
            <w:r>
              <w:rPr>
                <w:rFonts w:hint="eastAsia" w:ascii="仿宋" w:hAnsi="仿宋" w:eastAsia="仿宋" w:cs="仿宋"/>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exact"/>
          <w:jc w:val="center"/>
        </w:trPr>
        <w:tc>
          <w:tcPr>
            <w:tcW w:w="672" w:type="dxa"/>
            <w:vMerge w:val="restart"/>
            <w:vAlign w:val="center"/>
          </w:tcPr>
          <w:p>
            <w:pPr>
              <w:pStyle w:val="20"/>
              <w:kinsoku w:val="0"/>
              <w:overflowPunct w:val="0"/>
              <w:ind w:right="14"/>
              <w:jc w:val="center"/>
              <w:rPr>
                <w:rFonts w:hint="eastAsia" w:ascii="仿宋" w:hAnsi="仿宋" w:eastAsia="仿宋" w:cs="仿宋"/>
              </w:rPr>
            </w:pPr>
            <w:r>
              <w:rPr>
                <w:rFonts w:hint="eastAsia" w:ascii="仿宋" w:hAnsi="仿宋" w:eastAsia="仿宋" w:cs="仿宋"/>
              </w:rPr>
              <w:t>1</w:t>
            </w:r>
          </w:p>
        </w:tc>
        <w:tc>
          <w:tcPr>
            <w:tcW w:w="10437" w:type="dxa"/>
            <w:tcBorders>
              <w:bottom w:val="nil"/>
            </w:tcBorders>
            <w:vAlign w:val="center"/>
          </w:tcPr>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采 购 人：新疆维吾尔自治区塔里木河流域巴音郭楞管理局开都-孔雀河管理处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exact"/>
          <w:jc w:val="center"/>
        </w:trPr>
        <w:tc>
          <w:tcPr>
            <w:tcW w:w="672" w:type="dxa"/>
            <w:vMerge w:val="continue"/>
            <w:vAlign w:val="center"/>
          </w:tcPr>
          <w:p>
            <w:pPr>
              <w:pStyle w:val="20"/>
              <w:kinsoku w:val="0"/>
              <w:overflowPunct w:val="0"/>
              <w:spacing w:before="57"/>
              <w:ind w:left="102"/>
              <w:jc w:val="center"/>
              <w:rPr>
                <w:rFonts w:hint="eastAsia" w:ascii="仿宋" w:hAnsi="仿宋" w:eastAsia="仿宋" w:cs="仿宋"/>
              </w:rPr>
            </w:pPr>
          </w:p>
        </w:tc>
        <w:tc>
          <w:tcPr>
            <w:tcW w:w="10437" w:type="dxa"/>
            <w:tcBorders>
              <w:top w:val="nil"/>
              <w:bottom w:val="nil"/>
            </w:tcBorders>
            <w:vAlign w:val="center"/>
          </w:tcPr>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联 系 人：张跃强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exact"/>
          <w:jc w:val="center"/>
        </w:trPr>
        <w:tc>
          <w:tcPr>
            <w:tcW w:w="672" w:type="dxa"/>
            <w:vMerge w:val="continue"/>
            <w:vAlign w:val="center"/>
          </w:tcPr>
          <w:p>
            <w:pPr>
              <w:pStyle w:val="20"/>
              <w:tabs>
                <w:tab w:val="left" w:pos="824"/>
              </w:tabs>
              <w:kinsoku w:val="0"/>
              <w:overflowPunct w:val="0"/>
              <w:spacing w:before="16" w:line="320" w:lineRule="auto"/>
              <w:ind w:left="102" w:right="4066"/>
              <w:jc w:val="center"/>
              <w:rPr>
                <w:rFonts w:hint="eastAsia" w:ascii="仿宋" w:hAnsi="仿宋" w:eastAsia="仿宋" w:cs="仿宋"/>
              </w:rPr>
            </w:pPr>
          </w:p>
        </w:tc>
        <w:tc>
          <w:tcPr>
            <w:tcW w:w="10437" w:type="dxa"/>
            <w:tcBorders>
              <w:top w:val="nil"/>
              <w:bottom w:val="single" w:color="auto" w:sz="4" w:space="0"/>
            </w:tcBorders>
            <w:vAlign w:val="center"/>
          </w:tcPr>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联系电话：17709962787</w:t>
            </w:r>
          </w:p>
          <w:p>
            <w:pPr>
              <w:keepNext w:val="0"/>
              <w:keepLines w:val="0"/>
              <w:widowControl/>
              <w:suppressLineNumbers w:val="0"/>
              <w:jc w:val="left"/>
              <w:rPr>
                <w:rFonts w:hint="eastAsia" w:ascii="仿宋" w:hAnsi="仿宋" w:eastAsia="仿宋" w:cs="仿宋"/>
                <w:kern w:val="0"/>
                <w:sz w:val="24"/>
                <w:szCs w:val="24"/>
                <w:lang w:val="en-US" w:eastAsia="zh-CN" w:bidi="ar-SA"/>
              </w:rPr>
            </w:pPr>
          </w:p>
          <w:p>
            <w:pPr>
              <w:keepNext w:val="0"/>
              <w:keepLines w:val="0"/>
              <w:widowControl/>
              <w:suppressLineNumbers w:val="0"/>
              <w:jc w:val="left"/>
              <w:rPr>
                <w:rFonts w:hint="eastAsia" w:ascii="仿宋" w:hAnsi="仿宋" w:eastAsia="仿宋" w:cs="仿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exact"/>
          <w:jc w:val="center"/>
        </w:trPr>
        <w:tc>
          <w:tcPr>
            <w:tcW w:w="672" w:type="dxa"/>
            <w:vMerge w:val="restart"/>
            <w:vAlign w:val="center"/>
          </w:tcPr>
          <w:p>
            <w:pPr>
              <w:pStyle w:val="20"/>
              <w:kinsoku w:val="0"/>
              <w:overflowPunct w:val="0"/>
              <w:ind w:right="14"/>
              <w:jc w:val="center"/>
              <w:rPr>
                <w:rFonts w:hint="eastAsia" w:ascii="仿宋" w:hAnsi="仿宋" w:eastAsia="仿宋" w:cs="仿宋"/>
              </w:rPr>
            </w:pPr>
            <w:r>
              <w:rPr>
                <w:rFonts w:hint="eastAsia" w:ascii="仿宋" w:hAnsi="仿宋" w:eastAsia="仿宋" w:cs="仿宋"/>
              </w:rPr>
              <w:t>2</w:t>
            </w:r>
          </w:p>
        </w:tc>
        <w:tc>
          <w:tcPr>
            <w:tcW w:w="10437" w:type="dxa"/>
            <w:tcBorders>
              <w:bottom w:val="nil"/>
            </w:tcBorders>
            <w:vAlign w:val="center"/>
          </w:tcPr>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代理机构：新疆景诺工程咨询有限公司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exact"/>
          <w:jc w:val="center"/>
        </w:trPr>
        <w:tc>
          <w:tcPr>
            <w:tcW w:w="672" w:type="dxa"/>
            <w:vMerge w:val="continue"/>
            <w:vAlign w:val="center"/>
          </w:tcPr>
          <w:p>
            <w:pPr>
              <w:pStyle w:val="20"/>
              <w:kinsoku w:val="0"/>
              <w:overflowPunct w:val="0"/>
              <w:spacing w:before="56"/>
              <w:ind w:left="102"/>
              <w:jc w:val="center"/>
              <w:rPr>
                <w:rFonts w:hint="eastAsia" w:ascii="仿宋" w:hAnsi="仿宋" w:eastAsia="仿宋" w:cs="仿宋"/>
              </w:rPr>
            </w:pPr>
          </w:p>
        </w:tc>
        <w:tc>
          <w:tcPr>
            <w:tcW w:w="10437" w:type="dxa"/>
            <w:tcBorders>
              <w:top w:val="nil"/>
              <w:bottom w:val="nil"/>
            </w:tcBorders>
            <w:vAlign w:val="center"/>
          </w:tcPr>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地  </w:t>
            </w:r>
            <w:r>
              <w:rPr>
                <w:rFonts w:hint="eastAsia" w:ascii="仿宋" w:hAnsi="仿宋" w:eastAsia="仿宋" w:cs="仿宋"/>
                <w:kern w:val="0"/>
                <w:sz w:val="24"/>
                <w:szCs w:val="24"/>
                <w:lang w:val="en-US" w:eastAsia="zh-CN" w:bidi="ar-SA"/>
              </w:rPr>
              <w:tab/>
            </w:r>
            <w:r>
              <w:rPr>
                <w:rFonts w:hint="eastAsia" w:ascii="仿宋" w:hAnsi="仿宋" w:eastAsia="仿宋" w:cs="仿宋"/>
                <w:kern w:val="0"/>
                <w:sz w:val="24"/>
                <w:szCs w:val="24"/>
                <w:lang w:val="en-US" w:eastAsia="zh-CN" w:bidi="ar-SA"/>
              </w:rPr>
              <w:t>址：库尔勒市人民东路富士特大厦4楼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exact"/>
          <w:jc w:val="center"/>
        </w:trPr>
        <w:tc>
          <w:tcPr>
            <w:tcW w:w="672" w:type="dxa"/>
            <w:vMerge w:val="continue"/>
            <w:vAlign w:val="center"/>
          </w:tcPr>
          <w:p>
            <w:pPr>
              <w:pStyle w:val="20"/>
              <w:tabs>
                <w:tab w:val="left" w:pos="824"/>
              </w:tabs>
              <w:kinsoku w:val="0"/>
              <w:overflowPunct w:val="0"/>
              <w:spacing w:before="16"/>
              <w:ind w:left="102"/>
              <w:jc w:val="center"/>
              <w:rPr>
                <w:rFonts w:hint="eastAsia" w:ascii="仿宋" w:hAnsi="仿宋" w:eastAsia="仿宋" w:cs="仿宋"/>
              </w:rPr>
            </w:pPr>
          </w:p>
        </w:tc>
        <w:tc>
          <w:tcPr>
            <w:tcW w:w="10437" w:type="dxa"/>
            <w:tcBorders>
              <w:top w:val="nil"/>
              <w:bottom w:val="nil"/>
            </w:tcBorders>
            <w:vAlign w:val="center"/>
          </w:tcPr>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联 系 人：赵焕焕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exact"/>
          <w:jc w:val="center"/>
        </w:trPr>
        <w:tc>
          <w:tcPr>
            <w:tcW w:w="672" w:type="dxa"/>
            <w:vMerge w:val="continue"/>
            <w:vAlign w:val="center"/>
          </w:tcPr>
          <w:p>
            <w:pPr>
              <w:pStyle w:val="20"/>
              <w:kinsoku w:val="0"/>
              <w:overflowPunct w:val="0"/>
              <w:spacing w:before="16"/>
              <w:ind w:left="102"/>
              <w:jc w:val="center"/>
              <w:rPr>
                <w:rFonts w:hint="eastAsia" w:ascii="仿宋" w:hAnsi="仿宋" w:eastAsia="仿宋" w:cs="仿宋"/>
              </w:rPr>
            </w:pPr>
          </w:p>
        </w:tc>
        <w:tc>
          <w:tcPr>
            <w:tcW w:w="10437" w:type="dxa"/>
            <w:tcBorders>
              <w:top w:val="nil"/>
              <w:bottom w:val="single" w:color="auto" w:sz="4" w:space="0"/>
            </w:tcBorders>
            <w:vAlign w:val="center"/>
          </w:tcPr>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联系电话：15700978629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exact"/>
          <w:jc w:val="center"/>
        </w:trPr>
        <w:tc>
          <w:tcPr>
            <w:tcW w:w="672" w:type="dxa"/>
            <w:vMerge w:val="restart"/>
            <w:vAlign w:val="center"/>
          </w:tcPr>
          <w:p>
            <w:pPr>
              <w:pStyle w:val="20"/>
              <w:kinsoku w:val="0"/>
              <w:overflowPunct w:val="0"/>
              <w:ind w:right="14"/>
              <w:jc w:val="center"/>
              <w:rPr>
                <w:rFonts w:hint="eastAsia" w:ascii="仿宋" w:hAnsi="仿宋" w:eastAsia="仿宋" w:cs="仿宋"/>
              </w:rPr>
            </w:pPr>
            <w:r>
              <w:rPr>
                <w:rFonts w:hint="eastAsia" w:ascii="仿宋" w:hAnsi="仿宋" w:eastAsia="仿宋" w:cs="仿宋"/>
              </w:rPr>
              <w:t>3</w:t>
            </w:r>
          </w:p>
        </w:tc>
        <w:tc>
          <w:tcPr>
            <w:tcW w:w="10437" w:type="dxa"/>
            <w:tcBorders>
              <w:bottom w:val="nil"/>
            </w:tcBorders>
            <w:vAlign w:val="center"/>
          </w:tcPr>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exact"/>
          <w:jc w:val="center"/>
        </w:trPr>
        <w:tc>
          <w:tcPr>
            <w:tcW w:w="672" w:type="dxa"/>
            <w:vMerge w:val="continue"/>
            <w:vAlign w:val="center"/>
          </w:tcPr>
          <w:p>
            <w:pPr>
              <w:pStyle w:val="20"/>
              <w:kinsoku w:val="0"/>
              <w:overflowPunct w:val="0"/>
              <w:spacing w:before="56"/>
              <w:ind w:left="102"/>
              <w:jc w:val="center"/>
              <w:rPr>
                <w:rFonts w:hint="eastAsia" w:ascii="仿宋" w:hAnsi="仿宋" w:eastAsia="仿宋" w:cs="仿宋"/>
              </w:rPr>
            </w:pPr>
          </w:p>
        </w:tc>
        <w:tc>
          <w:tcPr>
            <w:tcW w:w="10437" w:type="dxa"/>
            <w:tcBorders>
              <w:top w:val="nil"/>
              <w:bottom w:val="nil"/>
            </w:tcBorders>
            <w:vAlign w:val="center"/>
          </w:tcPr>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1、项目名称：塔里木河流域巴音郭楞管理局2021年维修养护项目（巴音局水闸日常维修养护项目）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exact"/>
          <w:jc w:val="center"/>
        </w:trPr>
        <w:tc>
          <w:tcPr>
            <w:tcW w:w="672" w:type="dxa"/>
            <w:vMerge w:val="continue"/>
            <w:vAlign w:val="center"/>
          </w:tcPr>
          <w:p>
            <w:pPr>
              <w:pStyle w:val="20"/>
              <w:kinsoku w:val="0"/>
              <w:overflowPunct w:val="0"/>
              <w:spacing w:before="16" w:line="320" w:lineRule="auto"/>
              <w:ind w:left="102" w:right="77"/>
              <w:jc w:val="center"/>
              <w:rPr>
                <w:rFonts w:hint="eastAsia" w:ascii="仿宋" w:hAnsi="仿宋" w:eastAsia="仿宋" w:cs="仿宋"/>
              </w:rPr>
            </w:pPr>
          </w:p>
        </w:tc>
        <w:tc>
          <w:tcPr>
            <w:tcW w:w="10437" w:type="dxa"/>
            <w:tcBorders>
              <w:top w:val="nil"/>
            </w:tcBorders>
            <w:vAlign w:val="center"/>
          </w:tcPr>
          <w:p>
            <w:pPr>
              <w:keepNext w:val="0"/>
              <w:keepLines w:val="0"/>
              <w:widowControl/>
              <w:numPr>
                <w:ilvl w:val="0"/>
                <w:numId w:val="1"/>
              </w:numPr>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磋商文件编号：JN(CS)2021-032</w:t>
            </w:r>
          </w:p>
          <w:p>
            <w:pPr>
              <w:pStyle w:val="9"/>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3、合同编号：</w:t>
            </w:r>
            <w:r>
              <w:rPr>
                <w:rFonts w:hint="eastAsia" w:hAnsi="仿宋" w:cs="仿宋"/>
                <w:color w:val="auto"/>
                <w:highlight w:val="none"/>
                <w:lang w:val="en-US" w:eastAsia="zh-CN"/>
              </w:rPr>
              <w:t>TGJBYJKKC-2021WXYH0013</w:t>
            </w:r>
          </w:p>
          <w:p>
            <w:pPr>
              <w:pStyle w:val="6"/>
              <w:rPr>
                <w:rFonts w:hint="eastAsia" w:ascii="仿宋" w:hAnsi="仿宋" w:eastAsia="仿宋" w:cs="仿宋"/>
                <w:lang w:val="en-US" w:eastAsia="zh-CN"/>
              </w:rPr>
            </w:pPr>
            <w:r>
              <w:rPr>
                <w:rFonts w:hint="eastAsia" w:ascii="仿宋" w:hAnsi="仿宋" w:eastAsia="仿宋" w:cs="仿宋"/>
                <w:kern w:val="0"/>
                <w:sz w:val="24"/>
                <w:szCs w:val="24"/>
                <w:lang w:val="en-US" w:eastAsia="zh-CN" w:bidi="ar-SA"/>
              </w:rPr>
              <w:t>4、评标办法：综合评分法，采用两轮报价，以第二轮报价为最终报价。</w:t>
            </w:r>
          </w:p>
          <w:p>
            <w:pPr>
              <w:keepNext w:val="0"/>
              <w:keepLines w:val="0"/>
              <w:widowControl/>
              <w:suppressLineNumbers w:val="0"/>
              <w:jc w:val="left"/>
              <w:rPr>
                <w:rFonts w:hint="eastAsia" w:ascii="仿宋" w:hAnsi="仿宋" w:eastAsia="仿宋" w:cs="仿宋"/>
                <w:kern w:val="0"/>
                <w:sz w:val="24"/>
                <w:szCs w:val="24"/>
                <w:lang w:val="en-US" w:eastAsia="zh-CN" w:bidi="ar-SA"/>
              </w:rPr>
            </w:pPr>
          </w:p>
          <w:p>
            <w:pPr>
              <w:keepNext w:val="0"/>
              <w:keepLines w:val="0"/>
              <w:widowControl/>
              <w:suppressLineNumbers w:val="0"/>
              <w:jc w:val="left"/>
              <w:rPr>
                <w:rFonts w:hint="eastAsia" w:ascii="仿宋" w:hAnsi="仿宋" w:eastAsia="仿宋" w:cs="仿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2" w:type="dxa"/>
            <w:vAlign w:val="center"/>
          </w:tcPr>
          <w:p>
            <w:pPr>
              <w:pStyle w:val="20"/>
              <w:kinsoku w:val="0"/>
              <w:overflowPunct w:val="0"/>
              <w:ind w:right="14"/>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w:t>
            </w:r>
          </w:p>
        </w:tc>
        <w:tc>
          <w:tcPr>
            <w:tcW w:w="10437" w:type="dxa"/>
            <w:vAlign w:val="center"/>
          </w:tcPr>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磋商内容：</w:t>
            </w:r>
          </w:p>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1、主要磋商内容：巴音郭楞管理局106座（199套）、水闸日常维护保养、水闸除锈喷漆、闸门侧行走支撑制作安装等（详见第四章：磋商内容）。</w:t>
            </w:r>
          </w:p>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2、服务期限：自合同签订之日起一年。</w:t>
            </w:r>
          </w:p>
          <w:p>
            <w:pPr>
              <w:pStyle w:val="2"/>
              <w:ind w:left="0" w:leftChars="0" w:firstLine="0" w:firstLineChars="0"/>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3、质保期：1年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2" w:type="dxa"/>
            <w:vAlign w:val="center"/>
          </w:tcPr>
          <w:p>
            <w:pPr>
              <w:pStyle w:val="20"/>
              <w:kinsoku w:val="0"/>
              <w:overflowPunct w:val="0"/>
              <w:ind w:right="14"/>
              <w:jc w:val="center"/>
              <w:rPr>
                <w:rFonts w:hint="eastAsia" w:ascii="仿宋" w:hAnsi="仿宋" w:eastAsia="仿宋" w:cs="仿宋"/>
              </w:rPr>
            </w:pPr>
            <w:r>
              <w:rPr>
                <w:rFonts w:hint="eastAsia" w:ascii="仿宋" w:hAnsi="仿宋" w:eastAsia="仿宋" w:cs="仿宋"/>
              </w:rPr>
              <w:t>5</w:t>
            </w:r>
          </w:p>
        </w:tc>
        <w:tc>
          <w:tcPr>
            <w:tcW w:w="10437" w:type="dxa"/>
            <w:vAlign w:val="top"/>
          </w:tcPr>
          <w:p>
            <w:pPr>
              <w:pStyle w:val="20"/>
              <w:keepNext w:val="0"/>
              <w:keepLines w:val="0"/>
              <w:pageBreakBefore w:val="0"/>
              <w:widowControl w:val="0"/>
              <w:kinsoku w:val="0"/>
              <w:wordWrap/>
              <w:overflowPunct w:val="0"/>
              <w:topLinePunct w:val="0"/>
              <w:autoSpaceDE w:val="0"/>
              <w:autoSpaceDN w:val="0"/>
              <w:bidi w:val="0"/>
              <w:adjustRightInd w:val="0"/>
              <w:snapToGrid/>
              <w:spacing w:before="122" w:line="240" w:lineRule="auto"/>
              <w:ind w:left="102"/>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项目采购预算：110万元（含2万元备用金）</w:t>
            </w:r>
          </w:p>
          <w:p>
            <w:pPr>
              <w:pStyle w:val="20"/>
              <w:keepNext w:val="0"/>
              <w:keepLines w:val="0"/>
              <w:pageBreakBefore w:val="0"/>
              <w:widowControl w:val="0"/>
              <w:kinsoku w:val="0"/>
              <w:wordWrap/>
              <w:overflowPunct w:val="0"/>
              <w:topLinePunct w:val="0"/>
              <w:autoSpaceDE w:val="0"/>
              <w:autoSpaceDN w:val="0"/>
              <w:bidi w:val="0"/>
              <w:adjustRightInd w:val="0"/>
              <w:snapToGrid/>
              <w:spacing w:before="122" w:line="240" w:lineRule="auto"/>
              <w:ind w:left="102"/>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投标报价货币: 人民币</w:t>
            </w:r>
          </w:p>
          <w:p>
            <w:pPr>
              <w:pStyle w:val="20"/>
              <w:keepNext w:val="0"/>
              <w:keepLines w:val="0"/>
              <w:pageBreakBefore w:val="0"/>
              <w:widowControl w:val="0"/>
              <w:kinsoku w:val="0"/>
              <w:wordWrap/>
              <w:overflowPunct w:val="0"/>
              <w:topLinePunct w:val="0"/>
              <w:autoSpaceDE w:val="0"/>
              <w:autoSpaceDN w:val="0"/>
              <w:bidi w:val="0"/>
              <w:adjustRightInd w:val="0"/>
              <w:snapToGrid/>
              <w:spacing w:line="240" w:lineRule="auto"/>
              <w:ind w:left="102"/>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★供应商的投标报价超过采购预算的按无效投标处理。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72" w:type="dxa"/>
            <w:vAlign w:val="center"/>
          </w:tcPr>
          <w:p>
            <w:pPr>
              <w:pStyle w:val="20"/>
              <w:kinsoku w:val="0"/>
              <w:overflowPunct w:val="0"/>
              <w:ind w:right="14"/>
              <w:jc w:val="center"/>
              <w:rPr>
                <w:rFonts w:hint="eastAsia" w:ascii="仿宋" w:hAnsi="仿宋" w:eastAsia="仿宋" w:cs="仿宋"/>
              </w:rPr>
            </w:pPr>
            <w:r>
              <w:rPr>
                <w:rFonts w:hint="eastAsia" w:ascii="仿宋" w:hAnsi="仿宋" w:eastAsia="仿宋" w:cs="仿宋"/>
              </w:rPr>
              <w:t>6</w:t>
            </w:r>
          </w:p>
        </w:tc>
        <w:tc>
          <w:tcPr>
            <w:tcW w:w="10437" w:type="dxa"/>
            <w:vAlign w:val="center"/>
          </w:tcPr>
          <w:p>
            <w:pPr>
              <w:pStyle w:val="20"/>
              <w:kinsoku w:val="0"/>
              <w:overflowPunct w:val="0"/>
              <w:spacing w:before="122"/>
              <w:ind w:left="102"/>
              <w:jc w:val="both"/>
              <w:rPr>
                <w:rFonts w:hint="eastAsia" w:ascii="仿宋" w:hAnsi="仿宋" w:eastAsia="仿宋" w:cs="仿宋"/>
              </w:rPr>
            </w:pPr>
            <w:r>
              <w:rPr>
                <w:rFonts w:hint="eastAsia" w:ascii="仿宋" w:hAnsi="仿宋" w:eastAsia="仿宋" w:cs="仿宋"/>
              </w:rPr>
              <w:t>★1、响应人资格要求：</w:t>
            </w:r>
          </w:p>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（1）符合《中华人民共和国政府采购法》第二十二条的相关规定；</w:t>
            </w:r>
          </w:p>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（2）在中华人民共和国境内依法注册的、具有独立承担民事责任的能力；</w:t>
            </w:r>
          </w:p>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（3）有效的法人或者其他组织的营业执照等证明文件，自然人的身份证明；</w:t>
            </w:r>
          </w:p>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（4）具有履行合同所必须的设备和专业技术能力；</w:t>
            </w:r>
          </w:p>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（5）具有良好的商业信誉和健全的财务会计制度；</w:t>
            </w:r>
          </w:p>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（6）具有依法缴纳税收和社会保证资金的良好记录；</w:t>
            </w:r>
          </w:p>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（7）近三年内，在经营活动中没有重大违法记录；</w:t>
            </w:r>
          </w:p>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经信用中国（www.creditchina.gov.cn）、中国政府采购网（www.ccgp.gov.cn）等渠道查询后，列入失信被执行人、重大税收违法案件当事人名单、政府采购严重违法失信行为记录名单的，取消投标资格。（提供“信用中国”网站无任何不良记录的查询截图并加盖公章，时间为投标截止时间前20天内）；</w:t>
            </w:r>
          </w:p>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（9）缴纳投标保证金：贰万元整（人民币）；</w:t>
            </w:r>
          </w:p>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（10）为充分保证完善的售后服务，本项目不接受联合体投标。</w:t>
            </w:r>
          </w:p>
          <w:p>
            <w:pPr>
              <w:pStyle w:val="2"/>
              <w:ind w:left="0" w:leftChars="0" w:firstLine="0" w:firstLineChars="0"/>
              <w:rPr>
                <w:rFonts w:hint="eastAsia" w:ascii="仿宋" w:hAnsi="仿宋" w:eastAsia="仿宋" w:cs="仿宋"/>
              </w:rPr>
            </w:pPr>
            <w:r>
              <w:rPr>
                <w:rFonts w:hint="eastAsia" w:ascii="仿宋" w:hAnsi="仿宋" w:eastAsia="仿宋" w:cs="仿宋"/>
                <w:kern w:val="0"/>
                <w:sz w:val="24"/>
                <w:szCs w:val="24"/>
                <w:highlight w:val="none"/>
                <w:lang w:val="en-US" w:eastAsia="zh-CN" w:bidi="ar-SA"/>
              </w:rPr>
              <w:t>（</w:t>
            </w:r>
            <w:r>
              <w:rPr>
                <w:rFonts w:hint="eastAsia" w:ascii="仿宋" w:hAnsi="仿宋" w:eastAsia="仿宋" w:cs="仿宋"/>
                <w:color w:val="auto"/>
                <w:kern w:val="0"/>
                <w:sz w:val="24"/>
                <w:szCs w:val="24"/>
                <w:lang w:val="en-US" w:eastAsia="zh-CN" w:bidi="ar-SA"/>
              </w:rPr>
              <w:t>11）投标供应商营业范围含有水工金属结构制作、安装、销售及维修或启闭机制作、安装销售及维修或工程服务及修缮服务等。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72" w:type="dxa"/>
            <w:vAlign w:val="center"/>
          </w:tcPr>
          <w:p>
            <w:pPr>
              <w:pStyle w:val="20"/>
              <w:kinsoku w:val="0"/>
              <w:overflowPunct w:val="0"/>
              <w:ind w:right="14"/>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10437" w:type="dxa"/>
            <w:vAlign w:val="center"/>
          </w:tcPr>
          <w:p>
            <w:pPr>
              <w:widowControl/>
              <w:spacing w:line="276" w:lineRule="auto"/>
              <w:jc w:val="left"/>
              <w:rPr>
                <w:rFonts w:hint="eastAsia" w:ascii="仿宋" w:hAnsi="仿宋" w:eastAsia="仿宋" w:cs="仿宋"/>
                <w:b/>
                <w:bCs/>
                <w:sz w:val="24"/>
              </w:rPr>
            </w:pPr>
            <w:r>
              <w:rPr>
                <w:rFonts w:hint="eastAsia" w:ascii="仿宋" w:hAnsi="仿宋" w:eastAsia="仿宋" w:cs="仿宋"/>
                <w:b/>
                <w:bCs/>
                <w:sz w:val="24"/>
              </w:rPr>
              <w:t>信用记录查询时间及方式：</w:t>
            </w:r>
          </w:p>
          <w:p>
            <w:pPr>
              <w:widowControl/>
              <w:spacing w:line="276" w:lineRule="auto"/>
              <w:jc w:val="left"/>
              <w:rPr>
                <w:rFonts w:hint="eastAsia" w:ascii="仿宋" w:hAnsi="仿宋" w:eastAsia="仿宋" w:cs="仿宋"/>
                <w:sz w:val="24"/>
              </w:rPr>
            </w:pPr>
            <w:r>
              <w:rPr>
                <w:rFonts w:hint="eastAsia" w:ascii="仿宋" w:hAnsi="仿宋" w:eastAsia="仿宋" w:cs="仿宋"/>
                <w:sz w:val="24"/>
              </w:rPr>
              <w:t>（1）查询时间：自招标公告发布日期起至开标日期止，超出此时间范围将被视为无效投标。</w:t>
            </w:r>
          </w:p>
          <w:p>
            <w:pPr>
              <w:widowControl/>
              <w:spacing w:line="276" w:lineRule="auto"/>
              <w:jc w:val="left"/>
              <w:rPr>
                <w:rFonts w:hint="eastAsia" w:ascii="仿宋" w:hAnsi="仿宋" w:eastAsia="仿宋" w:cs="仿宋"/>
                <w:sz w:val="24"/>
              </w:rPr>
            </w:pPr>
            <w:r>
              <w:rPr>
                <w:rFonts w:hint="eastAsia" w:ascii="仿宋" w:hAnsi="仿宋" w:eastAsia="仿宋" w:cs="仿宋"/>
                <w:sz w:val="24"/>
              </w:rPr>
              <w:t>（2）查询方式：投标人自行通过“信用中国”及“中国政府采购网”查询，并按招标文件要求提供网页材料。被列入失信被执行人、重大税收违法案件当事人名单、政府采购严重违法失信行为记录名单,及其他不符合及其他不符合《中华人民共和国政府采购法》第二十二条规定条件的供应商，其投标文件将被视为无效投标。未提供证明材料的视为不响应招标文件。</w:t>
            </w:r>
          </w:p>
          <w:p>
            <w:pPr>
              <w:widowControl/>
              <w:spacing w:line="276" w:lineRule="auto"/>
              <w:jc w:val="left"/>
              <w:rPr>
                <w:rFonts w:hint="eastAsia" w:ascii="仿宋" w:hAnsi="仿宋" w:eastAsia="仿宋" w:cs="仿宋"/>
                <w:sz w:val="24"/>
              </w:rPr>
            </w:pPr>
            <w:r>
              <w:rPr>
                <w:rFonts w:hint="eastAsia" w:ascii="仿宋" w:hAnsi="仿宋" w:eastAsia="仿宋" w:cs="仿宋"/>
                <w:sz w:val="24"/>
              </w:rPr>
              <w:t>（3）供应商参加政府采购活动时，应当就自己的诚信情况在响应性文件中进行承诺。</w:t>
            </w:r>
          </w:p>
          <w:p>
            <w:pPr>
              <w:keepNext w:val="0"/>
              <w:keepLines w:val="0"/>
              <w:widowControl/>
              <w:suppressLineNumbers w:val="0"/>
              <w:jc w:val="left"/>
              <w:rPr>
                <w:rFonts w:hint="eastAsia" w:ascii="仿宋" w:hAnsi="仿宋" w:eastAsia="仿宋" w:cs="仿宋"/>
                <w:kern w:val="0"/>
                <w:sz w:val="24"/>
                <w:szCs w:val="24"/>
                <w:lang w:val="en-US" w:eastAsia="zh-CN" w:bidi="ar-SA"/>
              </w:rPr>
            </w:pPr>
            <w:r>
              <w:rPr>
                <w:rFonts w:hint="eastAsia" w:ascii="仿宋" w:hAnsi="仿宋" w:eastAsia="仿宋" w:cs="仿宋"/>
                <w:b/>
                <w:sz w:val="24"/>
              </w:rPr>
              <w:t>本项目不接受失信企业投标。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672" w:type="dxa"/>
            <w:vAlign w:val="center"/>
          </w:tcPr>
          <w:p>
            <w:pPr>
              <w:pStyle w:val="20"/>
              <w:kinsoku w:val="0"/>
              <w:overflowPunct w:val="0"/>
              <w:spacing w:before="73"/>
              <w:ind w:right="14"/>
              <w:jc w:val="center"/>
              <w:rPr>
                <w:rFonts w:hint="eastAsia" w:ascii="仿宋" w:hAnsi="仿宋" w:eastAsia="仿宋" w:cs="仿宋"/>
                <w:lang w:val="en-US" w:eastAsia="zh-CN"/>
              </w:rPr>
            </w:pPr>
            <w:r>
              <w:rPr>
                <w:rFonts w:hint="eastAsia" w:ascii="仿宋" w:hAnsi="仿宋" w:eastAsia="仿宋" w:cs="仿宋"/>
                <w:lang w:val="en-US" w:eastAsia="zh-CN"/>
              </w:rPr>
              <w:t>8</w:t>
            </w:r>
          </w:p>
        </w:tc>
        <w:tc>
          <w:tcPr>
            <w:tcW w:w="10437" w:type="dxa"/>
            <w:vAlign w:val="center"/>
          </w:tcPr>
          <w:p>
            <w:pPr>
              <w:keepNext w:val="0"/>
              <w:keepLines w:val="0"/>
              <w:widowControl/>
              <w:suppressLineNumbers w:val="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标前准备：</w:t>
            </w:r>
          </w:p>
          <w:p>
            <w:pPr>
              <w:keepNext w:val="0"/>
              <w:keepLines w:val="0"/>
              <w:widowControl/>
              <w:suppressLineNumbers w:val="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1、本项目采用不见面电子招投标，采用电子投标文件。若供应商参与投标，自行承担投标一切费用。</w:t>
            </w:r>
          </w:p>
          <w:p>
            <w:pPr>
              <w:keepNext w:val="0"/>
              <w:keepLines w:val="0"/>
              <w:widowControl/>
              <w:suppressLineNumbers w:val="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widowControl/>
              <w:suppressLineNumbers w:val="0"/>
              <w:jc w:val="left"/>
              <w:rPr>
                <w:rFonts w:hint="eastAsia" w:ascii="仿宋" w:hAnsi="仿宋" w:eastAsia="仿宋" w:cs="仿宋"/>
                <w:color w:val="auto"/>
                <w:lang w:val="en-US" w:eastAsia="zh-CN"/>
              </w:rPr>
            </w:pPr>
            <w:r>
              <w:rPr>
                <w:rFonts w:hint="eastAsia" w:ascii="仿宋" w:hAnsi="仿宋" w:eastAsia="仿宋" w:cs="仿宋"/>
                <w:color w:val="auto"/>
                <w:kern w:val="0"/>
                <w:sz w:val="24"/>
                <w:szCs w:val="24"/>
                <w:lang w:val="en-US" w:eastAsia="zh-CN" w:bidi="ar-SA"/>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仿宋" w:hAnsi="仿宋" w:eastAsia="仿宋" w:cs="仿宋"/>
                <w:color w:val="auto"/>
                <w:kern w:val="0"/>
                <w:sz w:val="24"/>
                <w:szCs w:val="24"/>
                <w:lang w:val="en-US" w:eastAsia="zh-CN" w:bidi="ar-SA"/>
              </w:rPr>
              <w:fldChar w:fldCharType="begin"/>
            </w:r>
            <w:r>
              <w:rPr>
                <w:rFonts w:hint="eastAsia" w:ascii="仿宋" w:hAnsi="仿宋" w:eastAsia="仿宋" w:cs="仿宋"/>
                <w:color w:val="auto"/>
                <w:kern w:val="0"/>
                <w:sz w:val="24"/>
                <w:szCs w:val="24"/>
                <w:lang w:val="en-US" w:eastAsia="zh-CN" w:bidi="ar-SA"/>
              </w:rPr>
              <w:instrText xml:space="preserve"> HYPERLINK "http://www.ccgp-xinjiang.gov.cn/" </w:instrText>
            </w:r>
            <w:r>
              <w:rPr>
                <w:rFonts w:hint="eastAsia" w:ascii="仿宋" w:hAnsi="仿宋" w:eastAsia="仿宋" w:cs="仿宋"/>
                <w:color w:val="auto"/>
                <w:kern w:val="0"/>
                <w:sz w:val="24"/>
                <w:szCs w:val="24"/>
                <w:lang w:val="en-US" w:eastAsia="zh-CN" w:bidi="ar-SA"/>
              </w:rPr>
              <w:fldChar w:fldCharType="separate"/>
            </w:r>
            <w:r>
              <w:rPr>
                <w:rFonts w:hint="eastAsia" w:ascii="仿宋" w:hAnsi="仿宋" w:eastAsia="仿宋" w:cs="仿宋"/>
                <w:color w:val="auto"/>
                <w:kern w:val="0"/>
                <w:sz w:val="24"/>
                <w:szCs w:val="24"/>
                <w:lang w:val="en-US" w:eastAsia="zh-CN" w:bidi="ar-SA"/>
              </w:rPr>
              <w:t>http://www.ccgp-xinjiang.gov.cn/</w:t>
            </w:r>
            <w:r>
              <w:rPr>
                <w:rFonts w:hint="eastAsia" w:ascii="仿宋" w:hAnsi="仿宋" w:eastAsia="仿宋" w:cs="仿宋"/>
                <w:color w:val="auto"/>
                <w:kern w:val="0"/>
                <w:sz w:val="24"/>
                <w:szCs w:val="24"/>
                <w:lang w:val="en-US" w:eastAsia="zh-CN" w:bidi="ar-SA"/>
              </w:rPr>
              <w:fldChar w:fldCharType="end"/>
            </w:r>
            <w:r>
              <w:rPr>
                <w:rFonts w:hint="eastAsia" w:ascii="仿宋" w:hAnsi="仿宋" w:eastAsia="仿宋" w:cs="仿宋"/>
                <w:color w:val="auto"/>
                <w:kern w:val="0"/>
                <w:sz w:val="24"/>
                <w:szCs w:val="24"/>
                <w:lang w:val="en-US" w:eastAsia="zh-CN" w:bidi="ar-SA"/>
              </w:rPr>
              <w:t>）下载专区查看，如有问题可拨打政采云客户服务热线0991-2819290进行咨询</w:t>
            </w:r>
            <w:r>
              <w:rPr>
                <w:rFonts w:hint="eastAsia" w:ascii="仿宋" w:hAnsi="仿宋" w:eastAsia="仿宋" w:cs="仿宋"/>
                <w:color w:val="aut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672" w:type="dxa"/>
            <w:vAlign w:val="center"/>
          </w:tcPr>
          <w:p>
            <w:pPr>
              <w:pStyle w:val="20"/>
              <w:kinsoku w:val="0"/>
              <w:overflowPunct w:val="0"/>
              <w:spacing w:before="73"/>
              <w:ind w:right="14"/>
              <w:jc w:val="center"/>
              <w:rPr>
                <w:rFonts w:hint="eastAsia" w:ascii="仿宋" w:hAnsi="仿宋" w:eastAsia="仿宋" w:cs="仿宋"/>
                <w:lang w:val="en-US" w:eastAsia="zh-CN"/>
              </w:rPr>
            </w:pPr>
            <w:r>
              <w:rPr>
                <w:rFonts w:hint="eastAsia" w:ascii="仿宋" w:hAnsi="仿宋" w:eastAsia="仿宋" w:cs="仿宋"/>
                <w:lang w:val="en-US" w:eastAsia="zh-CN"/>
              </w:rPr>
              <w:t>9</w:t>
            </w:r>
          </w:p>
        </w:tc>
        <w:tc>
          <w:tcPr>
            <w:tcW w:w="10437" w:type="dxa"/>
            <w:vAlign w:val="center"/>
          </w:tcPr>
          <w:p>
            <w:pPr>
              <w:widowControl/>
              <w:spacing w:line="276" w:lineRule="auto"/>
              <w:jc w:val="left"/>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招标文件发放：</w:t>
            </w:r>
          </w:p>
          <w:p>
            <w:pPr>
              <w:pStyle w:val="2"/>
              <w:rPr>
                <w:rFonts w:hint="eastAsia" w:ascii="仿宋" w:hAnsi="仿宋" w:eastAsia="仿宋" w:cs="仿宋"/>
                <w:color w:val="auto"/>
                <w:lang w:eastAsia="zh-CN"/>
              </w:rPr>
            </w:pPr>
            <w:r>
              <w:rPr>
                <w:rFonts w:hint="eastAsia" w:ascii="仿宋" w:hAnsi="仿宋" w:eastAsia="仿宋" w:cs="仿宋"/>
                <w:color w:val="auto"/>
                <w:sz w:val="24"/>
                <w:szCs w:val="24"/>
              </w:rPr>
              <w:t>供应商登陆政采云平台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18"/>
                <w:rFonts w:hint="eastAsia" w:ascii="仿宋" w:hAnsi="仿宋" w:eastAsia="仿宋" w:cs="仿宋"/>
                <w:color w:val="auto"/>
                <w:sz w:val="24"/>
                <w:szCs w:val="24"/>
              </w:rPr>
              <w:t>https://www.zcygov.cn/</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在线申请获取采购文件（进入“项目采购”应用，在获取采购文件菜单中选择项目，申请获取采购文件）。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672" w:type="dxa"/>
            <w:vAlign w:val="center"/>
          </w:tcPr>
          <w:p>
            <w:pPr>
              <w:pStyle w:val="20"/>
              <w:kinsoku w:val="0"/>
              <w:overflowPunct w:val="0"/>
              <w:spacing w:before="73"/>
              <w:ind w:right="14"/>
              <w:jc w:val="center"/>
              <w:rPr>
                <w:rFonts w:hint="eastAsia" w:ascii="仿宋" w:hAnsi="仿宋" w:eastAsia="仿宋" w:cs="仿宋"/>
                <w:lang w:val="en-US" w:eastAsia="zh-CN"/>
              </w:rPr>
            </w:pPr>
            <w:r>
              <w:rPr>
                <w:rFonts w:hint="eastAsia" w:ascii="仿宋" w:hAnsi="仿宋" w:eastAsia="仿宋" w:cs="仿宋"/>
                <w:lang w:val="en-US" w:eastAsia="zh-CN"/>
              </w:rPr>
              <w:t>10</w:t>
            </w:r>
          </w:p>
        </w:tc>
        <w:tc>
          <w:tcPr>
            <w:tcW w:w="10437" w:type="dxa"/>
            <w:vAlign w:val="center"/>
          </w:tcPr>
          <w:p>
            <w:pPr>
              <w:widowControl/>
              <w:spacing w:line="276" w:lineRule="auto"/>
              <w:jc w:val="lef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采用不见面开标：</w:t>
            </w:r>
          </w:p>
          <w:p>
            <w:pPr>
              <w:widowControl/>
              <w:numPr>
                <w:ilvl w:val="0"/>
                <w:numId w:val="2"/>
              </w:numPr>
              <w:spacing w:line="276" w:lineRule="auto"/>
              <w:jc w:val="left"/>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本项目采用不见面开标，投标人需要递交电子投标文件，加密的电子投标文件在投标截止时间前通过新疆政府采购网平台上传到指定位置。</w:t>
            </w:r>
          </w:p>
          <w:p>
            <w:pPr>
              <w:widowControl/>
              <w:numPr>
                <w:ilvl w:val="0"/>
                <w:numId w:val="0"/>
              </w:numPr>
              <w:spacing w:line="276" w:lineRule="auto"/>
              <w:jc w:val="left"/>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2）本项目采用远程不见面交易的模式。开标当日，投标人无需到达开标现场，仅需在任意地点通过新疆政府采购网不见面开标系统（登录地址详见网站操作手册）完成远程解密、提疑澄清、开标唱标、结果公布等交互环节。投标人必须使用能正确解密投标文件的“CA 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w:t>
            </w:r>
          </w:p>
          <w:p>
            <w:pPr>
              <w:widowControl/>
              <w:spacing w:line="276" w:lineRule="auto"/>
              <w:jc w:val="left"/>
              <w:rPr>
                <w:rFonts w:hint="eastAsia" w:ascii="仿宋" w:hAnsi="仿宋" w:eastAsia="仿宋" w:cs="仿宋"/>
                <w:color w:val="auto"/>
                <w:lang w:eastAsia="zh-CN"/>
              </w:rPr>
            </w:pPr>
            <w:r>
              <w:rPr>
                <w:rFonts w:hint="eastAsia" w:ascii="仿宋" w:hAnsi="仿宋" w:eastAsia="仿宋" w:cs="仿宋"/>
                <w:b/>
                <w:bCs/>
                <w:color w:val="auto"/>
                <w:sz w:val="24"/>
                <w:lang w:val="en-US" w:eastAsia="zh-CN"/>
              </w:rPr>
              <w:t>纸质版</w:t>
            </w:r>
            <w:r>
              <w:rPr>
                <w:rFonts w:hint="eastAsia" w:ascii="仿宋" w:hAnsi="仿宋" w:eastAsia="仿宋" w:cs="仿宋"/>
                <w:b/>
                <w:bCs/>
                <w:color w:val="auto"/>
                <w:sz w:val="24"/>
                <w:lang w:eastAsia="zh-CN"/>
              </w:rPr>
              <w:t>投标文件递交方式</w:t>
            </w:r>
            <w:r>
              <w:rPr>
                <w:rFonts w:hint="eastAsia" w:ascii="仿宋" w:hAnsi="仿宋" w:eastAsia="仿宋" w:cs="仿宋"/>
                <w:color w:val="auto"/>
                <w:lang w:eastAsia="zh-CN"/>
              </w:rPr>
              <w:t>：</w:t>
            </w:r>
          </w:p>
          <w:p>
            <w:pPr>
              <w:ind w:firstLine="482" w:firstLineChars="200"/>
              <w:rPr>
                <w:rFonts w:hint="eastAsia" w:ascii="仿宋" w:hAnsi="仿宋" w:eastAsia="仿宋" w:cs="仿宋"/>
                <w:color w:val="auto"/>
                <w:lang w:val="en-US" w:eastAsia="zh-CN"/>
              </w:rPr>
            </w:pPr>
            <w:r>
              <w:rPr>
                <w:rFonts w:hint="eastAsia" w:ascii="仿宋" w:hAnsi="仿宋" w:eastAsia="仿宋" w:cs="仿宋"/>
                <w:b/>
                <w:bCs/>
                <w:color w:val="auto"/>
                <w:kern w:val="2"/>
                <w:sz w:val="24"/>
                <w:szCs w:val="22"/>
                <w:lang w:val="en-US" w:eastAsia="zh-CN" w:bidi="ar-SA"/>
              </w:rPr>
              <w:t>本项目要求纸质版投标文件三份（正本一份、副本二份）及电子版u盘一份，密封完整注明项目名称，于2021年6月21日10:30时整之前接受邮递等方式，送至新疆库尔勒市人民东路富士特大厦4楼，接收人：赵焕焕 电话：15700978629。（如未按照招标文件规定时间内将纸质版投标文件送至规定地点，后果投标人自行负责）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672" w:type="dxa"/>
            <w:vAlign w:val="center"/>
          </w:tcPr>
          <w:p>
            <w:pPr>
              <w:pStyle w:val="20"/>
              <w:kinsoku w:val="0"/>
              <w:overflowPunct w:val="0"/>
              <w:spacing w:before="73"/>
              <w:ind w:right="14"/>
              <w:jc w:val="center"/>
              <w:rPr>
                <w:rFonts w:hint="eastAsia" w:ascii="仿宋" w:hAnsi="仿宋" w:eastAsia="仿宋" w:cs="仿宋"/>
                <w:lang w:val="en-US" w:eastAsia="zh-CN"/>
              </w:rPr>
            </w:pPr>
            <w:r>
              <w:rPr>
                <w:rFonts w:hint="eastAsia" w:ascii="仿宋" w:hAnsi="仿宋" w:eastAsia="仿宋" w:cs="仿宋"/>
                <w:lang w:val="en-US" w:eastAsia="zh-CN"/>
              </w:rPr>
              <w:t>11</w:t>
            </w:r>
          </w:p>
        </w:tc>
        <w:tc>
          <w:tcPr>
            <w:tcW w:w="10437" w:type="dxa"/>
            <w:vAlign w:val="center"/>
          </w:tcPr>
          <w:p>
            <w:pPr>
              <w:overflowPunct w:val="0"/>
              <w:spacing w:line="440" w:lineRule="exact"/>
              <w:jc w:val="both"/>
              <w:rPr>
                <w:rFonts w:hint="eastAsia" w:ascii="仿宋" w:hAnsi="仿宋" w:eastAsia="仿宋" w:cs="仿宋"/>
                <w:b/>
                <w:bCs/>
                <w:color w:val="auto"/>
                <w:sz w:val="24"/>
                <w:szCs w:val="22"/>
              </w:rPr>
            </w:pPr>
            <w:r>
              <w:rPr>
                <w:rFonts w:hint="eastAsia" w:ascii="仿宋" w:hAnsi="仿宋" w:eastAsia="仿宋" w:cs="仿宋"/>
                <w:b/>
                <w:bCs/>
                <w:color w:val="auto"/>
                <w:sz w:val="24"/>
              </w:rPr>
              <w:t>招标文件</w:t>
            </w:r>
            <w:r>
              <w:rPr>
                <w:rFonts w:hint="eastAsia" w:ascii="仿宋" w:hAnsi="仿宋" w:eastAsia="仿宋" w:cs="仿宋"/>
                <w:b/>
                <w:bCs/>
                <w:color w:val="auto"/>
                <w:sz w:val="24"/>
                <w:lang w:eastAsia="zh-CN"/>
              </w:rPr>
              <w:t>解密时间：</w:t>
            </w:r>
          </w:p>
          <w:p>
            <w:pPr>
              <w:overflowPunct w:val="0"/>
              <w:spacing w:line="440" w:lineRule="exact"/>
              <w:jc w:val="left"/>
              <w:rPr>
                <w:rFonts w:hint="eastAsia" w:ascii="仿宋" w:hAnsi="仿宋" w:eastAsia="仿宋" w:cs="仿宋"/>
                <w:color w:val="auto"/>
                <w:sz w:val="24"/>
                <w:szCs w:val="22"/>
              </w:rPr>
            </w:pPr>
            <w:r>
              <w:rPr>
                <w:rFonts w:hint="eastAsia" w:ascii="仿宋" w:hAnsi="仿宋" w:eastAsia="仿宋" w:cs="仿宋"/>
                <w:color w:val="auto"/>
                <w:sz w:val="24"/>
                <w:szCs w:val="22"/>
              </w:rPr>
              <w:t>开标时间后</w:t>
            </w:r>
            <w:r>
              <w:rPr>
                <w:rFonts w:hint="eastAsia" w:ascii="仿宋" w:hAnsi="仿宋" w:eastAsia="仿宋" w:cs="仿宋"/>
                <w:color w:val="auto"/>
                <w:sz w:val="24"/>
                <w:szCs w:val="22"/>
                <w:lang w:val="en-US" w:eastAsia="zh-CN"/>
              </w:rPr>
              <w:t>30分</w:t>
            </w:r>
            <w:r>
              <w:rPr>
                <w:rFonts w:hint="eastAsia" w:ascii="仿宋" w:hAnsi="仿宋" w:eastAsia="仿宋" w:cs="仿宋"/>
                <w:color w:val="auto"/>
                <w:sz w:val="24"/>
                <w:szCs w:val="22"/>
                <w:highlight w:val="none"/>
                <w:lang w:val="en-US" w:eastAsia="zh-CN"/>
              </w:rPr>
              <w:t>钟</w:t>
            </w:r>
            <w:r>
              <w:rPr>
                <w:rFonts w:hint="eastAsia" w:ascii="仿宋" w:hAnsi="仿宋" w:eastAsia="仿宋" w:cs="仿宋"/>
                <w:color w:val="auto"/>
                <w:sz w:val="24"/>
                <w:szCs w:val="22"/>
                <w:highlight w:val="none"/>
              </w:rPr>
              <w:t>内（</w:t>
            </w:r>
            <w:r>
              <w:rPr>
                <w:rFonts w:hint="eastAsia" w:ascii="仿宋" w:hAnsi="仿宋" w:eastAsia="仿宋" w:cs="仿宋"/>
                <w:color w:val="auto"/>
                <w:sz w:val="24"/>
                <w:szCs w:val="22"/>
                <w:highlight w:val="none"/>
                <w:lang w:eastAsia="zh-CN"/>
              </w:rPr>
              <w:t>2021</w:t>
            </w:r>
            <w:r>
              <w:rPr>
                <w:rFonts w:hint="eastAsia" w:ascii="仿宋" w:hAnsi="仿宋" w:eastAsia="仿宋" w:cs="仿宋"/>
                <w:color w:val="auto"/>
                <w:sz w:val="24"/>
                <w:szCs w:val="22"/>
                <w:highlight w:val="none"/>
              </w:rPr>
              <w:t>年</w:t>
            </w:r>
            <w:r>
              <w:rPr>
                <w:rFonts w:hint="eastAsia" w:ascii="仿宋" w:hAnsi="仿宋" w:eastAsia="仿宋" w:cs="仿宋"/>
                <w:color w:val="auto"/>
                <w:sz w:val="24"/>
                <w:szCs w:val="22"/>
                <w:highlight w:val="none"/>
                <w:lang w:val="en-US" w:eastAsia="zh-CN"/>
              </w:rPr>
              <w:t>06</w:t>
            </w:r>
            <w:r>
              <w:rPr>
                <w:rFonts w:hint="eastAsia" w:ascii="仿宋" w:hAnsi="仿宋" w:eastAsia="仿宋" w:cs="仿宋"/>
                <w:color w:val="auto"/>
                <w:sz w:val="24"/>
                <w:szCs w:val="22"/>
                <w:highlight w:val="none"/>
              </w:rPr>
              <w:t>月</w:t>
            </w:r>
            <w:r>
              <w:rPr>
                <w:rFonts w:hint="eastAsia" w:ascii="仿宋" w:hAnsi="仿宋" w:eastAsia="仿宋" w:cs="仿宋"/>
                <w:color w:val="auto"/>
                <w:sz w:val="24"/>
                <w:szCs w:val="22"/>
                <w:highlight w:val="none"/>
                <w:lang w:val="en-US" w:eastAsia="zh-CN"/>
              </w:rPr>
              <w:t>21</w:t>
            </w:r>
            <w:r>
              <w:rPr>
                <w:rFonts w:hint="eastAsia" w:ascii="仿宋" w:hAnsi="仿宋" w:eastAsia="仿宋" w:cs="仿宋"/>
                <w:color w:val="auto"/>
                <w:sz w:val="24"/>
                <w:szCs w:val="22"/>
                <w:highlight w:val="none"/>
              </w:rPr>
              <w:t>日</w:t>
            </w:r>
            <w:r>
              <w:rPr>
                <w:rFonts w:hint="eastAsia" w:ascii="仿宋" w:hAnsi="仿宋" w:eastAsia="仿宋" w:cs="仿宋"/>
                <w:color w:val="auto"/>
                <w:sz w:val="24"/>
                <w:szCs w:val="22"/>
                <w:highlight w:val="none"/>
                <w:lang w:val="en-US" w:eastAsia="zh-CN"/>
              </w:rPr>
              <w:t>上</w:t>
            </w:r>
            <w:r>
              <w:rPr>
                <w:rFonts w:hint="eastAsia" w:ascii="仿宋" w:hAnsi="仿宋" w:eastAsia="仿宋" w:cs="仿宋"/>
                <w:color w:val="auto"/>
                <w:sz w:val="24"/>
                <w:szCs w:val="22"/>
                <w:highlight w:val="none"/>
              </w:rPr>
              <w:t>午1</w:t>
            </w:r>
            <w:r>
              <w:rPr>
                <w:rFonts w:hint="eastAsia" w:ascii="仿宋" w:hAnsi="仿宋" w:eastAsia="仿宋" w:cs="仿宋"/>
                <w:color w:val="auto"/>
                <w:sz w:val="24"/>
                <w:szCs w:val="22"/>
                <w:highlight w:val="none"/>
                <w:lang w:val="en-US" w:eastAsia="zh-CN"/>
              </w:rPr>
              <w:t>0</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rPr>
              <w:t>0</w:t>
            </w:r>
            <w:r>
              <w:rPr>
                <w:rFonts w:hint="eastAsia" w:ascii="仿宋" w:hAnsi="仿宋" w:eastAsia="仿宋" w:cs="仿宋"/>
                <w:color w:val="auto"/>
                <w:sz w:val="24"/>
                <w:szCs w:val="22"/>
                <w:highlight w:val="none"/>
                <w:lang w:val="en-US" w:eastAsia="zh-CN"/>
              </w:rPr>
              <w:t>-11：00</w:t>
            </w:r>
            <w:r>
              <w:rPr>
                <w:rFonts w:hint="eastAsia" w:ascii="仿宋" w:hAnsi="仿宋" w:eastAsia="仿宋" w:cs="仿宋"/>
                <w:color w:val="auto"/>
                <w:sz w:val="24"/>
                <w:szCs w:val="22"/>
                <w:highlight w:val="none"/>
              </w:rPr>
              <w:t>前）供应商可以登录“政采云”平台，用“项目采购-开标评标”功能进行解密投标文件。若供应商在规定时间内（</w:t>
            </w:r>
            <w:r>
              <w:rPr>
                <w:rFonts w:hint="eastAsia" w:ascii="仿宋" w:hAnsi="仿宋" w:eastAsia="仿宋" w:cs="仿宋"/>
                <w:color w:val="auto"/>
                <w:sz w:val="24"/>
                <w:szCs w:val="22"/>
                <w:highlight w:val="none"/>
                <w:lang w:eastAsia="zh-CN"/>
              </w:rPr>
              <w:t>2021</w:t>
            </w:r>
            <w:r>
              <w:rPr>
                <w:rFonts w:hint="eastAsia" w:ascii="仿宋" w:hAnsi="仿宋" w:eastAsia="仿宋" w:cs="仿宋"/>
                <w:color w:val="auto"/>
                <w:sz w:val="24"/>
                <w:szCs w:val="22"/>
                <w:highlight w:val="none"/>
              </w:rPr>
              <w:t>年</w:t>
            </w:r>
            <w:r>
              <w:rPr>
                <w:rFonts w:hint="eastAsia" w:ascii="仿宋" w:hAnsi="仿宋" w:eastAsia="仿宋" w:cs="仿宋"/>
                <w:color w:val="auto"/>
                <w:sz w:val="24"/>
                <w:szCs w:val="22"/>
                <w:highlight w:val="none"/>
                <w:lang w:val="en-US" w:eastAsia="zh-CN"/>
              </w:rPr>
              <w:t>06</w:t>
            </w:r>
            <w:r>
              <w:rPr>
                <w:rFonts w:hint="eastAsia" w:ascii="仿宋" w:hAnsi="仿宋" w:eastAsia="仿宋" w:cs="仿宋"/>
                <w:color w:val="auto"/>
                <w:sz w:val="24"/>
                <w:szCs w:val="22"/>
                <w:highlight w:val="none"/>
              </w:rPr>
              <w:t>月</w:t>
            </w:r>
            <w:r>
              <w:rPr>
                <w:rFonts w:hint="eastAsia" w:ascii="仿宋" w:hAnsi="仿宋" w:eastAsia="仿宋" w:cs="仿宋"/>
                <w:color w:val="auto"/>
                <w:sz w:val="24"/>
                <w:szCs w:val="22"/>
                <w:highlight w:val="none"/>
                <w:lang w:val="en-US" w:eastAsia="zh-CN"/>
              </w:rPr>
              <w:t>21</w:t>
            </w:r>
            <w:r>
              <w:rPr>
                <w:rFonts w:hint="eastAsia" w:ascii="仿宋" w:hAnsi="仿宋" w:eastAsia="仿宋" w:cs="仿宋"/>
                <w:color w:val="auto"/>
                <w:sz w:val="24"/>
                <w:szCs w:val="22"/>
                <w:highlight w:val="none"/>
              </w:rPr>
              <w:t>日1</w:t>
            </w:r>
            <w:r>
              <w:rPr>
                <w:rFonts w:hint="eastAsia" w:ascii="仿宋" w:hAnsi="仿宋" w:eastAsia="仿宋" w:cs="仿宋"/>
                <w:color w:val="auto"/>
                <w:sz w:val="24"/>
                <w:szCs w:val="22"/>
                <w:highlight w:val="none"/>
                <w:lang w:val="en-US" w:eastAsia="zh-CN"/>
              </w:rPr>
              <w:t>1</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0</w:t>
            </w:r>
            <w:r>
              <w:rPr>
                <w:rFonts w:hint="eastAsia" w:ascii="仿宋" w:hAnsi="仿宋" w:eastAsia="仿宋" w:cs="仿宋"/>
                <w:color w:val="auto"/>
                <w:sz w:val="24"/>
                <w:szCs w:val="22"/>
                <w:highlight w:val="none"/>
              </w:rPr>
              <w:t>0前）未按时解密的，视为投标文</w:t>
            </w:r>
            <w:r>
              <w:rPr>
                <w:rFonts w:hint="eastAsia" w:ascii="仿宋" w:hAnsi="仿宋" w:eastAsia="仿宋" w:cs="仿宋"/>
                <w:color w:val="auto"/>
                <w:sz w:val="24"/>
                <w:szCs w:val="22"/>
              </w:rPr>
              <w:t>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672" w:type="dxa"/>
            <w:vAlign w:val="center"/>
          </w:tcPr>
          <w:p>
            <w:pPr>
              <w:pStyle w:val="20"/>
              <w:kinsoku w:val="0"/>
              <w:overflowPunct w:val="0"/>
              <w:spacing w:before="73"/>
              <w:ind w:right="14"/>
              <w:jc w:val="center"/>
              <w:rPr>
                <w:rFonts w:hint="eastAsia" w:ascii="仿宋" w:hAnsi="仿宋" w:eastAsia="仿宋" w:cs="仿宋"/>
                <w:lang w:val="en-US" w:eastAsia="zh-CN"/>
              </w:rPr>
            </w:pPr>
            <w:r>
              <w:rPr>
                <w:rFonts w:hint="eastAsia" w:ascii="仿宋" w:hAnsi="仿宋" w:eastAsia="仿宋" w:cs="仿宋"/>
                <w:lang w:val="en-US" w:eastAsia="zh-CN"/>
              </w:rPr>
              <w:t>12</w:t>
            </w:r>
          </w:p>
        </w:tc>
        <w:tc>
          <w:tcPr>
            <w:tcW w:w="10437" w:type="dxa"/>
            <w:vAlign w:val="center"/>
          </w:tcPr>
          <w:p>
            <w:pPr>
              <w:pStyle w:val="20"/>
              <w:kinsoku w:val="0"/>
              <w:overflowPunct w:val="0"/>
              <w:spacing w:before="73"/>
              <w:ind w:left="102"/>
              <w:jc w:val="both"/>
              <w:rPr>
                <w:rFonts w:hint="eastAsia" w:ascii="仿宋" w:hAnsi="仿宋" w:eastAsia="仿宋" w:cs="仿宋"/>
                <w:color w:val="auto"/>
              </w:rPr>
            </w:pPr>
            <w:r>
              <w:rPr>
                <w:rFonts w:hint="eastAsia" w:ascii="仿宋" w:hAnsi="仿宋" w:eastAsia="仿宋" w:cs="仿宋"/>
                <w:b/>
                <w:bCs/>
                <w:color w:val="auto"/>
              </w:rPr>
              <w:t>投标语言：</w:t>
            </w:r>
            <w:r>
              <w:rPr>
                <w:rFonts w:hint="eastAsia" w:ascii="仿宋" w:hAnsi="仿宋" w:eastAsia="仿宋" w:cs="仿宋"/>
                <w:color w:val="auto"/>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672" w:type="dxa"/>
            <w:vAlign w:val="center"/>
          </w:tcPr>
          <w:p>
            <w:pPr>
              <w:pStyle w:val="20"/>
              <w:kinsoku w:val="0"/>
              <w:overflowPunct w:val="0"/>
              <w:spacing w:before="72"/>
              <w:jc w:val="center"/>
              <w:rPr>
                <w:rFonts w:hint="eastAsia" w:ascii="仿宋" w:hAnsi="仿宋" w:eastAsia="仿宋" w:cs="仿宋"/>
                <w:lang w:val="en-US" w:eastAsia="zh-CN"/>
              </w:rPr>
            </w:pPr>
            <w:r>
              <w:rPr>
                <w:rFonts w:hint="eastAsia" w:ascii="仿宋" w:hAnsi="仿宋" w:eastAsia="仿宋" w:cs="仿宋"/>
                <w:lang w:val="en-US" w:eastAsia="zh-CN"/>
              </w:rPr>
              <w:t>13</w:t>
            </w:r>
          </w:p>
        </w:tc>
        <w:tc>
          <w:tcPr>
            <w:tcW w:w="10437" w:type="dxa"/>
            <w:vAlign w:val="center"/>
          </w:tcPr>
          <w:p>
            <w:pPr>
              <w:pStyle w:val="20"/>
              <w:kinsoku w:val="0"/>
              <w:overflowPunct w:val="0"/>
              <w:spacing w:before="72"/>
              <w:ind w:left="102"/>
              <w:jc w:val="both"/>
              <w:rPr>
                <w:rFonts w:hint="eastAsia" w:ascii="仿宋" w:hAnsi="仿宋" w:eastAsia="仿宋" w:cs="仿宋"/>
                <w:color w:val="auto"/>
              </w:rPr>
            </w:pPr>
            <w:r>
              <w:rPr>
                <w:rFonts w:hint="eastAsia" w:ascii="仿宋" w:hAnsi="仿宋" w:eastAsia="仿宋" w:cs="仿宋"/>
                <w:b/>
                <w:bCs/>
                <w:color w:val="auto"/>
              </w:rPr>
              <w:t>投标有效期：</w:t>
            </w:r>
            <w:r>
              <w:rPr>
                <w:rFonts w:hint="eastAsia" w:ascii="仿宋" w:hAnsi="仿宋" w:eastAsia="仿宋" w:cs="仿宋"/>
                <w:color w:val="auto"/>
              </w:rPr>
              <w:t>60</w:t>
            </w:r>
            <w:r>
              <w:rPr>
                <w:rFonts w:hint="eastAsia" w:ascii="仿宋" w:hAnsi="仿宋" w:eastAsia="仿宋" w:cs="仿宋"/>
                <w:color w:val="auto"/>
                <w:spacing w:val="-75"/>
              </w:rPr>
              <w:t xml:space="preserve"> </w:t>
            </w:r>
            <w:r>
              <w:rPr>
                <w:rFonts w:hint="eastAsia" w:ascii="仿宋" w:hAnsi="仿宋" w:eastAsia="仿宋" w:cs="仿宋"/>
                <w:color w:val="auto"/>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672" w:type="dxa"/>
            <w:vAlign w:val="center"/>
          </w:tcPr>
          <w:p>
            <w:pPr>
              <w:pStyle w:val="20"/>
              <w:kinsoku w:val="0"/>
              <w:overflowPunct w:val="0"/>
              <w:spacing w:before="74"/>
              <w:jc w:val="center"/>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val="en-US" w:eastAsia="zh-CN"/>
              </w:rPr>
              <w:t>4</w:t>
            </w:r>
          </w:p>
        </w:tc>
        <w:tc>
          <w:tcPr>
            <w:tcW w:w="10437" w:type="dxa"/>
            <w:vAlign w:val="center"/>
          </w:tcPr>
          <w:p>
            <w:pPr>
              <w:pStyle w:val="20"/>
              <w:kinsoku w:val="0"/>
              <w:overflowPunct w:val="0"/>
              <w:spacing w:before="74"/>
              <w:ind w:left="102"/>
              <w:jc w:val="both"/>
              <w:rPr>
                <w:rFonts w:hint="eastAsia" w:ascii="仿宋" w:hAnsi="仿宋" w:eastAsia="仿宋" w:cs="仿宋"/>
                <w:color w:val="auto"/>
                <w:lang w:eastAsia="zh-CN"/>
              </w:rPr>
            </w:pPr>
            <w:r>
              <w:rPr>
                <w:rFonts w:hint="eastAsia" w:ascii="仿宋" w:hAnsi="仿宋" w:eastAsia="仿宋" w:cs="仿宋"/>
                <w:b/>
                <w:bCs/>
                <w:color w:val="auto"/>
              </w:rPr>
              <w:t>投标截止时间</w:t>
            </w:r>
            <w:r>
              <w:rPr>
                <w:rFonts w:hint="eastAsia" w:ascii="仿宋" w:hAnsi="仿宋" w:eastAsia="仿宋" w:cs="仿宋"/>
                <w:color w:val="auto"/>
              </w:rPr>
              <w:t>：</w:t>
            </w:r>
            <w:r>
              <w:rPr>
                <w:rFonts w:hint="eastAsia" w:ascii="仿宋" w:hAnsi="仿宋" w:eastAsia="仿宋" w:cs="仿宋"/>
                <w:color w:val="auto"/>
                <w:spacing w:val="-3"/>
                <w:highlight w:val="none"/>
              </w:rPr>
              <w:t xml:space="preserve"> </w:t>
            </w:r>
            <w:r>
              <w:rPr>
                <w:rFonts w:hint="eastAsia" w:ascii="仿宋" w:hAnsi="仿宋" w:eastAsia="仿宋" w:cs="仿宋"/>
                <w:color w:val="auto"/>
                <w:highlight w:val="none"/>
                <w:lang w:eastAsia="zh-CN"/>
              </w:rPr>
              <w:t>2021年</w:t>
            </w:r>
            <w:r>
              <w:rPr>
                <w:rFonts w:hint="eastAsia" w:ascii="仿宋" w:hAnsi="仿宋" w:eastAsia="仿宋" w:cs="仿宋"/>
                <w:color w:val="auto"/>
                <w:highlight w:val="none"/>
                <w:lang w:val="en-US" w:eastAsia="zh-CN"/>
              </w:rPr>
              <w:t>06</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lang w:eastAsia="zh-CN"/>
              </w:rPr>
              <w:t>日</w:t>
            </w:r>
            <w:r>
              <w:rPr>
                <w:rFonts w:hint="eastAsia" w:ascii="仿宋" w:hAnsi="仿宋" w:eastAsia="仿宋" w:cs="仿宋"/>
                <w:color w:val="auto"/>
                <w:highlight w:val="none"/>
                <w:lang w:val="en-US" w:eastAsia="zh-CN"/>
              </w:rPr>
              <w:t>上</w:t>
            </w:r>
            <w:r>
              <w:rPr>
                <w:rFonts w:hint="eastAsia" w:ascii="仿宋" w:hAnsi="仿宋" w:eastAsia="仿宋" w:cs="仿宋"/>
                <w:color w:val="auto"/>
                <w:highlight w:val="none"/>
                <w:lang w:eastAsia="zh-CN"/>
              </w:rPr>
              <w:t>午1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atLeast"/>
          <w:jc w:val="center"/>
        </w:trPr>
        <w:tc>
          <w:tcPr>
            <w:tcW w:w="672" w:type="dxa"/>
            <w:vAlign w:val="center"/>
          </w:tcPr>
          <w:p>
            <w:pPr>
              <w:pStyle w:val="20"/>
              <w:kinsoku w:val="0"/>
              <w:overflowPunct w:val="0"/>
              <w:spacing w:before="201"/>
              <w:jc w:val="center"/>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5</w:t>
            </w:r>
          </w:p>
        </w:tc>
        <w:tc>
          <w:tcPr>
            <w:tcW w:w="10437" w:type="dxa"/>
            <w:vAlign w:val="center"/>
          </w:tcPr>
          <w:p>
            <w:pPr>
              <w:pStyle w:val="20"/>
              <w:kinsoku w:val="0"/>
              <w:overflowPunct w:val="0"/>
              <w:spacing w:before="57"/>
              <w:ind w:left="102"/>
              <w:jc w:val="both"/>
              <w:rPr>
                <w:rFonts w:hint="eastAsia" w:ascii="仿宋" w:hAnsi="仿宋" w:eastAsia="仿宋" w:cs="仿宋"/>
                <w:b/>
                <w:bCs/>
              </w:rPr>
            </w:pPr>
            <w:r>
              <w:rPr>
                <w:rFonts w:hint="eastAsia" w:ascii="仿宋" w:hAnsi="仿宋" w:eastAsia="仿宋" w:cs="仿宋"/>
                <w:b/>
                <w:bCs/>
              </w:rPr>
              <w:t>磋商小组的组建：</w:t>
            </w:r>
          </w:p>
          <w:p>
            <w:pPr>
              <w:pStyle w:val="20"/>
              <w:kinsoku w:val="0"/>
              <w:overflowPunct w:val="0"/>
              <w:spacing w:before="16"/>
              <w:ind w:left="102"/>
              <w:jc w:val="both"/>
              <w:rPr>
                <w:rFonts w:hint="eastAsia" w:ascii="仿宋" w:hAnsi="仿宋" w:eastAsia="仿宋" w:cs="仿宋"/>
              </w:rPr>
            </w:pPr>
            <w:r>
              <w:rPr>
                <w:rFonts w:hint="eastAsia" w:ascii="仿宋" w:hAnsi="仿宋" w:eastAsia="仿宋" w:cs="仿宋"/>
              </w:rPr>
              <w:t>磋商小组构成：共</w:t>
            </w:r>
            <w:r>
              <w:rPr>
                <w:rFonts w:hint="eastAsia" w:ascii="仿宋" w:hAnsi="仿宋" w:eastAsia="仿宋" w:cs="仿宋"/>
                <w:lang w:val="en-US" w:eastAsia="zh-CN"/>
              </w:rPr>
              <w:t>3</w:t>
            </w:r>
            <w:r>
              <w:rPr>
                <w:rFonts w:hint="eastAsia" w:ascii="仿宋" w:hAnsi="仿宋" w:eastAsia="仿宋" w:cs="仿宋"/>
              </w:rPr>
              <w:t>人，</w:t>
            </w:r>
            <w:r>
              <w:rPr>
                <w:rFonts w:hint="eastAsia" w:ascii="仿宋" w:hAnsi="仿宋" w:eastAsia="仿宋" w:cs="仿宋"/>
                <w:lang w:eastAsia="zh-CN"/>
              </w:rPr>
              <w:t>其中</w:t>
            </w:r>
            <w:r>
              <w:rPr>
                <w:rFonts w:hint="eastAsia" w:ascii="仿宋" w:hAnsi="仿宋" w:eastAsia="仿宋" w:cs="仿宋"/>
              </w:rPr>
              <w:t>业主代表</w:t>
            </w:r>
            <w:r>
              <w:rPr>
                <w:rFonts w:hint="eastAsia" w:ascii="仿宋" w:hAnsi="仿宋" w:eastAsia="仿宋" w:cs="仿宋"/>
                <w:lang w:val="en-US" w:eastAsia="zh-CN"/>
              </w:rPr>
              <w:t>1人，</w:t>
            </w:r>
            <w:r>
              <w:rPr>
                <w:rFonts w:hint="eastAsia" w:ascii="仿宋" w:hAnsi="仿宋" w:eastAsia="仿宋" w:cs="仿宋"/>
              </w:rPr>
              <w:t>技术、经济等方面的专家</w:t>
            </w:r>
            <w:r>
              <w:rPr>
                <w:rFonts w:hint="eastAsia" w:ascii="仿宋" w:hAnsi="仿宋" w:eastAsia="仿宋" w:cs="仿宋"/>
                <w:lang w:val="en-US" w:eastAsia="zh-CN"/>
              </w:rPr>
              <w:t>2人</w:t>
            </w:r>
            <w:r>
              <w:rPr>
                <w:rFonts w:hint="eastAsia" w:ascii="仿宋" w:hAnsi="仿宋" w:eastAsia="仿宋" w:cs="仿宋"/>
              </w:rPr>
              <w:t>组成。</w:t>
            </w:r>
          </w:p>
          <w:p>
            <w:pPr>
              <w:pStyle w:val="20"/>
              <w:kinsoku w:val="0"/>
              <w:overflowPunct w:val="0"/>
              <w:spacing w:before="16"/>
              <w:ind w:left="102"/>
              <w:jc w:val="both"/>
              <w:rPr>
                <w:rFonts w:hint="eastAsia" w:ascii="仿宋" w:hAnsi="仿宋" w:eastAsia="仿宋" w:cs="仿宋"/>
              </w:rPr>
            </w:pPr>
            <w:r>
              <w:rPr>
                <w:rFonts w:hint="eastAsia" w:ascii="仿宋" w:hAnsi="仿宋" w:eastAsia="仿宋" w:cs="仿宋"/>
              </w:rPr>
              <w:t>磋商小组确定方式：从专家库中随机抽取。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672" w:type="dxa"/>
            <w:vAlign w:val="center"/>
          </w:tcPr>
          <w:p>
            <w:pPr>
              <w:pStyle w:val="20"/>
              <w:kinsoku w:val="0"/>
              <w:overflowPunct w:val="0"/>
              <w:spacing w:before="72"/>
              <w:jc w:val="center"/>
              <w:rPr>
                <w:rFonts w:hint="eastAsia" w:ascii="仿宋" w:hAnsi="仿宋" w:eastAsia="仿宋" w:cs="仿宋"/>
                <w:lang w:val="en-US" w:eastAsia="zh-CN"/>
              </w:rPr>
            </w:pPr>
            <w:r>
              <w:rPr>
                <w:rFonts w:hint="eastAsia" w:ascii="仿宋" w:hAnsi="仿宋" w:eastAsia="仿宋" w:cs="仿宋"/>
                <w:lang w:val="en-US" w:eastAsia="zh-CN"/>
              </w:rPr>
              <w:t>16</w:t>
            </w:r>
          </w:p>
        </w:tc>
        <w:tc>
          <w:tcPr>
            <w:tcW w:w="10437" w:type="dxa"/>
            <w:vAlign w:val="center"/>
          </w:tcPr>
          <w:p>
            <w:pPr>
              <w:pStyle w:val="20"/>
              <w:kinsoku w:val="0"/>
              <w:overflowPunct w:val="0"/>
              <w:spacing w:before="72"/>
              <w:ind w:left="102"/>
              <w:jc w:val="both"/>
              <w:rPr>
                <w:rFonts w:hint="eastAsia" w:ascii="仿宋" w:hAnsi="仿宋" w:eastAsia="仿宋" w:cs="仿宋"/>
              </w:rPr>
            </w:pPr>
            <w:r>
              <w:rPr>
                <w:rFonts w:hint="eastAsia" w:ascii="仿宋" w:hAnsi="仿宋" w:eastAsia="仿宋" w:cs="仿宋"/>
                <w:b/>
                <w:bCs/>
              </w:rPr>
              <w:t>分包（转让）：</w:t>
            </w:r>
            <w:r>
              <w:rPr>
                <w:rFonts w:hint="eastAsia" w:ascii="仿宋" w:hAnsi="仿宋" w:eastAsia="仿宋" w:cs="仿宋"/>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72" w:type="dxa"/>
            <w:vAlign w:val="center"/>
          </w:tcPr>
          <w:p>
            <w:pPr>
              <w:pStyle w:val="20"/>
              <w:kinsoku w:val="0"/>
              <w:overflowPunct w:val="0"/>
              <w:jc w:val="center"/>
              <w:rPr>
                <w:rFonts w:hint="eastAsia" w:ascii="仿宋" w:hAnsi="仿宋" w:eastAsia="仿宋" w:cs="仿宋"/>
                <w:lang w:val="en-US" w:eastAsia="zh-CN"/>
              </w:rPr>
            </w:pPr>
            <w:r>
              <w:rPr>
                <w:rFonts w:hint="eastAsia" w:ascii="仿宋" w:hAnsi="仿宋" w:eastAsia="仿宋" w:cs="仿宋"/>
                <w:lang w:val="en-US" w:eastAsia="zh-CN"/>
              </w:rPr>
              <w:t>17</w:t>
            </w:r>
          </w:p>
        </w:tc>
        <w:tc>
          <w:tcPr>
            <w:tcW w:w="10437" w:type="dxa"/>
            <w:vAlign w:val="center"/>
          </w:tcPr>
          <w:p>
            <w:pPr>
              <w:pStyle w:val="20"/>
              <w:kinsoku w:val="0"/>
              <w:overflowPunct w:val="0"/>
              <w:spacing w:before="55"/>
              <w:ind w:left="102"/>
              <w:jc w:val="both"/>
              <w:rPr>
                <w:rFonts w:hint="eastAsia" w:ascii="仿宋" w:hAnsi="仿宋" w:eastAsia="仿宋" w:cs="仿宋"/>
              </w:rPr>
            </w:pPr>
            <w:r>
              <w:rPr>
                <w:rFonts w:hint="eastAsia" w:ascii="仿宋" w:hAnsi="仿宋" w:eastAsia="仿宋" w:cs="仿宋"/>
                <w:b/>
                <w:bCs/>
              </w:rPr>
              <w:t>考察现场、磋商前答疑会</w:t>
            </w:r>
            <w:r>
              <w:rPr>
                <w:rFonts w:hint="eastAsia" w:ascii="仿宋" w:hAnsi="仿宋" w:eastAsia="仿宋" w:cs="仿宋"/>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72" w:type="dxa"/>
            <w:vAlign w:val="center"/>
          </w:tcPr>
          <w:p>
            <w:pPr>
              <w:pStyle w:val="20"/>
              <w:kinsoku w:val="0"/>
              <w:overflowPunct w:val="0"/>
              <w:spacing w:before="73"/>
              <w:jc w:val="center"/>
              <w:rPr>
                <w:rFonts w:hint="eastAsia" w:ascii="仿宋" w:hAnsi="仿宋" w:eastAsia="仿宋" w:cs="仿宋"/>
                <w:lang w:val="en-US" w:eastAsia="zh-CN"/>
              </w:rPr>
            </w:pPr>
            <w:r>
              <w:rPr>
                <w:rFonts w:hint="eastAsia" w:ascii="仿宋" w:hAnsi="仿宋" w:eastAsia="仿宋" w:cs="仿宋"/>
                <w:lang w:val="en-US" w:eastAsia="zh-CN"/>
              </w:rPr>
              <w:t>18</w:t>
            </w:r>
          </w:p>
        </w:tc>
        <w:tc>
          <w:tcPr>
            <w:tcW w:w="10437" w:type="dxa"/>
            <w:vAlign w:val="center"/>
          </w:tcPr>
          <w:p>
            <w:pPr>
              <w:pStyle w:val="20"/>
              <w:kinsoku w:val="0"/>
              <w:overflowPunct w:val="0"/>
              <w:spacing w:before="73"/>
              <w:ind w:left="102"/>
              <w:jc w:val="both"/>
              <w:rPr>
                <w:rFonts w:hint="eastAsia" w:ascii="仿宋" w:hAnsi="仿宋" w:eastAsia="仿宋" w:cs="仿宋"/>
              </w:rPr>
            </w:pPr>
            <w:r>
              <w:rPr>
                <w:rFonts w:hint="eastAsia" w:ascii="仿宋" w:hAnsi="仿宋" w:eastAsia="仿宋" w:cs="仿宋"/>
                <w:b/>
                <w:bCs/>
              </w:rPr>
              <w:t>构成竞争性磋商文件的其他文件</w:t>
            </w:r>
            <w:r>
              <w:rPr>
                <w:rFonts w:hint="eastAsia" w:ascii="仿宋" w:hAnsi="仿宋" w:eastAsia="仿宋" w:cs="仿宋"/>
              </w:rPr>
              <w:t>：竞争性磋商文件的澄清、修改书及有关补充通知为竞争性磋商文件的有效组成部分。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72" w:type="dxa"/>
            <w:vAlign w:val="center"/>
          </w:tcPr>
          <w:p>
            <w:pPr>
              <w:pStyle w:val="20"/>
              <w:kinsoku w:val="0"/>
              <w:overflowPunct w:val="0"/>
              <w:spacing w:before="73"/>
              <w:ind w:left="102"/>
              <w:jc w:val="center"/>
              <w:rPr>
                <w:rFonts w:hint="eastAsia" w:ascii="仿宋" w:hAnsi="仿宋" w:eastAsia="仿宋" w:cs="仿宋"/>
                <w:lang w:val="en-US" w:eastAsia="zh-CN"/>
              </w:rPr>
            </w:pPr>
            <w:r>
              <w:rPr>
                <w:rFonts w:hint="eastAsia" w:ascii="仿宋" w:hAnsi="仿宋" w:eastAsia="仿宋" w:cs="仿宋"/>
                <w:lang w:val="en-US" w:eastAsia="zh-CN"/>
              </w:rPr>
              <w:t>19</w:t>
            </w:r>
          </w:p>
        </w:tc>
        <w:tc>
          <w:tcPr>
            <w:tcW w:w="10437" w:type="dxa"/>
            <w:vAlign w:val="center"/>
          </w:tcPr>
          <w:p>
            <w:pPr>
              <w:pStyle w:val="20"/>
              <w:kinsoku w:val="0"/>
              <w:overflowPunct w:val="0"/>
              <w:spacing w:before="73"/>
              <w:ind w:left="102"/>
              <w:jc w:val="both"/>
              <w:rPr>
                <w:rFonts w:hint="eastAsia" w:ascii="仿宋" w:hAnsi="仿宋" w:eastAsia="仿宋" w:cs="仿宋"/>
                <w:b/>
                <w:bCs/>
              </w:rPr>
            </w:pPr>
            <w:r>
              <w:rPr>
                <w:rFonts w:hint="eastAsia" w:ascii="仿宋" w:hAnsi="仿宋" w:eastAsia="仿宋" w:cs="仿宋"/>
                <w:b/>
                <w:bCs/>
              </w:rPr>
              <w:t>投标保证金</w:t>
            </w:r>
          </w:p>
          <w:p>
            <w:pPr>
              <w:pStyle w:val="20"/>
              <w:kinsoku w:val="0"/>
              <w:overflowPunct w:val="0"/>
              <w:spacing w:before="73"/>
              <w:ind w:left="102"/>
              <w:jc w:val="both"/>
              <w:rPr>
                <w:rFonts w:hint="eastAsia" w:ascii="仿宋" w:hAnsi="仿宋" w:eastAsia="仿宋" w:cs="仿宋"/>
              </w:rPr>
            </w:pPr>
            <w:r>
              <w:rPr>
                <w:rFonts w:hint="eastAsia" w:ascii="仿宋" w:hAnsi="仿宋" w:eastAsia="仿宋" w:cs="仿宋"/>
              </w:rPr>
              <w:t>投标保证金的形式：电汇、转账等形式</w:t>
            </w:r>
          </w:p>
          <w:p>
            <w:pPr>
              <w:pStyle w:val="20"/>
              <w:kinsoku w:val="0"/>
              <w:overflowPunct w:val="0"/>
              <w:spacing w:before="73"/>
              <w:ind w:left="102"/>
              <w:jc w:val="both"/>
              <w:rPr>
                <w:rFonts w:hint="eastAsia" w:ascii="仿宋" w:hAnsi="仿宋" w:eastAsia="仿宋" w:cs="仿宋"/>
              </w:rPr>
            </w:pPr>
            <w:r>
              <w:rPr>
                <w:rFonts w:hint="eastAsia" w:ascii="仿宋" w:hAnsi="仿宋" w:eastAsia="仿宋" w:cs="仿宋"/>
              </w:rPr>
              <w:t>投标保证金的金额：</w:t>
            </w:r>
            <w:r>
              <w:rPr>
                <w:rFonts w:hint="eastAsia" w:ascii="仿宋" w:hAnsi="仿宋" w:eastAsia="仿宋" w:cs="仿宋"/>
                <w:lang w:val="en-US" w:eastAsia="zh-CN"/>
              </w:rPr>
              <w:t>贰万元整</w:t>
            </w:r>
          </w:p>
          <w:p>
            <w:pPr>
              <w:pStyle w:val="20"/>
              <w:kinsoku w:val="0"/>
              <w:overflowPunct w:val="0"/>
              <w:spacing w:before="73"/>
              <w:ind w:left="102"/>
              <w:jc w:val="both"/>
              <w:rPr>
                <w:rFonts w:hint="eastAsia" w:ascii="仿宋" w:hAnsi="仿宋" w:eastAsia="仿宋" w:cs="仿宋"/>
              </w:rPr>
            </w:pPr>
            <w:r>
              <w:rPr>
                <w:rFonts w:hint="eastAsia" w:ascii="仿宋" w:hAnsi="仿宋" w:eastAsia="仿宋" w:cs="仿宋"/>
              </w:rPr>
              <w:t>投标保证金必须在</w:t>
            </w:r>
            <w:r>
              <w:rPr>
                <w:rFonts w:hint="eastAsia" w:ascii="仿宋" w:hAnsi="仿宋" w:eastAsia="仿宋" w:cs="仿宋"/>
                <w:lang w:eastAsia="zh-CN"/>
              </w:rPr>
              <w:t>截止时间前</w:t>
            </w:r>
            <w:r>
              <w:rPr>
                <w:rFonts w:hint="eastAsia" w:ascii="仿宋" w:hAnsi="仿宋" w:eastAsia="仿宋" w:cs="仿宋"/>
              </w:rPr>
              <w:t>缴纳至以下账号：</w:t>
            </w:r>
          </w:p>
          <w:p>
            <w:pPr>
              <w:pStyle w:val="20"/>
              <w:kinsoku w:val="0"/>
              <w:overflowPunct w:val="0"/>
              <w:spacing w:before="73"/>
              <w:ind w:left="102"/>
              <w:jc w:val="both"/>
              <w:rPr>
                <w:rFonts w:hint="eastAsia" w:ascii="仿宋" w:hAnsi="仿宋" w:eastAsia="仿宋" w:cs="仿宋"/>
                <w:lang w:eastAsia="zh-CN"/>
              </w:rPr>
            </w:pPr>
            <w:r>
              <w:rPr>
                <w:rFonts w:hint="eastAsia" w:ascii="仿宋" w:hAnsi="仿宋" w:eastAsia="仿宋" w:cs="仿宋"/>
              </w:rPr>
              <w:t>户名：</w:t>
            </w:r>
            <w:r>
              <w:rPr>
                <w:rFonts w:hint="eastAsia" w:ascii="仿宋" w:hAnsi="仿宋" w:eastAsia="仿宋" w:cs="仿宋"/>
                <w:lang w:eastAsia="zh-CN"/>
              </w:rPr>
              <w:t>新疆景诺工程咨询有限公司</w:t>
            </w:r>
          </w:p>
          <w:p>
            <w:pPr>
              <w:pStyle w:val="20"/>
              <w:kinsoku w:val="0"/>
              <w:overflowPunct w:val="0"/>
              <w:spacing w:before="73"/>
              <w:ind w:left="102"/>
              <w:jc w:val="both"/>
              <w:rPr>
                <w:rFonts w:hint="eastAsia" w:ascii="仿宋" w:hAnsi="仿宋" w:eastAsia="仿宋" w:cs="仿宋"/>
              </w:rPr>
            </w:pPr>
            <w:r>
              <w:rPr>
                <w:rFonts w:hint="eastAsia" w:ascii="仿宋" w:hAnsi="仿宋" w:eastAsia="仿宋" w:cs="仿宋"/>
              </w:rPr>
              <w:t>开户行名称：</w:t>
            </w:r>
            <w:r>
              <w:rPr>
                <w:rFonts w:hint="eastAsia" w:ascii="仿宋" w:hAnsi="仿宋" w:eastAsia="仿宋" w:cs="仿宋"/>
                <w:kern w:val="0"/>
                <w:sz w:val="24"/>
                <w:szCs w:val="22"/>
              </w:rPr>
              <w:t>库尔勒银行股份有限公司营业部</w:t>
            </w:r>
          </w:p>
          <w:p>
            <w:pPr>
              <w:pStyle w:val="20"/>
              <w:kinsoku w:val="0"/>
              <w:overflowPunct w:val="0"/>
              <w:spacing w:before="73"/>
              <w:ind w:left="102"/>
              <w:jc w:val="both"/>
              <w:rPr>
                <w:rFonts w:hint="eastAsia" w:ascii="仿宋" w:hAnsi="仿宋" w:eastAsia="仿宋" w:cs="仿宋"/>
              </w:rPr>
            </w:pPr>
            <w:r>
              <w:rPr>
                <w:rFonts w:hint="eastAsia" w:ascii="仿宋" w:hAnsi="仿宋" w:eastAsia="仿宋" w:cs="仿宋"/>
              </w:rPr>
              <w:t>账号：736070100100152727</w:t>
            </w:r>
          </w:p>
          <w:p>
            <w:pPr>
              <w:pStyle w:val="20"/>
              <w:kinsoku w:val="0"/>
              <w:overflowPunct w:val="0"/>
              <w:spacing w:before="73"/>
              <w:ind w:left="102"/>
              <w:jc w:val="both"/>
              <w:rPr>
                <w:rFonts w:hint="eastAsia" w:ascii="仿宋" w:hAnsi="仿宋" w:eastAsia="仿宋" w:cs="仿宋"/>
              </w:rPr>
            </w:pPr>
            <w:r>
              <w:rPr>
                <w:rFonts w:hint="eastAsia" w:ascii="仿宋" w:hAnsi="仿宋" w:eastAsia="仿宋" w:cs="仿宋"/>
              </w:rPr>
              <w:t>投标人办理保证金时，须注明“项目名称+投标保证金”（如字数超出规定字数可简写项目名称）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72" w:type="dxa"/>
            <w:vAlign w:val="center"/>
          </w:tcPr>
          <w:p>
            <w:pPr>
              <w:pStyle w:val="20"/>
              <w:kinsoku w:val="0"/>
              <w:overflowPunct w:val="0"/>
              <w:spacing w:before="73"/>
              <w:jc w:val="center"/>
              <w:rPr>
                <w:rFonts w:hint="eastAsia" w:ascii="仿宋" w:hAnsi="仿宋" w:eastAsia="仿宋" w:cs="仿宋"/>
              </w:rPr>
            </w:pPr>
            <w:r>
              <w:rPr>
                <w:rFonts w:hint="eastAsia" w:ascii="仿宋" w:hAnsi="仿宋" w:eastAsia="仿宋" w:cs="仿宋"/>
              </w:rPr>
              <w:t>21</w:t>
            </w:r>
          </w:p>
        </w:tc>
        <w:tc>
          <w:tcPr>
            <w:tcW w:w="10437" w:type="dxa"/>
            <w:vAlign w:val="center"/>
          </w:tcPr>
          <w:p>
            <w:pPr>
              <w:pStyle w:val="20"/>
              <w:kinsoku w:val="0"/>
              <w:overflowPunct w:val="0"/>
              <w:spacing w:before="57"/>
              <w:ind w:left="102"/>
              <w:jc w:val="both"/>
              <w:rPr>
                <w:rFonts w:hint="eastAsia" w:ascii="仿宋" w:hAnsi="仿宋" w:eastAsia="仿宋" w:cs="仿宋"/>
                <w:b/>
                <w:bCs/>
              </w:rPr>
            </w:pPr>
            <w:r>
              <w:rPr>
                <w:rFonts w:hint="eastAsia" w:ascii="仿宋" w:hAnsi="仿宋" w:eastAsia="仿宋" w:cs="仿宋"/>
                <w:b/>
                <w:bCs/>
              </w:rPr>
              <w:t>投标保证金退还：</w:t>
            </w:r>
          </w:p>
          <w:p>
            <w:pPr>
              <w:pStyle w:val="20"/>
              <w:kinsoku w:val="0"/>
              <w:overflowPunct w:val="0"/>
              <w:jc w:val="both"/>
              <w:rPr>
                <w:rFonts w:hint="eastAsia" w:ascii="仿宋" w:hAnsi="仿宋" w:eastAsia="仿宋" w:cs="仿宋"/>
              </w:rPr>
            </w:pPr>
            <w:r>
              <w:rPr>
                <w:rFonts w:hint="eastAsia" w:ascii="仿宋" w:hAnsi="仿宋" w:eastAsia="仿宋" w:cs="仿宋"/>
              </w:rPr>
              <w:t>未中标供应商的投标保证金，在中标结果公示期满后</w:t>
            </w:r>
            <w:r>
              <w:rPr>
                <w:rFonts w:hint="eastAsia" w:ascii="仿宋" w:hAnsi="仿宋" w:eastAsia="仿宋" w:cs="仿宋"/>
                <w:spacing w:val="-60"/>
              </w:rPr>
              <w:t xml:space="preserve"> </w:t>
            </w:r>
            <w:r>
              <w:rPr>
                <w:rFonts w:hint="eastAsia" w:ascii="仿宋" w:hAnsi="仿宋" w:eastAsia="仿宋" w:cs="仿宋"/>
              </w:rPr>
              <w:t>5</w:t>
            </w:r>
            <w:r>
              <w:rPr>
                <w:rFonts w:hint="eastAsia" w:ascii="仿宋" w:hAnsi="仿宋" w:eastAsia="仿宋" w:cs="仿宋"/>
                <w:spacing w:val="-60"/>
              </w:rPr>
              <w:t xml:space="preserve"> </w:t>
            </w:r>
            <w:r>
              <w:rPr>
                <w:rFonts w:hint="eastAsia" w:ascii="仿宋" w:hAnsi="仿宋" w:eastAsia="仿宋" w:cs="仿宋"/>
              </w:rPr>
              <w:t>个工作日内由招标代理机构退还。</w:t>
            </w:r>
          </w:p>
          <w:p>
            <w:pPr>
              <w:pStyle w:val="20"/>
              <w:kinsoku w:val="0"/>
              <w:overflowPunct w:val="0"/>
              <w:jc w:val="both"/>
              <w:rPr>
                <w:rFonts w:hint="eastAsia" w:ascii="仿宋" w:hAnsi="仿宋" w:eastAsia="仿宋" w:cs="仿宋"/>
              </w:rPr>
            </w:pPr>
            <w:r>
              <w:rPr>
                <w:rFonts w:hint="eastAsia" w:ascii="仿宋" w:hAnsi="仿宋" w:eastAsia="仿宋" w:cs="仿宋"/>
              </w:rPr>
              <w:t>中标供应商的投标保证金，在签订合同后</w:t>
            </w:r>
            <w:r>
              <w:rPr>
                <w:rFonts w:hint="eastAsia" w:ascii="仿宋" w:hAnsi="仿宋" w:eastAsia="仿宋" w:cs="仿宋"/>
                <w:spacing w:val="-60"/>
              </w:rPr>
              <w:t xml:space="preserve"> </w:t>
            </w:r>
            <w:r>
              <w:rPr>
                <w:rFonts w:hint="eastAsia" w:ascii="仿宋" w:hAnsi="仿宋" w:eastAsia="仿宋" w:cs="仿宋"/>
              </w:rPr>
              <w:t>5</w:t>
            </w:r>
            <w:r>
              <w:rPr>
                <w:rFonts w:hint="eastAsia" w:ascii="仿宋" w:hAnsi="仿宋" w:eastAsia="仿宋" w:cs="仿宋"/>
                <w:spacing w:val="-60"/>
              </w:rPr>
              <w:t xml:space="preserve"> </w:t>
            </w:r>
            <w:r>
              <w:rPr>
                <w:rFonts w:hint="eastAsia" w:ascii="仿宋" w:hAnsi="仿宋" w:eastAsia="仿宋" w:cs="仿宋"/>
              </w:rPr>
              <w:t>个工作日内由招标代理机构退还。</w:t>
            </w:r>
          </w:p>
          <w:p>
            <w:pPr>
              <w:pStyle w:val="20"/>
              <w:kinsoku w:val="0"/>
              <w:overflowPunct w:val="0"/>
              <w:spacing w:before="16"/>
              <w:ind w:left="582"/>
              <w:jc w:val="both"/>
              <w:rPr>
                <w:rFonts w:hint="eastAsia" w:ascii="仿宋" w:hAnsi="仿宋" w:eastAsia="仿宋" w:cs="仿宋"/>
              </w:rPr>
            </w:pPr>
            <w:r>
              <w:rPr>
                <w:rFonts w:hint="eastAsia" w:ascii="仿宋" w:hAnsi="仿宋" w:eastAsia="仿宋" w:cs="仿宋"/>
              </w:rPr>
              <w:t>如供应商有下列情形之一的，投标保证金不予退还：</w:t>
            </w:r>
          </w:p>
          <w:p>
            <w:pPr>
              <w:pStyle w:val="20"/>
              <w:kinsoku w:val="0"/>
              <w:overflowPunct w:val="0"/>
              <w:spacing w:before="16"/>
              <w:jc w:val="both"/>
              <w:rPr>
                <w:rFonts w:hint="eastAsia" w:ascii="仿宋" w:hAnsi="仿宋" w:eastAsia="仿宋" w:cs="仿宋"/>
              </w:rPr>
            </w:pPr>
            <w:r>
              <w:rPr>
                <w:rFonts w:hint="eastAsia" w:ascii="仿宋" w:hAnsi="仿宋" w:eastAsia="仿宋" w:cs="仿宋"/>
              </w:rPr>
              <w:t>(1)供应商未按规定的时间、地点参加投标或者开标后投标方撤标的；</w:t>
            </w:r>
          </w:p>
          <w:p>
            <w:pPr>
              <w:pStyle w:val="20"/>
              <w:kinsoku w:val="0"/>
              <w:overflowPunct w:val="0"/>
              <w:jc w:val="both"/>
              <w:rPr>
                <w:rFonts w:hint="eastAsia" w:ascii="仿宋" w:hAnsi="仿宋" w:eastAsia="仿宋" w:cs="仿宋"/>
              </w:rPr>
            </w:pPr>
            <w:r>
              <w:rPr>
                <w:rFonts w:hint="eastAsia" w:ascii="仿宋" w:hAnsi="仿宋" w:eastAsia="仿宋" w:cs="仿宋"/>
              </w:rPr>
              <w:t>(2)中标人在规定期限内未能按规定签订合同的；</w:t>
            </w:r>
          </w:p>
          <w:p>
            <w:pPr>
              <w:pStyle w:val="20"/>
              <w:kinsoku w:val="0"/>
              <w:overflowPunct w:val="0"/>
              <w:jc w:val="both"/>
              <w:rPr>
                <w:rFonts w:hint="eastAsia" w:ascii="仿宋" w:hAnsi="仿宋" w:eastAsia="仿宋" w:cs="仿宋"/>
              </w:rPr>
            </w:pPr>
            <w:r>
              <w:rPr>
                <w:rFonts w:hint="eastAsia" w:ascii="仿宋" w:hAnsi="仿宋" w:eastAsia="仿宋" w:cs="仿宋"/>
              </w:rPr>
              <w:t>(3)供应商在磋商响应性文件中提供虚假资质或证明材料</w:t>
            </w:r>
            <w:r>
              <w:rPr>
                <w:rFonts w:hint="eastAsia" w:ascii="仿宋" w:hAnsi="仿宋" w:eastAsia="仿宋" w:cs="仿宋"/>
                <w:spacing w:val="-94"/>
              </w:rPr>
              <w:t>，</w:t>
            </w:r>
            <w:r>
              <w:rPr>
                <w:rFonts w:hint="eastAsia" w:ascii="仿宋" w:hAnsi="仿宋" w:eastAsia="仿宋" w:cs="仿宋"/>
              </w:rPr>
              <w:t>进行无效投标的；</w:t>
            </w:r>
          </w:p>
          <w:p>
            <w:pPr>
              <w:pStyle w:val="20"/>
              <w:kinsoku w:val="0"/>
              <w:overflowPunct w:val="0"/>
              <w:spacing w:before="57"/>
              <w:jc w:val="both"/>
              <w:rPr>
                <w:rFonts w:hint="eastAsia" w:ascii="仿宋" w:hAnsi="仿宋" w:eastAsia="仿宋" w:cs="仿宋"/>
              </w:rPr>
            </w:pPr>
            <w:r>
              <w:rPr>
                <w:rFonts w:hint="eastAsia" w:ascii="仿宋" w:hAnsi="仿宋" w:eastAsia="仿宋" w:cs="仿宋"/>
              </w:rPr>
              <w:t>(4)有证据证明供应商参与了串标、商业贿赂等违法、违规行为的；</w:t>
            </w:r>
          </w:p>
          <w:p>
            <w:pPr>
              <w:pStyle w:val="20"/>
              <w:kinsoku w:val="0"/>
              <w:overflowPunct w:val="0"/>
              <w:jc w:val="both"/>
              <w:rPr>
                <w:rFonts w:hint="eastAsia" w:ascii="仿宋" w:hAnsi="仿宋" w:eastAsia="仿宋" w:cs="仿宋"/>
              </w:rPr>
            </w:pPr>
            <w:r>
              <w:rPr>
                <w:rFonts w:hint="eastAsia" w:ascii="仿宋" w:hAnsi="仿宋" w:eastAsia="仿宋" w:cs="仿宋"/>
              </w:rPr>
              <w:t>(5)缴纳投标保证金的供应商无正当理由不参加投标，且开标前</w:t>
            </w:r>
            <w:r>
              <w:rPr>
                <w:rFonts w:hint="eastAsia" w:ascii="仿宋" w:hAnsi="仿宋" w:eastAsia="仿宋" w:cs="仿宋"/>
                <w:spacing w:val="-60"/>
              </w:rPr>
              <w:t xml:space="preserve"> </w:t>
            </w:r>
            <w:r>
              <w:rPr>
                <w:rFonts w:hint="eastAsia" w:ascii="仿宋" w:hAnsi="仿宋" w:eastAsia="仿宋" w:cs="仿宋"/>
              </w:rPr>
              <w:t>24</w:t>
            </w:r>
            <w:r>
              <w:rPr>
                <w:rFonts w:hint="eastAsia" w:ascii="仿宋" w:hAnsi="仿宋" w:eastAsia="仿宋" w:cs="仿宋"/>
                <w:spacing w:val="-60"/>
              </w:rPr>
              <w:t xml:space="preserve"> </w:t>
            </w:r>
            <w:r>
              <w:rPr>
                <w:rFonts w:hint="eastAsia" w:ascii="仿宋" w:hAnsi="仿宋" w:eastAsia="仿宋" w:cs="仿宋"/>
              </w:rPr>
              <w:t>小时之前未书面通知招标机构的；</w:t>
            </w:r>
          </w:p>
          <w:p>
            <w:pPr>
              <w:pStyle w:val="20"/>
              <w:kinsoku w:val="0"/>
              <w:overflowPunct w:val="0"/>
              <w:jc w:val="both"/>
              <w:rPr>
                <w:rFonts w:hint="eastAsia" w:ascii="仿宋" w:hAnsi="仿宋" w:eastAsia="仿宋" w:cs="仿宋"/>
              </w:rPr>
            </w:pPr>
            <w:r>
              <w:rPr>
                <w:rFonts w:hint="eastAsia" w:ascii="仿宋" w:hAnsi="仿宋" w:eastAsia="仿宋" w:cs="仿宋"/>
              </w:rPr>
              <w:t>(6)供应商被通知中标后</w:t>
            </w:r>
            <w:r>
              <w:rPr>
                <w:rFonts w:hint="eastAsia" w:ascii="仿宋" w:hAnsi="仿宋" w:eastAsia="仿宋" w:cs="仿宋"/>
                <w:spacing w:val="-94"/>
              </w:rPr>
              <w:t>，</w:t>
            </w:r>
            <w:r>
              <w:rPr>
                <w:rFonts w:hint="eastAsia" w:ascii="仿宋" w:hAnsi="仿宋" w:eastAsia="仿宋" w:cs="仿宋"/>
              </w:rPr>
              <w:t>不按规定的时间或拒绝按中标状态签订合同的（即不按中标时规定的技术要求，投标报价，保修服务等签订合同）；</w:t>
            </w:r>
          </w:p>
          <w:p>
            <w:pPr>
              <w:pStyle w:val="20"/>
              <w:kinsoku w:val="0"/>
              <w:overflowPunct w:val="0"/>
              <w:jc w:val="both"/>
              <w:rPr>
                <w:rFonts w:hint="eastAsia" w:ascii="仿宋" w:hAnsi="仿宋" w:eastAsia="仿宋" w:cs="仿宋"/>
              </w:rPr>
            </w:pPr>
            <w:r>
              <w:rPr>
                <w:rFonts w:hint="eastAsia" w:ascii="仿宋" w:hAnsi="仿宋" w:eastAsia="仿宋" w:cs="仿宋"/>
              </w:rPr>
              <w:t>(7)《竞争性磋商文件》规定的其它情形。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72" w:type="dxa"/>
            <w:vAlign w:val="center"/>
          </w:tcPr>
          <w:p>
            <w:pPr>
              <w:pStyle w:val="20"/>
              <w:kinsoku w:val="0"/>
              <w:overflowPunct w:val="0"/>
              <w:spacing w:before="73"/>
              <w:jc w:val="center"/>
              <w:rPr>
                <w:rFonts w:hint="eastAsia" w:ascii="仿宋" w:hAnsi="仿宋" w:eastAsia="仿宋" w:cs="仿宋"/>
                <w:highlight w:val="none"/>
                <w:lang w:eastAsia="zh-CN"/>
              </w:rPr>
            </w:pPr>
            <w:r>
              <w:rPr>
                <w:rFonts w:hint="eastAsia" w:ascii="仿宋" w:hAnsi="仿宋" w:eastAsia="仿宋" w:cs="仿宋"/>
                <w:highlight w:val="none"/>
              </w:rPr>
              <w:t>2</w:t>
            </w:r>
            <w:r>
              <w:rPr>
                <w:rFonts w:hint="eastAsia" w:ascii="仿宋" w:hAnsi="仿宋" w:eastAsia="仿宋" w:cs="仿宋"/>
                <w:highlight w:val="none"/>
                <w:lang w:val="en-US" w:eastAsia="zh-CN"/>
              </w:rPr>
              <w:t>2</w:t>
            </w:r>
          </w:p>
        </w:tc>
        <w:tc>
          <w:tcPr>
            <w:tcW w:w="10437" w:type="dxa"/>
            <w:vAlign w:val="center"/>
          </w:tcPr>
          <w:p>
            <w:pPr>
              <w:numPr>
                <w:ilvl w:val="0"/>
                <w:numId w:val="0"/>
              </w:numPr>
              <w:overflowPunct w:val="0"/>
              <w:spacing w:line="440" w:lineRule="exact"/>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付款方式、币种、项目合同编号及履约保证金：</w:t>
            </w:r>
          </w:p>
          <w:p>
            <w:pPr>
              <w:numPr>
                <w:ilvl w:val="0"/>
                <w:numId w:val="3"/>
              </w:numPr>
              <w:overflowPunct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付款方式：付款币种：本次招标所述的项目资金均以人民币支付。</w:t>
            </w:r>
          </w:p>
          <w:p>
            <w:pPr>
              <w:numPr>
                <w:ilvl w:val="0"/>
                <w:numId w:val="3"/>
              </w:numPr>
              <w:overflowPunct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付款币种：本次招标所述的项目资金均以人民币支付。</w:t>
            </w:r>
          </w:p>
          <w:p>
            <w:pPr>
              <w:numPr>
                <w:ilvl w:val="0"/>
                <w:numId w:val="3"/>
              </w:numPr>
              <w:overflowPunct w:val="0"/>
              <w:spacing w:line="440" w:lineRule="exact"/>
              <w:rPr>
                <w:rFonts w:hint="eastAsia" w:ascii="仿宋" w:hAnsi="仿宋" w:eastAsia="仿宋" w:cs="仿宋"/>
                <w:sz w:val="24"/>
                <w:highlight w:val="none"/>
                <w:lang w:eastAsia="zh-CN"/>
              </w:rPr>
            </w:pPr>
            <w:r>
              <w:rPr>
                <w:rFonts w:hint="eastAsia" w:ascii="仿宋" w:hAnsi="仿宋" w:eastAsia="仿宋" w:cs="仿宋"/>
                <w:sz w:val="24"/>
                <w:highlight w:val="none"/>
              </w:rPr>
              <w:t>本项目合同编号：</w:t>
            </w:r>
            <w:r>
              <w:rPr>
                <w:rFonts w:hint="eastAsia" w:ascii="仿宋" w:hAnsi="仿宋" w:eastAsia="仿宋" w:cs="仿宋"/>
                <w:sz w:val="24"/>
                <w:highlight w:val="none"/>
                <w:lang w:val="en-US" w:eastAsia="zh-CN"/>
              </w:rPr>
              <w:t>TGJBYJKKC-2021WXYH0013</w:t>
            </w:r>
          </w:p>
          <w:p>
            <w:pPr>
              <w:numPr>
                <w:ilvl w:val="0"/>
                <w:numId w:val="3"/>
              </w:numPr>
              <w:overflowPunct w:val="0"/>
              <w:spacing w:line="440" w:lineRule="exact"/>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履约担保的形式：现金或银行保函。履约担保的金额：签约合同价（不含暂列金）的10%。</w:t>
            </w:r>
          </w:p>
          <w:p>
            <w:pPr>
              <w:pStyle w:val="9"/>
              <w:kinsoku w:val="0"/>
              <w:overflowPunct w:val="0"/>
              <w:spacing w:before="34"/>
              <w:ind w:left="0" w:leftChars="0" w:firstLine="0" w:firstLineChars="0"/>
              <w:jc w:val="both"/>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5、付款方式：1）水闸日常维修养护部分分3次支付，第一次闸门定期检修完成后支付该单项工程合同价款的30%；当年年底支付至该单项工程合同价款的60%；第二次闸门定期检修完成并通过完工验收后支付至该单项工程合同价款的97%；留3%作为质量保证金，质保期1年，质保期内无质量问题且经再次验收合格后支付质量保证金。</w:t>
            </w:r>
          </w:p>
          <w:p>
            <w:pPr>
              <w:pStyle w:val="9"/>
              <w:kinsoku w:val="0"/>
              <w:overflowPunct w:val="0"/>
              <w:spacing w:before="34"/>
              <w:ind w:left="0" w:leftChars="0" w:firstLine="0" w:firstLineChars="0"/>
              <w:jc w:val="both"/>
              <w:rPr>
                <w:rFonts w:hint="eastAsia" w:ascii="仿宋" w:hAnsi="仿宋" w:eastAsia="仿宋" w:cs="仿宋"/>
                <w:sz w:val="24"/>
                <w:highlight w:val="none"/>
                <w:lang w:val="en-US" w:eastAsia="zh-CN"/>
              </w:rPr>
            </w:pPr>
            <w:r>
              <w:rPr>
                <w:rFonts w:hint="eastAsia" w:ascii="仿宋" w:hAnsi="仿宋" w:eastAsia="仿宋" w:cs="仿宋"/>
                <w:kern w:val="2"/>
                <w:sz w:val="24"/>
                <w:szCs w:val="22"/>
                <w:highlight w:val="none"/>
                <w:lang w:val="en-US" w:eastAsia="zh-CN" w:bidi="ar-SA"/>
              </w:rPr>
              <w:t xml:space="preserve">          2）其他维修养护部分按工程进度付款，单项工程完工验收合格后工程款累计支付金额达到单项工程合同价款的90%；完成竣工结算审核后工程款累计支付金额达到审定金额的97%；留审定金额的3%作为质量保证金，质保期1年，质保期内无质量问题且经再次验收合格后支付质量保证金。</w:t>
            </w:r>
          </w:p>
          <w:p>
            <w:pPr>
              <w:numPr>
                <w:ilvl w:val="0"/>
                <w:numId w:val="0"/>
              </w:numPr>
              <w:overflowPunct w:val="0"/>
              <w:spacing w:line="440" w:lineRule="exact"/>
              <w:rPr>
                <w:rFonts w:hint="eastAsia" w:ascii="仿宋" w:hAnsi="仿宋" w:eastAsia="仿宋" w:cs="仿宋"/>
                <w:highlight w:val="none"/>
              </w:rPr>
            </w:pPr>
            <w:r>
              <w:rPr>
                <w:rFonts w:hint="eastAsia" w:ascii="仿宋" w:hAnsi="仿宋" w:eastAsia="仿宋" w:cs="仿宋"/>
                <w:sz w:val="24"/>
                <w:highlight w:val="none"/>
                <w:lang w:val="en-US" w:eastAsia="zh-CN"/>
              </w:rPr>
              <w:t>6、民工工资履约保证金的金额：签约合同价（不含暂列金）的4%，形式：现金或银行保函。</w:t>
            </w:r>
          </w:p>
          <w:p>
            <w:pPr>
              <w:pStyle w:val="20"/>
              <w:kinsoku w:val="0"/>
              <w:overflowPunct w:val="0"/>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备注：最终付款方式以和甲方单位签订合同为主。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72" w:type="dxa"/>
            <w:vAlign w:val="center"/>
          </w:tcPr>
          <w:p>
            <w:pPr>
              <w:pStyle w:val="20"/>
              <w:kinsoku w:val="0"/>
              <w:overflowPunct w:val="0"/>
              <w:spacing w:before="73"/>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23</w:t>
            </w:r>
          </w:p>
        </w:tc>
        <w:tc>
          <w:tcPr>
            <w:tcW w:w="10437" w:type="dxa"/>
            <w:vAlign w:val="center"/>
          </w:tcPr>
          <w:p>
            <w:pPr>
              <w:pStyle w:val="20"/>
              <w:tabs>
                <w:tab w:val="left" w:pos="270"/>
              </w:tabs>
              <w:kinsoku w:val="0"/>
              <w:overflowPunct w:val="0"/>
              <w:jc w:val="both"/>
              <w:rPr>
                <w:rFonts w:hint="eastAsia" w:ascii="仿宋" w:hAnsi="仿宋" w:eastAsia="仿宋" w:cs="仿宋"/>
                <w:color w:val="auto"/>
                <w:spacing w:val="-2"/>
                <w:lang w:eastAsia="zh-CN"/>
              </w:rPr>
            </w:pPr>
            <w:r>
              <w:rPr>
                <w:rFonts w:hint="eastAsia" w:ascii="仿宋" w:hAnsi="仿宋" w:eastAsia="仿宋" w:cs="仿宋"/>
                <w:b/>
                <w:bCs/>
                <w:color w:val="auto"/>
                <w:kern w:val="0"/>
                <w:sz w:val="24"/>
                <w:szCs w:val="24"/>
                <w:lang w:val="en-US" w:eastAsia="zh-CN" w:bidi="ar-SA"/>
              </w:rPr>
              <w:t>公示媒体：</w:t>
            </w:r>
            <w:r>
              <w:rPr>
                <w:rFonts w:hint="eastAsia" w:ascii="仿宋" w:hAnsi="仿宋" w:eastAsia="仿宋" w:cs="仿宋"/>
                <w:color w:val="auto"/>
                <w:spacing w:val="-2"/>
                <w:kern w:val="0"/>
                <w:sz w:val="24"/>
                <w:szCs w:val="24"/>
                <w:lang w:val="en-US" w:eastAsia="zh-CN" w:bidi="ar-SA"/>
              </w:rPr>
              <w:t>新疆政府采购网及塔河网（www.tahe.gov.cn）。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72" w:type="dxa"/>
            <w:vAlign w:val="center"/>
          </w:tcPr>
          <w:p>
            <w:pPr>
              <w:pStyle w:val="20"/>
              <w:kinsoku w:val="0"/>
              <w:overflowPunct w:val="0"/>
              <w:spacing w:before="73"/>
              <w:jc w:val="center"/>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4</w:t>
            </w:r>
          </w:p>
        </w:tc>
        <w:tc>
          <w:tcPr>
            <w:tcW w:w="10437" w:type="dxa"/>
            <w:vAlign w:val="center"/>
          </w:tcPr>
          <w:p>
            <w:pPr>
              <w:pStyle w:val="20"/>
              <w:kinsoku w:val="0"/>
              <w:overflowPunct w:val="0"/>
              <w:spacing w:line="274" w:lineRule="exact"/>
              <w:ind w:left="102"/>
              <w:jc w:val="both"/>
              <w:rPr>
                <w:rFonts w:hint="eastAsia" w:ascii="仿宋" w:hAnsi="仿宋" w:eastAsia="仿宋" w:cs="仿宋"/>
                <w:b/>
                <w:bCs/>
              </w:rPr>
            </w:pPr>
            <w:r>
              <w:rPr>
                <w:rFonts w:hint="eastAsia" w:ascii="仿宋" w:hAnsi="仿宋" w:eastAsia="仿宋" w:cs="仿宋"/>
                <w:b/>
                <w:bCs/>
              </w:rPr>
              <w:t>代理服务费：</w:t>
            </w:r>
          </w:p>
          <w:p>
            <w:pPr>
              <w:pStyle w:val="20"/>
              <w:kinsoku w:val="0"/>
              <w:overflowPunct w:val="0"/>
              <w:ind w:firstLine="472" w:firstLineChars="200"/>
              <w:jc w:val="both"/>
              <w:rPr>
                <w:rFonts w:hint="eastAsia" w:ascii="仿宋" w:hAnsi="仿宋" w:eastAsia="仿宋" w:cs="仿宋"/>
              </w:rPr>
            </w:pPr>
            <w:r>
              <w:rPr>
                <w:rFonts w:hint="eastAsia" w:ascii="仿宋" w:hAnsi="仿宋" w:eastAsia="仿宋" w:cs="仿宋"/>
                <w:spacing w:val="-2"/>
              </w:rPr>
              <w:t>由中标人支付，</w:t>
            </w:r>
            <w:r>
              <w:rPr>
                <w:rFonts w:hint="eastAsia" w:ascii="仿宋" w:hAnsi="仿宋" w:eastAsia="仿宋" w:cs="仿宋"/>
                <w:spacing w:val="-2"/>
                <w:lang w:eastAsia="zh-CN"/>
              </w:rPr>
              <w:t>按中标价的</w:t>
            </w:r>
            <w:r>
              <w:rPr>
                <w:rFonts w:hint="eastAsia" w:ascii="仿宋" w:hAnsi="仿宋" w:eastAsia="仿宋" w:cs="仿宋"/>
                <w:spacing w:val="-2"/>
                <w:lang w:val="en-US" w:eastAsia="zh-CN"/>
              </w:rPr>
              <w:t>1.5%收取，</w:t>
            </w:r>
            <w:r>
              <w:rPr>
                <w:rFonts w:hint="eastAsia" w:ascii="仿宋" w:hAnsi="仿宋" w:eastAsia="仿宋" w:cs="仿宋"/>
                <w:spacing w:val="-2"/>
              </w:rPr>
              <w:t>该代理服务费在中标人领取中标通知书</w:t>
            </w:r>
            <w:r>
              <w:rPr>
                <w:rFonts w:hint="eastAsia" w:ascii="仿宋" w:hAnsi="仿宋" w:eastAsia="仿宋" w:cs="仿宋"/>
                <w:spacing w:val="-2"/>
                <w:lang w:eastAsia="zh-CN"/>
              </w:rPr>
              <w:t>前</w:t>
            </w:r>
            <w:r>
              <w:rPr>
                <w:rFonts w:hint="eastAsia" w:ascii="仿宋" w:hAnsi="仿宋" w:eastAsia="仿宋" w:cs="仿宋"/>
                <w:spacing w:val="-2"/>
              </w:rPr>
              <w:t>向招标代理机构缴纳。此费由投标人综合考虑到投标报价中，不再单独列项。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72" w:type="dxa"/>
            <w:vAlign w:val="center"/>
          </w:tcPr>
          <w:p>
            <w:pPr>
              <w:pStyle w:val="20"/>
              <w:kinsoku w:val="0"/>
              <w:overflowPunct w:val="0"/>
              <w:spacing w:before="73"/>
              <w:jc w:val="center"/>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5</w:t>
            </w:r>
          </w:p>
        </w:tc>
        <w:tc>
          <w:tcPr>
            <w:tcW w:w="10437" w:type="dxa"/>
            <w:vAlign w:val="center"/>
          </w:tcPr>
          <w:p>
            <w:pPr>
              <w:pStyle w:val="20"/>
              <w:kinsoku w:val="0"/>
              <w:overflowPunct w:val="0"/>
              <w:spacing w:line="277" w:lineRule="exact"/>
              <w:ind w:left="102"/>
              <w:jc w:val="both"/>
              <w:rPr>
                <w:rFonts w:hint="eastAsia" w:ascii="仿宋" w:hAnsi="仿宋" w:eastAsia="仿宋" w:cs="仿宋"/>
              </w:rPr>
            </w:pPr>
            <w:r>
              <w:rPr>
                <w:rFonts w:hint="eastAsia" w:ascii="仿宋" w:hAnsi="仿宋" w:eastAsia="仿宋" w:cs="仿宋"/>
              </w:rPr>
              <w:t>采购项目需要落实的政府采购政策:</w:t>
            </w:r>
          </w:p>
          <w:p>
            <w:pPr>
              <w:pStyle w:val="20"/>
              <w:kinsoku w:val="0"/>
              <w:overflowPunct w:val="0"/>
              <w:ind w:left="0" w:firstLine="472" w:firstLineChars="200"/>
              <w:jc w:val="both"/>
              <w:rPr>
                <w:rFonts w:hint="eastAsia" w:ascii="仿宋" w:hAnsi="仿宋" w:eastAsia="仿宋" w:cs="仿宋"/>
                <w:spacing w:val="-2"/>
              </w:rPr>
            </w:pPr>
            <w:r>
              <w:rPr>
                <w:rFonts w:hint="eastAsia" w:ascii="仿宋" w:hAnsi="仿宋" w:eastAsia="仿宋" w:cs="仿宋"/>
                <w:spacing w:val="-2"/>
              </w:rPr>
              <w:t>1、根据《政府采购促进中小企业发展暂行办法》（财库［2011］181号</w:t>
            </w:r>
            <w:r>
              <w:rPr>
                <w:rFonts w:hint="eastAsia" w:ascii="仿宋" w:hAnsi="仿宋" w:eastAsia="仿宋" w:cs="仿宋"/>
                <w:spacing w:val="-2"/>
                <w:lang w:eastAsia="zh-CN"/>
              </w:rPr>
              <w:t>）</w:t>
            </w:r>
            <w:r>
              <w:rPr>
                <w:rFonts w:hint="eastAsia" w:ascii="仿宋" w:hAnsi="仿宋" w:eastAsia="仿宋" w:cs="仿宋"/>
                <w:spacing w:val="-2"/>
              </w:rPr>
              <w:t>和工信部联企业〔2011〕300号文件规定，对小型和微型企业产品的价格给予6%的扣除，用扣除后的价格参与评审；大中型企业和其他自然人、法人或者其他组织与小型、微型企业组成联合体共同参加非专门面向中小企业的政府采购活动的，小微企业的合同金额占联合体协议合同总金额30%以上的，给予联合体 2%-3%的价格扣除，用扣除后的价格参与评审。具体办法详见竞争性磋商文件评标办法和标准；</w:t>
            </w:r>
          </w:p>
          <w:p>
            <w:pPr>
              <w:pStyle w:val="20"/>
              <w:kinsoku w:val="0"/>
              <w:overflowPunct w:val="0"/>
              <w:spacing w:before="38"/>
              <w:ind w:left="102" w:firstLine="472" w:firstLineChars="200"/>
              <w:jc w:val="both"/>
              <w:rPr>
                <w:rFonts w:hint="eastAsia" w:ascii="仿宋" w:hAnsi="仿宋" w:eastAsia="仿宋" w:cs="仿宋"/>
                <w:spacing w:val="-2"/>
              </w:rPr>
            </w:pPr>
            <w:r>
              <w:rPr>
                <w:rFonts w:hint="eastAsia" w:ascii="仿宋" w:hAnsi="仿宋" w:eastAsia="仿宋" w:cs="仿宋"/>
                <w:spacing w:val="-2"/>
              </w:rPr>
              <w:t>2、根据《财政部民政部中国残疾人联合会关于促进残疾人就业政府采购政策的通知》（财库【2017】141 号）文件规定，对满足价格扣除条件且在磋商响应性文件中提交了《残疾人福利性单位声明函》等证明文件的投标人，其投标报价扣除 6%后参与评审。具体办法详见竞争性磋商文件评标办法和标准。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72" w:type="dxa"/>
            <w:vAlign w:val="center"/>
          </w:tcPr>
          <w:p>
            <w:pPr>
              <w:pStyle w:val="20"/>
              <w:kinsoku w:val="0"/>
              <w:overflowPunct w:val="0"/>
              <w:spacing w:before="73"/>
              <w:jc w:val="center"/>
              <w:rPr>
                <w:rFonts w:hint="eastAsia" w:ascii="仿宋" w:hAnsi="仿宋" w:eastAsia="仿宋" w:cs="仿宋"/>
                <w:lang w:val="en-US" w:eastAsia="zh-CN"/>
              </w:rPr>
            </w:pPr>
            <w:r>
              <w:rPr>
                <w:rFonts w:hint="eastAsia" w:ascii="仿宋" w:hAnsi="仿宋" w:eastAsia="仿宋" w:cs="仿宋"/>
                <w:lang w:val="en-US" w:eastAsia="zh-CN"/>
              </w:rPr>
              <w:t>26</w:t>
            </w:r>
          </w:p>
        </w:tc>
        <w:tc>
          <w:tcPr>
            <w:tcW w:w="10437" w:type="dxa"/>
            <w:vAlign w:val="center"/>
          </w:tcPr>
          <w:p>
            <w:pPr>
              <w:pStyle w:val="21"/>
              <w:spacing w:line="440" w:lineRule="exact"/>
              <w:ind w:left="494" w:hanging="496" w:hangingChars="206"/>
              <w:rPr>
                <w:rFonts w:hint="eastAsia" w:ascii="仿宋" w:hAnsi="仿宋" w:eastAsia="仿宋" w:cs="仿宋"/>
                <w:b/>
                <w:bCs/>
                <w:kern w:val="2"/>
              </w:rPr>
            </w:pPr>
            <w:r>
              <w:rPr>
                <w:rFonts w:hint="eastAsia" w:ascii="仿宋" w:hAnsi="仿宋" w:eastAsia="仿宋" w:cs="仿宋"/>
                <w:b/>
                <w:bCs/>
                <w:kern w:val="2"/>
              </w:rPr>
              <w:t>质疑须知</w:t>
            </w:r>
          </w:p>
          <w:p>
            <w:pPr>
              <w:pStyle w:val="21"/>
              <w:spacing w:line="440" w:lineRule="exact"/>
              <w:ind w:left="494" w:hanging="494" w:hangingChars="206"/>
              <w:rPr>
                <w:rFonts w:hint="eastAsia" w:ascii="仿宋" w:hAnsi="仿宋" w:eastAsia="仿宋" w:cs="仿宋"/>
                <w:color w:val="auto"/>
                <w:kern w:val="2"/>
                <w:highlight w:val="none"/>
                <w:lang w:eastAsia="zh-CN"/>
              </w:rPr>
            </w:pPr>
            <w:r>
              <w:rPr>
                <w:rFonts w:hint="eastAsia" w:ascii="仿宋" w:hAnsi="仿宋" w:eastAsia="仿宋" w:cs="仿宋"/>
                <w:color w:val="auto"/>
                <w:kern w:val="2"/>
                <w:highlight w:val="none"/>
              </w:rPr>
              <w:t>接收质疑函的方式：</w:t>
            </w:r>
            <w:r>
              <w:rPr>
                <w:rFonts w:hint="eastAsia" w:ascii="仿宋" w:hAnsi="仿宋" w:eastAsia="仿宋" w:cs="仿宋"/>
                <w:color w:val="auto"/>
                <w:kern w:val="2"/>
                <w:highlight w:val="none"/>
                <w:lang w:val="en-US" w:eastAsia="zh-CN"/>
              </w:rPr>
              <w:t>当面提交</w:t>
            </w:r>
          </w:p>
          <w:p>
            <w:pPr>
              <w:pStyle w:val="21"/>
              <w:spacing w:line="440" w:lineRule="exact"/>
              <w:jc w:val="both"/>
              <w:rPr>
                <w:rFonts w:hint="eastAsia" w:ascii="仿宋" w:hAnsi="仿宋" w:eastAsia="仿宋" w:cs="仿宋"/>
                <w:kern w:val="2"/>
                <w:lang w:eastAsia="zh-CN"/>
              </w:rPr>
            </w:pPr>
            <w:r>
              <w:rPr>
                <w:rFonts w:hint="eastAsia" w:ascii="仿宋" w:hAnsi="仿宋" w:eastAsia="仿宋" w:cs="仿宋"/>
                <w:kern w:val="2"/>
              </w:rPr>
              <w:t>接受质疑的单位：</w:t>
            </w:r>
            <w:r>
              <w:rPr>
                <w:rFonts w:hint="eastAsia" w:ascii="仿宋" w:hAnsi="仿宋" w:eastAsia="仿宋" w:cs="仿宋"/>
                <w:kern w:val="2"/>
                <w:lang w:eastAsia="zh-CN"/>
              </w:rPr>
              <w:t>新疆景诺工程咨询有限公司</w:t>
            </w:r>
          </w:p>
          <w:p>
            <w:pPr>
              <w:pStyle w:val="21"/>
              <w:spacing w:line="440" w:lineRule="exact"/>
              <w:jc w:val="both"/>
              <w:rPr>
                <w:rFonts w:hint="eastAsia" w:ascii="仿宋" w:hAnsi="仿宋" w:eastAsia="仿宋" w:cs="仿宋"/>
                <w:kern w:val="2"/>
              </w:rPr>
            </w:pPr>
            <w:r>
              <w:rPr>
                <w:rFonts w:hint="eastAsia" w:ascii="仿宋" w:hAnsi="仿宋" w:eastAsia="仿宋" w:cs="仿宋"/>
                <w:kern w:val="2"/>
              </w:rPr>
              <w:t>联系电话：0996-2052666</w:t>
            </w:r>
          </w:p>
          <w:p>
            <w:pPr>
              <w:pStyle w:val="20"/>
              <w:kinsoku w:val="0"/>
              <w:overflowPunct w:val="0"/>
              <w:spacing w:before="38"/>
              <w:jc w:val="both"/>
              <w:rPr>
                <w:rFonts w:hint="eastAsia" w:ascii="仿宋" w:hAnsi="仿宋" w:eastAsia="仿宋" w:cs="仿宋"/>
                <w:lang w:val="en-US" w:eastAsia="zh-CN"/>
              </w:rPr>
            </w:pPr>
            <w:r>
              <w:rPr>
                <w:rFonts w:hint="eastAsia" w:ascii="仿宋" w:hAnsi="仿宋" w:eastAsia="仿宋" w:cs="仿宋"/>
                <w:kern w:val="2"/>
              </w:rPr>
              <w:t>地址：</w:t>
            </w:r>
            <w:r>
              <w:rPr>
                <w:rFonts w:hint="eastAsia" w:ascii="仿宋" w:hAnsi="仿宋" w:eastAsia="仿宋" w:cs="仿宋"/>
              </w:rPr>
              <w:t>新疆库尔勒市人民东路</w:t>
            </w:r>
            <w:r>
              <w:rPr>
                <w:rFonts w:hint="eastAsia" w:ascii="仿宋" w:hAnsi="仿宋" w:eastAsia="仿宋" w:cs="仿宋"/>
                <w:lang w:val="en-US" w:eastAsia="zh-CN"/>
              </w:rPr>
              <w:t>富士特大厦4楼</w:t>
            </w:r>
          </w:p>
          <w:p>
            <w:pPr>
              <w:pStyle w:val="20"/>
              <w:kinsoku w:val="0"/>
              <w:overflowPunct w:val="0"/>
              <w:spacing w:before="38"/>
              <w:jc w:val="both"/>
              <w:rPr>
                <w:rFonts w:hint="eastAsia" w:ascii="仿宋" w:hAnsi="仿宋" w:eastAsia="仿宋" w:cs="仿宋"/>
                <w:lang w:val="en-US" w:eastAsia="zh-CN"/>
              </w:rPr>
            </w:pPr>
            <w:r>
              <w:rPr>
                <w:rFonts w:hint="eastAsia" w:ascii="仿宋" w:hAnsi="仿宋" w:eastAsia="仿宋" w:cs="仿宋"/>
                <w:lang w:val="en-US" w:eastAsia="zh-CN"/>
              </w:rPr>
              <w:t>质疑时间：收到采购文件之日起七个工作日内。</w:t>
            </w:r>
          </w:p>
          <w:p>
            <w:pPr>
              <w:pStyle w:val="20"/>
              <w:kinsoku w:val="0"/>
              <w:overflowPunct w:val="0"/>
              <w:spacing w:before="38"/>
              <w:jc w:val="both"/>
              <w:rPr>
                <w:rFonts w:hint="eastAsia" w:ascii="仿宋" w:hAnsi="仿宋" w:eastAsia="仿宋" w:cs="仿宋"/>
                <w:lang w:val="en-US" w:eastAsia="zh-CN"/>
              </w:rPr>
            </w:pPr>
            <w:r>
              <w:rPr>
                <w:rFonts w:hint="eastAsia" w:ascii="仿宋" w:hAnsi="仿宋" w:eastAsia="仿宋" w:cs="仿宋"/>
                <w:lang w:val="en-US" w:eastAsia="zh-CN"/>
              </w:rPr>
              <w:t>备注：供应商应当在法定质疑期内一次性提出针对统一采购程序环节的质疑。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72" w:type="dxa"/>
            <w:vAlign w:val="center"/>
          </w:tcPr>
          <w:p>
            <w:pPr>
              <w:pStyle w:val="20"/>
              <w:kinsoku w:val="0"/>
              <w:overflowPunct w:val="0"/>
              <w:spacing w:before="73"/>
              <w:jc w:val="center"/>
              <w:rPr>
                <w:rFonts w:hint="eastAsia" w:ascii="仿宋" w:hAnsi="仿宋" w:eastAsia="仿宋" w:cs="仿宋"/>
                <w:lang w:val="en-US" w:eastAsia="zh-CN"/>
              </w:rPr>
            </w:pPr>
            <w:r>
              <w:rPr>
                <w:rFonts w:hint="eastAsia" w:ascii="仿宋" w:hAnsi="仿宋" w:eastAsia="仿宋" w:cs="仿宋"/>
                <w:lang w:val="en-US" w:eastAsia="zh-CN"/>
              </w:rPr>
              <w:t>27</w:t>
            </w:r>
          </w:p>
        </w:tc>
        <w:tc>
          <w:tcPr>
            <w:tcW w:w="10437" w:type="dxa"/>
            <w:vAlign w:val="center"/>
          </w:tcPr>
          <w:p>
            <w:pPr>
              <w:pStyle w:val="20"/>
              <w:kinsoku w:val="0"/>
              <w:overflowPunct w:val="0"/>
              <w:spacing w:before="38"/>
              <w:jc w:val="both"/>
              <w:rPr>
                <w:rFonts w:hint="eastAsia" w:ascii="仿宋" w:hAnsi="仿宋" w:eastAsia="仿宋" w:cs="仿宋"/>
                <w:b/>
                <w:bCs/>
                <w:kern w:val="2"/>
                <w:sz w:val="24"/>
                <w:szCs w:val="22"/>
                <w:lang w:val="en-US" w:eastAsia="zh-CN" w:bidi="ar-SA"/>
              </w:rPr>
            </w:pPr>
            <w:r>
              <w:rPr>
                <w:rFonts w:hint="eastAsia" w:ascii="仿宋" w:hAnsi="仿宋" w:eastAsia="仿宋" w:cs="仿宋"/>
                <w:b/>
                <w:bCs/>
                <w:kern w:val="2"/>
                <w:sz w:val="24"/>
                <w:szCs w:val="22"/>
                <w:lang w:val="en-US" w:eastAsia="zh-CN" w:bidi="ar-SA"/>
              </w:rPr>
              <w:t>备注：</w:t>
            </w:r>
          </w:p>
          <w:p>
            <w:pPr>
              <w:spacing w:line="440" w:lineRule="exact"/>
              <w:rPr>
                <w:rFonts w:hint="eastAsia" w:ascii="仿宋" w:hAnsi="仿宋" w:eastAsia="仿宋" w:cs="仿宋"/>
                <w:sz w:val="24"/>
                <w:szCs w:val="22"/>
              </w:rPr>
            </w:pPr>
            <w:r>
              <w:rPr>
                <w:rFonts w:hint="eastAsia" w:ascii="仿宋" w:hAnsi="仿宋" w:eastAsia="仿宋" w:cs="仿宋"/>
                <w:sz w:val="24"/>
                <w:szCs w:val="22"/>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pPr>
              <w:spacing w:line="440" w:lineRule="exact"/>
              <w:rPr>
                <w:rFonts w:hint="eastAsia" w:ascii="仿宋" w:hAnsi="仿宋" w:eastAsia="仿宋" w:cs="仿宋"/>
                <w:sz w:val="24"/>
                <w:szCs w:val="22"/>
              </w:rPr>
            </w:pPr>
            <w:r>
              <w:rPr>
                <w:rFonts w:hint="eastAsia" w:ascii="仿宋" w:hAnsi="仿宋" w:eastAsia="仿宋" w:cs="仿宋"/>
                <w:sz w:val="24"/>
                <w:szCs w:val="22"/>
              </w:rPr>
              <w:t>2、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pPr>
              <w:pStyle w:val="20"/>
              <w:kinsoku w:val="0"/>
              <w:overflowPunct w:val="0"/>
              <w:spacing w:before="38"/>
              <w:jc w:val="both"/>
              <w:rPr>
                <w:rFonts w:hint="eastAsia" w:ascii="仿宋" w:hAnsi="仿宋" w:eastAsia="仿宋" w:cs="仿宋"/>
                <w:b/>
                <w:bCs/>
                <w:kern w:val="2"/>
                <w:sz w:val="24"/>
                <w:szCs w:val="22"/>
                <w:lang w:val="en-US" w:eastAsia="zh-CN" w:bidi="ar-SA"/>
              </w:rPr>
            </w:pPr>
            <w:r>
              <w:rPr>
                <w:rFonts w:hint="eastAsia" w:ascii="仿宋" w:hAnsi="仿宋" w:eastAsia="仿宋" w:cs="仿宋"/>
                <w:sz w:val="24"/>
                <w:szCs w:val="22"/>
              </w:rPr>
              <w:t>3、本项目为电子招投标，投标人需要使用CA加密设备，凡参加本项目必须</w:t>
            </w:r>
            <w:r>
              <w:rPr>
                <w:rFonts w:hint="eastAsia" w:ascii="仿宋" w:hAnsi="仿宋" w:eastAsia="仿宋" w:cs="仿宋"/>
                <w:sz w:val="24"/>
                <w:szCs w:val="22"/>
                <w:lang w:val="en-US" w:eastAsia="zh-CN"/>
              </w:rPr>
              <w:t>投标人自行</w:t>
            </w:r>
            <w:r>
              <w:rPr>
                <w:rFonts w:hint="eastAsia" w:ascii="仿宋" w:hAnsi="仿宋" w:eastAsia="仿宋" w:cs="仿宋"/>
                <w:sz w:val="24"/>
                <w:szCs w:val="22"/>
              </w:rPr>
              <w:t>进行申领。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72" w:type="dxa"/>
            <w:vAlign w:val="center"/>
          </w:tcPr>
          <w:p>
            <w:pPr>
              <w:pStyle w:val="20"/>
              <w:kinsoku w:val="0"/>
              <w:overflowPunct w:val="0"/>
              <w:spacing w:before="73"/>
              <w:jc w:val="center"/>
              <w:rPr>
                <w:rFonts w:hint="eastAsia" w:ascii="仿宋" w:hAnsi="仿宋" w:eastAsia="仿宋" w:cs="仿宋"/>
                <w:lang w:val="en-US" w:eastAsia="zh-CN"/>
              </w:rPr>
            </w:pPr>
            <w:r>
              <w:rPr>
                <w:rFonts w:hint="eastAsia" w:ascii="仿宋" w:hAnsi="仿宋" w:eastAsia="仿宋" w:cs="仿宋"/>
                <w:lang w:val="en-US" w:eastAsia="zh-CN"/>
              </w:rPr>
              <w:t>28</w:t>
            </w:r>
          </w:p>
        </w:tc>
        <w:tc>
          <w:tcPr>
            <w:tcW w:w="10437" w:type="dxa"/>
            <w:vAlign w:val="center"/>
          </w:tcPr>
          <w:p>
            <w:pPr>
              <w:spacing w:line="440" w:lineRule="exact"/>
              <w:rPr>
                <w:rFonts w:hint="eastAsia" w:ascii="仿宋" w:hAnsi="仿宋" w:eastAsia="仿宋" w:cs="仿宋"/>
                <w:b/>
                <w:sz w:val="24"/>
              </w:rPr>
            </w:pPr>
            <w:r>
              <w:rPr>
                <w:rFonts w:hint="eastAsia" w:ascii="仿宋" w:hAnsi="仿宋" w:eastAsia="仿宋" w:cs="仿宋"/>
                <w:b/>
                <w:bCs w:val="0"/>
                <w:sz w:val="24"/>
                <w:szCs w:val="22"/>
                <w:lang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2" w:type="dxa"/>
            <w:vAlign w:val="center"/>
          </w:tcPr>
          <w:p>
            <w:pPr>
              <w:pStyle w:val="20"/>
              <w:kinsoku w:val="0"/>
              <w:overflowPunct w:val="0"/>
              <w:spacing w:before="73"/>
              <w:jc w:val="center"/>
              <w:rPr>
                <w:rFonts w:hint="eastAsia" w:ascii="仿宋" w:hAnsi="仿宋" w:eastAsia="仿宋" w:cs="仿宋"/>
                <w:lang w:val="en-US" w:eastAsia="zh-CN"/>
              </w:rPr>
            </w:pPr>
            <w:r>
              <w:rPr>
                <w:rFonts w:hint="eastAsia" w:ascii="仿宋" w:hAnsi="仿宋" w:eastAsia="仿宋" w:cs="仿宋"/>
                <w:lang w:val="en-US" w:eastAsia="zh-CN"/>
              </w:rPr>
              <w:t>29</w:t>
            </w:r>
          </w:p>
        </w:tc>
        <w:tc>
          <w:tcPr>
            <w:tcW w:w="10437" w:type="dxa"/>
            <w:vAlign w:val="center"/>
          </w:tcPr>
          <w:p>
            <w:pPr>
              <w:spacing w:line="440" w:lineRule="exact"/>
              <w:rPr>
                <w:rFonts w:hint="eastAsia" w:ascii="仿宋" w:hAnsi="仿宋" w:eastAsia="仿宋" w:cs="仿宋"/>
                <w:sz w:val="24"/>
                <w:szCs w:val="22"/>
              </w:rPr>
            </w:pPr>
            <w:r>
              <w:rPr>
                <w:rFonts w:hint="eastAsia" w:ascii="仿宋" w:hAnsi="仿宋" w:eastAsia="仿宋" w:cs="仿宋"/>
                <w:b/>
                <w:bCs/>
                <w:kern w:val="2"/>
                <w:sz w:val="24"/>
                <w:szCs w:val="22"/>
                <w:lang w:val="en-US" w:eastAsia="zh-CN" w:bidi="ar-SA"/>
              </w:rPr>
              <w:t>提示：</w:t>
            </w:r>
            <w:r>
              <w:rPr>
                <w:rFonts w:hint="eastAsia" w:ascii="仿宋" w:hAnsi="仿宋" w:eastAsia="仿宋" w:cs="仿宋"/>
                <w:sz w:val="24"/>
                <w:szCs w:val="22"/>
              </w:rPr>
              <w:t>（1）采购机构将拒绝接受未获取招标文件供应商的投标文件。</w:t>
            </w:r>
          </w:p>
          <w:p>
            <w:pPr>
              <w:spacing w:line="440" w:lineRule="exact"/>
              <w:rPr>
                <w:rFonts w:hint="eastAsia" w:ascii="仿宋" w:hAnsi="仿宋" w:eastAsia="仿宋" w:cs="仿宋"/>
                <w:sz w:val="24"/>
                <w:szCs w:val="22"/>
              </w:rPr>
            </w:pPr>
            <w:r>
              <w:rPr>
                <w:rFonts w:hint="eastAsia" w:ascii="仿宋" w:hAnsi="仿宋" w:eastAsia="仿宋" w:cs="仿宋"/>
                <w:sz w:val="24"/>
                <w:szCs w:val="22"/>
              </w:rPr>
              <w:t>（2）招标文件的提供期限截止之日之后有潜在供应商提出获取招标文件的，采购机构将允许其获取。</w:t>
            </w:r>
          </w:p>
          <w:p>
            <w:pPr>
              <w:spacing w:line="440" w:lineRule="exact"/>
              <w:rPr>
                <w:rFonts w:hint="eastAsia" w:ascii="仿宋" w:hAnsi="仿宋" w:eastAsia="仿宋" w:cs="仿宋"/>
                <w:sz w:val="24"/>
                <w:szCs w:val="22"/>
              </w:rPr>
            </w:pPr>
            <w:r>
              <w:rPr>
                <w:rFonts w:hint="eastAsia" w:ascii="仿宋" w:hAnsi="仿宋" w:eastAsia="仿宋" w:cs="仿宋"/>
                <w:sz w:val="24"/>
                <w:szCs w:val="22"/>
              </w:rPr>
              <w:t>（3）供应商认为采购文件使自己的权益受到损害的，可以自获取采购文件之日或者采购公告期限届满之日（公告期限届满后获取采购文件的，以公告期限届满之日为准）起7个工作日内，向采购人和采购代理机构提出质疑。对未按上述方式获取招标文件的供应商对该文件提出的质疑，采购人或采购代理机构将不予处理。</w:t>
            </w:r>
          </w:p>
          <w:p>
            <w:pPr>
              <w:spacing w:line="440" w:lineRule="exact"/>
              <w:rPr>
                <w:rFonts w:hint="eastAsia" w:ascii="仿宋" w:hAnsi="仿宋" w:eastAsia="仿宋" w:cs="仿宋"/>
                <w:lang w:eastAsia="zh-CN"/>
              </w:rPr>
            </w:pPr>
            <w:r>
              <w:rPr>
                <w:rFonts w:hint="eastAsia" w:ascii="仿宋" w:hAnsi="仿宋" w:eastAsia="仿宋" w:cs="仿宋"/>
                <w:sz w:val="24"/>
                <w:szCs w:val="22"/>
              </w:rPr>
              <w:t>（4）更正补充公告请自行登录新疆政府采购网查看下载。</w:t>
            </w:r>
          </w:p>
        </w:tc>
      </w:tr>
    </w:tbl>
    <w:p>
      <w:pPr>
        <w:pStyle w:val="4"/>
        <w:rPr>
          <w:rFonts w:hint="eastAsia" w:ascii="仿宋" w:hAnsi="仿宋" w:eastAsia="仿宋" w:cs="仿宋"/>
        </w:rPr>
      </w:pPr>
      <w:r>
        <w:rPr>
          <w:rFonts w:hint="eastAsia" w:ascii="仿宋" w:hAnsi="仿宋" w:eastAsia="仿宋" w:cs="仿宋"/>
        </w:rPr>
        <w:br w:type="page"/>
      </w:r>
      <w:bookmarkStart w:id="5" w:name="_Toc12690"/>
      <w:r>
        <w:rPr>
          <w:rFonts w:hint="eastAsia" w:ascii="仿宋" w:hAnsi="仿宋" w:eastAsia="仿宋" w:cs="仿宋"/>
        </w:rPr>
        <w:t>（二）供应商须知</w:t>
      </w:r>
      <w:bookmarkEnd w:id="5"/>
    </w:p>
    <w:p>
      <w:pPr>
        <w:pStyle w:val="9"/>
        <w:kinsoku w:val="0"/>
        <w:overflowPunct w:val="0"/>
        <w:spacing w:before="47" w:line="264" w:lineRule="auto"/>
        <w:ind w:right="5041"/>
        <w:rPr>
          <w:rFonts w:hint="eastAsia" w:ascii="仿宋" w:hAnsi="仿宋" w:eastAsia="仿宋" w:cs="仿宋"/>
          <w:b/>
          <w:bCs/>
        </w:rPr>
      </w:pPr>
      <w:r>
        <w:rPr>
          <w:rFonts w:hint="eastAsia" w:ascii="仿宋" w:hAnsi="仿宋" w:eastAsia="仿宋" w:cs="仿宋"/>
          <w:b/>
          <w:bCs/>
        </w:rPr>
        <w:t>1、综合说明</w:t>
      </w:r>
    </w:p>
    <w:p>
      <w:pPr>
        <w:pStyle w:val="9"/>
        <w:kinsoku w:val="0"/>
        <w:overflowPunct w:val="0"/>
        <w:spacing w:before="130" w:line="355" w:lineRule="auto"/>
        <w:ind w:left="0" w:right="7" w:firstLine="480"/>
        <w:rPr>
          <w:rFonts w:hint="eastAsia" w:ascii="仿宋" w:hAnsi="仿宋" w:eastAsia="仿宋" w:cs="仿宋"/>
          <w:spacing w:val="4"/>
        </w:rPr>
      </w:pPr>
      <w:r>
        <w:rPr>
          <w:rFonts w:hint="eastAsia" w:ascii="仿宋" w:hAnsi="仿宋" w:eastAsia="仿宋" w:cs="仿宋"/>
          <w:spacing w:val="4"/>
        </w:rPr>
        <w:t>本项目按照《中华人民共和国政府采购法》、《中华人民共和国政府采购法实施条 例》、《政府采购货物和服务招标投标管理办法》、《政府购买服务管理办法（暂行）》、《政府采购竞争性磋商采购方式管理暂行办法》、《财政部关于政府采购竞争性磋商采购方式管理暂行办法有关问题的补充通知》及相关法规，已办理政府采购相关手续，并得到行业主管部门批准，现通过招标来择优选定为本项目提供服务的供应商。本竞争性磋商文件包括本文所列内容及按本须知发出的全部和补充资料。供应商应认真阅读本竞争性磋商文件中所有的事项、格式、条款、技术规范等实质性的条件和要求，并熟悉本招标项目的全部内容及与履行合同有关的全部内容，熟悉竞争性磋商文件的格式、条件和范围。供应商没有按照竞争性磋商文件的要求提交相关资料，或者供应商没有对竞争性磋商文件相关内容都做出实质性响应是供应商的风险，并可能导致其投标无效，其风险由投标供应商自行承担。</w:t>
      </w:r>
    </w:p>
    <w:p>
      <w:pPr>
        <w:pStyle w:val="9"/>
        <w:kinsoku w:val="0"/>
        <w:overflowPunct w:val="0"/>
        <w:spacing w:before="47" w:line="264" w:lineRule="auto"/>
        <w:ind w:right="5041"/>
        <w:rPr>
          <w:rFonts w:hint="eastAsia" w:ascii="仿宋" w:hAnsi="仿宋" w:eastAsia="仿宋" w:cs="仿宋"/>
          <w:b/>
          <w:bCs/>
        </w:rPr>
      </w:pPr>
      <w:r>
        <w:rPr>
          <w:rFonts w:hint="eastAsia" w:ascii="仿宋" w:hAnsi="仿宋" w:eastAsia="仿宋" w:cs="仿宋"/>
          <w:b/>
          <w:bCs/>
        </w:rPr>
        <w:t>2.适用范围</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本竞争性磋商文件仅适用于本次磋商所叙述的磋商项目。</w:t>
      </w:r>
    </w:p>
    <w:p>
      <w:pPr>
        <w:pStyle w:val="9"/>
        <w:kinsoku w:val="0"/>
        <w:overflowPunct w:val="0"/>
        <w:spacing w:before="38"/>
        <w:rPr>
          <w:rFonts w:hint="eastAsia" w:ascii="仿宋" w:hAnsi="仿宋" w:eastAsia="仿宋" w:cs="仿宋"/>
        </w:rPr>
      </w:pPr>
      <w:r>
        <w:rPr>
          <w:rFonts w:hint="eastAsia" w:ascii="仿宋" w:hAnsi="仿宋" w:eastAsia="仿宋" w:cs="仿宋"/>
          <w:b/>
          <w:bCs/>
          <w:spacing w:val="-1"/>
        </w:rPr>
        <w:t>3.定义</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3.1 “政府采购当事人”系指在政府采购活动中享有权利和承担义务的各类主体，包括采购人、供应商和招标代理机构。</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3.2 “采购人”系指</w:t>
      </w:r>
      <w:r>
        <w:rPr>
          <w:rFonts w:hint="eastAsia" w:ascii="仿宋" w:hAnsi="仿宋" w:eastAsia="仿宋" w:cs="仿宋"/>
          <w:spacing w:val="4"/>
          <w:lang w:val="en-US" w:eastAsia="zh-CN"/>
        </w:rPr>
        <w:t>新疆维吾尔自治区塔里木河流域巴音郭楞管理局开都-孔雀河管理处</w:t>
      </w:r>
      <w:r>
        <w:rPr>
          <w:rFonts w:hint="eastAsia" w:ascii="仿宋" w:hAnsi="仿宋" w:eastAsia="仿宋" w:cs="仿宋"/>
          <w:spacing w:val="4"/>
        </w:rPr>
        <w:t>；</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3.3 “招标代理机构”系指</w:t>
      </w:r>
      <w:r>
        <w:rPr>
          <w:rFonts w:hint="eastAsia" w:ascii="仿宋" w:hAnsi="仿宋" w:eastAsia="仿宋" w:cs="仿宋"/>
          <w:spacing w:val="4"/>
          <w:lang w:eastAsia="zh-CN"/>
        </w:rPr>
        <w:t>新疆景诺工程咨询有限公司</w:t>
      </w:r>
      <w:r>
        <w:rPr>
          <w:rFonts w:hint="eastAsia" w:ascii="仿宋" w:hAnsi="仿宋" w:eastAsia="仿宋" w:cs="仿宋"/>
          <w:spacing w:val="4"/>
        </w:rPr>
        <w:t>；</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3.4 “供应商、磋商单位、响应人”系指符合本磋商项目资质要求，参加磋商竞争的法人机构或其他组织。</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3.5 “竞争性磋商文件”系指由采购人和招标代理机构发出的文本、文件，包括全部章节和附件及答疑会议纪要。</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3.6 “磋商响应性文件”系指供应商根据本《竞争性磋商文件》向采购人提交的全部文件。</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3.7 “采购文件”系指包括采购活动的记录、采购预算、竞争性磋商文件、磋商响应性文件、评标标准、评估报告、定标文件、合同文本、验收证明、质疑答复、投诉处理决定及其他有关文件、资料。</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3.8 “书面形式”系指任何手写、打印或印刷的各种函件，不包括电传、电报、传真、电子邮件。</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3.9 “货物”系指供应商中标后根据竞争性磋商文件和合同的规定须向采购人提供的各种形态和种类的货物。</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3.10“服务”系指供应商中标后根据竞争性磋商文件和合同的规定承担有关的服务。</w:t>
      </w:r>
    </w:p>
    <w:p>
      <w:pPr>
        <w:pStyle w:val="9"/>
        <w:kinsoku w:val="0"/>
        <w:overflowPunct w:val="0"/>
        <w:spacing w:before="38"/>
        <w:rPr>
          <w:rFonts w:hint="eastAsia" w:ascii="仿宋" w:hAnsi="仿宋" w:eastAsia="仿宋" w:cs="仿宋"/>
        </w:rPr>
      </w:pPr>
      <w:r>
        <w:rPr>
          <w:rFonts w:hint="eastAsia" w:ascii="仿宋" w:hAnsi="仿宋" w:eastAsia="仿宋" w:cs="仿宋"/>
          <w:b/>
          <w:bCs/>
        </w:rPr>
        <w:t>4.合格的供应商</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4.1 具备“供应商须知前附表”第六款的基本条件；</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4.2 凡是符合国家工商行政管理部门登记审核，具有相应生产经营许可的，有一定技术实力和生产规模，并有能力提供招标货物的生产商。</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4.3 投标单位不得直接或间接地与本次招标进行设计、编制规范和其他文件所委托的咨询公司或其附属机构有任何关联；</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4.4 投标单位与采购人存在利害关系可能影响招标公正性的法人、其他组织或个人，不得参加投标。单位负责人为同一人或者存在控股、管理关系的不同单位，不得参加同一标段投标或者未划分标段的同一招标项目投标；</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4.5 遵守国家有关的法律、法规和条例及《竞争性磋商文件》的规定。</w:t>
      </w:r>
    </w:p>
    <w:p>
      <w:pPr>
        <w:pStyle w:val="9"/>
        <w:kinsoku w:val="0"/>
        <w:overflowPunct w:val="0"/>
        <w:spacing w:before="151"/>
        <w:rPr>
          <w:rFonts w:hint="eastAsia" w:ascii="仿宋" w:hAnsi="仿宋" w:eastAsia="仿宋" w:cs="仿宋"/>
        </w:rPr>
      </w:pPr>
      <w:r>
        <w:rPr>
          <w:rFonts w:hint="eastAsia" w:ascii="仿宋" w:hAnsi="仿宋" w:eastAsia="仿宋" w:cs="仿宋"/>
          <w:b/>
          <w:bCs/>
        </w:rPr>
        <w:t>5.费用承担</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供应商应承担与招标代理活动有关的一切费用。不论招标的结果如何，招标代理机构和采购人在任何情况下均无义务和责任承担这些费用。</w:t>
      </w:r>
    </w:p>
    <w:p>
      <w:pPr>
        <w:pStyle w:val="9"/>
        <w:kinsoku w:val="0"/>
        <w:overflowPunct w:val="0"/>
        <w:spacing w:before="38"/>
        <w:rPr>
          <w:rFonts w:hint="eastAsia" w:ascii="仿宋" w:hAnsi="仿宋" w:eastAsia="仿宋" w:cs="仿宋"/>
        </w:rPr>
      </w:pPr>
      <w:r>
        <w:rPr>
          <w:rFonts w:hint="eastAsia" w:ascii="仿宋" w:hAnsi="仿宋" w:eastAsia="仿宋" w:cs="仿宋"/>
          <w:b/>
          <w:bCs/>
        </w:rPr>
        <w:t>6.</w:t>
      </w:r>
      <w:r>
        <w:rPr>
          <w:rFonts w:hint="eastAsia" w:ascii="仿宋" w:hAnsi="仿宋" w:eastAsia="仿宋" w:cs="仿宋"/>
          <w:spacing w:val="4"/>
          <w:kern w:val="2"/>
          <w:sz w:val="21"/>
          <w:szCs w:val="22"/>
        </w:rPr>
        <w:t xml:space="preserve"> </w:t>
      </w:r>
      <w:r>
        <w:rPr>
          <w:rFonts w:hint="eastAsia" w:ascii="仿宋" w:hAnsi="仿宋" w:eastAsia="仿宋" w:cs="仿宋"/>
          <w:b/>
          <w:bCs/>
        </w:rPr>
        <w:t>招标代理服务费</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bCs/>
        </w:rPr>
        <w:t>成交供应商</w:t>
      </w:r>
      <w:r>
        <w:rPr>
          <w:rFonts w:hint="eastAsia" w:ascii="仿宋" w:hAnsi="仿宋" w:eastAsia="仿宋" w:cs="仿宋"/>
          <w:spacing w:val="4"/>
        </w:rPr>
        <w:t>应承担所有与准备和参加磋商有关的费用。不论磋商的结果如何，招标代理机构和采购人均无义务和责任承担这些费用；</w:t>
      </w:r>
    </w:p>
    <w:p>
      <w:pPr>
        <w:pStyle w:val="9"/>
        <w:kinsoku w:val="0"/>
        <w:overflowPunct w:val="0"/>
        <w:spacing w:before="130" w:line="355" w:lineRule="auto"/>
        <w:ind w:right="7" w:firstLine="480"/>
        <w:rPr>
          <w:rFonts w:hint="eastAsia" w:ascii="仿宋" w:hAnsi="仿宋" w:eastAsia="仿宋" w:cs="仿宋"/>
          <w:bCs/>
          <w:lang w:val="en-US" w:eastAsia="zh-CN"/>
        </w:rPr>
      </w:pPr>
      <w:r>
        <w:rPr>
          <w:rFonts w:hint="eastAsia" w:ascii="仿宋" w:hAnsi="仿宋" w:eastAsia="仿宋" w:cs="仿宋"/>
          <w:bCs/>
        </w:rPr>
        <w:t>成交供应商在领取《成交通知书》时须一次性付给采购代理单位采购代理服务费，招标代理服务费</w:t>
      </w:r>
      <w:r>
        <w:rPr>
          <w:rFonts w:hint="eastAsia" w:ascii="仿宋" w:hAnsi="仿宋" w:eastAsia="仿宋" w:cs="仿宋"/>
          <w:bCs/>
          <w:lang w:eastAsia="zh-CN"/>
        </w:rPr>
        <w:t>按中标价的</w:t>
      </w:r>
      <w:r>
        <w:rPr>
          <w:rFonts w:hint="eastAsia" w:ascii="仿宋" w:hAnsi="仿宋" w:eastAsia="仿宋" w:cs="仿宋"/>
          <w:bCs/>
          <w:lang w:val="en-US" w:eastAsia="zh-CN"/>
        </w:rPr>
        <w:t>1.5%收取。</w:t>
      </w:r>
    </w:p>
    <w:p>
      <w:pPr>
        <w:pStyle w:val="9"/>
        <w:kinsoku w:val="0"/>
        <w:overflowPunct w:val="0"/>
        <w:rPr>
          <w:rFonts w:hint="eastAsia" w:ascii="仿宋" w:hAnsi="仿宋" w:eastAsia="仿宋" w:cs="仿宋"/>
          <w:b/>
          <w:bCs/>
        </w:rPr>
      </w:pPr>
      <w:r>
        <w:rPr>
          <w:rFonts w:hint="eastAsia" w:ascii="仿宋" w:hAnsi="仿宋" w:eastAsia="仿宋" w:cs="仿宋"/>
          <w:b/>
          <w:bCs/>
          <w:spacing w:val="1"/>
        </w:rPr>
        <w:t>7.</w:t>
      </w:r>
      <w:r>
        <w:rPr>
          <w:rFonts w:hint="eastAsia" w:ascii="仿宋" w:hAnsi="仿宋" w:eastAsia="仿宋" w:cs="仿宋"/>
          <w:b/>
          <w:bCs/>
          <w:spacing w:val="-23"/>
        </w:rPr>
        <w:t xml:space="preserve"> </w:t>
      </w:r>
      <w:r>
        <w:rPr>
          <w:rFonts w:hint="eastAsia" w:ascii="仿宋" w:hAnsi="仿宋" w:eastAsia="仿宋" w:cs="仿宋"/>
          <w:b/>
          <w:bCs/>
        </w:rPr>
        <w:t>踏勘现场和答疑会</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不组织</w:t>
      </w:r>
    </w:p>
    <w:p>
      <w:pPr>
        <w:pStyle w:val="9"/>
        <w:kinsoku w:val="0"/>
        <w:overflowPunct w:val="0"/>
        <w:spacing w:before="151" w:line="357" w:lineRule="auto"/>
        <w:ind w:right="963"/>
        <w:rPr>
          <w:rFonts w:hint="eastAsia" w:ascii="仿宋" w:hAnsi="仿宋" w:eastAsia="仿宋" w:cs="仿宋"/>
        </w:rPr>
      </w:pPr>
      <w:r>
        <w:rPr>
          <w:rFonts w:hint="eastAsia" w:ascii="仿宋" w:hAnsi="仿宋" w:eastAsia="仿宋" w:cs="仿宋"/>
          <w:b/>
          <w:bCs/>
        </w:rPr>
        <w:t>8．保密</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参与招标投标活动的各方应对竞争性磋商文件和磋商响应性文件中的商业和技术等秘密保密，违者应对由此造成的后果承担法律责任。</w:t>
      </w:r>
    </w:p>
    <w:p>
      <w:pPr>
        <w:pStyle w:val="9"/>
        <w:kinsoku w:val="0"/>
        <w:overflowPunct w:val="0"/>
        <w:spacing w:before="38"/>
        <w:rPr>
          <w:rFonts w:hint="eastAsia" w:ascii="仿宋" w:hAnsi="仿宋" w:eastAsia="仿宋" w:cs="仿宋"/>
        </w:rPr>
      </w:pPr>
      <w:r>
        <w:rPr>
          <w:rFonts w:hint="eastAsia" w:ascii="仿宋" w:hAnsi="仿宋" w:eastAsia="仿宋" w:cs="仿宋"/>
          <w:b/>
          <w:bCs/>
        </w:rPr>
        <w:t>9.</w:t>
      </w:r>
      <w:r>
        <w:rPr>
          <w:rFonts w:hint="eastAsia" w:ascii="仿宋" w:hAnsi="仿宋" w:eastAsia="仿宋" w:cs="仿宋"/>
          <w:b/>
          <w:bCs/>
          <w:spacing w:val="-12"/>
        </w:rPr>
        <w:t xml:space="preserve"> </w:t>
      </w:r>
      <w:r>
        <w:rPr>
          <w:rFonts w:hint="eastAsia" w:ascii="仿宋" w:hAnsi="仿宋" w:eastAsia="仿宋" w:cs="仿宋"/>
          <w:b/>
          <w:bCs/>
        </w:rPr>
        <w:t>适用法律</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本次政府采购，招标采购单位、供应商、磋商小组的相关行为均受《《中华人民共和国政府采购法》、《中华人民共和国政府采购法实施条例》、《政府采购货物和服务 招标投标管理办法》、《政府购买服务管理办法（暂行）》、《政府采购竞争性磋商采购方式管理暂行办法》和本项目采购人本级和上级财政部门政府采购有关规定的约束，其权利受到上述法律法规的保护。</w:t>
      </w:r>
    </w:p>
    <w:p>
      <w:pPr>
        <w:pStyle w:val="4"/>
        <w:rPr>
          <w:rFonts w:hint="eastAsia" w:ascii="仿宋" w:hAnsi="仿宋" w:eastAsia="仿宋" w:cs="仿宋"/>
        </w:rPr>
      </w:pPr>
      <w:bookmarkStart w:id="6" w:name="_Toc16278"/>
      <w:r>
        <w:rPr>
          <w:rFonts w:hint="eastAsia" w:ascii="仿宋" w:hAnsi="仿宋" w:eastAsia="仿宋" w:cs="仿宋"/>
        </w:rPr>
        <w:t>（三）《竞争性磋商文件》</w:t>
      </w:r>
      <w:bookmarkEnd w:id="6"/>
    </w:p>
    <w:p>
      <w:pPr>
        <w:pStyle w:val="9"/>
        <w:kinsoku w:val="0"/>
        <w:overflowPunct w:val="0"/>
        <w:spacing w:before="122" w:line="357" w:lineRule="auto"/>
        <w:ind w:left="598" w:hanging="480"/>
        <w:rPr>
          <w:rFonts w:hint="eastAsia" w:ascii="仿宋" w:hAnsi="仿宋" w:eastAsia="仿宋" w:cs="仿宋"/>
          <w:b/>
          <w:bCs/>
          <w:spacing w:val="27"/>
          <w:w w:val="99"/>
        </w:rPr>
      </w:pPr>
      <w:r>
        <w:rPr>
          <w:rFonts w:hint="eastAsia" w:ascii="仿宋" w:hAnsi="仿宋" w:eastAsia="仿宋" w:cs="仿宋"/>
          <w:b/>
          <w:bCs/>
        </w:rPr>
        <w:t>1.《竞争性磋商文件》的组成</w:t>
      </w:r>
      <w:r>
        <w:rPr>
          <w:rFonts w:hint="eastAsia" w:ascii="仿宋" w:hAnsi="仿宋" w:eastAsia="仿宋" w:cs="仿宋"/>
          <w:b/>
          <w:bCs/>
          <w:spacing w:val="27"/>
          <w:w w:val="99"/>
        </w:rPr>
        <w:t xml:space="preserve"> </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竞争性文件用以阐明招标项目所需的资质、技术、服务及报价等要求、招标投标程序、有关规定和注意事项以及合同主要条款等。本竞争性磋商文件包括以下内容,但不限于这些内容：</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1）招标公告</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2）供应商须知及前附表</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3）评标办法</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4）磋商内容</w:t>
      </w:r>
    </w:p>
    <w:p>
      <w:pPr>
        <w:pStyle w:val="9"/>
        <w:kinsoku w:val="0"/>
        <w:overflowPunct w:val="0"/>
        <w:spacing w:before="130" w:line="355" w:lineRule="auto"/>
        <w:ind w:right="7" w:firstLine="480"/>
        <w:rPr>
          <w:rFonts w:hint="eastAsia" w:ascii="仿宋" w:hAnsi="仿宋" w:eastAsia="仿宋" w:cs="仿宋"/>
          <w:spacing w:val="4"/>
        </w:rPr>
      </w:pPr>
      <w:bookmarkStart w:id="7" w:name="（四）《磋商响应性文件》的编制"/>
      <w:bookmarkEnd w:id="7"/>
      <w:bookmarkStart w:id="8" w:name="bookmark5"/>
      <w:bookmarkEnd w:id="8"/>
      <w:r>
        <w:rPr>
          <w:rFonts w:hint="eastAsia" w:ascii="仿宋" w:hAnsi="仿宋" w:eastAsia="仿宋" w:cs="仿宋"/>
          <w:spacing w:val="4"/>
        </w:rPr>
        <w:t>5）合同条款及合同格式</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6）《磋商响应性文件》格式</w:t>
      </w:r>
    </w:p>
    <w:p>
      <w:pPr>
        <w:pStyle w:val="9"/>
        <w:kinsoku w:val="0"/>
        <w:overflowPunct w:val="0"/>
        <w:spacing w:line="355" w:lineRule="auto"/>
        <w:ind w:left="598" w:right="50" w:hanging="480"/>
        <w:rPr>
          <w:rFonts w:hint="eastAsia" w:ascii="仿宋" w:hAnsi="仿宋" w:eastAsia="仿宋" w:cs="仿宋"/>
          <w:b/>
          <w:bCs/>
          <w:spacing w:val="27"/>
          <w:w w:val="99"/>
        </w:rPr>
      </w:pPr>
      <w:r>
        <w:rPr>
          <w:rFonts w:hint="eastAsia" w:ascii="仿宋" w:hAnsi="仿宋" w:eastAsia="仿宋" w:cs="仿宋"/>
          <w:b/>
          <w:bCs/>
        </w:rPr>
        <w:t>2.《竞争性磋商文件》的澄清</w:t>
      </w:r>
      <w:r>
        <w:rPr>
          <w:rFonts w:hint="eastAsia" w:ascii="仿宋" w:hAnsi="仿宋" w:eastAsia="仿宋" w:cs="仿宋"/>
          <w:b/>
          <w:bCs/>
          <w:spacing w:val="27"/>
          <w:w w:val="99"/>
        </w:rPr>
        <w:t xml:space="preserve"> </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供应商若对《竞争性磋商文件》有任何疑问，根据《政府采购货物和服务招标投标管理办法》相关规定，供应商应于投标截止日期3日前以书面形式向招标代理机构提出 澄清要求，送至招标代理机构。如认为有必要，招标代理机构将以书面形式予以澄清，同时将书面澄清文件向所有供应商发送。供应商在收到该澄清文件后，应于1日内以书面形式（加盖公章）向招标代理机构予以确认，该答复作为《竞争性磋商文件》的组成部分，具有同《竞争性磋商文件》同样的约束作用。未确认情况应当视为对竞争性磋商文件修改的知晓，也将视为对修改内容接受的默认。对于未在磋商响应性文件中对修改内容做实质性响应的，对其产生的不利因素由未确认者自行承担。</w:t>
      </w:r>
    </w:p>
    <w:p>
      <w:pPr>
        <w:pStyle w:val="9"/>
        <w:kinsoku w:val="0"/>
        <w:overflowPunct w:val="0"/>
        <w:spacing w:before="151" w:line="356" w:lineRule="auto"/>
        <w:ind w:right="106"/>
        <w:jc w:val="both"/>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bCs/>
        </w:rPr>
        <w:t>3.《竞争性磋商文件》的修改</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3.1 投标截止期3日前，无论出于何种原因，招标采购单位可主动地或在解答供应商提出的澄清问题时对《竞争性磋商文件》进行修改，《竞争性磋商文件》的修改书将构成《竞争性磋商文件》的组成部分。</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3.2《竞争性磋商文件》的修改将以书面形式通知所有领取《竞争性磋商文件》的投标单位，并对其具有约束力。供应商在收到上述通知后，应于1日内以书面形式（加盖公章）向招标代理机构予以确认。未确认情况应当视为对竞争性磋商文件修改的知晓，也将视为对修改内容接受的默认。</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3.3 为使供应商在编制《磋商响应性文件》时有充分时间对《竞争性磋商文件》的修改部分进行研究，招标代理机构可自行决定是否延长投标截止日期和推迟开标时间，并通知全部供应商。</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3.4 供应商在应当领取竞争性磋商文件的3日内可对竞争性磋商文件的内容提出质 疑，招标采购单位按规定时间答复，超过时间的质疑将不予接受。</w:t>
      </w:r>
    </w:p>
    <w:p>
      <w:pPr>
        <w:pStyle w:val="4"/>
        <w:rPr>
          <w:rFonts w:hint="eastAsia" w:ascii="仿宋" w:hAnsi="仿宋" w:eastAsia="仿宋" w:cs="仿宋"/>
        </w:rPr>
      </w:pPr>
      <w:bookmarkStart w:id="9" w:name="_Toc26273"/>
      <w:r>
        <w:rPr>
          <w:rFonts w:hint="eastAsia" w:ascii="仿宋" w:hAnsi="仿宋" w:eastAsia="仿宋" w:cs="仿宋"/>
        </w:rPr>
        <w:t>（四）《磋商响应性文件》的编制</w:t>
      </w:r>
      <w:bookmarkEnd w:id="9"/>
    </w:p>
    <w:p>
      <w:pPr>
        <w:pStyle w:val="9"/>
        <w:kinsoku w:val="0"/>
        <w:overflowPunct w:val="0"/>
        <w:spacing w:before="124"/>
        <w:rPr>
          <w:rFonts w:hint="eastAsia" w:ascii="仿宋" w:hAnsi="仿宋" w:eastAsia="仿宋" w:cs="仿宋"/>
        </w:rPr>
      </w:pPr>
      <w:r>
        <w:rPr>
          <w:rFonts w:hint="eastAsia" w:ascii="仿宋" w:hAnsi="仿宋" w:eastAsia="仿宋" w:cs="仿宋"/>
          <w:b/>
          <w:bCs/>
          <w:spacing w:val="1"/>
        </w:rPr>
        <w:t>1.</w:t>
      </w:r>
      <w:r>
        <w:rPr>
          <w:rFonts w:hint="eastAsia" w:ascii="仿宋" w:hAnsi="仿宋" w:eastAsia="仿宋" w:cs="仿宋"/>
          <w:b/>
          <w:bCs/>
          <w:spacing w:val="-22"/>
        </w:rPr>
        <w:t xml:space="preserve"> </w:t>
      </w:r>
      <w:r>
        <w:rPr>
          <w:rFonts w:hint="eastAsia" w:ascii="仿宋" w:hAnsi="仿宋" w:eastAsia="仿宋" w:cs="仿宋"/>
          <w:b/>
          <w:bCs/>
        </w:rPr>
        <w:t>《磋商响应性文件》编制要求</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1.1 供应商应仔细阅读和充分理解《竞争性磋商文件》的所有内容，并按照《竞争性磋商文件》的“磋商响应性文件格式”规定及要求内容的格式提交完整的《磋商响应性文件》。磋商响应性文件应使用中文、编排有序，</w:t>
      </w:r>
      <w:r>
        <w:rPr>
          <w:rFonts w:hint="eastAsia" w:ascii="仿宋" w:hAnsi="仿宋" w:eastAsia="仿宋" w:cs="仿宋"/>
          <w:spacing w:val="4"/>
          <w:lang w:val="en-US" w:eastAsia="zh-CN"/>
        </w:rPr>
        <w:t>所有文字及表格建议采用黑色，正文字体采用宋体小四号字体，标题字体采用宋体小二号字体，并按要求编制文件目录和页码。</w:t>
      </w:r>
      <w:r>
        <w:rPr>
          <w:rFonts w:hint="eastAsia" w:ascii="仿宋" w:hAnsi="仿宋" w:eastAsia="仿宋" w:cs="仿宋"/>
          <w:spacing w:val="4"/>
        </w:rPr>
        <w:t>准确标明文件内容所在位置</w:t>
      </w:r>
      <w:r>
        <w:rPr>
          <w:rFonts w:hint="eastAsia" w:ascii="仿宋" w:hAnsi="仿宋" w:eastAsia="仿宋" w:cs="仿宋"/>
          <w:spacing w:val="4"/>
          <w:lang w:eastAsia="zh-CN"/>
        </w:rPr>
        <w:t>，</w:t>
      </w:r>
      <w:r>
        <w:rPr>
          <w:rFonts w:hint="eastAsia" w:ascii="仿宋" w:hAnsi="仿宋" w:eastAsia="仿宋" w:cs="仿宋"/>
          <w:spacing w:val="4"/>
          <w:lang w:val="en-US" w:eastAsia="zh-CN"/>
        </w:rPr>
        <w:t>保证目录清晰、内容完整。</w:t>
      </w:r>
      <w:r>
        <w:rPr>
          <w:rFonts w:hint="eastAsia" w:ascii="仿宋" w:hAnsi="仿宋" w:eastAsia="仿宋" w:cs="仿宋"/>
          <w:spacing w:val="4"/>
        </w:rPr>
        <w:t xml:space="preserve"> </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lang w:val="en-US" w:eastAsia="zh-CN"/>
        </w:rPr>
        <w:t xml:space="preserve">1.2 </w:t>
      </w:r>
      <w:r>
        <w:rPr>
          <w:rFonts w:hint="eastAsia" w:ascii="仿宋" w:hAnsi="仿宋" w:eastAsia="仿宋" w:cs="仿宋"/>
          <w:spacing w:val="4"/>
        </w:rPr>
        <w:t>磋商响应性文件应字迹清楚，内容齐全，不得涂改和增删。如有修改错漏处，必须由供应商法定代表人或其授权代表签字。</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w:t>
      </w:r>
      <w:r>
        <w:rPr>
          <w:rFonts w:hint="eastAsia" w:ascii="仿宋" w:hAnsi="仿宋" w:eastAsia="仿宋" w:cs="仿宋"/>
          <w:spacing w:val="4"/>
          <w:lang w:val="en-US" w:eastAsia="zh-CN"/>
        </w:rPr>
        <w:t>3</w:t>
      </w:r>
      <w:r>
        <w:rPr>
          <w:rFonts w:hint="eastAsia" w:ascii="仿宋" w:hAnsi="仿宋" w:eastAsia="仿宋" w:cs="仿宋"/>
          <w:spacing w:val="4"/>
        </w:rPr>
        <w:t xml:space="preserve"> 磋商响应性文件所提供的全部资料必须真实可靠。若磋商响应性文件填报的内容资料不详，或提供了虚假资料，其磋商响应性文件为无效磋商响应性文件。</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w:t>
      </w:r>
      <w:r>
        <w:rPr>
          <w:rFonts w:hint="eastAsia" w:ascii="仿宋" w:hAnsi="仿宋" w:eastAsia="仿宋" w:cs="仿宋"/>
          <w:spacing w:val="4"/>
          <w:lang w:val="en-US" w:eastAsia="zh-CN"/>
        </w:rPr>
        <w:t>4</w:t>
      </w:r>
      <w:r>
        <w:rPr>
          <w:rFonts w:hint="eastAsia" w:ascii="仿宋" w:hAnsi="仿宋" w:eastAsia="仿宋" w:cs="仿宋"/>
          <w:spacing w:val="4"/>
        </w:rPr>
        <w:t xml:space="preserve"> 磋商响应性文件应严格按照竞争性磋商文件格式的要求提交，并按规定的统一 格式逐项填写，不准有空项；无相应内容可填的项应填写“无”、“没有相应指标”等明确的回答文字。</w:t>
      </w:r>
    </w:p>
    <w:p>
      <w:pPr>
        <w:pStyle w:val="9"/>
        <w:kinsoku w:val="0"/>
        <w:overflowPunct w:val="0"/>
        <w:spacing w:before="35"/>
        <w:rPr>
          <w:rFonts w:hint="eastAsia" w:ascii="仿宋" w:hAnsi="仿宋" w:eastAsia="仿宋" w:cs="仿宋"/>
        </w:rPr>
      </w:pPr>
      <w:r>
        <w:rPr>
          <w:rFonts w:hint="eastAsia" w:ascii="仿宋" w:hAnsi="仿宋" w:eastAsia="仿宋" w:cs="仿宋"/>
          <w:b/>
          <w:bCs/>
          <w:spacing w:val="1"/>
        </w:rPr>
        <w:t>2.</w:t>
      </w:r>
      <w:r>
        <w:rPr>
          <w:rFonts w:hint="eastAsia" w:ascii="仿宋" w:hAnsi="仿宋" w:eastAsia="仿宋" w:cs="仿宋"/>
          <w:b/>
          <w:bCs/>
          <w:spacing w:val="-19"/>
        </w:rPr>
        <w:t xml:space="preserve"> </w:t>
      </w:r>
      <w:r>
        <w:rPr>
          <w:rFonts w:hint="eastAsia" w:ascii="仿宋" w:hAnsi="仿宋" w:eastAsia="仿宋" w:cs="仿宋"/>
          <w:b/>
          <w:bCs/>
        </w:rPr>
        <w:t>投标语言：</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2.1 专用术语外，与招标投标有关的磋商响应性文件、投标交换的文件和往来信件应均使用中文，必要时专用术语应附有中文注释。</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2.2 磋商响应性文件中如附有外文资料，必须逐一对应翻译成中文并加盖供应商公章后附在相关外文资料后面，否则，供应商的磋商响应性文件将作为无效投标处理。</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2.3 翻译的中文资料与外文资料如果出现差异和矛盾时，以中文为准。但不能故意错误翻译，否则供应商的磋商响应性文件将作为无效投标处理。</w:t>
      </w:r>
    </w:p>
    <w:p>
      <w:pPr>
        <w:pStyle w:val="9"/>
        <w:kinsoku w:val="0"/>
        <w:overflowPunct w:val="0"/>
        <w:spacing w:before="34" w:line="356" w:lineRule="auto"/>
        <w:ind w:left="0" w:right="50"/>
        <w:rPr>
          <w:rFonts w:hint="eastAsia" w:ascii="仿宋" w:hAnsi="仿宋" w:eastAsia="仿宋" w:cs="仿宋"/>
          <w:b/>
          <w:bCs/>
          <w:spacing w:val="-2"/>
        </w:rPr>
      </w:pPr>
      <w:r>
        <w:rPr>
          <w:rFonts w:hint="eastAsia" w:ascii="仿宋" w:hAnsi="仿宋" w:eastAsia="仿宋" w:cs="仿宋"/>
        </w:rPr>
        <w:t xml:space="preserve"> </w:t>
      </w:r>
      <w:r>
        <w:rPr>
          <w:rFonts w:hint="eastAsia" w:ascii="仿宋" w:hAnsi="仿宋" w:eastAsia="仿宋" w:cs="仿宋"/>
          <w:b/>
          <w:bCs/>
          <w:spacing w:val="-2"/>
        </w:rPr>
        <w:t>3.计量单位：</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除工程规范中另有规定外，磋商响应性文件使用的度量衡单位，均应使用中华人民共和国法定计量单位。</w:t>
      </w:r>
    </w:p>
    <w:p>
      <w:pPr>
        <w:pStyle w:val="9"/>
        <w:kinsoku w:val="0"/>
        <w:overflowPunct w:val="0"/>
        <w:spacing w:before="37"/>
        <w:rPr>
          <w:rFonts w:hint="eastAsia" w:ascii="仿宋" w:hAnsi="仿宋" w:eastAsia="仿宋" w:cs="仿宋"/>
          <w:b/>
          <w:bCs/>
        </w:rPr>
      </w:pPr>
      <w:r>
        <w:rPr>
          <w:rFonts w:hint="eastAsia" w:ascii="仿宋" w:hAnsi="仿宋" w:eastAsia="仿宋" w:cs="仿宋"/>
          <w:b/>
          <w:bCs/>
        </w:rPr>
        <w:t>4.投标货币：</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本次招标项目的投标均以人民币报价。</w:t>
      </w:r>
    </w:p>
    <w:p>
      <w:pPr>
        <w:pStyle w:val="9"/>
        <w:kinsoku w:val="0"/>
        <w:overflowPunct w:val="0"/>
        <w:rPr>
          <w:rFonts w:hint="eastAsia" w:ascii="仿宋" w:hAnsi="仿宋" w:eastAsia="仿宋" w:cs="仿宋"/>
          <w:b/>
          <w:bCs/>
        </w:rPr>
      </w:pPr>
      <w:r>
        <w:rPr>
          <w:rFonts w:hint="eastAsia" w:ascii="仿宋" w:hAnsi="仿宋" w:eastAsia="仿宋" w:cs="仿宋"/>
          <w:b/>
          <w:bCs/>
        </w:rPr>
        <w:t>5.联合投标：</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本项目不接受联合体投标。</w:t>
      </w:r>
    </w:p>
    <w:p>
      <w:pPr>
        <w:pStyle w:val="9"/>
        <w:kinsoku w:val="0"/>
        <w:overflowPunct w:val="0"/>
        <w:spacing w:before="151"/>
        <w:rPr>
          <w:rFonts w:hint="eastAsia" w:ascii="仿宋" w:hAnsi="仿宋" w:eastAsia="仿宋" w:cs="仿宋"/>
        </w:rPr>
      </w:pPr>
      <w:r>
        <w:rPr>
          <w:rFonts w:hint="eastAsia" w:ascii="仿宋" w:hAnsi="仿宋" w:eastAsia="仿宋" w:cs="仿宋"/>
          <w:b/>
          <w:bCs/>
        </w:rPr>
        <w:t>6.知识产权</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6.1 供应商应保证在本项目使用的任何技术成果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6.2 采购人享有本项目实施过程中产生的知识成果及知识产权。</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6.3 供应商如欲在项目实施过程中采用自有知识成果，需在磋商响应性文件中声明，并提供相关知识产权证明文件。使用该知识成果后，供应商需提供开发接口和开发手册 等技术文档，并承诺提供无限期技术支持，采购人享有永久使用权。</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6.4 如采用供应商所不拥有的知识产权，则在投标报价中必须包括合法获取该知识产权的相关费用。</w:t>
      </w:r>
    </w:p>
    <w:p>
      <w:pPr>
        <w:pStyle w:val="9"/>
        <w:kinsoku w:val="0"/>
        <w:overflowPunct w:val="0"/>
        <w:spacing w:before="26"/>
        <w:rPr>
          <w:rFonts w:hint="eastAsia" w:ascii="仿宋" w:hAnsi="仿宋" w:eastAsia="仿宋" w:cs="仿宋"/>
        </w:rPr>
      </w:pPr>
      <w:r>
        <w:rPr>
          <w:rFonts w:hint="eastAsia" w:ascii="仿宋" w:hAnsi="仿宋" w:eastAsia="仿宋" w:cs="仿宋"/>
          <w:b/>
          <w:bCs/>
        </w:rPr>
        <w:t>7.《磋商响应性文件》的组成</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《磋商响应性文件》应由商务文件部分（包括资格证明文件）、技术文件部分（包括技术响应、服务方案等）、投标报价及其它部分组成。按如下顺序编制：</w:t>
      </w:r>
    </w:p>
    <w:p>
      <w:pPr>
        <w:pStyle w:val="9"/>
        <w:kinsoku w:val="0"/>
        <w:overflowPunct w:val="0"/>
        <w:spacing w:before="130" w:line="355" w:lineRule="auto"/>
        <w:ind w:right="7" w:firstLine="480"/>
        <w:rPr>
          <w:rFonts w:hint="eastAsia" w:ascii="仿宋" w:hAnsi="仿宋" w:eastAsia="仿宋" w:cs="仿宋"/>
          <w:b/>
          <w:color w:val="auto"/>
          <w:spacing w:val="4"/>
        </w:rPr>
      </w:pPr>
      <w:r>
        <w:rPr>
          <w:rFonts w:hint="eastAsia" w:ascii="仿宋" w:hAnsi="仿宋" w:eastAsia="仿宋" w:cs="仿宋"/>
          <w:b/>
          <w:color w:val="auto"/>
          <w:spacing w:val="4"/>
        </w:rPr>
        <w:t>7.1  商务文件部分、投标报价部分应包括：</w:t>
      </w:r>
    </w:p>
    <w:p>
      <w:pPr>
        <w:pStyle w:val="9"/>
        <w:spacing w:before="0"/>
        <w:ind w:left="0" w:firstLine="482" w:firstLineChars="200"/>
        <w:rPr>
          <w:rFonts w:hint="eastAsia" w:ascii="仿宋" w:hAnsi="仿宋" w:eastAsia="仿宋" w:cs="仿宋"/>
          <w:highlight w:val="yellow"/>
        </w:rPr>
      </w:pPr>
      <w:r>
        <w:rPr>
          <w:rFonts w:hint="eastAsia" w:ascii="仿宋" w:hAnsi="仿宋" w:eastAsia="仿宋" w:cs="仿宋"/>
          <w:b/>
          <w:highlight w:val="none"/>
        </w:rPr>
        <w:t>一、商务部分</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(1)投标函；</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(2)法定代表人身份证明； </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(3)委托授权书（附被授权人身份证复印件）； </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(4)投标保证金缴纳凭证； </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(5)1）投标报价单；</w:t>
      </w:r>
    </w:p>
    <w:p>
      <w:pPr>
        <w:spacing w:line="420" w:lineRule="exact"/>
        <w:ind w:firstLine="720" w:firstLineChars="30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2）报价明细表</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eastAsia="zh-CN"/>
        </w:rPr>
        <w:t>)供应商基本情况；</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1）供应商基本情况表；</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2）营业执照副本、税务登记证、组织机构代码证、（三证合一的提供统一社会信用代码的营业执照）、公司资质证书；</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3）近1年财务状况报告相关材料；</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4）近</w:t>
      </w: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lang w:eastAsia="zh-CN"/>
        </w:rPr>
        <w:t>个月单位社会保障缴费证明（</w:t>
      </w:r>
      <w:r>
        <w:rPr>
          <w:rFonts w:hint="eastAsia" w:ascii="仿宋" w:hAnsi="仿宋" w:eastAsia="仿宋" w:cs="仿宋"/>
          <w:kern w:val="0"/>
          <w:sz w:val="24"/>
          <w:szCs w:val="24"/>
          <w:lang w:val="en-US" w:eastAsia="zh-CN"/>
        </w:rPr>
        <w:t>2021年一、二、三月</w:t>
      </w:r>
      <w:r>
        <w:rPr>
          <w:rFonts w:hint="eastAsia" w:ascii="仿宋" w:hAnsi="仿宋" w:eastAsia="仿宋" w:cs="仿宋"/>
          <w:kern w:val="0"/>
          <w:sz w:val="24"/>
          <w:szCs w:val="24"/>
          <w:lang w:eastAsia="zh-CN"/>
        </w:rPr>
        <w:t>）；</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lang w:eastAsia="zh-CN"/>
        </w:rPr>
        <w:t xml:space="preserve">) 一般商务条款偏离表； </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lang w:eastAsia="zh-CN"/>
        </w:rPr>
        <w:t>)近三年类似项目业绩介绍（</w:t>
      </w:r>
      <w:r>
        <w:rPr>
          <w:rFonts w:hint="eastAsia" w:ascii="仿宋" w:hAnsi="仿宋" w:eastAsia="仿宋" w:cs="仿宋"/>
          <w:kern w:val="0"/>
          <w:sz w:val="24"/>
          <w:szCs w:val="24"/>
          <w:lang w:val="en-US" w:eastAsia="zh-CN"/>
        </w:rPr>
        <w:t>2018、2019年、2020年</w:t>
      </w:r>
      <w:r>
        <w:rPr>
          <w:rFonts w:hint="eastAsia" w:ascii="仿宋" w:hAnsi="仿宋" w:eastAsia="仿宋" w:cs="仿宋"/>
          <w:kern w:val="0"/>
          <w:sz w:val="24"/>
          <w:szCs w:val="24"/>
          <w:lang w:eastAsia="zh-CN"/>
        </w:rPr>
        <w:t>）；</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lang w:eastAsia="zh-CN"/>
        </w:rPr>
        <w:t>)中小企业声明函（符合本声明函填写）；</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lang w:eastAsia="zh-CN"/>
        </w:rPr>
        <w:t>)残疾人福利性单位声明函（符合本声明函填写） ；</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)缴纳招标代理服务费承诺书；</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)其他商务资格证明资料（格式自定）。</w:t>
      </w:r>
    </w:p>
    <w:p>
      <w:pPr>
        <w:pStyle w:val="9"/>
        <w:spacing w:before="0"/>
        <w:ind w:left="0" w:firstLine="482" w:firstLineChars="200"/>
        <w:rPr>
          <w:rFonts w:hint="eastAsia" w:ascii="仿宋" w:hAnsi="仿宋" w:eastAsia="仿宋" w:cs="仿宋"/>
          <w:b/>
          <w:highlight w:val="none"/>
        </w:rPr>
      </w:pPr>
      <w:r>
        <w:rPr>
          <w:rFonts w:hint="eastAsia" w:ascii="仿宋" w:hAnsi="仿宋" w:eastAsia="仿宋" w:cs="仿宋"/>
          <w:b/>
          <w:highlight w:val="none"/>
        </w:rPr>
        <w:t>二、技术部分</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)企业技术、经济及综合实力描述；</w:t>
      </w:r>
    </w:p>
    <w:p>
      <w:pPr>
        <w:spacing w:line="420" w:lineRule="exact"/>
        <w:ind w:firstLine="480" w:firstLineChars="200"/>
        <w:rPr>
          <w:rFonts w:hint="eastAsia" w:ascii="仿宋" w:hAnsi="仿宋" w:eastAsia="仿宋" w:cs="仿宋"/>
          <w:kern w:val="0"/>
          <w:sz w:val="24"/>
          <w:szCs w:val="24"/>
          <w:lang w:val="en-US"/>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14</w:t>
      </w:r>
      <w:r>
        <w:rPr>
          <w:rFonts w:hint="eastAsia" w:ascii="仿宋" w:hAnsi="仿宋" w:eastAsia="仿宋" w:cs="仿宋"/>
          <w:kern w:val="0"/>
          <w:sz w:val="24"/>
          <w:szCs w:val="24"/>
          <w:lang w:eastAsia="zh-CN"/>
        </w:rPr>
        <w:t>）</w:t>
      </w:r>
      <w:r>
        <w:rPr>
          <w:rFonts w:hint="eastAsia" w:ascii="仿宋" w:hAnsi="仿宋" w:eastAsia="仿宋" w:cs="仿宋"/>
          <w:kern w:val="0"/>
          <w:sz w:val="24"/>
          <w:lang w:val="en-US" w:eastAsia="zh-CN"/>
        </w:rPr>
        <w:t>项目负责人及团队配备</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15</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一般</w:t>
      </w:r>
      <w:r>
        <w:rPr>
          <w:rFonts w:hint="eastAsia" w:ascii="仿宋" w:hAnsi="仿宋" w:eastAsia="仿宋" w:cs="仿宋"/>
          <w:kern w:val="0"/>
          <w:sz w:val="24"/>
          <w:szCs w:val="24"/>
          <w:lang w:eastAsia="zh-CN"/>
        </w:rPr>
        <w:t>技术</w:t>
      </w:r>
      <w:r>
        <w:rPr>
          <w:rFonts w:hint="eastAsia" w:ascii="仿宋" w:hAnsi="仿宋" w:eastAsia="仿宋" w:cs="仿宋"/>
          <w:kern w:val="0"/>
          <w:sz w:val="24"/>
          <w:szCs w:val="24"/>
        </w:rPr>
        <w:t>条款偏离表</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16</w:t>
      </w:r>
      <w:r>
        <w:rPr>
          <w:rFonts w:hint="eastAsia" w:ascii="仿宋" w:hAnsi="仿宋" w:eastAsia="仿宋" w:cs="仿宋"/>
          <w:kern w:val="0"/>
          <w:sz w:val="24"/>
          <w:szCs w:val="24"/>
          <w:lang w:eastAsia="zh-CN"/>
        </w:rPr>
        <w:t>）</w:t>
      </w:r>
      <w:r>
        <w:rPr>
          <w:rFonts w:hint="eastAsia" w:ascii="仿宋" w:hAnsi="仿宋" w:eastAsia="仿宋" w:cs="仿宋"/>
          <w:kern w:val="0"/>
          <w:sz w:val="24"/>
          <w:lang w:val="en-US" w:eastAsia="zh-CN"/>
        </w:rPr>
        <w:t xml:space="preserve">售后服务方案 </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（17）理解及合理意见和建议</w:t>
      </w:r>
    </w:p>
    <w:p>
      <w:pPr>
        <w:spacing w:line="420" w:lineRule="exac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（18）实施方案</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（19）</w:t>
      </w:r>
      <w:r>
        <w:rPr>
          <w:rFonts w:hint="eastAsia" w:ascii="仿宋" w:hAnsi="仿宋" w:eastAsia="仿宋" w:cs="仿宋"/>
          <w:color w:val="auto"/>
          <w:kern w:val="0"/>
          <w:sz w:val="24"/>
          <w:lang w:val="en-US" w:eastAsia="zh-CN"/>
        </w:rPr>
        <w:t>管理措施</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lang w:eastAsia="zh-CN"/>
        </w:rPr>
        <w:t>)供应商认为需要提交的技术资料</w:t>
      </w:r>
    </w:p>
    <w:p>
      <w:pPr>
        <w:pStyle w:val="9"/>
        <w:kinsoku w:val="0"/>
        <w:overflowPunct w:val="0"/>
        <w:spacing w:before="130" w:line="355" w:lineRule="auto"/>
        <w:ind w:right="7" w:firstLine="480"/>
        <w:rPr>
          <w:rFonts w:hint="eastAsia" w:ascii="仿宋" w:hAnsi="仿宋" w:eastAsia="仿宋" w:cs="仿宋"/>
          <w:b/>
          <w:spacing w:val="4"/>
        </w:rPr>
      </w:pPr>
      <w:r>
        <w:rPr>
          <w:rFonts w:hint="eastAsia" w:ascii="仿宋" w:hAnsi="仿宋" w:eastAsia="仿宋" w:cs="仿宋"/>
          <w:b/>
          <w:spacing w:val="4"/>
        </w:rPr>
        <w:t>7.3 本次投标报价要求：</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7.3.1 总价格包括完成采购范围内全部内容采购及相关伴随服务全过程的全部费用。</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7.3.2 供应商只允许在《磋商响应性文件》中有一个报价，并且在合同履行过程中是固定不变的，任何有选择或可调整的报价将不予接受，并按无效投标处理。</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7.3.3 供应商的报价作为评标的重要依据之一，但并不是本项目采购人招标、评标确定中标供应商的唯一依据。拒绝不计成本的故意压低投标报价和恶意以低价投标的行为。</w:t>
      </w:r>
    </w:p>
    <w:p>
      <w:pPr>
        <w:pStyle w:val="9"/>
        <w:kinsoku w:val="0"/>
        <w:overflowPunct w:val="0"/>
        <w:spacing w:before="130" w:line="355" w:lineRule="auto"/>
        <w:ind w:right="7" w:firstLine="480"/>
        <w:rPr>
          <w:rFonts w:hint="eastAsia" w:ascii="仿宋" w:hAnsi="仿宋" w:eastAsia="仿宋" w:cs="仿宋"/>
          <w:spacing w:val="4"/>
          <w:highlight w:val="none"/>
        </w:rPr>
      </w:pPr>
      <w:r>
        <w:rPr>
          <w:rFonts w:hint="eastAsia" w:ascii="仿宋" w:hAnsi="仿宋" w:eastAsia="仿宋" w:cs="仿宋"/>
          <w:spacing w:val="4"/>
        </w:rPr>
        <w:t>7.3.4 本项目投标报价是在符合竞争性磋商文件对项目相关要求的情况下，以最大限度的</w:t>
      </w:r>
      <w:r>
        <w:rPr>
          <w:rFonts w:hint="eastAsia" w:ascii="仿宋" w:hAnsi="仿宋" w:eastAsia="仿宋" w:cs="仿宋"/>
          <w:spacing w:val="4"/>
          <w:highlight w:val="none"/>
        </w:rPr>
        <w:t>折扣价或优惠后价格的体现。</w:t>
      </w:r>
    </w:p>
    <w:p>
      <w:pPr>
        <w:pStyle w:val="9"/>
        <w:kinsoku w:val="0"/>
        <w:overflowPunct w:val="0"/>
        <w:spacing w:before="36"/>
        <w:rPr>
          <w:rFonts w:hint="eastAsia" w:ascii="仿宋" w:hAnsi="仿宋" w:eastAsia="仿宋" w:cs="仿宋"/>
          <w:highlight w:val="none"/>
        </w:rPr>
      </w:pPr>
      <w:r>
        <w:rPr>
          <w:rFonts w:hint="eastAsia" w:ascii="仿宋" w:hAnsi="仿宋" w:eastAsia="仿宋" w:cs="仿宋"/>
          <w:b/>
          <w:bCs/>
          <w:highlight w:val="none"/>
        </w:rPr>
        <w:t>8.磋商响应性文件格式</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highlight w:val="none"/>
        </w:rPr>
        <w:t>8.1 供应商应按《竞争性磋商文件》的内容与要求和第六章提供的格式编写其《磋商响应性文件》，供应商</w:t>
      </w:r>
      <w:r>
        <w:rPr>
          <w:rFonts w:hint="eastAsia" w:ascii="仿宋" w:hAnsi="仿宋" w:eastAsia="仿宋" w:cs="仿宋"/>
          <w:spacing w:val="4"/>
        </w:rPr>
        <w:t>不得空留或缺少任何《竞争性磋商文件》要求填写的表格或提交的资料，未列出格式的部分供应商可自行编制。</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8.2 供应商提交的《磋商响应性文件》中全部资料必须真实可靠，并接受采购人、招标代理机构对其中任何资料进一步审查的要求。</w:t>
      </w:r>
    </w:p>
    <w:p>
      <w:pPr>
        <w:pStyle w:val="9"/>
        <w:kinsoku w:val="0"/>
        <w:overflowPunct w:val="0"/>
        <w:spacing w:before="151"/>
        <w:rPr>
          <w:rFonts w:hint="eastAsia" w:ascii="仿宋" w:hAnsi="仿宋" w:eastAsia="仿宋" w:cs="仿宋"/>
        </w:rPr>
      </w:pPr>
      <w:r>
        <w:rPr>
          <w:rFonts w:hint="eastAsia" w:ascii="仿宋" w:hAnsi="仿宋" w:eastAsia="仿宋" w:cs="仿宋"/>
          <w:b/>
          <w:bCs/>
        </w:rPr>
        <w:t>9.投标有效期</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9.1 投标有效期见本须知前附表所规定的期限，在此期限内，供应商不得要求撤销或修改其磋商响应性文件。</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9.2 在特殊情况下，采购人在原定投标有效期内，可以根据需要向供应商提出延长投标有效期的要求，对此要求供应商须以书面形式予以答复。供应商可以拒绝采购人这种要求</w:t>
      </w:r>
      <w:bookmarkStart w:id="10" w:name="bookmark6"/>
      <w:bookmarkEnd w:id="10"/>
      <w:bookmarkStart w:id="11" w:name="（五）磋商响应性文件的提交及相关事项"/>
      <w:bookmarkEnd w:id="11"/>
      <w:r>
        <w:rPr>
          <w:rFonts w:hint="eastAsia" w:ascii="仿宋" w:hAnsi="仿宋" w:eastAsia="仿宋" w:cs="仿宋"/>
          <w:spacing w:val="4"/>
        </w:rPr>
        <w:t>，而不被没收投标保证金。同意延长投标有效期的供应商既不能要求也不允许修改其磋商响应性文件，但需要相应的延长投标担保的有效期，在延长的投标有效期内须知前附表第21条关于投标担保的退还与没收的规定仍然适用。</w:t>
      </w:r>
    </w:p>
    <w:p>
      <w:pPr>
        <w:pStyle w:val="9"/>
        <w:kinsoku w:val="0"/>
        <w:overflowPunct w:val="0"/>
        <w:spacing w:before="37"/>
        <w:jc w:val="both"/>
        <w:rPr>
          <w:rFonts w:hint="eastAsia" w:ascii="仿宋" w:hAnsi="仿宋" w:eastAsia="仿宋" w:cs="仿宋"/>
        </w:rPr>
      </w:pPr>
      <w:r>
        <w:rPr>
          <w:rFonts w:hint="eastAsia" w:ascii="仿宋" w:hAnsi="仿宋" w:eastAsia="仿宋" w:cs="仿宋"/>
          <w:b/>
          <w:bCs/>
        </w:rPr>
        <w:t>10.投标保证金</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10.1投标保证金应用投标货币即人民币，并采用下列任何一种形式：</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投标保证金的形式：电汇、转账等形式</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投标保证金的金额：</w:t>
      </w:r>
      <w:r>
        <w:rPr>
          <w:rFonts w:hint="eastAsia" w:ascii="仿宋" w:hAnsi="仿宋" w:eastAsia="仿宋" w:cs="仿宋"/>
          <w:spacing w:val="4"/>
          <w:lang w:val="en-US" w:eastAsia="zh-CN"/>
        </w:rPr>
        <w:t>贰万元整元</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投标保证金必须在</w:t>
      </w:r>
      <w:r>
        <w:rPr>
          <w:rFonts w:hint="eastAsia" w:ascii="仿宋" w:hAnsi="仿宋" w:eastAsia="仿宋" w:cs="仿宋"/>
          <w:spacing w:val="4"/>
          <w:lang w:eastAsia="zh-CN"/>
        </w:rPr>
        <w:t>截止时间前</w:t>
      </w:r>
      <w:r>
        <w:rPr>
          <w:rFonts w:hint="eastAsia" w:ascii="仿宋" w:hAnsi="仿宋" w:eastAsia="仿宋" w:cs="仿宋"/>
          <w:spacing w:val="4"/>
        </w:rPr>
        <w:t>缴纳至以下账号：</w:t>
      </w:r>
    </w:p>
    <w:p>
      <w:pPr>
        <w:pStyle w:val="9"/>
        <w:kinsoku w:val="0"/>
        <w:overflowPunct w:val="0"/>
        <w:spacing w:before="130" w:line="355" w:lineRule="auto"/>
        <w:ind w:right="7" w:firstLine="480"/>
        <w:rPr>
          <w:rFonts w:hint="eastAsia" w:ascii="仿宋" w:hAnsi="仿宋" w:eastAsia="仿宋" w:cs="仿宋"/>
          <w:spacing w:val="4"/>
          <w:lang w:eastAsia="zh-CN"/>
        </w:rPr>
      </w:pPr>
      <w:r>
        <w:rPr>
          <w:rFonts w:hint="eastAsia" w:ascii="仿宋" w:hAnsi="仿宋" w:eastAsia="仿宋" w:cs="仿宋"/>
          <w:spacing w:val="4"/>
        </w:rPr>
        <w:t>户名：</w:t>
      </w:r>
      <w:r>
        <w:rPr>
          <w:rFonts w:hint="eastAsia" w:ascii="仿宋" w:hAnsi="仿宋" w:eastAsia="仿宋" w:cs="仿宋"/>
          <w:spacing w:val="4"/>
          <w:lang w:eastAsia="zh-CN"/>
        </w:rPr>
        <w:t>新疆景诺工程咨询有限公司</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开户行名称：</w:t>
      </w:r>
      <w:r>
        <w:rPr>
          <w:rFonts w:hint="eastAsia" w:ascii="仿宋" w:hAnsi="仿宋" w:eastAsia="仿宋" w:cs="仿宋"/>
          <w:spacing w:val="4"/>
          <w:lang w:eastAsia="zh-CN"/>
        </w:rPr>
        <w:t>库尔勒银行股份有限公司营业部</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账号：</w:t>
      </w:r>
      <w:r>
        <w:rPr>
          <w:rFonts w:hint="eastAsia" w:ascii="仿宋" w:hAnsi="仿宋" w:eastAsia="仿宋" w:cs="仿宋"/>
          <w:spacing w:val="4"/>
          <w:lang w:val="en-US" w:eastAsia="zh-CN"/>
        </w:rPr>
        <w:t>736070100100152727</w:t>
      </w:r>
    </w:p>
    <w:p>
      <w:pPr>
        <w:pStyle w:val="9"/>
        <w:kinsoku w:val="0"/>
        <w:overflowPunct w:val="0"/>
        <w:spacing w:before="130" w:line="355" w:lineRule="auto"/>
        <w:ind w:right="7" w:firstLine="480"/>
        <w:rPr>
          <w:rFonts w:hint="eastAsia" w:ascii="仿宋" w:hAnsi="仿宋" w:eastAsia="仿宋" w:cs="仿宋"/>
        </w:rPr>
      </w:pPr>
      <w:r>
        <w:rPr>
          <w:rFonts w:hint="eastAsia" w:ascii="仿宋" w:hAnsi="仿宋" w:eastAsia="仿宋" w:cs="仿宋"/>
          <w:spacing w:val="4"/>
        </w:rPr>
        <w:t>投标人办理保证金时，须注明</w:t>
      </w:r>
      <w:r>
        <w:rPr>
          <w:rFonts w:hint="eastAsia" w:ascii="仿宋" w:hAnsi="仿宋" w:eastAsia="仿宋" w:cs="仿宋"/>
        </w:rPr>
        <w:t>“项目名称+投标保证金”（如字数超出规定字数可简写项目名称）。</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10.2投标保证金为磋商响应性文件的重要组成部分。未按规定提交投标保证金的供应商，将被视为无效投标而予以拒绝。</w:t>
      </w:r>
    </w:p>
    <w:p>
      <w:pPr>
        <w:pStyle w:val="9"/>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10.3成交人的投标保证金，在成交人按规定的金额付清招标代理服务费后予以无息退还。</w:t>
      </w:r>
    </w:p>
    <w:p>
      <w:pPr>
        <w:pStyle w:val="9"/>
        <w:kinsoku w:val="0"/>
        <w:overflowPunct w:val="0"/>
        <w:spacing w:before="38"/>
        <w:ind w:left="598"/>
        <w:rPr>
          <w:rFonts w:hint="eastAsia" w:ascii="仿宋" w:hAnsi="仿宋" w:eastAsia="仿宋" w:cs="仿宋"/>
        </w:rPr>
      </w:pPr>
      <w:r>
        <w:rPr>
          <w:rFonts w:hint="eastAsia" w:ascii="仿宋" w:hAnsi="仿宋" w:eastAsia="仿宋" w:cs="仿宋"/>
        </w:rPr>
        <w:t>10.4</w:t>
      </w:r>
      <w:r>
        <w:rPr>
          <w:rFonts w:hint="eastAsia" w:ascii="仿宋" w:hAnsi="仿宋" w:eastAsia="仿宋" w:cs="仿宋"/>
          <w:spacing w:val="-60"/>
        </w:rPr>
        <w:t xml:space="preserve"> </w:t>
      </w:r>
      <w:r>
        <w:rPr>
          <w:rFonts w:hint="eastAsia" w:ascii="仿宋" w:hAnsi="仿宋" w:eastAsia="仿宋" w:cs="仿宋"/>
        </w:rPr>
        <w:t>投标保证金的</w:t>
      </w:r>
      <w:r>
        <w:rPr>
          <w:rFonts w:hint="eastAsia" w:ascii="仿宋" w:hAnsi="仿宋" w:eastAsia="仿宋" w:cs="仿宋"/>
          <w:spacing w:val="4"/>
        </w:rPr>
        <w:t>缴纳</w:t>
      </w:r>
      <w:r>
        <w:rPr>
          <w:rFonts w:hint="eastAsia" w:ascii="仿宋" w:hAnsi="仿宋" w:eastAsia="仿宋" w:cs="仿宋"/>
        </w:rPr>
        <w:t>和退付（详见“供应商须知前附表”）。</w:t>
      </w:r>
    </w:p>
    <w:p>
      <w:pPr>
        <w:pStyle w:val="9"/>
        <w:kinsoku w:val="0"/>
        <w:overflowPunct w:val="0"/>
        <w:spacing w:before="151"/>
        <w:jc w:val="both"/>
        <w:rPr>
          <w:rFonts w:hint="eastAsia" w:ascii="仿宋" w:hAnsi="仿宋" w:eastAsia="仿宋" w:cs="仿宋"/>
        </w:rPr>
      </w:pPr>
      <w:r>
        <w:rPr>
          <w:rFonts w:hint="eastAsia" w:ascii="仿宋" w:hAnsi="仿宋" w:eastAsia="仿宋" w:cs="仿宋"/>
          <w:b/>
          <w:bCs/>
        </w:rPr>
        <w:t>11.</w:t>
      </w:r>
      <w:r>
        <w:rPr>
          <w:rFonts w:hint="eastAsia" w:ascii="仿宋" w:hAnsi="仿宋" w:eastAsia="仿宋" w:cs="仿宋"/>
          <w:b/>
          <w:bCs/>
          <w:lang w:eastAsia="zh-CN"/>
        </w:rPr>
        <w:t>电子</w:t>
      </w:r>
      <w:r>
        <w:rPr>
          <w:rFonts w:hint="eastAsia" w:ascii="仿宋" w:hAnsi="仿宋" w:eastAsia="仿宋" w:cs="仿宋"/>
          <w:b/>
          <w:bCs/>
        </w:rPr>
        <w:t>磋商响应性文件的印制和签署</w:t>
      </w:r>
    </w:p>
    <w:p>
      <w:pPr>
        <w:pStyle w:val="22"/>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1）电子磋商响应文件应按照统一的“电子投标文件制作工具”以及磋商文件要求进行制作编制，保证目录清晰、内容完整；</w:t>
      </w:r>
    </w:p>
    <w:p>
      <w:pPr>
        <w:pStyle w:val="22"/>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2）电子磋商响应文件各类证件须与磋商供应商注册登记资料相一致；</w:t>
      </w:r>
    </w:p>
    <w:p>
      <w:pPr>
        <w:pStyle w:val="22"/>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3）网上提交的电子磋商响应文件（加密）为正</w:t>
      </w:r>
      <w:r>
        <w:rPr>
          <w:rFonts w:hint="eastAsia" w:ascii="仿宋" w:hAnsi="仿宋" w:eastAsia="仿宋" w:cs="仿宋"/>
          <w:color w:val="auto"/>
          <w:spacing w:val="4"/>
          <w:kern w:val="0"/>
          <w:sz w:val="24"/>
          <w:szCs w:val="24"/>
          <w:lang w:val="en-US" w:eastAsia="zh-CN" w:bidi="ar-SA"/>
        </w:rPr>
        <w:t>本。</w:t>
      </w:r>
    </w:p>
    <w:p>
      <w:pPr>
        <w:pStyle w:val="22"/>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 xml:space="preserve">4）磋商人因自身原因导致电子磋商响应文件无法导入电子评标系统的，该磋商响应文件视为无效文件。 </w:t>
      </w:r>
    </w:p>
    <w:p>
      <w:pPr>
        <w:pStyle w:val="22"/>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 xml:space="preserve">5）电子磋商文件以及电子磋商响应文件具有法律效力,与其他形式的磋商文件以及磋商响应文件在内容和格式上等同，若判响应文件与磋商文件要求不一致，其内容影响成交结果时，责任由磋商供应商自行承担。 </w:t>
      </w:r>
    </w:p>
    <w:p>
      <w:pPr>
        <w:pStyle w:val="22"/>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6） 为了保证电子磋商响应文件的合法性、安全性和完整性，电子磋商响应文件转换完成后，应在规定区域加盖单位和法定代表人CA印章。电子磋商响应文件若无 CA电子签章，则视为无效文件。</w:t>
      </w:r>
    </w:p>
    <w:p>
      <w:pPr>
        <w:pStyle w:val="4"/>
        <w:rPr>
          <w:rFonts w:hint="eastAsia" w:ascii="仿宋" w:hAnsi="仿宋" w:eastAsia="仿宋" w:cs="仿宋"/>
        </w:rPr>
      </w:pPr>
      <w:bookmarkStart w:id="12" w:name="_Toc23406"/>
      <w:r>
        <w:rPr>
          <w:rFonts w:hint="eastAsia" w:ascii="仿宋" w:hAnsi="仿宋" w:eastAsia="仿宋" w:cs="仿宋"/>
        </w:rPr>
        <w:t>（</w:t>
      </w:r>
      <w:r>
        <w:rPr>
          <w:rFonts w:hint="eastAsia" w:ascii="仿宋" w:hAnsi="仿宋" w:eastAsia="仿宋" w:cs="仿宋"/>
          <w:lang w:eastAsia="zh-CN"/>
        </w:rPr>
        <w:t>五</w:t>
      </w:r>
      <w:r>
        <w:rPr>
          <w:rFonts w:hint="eastAsia" w:ascii="仿宋" w:hAnsi="仿宋" w:eastAsia="仿宋" w:cs="仿宋"/>
        </w:rPr>
        <w:t>）评标</w:t>
      </w:r>
      <w:bookmarkEnd w:id="12"/>
    </w:p>
    <w:p>
      <w:pPr>
        <w:pStyle w:val="9"/>
        <w:kinsoku w:val="0"/>
        <w:overflowPunct w:val="0"/>
        <w:spacing w:before="35"/>
        <w:rPr>
          <w:rFonts w:hint="eastAsia" w:ascii="仿宋" w:hAnsi="仿宋" w:eastAsia="仿宋" w:cs="仿宋"/>
          <w:b/>
          <w:bCs/>
          <w:spacing w:val="1"/>
        </w:rPr>
      </w:pPr>
      <w:r>
        <w:rPr>
          <w:rFonts w:hint="eastAsia" w:ascii="仿宋" w:hAnsi="仿宋" w:eastAsia="仿宋" w:cs="仿宋"/>
          <w:b/>
          <w:bCs/>
          <w:spacing w:val="1"/>
        </w:rPr>
        <w:t>1.磋商小组</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rPr>
        <w:tab/>
      </w:r>
      <w:r>
        <w:rPr>
          <w:rFonts w:hint="eastAsia" w:ascii="仿宋" w:hAnsi="仿宋" w:eastAsia="仿宋" w:cs="仿宋"/>
          <w:spacing w:val="1"/>
        </w:rPr>
        <w:t>评标由采购人依法组建的磋商小组负责。磋商小组由采购人熟悉相关业务</w:t>
      </w:r>
      <w:r>
        <w:rPr>
          <w:rFonts w:hint="eastAsia" w:ascii="仿宋" w:hAnsi="仿宋" w:eastAsia="仿宋" w:cs="仿宋"/>
        </w:rPr>
        <w:t>的代表，以及有关技术、经济等方面的专家</w:t>
      </w:r>
      <w:r>
        <w:rPr>
          <w:rFonts w:hint="eastAsia" w:ascii="仿宋" w:hAnsi="仿宋" w:eastAsia="仿宋" w:cs="仿宋"/>
          <w:lang w:val="en-US" w:eastAsia="zh-CN"/>
        </w:rPr>
        <w:t>3</w:t>
      </w:r>
      <w:r>
        <w:rPr>
          <w:rFonts w:hint="eastAsia" w:ascii="仿宋" w:hAnsi="仿宋" w:eastAsia="仿宋" w:cs="仿宋"/>
        </w:rPr>
        <w:t>人的单数组成。</w:t>
      </w:r>
    </w:p>
    <w:p>
      <w:pPr>
        <w:pStyle w:val="9"/>
        <w:tabs>
          <w:tab w:val="left" w:pos="1438"/>
        </w:tabs>
        <w:kinsoku w:val="0"/>
        <w:overflowPunct w:val="0"/>
        <w:spacing w:before="36"/>
        <w:ind w:left="598"/>
        <w:rPr>
          <w:rFonts w:hint="eastAsia" w:ascii="仿宋" w:hAnsi="仿宋" w:eastAsia="仿宋" w:cs="仿宋"/>
        </w:rPr>
      </w:pPr>
      <w:r>
        <w:rPr>
          <w:rFonts w:hint="eastAsia" w:ascii="仿宋" w:hAnsi="仿宋" w:eastAsia="仿宋" w:cs="仿宋"/>
        </w:rPr>
        <w:t>1.2 磋商小组成员有下列情形之一的，应当回避；</w:t>
      </w:r>
    </w:p>
    <w:p>
      <w:pPr>
        <w:pStyle w:val="9"/>
        <w:kinsoku w:val="0"/>
        <w:overflowPunct w:val="0"/>
        <w:ind w:left="598"/>
        <w:rPr>
          <w:rFonts w:hint="eastAsia" w:ascii="仿宋" w:hAnsi="仿宋" w:eastAsia="仿宋" w:cs="仿宋"/>
        </w:rPr>
      </w:pPr>
      <w:r>
        <w:rPr>
          <w:rFonts w:hint="eastAsia" w:ascii="仿宋" w:hAnsi="仿宋" w:eastAsia="仿宋" w:cs="仿宋"/>
        </w:rPr>
        <w:t>（1）采购人或供应商的主要负责人的近亲属。</w:t>
      </w:r>
    </w:p>
    <w:p>
      <w:pPr>
        <w:pStyle w:val="9"/>
        <w:kinsoku w:val="0"/>
        <w:overflowPunct w:val="0"/>
        <w:ind w:left="598"/>
        <w:rPr>
          <w:rFonts w:hint="eastAsia" w:ascii="仿宋" w:hAnsi="仿宋" w:eastAsia="仿宋" w:cs="仿宋"/>
        </w:rPr>
      </w:pPr>
      <w:r>
        <w:rPr>
          <w:rFonts w:hint="eastAsia" w:ascii="仿宋" w:hAnsi="仿宋" w:eastAsia="仿宋" w:cs="仿宋"/>
        </w:rPr>
        <w:t>（2）项目主管部门或者行政监督部门的人员。</w:t>
      </w:r>
    </w:p>
    <w:p>
      <w:pPr>
        <w:pStyle w:val="9"/>
        <w:kinsoku w:val="0"/>
        <w:overflowPunct w:val="0"/>
        <w:spacing w:before="151"/>
        <w:ind w:left="598"/>
        <w:rPr>
          <w:rFonts w:hint="eastAsia" w:ascii="仿宋" w:hAnsi="仿宋" w:eastAsia="仿宋" w:cs="仿宋"/>
        </w:rPr>
      </w:pPr>
      <w:r>
        <w:rPr>
          <w:rFonts w:hint="eastAsia" w:ascii="仿宋" w:hAnsi="仿宋" w:eastAsia="仿宋" w:cs="仿宋"/>
        </w:rPr>
        <w:t>（3）与供应商有经济利益关系，可能影响对投标公正评审的。</w:t>
      </w:r>
    </w:p>
    <w:p>
      <w:pPr>
        <w:pStyle w:val="9"/>
        <w:kinsoku w:val="0"/>
        <w:overflowPunct w:val="0"/>
        <w:spacing w:line="355" w:lineRule="auto"/>
        <w:ind w:right="50" w:firstLine="480"/>
        <w:rPr>
          <w:rFonts w:hint="eastAsia" w:ascii="仿宋" w:hAnsi="仿宋" w:eastAsia="仿宋" w:cs="仿宋"/>
        </w:rPr>
      </w:pPr>
      <w:r>
        <w:rPr>
          <w:rFonts w:hint="eastAsia" w:ascii="仿宋" w:hAnsi="仿宋" w:eastAsia="仿宋" w:cs="仿宋"/>
          <w:spacing w:val="1"/>
        </w:rPr>
        <w:t>（4）曾因在招标、评标以及其他与招标投标有关活动中从事违法行为而受过行政</w:t>
      </w:r>
      <w:r>
        <w:rPr>
          <w:rFonts w:hint="eastAsia" w:ascii="仿宋" w:hAnsi="仿宋" w:eastAsia="仿宋" w:cs="仿宋"/>
        </w:rPr>
        <w:t>处罚或刑事处罚的。</w:t>
      </w:r>
    </w:p>
    <w:p>
      <w:pPr>
        <w:pStyle w:val="9"/>
        <w:kinsoku w:val="0"/>
        <w:overflowPunct w:val="0"/>
        <w:spacing w:before="34" w:line="357" w:lineRule="auto"/>
        <w:ind w:right="306" w:firstLine="480"/>
        <w:jc w:val="both"/>
        <w:rPr>
          <w:rFonts w:hint="eastAsia" w:ascii="仿宋" w:hAnsi="仿宋" w:eastAsia="仿宋" w:cs="仿宋"/>
        </w:rPr>
      </w:pPr>
      <w:r>
        <w:rPr>
          <w:rFonts w:hint="eastAsia" w:ascii="仿宋" w:hAnsi="仿宋" w:eastAsia="仿宋" w:cs="仿宋"/>
        </w:rPr>
        <w:t>（5）其它可能影响公正评标的情形。</w:t>
      </w:r>
    </w:p>
    <w:p>
      <w:pPr>
        <w:pStyle w:val="9"/>
        <w:kinsoku w:val="0"/>
        <w:overflowPunct w:val="0"/>
        <w:spacing w:before="35"/>
        <w:rPr>
          <w:rFonts w:hint="eastAsia" w:ascii="仿宋" w:hAnsi="仿宋" w:eastAsia="仿宋" w:cs="仿宋"/>
          <w:b/>
          <w:bCs/>
          <w:spacing w:val="1"/>
        </w:rPr>
      </w:pPr>
      <w:r>
        <w:rPr>
          <w:rFonts w:hint="eastAsia" w:ascii="仿宋" w:hAnsi="仿宋" w:eastAsia="仿宋" w:cs="仿宋"/>
          <w:b/>
          <w:bCs/>
          <w:spacing w:val="1"/>
        </w:rPr>
        <w:t>2.评标原则</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2.1 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2.2 项目实施机构成立磋商小组，负责本次项目采购的磋商工作，磋商小组由业主代表与技术、经济等方面专家组成共</w:t>
      </w:r>
      <w:r>
        <w:rPr>
          <w:rFonts w:hint="eastAsia" w:ascii="仿宋" w:hAnsi="仿宋" w:eastAsia="仿宋" w:cs="仿宋"/>
          <w:lang w:val="en-US" w:eastAsia="zh-CN"/>
        </w:rPr>
        <w:t>3</w:t>
      </w:r>
      <w:r>
        <w:rPr>
          <w:rFonts w:hint="eastAsia" w:ascii="仿宋" w:hAnsi="仿宋" w:eastAsia="仿宋" w:cs="仿宋"/>
        </w:rPr>
        <w:t>人组成，其中评审专家人数不得少于磋商小组成员总数的2/3。评审专家应当从政府采购评审庄家库内相关专业的专家名单中随机抽取，符合本办法（财库214号文）第三条第四项规定情形的项目，以及特殊情况。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2.3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9"/>
        <w:kinsoku w:val="0"/>
        <w:overflowPunct w:val="0"/>
        <w:spacing w:before="35" w:line="357" w:lineRule="auto"/>
        <w:ind w:left="598" w:right="238" w:hanging="480"/>
        <w:rPr>
          <w:rFonts w:hint="eastAsia" w:ascii="仿宋" w:hAnsi="仿宋" w:eastAsia="仿宋" w:cs="仿宋"/>
          <w:b/>
          <w:bCs/>
          <w:spacing w:val="22"/>
          <w:w w:val="99"/>
        </w:rPr>
      </w:pPr>
      <w:r>
        <w:rPr>
          <w:rFonts w:hint="eastAsia" w:ascii="仿宋" w:hAnsi="仿宋" w:eastAsia="仿宋" w:cs="仿宋"/>
          <w:b/>
          <w:bCs/>
          <w:w w:val="95"/>
        </w:rPr>
        <w:t>3.</w:t>
      </w:r>
      <w:r>
        <w:rPr>
          <w:rFonts w:hint="eastAsia" w:ascii="仿宋" w:hAnsi="仿宋" w:eastAsia="仿宋" w:cs="仿宋"/>
          <w:b/>
          <w:bCs/>
        </w:rPr>
        <w:t>评标</w:t>
      </w:r>
      <w:r>
        <w:rPr>
          <w:rFonts w:hint="eastAsia" w:ascii="仿宋" w:hAnsi="仿宋" w:eastAsia="仿宋" w:cs="仿宋"/>
          <w:b/>
          <w:bCs/>
          <w:spacing w:val="22"/>
          <w:w w:val="99"/>
        </w:rPr>
        <w:t xml:space="preserve"> </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3.1磋商小组按照竞争性磋商文件中规定的方法、评审因素、标准和程序对磋商应性文件进行评审。竞争性磋商文件中没有规定的方法、评审因素和标准，不作为评标依据。 详见“评标办法”内容。</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3.2评标过程严格保密。供应商对评委会的评标过程或合同授予决定施加影响的任何行为都可能导致其投标被拒绝。</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3.3 在评标期间，评委会可要求供应商对其磋商响应性文件中非实质性的有关问题进行 澄清、说明或者补正。有关澄清、说明或者补正的要求和答复应以书面形式提交。供应 商的澄清、说明或者补正不得超出磋商响应性文件的范围或者改变磋商响应性文件的实 质性内容。</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3.4 评委会认定实质性响应竞争性磋商文件的投标是磋商响应性文件与竞争性磋商文件 要求的全部条款、条件和规格相符，没有实质性负偏离。评委会评审磋商响应性文件的 响应性依据是磋商响应性文件本身的内容，而不寻求外部的证据。</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3.5 如果磋商响应性文件没有实质性响应竞争性磋商文件的要求，评委会将予以拒绝。 供应商不得通过修正或撤消不合要求的偏离或保留从而使其投标成为实质性响应的投 标。</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3.6 评委会只对确定为实质性响应竞争性磋商文件要求的磋商响应性文件，根据竞争性 磋商文件的评审标准采用相同的评标程序、评分办法进行评价和比较。</w:t>
      </w:r>
    </w:p>
    <w:p>
      <w:pPr>
        <w:pStyle w:val="4"/>
        <w:rPr>
          <w:rFonts w:hint="eastAsia" w:ascii="仿宋" w:hAnsi="仿宋" w:eastAsia="仿宋" w:cs="仿宋"/>
        </w:rPr>
      </w:pPr>
      <w:bookmarkStart w:id="13" w:name="_Toc26538"/>
      <w:r>
        <w:rPr>
          <w:rFonts w:hint="eastAsia" w:ascii="仿宋" w:hAnsi="仿宋" w:eastAsia="仿宋" w:cs="仿宋"/>
        </w:rPr>
        <w:t>（</w:t>
      </w:r>
      <w:r>
        <w:rPr>
          <w:rFonts w:hint="eastAsia" w:ascii="仿宋" w:hAnsi="仿宋" w:eastAsia="仿宋" w:cs="仿宋"/>
          <w:lang w:eastAsia="zh-CN"/>
        </w:rPr>
        <w:t>六</w:t>
      </w:r>
      <w:r>
        <w:rPr>
          <w:rFonts w:hint="eastAsia" w:ascii="仿宋" w:hAnsi="仿宋" w:eastAsia="仿宋" w:cs="仿宋"/>
        </w:rPr>
        <w:t>）定标</w:t>
      </w:r>
      <w:bookmarkEnd w:id="13"/>
    </w:p>
    <w:p>
      <w:pPr>
        <w:pStyle w:val="9"/>
        <w:kinsoku w:val="0"/>
        <w:overflowPunct w:val="0"/>
        <w:spacing w:before="35" w:line="357" w:lineRule="auto"/>
        <w:ind w:left="598" w:right="238" w:hanging="480"/>
        <w:rPr>
          <w:rFonts w:hint="eastAsia" w:ascii="仿宋" w:hAnsi="仿宋" w:eastAsia="仿宋" w:cs="仿宋"/>
          <w:b/>
          <w:bCs/>
          <w:w w:val="95"/>
        </w:rPr>
      </w:pPr>
      <w:r>
        <w:rPr>
          <w:rFonts w:hint="eastAsia" w:ascii="仿宋" w:hAnsi="仿宋" w:eastAsia="仿宋" w:cs="仿宋"/>
          <w:b/>
          <w:bCs/>
          <w:w w:val="95"/>
        </w:rPr>
        <w:t>1.定标</w:t>
      </w:r>
    </w:p>
    <w:p>
      <w:pPr>
        <w:spacing w:line="360" w:lineRule="auto"/>
        <w:ind w:firstLine="480" w:firstLineChars="200"/>
        <w:rPr>
          <w:rFonts w:hint="eastAsia" w:ascii="仿宋" w:hAnsi="仿宋" w:eastAsia="仿宋" w:cs="仿宋"/>
          <w:b/>
          <w:bCs/>
          <w:w w:val="95"/>
          <w:kern w:val="0"/>
          <w:sz w:val="24"/>
          <w:szCs w:val="24"/>
        </w:rPr>
      </w:pPr>
      <w:r>
        <w:rPr>
          <w:rFonts w:hint="eastAsia" w:ascii="仿宋" w:hAnsi="仿宋" w:eastAsia="仿宋" w:cs="仿宋"/>
          <w:sz w:val="24"/>
          <w:szCs w:val="24"/>
        </w:rPr>
        <w:t>1.1 定标原则：磋商小组按照公开、公平、公正、诚实信用的原则对待参与磋商的供应商的响应文件；经磋商确定最终采购需求和提交最后报价的供应商后，由磋商小组采用综合评分法对提交最后报价的供应商的响应文件和最后报价进行综合评分。</w:t>
      </w:r>
      <w:r>
        <w:rPr>
          <w:rFonts w:hint="eastAsia" w:ascii="仿宋" w:hAnsi="仿宋" w:eastAsia="仿宋" w:cs="仿宋"/>
          <w:kern w:val="0"/>
          <w:sz w:val="24"/>
          <w:szCs w:val="24"/>
        </w:rPr>
        <w:t xml:space="preserve">能够最大限度满足竞争性磋商文件中规定的各项综合评价标准且得分最高（但投标价格低于成本价的除外）。 </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1.2 定标方法：综合评分法。</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1.3 定标方式：根据评委会推荐的中标候选人名单，采购人确定中标人。</w:t>
      </w:r>
    </w:p>
    <w:p>
      <w:pPr>
        <w:pStyle w:val="9"/>
        <w:kinsoku w:val="0"/>
        <w:overflowPunct w:val="0"/>
        <w:spacing w:before="35" w:line="357" w:lineRule="auto"/>
        <w:ind w:left="598" w:right="238" w:hanging="480"/>
        <w:rPr>
          <w:rFonts w:hint="eastAsia" w:ascii="仿宋" w:hAnsi="仿宋" w:eastAsia="仿宋" w:cs="仿宋"/>
          <w:b/>
          <w:bCs/>
          <w:w w:val="95"/>
        </w:rPr>
      </w:pPr>
      <w:r>
        <w:rPr>
          <w:rFonts w:hint="eastAsia" w:ascii="仿宋" w:hAnsi="仿宋" w:eastAsia="仿宋" w:cs="仿宋"/>
          <w:b/>
          <w:bCs/>
          <w:w w:val="95"/>
        </w:rPr>
        <w:t>2.定标程序</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2.1 磋商小组按照综合评审打分结果由高到低排列顺序。综合得分相同的，按投标报价由低到高顺序排列。得分且投标报价相同的，按技术指标优劣顺序排列。前三名的供应商为拟中标候选人。</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2.2 采购人根据书面评标报告和被推荐的中标候选人，确定得分最高的供应商为拟中标供单位。</w:t>
      </w:r>
    </w:p>
    <w:p>
      <w:pPr>
        <w:spacing w:line="360" w:lineRule="auto"/>
        <w:ind w:left="105" w:leftChars="50" w:firstLine="525" w:firstLineChars="250"/>
        <w:rPr>
          <w:rFonts w:hint="eastAsia" w:ascii="仿宋" w:hAnsi="仿宋" w:eastAsia="仿宋" w:cs="仿宋"/>
          <w:sz w:val="24"/>
          <w:szCs w:val="24"/>
        </w:rPr>
      </w:pPr>
      <w:r>
        <w:rPr>
          <w:rFonts w:hint="eastAsia" w:ascii="仿宋" w:hAnsi="仿宋" w:eastAsia="仿宋" w:cs="仿宋"/>
        </w:rPr>
        <w:t xml:space="preserve">2.3 </w:t>
      </w:r>
      <w:r>
        <w:rPr>
          <w:rFonts w:hint="eastAsia" w:ascii="仿宋" w:hAnsi="仿宋" w:eastAsia="仿宋" w:cs="仿宋"/>
          <w:sz w:val="24"/>
          <w:szCs w:val="24"/>
        </w:rPr>
        <w:t>中标结果在“新疆政府采购网” 上予以公告。同时向中标人发出中标通知书。</w:t>
      </w:r>
    </w:p>
    <w:p>
      <w:pPr>
        <w:pStyle w:val="9"/>
        <w:kinsoku w:val="0"/>
        <w:overflowPunct w:val="0"/>
        <w:spacing w:before="151"/>
        <w:rPr>
          <w:rFonts w:hint="eastAsia" w:ascii="仿宋" w:hAnsi="仿宋" w:eastAsia="仿宋" w:cs="仿宋"/>
        </w:rPr>
      </w:pPr>
      <w:r>
        <w:rPr>
          <w:rFonts w:hint="eastAsia" w:ascii="仿宋" w:hAnsi="仿宋" w:eastAsia="仿宋" w:cs="仿宋"/>
          <w:b/>
          <w:bCs/>
        </w:rPr>
        <w:t>3.中标通知书</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3.1 中标结果在公示期满无质疑或投诉后，该结果将作为正式中标或签订《采购合同》的凭据。招标代理机构将以书面形式《成交通知书》通知中标的供应商其投标被接受。在该通知书发出三十日内，中标单位应与采购人签订采购合同。</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3.2 中标通知书为签订政府采购合同的依据，是合同的有效组成部分。</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3.3 中标通知书对采购人和中标人均具有法律效力。中标通知书发出后，采购人改变中标结果，或者中标人无正当理由放弃中标的，应当承担相应的法律责任。</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3.4 中标人的磋商响应性文件本应作为无效投标处理或者有政府采购法律法规规章制度规定的中标无效情形的，招标代理机构在取得有权主体的认定以后，应当宣布发出的中标通知书无效，并收回发出的中标通知书（中标人也应当缴回），依法重新确定中标人或者重新开展采购活动。</w:t>
      </w:r>
    </w:p>
    <w:p>
      <w:pPr>
        <w:pStyle w:val="4"/>
        <w:rPr>
          <w:rFonts w:hint="eastAsia" w:ascii="仿宋" w:hAnsi="仿宋" w:eastAsia="仿宋" w:cs="仿宋"/>
        </w:rPr>
      </w:pPr>
      <w:bookmarkStart w:id="14" w:name="_Toc18879"/>
      <w:r>
        <w:rPr>
          <w:rFonts w:hint="eastAsia" w:ascii="仿宋" w:hAnsi="仿宋" w:eastAsia="仿宋" w:cs="仿宋"/>
        </w:rPr>
        <w:t>（</w:t>
      </w:r>
      <w:r>
        <w:rPr>
          <w:rFonts w:hint="eastAsia" w:ascii="仿宋" w:hAnsi="仿宋" w:eastAsia="仿宋" w:cs="仿宋"/>
          <w:lang w:eastAsia="zh-CN"/>
        </w:rPr>
        <w:t>七</w:t>
      </w:r>
      <w:r>
        <w:rPr>
          <w:rFonts w:hint="eastAsia" w:ascii="仿宋" w:hAnsi="仿宋" w:eastAsia="仿宋" w:cs="仿宋"/>
        </w:rPr>
        <w:t>）合同签订及履行</w:t>
      </w:r>
      <w:bookmarkEnd w:id="14"/>
    </w:p>
    <w:p>
      <w:pPr>
        <w:pStyle w:val="9"/>
        <w:kinsoku w:val="0"/>
        <w:overflowPunct w:val="0"/>
        <w:spacing w:before="151"/>
        <w:rPr>
          <w:rFonts w:hint="eastAsia" w:ascii="仿宋" w:hAnsi="仿宋" w:eastAsia="仿宋" w:cs="仿宋"/>
          <w:b/>
          <w:bCs/>
        </w:rPr>
      </w:pPr>
      <w:r>
        <w:rPr>
          <w:rFonts w:hint="eastAsia" w:ascii="仿宋" w:hAnsi="仿宋" w:eastAsia="仿宋" w:cs="仿宋"/>
          <w:b/>
          <w:bCs/>
        </w:rPr>
        <w:t>1.合同授予原则</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1.1 采购人将把合同授予经磋商小组评议推荐，在法定公示时间后，收到《成交通知书》的投标单位。若因中标单位违约或因不可抗力等原因不能被授予合同，则合同将授予排序在该中标单位之后的下一个供应商，以此类推。</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1.2 采购人保留在签订合同时调整方案需求和变动所购服务内容的权力。</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1.3 采购人不得向中标人提出任何不合理的要求，作为签订合同的条件，不得与中标人私下订立背离合同实质性内容的任何协议，所签订的合同不得对竞争性磋商文件和中标人磋商响应性文件作实质性修改。</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1.4 中标人应当按照合同约定履行义务，完成中标项目的设计任务，不得将中标项目的转让（转包）给他人。</w:t>
      </w:r>
    </w:p>
    <w:p>
      <w:pPr>
        <w:pStyle w:val="9"/>
        <w:kinsoku w:val="0"/>
        <w:overflowPunct w:val="0"/>
        <w:spacing w:before="34"/>
        <w:rPr>
          <w:rFonts w:hint="eastAsia" w:ascii="仿宋" w:hAnsi="仿宋" w:eastAsia="仿宋" w:cs="仿宋"/>
        </w:rPr>
      </w:pPr>
      <w:r>
        <w:rPr>
          <w:rFonts w:hint="eastAsia" w:ascii="仿宋" w:hAnsi="仿宋" w:eastAsia="仿宋" w:cs="仿宋"/>
          <w:b/>
          <w:bCs/>
        </w:rPr>
        <w:t>2.合同的签署</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2.1 中标人依据《成交通知书》与采购人签订合同，签订时间为《成交通知书》发出之日起三十日内。</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2.2 中标单位按《成交通知书》中规定的时间和地点，在招标代理机构监督下，由法定代表人或授权代表与采购人签订合同。采购人与中标单位是合同权利与义务的直接全部责任承担人。所发出的《成交通知书》对采购人和中标单位具有同等法律效力。</w:t>
      </w:r>
    </w:p>
    <w:p>
      <w:pPr>
        <w:pStyle w:val="9"/>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2.3《成交通知书》发出后，采购人拒绝签订《采购合同》或擅自改变中标内容，按照《中华人民共和国合同法》定金罚则及损害赔偿的原则处罚并办理。若由于中标单位的原因逾期未与采购人签订采购合同的，将视为放弃中标，取消其中标资格并将按照《中华人民共和国政府采购法》相关规定进行处理。</w:t>
      </w:r>
    </w:p>
    <w:p>
      <w:pPr>
        <w:pStyle w:val="9"/>
        <w:kinsoku w:val="0"/>
        <w:overflowPunct w:val="0"/>
        <w:spacing w:before="37" w:line="357" w:lineRule="auto"/>
        <w:ind w:right="2481"/>
        <w:rPr>
          <w:rFonts w:hint="eastAsia" w:ascii="仿宋" w:hAnsi="仿宋" w:eastAsia="仿宋" w:cs="仿宋"/>
        </w:rPr>
      </w:pPr>
      <w:r>
        <w:rPr>
          <w:rFonts w:hint="eastAsia" w:ascii="仿宋" w:hAnsi="仿宋" w:eastAsia="仿宋" w:cs="仿宋"/>
          <w:b/>
          <w:bCs/>
        </w:rPr>
        <w:t>3.履行合同</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3.1 中标人与采购人签订合同后，合同双方应严格执行合同条款，履行合同规定的义务，保证合同的顺利完成。</w:t>
      </w:r>
    </w:p>
    <w:p>
      <w:pPr>
        <w:pStyle w:val="9"/>
        <w:kinsoku w:val="0"/>
        <w:overflowPunct w:val="0"/>
        <w:spacing w:before="34" w:line="355" w:lineRule="auto"/>
        <w:ind w:right="126" w:firstLine="480"/>
        <w:jc w:val="both"/>
        <w:rPr>
          <w:rFonts w:hint="eastAsia" w:ascii="仿宋" w:hAnsi="仿宋" w:eastAsia="仿宋" w:cs="仿宋"/>
        </w:rPr>
      </w:pPr>
      <w:r>
        <w:rPr>
          <w:rFonts w:hint="eastAsia" w:ascii="仿宋" w:hAnsi="仿宋" w:eastAsia="仿宋" w:cs="仿宋"/>
        </w:rPr>
        <w:t>3.2 在合同履行过程中，如发生合同纠纷，合同双方应按照《合同法》的有关规定进行处理。</w:t>
      </w:r>
    </w:p>
    <w:p>
      <w:pPr>
        <w:pStyle w:val="4"/>
        <w:rPr>
          <w:rFonts w:hint="eastAsia" w:ascii="仿宋" w:hAnsi="仿宋" w:eastAsia="仿宋" w:cs="仿宋"/>
        </w:rPr>
      </w:pPr>
      <w:bookmarkStart w:id="15" w:name="_Toc31505"/>
      <w:r>
        <w:rPr>
          <w:rFonts w:hint="eastAsia" w:ascii="仿宋" w:hAnsi="仿宋" w:eastAsia="仿宋" w:cs="仿宋"/>
        </w:rPr>
        <w:t>（</w:t>
      </w:r>
      <w:r>
        <w:rPr>
          <w:rFonts w:hint="eastAsia" w:ascii="仿宋" w:hAnsi="仿宋" w:eastAsia="仿宋" w:cs="仿宋"/>
          <w:lang w:eastAsia="zh-CN"/>
        </w:rPr>
        <w:t>八</w:t>
      </w:r>
      <w:r>
        <w:rPr>
          <w:rFonts w:hint="eastAsia" w:ascii="仿宋" w:hAnsi="仿宋" w:eastAsia="仿宋" w:cs="仿宋"/>
        </w:rPr>
        <w:t>）重新招标和不再招标</w:t>
      </w:r>
      <w:bookmarkEnd w:id="15"/>
    </w:p>
    <w:p>
      <w:pPr>
        <w:pStyle w:val="9"/>
        <w:kinsoku w:val="0"/>
        <w:overflowPunct w:val="0"/>
        <w:spacing w:before="37" w:line="357" w:lineRule="auto"/>
        <w:ind w:right="2481"/>
        <w:rPr>
          <w:rFonts w:hint="eastAsia" w:ascii="仿宋" w:hAnsi="仿宋" w:eastAsia="仿宋" w:cs="仿宋"/>
          <w:b/>
          <w:bCs/>
        </w:rPr>
      </w:pPr>
      <w:r>
        <w:rPr>
          <w:rFonts w:hint="eastAsia" w:ascii="仿宋" w:hAnsi="仿宋" w:eastAsia="仿宋" w:cs="仿宋"/>
          <w:b/>
          <w:bCs/>
        </w:rPr>
        <w:t>1．重新招标</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有下列情形之一的，采购人将重新招标：</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（1）投标截止时间止，供应商少于</w:t>
      </w:r>
      <w:r>
        <w:rPr>
          <w:rFonts w:hint="eastAsia" w:ascii="仿宋" w:hAnsi="仿宋" w:eastAsia="仿宋" w:cs="仿宋"/>
          <w:spacing w:val="4"/>
        </w:rPr>
        <w:t>《政府采购货物和服务招标投标管理办法》、《政府购买服务管理办法（暂行）》、《政府采购竞争性磋商采购方式管理暂行办法》、《财政部关于政府采购竞争性磋商采购方式管理暂行办法有关问题的补充通知》及相关法规</w:t>
      </w:r>
      <w:r>
        <w:rPr>
          <w:rFonts w:hint="eastAsia" w:ascii="仿宋" w:hAnsi="仿宋" w:eastAsia="仿宋" w:cs="仿宋"/>
        </w:rPr>
        <w:t>规定的家数。</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（2）经磋商小组评审后否决所有投标的。 </w:t>
      </w:r>
    </w:p>
    <w:p>
      <w:pPr>
        <w:pStyle w:val="9"/>
        <w:kinsoku w:val="0"/>
        <w:overflowPunct w:val="0"/>
        <w:spacing w:line="357" w:lineRule="auto"/>
        <w:ind w:right="4044" w:firstLine="24"/>
        <w:rPr>
          <w:rFonts w:hint="eastAsia" w:ascii="仿宋" w:hAnsi="仿宋" w:eastAsia="仿宋" w:cs="仿宋"/>
        </w:rPr>
      </w:pPr>
      <w:r>
        <w:rPr>
          <w:rFonts w:hint="eastAsia" w:ascii="仿宋" w:hAnsi="仿宋" w:eastAsia="仿宋" w:cs="仿宋"/>
          <w:b/>
          <w:bCs/>
        </w:rPr>
        <w:t>2．不再招标</w:t>
      </w:r>
    </w:p>
    <w:p>
      <w:pPr>
        <w:pStyle w:val="9"/>
        <w:kinsoku w:val="0"/>
        <w:overflowPunct w:val="0"/>
        <w:spacing w:before="34" w:line="357" w:lineRule="auto"/>
        <w:ind w:right="126" w:firstLine="480"/>
        <w:jc w:val="both"/>
        <w:rPr>
          <w:rFonts w:hint="eastAsia" w:ascii="仿宋" w:hAnsi="仿宋" w:eastAsia="仿宋" w:cs="仿宋"/>
          <w:color w:val="auto"/>
        </w:rPr>
      </w:pPr>
      <w:r>
        <w:rPr>
          <w:rFonts w:hint="eastAsia" w:ascii="仿宋" w:hAnsi="仿宋" w:eastAsia="仿宋" w:cs="仿宋"/>
          <w:color w:val="auto"/>
        </w:rPr>
        <w:t>重新招标后供应商仍少于</w:t>
      </w:r>
      <w:r>
        <w:rPr>
          <w:rFonts w:hint="eastAsia" w:ascii="仿宋" w:hAnsi="仿宋" w:eastAsia="仿宋" w:cs="仿宋"/>
          <w:color w:val="auto"/>
          <w:spacing w:val="4"/>
        </w:rPr>
        <w:t>《政府采购货物和服务招标投标管理办法》、《政府购买服务管理办法（暂行）》、《政府采购竞争性磋商采购方式管理暂行办法》、《财政部关于政府采购竞争性磋商采购方式管理暂行办法有关问题的补充通知》及相关法规</w:t>
      </w:r>
      <w:r>
        <w:rPr>
          <w:rFonts w:hint="eastAsia" w:ascii="仿宋" w:hAnsi="仿宋" w:eastAsia="仿宋" w:cs="仿宋"/>
          <w:color w:val="auto"/>
        </w:rPr>
        <w:t>规定的家数，或者所有投标被否决的，属于必须审批或核准的工程 建设、货物、服务项目，经原审批或核准部门批准后不再进行招标。</w:t>
      </w:r>
    </w:p>
    <w:p>
      <w:pPr>
        <w:pStyle w:val="4"/>
        <w:rPr>
          <w:rFonts w:hint="eastAsia" w:ascii="仿宋" w:hAnsi="仿宋" w:eastAsia="仿宋" w:cs="仿宋"/>
        </w:rPr>
      </w:pPr>
      <w:bookmarkStart w:id="16" w:name="_Toc23704"/>
      <w:r>
        <w:rPr>
          <w:rFonts w:hint="eastAsia" w:ascii="仿宋" w:hAnsi="仿宋" w:eastAsia="仿宋" w:cs="仿宋"/>
        </w:rPr>
        <w:t>（</w:t>
      </w:r>
      <w:r>
        <w:rPr>
          <w:rFonts w:hint="eastAsia" w:ascii="仿宋" w:hAnsi="仿宋" w:eastAsia="仿宋" w:cs="仿宋"/>
          <w:lang w:eastAsia="zh-CN"/>
        </w:rPr>
        <w:t>九</w:t>
      </w:r>
      <w:r>
        <w:rPr>
          <w:rFonts w:hint="eastAsia" w:ascii="仿宋" w:hAnsi="仿宋" w:eastAsia="仿宋" w:cs="仿宋"/>
        </w:rPr>
        <w:t>）纪律和监督</w:t>
      </w:r>
      <w:bookmarkEnd w:id="16"/>
    </w:p>
    <w:p>
      <w:pPr>
        <w:pStyle w:val="9"/>
        <w:kinsoku w:val="0"/>
        <w:overflowPunct w:val="0"/>
        <w:spacing w:line="357" w:lineRule="auto"/>
        <w:ind w:right="4044" w:firstLine="24"/>
        <w:rPr>
          <w:rFonts w:hint="eastAsia" w:ascii="仿宋" w:hAnsi="仿宋" w:eastAsia="仿宋" w:cs="仿宋"/>
          <w:b/>
          <w:bCs/>
        </w:rPr>
      </w:pPr>
      <w:r>
        <w:rPr>
          <w:rFonts w:hint="eastAsia" w:ascii="仿宋" w:hAnsi="仿宋" w:eastAsia="仿宋" w:cs="仿宋"/>
          <w:b/>
          <w:bCs/>
        </w:rPr>
        <w:t>1．对采购人的纪律要求</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采购人不得泄漏招标投标活动中应当保密的情况和资料，不得与供应商串通损害国家利益、社会公共利益或者他人合法权益。下列行为视为采购人与供应商串通投标：</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(1）采购人在开标前开启磋商响应性文件，并将投标情况告知其它供应商，或者协助供应商撤换磋商响应性文件，更改报价；</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(2）采购人向供应商泄露标底；</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(3）采购人与供应商商定，投标时压低或抬高标价，中标后再给供应商或采购人额外补偿；</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(4）采购人预先内定中标人；</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(5）其它串通投标行为。</w:t>
      </w:r>
    </w:p>
    <w:p>
      <w:pPr>
        <w:pStyle w:val="9"/>
        <w:kinsoku w:val="0"/>
        <w:overflowPunct w:val="0"/>
        <w:spacing w:before="34" w:line="357" w:lineRule="auto"/>
        <w:ind w:left="598" w:right="178" w:hanging="480"/>
        <w:rPr>
          <w:rFonts w:hint="eastAsia" w:ascii="仿宋" w:hAnsi="仿宋" w:eastAsia="仿宋" w:cs="仿宋"/>
          <w:b/>
          <w:bCs/>
          <w:spacing w:val="25"/>
          <w:w w:val="99"/>
        </w:rPr>
      </w:pPr>
      <w:r>
        <w:rPr>
          <w:rFonts w:hint="eastAsia" w:ascii="仿宋" w:hAnsi="仿宋" w:eastAsia="仿宋" w:cs="仿宋"/>
          <w:b/>
          <w:bCs/>
        </w:rPr>
        <w:t>2.对供应商的纪律要求</w:t>
      </w:r>
      <w:r>
        <w:rPr>
          <w:rFonts w:hint="eastAsia" w:ascii="仿宋" w:hAnsi="仿宋" w:eastAsia="仿宋" w:cs="仿宋"/>
          <w:b/>
          <w:bCs/>
          <w:spacing w:val="25"/>
          <w:w w:val="99"/>
        </w:rPr>
        <w:t xml:space="preserve">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供应商不得相互串通投标或者与采购人串通投标，不得向采购人或者磋商小组成员行贿谋取中标，不得以他人名义投标或者以其他方式弄虚作假骗取中标；供应商不得以任何方式干扰、影响评标工作；不得诋毁、排挤其他供应商；不得在招标过程中与招标采购单位进行协商</w:t>
      </w:r>
      <w:r>
        <w:rPr>
          <w:rFonts w:hint="eastAsia" w:ascii="仿宋" w:hAnsi="仿宋" w:eastAsia="仿宋" w:cs="仿宋"/>
          <w:lang w:eastAsia="zh-CN"/>
        </w:rPr>
        <w:t>磋商</w:t>
      </w:r>
      <w:r>
        <w:rPr>
          <w:rFonts w:hint="eastAsia" w:ascii="仿宋" w:hAnsi="仿宋" w:eastAsia="仿宋" w:cs="仿宋"/>
        </w:rPr>
        <w:t>；不得拒绝有关部门的监督检查或者向监督检查部门提供虚假情况。</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2.1 下列行为视为以他人名义投标：</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（1）供应商挂靠其他单位；</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（2）供应商从其它单位通过转让或租借的方式获取资格或资质证书；</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（3）由其它单位及法定代表人在自己编制的磋商响应性文件上加盖印章或签字；</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（4）法律法规规定的其它情形。</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2.2 下列行为，视为允许他人以本单位名义承揽工程</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a) 供应商的法定代表人的委托代理人不是供应商本单位人员；</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b) 供应商拟在担任本项目的项目负责人或主要技术人员等不是本单位人员；</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c) 通过出租、出借资质证书或者收取管理费等方式允许他人以本单位名义承接工程；</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d) 投标保证金非投标单位银行基本账户转出，或虽由投标单位银行基本账户转出， 但先由非投标单位人员将投标保证金存入投标单位或有关个人账户，或以其他方式抵押的；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e) 项目资金未实行项目资金专户分账管理或独立核算制度的；财务管理人员（财务主管和出纳）非本单位人员，或项目资金的使用未经项目经理本人签字、审批的；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f) 中标后，实际由他人履行职责且他人非本单位人员的(项目负责人换为非本单位人员，或其他主要技术人员有 2 个及以上换为非本单位人员)；</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g) 法律法规规定的其它情形。上述条件中，供应商本单位人员，必须同时满足以下条件：</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（1）聘任合同必须由供应商单位与之签订，项目负责人的聘任合同投标前已执行合同一年以上；</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（2）与供应商单位有合法的工资关系，且投标前已连续支付工资一年以上；</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（3）供应商单位为其办理社会保险关系，政府人事或社保管理部门出具的有效证明其为本单位人员身份的文件。</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 下列行为均视为供应商串通投标：</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2.3.1 供应商串通投标报价：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a）供应商之间相互约定抬高或压低投标报价；</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b）供应商之间相互约定，在招标项目中分别以高、中、低价位报价；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c）供应商之间先进行内部竞价，内定中标人，然后再参加投标；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d）不同供应商的投标报价或报价组成异常一致的；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e）供应商之间其它串通投标报价的行为。</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2.3.2 不同供应商磋商响应性文件的编制人或审核人为同一人或同一单位人员的；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2.3.3 不同供应商磋商响应性文件的授权签署人为同一人或同一单位人员的；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2.3.4 不同供应商委托同一人办理投标事宜的；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2.3.5 不同供应商的磋商响应性文件相互混装的；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2.3.6 不同供应商使用同一单位的资金缴纳投标保证金的；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2.3.7 不同供应商的磋商响应性文件载明的项目成员出现相同人员的；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2.3.8 不同供应商的磋商响应性文件内容存在非正常一致的；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2.3.9 不同供应商的服务方案中专门针对本项目的内容基本雷同的；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2.3.10 不同供应商的磋商响应性文件出现磋商小组认为不应当雷同的情况的；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2.3.11 法律法规规章规定的其他围标串标行为。</w:t>
      </w:r>
    </w:p>
    <w:p>
      <w:pPr>
        <w:pStyle w:val="9"/>
        <w:kinsoku w:val="0"/>
        <w:overflowPunct w:val="0"/>
        <w:spacing w:before="26" w:line="355" w:lineRule="auto"/>
        <w:ind w:right="50"/>
        <w:rPr>
          <w:rFonts w:hint="eastAsia" w:ascii="仿宋" w:hAnsi="仿宋" w:eastAsia="仿宋" w:cs="仿宋"/>
        </w:rPr>
      </w:pPr>
      <w:r>
        <w:rPr>
          <w:rFonts w:hint="eastAsia" w:ascii="仿宋" w:hAnsi="仿宋" w:eastAsia="仿宋" w:cs="仿宋"/>
          <w:b/>
          <w:bCs/>
        </w:rPr>
        <w:t>3.对磋商小组成员的纪律要求</w:t>
      </w:r>
      <w:r>
        <w:rPr>
          <w:rFonts w:hint="eastAsia" w:ascii="仿宋" w:hAnsi="仿宋" w:eastAsia="仿宋" w:cs="仿宋"/>
        </w:rPr>
        <w:t xml:space="preserve">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磋商小组成员不得收受他人的财物或者其他好处，不得向他人透漏对磋商响应性文件的评审和比较、中标候选人的推荐情况以及评标有关的其他情况。在评标活动中，磋商小组成员不得擅离职守，</w:t>
      </w:r>
      <w:bookmarkStart w:id="17" w:name="（十三）废标"/>
      <w:bookmarkEnd w:id="17"/>
      <w:bookmarkStart w:id="18" w:name="（十二）无效投标"/>
      <w:bookmarkEnd w:id="18"/>
      <w:bookmarkStart w:id="19" w:name="bookmark14"/>
      <w:bookmarkEnd w:id="19"/>
      <w:bookmarkStart w:id="20" w:name="bookmark13"/>
      <w:bookmarkEnd w:id="20"/>
      <w:r>
        <w:rPr>
          <w:rFonts w:hint="eastAsia" w:ascii="仿宋" w:hAnsi="仿宋" w:eastAsia="仿宋" w:cs="仿宋"/>
        </w:rPr>
        <w:t>影响评标程序正常进行，不得使用“评标办法”没有规定的 评审因素和标准进行评标。</w:t>
      </w:r>
    </w:p>
    <w:p>
      <w:pPr>
        <w:pStyle w:val="9"/>
        <w:kinsoku w:val="0"/>
        <w:overflowPunct w:val="0"/>
        <w:spacing w:before="38" w:line="357" w:lineRule="auto"/>
        <w:ind w:left="598" w:right="50" w:hanging="480"/>
        <w:rPr>
          <w:rFonts w:hint="eastAsia" w:ascii="仿宋" w:hAnsi="仿宋" w:eastAsia="仿宋" w:cs="仿宋"/>
          <w:b/>
          <w:bCs/>
          <w:spacing w:val="26"/>
          <w:w w:val="99"/>
        </w:rPr>
      </w:pPr>
      <w:r>
        <w:rPr>
          <w:rFonts w:hint="eastAsia" w:ascii="仿宋" w:hAnsi="仿宋" w:eastAsia="仿宋" w:cs="仿宋"/>
          <w:b/>
          <w:bCs/>
        </w:rPr>
        <w:t>4.对与评标活动有关的工作人员的纪律要求</w:t>
      </w:r>
      <w:r>
        <w:rPr>
          <w:rFonts w:hint="eastAsia" w:ascii="仿宋" w:hAnsi="仿宋" w:eastAsia="仿宋" w:cs="仿宋"/>
          <w:b/>
          <w:bCs/>
          <w:spacing w:val="26"/>
          <w:w w:val="99"/>
        </w:rPr>
        <w:t xml:space="preserve">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与评标活动有关的工作人员不得收受他人的财物或者其他好处，不得向他人透漏对标文件的评审和比较、中标候选人的推荐情况以及评标有关的其他情况。在评标活动中，与评标活动有关的工作人员不得擅离职守，影响评标程序正常进行。</w:t>
      </w:r>
    </w:p>
    <w:p>
      <w:pPr>
        <w:pStyle w:val="4"/>
        <w:rPr>
          <w:rFonts w:hint="eastAsia" w:ascii="仿宋" w:hAnsi="仿宋" w:eastAsia="仿宋" w:cs="仿宋"/>
        </w:rPr>
      </w:pPr>
      <w:bookmarkStart w:id="21" w:name="_Toc503548060"/>
      <w:bookmarkStart w:id="22" w:name="_Toc8958"/>
      <w:r>
        <w:rPr>
          <w:rFonts w:hint="eastAsia" w:ascii="仿宋" w:hAnsi="仿宋" w:eastAsia="仿宋" w:cs="仿宋"/>
        </w:rPr>
        <w:t>（十）无效投标</w:t>
      </w:r>
      <w:bookmarkEnd w:id="21"/>
      <w:bookmarkEnd w:id="22"/>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遇到下列情况之一时, 投标人的投标将被视为无效投标: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1)未按照招标文件的规定提交投标保证金的；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2)投标文件未按招标文件要求签署、盖章的；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3)不具备招标文件中规定的资格要求的；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 报价超过招标文件中规定的预算金额或者最高限价的；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5) 投标文件含有采购人不能接受的附加条件的；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6)法律、法规和招标文件规定的其他无效情形；</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7)有下列情形之一的，视为投标人串通投标，其投标无效：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A、不同投标人的投标文件由同一单位或者个人编制；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B、不同投标人委托同一单位或者个人办理投标事宜；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C、不同投标人的投标文件载明的项目管理成员或者联系人员为同一人；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D、不同投标人的投标文件异常一致或者投标报价呈规律性差异；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E、不同投标人的投标文件相互混装；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F、不同投标人的投标保证金从同一单位或者个人的账户转出。</w:t>
      </w:r>
    </w:p>
    <w:p>
      <w:pPr>
        <w:pStyle w:val="4"/>
        <w:rPr>
          <w:rFonts w:hint="eastAsia" w:ascii="仿宋" w:hAnsi="仿宋" w:eastAsia="仿宋" w:cs="仿宋"/>
        </w:rPr>
      </w:pPr>
      <w:bookmarkStart w:id="23" w:name="_Toc503548061"/>
      <w:bookmarkStart w:id="24" w:name="_Toc27786"/>
      <w:r>
        <w:rPr>
          <w:rFonts w:hint="eastAsia" w:ascii="仿宋" w:hAnsi="仿宋" w:eastAsia="仿宋" w:cs="仿宋"/>
        </w:rPr>
        <w:t>（十</w:t>
      </w:r>
      <w:r>
        <w:rPr>
          <w:rFonts w:hint="eastAsia" w:ascii="仿宋" w:hAnsi="仿宋" w:eastAsia="仿宋" w:cs="仿宋"/>
          <w:lang w:eastAsia="zh-CN"/>
        </w:rPr>
        <w:t>一</w:t>
      </w:r>
      <w:r>
        <w:rPr>
          <w:rFonts w:hint="eastAsia" w:ascii="仿宋" w:hAnsi="仿宋" w:eastAsia="仿宋" w:cs="仿宋"/>
        </w:rPr>
        <w:t>）废标</w:t>
      </w:r>
      <w:bookmarkEnd w:id="23"/>
      <w:bookmarkEnd w:id="24"/>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招标采购中，出现下列情形之一的，予以废标：</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（1）符合专业条件的投标单位或者对竞争性磋商文件作实质响应的投标单位不足</w:t>
      </w:r>
      <w:r>
        <w:rPr>
          <w:rFonts w:hint="eastAsia" w:ascii="仿宋" w:hAnsi="仿宋" w:eastAsia="仿宋" w:cs="仿宋"/>
          <w:spacing w:val="4"/>
        </w:rPr>
        <w:t>《政府采购货物和服务招标投标管理办法》、《政府购买服务管理办法（暂行）》、《政府采购竞争性磋商采购方式管理暂行办法》、《财政部关于政府采购竞争性磋商采购方式管理暂行办法有关问题的补充通知》及相关法规</w:t>
      </w:r>
      <w:r>
        <w:rPr>
          <w:rFonts w:hint="eastAsia" w:ascii="仿宋" w:hAnsi="仿宋" w:eastAsia="仿宋" w:cs="仿宋"/>
        </w:rPr>
        <w:t>规定的家数；</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（2）出现影响采购公正的违法、违规行为的；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（3）供应商的报价均超过了采购预算，采购人不能支付的；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（4）因重大变故，采购任务取消的。废标后，招标代理机构应在发布公告相同的网站上公告，并公告废标的详细理由。</w:t>
      </w:r>
    </w:p>
    <w:p>
      <w:pPr>
        <w:pStyle w:val="4"/>
        <w:rPr>
          <w:rFonts w:hint="eastAsia" w:ascii="仿宋" w:hAnsi="仿宋" w:eastAsia="仿宋" w:cs="仿宋"/>
        </w:rPr>
      </w:pPr>
      <w:bookmarkStart w:id="25" w:name="_Toc503548062"/>
      <w:bookmarkStart w:id="26" w:name="_Toc24735"/>
      <w:r>
        <w:rPr>
          <w:rFonts w:hint="eastAsia" w:ascii="仿宋" w:hAnsi="仿宋" w:eastAsia="仿宋" w:cs="仿宋"/>
        </w:rPr>
        <w:t>（十</w:t>
      </w:r>
      <w:r>
        <w:rPr>
          <w:rFonts w:hint="eastAsia" w:ascii="仿宋" w:hAnsi="仿宋" w:eastAsia="仿宋" w:cs="仿宋"/>
          <w:lang w:eastAsia="zh-CN"/>
        </w:rPr>
        <w:t>二</w:t>
      </w:r>
      <w:r>
        <w:rPr>
          <w:rFonts w:hint="eastAsia" w:ascii="仿宋" w:hAnsi="仿宋" w:eastAsia="仿宋" w:cs="仿宋"/>
        </w:rPr>
        <w:t>）质疑和投诉</w:t>
      </w:r>
      <w:bookmarkEnd w:id="25"/>
      <w:bookmarkEnd w:id="26"/>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1.供应商对政府采购活动事项有疑问的，可以向采购人提出询问，采购人应当及时作出答复，但答复的内容不得涉及商业秘密。</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2.供应商认为竞争性磋商文件、采购过程和中标、中标结果使自己的权益受到损害的，可以在知道或者应知其权益受到损害之日起七个工作日内，以规范的格式，详实的证明材料向采购人提出质疑。</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3.采购人应当在收到供应商的书面质疑后七个工作日内作出答复，并通知质疑供应商和其他有关供应商，但答复的内容不得涉及商业秘密。</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4.采购人委托采购代理机构采购的，供应商可以向采购代理机构提出询问或者质疑，采购代理机构应当依照《中华人民共和国政府采购法》第五十一条、第五十三条的 规定就采购人委托授权范围内的事项作出答复。</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5.质疑供应商对采购人、采购代理机构的答复不满意或者采购人、采购代理机构未在规定的时间内作出答复的，可以在答复期满后十五个工作日内向同级政府采购监督管理部门投诉。</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6.政府采购监督管理部门应当在收到投诉后三十个工作日内，对投诉事项作出处理决定，并以书面形式通知投诉人和与投诉事项有关的当事人。</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7.政府采购监督管理部门在处理投诉事项期间，可以视具体情况书面通知采购人暂停采购活动，但暂停时间最长不得超过三十日。</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8.投诉人对政府采购监督管理部门的投诉处理决定不服或者政府采购监督管理部门逾期未作处理的，可以依法申请行政复议或者向人民法院提起行政诉讼。</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9.质疑、投诉书应当包括下列主要内容：</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（1）投诉人和被投诉人的名称、地址、电话等；</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（2）具体的投诉事项及事实依据；</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（3）提供有关质疑事项真实可靠的书面证明材料；</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（4）提起投诉的日期。 质疑、投诉书应当署名。质疑、投诉人为自然人的，应当由本人签字；质疑、投诉人为法人或者其他组织的，应当由法定代表人签字并加盖公章；质疑、投诉人为委托授 权人的应该出具针对本质疑、投诉事项的法人委托授权书。</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10.投诉人有下列情形之一的，属于虚假、恶意投诉，财政部门应当驳回投诉，将其列入不良行为记录名单，并依法予以处罚：</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（1）1 年内 3 次以上投诉均查无实据的；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（2）捏造事实或者提供虚假投诉材料的。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11.澄清或质疑不予受理的情况有下列情形之一的，属于无效质疑，被质疑人不予受理，由此产生的影响由供应商自行承担：</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（1）不是参与该政府采购项目活动供应商的；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（2）被质疑人为采购人或政府采购代理机构之外的；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（3）所有质疑事项超过质疑有效期的；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（4）以具有法律效力的文书送达之外方式提出的；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（5）未按上述规定递交澄清或质疑函的；</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（6）其它不符合受理条件的情形。</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 12.腐败和欺诈行为</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（1）定义 “腐败行为”系指提供、给予、接受或索取任何有价值的物品来影响招标代理机构和/或采购人在采购过程或合同实施过程中的行为。 “欺诈行为”系指为了影响采购过程或合同实施过程而谎报事实，损害招标代理机构和采购人的利益，包括供应商之间串通投标（递交《磋商响应性文件》之前和之后）， 人为地使投标丧失竞争性，剥夺采购人从自由公开竞争所能获得的权益。</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（2）如果招标代理机构和采购人认为供应商在本项目的竞争中有腐败或欺诈行为， 其投标将被拒绝。</w:t>
      </w:r>
    </w:p>
    <w:p>
      <w:pPr>
        <w:pStyle w:val="3"/>
        <w:rPr>
          <w:rFonts w:hint="eastAsia" w:ascii="仿宋" w:hAnsi="仿宋" w:eastAsia="仿宋" w:cs="仿宋"/>
          <w:spacing w:val="1"/>
        </w:rPr>
      </w:pPr>
      <w:r>
        <w:rPr>
          <w:rFonts w:hint="eastAsia" w:ascii="仿宋" w:hAnsi="仿宋" w:eastAsia="仿宋" w:cs="仿宋"/>
        </w:rPr>
        <w:br w:type="page"/>
      </w:r>
      <w:bookmarkStart w:id="27" w:name="_Toc23908"/>
      <w:r>
        <w:rPr>
          <w:rFonts w:hint="eastAsia" w:ascii="仿宋" w:hAnsi="仿宋" w:eastAsia="仿宋" w:cs="仿宋"/>
          <w:w w:val="95"/>
        </w:rPr>
        <w:t>第三章</w:t>
      </w:r>
      <w:r>
        <w:rPr>
          <w:rFonts w:hint="eastAsia" w:ascii="仿宋" w:hAnsi="仿宋" w:eastAsia="仿宋" w:cs="仿宋"/>
          <w:w w:val="95"/>
        </w:rPr>
        <w:tab/>
      </w:r>
      <w:r>
        <w:rPr>
          <w:rFonts w:hint="eastAsia" w:ascii="仿宋" w:hAnsi="仿宋" w:eastAsia="仿宋" w:cs="仿宋"/>
          <w:spacing w:val="1"/>
        </w:rPr>
        <w:t>评标办法</w:t>
      </w:r>
      <w:bookmarkEnd w:id="27"/>
    </w:p>
    <w:p>
      <w:pPr>
        <w:pStyle w:val="9"/>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一、总则</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根据《中华人民共和国政府采购法》、《中华人民共和国政府采购法实施条例》、《政府购买服务管理办法（暂行）》、《政府采购竞争性磋商采购方式管理暂行办法》等法律规章，结合采购项目特点制定本评标办法。</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2.评标工作由招标代理机构负责组织，具体评标事务由招标代理机构依法组建的磋商小组负责。磋商小组成员</w:t>
      </w:r>
      <w:r>
        <w:rPr>
          <w:rFonts w:hint="eastAsia" w:ascii="仿宋" w:hAnsi="仿宋" w:eastAsia="仿宋" w:cs="仿宋"/>
          <w:lang w:eastAsia="zh-CN"/>
        </w:rPr>
        <w:t xml:space="preserve">人数不少于 </w:t>
      </w:r>
      <w:r>
        <w:rPr>
          <w:rFonts w:hint="eastAsia" w:ascii="仿宋" w:hAnsi="仿宋" w:eastAsia="仿宋" w:cs="仿宋"/>
          <w:lang w:val="en-US" w:eastAsia="zh-CN"/>
        </w:rPr>
        <w:t xml:space="preserve">3 </w:t>
      </w:r>
      <w:r>
        <w:rPr>
          <w:rFonts w:hint="eastAsia" w:ascii="仿宋" w:hAnsi="仿宋" w:eastAsia="仿宋" w:cs="仿宋"/>
          <w:lang w:eastAsia="zh-CN"/>
        </w:rPr>
        <w:t>人</w:t>
      </w:r>
      <w:r>
        <w:rPr>
          <w:rFonts w:hint="eastAsia" w:ascii="仿宋" w:hAnsi="仿宋" w:eastAsia="仿宋" w:cs="仿宋"/>
        </w:rPr>
        <w:t>，为单数，其中技术、经济等方面的专家不少于成员总数的三分之二。磋商小组由有关技术、经济等方面的专家组成。</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3.评标工作应遵循公平、公正、科学及择优的原则，并以相同的评标程序和标准对待所有的供应商。</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4.磋商小组按照竞争性磋商文件规定的评标方法和标准进行评标，并独立履行下列职责：</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（1）审查磋商响应性文件是否符合竞争性磋商文件要求，并做出评价；</w:t>
      </w:r>
    </w:p>
    <w:p>
      <w:pPr>
        <w:pStyle w:val="9"/>
        <w:kinsoku w:val="0"/>
        <w:overflowPunct w:val="0"/>
        <w:spacing w:before="34" w:line="357" w:lineRule="auto"/>
        <w:ind w:left="598" w:right="126"/>
        <w:jc w:val="both"/>
        <w:rPr>
          <w:rFonts w:hint="eastAsia" w:ascii="仿宋" w:hAnsi="仿宋" w:eastAsia="仿宋" w:cs="仿宋"/>
        </w:rPr>
      </w:pPr>
      <w:r>
        <w:rPr>
          <w:rFonts w:hint="eastAsia" w:ascii="仿宋" w:hAnsi="仿宋" w:eastAsia="仿宋" w:cs="仿宋"/>
        </w:rPr>
        <w:t>（2）要求投标供应商对磋商响应性文件有关事项做出解释或者澄清；</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（3）推荐中标候选供应商名单，或者受采购人委托按照事先确定的办法直接确定中标单位；</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（4）向招标采购单位或者有关部门报告非法干预评标工作的行为。</w:t>
      </w:r>
    </w:p>
    <w:p>
      <w:pPr>
        <w:pStyle w:val="9"/>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二、评标、定标组织</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1.开标后，由磋商小组组织进行评标。</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2.磋商小组由业主代表与专家库随机抽取的专家共</w:t>
      </w:r>
      <w:r>
        <w:rPr>
          <w:rFonts w:hint="eastAsia" w:hAnsi="仿宋" w:cs="仿宋"/>
          <w:lang w:val="en-US" w:eastAsia="zh-CN"/>
        </w:rPr>
        <w:t>3</w:t>
      </w:r>
      <w:r>
        <w:rPr>
          <w:rFonts w:hint="eastAsia" w:ascii="仿宋" w:hAnsi="仿宋" w:eastAsia="仿宋" w:cs="仿宋"/>
        </w:rPr>
        <w:t>人组成，磋商小组</w:t>
      </w:r>
      <w:r>
        <w:rPr>
          <w:rFonts w:hint="eastAsia" w:ascii="仿宋" w:hAnsi="仿宋" w:eastAsia="仿宋" w:cs="仿宋"/>
          <w:lang w:eastAsia="zh-CN"/>
        </w:rPr>
        <w:t>组长</w:t>
      </w:r>
      <w:r>
        <w:rPr>
          <w:rFonts w:hint="eastAsia" w:ascii="仿宋" w:hAnsi="仿宋" w:eastAsia="仿宋" w:cs="仿宋"/>
        </w:rPr>
        <w:t>由磋商小组成员共同推举产生，磋商小组</w:t>
      </w:r>
      <w:r>
        <w:rPr>
          <w:rFonts w:hint="eastAsia" w:ascii="仿宋" w:hAnsi="仿宋" w:eastAsia="仿宋" w:cs="仿宋"/>
          <w:lang w:eastAsia="zh-CN"/>
        </w:rPr>
        <w:t>组长</w:t>
      </w:r>
      <w:r>
        <w:rPr>
          <w:rFonts w:hint="eastAsia" w:ascii="仿宋" w:hAnsi="仿宋" w:eastAsia="仿宋" w:cs="仿宋"/>
        </w:rPr>
        <w:t>主持整个评标工作，与磋商小组的其他成员有同等的表决权。</w:t>
      </w:r>
    </w:p>
    <w:p>
      <w:pPr>
        <w:pStyle w:val="9"/>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三、评标原则</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1.磋商小组按照公平、公正、科学、择优的原则对待所有的供应商；</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2.磋商小组成员应当客观、公正地履行职责，遵守职业道德，对所提出的评审意见承担个人责任；磋商小组成员实行主动回避制度；磋商小组成员及工作人员对整个评标活动保密。</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3.磋商小组审查磋商响应性文件是否符合竞争性磋商文件的所有条款、条件和规定。</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4.评标只对实质上响应竞争性磋商文件要求的有效磋商响应性文件进行评审，响应的依据是磋商响应性文件本身的内容，而不寻求其它证据。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5.评标将依据竞争性磋商文件确定的标准和方法，结合磋商响应性文件及其补充文件进行，不得忽视磋商响应性文件的实质性内容进行评标。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6.评标活动依法进行，任何单位和个人不得非法干预、阻挠采购人采购代理机构的正常工作或者影响评标过程和结果。</w:t>
      </w:r>
    </w:p>
    <w:p>
      <w:pPr>
        <w:pStyle w:val="9"/>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四、评标方法</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本次采购项目定标采用“综合评分法”。“综合评分法”是指在最大限度地满足竞争性磋商文件实质性要求前提下，以投标报价、技术响应程度、售后服务、商务等综合实力多个因素作为评审指标，全面比较各磋商响应性文件质量、价格、供应商的售后服务、资信情况等因素客观地进行评审，使评审的结果能准确地反映供应商的实际情况，并将各指标量化计分，按总得分排列顺序，确定中标人的方法。总得分最高的供应商作为拟中标单位。</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2.采购人、招标代理机构不向供应商承诺最低价中标，不解释中标或落标原因，不退还磋商响应性文件。</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3.供应商申报的关于资质、业绩等文件和材料必须真实准确，不得弄虚作假。</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4.供应商不得以任何形式搜集评标机密，不得以任何形式干扰评标或授标工作。</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5.供应商在磋商响应性文件的评审、澄清、比较以及授予合同过程中对评标人员施加影响的任何行为，都将导致被取消投标资格。</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6.供应商应具备较强的技术力量及综合实力，在众多项目中业绩、信誉良好，并能确保本次招标采购的长远售后服务。</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7.磋商小组成员对需要共同认定的事项存在争议的，应当按照少数服从多数的原则作出结论。持不同意见的磋商小组成员应当在评标报告上签署不同意见及理由，否则视为同意评标报告。</w:t>
      </w:r>
    </w:p>
    <w:p>
      <w:pPr>
        <w:pStyle w:val="9"/>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 xml:space="preserve">五、评标过程的保密性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1.开标后，至到向中标人授予合同时止，凡与审查、澄清、评价和比较投标的有关资料以及授标意见等，均不得向供应商及与评标无关的其他人透露。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2.在评标过程中，如果供应商试图在磋商响应性文件审查、澄清、比较及授予合同方面向采购人施加任何影响，其投标将被拒绝。 </w:t>
      </w:r>
    </w:p>
    <w:p>
      <w:pPr>
        <w:pStyle w:val="9"/>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3.评标人员严格遵守国家的有关保密法律、法规的规定，严格自律，同时接受有关部门的监督、审查。</w:t>
      </w:r>
    </w:p>
    <w:p>
      <w:pPr>
        <w:pStyle w:val="9"/>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六、评标过程中磋商响应性文件的澄清</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为了公平、公正的对《磋商响应性文件》进行审查、评估和比较，磋商小组可以向投标供应商质疑，请供应商对有关情况作必要说明。供应商有责任按照磋商小组提出的质疑，指派专人进行答疑。重要问题供应商应以书面形式解答。但是澄清或者说明不得超过磋商响应性文件的范围或修改磋商响应性文件的实质性内容，解答文件作为《磋商响应性文件》的组成部分。《竞争性磋商文件》、《磋商响应性文件》及其澄清文件等，均作为签订合同的依据。若供应商对磋商小组提出的质疑不予答复，其不利后果由供应商自行承担。</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若磋商小组发现供应商的投标报价或主要单项货物报价明显低于同标段其它供应商投标报价或者在设有参考标底时明显低于参考标底价，使得其投标报价可能低于其个别成本的，应该要求该供应商作出书面说明并提供相关证明材料。如果供应商不能提供材料证明该项报价有效，磋商小组应当认定低于成本价竞标，否决其投标。如果供应商提供了证明材料，且磋商小组无法证明其无效的，磋商小组应当接受该项投标报价。</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3.磋商小组认为投标人的报价明显低于其他通过符合性审查投标人的报价，有可能影响产品质量或者不能诚信履约的，磋商小组有权要求其在评标现场合理的时间内提供书面说明，必要时提交相关证明材料；投标人如不能证明其报价合理性的，磋商小组应当将其作为无效投标处理。</w:t>
      </w:r>
    </w:p>
    <w:p>
      <w:pPr>
        <w:pStyle w:val="9"/>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 xml:space="preserve">七、会议组成成员的职责 </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1.采购人：在监督部门监督下，根据《中华人民共和国政府采购法》、《政府购买服务管理办法（暂行）》、《政府采购竞争性磋商采购方式管理暂行办法》规定构成磋商小组成员之一。</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招标代理机构：根据《中华人民共和国政府采购法》、《中华人民共和国政府采购法实施条例》、《政府购买服务管理办法（暂行）》等文件的规定，由代理机构工作人员组成，负责《竞争性磋商文件》的制作，对外联系，开标、评标的会务工作,整理并向磋商小组成员分发招标资料和《磋商响应性文件》；做好开标和评标会议记录；对评标过程中的原始文件进行归档；随时印发需要的文件资料,对各种咨询函件及档案文件的统收统发；负责对磋商小组推荐的拟中标结果进行审核。</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3.监督部门：根据国家有关法律、法规规定由规定部门对整个开标评标过程进行监督, 其他任何单位和个人不得参与或非法干预正常的评审工作和评审结果，保证评标的公正性,防止违法行为的产生。</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4.审核小组</w:t>
      </w:r>
      <w:r>
        <w:rPr>
          <w:rFonts w:hint="eastAsia" w:ascii="仿宋" w:hAnsi="仿宋" w:eastAsia="仿宋" w:cs="仿宋"/>
          <w:spacing w:val="-27"/>
        </w:rPr>
        <w:t>：</w:t>
      </w:r>
      <w:r>
        <w:rPr>
          <w:rFonts w:hint="eastAsia" w:ascii="仿宋" w:hAnsi="仿宋" w:eastAsia="仿宋" w:cs="仿宋"/>
        </w:rPr>
        <w:t>由监督部门和代理机构项目负责人共同组</w:t>
      </w:r>
      <w:r>
        <w:rPr>
          <w:rFonts w:hint="eastAsia" w:ascii="仿宋" w:hAnsi="仿宋" w:eastAsia="仿宋" w:cs="仿宋"/>
          <w:spacing w:val="2"/>
        </w:rPr>
        <w:t>成</w:t>
      </w:r>
      <w:r>
        <w:rPr>
          <w:rFonts w:hint="eastAsia" w:ascii="仿宋" w:hAnsi="仿宋" w:eastAsia="仿宋" w:cs="仿宋"/>
          <w:spacing w:val="-27"/>
        </w:rPr>
        <w:t>，</w:t>
      </w:r>
      <w:r>
        <w:rPr>
          <w:rFonts w:hint="eastAsia" w:ascii="仿宋" w:hAnsi="仿宋" w:eastAsia="仿宋" w:cs="仿宋"/>
        </w:rPr>
        <w:t>负责对磋商小组填写的商务打分表和技术打分表最终统计结果进行审核，审核无误后由磋商小组签字确认。</w:t>
      </w:r>
    </w:p>
    <w:p>
      <w:pPr>
        <w:pStyle w:val="9"/>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八、定标方法：</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1.磋商小组以开标、评标情况为基本依据，对符合条件的《磋商响应性文件》及供应商进行综合评审打分，总分值设定为 100 分。</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2.投标报价得分由磋商小组按照价格分计算公式计算分值。</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3.商务部分由磋商小组共同评定唯一的得分。</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4.技术部分由磋商小组专家分别打分后，取平均分作为技术分最后得分。</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5.供应商综合评分最终总分值为商务部分、技术部分和投标报价三部分得分总和。</w:t>
      </w:r>
    </w:p>
    <w:p>
      <w:pPr>
        <w:pStyle w:val="9"/>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九、评标程序及标准（综合评分法）</w:t>
      </w:r>
    </w:p>
    <w:p>
      <w:pPr>
        <w:pStyle w:val="9"/>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1.初步评审：</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b/>
          <w:bCs/>
        </w:rPr>
        <w:t>1.1 资格性审查：</w:t>
      </w:r>
      <w:r>
        <w:rPr>
          <w:rFonts w:hint="eastAsia" w:ascii="仿宋" w:hAnsi="仿宋" w:eastAsia="仿宋" w:cs="仿宋"/>
        </w:rPr>
        <w:t>依据法律法规和《竞争性磋商文件》的规定，对《磋商响应性文件》中的资格证明、投标保证金等进行审查，以确定供应商是否具备投标资格。</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资格性审查有一项不符合的，由磋商小组按无效投标处理，资格审查主要审查以下方面的内容（包括但不限于以下内容）：</w:t>
      </w:r>
    </w:p>
    <w:p>
      <w:pPr>
        <w:pStyle w:val="9"/>
        <w:numPr>
          <w:ilvl w:val="0"/>
          <w:numId w:val="4"/>
        </w:numPr>
        <w:kinsoku w:val="0"/>
        <w:overflowPunct w:val="0"/>
        <w:spacing w:before="34" w:line="357" w:lineRule="auto"/>
        <w:ind w:right="126" w:firstLine="480"/>
        <w:rPr>
          <w:rFonts w:hint="eastAsia" w:ascii="仿宋" w:hAnsi="仿宋" w:eastAsia="仿宋" w:cs="仿宋"/>
          <w:highlight w:val="none"/>
        </w:rPr>
      </w:pPr>
      <w:r>
        <w:rPr>
          <w:rFonts w:hint="eastAsia" w:ascii="仿宋" w:hAnsi="仿宋" w:eastAsia="仿宋" w:cs="仿宋"/>
        </w:rPr>
        <w:t>、</w:t>
      </w:r>
      <w:r>
        <w:rPr>
          <w:rFonts w:hint="eastAsia" w:ascii="仿宋" w:hAnsi="仿宋" w:eastAsia="仿宋" w:cs="仿宋"/>
          <w:lang w:val="zh-CN"/>
        </w:rPr>
        <w:t>供应商在中华人民共和国境内注册，具有独立法人资格或其他组织营业执照</w:t>
      </w:r>
      <w:r>
        <w:rPr>
          <w:rFonts w:hint="eastAsia" w:ascii="仿宋" w:hAnsi="仿宋" w:eastAsia="仿宋" w:cs="仿宋"/>
          <w:lang w:val="en-US" w:eastAsia="zh-CN"/>
        </w:rPr>
        <w:t>等证明文件</w:t>
      </w:r>
      <w:r>
        <w:rPr>
          <w:rFonts w:hint="eastAsia" w:ascii="仿宋" w:hAnsi="仿宋" w:eastAsia="仿宋" w:cs="仿宋"/>
          <w:highlight w:val="none"/>
          <w:lang w:val="zh-CN"/>
        </w:rPr>
        <w:t>；</w:t>
      </w:r>
      <w:r>
        <w:rPr>
          <w:rFonts w:hint="eastAsia" w:hAnsi="仿宋" w:cs="仿宋"/>
          <w:highlight w:val="none"/>
          <w:lang w:val="zh-CN"/>
        </w:rPr>
        <w:t>（营业范围含有水工金属结构制作、安装、销售及维修或启闭机制作、安装销售及维修或工程服务及修缮服务）</w:t>
      </w:r>
    </w:p>
    <w:p>
      <w:pPr>
        <w:pStyle w:val="9"/>
        <w:numPr>
          <w:ilvl w:val="0"/>
          <w:numId w:val="4"/>
        </w:numPr>
        <w:kinsoku w:val="0"/>
        <w:overflowPunct w:val="0"/>
        <w:spacing w:before="34" w:line="357" w:lineRule="auto"/>
        <w:ind w:right="126" w:firstLine="480"/>
        <w:rPr>
          <w:rFonts w:hint="eastAsia" w:ascii="仿宋" w:hAnsi="仿宋" w:eastAsia="仿宋" w:cs="仿宋"/>
          <w:highlight w:val="none"/>
        </w:rPr>
      </w:pPr>
      <w:r>
        <w:rPr>
          <w:rFonts w:hint="eastAsia" w:ascii="仿宋" w:hAnsi="仿宋" w:eastAsia="仿宋" w:cs="仿宋"/>
          <w:highlight w:val="none"/>
        </w:rPr>
        <w:t>、法定代表人身份证明书及法定代表人授权委托书是否按竞争性磋商文件规定格式完整提供、并按竞争性磋商文件要求签字或盖章；</w:t>
      </w:r>
    </w:p>
    <w:p>
      <w:pPr>
        <w:pStyle w:val="9"/>
        <w:numPr>
          <w:ilvl w:val="0"/>
          <w:numId w:val="4"/>
        </w:numPr>
        <w:kinsoku w:val="0"/>
        <w:overflowPunct w:val="0"/>
        <w:spacing w:before="34" w:line="357" w:lineRule="auto"/>
        <w:ind w:right="126" w:firstLine="480"/>
        <w:rPr>
          <w:rFonts w:hint="eastAsia" w:ascii="仿宋" w:hAnsi="仿宋" w:eastAsia="仿宋" w:cs="仿宋"/>
          <w:highlight w:val="none"/>
        </w:rPr>
      </w:pPr>
      <w:r>
        <w:rPr>
          <w:rFonts w:hint="eastAsia" w:ascii="仿宋" w:hAnsi="仿宋" w:eastAsia="仿宋" w:cs="仿宋"/>
          <w:highlight w:val="none"/>
        </w:rPr>
        <w:t>、供应商未被列入失信被执行人、重大税收违法案件当事人名单、政府采购严重违法失信行为记录名单、无任何处罚记录；投标人企业信用证明，提供网站截图复印件加盖公章；</w:t>
      </w:r>
    </w:p>
    <w:p>
      <w:pPr>
        <w:pStyle w:val="9"/>
        <w:kinsoku w:val="0"/>
        <w:overflowPunct w:val="0"/>
        <w:spacing w:before="34" w:line="357" w:lineRule="auto"/>
        <w:ind w:right="126" w:firstLine="480"/>
        <w:rPr>
          <w:rFonts w:hint="eastAsia" w:ascii="仿宋" w:hAnsi="仿宋" w:eastAsia="仿宋" w:cs="仿宋"/>
          <w:highlight w:val="none"/>
        </w:rPr>
      </w:pPr>
      <w:r>
        <w:rPr>
          <w:rFonts w:hint="eastAsia" w:ascii="仿宋" w:hAnsi="仿宋" w:eastAsia="仿宋" w:cs="仿宋"/>
          <w:highlight w:val="none"/>
        </w:rPr>
        <w:t>★备注：</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（1）根据《财政部关于开展政府采购信用担保试点工作方案》规定，中小微企业提供了财政部门认可的政府采购专业担保机构出具投标担保函的，可不用提供其他财务状况报告；</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（2）相关证件原件在年检期间或者确因特殊情况不能提供原件，则须提供相应的有效证明材料（由政府主管部门出具并加盖其公章的证明原件或政府以正式文件官方发布的有效证明），否则其投标无效。</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b/>
          <w:bCs/>
        </w:rPr>
        <w:t>1.2 响应性审查：</w:t>
      </w:r>
      <w:r>
        <w:rPr>
          <w:rFonts w:hint="eastAsia" w:ascii="仿宋" w:hAnsi="仿宋" w:eastAsia="仿宋" w:cs="仿宋"/>
        </w:rPr>
        <w:t>依据《竞争性磋商文件》的规定，从《磋商响应性文件》的有效性、完整性和对《竞争性磋商文件》的响应程度进行审查，以确定是否对《竞争性磋商文件》的实质性要求做出响应。响应性审查时有下列情形之一的，由磋商小组按无效《磋商响应性文件》处理：</w:t>
      </w:r>
    </w:p>
    <w:p>
      <w:pPr>
        <w:pStyle w:val="9"/>
        <w:kinsoku w:val="0"/>
        <w:overflowPunct w:val="0"/>
        <w:spacing w:before="34" w:line="357" w:lineRule="auto"/>
        <w:ind w:right="126" w:firstLine="480"/>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eastAsia="zh-CN"/>
        </w:rPr>
        <w:t>是否</w:t>
      </w:r>
      <w:r>
        <w:rPr>
          <w:rFonts w:hint="eastAsia" w:ascii="仿宋" w:hAnsi="仿宋" w:eastAsia="仿宋" w:cs="仿宋"/>
        </w:rPr>
        <w:t>提供投标保证金缴纳证明材料，投标保证金的缴纳主体是否与投标人一致</w:t>
      </w:r>
      <w:r>
        <w:rPr>
          <w:rFonts w:hint="eastAsia" w:ascii="仿宋" w:hAnsi="仿宋" w:eastAsia="仿宋" w:cs="仿宋"/>
          <w:lang w:eastAsia="zh-CN"/>
        </w:rPr>
        <w:t>；</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（2）响应文件是否按竞争性磋商文件要求签字或盖章；</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（3）报价</w:t>
      </w:r>
      <w:r>
        <w:rPr>
          <w:rFonts w:hint="eastAsia" w:ascii="仿宋" w:hAnsi="仿宋" w:eastAsia="仿宋" w:cs="仿宋"/>
          <w:lang w:eastAsia="zh-CN"/>
        </w:rPr>
        <w:t>是否</w:t>
      </w:r>
      <w:r>
        <w:rPr>
          <w:rFonts w:hint="eastAsia" w:ascii="仿宋" w:hAnsi="仿宋" w:eastAsia="仿宋" w:cs="仿宋"/>
        </w:rPr>
        <w:t>超过招标文件中规定的预算金额或者最高限价的；</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（4）响应文件的</w:t>
      </w:r>
      <w:r>
        <w:rPr>
          <w:rFonts w:hint="eastAsia" w:ascii="仿宋" w:hAnsi="仿宋" w:eastAsia="仿宋" w:cs="仿宋"/>
          <w:lang w:val="en-US" w:eastAsia="zh-CN"/>
        </w:rPr>
        <w:t>工</w:t>
      </w:r>
      <w:r>
        <w:rPr>
          <w:rFonts w:hint="eastAsia" w:ascii="仿宋" w:hAnsi="仿宋" w:eastAsia="仿宋" w:cs="仿宋"/>
        </w:rPr>
        <w:t>期</w:t>
      </w:r>
      <w:r>
        <w:rPr>
          <w:rFonts w:hint="eastAsia" w:hAnsi="仿宋" w:cs="仿宋"/>
          <w:lang w:val="en-US" w:eastAsia="zh-CN"/>
        </w:rPr>
        <w:t>及质保期</w:t>
      </w:r>
      <w:r>
        <w:rPr>
          <w:rFonts w:hint="eastAsia" w:ascii="仿宋" w:hAnsi="仿宋" w:eastAsia="仿宋" w:cs="仿宋"/>
        </w:rPr>
        <w:t>是否</w:t>
      </w:r>
      <w:r>
        <w:rPr>
          <w:rFonts w:hint="eastAsia" w:ascii="仿宋" w:hAnsi="仿宋" w:eastAsia="仿宋" w:cs="仿宋"/>
          <w:lang w:eastAsia="zh-CN"/>
        </w:rPr>
        <w:t>符合</w:t>
      </w:r>
      <w:r>
        <w:rPr>
          <w:rFonts w:hint="eastAsia" w:ascii="仿宋" w:hAnsi="仿宋" w:eastAsia="仿宋" w:cs="仿宋"/>
        </w:rPr>
        <w:t>竞争性磋商文件规定期限；</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）投标有效期是否满足招标文件要求的；</w:t>
      </w:r>
    </w:p>
    <w:p>
      <w:pPr>
        <w:pStyle w:val="9"/>
        <w:kinsoku w:val="0"/>
        <w:overflowPunct w:val="0"/>
        <w:spacing w:before="34" w:line="357" w:lineRule="auto"/>
        <w:ind w:right="126" w:firstLine="480"/>
        <w:rPr>
          <w:rFonts w:hint="eastAsia" w:ascii="仿宋" w:hAnsi="仿宋" w:eastAsia="仿宋" w:cs="仿宋"/>
          <w:lang w:eastAsia="zh-CN"/>
        </w:rPr>
      </w:pP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）不满足竞争性磋商文件实质性要求的其他情形</w:t>
      </w:r>
      <w:r>
        <w:rPr>
          <w:rFonts w:hint="eastAsia" w:hAnsi="仿宋" w:cs="仿宋"/>
          <w:lang w:eastAsia="zh-CN"/>
        </w:rPr>
        <w:t>；</w:t>
      </w:r>
    </w:p>
    <w:p>
      <w:pPr>
        <w:pStyle w:val="9"/>
        <w:kinsoku w:val="0"/>
        <w:overflowPunct w:val="0"/>
        <w:spacing w:before="34" w:line="357" w:lineRule="auto"/>
        <w:ind w:right="126" w:firstLine="480"/>
        <w:rPr>
          <w:rFonts w:hint="eastAsia" w:ascii="仿宋" w:hAnsi="仿宋" w:eastAsia="仿宋"/>
          <w:sz w:val="24"/>
          <w:szCs w:val="22"/>
        </w:rPr>
      </w:pPr>
      <w:r>
        <w:rPr>
          <w:rFonts w:hint="eastAsia" w:hAnsi="仿宋" w:cs="仿宋"/>
          <w:lang w:eastAsia="zh-CN"/>
        </w:rPr>
        <w:t>（</w:t>
      </w:r>
      <w:r>
        <w:rPr>
          <w:rFonts w:hint="eastAsia" w:hAnsi="仿宋" w:cs="仿宋"/>
          <w:lang w:val="en-US" w:eastAsia="zh-CN"/>
        </w:rPr>
        <w:t>7</w:t>
      </w:r>
      <w:r>
        <w:rPr>
          <w:rFonts w:hint="eastAsia" w:hAnsi="仿宋" w:cs="仿宋"/>
          <w:lang w:eastAsia="zh-CN"/>
        </w:rPr>
        <w:t>）</w:t>
      </w:r>
      <w:r>
        <w:rPr>
          <w:rFonts w:hint="eastAsia" w:ascii="仿宋" w:hAnsi="仿宋" w:eastAsia="仿宋"/>
          <w:sz w:val="24"/>
          <w:szCs w:val="22"/>
        </w:rPr>
        <w:t>投标人是否有违法招标投标纪律的;</w:t>
      </w:r>
    </w:p>
    <w:p>
      <w:pPr>
        <w:pStyle w:val="9"/>
        <w:kinsoku w:val="0"/>
        <w:overflowPunct w:val="0"/>
        <w:spacing w:before="34" w:line="357" w:lineRule="auto"/>
        <w:ind w:right="126" w:firstLine="480"/>
        <w:rPr>
          <w:rFonts w:hint="eastAsia" w:ascii="仿宋" w:hAnsi="仿宋" w:eastAsia="仿宋"/>
          <w:sz w:val="24"/>
          <w:szCs w:val="22"/>
          <w:lang w:eastAsia="zh-CN"/>
        </w:rPr>
      </w:pPr>
      <w:r>
        <w:rPr>
          <w:rFonts w:hint="eastAsia" w:hAnsi="仿宋"/>
          <w:sz w:val="24"/>
          <w:szCs w:val="22"/>
          <w:lang w:eastAsia="zh-CN"/>
        </w:rPr>
        <w:t>（</w:t>
      </w:r>
      <w:r>
        <w:rPr>
          <w:rFonts w:hint="eastAsia" w:hAnsi="仿宋"/>
          <w:sz w:val="24"/>
          <w:szCs w:val="22"/>
          <w:lang w:val="en-US" w:eastAsia="zh-CN"/>
        </w:rPr>
        <w:t>8</w:t>
      </w:r>
      <w:r>
        <w:rPr>
          <w:rFonts w:hint="eastAsia" w:hAnsi="仿宋"/>
          <w:sz w:val="24"/>
          <w:szCs w:val="22"/>
          <w:lang w:eastAsia="zh-CN"/>
        </w:rPr>
        <w:t>）</w:t>
      </w:r>
      <w:r>
        <w:rPr>
          <w:rFonts w:hint="eastAsia" w:ascii="仿宋" w:hAnsi="仿宋" w:eastAsia="仿宋"/>
          <w:sz w:val="24"/>
        </w:rPr>
        <w:t>是否按规定的格式填写，内容不全或关键字迹模糊、无法辨认的；</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1.3 实质上没有响应《竞争性磋商文件》要求的《磋商响应性文件》将被拒绝。</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1.4 供应商不得通过修正或撤销不符合要求的偏离或保留从而使其《磋商响应性文件》成为实质上响应的《磋商响应性文件》。</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1.5 通过资格性及响应性审查且无实质性背离采购人要求的响应文件，即可进行下一步评审。未通过资格性审查、响应性审查的响应文件按无效投标处理。</w:t>
      </w:r>
    </w:p>
    <w:p>
      <w:pPr>
        <w:pStyle w:val="9"/>
        <w:kinsoku w:val="0"/>
        <w:overflowPunct w:val="0"/>
        <w:spacing w:before="34"/>
        <w:jc w:val="both"/>
        <w:rPr>
          <w:rFonts w:hint="eastAsia" w:ascii="仿宋" w:hAnsi="仿宋" w:eastAsia="仿宋" w:cs="仿宋"/>
          <w:b/>
          <w:bCs/>
        </w:rPr>
      </w:pPr>
      <w:r>
        <w:rPr>
          <w:rFonts w:hint="eastAsia" w:ascii="仿宋" w:hAnsi="仿宋" w:eastAsia="仿宋" w:cs="仿宋"/>
          <w:b/>
          <w:bCs/>
        </w:rPr>
        <w:t>2.磋商及详细评审：</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2.1 磋商小组审阅响应文件： 以确定是否对磋商文件的要求做出实质性响应。未对磋商文件做实质性响应的供应商，不得进入具体磋商程序。</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2.2 开始磋商，磋商小组所有成员集中与单一供应商分别进行磋商。磋商小组可根据供应商的报价，响应内容及磋商的情况，给予每个正在参加磋商的供应商相同的机会。先依据供应商制定的方案进行审查，经过磋商小组所有成员集中讨论及磋商讨论，再给予每个合格的供应商二次报价资格。</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在磋商过程中，磋商小组可以根据磋商文件和磋商情况实质性变动采购需求中的技术、服务要求以及合同草案条款，但不得变动磋商文件中的其他内容。实质性变动的内容，须经采购人代表确认。</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对磋商文件作出的实质性变动是磋商文件的有效组成部分，磋商小组应当及时以书面形式同时通知所有参加磋商的供应商。</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供应商应当按照磋商文件的变动情况和磋商小组的要求重新提交响应文件，并由其全权代表签章。</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2.3 磋商结束后，参加磋商的供应商应当对磋商的承诺和最后报价以书面形式确认， 并由授权委托人签章。各供应商对本项目进行二次（最终）报价。</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2.4 由磋商小组采用综合评分法对提交最终报价的供应商的响应文件和最终报价进 行打分；</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2.5 磋商小组可以对确定为实质上响应竞争性磋商文件要求的磋商响应性文件进行校对、审核，对出现的算术错误，由磋商小组予以改正，并让供应商澄清确认。修正计算错误按如下原则进行：</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2.6《磋商响应性文件》的大写金额和小写金额不一致的，以大写金额为准；总价金额与单项单价汇总金额不一致的，以单价金额计算结果为准；单价金额小数点有明显错位的，应以总价为准，并修改单价；对不同文字文本《磋商响应性文件》的解释发生异议的，以中文文本为准。</w:t>
      </w:r>
    </w:p>
    <w:p>
      <w:pPr>
        <w:pStyle w:val="9"/>
        <w:kinsoku w:val="0"/>
        <w:overflowPunct w:val="0"/>
        <w:spacing w:before="34" w:line="357" w:lineRule="auto"/>
        <w:ind w:right="126" w:firstLine="480"/>
        <w:rPr>
          <w:rFonts w:hint="eastAsia" w:ascii="仿宋" w:hAnsi="仿宋" w:eastAsia="仿宋" w:cs="仿宋"/>
          <w:spacing w:val="-2"/>
          <w:sz w:val="30"/>
          <w:szCs w:val="30"/>
        </w:rPr>
      </w:pPr>
      <w:r>
        <w:rPr>
          <w:rFonts w:hint="eastAsia" w:ascii="仿宋" w:hAnsi="仿宋" w:eastAsia="仿宋" w:cs="仿宋"/>
        </w:rPr>
        <w:t>2.7 若供应商不接受对其错误的更正，其投标将被视为无效投标。</w:t>
      </w:r>
    </w:p>
    <w:p>
      <w:pPr>
        <w:pStyle w:val="6"/>
        <w:rPr>
          <w:rFonts w:hint="eastAsia" w:ascii="仿宋" w:hAnsi="仿宋" w:eastAsia="仿宋" w:cs="仿宋"/>
          <w:spacing w:val="-2"/>
          <w:sz w:val="30"/>
          <w:szCs w:val="30"/>
        </w:rPr>
      </w:pPr>
    </w:p>
    <w:p>
      <w:pPr>
        <w:pStyle w:val="9"/>
        <w:numPr>
          <w:ilvl w:val="0"/>
          <w:numId w:val="5"/>
        </w:numPr>
        <w:kinsoku w:val="0"/>
        <w:overflowPunct w:val="0"/>
        <w:spacing w:before="34"/>
        <w:jc w:val="both"/>
        <w:rPr>
          <w:rFonts w:hint="eastAsia" w:ascii="仿宋" w:hAnsi="仿宋" w:eastAsia="仿宋" w:cs="仿宋"/>
          <w:b/>
          <w:bCs/>
          <w:sz w:val="28"/>
          <w:szCs w:val="28"/>
        </w:rPr>
      </w:pPr>
      <w:r>
        <w:rPr>
          <w:rFonts w:hint="eastAsia" w:ascii="仿宋" w:hAnsi="仿宋" w:eastAsia="仿宋" w:cs="仿宋"/>
          <w:b/>
          <w:bCs/>
          <w:sz w:val="28"/>
          <w:szCs w:val="28"/>
        </w:rPr>
        <w:t>综合评分表</w:t>
      </w:r>
    </w:p>
    <w:tbl>
      <w:tblPr>
        <w:tblStyle w:val="15"/>
        <w:tblpPr w:leftFromText="180" w:rightFromText="180" w:vertAnchor="text" w:horzAnchor="page" w:tblpXSpec="center" w:tblpY="793"/>
        <w:tblOverlap w:val="never"/>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345"/>
        <w:gridCol w:w="6867"/>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085" w:type="dxa"/>
            <w:vAlign w:val="center"/>
          </w:tcPr>
          <w:p>
            <w:pPr>
              <w:pStyle w:val="23"/>
              <w:spacing w:before="0" w:after="0" w:line="320" w:lineRule="exact"/>
              <w:ind w:firstLine="0"/>
              <w:jc w:val="center"/>
              <w:rPr>
                <w:rFonts w:hint="eastAsia" w:ascii="仿宋" w:hAnsi="仿宋" w:eastAsia="仿宋" w:cs="仿宋"/>
                <w:color w:val="auto"/>
                <w:kern w:val="0"/>
                <w:sz w:val="24"/>
                <w:szCs w:val="22"/>
                <w:lang w:val="en-US" w:eastAsia="zh-CN" w:bidi="ar-SA"/>
              </w:rPr>
            </w:pPr>
            <w:r>
              <w:rPr>
                <w:rFonts w:hint="eastAsia" w:ascii="仿宋" w:hAnsi="仿宋" w:eastAsia="仿宋" w:cs="仿宋"/>
                <w:color w:val="auto"/>
                <w:kern w:val="0"/>
                <w:sz w:val="24"/>
                <w:szCs w:val="22"/>
                <w:lang w:val="en-US" w:eastAsia="zh-CN" w:bidi="ar-SA"/>
              </w:rPr>
              <w:t>序号</w:t>
            </w:r>
          </w:p>
        </w:tc>
        <w:tc>
          <w:tcPr>
            <w:tcW w:w="1345" w:type="dxa"/>
            <w:vAlign w:val="center"/>
          </w:tcPr>
          <w:p>
            <w:pPr>
              <w:pStyle w:val="23"/>
              <w:spacing w:before="0" w:after="0" w:line="320" w:lineRule="exact"/>
              <w:ind w:firstLine="0"/>
              <w:jc w:val="center"/>
              <w:rPr>
                <w:rFonts w:hint="eastAsia" w:ascii="仿宋" w:hAnsi="仿宋" w:eastAsia="仿宋" w:cs="仿宋"/>
                <w:color w:val="auto"/>
                <w:kern w:val="0"/>
                <w:sz w:val="24"/>
                <w:szCs w:val="22"/>
                <w:lang w:val="en-US" w:eastAsia="zh-CN" w:bidi="ar-SA"/>
              </w:rPr>
            </w:pPr>
            <w:r>
              <w:rPr>
                <w:rFonts w:hint="eastAsia" w:ascii="仿宋" w:hAnsi="仿宋" w:eastAsia="仿宋" w:cs="仿宋"/>
                <w:color w:val="auto"/>
                <w:kern w:val="0"/>
                <w:sz w:val="24"/>
                <w:szCs w:val="22"/>
                <w:lang w:val="en-US" w:eastAsia="zh-CN" w:bidi="ar-SA"/>
              </w:rPr>
              <w:t>评审项目</w:t>
            </w:r>
          </w:p>
        </w:tc>
        <w:tc>
          <w:tcPr>
            <w:tcW w:w="6867" w:type="dxa"/>
            <w:vAlign w:val="center"/>
          </w:tcPr>
          <w:p>
            <w:pPr>
              <w:pStyle w:val="23"/>
              <w:spacing w:before="0" w:after="0" w:line="320" w:lineRule="exact"/>
              <w:ind w:firstLine="0"/>
              <w:jc w:val="center"/>
              <w:rPr>
                <w:rFonts w:hint="eastAsia" w:ascii="仿宋" w:hAnsi="仿宋" w:eastAsia="仿宋" w:cs="仿宋"/>
                <w:color w:val="auto"/>
                <w:kern w:val="0"/>
                <w:sz w:val="24"/>
                <w:szCs w:val="22"/>
                <w:lang w:val="en-US" w:eastAsia="zh-CN" w:bidi="ar-SA"/>
              </w:rPr>
            </w:pPr>
            <w:r>
              <w:rPr>
                <w:rFonts w:hint="eastAsia" w:ascii="仿宋" w:hAnsi="仿宋" w:eastAsia="仿宋" w:cs="仿宋"/>
                <w:color w:val="auto"/>
                <w:kern w:val="0"/>
                <w:sz w:val="24"/>
                <w:szCs w:val="22"/>
                <w:lang w:val="en-US" w:eastAsia="zh-CN" w:bidi="ar-SA"/>
              </w:rPr>
              <w:t>评分标准</w:t>
            </w:r>
          </w:p>
        </w:tc>
        <w:tc>
          <w:tcPr>
            <w:tcW w:w="1121" w:type="dxa"/>
            <w:vAlign w:val="center"/>
          </w:tcPr>
          <w:p>
            <w:pPr>
              <w:pStyle w:val="23"/>
              <w:spacing w:before="0" w:after="0" w:line="320" w:lineRule="exact"/>
              <w:ind w:firstLine="0"/>
              <w:jc w:val="center"/>
              <w:rPr>
                <w:rFonts w:hint="eastAsia" w:ascii="仿宋" w:hAnsi="仿宋" w:eastAsia="仿宋" w:cs="仿宋"/>
                <w:color w:val="auto"/>
                <w:kern w:val="0"/>
                <w:sz w:val="24"/>
                <w:szCs w:val="22"/>
                <w:lang w:val="en-US" w:eastAsia="zh-CN" w:bidi="ar-SA"/>
              </w:rPr>
            </w:pPr>
            <w:r>
              <w:rPr>
                <w:rFonts w:hint="eastAsia" w:ascii="仿宋" w:hAnsi="仿宋" w:eastAsia="仿宋" w:cs="仿宋"/>
                <w:color w:val="auto"/>
                <w:kern w:val="0"/>
                <w:sz w:val="24"/>
                <w:szCs w:val="22"/>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5" w:hRule="atLeast"/>
          <w:jc w:val="center"/>
        </w:trPr>
        <w:tc>
          <w:tcPr>
            <w:tcW w:w="1085" w:type="dxa"/>
            <w:vAlign w:val="center"/>
          </w:tcPr>
          <w:p>
            <w:pPr>
              <w:widowControl/>
              <w:snapToGrid w:val="0"/>
              <w:spacing w:line="360" w:lineRule="exact"/>
              <w:jc w:val="center"/>
              <w:rPr>
                <w:rFonts w:hint="eastAsia" w:ascii="仿宋" w:hAnsi="仿宋" w:eastAsia="仿宋" w:cs="仿宋"/>
                <w:color w:val="auto"/>
                <w:kern w:val="0"/>
                <w:sz w:val="24"/>
                <w:szCs w:val="22"/>
                <w:lang w:val="en-US" w:eastAsia="zh-CN" w:bidi="ar-SA"/>
              </w:rPr>
            </w:pPr>
            <w:r>
              <w:rPr>
                <w:rFonts w:hint="eastAsia" w:ascii="仿宋" w:hAnsi="仿宋" w:eastAsia="仿宋" w:cs="仿宋"/>
                <w:color w:val="auto"/>
                <w:kern w:val="0"/>
                <w:sz w:val="24"/>
                <w:szCs w:val="22"/>
                <w:lang w:val="en-US" w:eastAsia="zh-CN" w:bidi="ar-SA"/>
              </w:rPr>
              <w:t>1</w:t>
            </w:r>
          </w:p>
        </w:tc>
        <w:tc>
          <w:tcPr>
            <w:tcW w:w="1345" w:type="dxa"/>
            <w:vAlign w:val="center"/>
          </w:tcPr>
          <w:p>
            <w:pPr>
              <w:widowControl/>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价格部分</w:t>
            </w:r>
          </w:p>
          <w:p>
            <w:pPr>
              <w:widowControl/>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（10%）</w:t>
            </w:r>
          </w:p>
        </w:tc>
        <w:tc>
          <w:tcPr>
            <w:tcW w:w="6867" w:type="dxa"/>
            <w:vAlign w:val="center"/>
          </w:tcPr>
          <w:p>
            <w:pPr>
              <w:widowControl/>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符合招标文件要求且投标价格最低的投标报价为评标基准价，其价格为满分。其它投标人的投标报价得分=（评标基准价/投标报价）×报价权重×100%。</w:t>
            </w:r>
          </w:p>
          <w:p>
            <w:pPr>
              <w:widowControl/>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特别是对于投入人员及系统成本合理性的说明），评标委员会有权对其投标作为无效投标处理。</w:t>
            </w:r>
          </w:p>
        </w:tc>
        <w:tc>
          <w:tcPr>
            <w:tcW w:w="1121" w:type="dxa"/>
            <w:vAlign w:val="center"/>
          </w:tcPr>
          <w:p>
            <w:pPr>
              <w:widowControl/>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0-10分</w:t>
            </w:r>
          </w:p>
        </w:tc>
      </w:tr>
    </w:tbl>
    <w:p>
      <w:pPr>
        <w:pStyle w:val="2"/>
        <w:ind w:firstLine="0"/>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一、</w:t>
      </w:r>
      <w:r>
        <w:rPr>
          <w:rFonts w:hint="eastAsia" w:ascii="仿宋" w:hAnsi="仿宋" w:eastAsia="仿宋" w:cs="仿宋"/>
          <w:b/>
          <w:sz w:val="28"/>
          <w:szCs w:val="28"/>
        </w:rPr>
        <w:t>价格评分标准</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10分</w:t>
      </w:r>
      <w:r>
        <w:rPr>
          <w:rFonts w:hint="eastAsia" w:ascii="仿宋" w:hAnsi="仿宋" w:eastAsia="仿宋" w:cs="仿宋"/>
          <w:b/>
          <w:sz w:val="28"/>
          <w:szCs w:val="28"/>
          <w:lang w:eastAsia="zh-CN"/>
        </w:rPr>
        <w:t>）</w:t>
      </w:r>
    </w:p>
    <w:p>
      <w:pPr>
        <w:pStyle w:val="9"/>
        <w:numPr>
          <w:ilvl w:val="0"/>
          <w:numId w:val="0"/>
        </w:numPr>
        <w:kinsoku w:val="0"/>
        <w:overflowPunct w:val="0"/>
        <w:spacing w:before="34"/>
        <w:jc w:val="both"/>
        <w:rPr>
          <w:rFonts w:hint="eastAsia" w:ascii="仿宋" w:hAnsi="仿宋" w:eastAsia="仿宋" w:cs="仿宋"/>
          <w:b/>
          <w:sz w:val="24"/>
          <w:szCs w:val="24"/>
          <w:lang w:eastAsia="zh-CN"/>
        </w:rPr>
      </w:pPr>
    </w:p>
    <w:p>
      <w:pPr>
        <w:pStyle w:val="9"/>
        <w:numPr>
          <w:ilvl w:val="0"/>
          <w:numId w:val="0"/>
        </w:numPr>
        <w:kinsoku w:val="0"/>
        <w:overflowPunct w:val="0"/>
        <w:spacing w:before="34"/>
        <w:jc w:val="center"/>
        <w:rPr>
          <w:rFonts w:hint="eastAsia" w:ascii="仿宋" w:hAnsi="仿宋" w:eastAsia="仿宋" w:cs="仿宋"/>
          <w:b/>
          <w:sz w:val="24"/>
          <w:szCs w:val="24"/>
          <w:lang w:eastAsia="zh-CN"/>
        </w:rPr>
      </w:pPr>
    </w:p>
    <w:p>
      <w:pPr>
        <w:pStyle w:val="9"/>
        <w:numPr>
          <w:ilvl w:val="0"/>
          <w:numId w:val="0"/>
        </w:numPr>
        <w:kinsoku w:val="0"/>
        <w:overflowPunct w:val="0"/>
        <w:spacing w:before="34"/>
        <w:jc w:val="center"/>
        <w:rPr>
          <w:rFonts w:hint="eastAsia" w:ascii="仿宋" w:hAnsi="仿宋" w:eastAsia="仿宋" w:cs="仿宋"/>
          <w:b/>
          <w:sz w:val="28"/>
          <w:szCs w:val="28"/>
          <w:lang w:val="en-US" w:eastAsia="zh-CN"/>
        </w:rPr>
      </w:pPr>
    </w:p>
    <w:p>
      <w:pPr>
        <w:pStyle w:val="9"/>
        <w:numPr>
          <w:ilvl w:val="0"/>
          <w:numId w:val="0"/>
        </w:numPr>
        <w:kinsoku w:val="0"/>
        <w:overflowPunct w:val="0"/>
        <w:spacing w:before="34"/>
        <w:jc w:val="center"/>
        <w:rPr>
          <w:rFonts w:hint="eastAsia" w:ascii="仿宋" w:hAnsi="仿宋" w:eastAsia="仿宋" w:cs="仿宋"/>
          <w:b/>
          <w:sz w:val="28"/>
          <w:szCs w:val="28"/>
          <w:lang w:val="en-US" w:eastAsia="zh-CN"/>
        </w:rPr>
      </w:pPr>
    </w:p>
    <w:p>
      <w:pPr>
        <w:pStyle w:val="9"/>
        <w:numPr>
          <w:ilvl w:val="0"/>
          <w:numId w:val="0"/>
        </w:numPr>
        <w:kinsoku w:val="0"/>
        <w:overflowPunct w:val="0"/>
        <w:spacing w:before="34"/>
        <w:jc w:val="center"/>
        <w:rPr>
          <w:rFonts w:hint="eastAsia" w:ascii="仿宋" w:hAnsi="仿宋" w:eastAsia="仿宋" w:cs="仿宋"/>
          <w:b/>
          <w:sz w:val="28"/>
          <w:szCs w:val="28"/>
          <w:lang w:val="en-US" w:eastAsia="zh-CN"/>
        </w:rPr>
      </w:pPr>
    </w:p>
    <w:p>
      <w:pPr>
        <w:pStyle w:val="9"/>
        <w:numPr>
          <w:ilvl w:val="0"/>
          <w:numId w:val="0"/>
        </w:numPr>
        <w:kinsoku w:val="0"/>
        <w:overflowPunct w:val="0"/>
        <w:spacing w:before="34"/>
        <w:jc w:val="center"/>
        <w:rPr>
          <w:rFonts w:hint="eastAsia" w:ascii="仿宋" w:hAnsi="仿宋" w:eastAsia="仿宋" w:cs="仿宋"/>
          <w:b/>
          <w:sz w:val="28"/>
          <w:szCs w:val="28"/>
          <w:lang w:val="en-US" w:eastAsia="zh-CN"/>
        </w:rPr>
      </w:pPr>
    </w:p>
    <w:p>
      <w:pPr>
        <w:pStyle w:val="9"/>
        <w:numPr>
          <w:ilvl w:val="0"/>
          <w:numId w:val="0"/>
        </w:numPr>
        <w:kinsoku w:val="0"/>
        <w:overflowPunct w:val="0"/>
        <w:spacing w:before="34"/>
        <w:jc w:val="center"/>
        <w:rPr>
          <w:rFonts w:hint="eastAsia" w:ascii="仿宋" w:hAnsi="仿宋" w:eastAsia="仿宋" w:cs="仿宋"/>
          <w:b/>
          <w:sz w:val="28"/>
          <w:szCs w:val="28"/>
          <w:lang w:val="en-US" w:eastAsia="zh-CN"/>
        </w:rPr>
      </w:pPr>
    </w:p>
    <w:p>
      <w:pPr>
        <w:pStyle w:val="9"/>
        <w:numPr>
          <w:ilvl w:val="0"/>
          <w:numId w:val="0"/>
        </w:numPr>
        <w:kinsoku w:val="0"/>
        <w:overflowPunct w:val="0"/>
        <w:spacing w:before="34"/>
        <w:jc w:val="center"/>
        <w:rPr>
          <w:rFonts w:hint="eastAsia" w:ascii="仿宋" w:hAnsi="仿宋" w:eastAsia="仿宋" w:cs="仿宋"/>
          <w:b/>
          <w:sz w:val="28"/>
          <w:szCs w:val="28"/>
          <w:lang w:val="en-US" w:eastAsia="zh-CN"/>
        </w:rPr>
      </w:pPr>
    </w:p>
    <w:p>
      <w:pPr>
        <w:pStyle w:val="9"/>
        <w:numPr>
          <w:ilvl w:val="0"/>
          <w:numId w:val="0"/>
        </w:numPr>
        <w:kinsoku w:val="0"/>
        <w:overflowPunct w:val="0"/>
        <w:spacing w:before="34"/>
        <w:jc w:val="center"/>
        <w:rPr>
          <w:rFonts w:hint="eastAsia" w:ascii="仿宋" w:hAnsi="仿宋" w:eastAsia="仿宋" w:cs="仿宋"/>
          <w:b/>
          <w:sz w:val="28"/>
          <w:szCs w:val="28"/>
          <w:lang w:val="en-US" w:eastAsia="zh-CN"/>
        </w:rPr>
      </w:pPr>
    </w:p>
    <w:p>
      <w:pPr>
        <w:pStyle w:val="9"/>
        <w:numPr>
          <w:ilvl w:val="0"/>
          <w:numId w:val="0"/>
        </w:numPr>
        <w:kinsoku w:val="0"/>
        <w:overflowPunct w:val="0"/>
        <w:spacing w:before="34"/>
        <w:jc w:val="center"/>
        <w:rPr>
          <w:rFonts w:hint="eastAsia" w:ascii="仿宋" w:hAnsi="仿宋" w:eastAsia="仿宋" w:cs="仿宋"/>
          <w:b/>
          <w:sz w:val="28"/>
          <w:szCs w:val="28"/>
          <w:lang w:val="en-US" w:eastAsia="zh-CN"/>
        </w:rPr>
      </w:pPr>
    </w:p>
    <w:p>
      <w:pPr>
        <w:pStyle w:val="9"/>
        <w:numPr>
          <w:ilvl w:val="0"/>
          <w:numId w:val="0"/>
        </w:numPr>
        <w:kinsoku w:val="0"/>
        <w:overflowPunct w:val="0"/>
        <w:spacing w:before="34"/>
        <w:jc w:val="center"/>
        <w:rPr>
          <w:rFonts w:hint="eastAsia" w:ascii="仿宋" w:hAnsi="仿宋" w:eastAsia="仿宋" w:cs="仿宋"/>
          <w:b/>
          <w:sz w:val="28"/>
          <w:szCs w:val="28"/>
          <w:lang w:val="en-US" w:eastAsia="zh-CN"/>
        </w:rPr>
      </w:pPr>
    </w:p>
    <w:p>
      <w:pPr>
        <w:pStyle w:val="9"/>
        <w:numPr>
          <w:ilvl w:val="0"/>
          <w:numId w:val="0"/>
        </w:numPr>
        <w:kinsoku w:val="0"/>
        <w:overflowPunct w:val="0"/>
        <w:spacing w:before="34"/>
        <w:jc w:val="center"/>
        <w:rPr>
          <w:rFonts w:hint="eastAsia" w:ascii="仿宋" w:hAnsi="仿宋" w:eastAsia="仿宋" w:cs="仿宋"/>
          <w:b/>
          <w:sz w:val="28"/>
          <w:szCs w:val="28"/>
          <w:lang w:val="en-US" w:eastAsia="zh-CN"/>
        </w:rPr>
      </w:pPr>
    </w:p>
    <w:p>
      <w:pPr>
        <w:pStyle w:val="9"/>
        <w:numPr>
          <w:ilvl w:val="0"/>
          <w:numId w:val="0"/>
        </w:numPr>
        <w:kinsoku w:val="0"/>
        <w:overflowPunct w:val="0"/>
        <w:spacing w:before="34"/>
        <w:jc w:val="center"/>
        <w:rPr>
          <w:rFonts w:hint="eastAsia" w:ascii="仿宋" w:hAnsi="仿宋" w:eastAsia="仿宋" w:cs="仿宋"/>
          <w:b/>
          <w:sz w:val="28"/>
          <w:szCs w:val="28"/>
          <w:lang w:val="en-US" w:eastAsia="zh-CN"/>
        </w:rPr>
      </w:pPr>
    </w:p>
    <w:p>
      <w:pPr>
        <w:pStyle w:val="9"/>
        <w:numPr>
          <w:ilvl w:val="0"/>
          <w:numId w:val="0"/>
        </w:numPr>
        <w:kinsoku w:val="0"/>
        <w:overflowPunct w:val="0"/>
        <w:spacing w:before="34"/>
        <w:jc w:val="center"/>
        <w:rPr>
          <w:rFonts w:hint="eastAsia" w:ascii="仿宋" w:hAnsi="仿宋" w:eastAsia="仿宋" w:cs="仿宋"/>
          <w:b/>
          <w:sz w:val="28"/>
          <w:szCs w:val="28"/>
          <w:lang w:val="en-US" w:eastAsia="zh-CN"/>
        </w:rPr>
      </w:pPr>
    </w:p>
    <w:p>
      <w:pPr>
        <w:pStyle w:val="9"/>
        <w:numPr>
          <w:ilvl w:val="0"/>
          <w:numId w:val="0"/>
        </w:numPr>
        <w:kinsoku w:val="0"/>
        <w:overflowPunct w:val="0"/>
        <w:spacing w:before="34"/>
        <w:jc w:val="center"/>
        <w:rPr>
          <w:rFonts w:hint="eastAsia" w:ascii="仿宋" w:hAnsi="仿宋" w:eastAsia="仿宋" w:cs="仿宋"/>
          <w:b/>
          <w:sz w:val="28"/>
          <w:szCs w:val="28"/>
          <w:lang w:val="en-US" w:eastAsia="zh-CN"/>
        </w:rPr>
      </w:pPr>
    </w:p>
    <w:p>
      <w:pPr>
        <w:pStyle w:val="9"/>
        <w:numPr>
          <w:ilvl w:val="0"/>
          <w:numId w:val="0"/>
        </w:numPr>
        <w:kinsoku w:val="0"/>
        <w:overflowPunct w:val="0"/>
        <w:spacing w:before="34"/>
        <w:jc w:val="center"/>
        <w:rPr>
          <w:rFonts w:hint="eastAsia" w:ascii="仿宋" w:hAnsi="仿宋" w:eastAsia="仿宋" w:cs="仿宋"/>
          <w:b/>
          <w:sz w:val="28"/>
          <w:szCs w:val="28"/>
          <w:lang w:val="en-US" w:eastAsia="zh-CN"/>
        </w:rPr>
      </w:pPr>
    </w:p>
    <w:p>
      <w:pPr>
        <w:pStyle w:val="9"/>
        <w:numPr>
          <w:ilvl w:val="0"/>
          <w:numId w:val="0"/>
        </w:numPr>
        <w:kinsoku w:val="0"/>
        <w:overflowPunct w:val="0"/>
        <w:spacing w:before="34"/>
        <w:jc w:val="center"/>
        <w:rPr>
          <w:rFonts w:hint="eastAsia" w:ascii="仿宋" w:hAnsi="仿宋" w:eastAsia="仿宋" w:cs="仿宋"/>
          <w:b/>
          <w:sz w:val="28"/>
          <w:szCs w:val="28"/>
          <w:lang w:val="en-US" w:eastAsia="zh-CN"/>
        </w:rPr>
      </w:pPr>
    </w:p>
    <w:p>
      <w:pPr>
        <w:pStyle w:val="9"/>
        <w:numPr>
          <w:ilvl w:val="0"/>
          <w:numId w:val="0"/>
        </w:numPr>
        <w:kinsoku w:val="0"/>
        <w:overflowPunct w:val="0"/>
        <w:spacing w:before="34"/>
        <w:jc w:val="center"/>
        <w:rPr>
          <w:rFonts w:hint="eastAsia" w:ascii="仿宋" w:hAnsi="仿宋" w:eastAsia="仿宋" w:cs="仿宋"/>
          <w:b/>
          <w:sz w:val="28"/>
          <w:szCs w:val="28"/>
          <w:lang w:val="en-US" w:eastAsia="zh-CN"/>
        </w:rPr>
      </w:pPr>
    </w:p>
    <w:p>
      <w:pPr>
        <w:pStyle w:val="9"/>
        <w:numPr>
          <w:ilvl w:val="0"/>
          <w:numId w:val="0"/>
        </w:numPr>
        <w:kinsoku w:val="0"/>
        <w:overflowPunct w:val="0"/>
        <w:spacing w:before="34"/>
        <w:jc w:val="center"/>
        <w:rPr>
          <w:rFonts w:hint="eastAsia" w:ascii="仿宋" w:hAnsi="仿宋" w:eastAsia="仿宋" w:cs="仿宋"/>
          <w:b/>
          <w:bCs/>
          <w:sz w:val="28"/>
          <w:szCs w:val="28"/>
        </w:rPr>
      </w:pPr>
      <w:r>
        <w:rPr>
          <w:rFonts w:hint="eastAsia" w:ascii="仿宋" w:hAnsi="仿宋" w:eastAsia="仿宋" w:cs="仿宋"/>
          <w:b/>
          <w:sz w:val="28"/>
          <w:szCs w:val="28"/>
          <w:lang w:val="en-US" w:eastAsia="zh-CN"/>
        </w:rPr>
        <w:t>二、</w:t>
      </w:r>
      <w:r>
        <w:rPr>
          <w:rFonts w:hint="eastAsia" w:ascii="仿宋" w:hAnsi="仿宋" w:eastAsia="仿宋" w:cs="仿宋"/>
          <w:b/>
          <w:sz w:val="28"/>
          <w:szCs w:val="28"/>
          <w:lang w:eastAsia="zh-CN"/>
        </w:rPr>
        <w:t>商务技术部分（</w:t>
      </w:r>
      <w:r>
        <w:rPr>
          <w:rFonts w:hint="eastAsia" w:ascii="仿宋" w:hAnsi="仿宋" w:eastAsia="仿宋" w:cs="仿宋"/>
          <w:b/>
          <w:sz w:val="28"/>
          <w:szCs w:val="28"/>
          <w:lang w:val="en-US" w:eastAsia="zh-CN"/>
        </w:rPr>
        <w:t>90分</w:t>
      </w:r>
      <w:r>
        <w:rPr>
          <w:rFonts w:hint="eastAsia" w:ascii="仿宋" w:hAnsi="仿宋" w:eastAsia="仿宋" w:cs="仿宋"/>
          <w:b/>
          <w:sz w:val="28"/>
          <w:szCs w:val="28"/>
          <w:lang w:eastAsia="zh-CN"/>
        </w:rPr>
        <w:t>）</w:t>
      </w:r>
    </w:p>
    <w:tbl>
      <w:tblPr>
        <w:tblStyle w:val="15"/>
        <w:tblW w:w="1019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270"/>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3" w:type="dxa"/>
            <w:tcMar>
              <w:top w:w="57" w:type="dxa"/>
              <w:bottom w:w="57"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分项</w:t>
            </w:r>
          </w:p>
        </w:tc>
        <w:tc>
          <w:tcPr>
            <w:tcW w:w="1270" w:type="dxa"/>
            <w:tcMar>
              <w:top w:w="57" w:type="dxa"/>
              <w:bottom w:w="57"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满分分值</w:t>
            </w:r>
          </w:p>
        </w:tc>
        <w:tc>
          <w:tcPr>
            <w:tcW w:w="7626" w:type="dxa"/>
            <w:tcMar>
              <w:top w:w="57" w:type="dxa"/>
              <w:bottom w:w="57"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03" w:type="dxa"/>
            <w:vMerge w:val="restart"/>
            <w:tcMar>
              <w:top w:w="57" w:type="dxa"/>
              <w:bottom w:w="57"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lang w:val="en-US" w:eastAsia="zh-CN"/>
              </w:rPr>
              <w:t>商务技术</w:t>
            </w:r>
            <w:r>
              <w:rPr>
                <w:rFonts w:hint="eastAsia" w:ascii="仿宋" w:hAnsi="仿宋" w:eastAsia="仿宋" w:cs="仿宋"/>
                <w:kern w:val="0"/>
                <w:sz w:val="24"/>
              </w:rPr>
              <w:t>因素</w:t>
            </w:r>
          </w:p>
          <w:p>
            <w:pPr>
              <w:widowControl/>
              <w:jc w:val="center"/>
              <w:rPr>
                <w:rFonts w:hint="eastAsia" w:ascii="仿宋" w:hAnsi="仿宋" w:eastAsia="仿宋" w:cs="仿宋"/>
                <w:kern w:val="0"/>
                <w:sz w:val="24"/>
                <w:lang w:val="en-US" w:eastAsia="zh-CN"/>
              </w:rPr>
            </w:pPr>
          </w:p>
        </w:tc>
        <w:tc>
          <w:tcPr>
            <w:tcW w:w="1270" w:type="dxa"/>
            <w:tcMar>
              <w:top w:w="57" w:type="dxa"/>
              <w:bottom w:w="57" w:type="dxa"/>
            </w:tcMar>
            <w:vAlign w:val="center"/>
          </w:tcPr>
          <w:p>
            <w:pPr>
              <w:jc w:val="center"/>
              <w:rPr>
                <w:rFonts w:hint="eastAsia" w:ascii="仿宋" w:hAnsi="仿宋" w:eastAsia="仿宋" w:cs="仿宋"/>
                <w:kern w:val="0"/>
                <w:sz w:val="24"/>
              </w:rPr>
            </w:pPr>
            <w:r>
              <w:rPr>
                <w:rFonts w:hint="eastAsia" w:ascii="仿宋" w:hAnsi="仿宋" w:eastAsia="仿宋" w:cs="仿宋"/>
                <w:kern w:val="0"/>
                <w:sz w:val="24"/>
              </w:rPr>
              <w:t>业绩</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（5分）</w:t>
            </w:r>
          </w:p>
        </w:tc>
        <w:tc>
          <w:tcPr>
            <w:tcW w:w="7626" w:type="dxa"/>
            <w:tcMar>
              <w:top w:w="57" w:type="dxa"/>
              <w:bottom w:w="57" w:type="dxa"/>
            </w:tcMar>
            <w:vAlign w:val="center"/>
          </w:tcPr>
          <w:p>
            <w:pPr>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投标企业近</w:t>
            </w:r>
            <w:r>
              <w:rPr>
                <w:rFonts w:hint="eastAsia" w:ascii="仿宋" w:hAnsi="仿宋" w:eastAsia="仿宋" w:cs="仿宋"/>
                <w:color w:val="auto"/>
                <w:kern w:val="0"/>
                <w:sz w:val="24"/>
                <w:lang w:val="en-US" w:eastAsia="zh-CN"/>
              </w:rPr>
              <w:t>三</w:t>
            </w:r>
            <w:r>
              <w:rPr>
                <w:rFonts w:hint="eastAsia" w:ascii="仿宋" w:hAnsi="仿宋" w:eastAsia="仿宋" w:cs="仿宋"/>
                <w:color w:val="auto"/>
                <w:kern w:val="0"/>
                <w:sz w:val="24"/>
              </w:rPr>
              <w:t>年的类似业绩，每项业绩得1分,满分5分</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提供业绩中标通知书或合同复印件，业绩材料必须清晰可见否则不得分。</w:t>
            </w:r>
            <w:r>
              <w:rPr>
                <w:rFonts w:hint="eastAsia" w:ascii="仿宋" w:hAnsi="仿宋" w:eastAsia="仿宋" w:cs="仿宋"/>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3" w:type="dxa"/>
            <w:vMerge w:val="continue"/>
            <w:tcMar>
              <w:top w:w="57" w:type="dxa"/>
              <w:bottom w:w="57" w:type="dxa"/>
            </w:tcMar>
            <w:vAlign w:val="center"/>
          </w:tcPr>
          <w:p>
            <w:pPr>
              <w:widowControl/>
              <w:jc w:val="center"/>
              <w:rPr>
                <w:rFonts w:hint="eastAsia" w:ascii="仿宋" w:hAnsi="仿宋" w:eastAsia="仿宋" w:cs="仿宋"/>
                <w:kern w:val="0"/>
                <w:sz w:val="24"/>
              </w:rPr>
            </w:pPr>
          </w:p>
        </w:tc>
        <w:tc>
          <w:tcPr>
            <w:tcW w:w="1270" w:type="dxa"/>
            <w:tcMar>
              <w:top w:w="57" w:type="dxa"/>
              <w:bottom w:w="57"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lang w:val="en-US" w:eastAsia="zh-CN"/>
              </w:rPr>
              <w:t xml:space="preserve">售后服务方案  </w:t>
            </w:r>
            <w:r>
              <w:rPr>
                <w:rFonts w:hint="eastAsia" w:ascii="仿宋" w:hAnsi="仿宋" w:eastAsia="仿宋" w:cs="仿宋"/>
                <w:kern w:val="0"/>
                <w:sz w:val="24"/>
              </w:rPr>
              <w:t>（</w:t>
            </w:r>
            <w:r>
              <w:rPr>
                <w:rFonts w:hint="eastAsia" w:ascii="仿宋" w:hAnsi="仿宋" w:eastAsia="仿宋" w:cs="仿宋"/>
                <w:kern w:val="0"/>
                <w:sz w:val="24"/>
                <w:lang w:val="en-US" w:eastAsia="zh-CN"/>
              </w:rPr>
              <w:t>24</w:t>
            </w:r>
            <w:r>
              <w:rPr>
                <w:rFonts w:hint="eastAsia" w:ascii="仿宋" w:hAnsi="仿宋" w:eastAsia="仿宋" w:cs="仿宋"/>
                <w:kern w:val="0"/>
                <w:sz w:val="24"/>
              </w:rPr>
              <w:t>分）</w:t>
            </w:r>
          </w:p>
        </w:tc>
        <w:tc>
          <w:tcPr>
            <w:tcW w:w="7626" w:type="dxa"/>
            <w:tcMar>
              <w:top w:w="57" w:type="dxa"/>
              <w:bottom w:w="57" w:type="dxa"/>
            </w:tcMar>
            <w:vAlign w:val="center"/>
          </w:tcPr>
          <w:p>
            <w:pPr>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(1)技术培训服务：承诺能够提供系统专业的技术培训，培训方案足够细化、量化，可操作性强的得5分，未提供或不具备操作性得。</w:t>
            </w:r>
          </w:p>
          <w:p>
            <w:pPr>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售后服务方案和维修力量：对售后服务方案、服务的方式、现场的支持、服务的费用的高低、本地化售后服务能力、到达故障现场时间、故障出现解决方案、定期维护（注明时间）、保修期外维修方案等因素进行综合评分，优得15-8分，一般得7-3分，差得2-1分。</w:t>
            </w:r>
          </w:p>
          <w:p>
            <w:pPr>
              <w:jc w:val="left"/>
              <w:rPr>
                <w:rFonts w:hint="eastAsia" w:ascii="仿宋" w:hAnsi="仿宋" w:eastAsia="仿宋" w:cs="仿宋"/>
                <w:color w:val="auto"/>
                <w:kern w:val="0"/>
                <w:sz w:val="24"/>
                <w:lang w:val="en-US"/>
              </w:rPr>
            </w:pPr>
            <w:r>
              <w:rPr>
                <w:rFonts w:hint="eastAsia" w:ascii="仿宋" w:hAnsi="仿宋" w:eastAsia="仿宋" w:cs="仿宋"/>
                <w:color w:val="auto"/>
                <w:kern w:val="0"/>
                <w:sz w:val="24"/>
                <w:lang w:val="en-US" w:eastAsia="zh-CN"/>
              </w:rPr>
              <w:t>（3）能够提供专业的维修团队的得2分；接到应急检修通知后两小时内赶赴现场，并在三日最短时间内完成检修工作，保证启闭机正常运行得2分；售后服务方案完善不够具体详尽，不能提供专业的维修团队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303" w:type="dxa"/>
            <w:vMerge w:val="continue"/>
            <w:tcMar>
              <w:top w:w="57" w:type="dxa"/>
              <w:bottom w:w="57" w:type="dxa"/>
            </w:tcMar>
            <w:vAlign w:val="center"/>
          </w:tcPr>
          <w:p>
            <w:pPr>
              <w:widowControl/>
              <w:jc w:val="center"/>
              <w:rPr>
                <w:rFonts w:hint="eastAsia" w:ascii="仿宋" w:hAnsi="仿宋" w:eastAsia="仿宋" w:cs="仿宋"/>
                <w:kern w:val="0"/>
                <w:sz w:val="24"/>
              </w:rPr>
            </w:pPr>
          </w:p>
        </w:tc>
        <w:tc>
          <w:tcPr>
            <w:tcW w:w="1270" w:type="dxa"/>
            <w:tcMar>
              <w:top w:w="57" w:type="dxa"/>
              <w:bottom w:w="57" w:type="dxa"/>
            </w:tcMar>
            <w:vAlign w:val="center"/>
          </w:tcPr>
          <w:p>
            <w:pPr>
              <w:widowControl/>
              <w:jc w:val="center"/>
              <w:rPr>
                <w:rFonts w:hint="eastAsia" w:ascii="仿宋" w:hAnsi="仿宋" w:eastAsia="仿宋" w:cs="仿宋"/>
                <w:kern w:val="0"/>
                <w:szCs w:val="21"/>
                <w:lang w:eastAsia="zh-CN"/>
              </w:rPr>
            </w:pPr>
            <w:r>
              <w:rPr>
                <w:rFonts w:hint="eastAsia" w:ascii="仿宋" w:hAnsi="仿宋" w:eastAsia="仿宋" w:cs="仿宋"/>
                <w:kern w:val="0"/>
                <w:sz w:val="24"/>
                <w:lang w:val="en-US" w:eastAsia="zh-CN"/>
              </w:rPr>
              <w:t>项目负责人及团队配备   （8分）</w:t>
            </w:r>
          </w:p>
        </w:tc>
        <w:tc>
          <w:tcPr>
            <w:tcW w:w="7626" w:type="dxa"/>
            <w:tcMar>
              <w:top w:w="57" w:type="dxa"/>
              <w:bottom w:w="57" w:type="dxa"/>
            </w:tcMar>
            <w:vAlign w:val="center"/>
          </w:tcPr>
          <w:p>
            <w:pPr>
              <w:pStyle w:val="9"/>
              <w:numPr>
                <w:ilvl w:val="0"/>
                <w:numId w:val="0"/>
              </w:numP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供应商拟派本项目人员分工和人员保证项目顺利实施的各项因素:</w:t>
            </w:r>
          </w:p>
          <w:p>
            <w:pPr>
              <w:pStyle w:val="9"/>
              <w:numPr>
                <w:ilvl w:val="0"/>
                <w:numId w:val="0"/>
              </w:numP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（1）提供现场驻场服务人员得2分，不提供不得分；</w:t>
            </w:r>
          </w:p>
          <w:p>
            <w:pPr>
              <w:pStyle w:val="9"/>
              <w:numPr>
                <w:ilvl w:val="0"/>
                <w:numId w:val="0"/>
              </w:numP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（2）提供驻场运维人员管理方案，包括人员政治审查、岗前培训、保密培训、技术培训、绩效考核、人员变更、离岗离职管理等方面的管理方案；方案详细得4分，一般得3-1分，差不得分。</w:t>
            </w:r>
          </w:p>
          <w:p>
            <w:pPr>
              <w:pStyle w:val="9"/>
              <w:numPr>
                <w:ilvl w:val="0"/>
                <w:numId w:val="0"/>
              </w:numP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（3）服务团队相关工作经验得2分，不提供不得分；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303" w:type="dxa"/>
            <w:vMerge w:val="continue"/>
            <w:tcMar>
              <w:top w:w="57" w:type="dxa"/>
              <w:bottom w:w="57" w:type="dxa"/>
            </w:tcMar>
            <w:vAlign w:val="center"/>
          </w:tcPr>
          <w:p>
            <w:pPr>
              <w:widowControl/>
              <w:jc w:val="center"/>
              <w:rPr>
                <w:rFonts w:hint="eastAsia" w:ascii="仿宋" w:hAnsi="仿宋" w:eastAsia="仿宋" w:cs="仿宋"/>
                <w:kern w:val="0"/>
                <w:sz w:val="24"/>
              </w:rPr>
            </w:pPr>
          </w:p>
        </w:tc>
        <w:tc>
          <w:tcPr>
            <w:tcW w:w="1270" w:type="dxa"/>
            <w:tcMar>
              <w:top w:w="57" w:type="dxa"/>
              <w:bottom w:w="57" w:type="dxa"/>
            </w:tcMar>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额外服务承诺（3分）</w:t>
            </w:r>
          </w:p>
        </w:tc>
        <w:tc>
          <w:tcPr>
            <w:tcW w:w="7626" w:type="dxa"/>
            <w:tcMar>
              <w:top w:w="57" w:type="dxa"/>
              <w:bottom w:w="57" w:type="dxa"/>
            </w:tcMar>
            <w:vAlign w:val="center"/>
          </w:tcPr>
          <w:p>
            <w:pPr>
              <w:pStyle w:val="9"/>
              <w:numPr>
                <w:ilvl w:val="0"/>
                <w:numId w:val="0"/>
              </w:numP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提出合理、满足项目需要的额外承诺，每提出一条有价值的服务承诺加1分，最高得3分。无额外服务承诺则不得分。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303" w:type="dxa"/>
            <w:vMerge w:val="continue"/>
            <w:tcMar>
              <w:top w:w="57" w:type="dxa"/>
              <w:bottom w:w="57" w:type="dxa"/>
            </w:tcMar>
            <w:vAlign w:val="center"/>
          </w:tcPr>
          <w:p>
            <w:pPr>
              <w:widowControl/>
              <w:jc w:val="center"/>
              <w:rPr>
                <w:rFonts w:hint="eastAsia" w:ascii="仿宋" w:hAnsi="仿宋" w:eastAsia="仿宋" w:cs="仿宋"/>
                <w:kern w:val="0"/>
                <w:sz w:val="24"/>
              </w:rPr>
            </w:pPr>
          </w:p>
        </w:tc>
        <w:tc>
          <w:tcPr>
            <w:tcW w:w="1270" w:type="dxa"/>
            <w:tcMar>
              <w:top w:w="57" w:type="dxa"/>
              <w:bottom w:w="57" w:type="dxa"/>
            </w:tcMar>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投标报价文件</w:t>
            </w:r>
          </w:p>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（5分）</w:t>
            </w:r>
          </w:p>
        </w:tc>
        <w:tc>
          <w:tcPr>
            <w:tcW w:w="7626" w:type="dxa"/>
            <w:tcMar>
              <w:top w:w="57" w:type="dxa"/>
              <w:bottom w:w="57" w:type="dxa"/>
            </w:tcMar>
            <w:vAlign w:val="center"/>
          </w:tcPr>
          <w:p>
            <w:pPr>
              <w:pStyle w:val="9"/>
              <w:numPr>
                <w:ilvl w:val="0"/>
                <w:numId w:val="0"/>
              </w:numP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有目录索引、编页、排版等制作规范得2分，每有一处错误或材料缺失扣0.5分，扣完为止；证件复印正文内容清晰得3分，有一个证件或一页不清晰扣0.5分，扣完为止。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303" w:type="dxa"/>
            <w:vMerge w:val="continue"/>
            <w:tcMar>
              <w:top w:w="57" w:type="dxa"/>
              <w:bottom w:w="57" w:type="dxa"/>
            </w:tcMar>
            <w:vAlign w:val="center"/>
          </w:tcPr>
          <w:p>
            <w:pPr>
              <w:widowControl/>
              <w:jc w:val="center"/>
              <w:rPr>
                <w:rFonts w:hint="eastAsia" w:ascii="仿宋" w:hAnsi="仿宋" w:eastAsia="仿宋" w:cs="仿宋"/>
                <w:kern w:val="0"/>
                <w:sz w:val="24"/>
              </w:rPr>
            </w:pPr>
          </w:p>
        </w:tc>
        <w:tc>
          <w:tcPr>
            <w:tcW w:w="1270" w:type="dxa"/>
            <w:tcMar>
              <w:top w:w="57" w:type="dxa"/>
              <w:bottom w:w="57"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项目的理解及合理意见和建议</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(9分)</w:t>
            </w:r>
          </w:p>
          <w:p>
            <w:pPr>
              <w:widowControl/>
              <w:jc w:val="center"/>
              <w:rPr>
                <w:rFonts w:hint="eastAsia" w:ascii="仿宋" w:hAnsi="仿宋" w:eastAsia="仿宋" w:cs="仿宋"/>
                <w:kern w:val="0"/>
                <w:szCs w:val="21"/>
                <w:lang w:eastAsia="zh-CN"/>
              </w:rPr>
            </w:pPr>
          </w:p>
        </w:tc>
        <w:tc>
          <w:tcPr>
            <w:tcW w:w="7626" w:type="dxa"/>
            <w:tcMar>
              <w:top w:w="57" w:type="dxa"/>
              <w:bottom w:w="57" w:type="dxa"/>
            </w:tcMar>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提供符合本项目</w:t>
            </w:r>
            <w:r>
              <w:rPr>
                <w:rFonts w:hint="eastAsia" w:ascii="仿宋" w:hAnsi="仿宋" w:eastAsia="仿宋" w:cs="仿宋"/>
                <w:color w:val="auto"/>
                <w:kern w:val="0"/>
                <w:sz w:val="24"/>
                <w:lang w:val="en-US" w:eastAsia="zh-CN"/>
              </w:rPr>
              <w:t>水闸</w:t>
            </w:r>
            <w:r>
              <w:rPr>
                <w:rFonts w:hint="eastAsia" w:ascii="仿宋" w:hAnsi="仿宋" w:eastAsia="仿宋" w:cs="仿宋"/>
                <w:color w:val="auto"/>
                <w:kern w:val="0"/>
                <w:sz w:val="24"/>
              </w:rPr>
              <w:t xml:space="preserve">服务管理的相关重点难点分析、应对措施及相关的合理化建议。 </w:t>
            </w:r>
          </w:p>
          <w:p>
            <w:pPr>
              <w:widowControl/>
              <w:jc w:val="left"/>
              <w:rPr>
                <w:rFonts w:hint="eastAsia" w:ascii="仿宋" w:hAnsi="仿宋" w:eastAsia="仿宋" w:cs="仿宋"/>
                <w:color w:val="auto"/>
                <w:kern w:val="0"/>
                <w:sz w:val="24"/>
                <w:lang w:val="en-US"/>
              </w:rPr>
            </w:pPr>
            <w:r>
              <w:rPr>
                <w:rFonts w:hint="eastAsia" w:ascii="仿宋" w:hAnsi="仿宋" w:eastAsia="仿宋" w:cs="仿宋"/>
                <w:color w:val="auto"/>
                <w:kern w:val="0"/>
                <w:sz w:val="24"/>
                <w:highlight w:val="none"/>
                <w:lang w:val="en-US" w:eastAsia="zh-CN"/>
              </w:rPr>
              <w:t>重点、难点分析论述及对策：项目重点、难点分析细致，清晰准确，具有较强针对性且横向评比最优的得9-6分；对项目重点、难点论述及对策论述合理、切实可行，针对性一般的得5-2 分；对项目重点、难点论述及对策论述一般，有缺陷的得1-0分。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303" w:type="dxa"/>
            <w:vMerge w:val="continue"/>
            <w:tcMar>
              <w:top w:w="57" w:type="dxa"/>
              <w:bottom w:w="57" w:type="dxa"/>
            </w:tcMar>
            <w:vAlign w:val="center"/>
          </w:tcPr>
          <w:p>
            <w:pPr>
              <w:widowControl/>
              <w:jc w:val="center"/>
              <w:rPr>
                <w:rFonts w:hint="eastAsia" w:ascii="仿宋" w:hAnsi="仿宋" w:eastAsia="仿宋" w:cs="仿宋"/>
                <w:kern w:val="0"/>
                <w:sz w:val="24"/>
              </w:rPr>
            </w:pPr>
          </w:p>
        </w:tc>
        <w:tc>
          <w:tcPr>
            <w:tcW w:w="1270" w:type="dxa"/>
            <w:tcMar>
              <w:top w:w="57" w:type="dxa"/>
              <w:bottom w:w="57" w:type="dxa"/>
            </w:tcMar>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color w:val="auto"/>
                <w:kern w:val="0"/>
                <w:sz w:val="24"/>
                <w:lang w:val="en-US" w:eastAsia="zh-CN"/>
              </w:rPr>
              <w:t>管理措施(9分)</w:t>
            </w:r>
          </w:p>
        </w:tc>
        <w:tc>
          <w:tcPr>
            <w:tcW w:w="7626" w:type="dxa"/>
            <w:tcMar>
              <w:top w:w="57" w:type="dxa"/>
              <w:bottom w:w="57" w:type="dxa"/>
            </w:tcMar>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管理措施（包含队伍建设、工作规范、人员稳定措施、监管措施等相关管理制度）制定合理、切实可行。优得</w:t>
            </w:r>
            <w:r>
              <w:rPr>
                <w:rFonts w:hint="eastAsia" w:ascii="仿宋" w:hAnsi="仿宋" w:eastAsia="仿宋" w:cs="仿宋"/>
                <w:color w:val="auto"/>
                <w:kern w:val="0"/>
                <w:sz w:val="24"/>
                <w:highlight w:val="none"/>
                <w:lang w:val="en-US" w:eastAsia="zh-CN"/>
              </w:rPr>
              <w:t>9-6</w:t>
            </w:r>
            <w:r>
              <w:rPr>
                <w:rFonts w:hint="eastAsia" w:ascii="仿宋" w:hAnsi="仿宋" w:eastAsia="仿宋" w:cs="仿宋"/>
                <w:color w:val="auto"/>
                <w:kern w:val="0"/>
                <w:sz w:val="24"/>
                <w:lang w:val="en-US" w:eastAsia="zh-CN"/>
              </w:rPr>
              <w:t>分，良得5-3分，一般得2-1分，较差不得分。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3" w:type="dxa"/>
            <w:vMerge w:val="continue"/>
            <w:tcMar>
              <w:top w:w="57" w:type="dxa"/>
              <w:bottom w:w="57" w:type="dxa"/>
            </w:tcMar>
            <w:vAlign w:val="center"/>
          </w:tcPr>
          <w:p>
            <w:pPr>
              <w:widowControl/>
              <w:jc w:val="center"/>
              <w:rPr>
                <w:rFonts w:hint="eastAsia" w:ascii="仿宋" w:hAnsi="仿宋" w:eastAsia="仿宋" w:cs="仿宋"/>
                <w:kern w:val="0"/>
                <w:sz w:val="24"/>
              </w:rPr>
            </w:pPr>
          </w:p>
        </w:tc>
        <w:tc>
          <w:tcPr>
            <w:tcW w:w="1270" w:type="dxa"/>
            <w:tcMar>
              <w:top w:w="57" w:type="dxa"/>
              <w:bottom w:w="57" w:type="dxa"/>
            </w:tcMar>
            <w:vAlign w:val="center"/>
          </w:tcPr>
          <w:p>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具体实施方案(27分)</w:t>
            </w:r>
          </w:p>
          <w:p>
            <w:pPr>
              <w:widowControl/>
              <w:jc w:val="center"/>
              <w:rPr>
                <w:rFonts w:hint="eastAsia" w:ascii="仿宋" w:hAnsi="仿宋" w:eastAsia="仿宋" w:cs="仿宋"/>
                <w:color w:val="auto"/>
                <w:kern w:val="0"/>
                <w:sz w:val="24"/>
                <w:lang w:val="en-US" w:eastAsia="zh-CN"/>
              </w:rPr>
            </w:pPr>
          </w:p>
        </w:tc>
        <w:tc>
          <w:tcPr>
            <w:tcW w:w="7626" w:type="dxa"/>
            <w:tcMar>
              <w:top w:w="57" w:type="dxa"/>
              <w:bottom w:w="57" w:type="dxa"/>
            </w:tcMar>
            <w:vAlign w:val="center"/>
          </w:tcPr>
          <w:p>
            <w:pPr>
              <w:pStyle w:val="9"/>
              <w:numPr>
                <w:ilvl w:val="0"/>
                <w:numId w:val="6"/>
              </w:numP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定期检查方案，</w:t>
            </w:r>
            <w:r>
              <w:rPr>
                <w:rFonts w:hint="eastAsia" w:ascii="仿宋" w:hAnsi="仿宋" w:eastAsia="仿宋" w:cs="仿宋"/>
                <w:color w:val="auto"/>
                <w:kern w:val="0"/>
                <w:sz w:val="24"/>
                <w:lang w:val="en-US" w:eastAsia="zh-CN"/>
              </w:rPr>
              <w:t>根据项目需求提供方案详细程度、条理清晰、全面可行、真实性评审，优得8-5分，基本满足得4-0分；</w:t>
            </w:r>
          </w:p>
          <w:p>
            <w:pPr>
              <w:pStyle w:val="9"/>
              <w:numPr>
                <w:ilvl w:val="0"/>
                <w:numId w:val="6"/>
              </w:numP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制定了质量通病的防治措施、措施可行得4分，一般得2-1分，没有不得分；</w:t>
            </w:r>
          </w:p>
          <w:p>
            <w:pPr>
              <w:pStyle w:val="9"/>
              <w:numPr>
                <w:ilvl w:val="0"/>
                <w:numId w:val="6"/>
              </w:numPr>
              <w:rPr>
                <w:rFonts w:hint="eastAsia" w:ascii="仿宋" w:hAnsi="仿宋" w:eastAsia="仿宋" w:cs="仿宋"/>
                <w:color w:val="auto"/>
                <w:kern w:val="0"/>
                <w:sz w:val="24"/>
              </w:rPr>
            </w:pPr>
            <w:r>
              <w:rPr>
                <w:rFonts w:hint="eastAsia" w:ascii="仿宋" w:hAnsi="仿宋" w:eastAsia="仿宋" w:cs="仿宋"/>
                <w:color w:val="auto"/>
                <w:kern w:val="0"/>
                <w:sz w:val="24"/>
              </w:rPr>
              <w:t>在确保工程质量前提下，有降低成本、缩短工期、减轻劳动强度提高进度提案者得</w:t>
            </w:r>
            <w:r>
              <w:rPr>
                <w:rFonts w:hint="eastAsia" w:ascii="仿宋" w:hAnsi="仿宋" w:eastAsia="仿宋" w:cs="仿宋"/>
                <w:color w:val="auto"/>
                <w:kern w:val="0"/>
                <w:sz w:val="24"/>
                <w:lang w:val="en-US" w:eastAsia="zh-CN"/>
              </w:rPr>
              <w:t>6-4</w:t>
            </w:r>
            <w:r>
              <w:rPr>
                <w:rFonts w:hint="eastAsia" w:ascii="仿宋" w:hAnsi="仿宋" w:eastAsia="仿宋" w:cs="仿宋"/>
                <w:color w:val="auto"/>
                <w:kern w:val="0"/>
                <w:sz w:val="24"/>
              </w:rPr>
              <w:t>分，</w:t>
            </w:r>
            <w:r>
              <w:rPr>
                <w:rFonts w:hint="eastAsia" w:ascii="仿宋" w:hAnsi="仿宋" w:eastAsia="仿宋" w:cs="仿宋"/>
                <w:color w:val="auto"/>
                <w:kern w:val="0"/>
                <w:sz w:val="24"/>
                <w:lang w:val="en-US" w:eastAsia="zh-CN"/>
              </w:rPr>
              <w:t>一般得3-1分；</w:t>
            </w:r>
          </w:p>
          <w:p>
            <w:pPr>
              <w:pStyle w:val="9"/>
              <w:numPr>
                <w:ilvl w:val="0"/>
                <w:numId w:val="6"/>
              </w:numP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提供完善的后期管理思路和措施方案；根据提供方案详细程度、条理清晰、全面可行、真实性评审，优得4-2分，一般得1-0分，</w:t>
            </w:r>
          </w:p>
          <w:p>
            <w:pPr>
              <w:pStyle w:val="9"/>
              <w:numPr>
                <w:ilvl w:val="0"/>
                <w:numId w:val="6"/>
              </w:numP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服务进度安排，进度安排合理科学，控制措施具体可靠，得 5 分；</w:t>
            </w:r>
          </w:p>
          <w:p>
            <w:pPr>
              <w:pStyle w:val="9"/>
              <w:numPr>
                <w:ilvl w:val="0"/>
                <w:numId w:val="0"/>
              </w:numP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进度安排基本合理，基本可靠，得3-4分；进度安排不太合理，不可靠，得1-2分；不提供不得分。</w:t>
            </w:r>
          </w:p>
        </w:tc>
      </w:tr>
    </w:tbl>
    <w:p>
      <w:pPr>
        <w:pStyle w:val="23"/>
        <w:spacing w:after="60" w:line="320" w:lineRule="exact"/>
        <w:ind w:firstLine="0"/>
        <w:jc w:val="both"/>
        <w:rPr>
          <w:rFonts w:hint="eastAsia" w:ascii="仿宋" w:hAnsi="仿宋" w:eastAsia="仿宋" w:cs="仿宋"/>
          <w:kern w:val="0"/>
          <w:sz w:val="24"/>
          <w:szCs w:val="24"/>
          <w:lang w:val="en-US" w:eastAsia="zh-CN" w:bidi="ar-SA"/>
        </w:rPr>
        <w:sectPr>
          <w:footerReference r:id="rId10" w:type="first"/>
          <w:footerReference r:id="rId9" w:type="default"/>
          <w:pgSz w:w="11910" w:h="16840"/>
          <w:pgMar w:top="1040" w:right="1137" w:bottom="960" w:left="1080" w:header="763" w:footer="766" w:gutter="0"/>
          <w:pgBorders>
            <w:top w:val="none" w:sz="0" w:space="0"/>
            <w:left w:val="none" w:sz="0" w:space="0"/>
            <w:bottom w:val="none" w:sz="0" w:space="0"/>
            <w:right w:val="none" w:sz="0" w:space="0"/>
          </w:pgBorders>
          <w:pgNumType w:fmt="decimal" w:start="1"/>
          <w:cols w:space="720" w:num="1"/>
          <w:titlePg/>
          <w:docGrid w:linePitch="286" w:charSpace="0"/>
        </w:sectPr>
      </w:pPr>
    </w:p>
    <w:p>
      <w:pPr>
        <w:pStyle w:val="9"/>
        <w:kinsoku w:val="0"/>
        <w:overflowPunct w:val="0"/>
        <w:spacing w:before="34"/>
        <w:ind w:left="0"/>
        <w:jc w:val="both"/>
        <w:rPr>
          <w:rFonts w:hint="eastAsia" w:ascii="仿宋" w:hAnsi="仿宋" w:eastAsia="仿宋" w:cs="仿宋"/>
        </w:rPr>
      </w:pPr>
      <w:r>
        <w:rPr>
          <w:rFonts w:hint="eastAsia" w:ascii="仿宋" w:hAnsi="仿宋" w:eastAsia="仿宋" w:cs="仿宋"/>
          <w:b/>
          <w:bCs/>
        </w:rPr>
        <w:t>投标报价计算备注：</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政府采购促进中小企业发展暂行办法》（财库［2011］181号）和工信部联企业〔2011〕300号文件规定，对小型和微型企业产品的价格给予6%的扣除，用扣除后的价格参与评审；大中型企业和其他自然人、法人或者其他组织与小型、微型企业组成联合体共同参加 非专门面向中小企业的政府采购活动的，小微企业的合同金额占联合体协议合同总金额 30%以上的，给予联合体3%的价格扣除，用扣除后的价格参与评审。</w:t>
      </w:r>
    </w:p>
    <w:p>
      <w:pPr>
        <w:pStyle w:val="9"/>
        <w:kinsoku w:val="0"/>
        <w:overflowPunct w:val="0"/>
        <w:spacing w:before="34" w:line="357" w:lineRule="auto"/>
        <w:ind w:right="126" w:firstLine="480"/>
        <w:rPr>
          <w:rFonts w:hint="eastAsia" w:ascii="仿宋" w:hAnsi="仿宋" w:eastAsia="仿宋" w:cs="仿宋"/>
          <w:color w:val="FF0000"/>
        </w:rPr>
      </w:pPr>
      <w:r>
        <w:rPr>
          <w:rFonts w:hint="eastAsia" w:ascii="仿宋" w:hAnsi="仿宋" w:eastAsia="仿宋" w:cs="仿宋"/>
        </w:rPr>
        <w:t>2、根据《财政部民政部中国残疾人联合会关于促进残疾人就业政府采购政策的通知》（财库【2017】141号）文件规定，对满足价格扣除条件且在投标文件中提交了《残疾人福利性单位声明函》等证明文件的投标人，其投标报价扣除6%后参与评审，不与第1条叠加。</w:t>
      </w:r>
    </w:p>
    <w:p>
      <w:pPr>
        <w:pStyle w:val="9"/>
        <w:kinsoku w:val="0"/>
        <w:overflowPunct w:val="0"/>
        <w:spacing w:before="34" w:line="357" w:lineRule="auto"/>
        <w:ind w:right="126"/>
        <w:rPr>
          <w:rFonts w:hint="eastAsia" w:ascii="仿宋" w:hAnsi="仿宋" w:eastAsia="仿宋" w:cs="仿宋"/>
        </w:rPr>
      </w:pPr>
      <w:r>
        <w:rPr>
          <w:rFonts w:hint="eastAsia" w:ascii="仿宋" w:hAnsi="仿宋" w:eastAsia="仿宋" w:cs="仿宋"/>
          <w:b/>
          <w:bCs/>
        </w:rPr>
        <w:t>计分原则：</w:t>
      </w:r>
      <w:r>
        <w:rPr>
          <w:rFonts w:hint="eastAsia" w:ascii="仿宋" w:hAnsi="仿宋" w:eastAsia="仿宋" w:cs="仿宋"/>
        </w:rPr>
        <w:t>1、投标报价得分由磋商小组按照价格分计算公式计算分值。</w:t>
      </w:r>
    </w:p>
    <w:p>
      <w:pPr>
        <w:pStyle w:val="9"/>
        <w:kinsoku w:val="0"/>
        <w:overflowPunct w:val="0"/>
        <w:spacing w:before="34" w:line="357" w:lineRule="auto"/>
        <w:ind w:right="126" w:firstLine="1262" w:firstLineChars="526"/>
        <w:rPr>
          <w:rFonts w:hint="eastAsia" w:ascii="仿宋" w:hAnsi="仿宋" w:eastAsia="仿宋" w:cs="仿宋"/>
        </w:rPr>
      </w:pPr>
      <w:r>
        <w:rPr>
          <w:rFonts w:hint="eastAsia" w:ascii="仿宋" w:hAnsi="仿宋" w:eastAsia="仿宋" w:cs="仿宋"/>
        </w:rPr>
        <w:t>2、商务部分由磋商小组共同评定唯一的得分。</w:t>
      </w:r>
    </w:p>
    <w:p>
      <w:pPr>
        <w:pStyle w:val="9"/>
        <w:kinsoku w:val="0"/>
        <w:overflowPunct w:val="0"/>
        <w:spacing w:before="34" w:line="357" w:lineRule="auto"/>
        <w:ind w:right="126" w:firstLine="1262" w:firstLineChars="526"/>
        <w:rPr>
          <w:rFonts w:hint="eastAsia" w:ascii="仿宋" w:hAnsi="仿宋" w:eastAsia="仿宋" w:cs="仿宋"/>
        </w:rPr>
      </w:pPr>
      <w:r>
        <w:rPr>
          <w:rFonts w:hint="eastAsia" w:ascii="仿宋" w:hAnsi="仿宋" w:eastAsia="仿宋" w:cs="仿宋"/>
        </w:rPr>
        <w:t>3、技术部分由磋商小组专家分别打分后，取平均分作为技术分最后得分。</w:t>
      </w:r>
    </w:p>
    <w:p>
      <w:pPr>
        <w:pStyle w:val="9"/>
        <w:kinsoku w:val="0"/>
        <w:overflowPunct w:val="0"/>
        <w:spacing w:before="34" w:line="357" w:lineRule="auto"/>
        <w:ind w:left="836" w:leftChars="398" w:right="126" w:firstLine="540" w:firstLineChars="225"/>
        <w:rPr>
          <w:rFonts w:hint="eastAsia" w:ascii="仿宋" w:hAnsi="仿宋" w:eastAsia="仿宋" w:cs="仿宋"/>
        </w:rPr>
      </w:pPr>
      <w:r>
        <w:rPr>
          <w:rFonts w:hint="eastAsia" w:ascii="仿宋" w:hAnsi="仿宋" w:eastAsia="仿宋" w:cs="仿宋"/>
        </w:rPr>
        <w:t>4、供应商综合评分最终总分值为投标报价、商务部分和技术部分三部分得分总和。评分计算保留 2 位小数，第三位小数四舍五入。</w:t>
      </w:r>
    </w:p>
    <w:p>
      <w:pPr>
        <w:pStyle w:val="9"/>
        <w:kinsoku w:val="0"/>
        <w:overflowPunct w:val="0"/>
        <w:spacing w:before="34" w:line="357" w:lineRule="auto"/>
        <w:ind w:left="836" w:leftChars="398" w:right="126" w:firstLine="540" w:firstLineChars="225"/>
        <w:rPr>
          <w:rFonts w:hint="eastAsia" w:ascii="仿宋" w:hAnsi="仿宋" w:eastAsia="仿宋" w:cs="仿宋"/>
        </w:rPr>
      </w:pPr>
      <w:r>
        <w:rPr>
          <w:rFonts w:hint="eastAsia" w:ascii="仿宋" w:hAnsi="仿宋" w:eastAsia="仿宋" w:cs="仿宋"/>
        </w:rPr>
        <w:t>5、得分相同的，按投标报价由低到高顺序排列。得分且投标报价相同的，按技术指标优劣顺序排列。</w:t>
      </w:r>
    </w:p>
    <w:p>
      <w:pPr>
        <w:pStyle w:val="9"/>
        <w:kinsoku w:val="0"/>
        <w:overflowPunct w:val="0"/>
        <w:spacing w:before="34" w:line="357" w:lineRule="auto"/>
        <w:ind w:left="836" w:leftChars="398" w:right="126" w:firstLine="540" w:firstLineChars="225"/>
        <w:rPr>
          <w:rFonts w:hint="eastAsia" w:ascii="仿宋" w:hAnsi="仿宋" w:eastAsia="仿宋" w:cs="仿宋"/>
        </w:rPr>
      </w:pPr>
      <w:r>
        <w:rPr>
          <w:rFonts w:hint="eastAsia" w:ascii="仿宋" w:hAnsi="仿宋" w:eastAsia="仿宋" w:cs="仿宋"/>
        </w:rPr>
        <w:t>6、磋商小组按评分排序确定中标人，同时提交评标报告，由磋商小组成员集体签名。第一中标候选人放弃中标后，由第二名作为中标候选人，依次类推。</w:t>
      </w:r>
    </w:p>
    <w:p>
      <w:pPr>
        <w:pStyle w:val="9"/>
        <w:kinsoku w:val="0"/>
        <w:overflowPunct w:val="0"/>
        <w:spacing w:before="34" w:line="357" w:lineRule="auto"/>
        <w:ind w:right="126" w:firstLine="1262" w:firstLineChars="526"/>
        <w:rPr>
          <w:rFonts w:hint="eastAsia" w:ascii="仿宋" w:hAnsi="仿宋" w:eastAsia="仿宋" w:cs="仿宋"/>
        </w:rPr>
      </w:pPr>
      <w:r>
        <w:rPr>
          <w:rFonts w:hint="eastAsia" w:ascii="仿宋" w:hAnsi="仿宋" w:eastAsia="仿宋" w:cs="仿宋"/>
        </w:rPr>
        <w:t>7、评标中如遇未考虑到的问题，由磋商小组成员集体研究处理决定。</w:t>
      </w:r>
    </w:p>
    <w:p>
      <w:pPr>
        <w:pStyle w:val="9"/>
        <w:kinsoku w:val="0"/>
        <w:overflowPunct w:val="0"/>
        <w:spacing w:before="34"/>
        <w:jc w:val="both"/>
        <w:rPr>
          <w:rFonts w:hint="eastAsia" w:ascii="仿宋" w:hAnsi="仿宋" w:eastAsia="仿宋" w:cs="仿宋"/>
          <w:b/>
          <w:bCs/>
        </w:rPr>
      </w:pPr>
      <w:r>
        <w:rPr>
          <w:rFonts w:hint="eastAsia" w:ascii="仿宋" w:hAnsi="仿宋" w:eastAsia="仿宋" w:cs="仿宋"/>
          <w:b/>
          <w:bCs/>
        </w:rPr>
        <w:t xml:space="preserve"> 其他注意事项：</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（1）评审工作在磋商小组内独立进行。</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为了有助于对投标进行审查、评估和比较，磋商小组有权向供应商质疑、查看有关资质原件、供应商解释投标内容。供应商有责任按照磋商小组通知的时间、地点指派专人进行答疑、澄清、提供有关资质原件。</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（3）在开标、评标期间，供应商不得向磋商小组成员询问情况，不得进行影响评标结果的活动。</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（4）采购人、招标机构及磋商小组不向落标方解释原因，不保证最低价中标，不退还磋商响应性文件。</w:t>
      </w:r>
    </w:p>
    <w:p>
      <w:pPr>
        <w:pStyle w:val="9"/>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（5）在招标过程中如供应商有不正当行为时，磋商小组有权中止其投标资格。</w:t>
      </w:r>
    </w:p>
    <w:p>
      <w:pPr>
        <w:pStyle w:val="9"/>
        <w:kinsoku w:val="0"/>
        <w:overflowPunct w:val="0"/>
        <w:spacing w:before="34" w:line="357" w:lineRule="auto"/>
        <w:ind w:left="598"/>
        <w:rPr>
          <w:rFonts w:hint="eastAsia" w:ascii="仿宋" w:hAnsi="仿宋" w:eastAsia="仿宋" w:cs="仿宋"/>
          <w:b/>
          <w:bCs/>
        </w:rPr>
      </w:pPr>
      <w:r>
        <w:rPr>
          <w:rFonts w:hint="eastAsia" w:ascii="仿宋" w:hAnsi="仿宋" w:eastAsia="仿宋" w:cs="仿宋"/>
          <w:b/>
          <w:bCs/>
        </w:rPr>
        <w:t>本评标办法解释权归采购人。</w:t>
      </w:r>
    </w:p>
    <w:p>
      <w:pPr>
        <w:pStyle w:val="9"/>
        <w:kinsoku w:val="0"/>
        <w:overflowPunct w:val="0"/>
        <w:spacing w:before="34" w:line="357" w:lineRule="auto"/>
        <w:ind w:left="0" w:leftChars="0" w:firstLine="0" w:firstLineChars="0"/>
        <w:rPr>
          <w:rFonts w:hint="eastAsia" w:ascii="仿宋" w:hAnsi="仿宋" w:eastAsia="仿宋" w:cs="仿宋"/>
          <w:b/>
          <w:bCs/>
        </w:rPr>
      </w:pPr>
    </w:p>
    <w:p>
      <w:pPr>
        <w:pStyle w:val="3"/>
        <w:numPr>
          <w:ilvl w:val="0"/>
          <w:numId w:val="7"/>
        </w:numPr>
        <w:jc w:val="center"/>
        <w:rPr>
          <w:rFonts w:hint="eastAsia" w:ascii="仿宋" w:hAnsi="仿宋" w:eastAsia="仿宋" w:cs="仿宋"/>
          <w:sz w:val="40"/>
          <w:szCs w:val="52"/>
          <w:highlight w:val="none"/>
          <w:lang w:eastAsia="zh-CN"/>
        </w:rPr>
      </w:pPr>
      <w:bookmarkStart w:id="28" w:name="_Toc14967"/>
      <w:r>
        <w:rPr>
          <w:rFonts w:hint="eastAsia" w:ascii="仿宋" w:hAnsi="仿宋" w:eastAsia="仿宋" w:cs="仿宋"/>
          <w:sz w:val="40"/>
          <w:szCs w:val="52"/>
          <w:highlight w:val="none"/>
          <w:lang w:eastAsia="zh-CN"/>
        </w:rPr>
        <w:t>磋商内容</w:t>
      </w:r>
      <w:bookmarkEnd w:id="28"/>
    </w:p>
    <w:p>
      <w:pPr>
        <w:pStyle w:val="2"/>
        <w:ind w:left="0" w:leftChars="0" w:firstLine="0" w:firstLineChars="0"/>
        <w:rPr>
          <w:rFonts w:hint="eastAsia" w:ascii="仿宋" w:hAnsi="仿宋" w:eastAsia="仿宋" w:cs="仿宋"/>
          <w:highlight w:val="none"/>
        </w:rPr>
      </w:pPr>
    </w:p>
    <w:p>
      <w:pPr>
        <w:spacing w:line="600" w:lineRule="exact"/>
        <w:ind w:firstLine="155" w:firstLineChars="43"/>
        <w:jc w:val="center"/>
        <w:rPr>
          <w:rFonts w:hint="eastAsia" w:ascii="仿宋" w:hAnsi="仿宋" w:eastAsia="仿宋" w:cs="仿宋"/>
          <w:highlight w:val="none"/>
        </w:rPr>
      </w:pPr>
      <w:r>
        <w:rPr>
          <w:rFonts w:hint="eastAsia" w:ascii="仿宋" w:hAnsi="仿宋" w:eastAsia="仿宋" w:cs="仿宋"/>
          <w:b/>
          <w:bCs/>
          <w:sz w:val="36"/>
          <w:szCs w:val="36"/>
          <w:highlight w:val="none"/>
          <w:lang w:val="en-US" w:eastAsia="zh-CN"/>
        </w:rPr>
        <w:t>一、报价明细</w:t>
      </w:r>
      <w:r>
        <w:rPr>
          <w:rFonts w:hint="eastAsia" w:ascii="仿宋" w:hAnsi="仿宋" w:eastAsia="仿宋" w:cs="仿宋"/>
          <w:b/>
          <w:bCs/>
          <w:sz w:val="36"/>
          <w:szCs w:val="36"/>
          <w:highlight w:val="none"/>
        </w:rPr>
        <w:t>表</w:t>
      </w:r>
    </w:p>
    <w:p>
      <w:pPr>
        <w:pStyle w:val="2"/>
        <w:ind w:left="0" w:leftChars="0" w:firstLine="0" w:firstLineChars="0"/>
        <w:rPr>
          <w:rFonts w:hint="eastAsia" w:ascii="仿宋" w:hAnsi="仿宋" w:eastAsia="仿宋" w:cs="仿宋"/>
          <w:highlight w:val="none"/>
        </w:rPr>
      </w:pPr>
    </w:p>
    <w:tbl>
      <w:tblPr>
        <w:tblStyle w:val="15"/>
        <w:tblW w:w="9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6"/>
        <w:gridCol w:w="2943"/>
        <w:gridCol w:w="969"/>
        <w:gridCol w:w="1215"/>
        <w:gridCol w:w="1272"/>
        <w:gridCol w:w="1147"/>
        <w:gridCol w:w="1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序号</w:t>
            </w:r>
          </w:p>
        </w:tc>
        <w:tc>
          <w:tcPr>
            <w:tcW w:w="2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工程或费用名称</w:t>
            </w:r>
          </w:p>
        </w:tc>
        <w:tc>
          <w:tcPr>
            <w:tcW w:w="9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单位</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数量</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单价（元）</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合价（元）</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9" w:hRule="atLeast"/>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1</w:t>
            </w:r>
          </w:p>
        </w:tc>
        <w:tc>
          <w:tcPr>
            <w:tcW w:w="294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106座水闸日常维修养护(199套闸门、启闭机、螺杆、钢丝绳、止水橡胶、电器设备及其他附属设施检修）</w:t>
            </w:r>
          </w:p>
        </w:tc>
        <w:tc>
          <w:tcPr>
            <w:tcW w:w="9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199.00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 w:hAnsi="仿宋" w:eastAsia="仿宋" w:cs="仿宋"/>
                <w:b w:val="0"/>
                <w:bCs/>
                <w:i w:val="0"/>
                <w:color w:val="000000"/>
                <w:sz w:val="20"/>
                <w:szCs w:val="20"/>
                <w:highlight w:val="none"/>
                <w:u w:val="none"/>
                <w:lang w:val="en-US" w:eastAsia="zh-CN"/>
              </w:rPr>
            </w:pPr>
            <w:r>
              <w:rPr>
                <w:rFonts w:hint="eastAsia" w:ascii="仿宋" w:hAnsi="仿宋" w:eastAsia="仿宋" w:cs="仿宋"/>
                <w:b w:val="0"/>
                <w:bCs/>
                <w:i w:val="0"/>
                <w:color w:val="000000"/>
                <w:sz w:val="20"/>
                <w:szCs w:val="20"/>
                <w:highlight w:val="none"/>
                <w:u w:val="none"/>
                <w:lang w:val="en-US" w:eastAsia="zh-CN"/>
              </w:rPr>
              <w:t>详见维护清单明细：附件一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6" w:hRule="atLeast"/>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2</w:t>
            </w:r>
          </w:p>
        </w:tc>
        <w:tc>
          <w:tcPr>
            <w:tcW w:w="294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闸门除锈喷漆(67扇）</w:t>
            </w:r>
          </w:p>
        </w:tc>
        <w:tc>
          <w:tcPr>
            <w:tcW w:w="9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1387.58</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 w:hAnsi="仿宋" w:eastAsia="仿宋" w:cs="仿宋"/>
                <w:b w:val="0"/>
                <w:bCs/>
                <w:i w:val="0"/>
                <w:color w:val="000000"/>
                <w:sz w:val="20"/>
                <w:szCs w:val="20"/>
                <w:highlight w:val="none"/>
                <w:u w:val="none"/>
                <w:lang w:val="en-US"/>
              </w:rPr>
            </w:pPr>
            <w:r>
              <w:rPr>
                <w:rFonts w:hint="eastAsia" w:ascii="仿宋" w:hAnsi="仿宋" w:eastAsia="仿宋" w:cs="仿宋"/>
                <w:b w:val="0"/>
                <w:bCs/>
                <w:i w:val="0"/>
                <w:color w:val="000000"/>
                <w:sz w:val="20"/>
                <w:szCs w:val="20"/>
                <w:highlight w:val="none"/>
                <w:u w:val="none"/>
                <w:lang w:val="en-US" w:eastAsia="zh-CN"/>
              </w:rPr>
              <w:t>详见除锈喷漆明细：附件二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7" w:hRule="atLeast"/>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3</w:t>
            </w:r>
          </w:p>
        </w:tc>
        <w:tc>
          <w:tcPr>
            <w:tcW w:w="294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孔雀河第一分水枢纽库塔干渠引（进）水闸钢铁复合闸门（3*3.5m）制作安装（含旧闸门拆除、闸槽砼及钢结构拆除、二期砼浇筑等）</w:t>
            </w:r>
          </w:p>
        </w:tc>
        <w:tc>
          <w:tcPr>
            <w:tcW w:w="9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扇</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2.00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4</w:t>
            </w:r>
          </w:p>
        </w:tc>
        <w:tc>
          <w:tcPr>
            <w:tcW w:w="294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手电两用螺杆式启闭机（QL-150KN,含限位开关、启动柜等,螺杆直径90mm）</w:t>
            </w:r>
          </w:p>
        </w:tc>
        <w:tc>
          <w:tcPr>
            <w:tcW w:w="9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2.00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5</w:t>
            </w:r>
          </w:p>
        </w:tc>
        <w:tc>
          <w:tcPr>
            <w:tcW w:w="294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闸门侧行走支撑制作安装</w:t>
            </w:r>
          </w:p>
        </w:tc>
        <w:tc>
          <w:tcPr>
            <w:tcW w:w="9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11.00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6</w:t>
            </w:r>
          </w:p>
        </w:tc>
        <w:tc>
          <w:tcPr>
            <w:tcW w:w="2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备用金</w:t>
            </w:r>
          </w:p>
        </w:tc>
        <w:tc>
          <w:tcPr>
            <w:tcW w:w="9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项</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1</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20000</w:t>
            </w: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highlight w:val="none"/>
                <w:u w:val="none"/>
              </w:rPr>
            </w:pPr>
            <w:r>
              <w:rPr>
                <w:rFonts w:hint="eastAsia" w:ascii="仿宋" w:hAnsi="仿宋" w:eastAsia="仿宋" w:cs="仿宋"/>
                <w:b w:val="0"/>
                <w:bCs/>
                <w:szCs w:val="21"/>
                <w:highlight w:val="none"/>
                <w:lang w:val="en-US" w:eastAsia="zh-CN"/>
              </w:rPr>
              <w:t>20000</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i w:val="0"/>
                <w:color w:val="000000"/>
                <w:sz w:val="20"/>
                <w:szCs w:val="20"/>
                <w:highlight w:val="none"/>
                <w:u w:val="none"/>
              </w:rPr>
            </w:pPr>
            <w:r>
              <w:rPr>
                <w:rFonts w:hint="eastAsia" w:ascii="仿宋" w:hAnsi="仿宋" w:eastAsia="仿宋" w:cs="仿宋"/>
                <w:b w:val="0"/>
                <w:bCs/>
                <w:i w:val="0"/>
                <w:color w:val="000000"/>
                <w:sz w:val="20"/>
                <w:szCs w:val="20"/>
                <w:highlight w:val="none"/>
                <w:u w:val="none"/>
                <w:lang w:eastAsia="zh-CN"/>
              </w:rPr>
              <w:t>（</w:t>
            </w:r>
            <w:r>
              <w:rPr>
                <w:rFonts w:hint="eastAsia" w:ascii="仿宋" w:hAnsi="仿宋" w:eastAsia="仿宋" w:cs="仿宋"/>
                <w:b w:val="0"/>
                <w:bCs/>
                <w:i w:val="0"/>
                <w:color w:val="000000"/>
                <w:sz w:val="20"/>
                <w:szCs w:val="20"/>
                <w:highlight w:val="none"/>
                <w:u w:val="none"/>
                <w:lang w:val="zh-CN"/>
              </w:rPr>
              <w:t>注：此部分费用由招标人掌握，为项目实施过程中可能发生的合同变更而预留的费用。</w:t>
            </w:r>
            <w:r>
              <w:rPr>
                <w:rFonts w:hint="eastAsia" w:ascii="仿宋" w:hAnsi="仿宋" w:eastAsia="仿宋" w:cs="仿宋"/>
                <w:b w:val="0"/>
                <w:bCs/>
                <w:i w:val="0"/>
                <w:color w:val="000000"/>
                <w:sz w:val="20"/>
                <w:szCs w:val="20"/>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9377" w:type="dxa"/>
            <w:gridSpan w:val="7"/>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总价（元）大写：</w:t>
            </w:r>
          </w:p>
          <w:p>
            <w:pPr>
              <w:ind w:firstLine="1050" w:firstLineChars="500"/>
              <w:jc w:val="left"/>
              <w:rPr>
                <w:rFonts w:hint="default"/>
                <w:lang w:val="en-US" w:eastAsia="zh-CN"/>
              </w:rPr>
            </w:pPr>
            <w:r>
              <w:rPr>
                <w:rFonts w:hint="eastAsia" w:ascii="仿宋" w:hAnsi="仿宋" w:eastAsia="仿宋" w:cs="仿宋"/>
                <w:b w:val="0"/>
                <w:bCs/>
                <w:szCs w:val="21"/>
                <w:highlight w:val="none"/>
                <w:lang w:val="en-US" w:eastAsia="zh-CN"/>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备注</w:t>
            </w:r>
          </w:p>
        </w:tc>
        <w:tc>
          <w:tcPr>
            <w:tcW w:w="8871"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i w:val="0"/>
                <w:color w:val="000000"/>
                <w:sz w:val="20"/>
                <w:szCs w:val="20"/>
                <w:highlight w:val="none"/>
                <w:u w:val="none"/>
                <w:lang w:eastAsia="zh-CN"/>
              </w:rPr>
            </w:pPr>
            <w:r>
              <w:rPr>
                <w:rFonts w:hint="eastAsia" w:ascii="仿宋" w:hAnsi="仿宋" w:eastAsia="仿宋" w:cs="仿宋"/>
                <w:b w:val="0"/>
                <w:bCs/>
                <w:kern w:val="0"/>
                <w:sz w:val="24"/>
                <w:szCs w:val="24"/>
              </w:rPr>
              <w:t>总报价中必须包含购置、安装、运输保险、装卸、培训辅导、质保期售后服务、全额含税发票、雇员费用、合同实施过程中应预见和不可预见费用等。所有价格均应予人民币报价，金额单位为元。</w:t>
            </w:r>
          </w:p>
        </w:tc>
      </w:tr>
    </w:tbl>
    <w:p>
      <w:pPr>
        <w:autoSpaceDE w:val="0"/>
        <w:autoSpaceDN w:val="0"/>
        <w:snapToGrid w:val="0"/>
        <w:spacing w:line="288" w:lineRule="auto"/>
        <w:jc w:val="left"/>
        <w:rPr>
          <w:rFonts w:hint="eastAsia" w:ascii="仿宋" w:hAnsi="仿宋" w:eastAsia="仿宋" w:cs="仿宋"/>
          <w:i w:val="0"/>
          <w:color w:val="000000"/>
          <w:sz w:val="20"/>
          <w:szCs w:val="20"/>
          <w:highlight w:val="none"/>
          <w:u w:val="none"/>
          <w:lang w:val="en-US" w:eastAsia="zh-CN"/>
        </w:rPr>
      </w:pPr>
    </w:p>
    <w:p>
      <w:pPr>
        <w:autoSpaceDE w:val="0"/>
        <w:autoSpaceDN w:val="0"/>
        <w:snapToGrid w:val="0"/>
        <w:spacing w:line="288" w:lineRule="auto"/>
        <w:jc w:val="left"/>
        <w:rPr>
          <w:rFonts w:hint="eastAsia" w:ascii="仿宋" w:hAnsi="仿宋" w:eastAsia="仿宋" w:cs="仿宋"/>
          <w:b/>
          <w:bCs/>
          <w:i w:val="0"/>
          <w:color w:val="000000"/>
          <w:sz w:val="24"/>
          <w:szCs w:val="24"/>
          <w:highlight w:val="none"/>
          <w:u w:val="none"/>
          <w:lang w:val="en-US" w:eastAsia="zh-CN"/>
        </w:rPr>
      </w:pPr>
    </w:p>
    <w:p>
      <w:pPr>
        <w:autoSpaceDE w:val="0"/>
        <w:autoSpaceDN w:val="0"/>
        <w:snapToGrid w:val="0"/>
        <w:spacing w:line="288" w:lineRule="auto"/>
        <w:jc w:val="left"/>
        <w:rPr>
          <w:rFonts w:hint="eastAsia" w:ascii="仿宋" w:hAnsi="仿宋" w:eastAsia="仿宋" w:cs="仿宋"/>
          <w:b/>
          <w:bCs/>
          <w:i w:val="0"/>
          <w:color w:val="000000"/>
          <w:sz w:val="24"/>
          <w:szCs w:val="24"/>
          <w:highlight w:val="none"/>
          <w:u w:val="none"/>
          <w:lang w:val="en-US" w:eastAsia="zh-CN"/>
        </w:rPr>
      </w:pPr>
    </w:p>
    <w:p>
      <w:pPr>
        <w:autoSpaceDE w:val="0"/>
        <w:autoSpaceDN w:val="0"/>
        <w:snapToGrid w:val="0"/>
        <w:spacing w:line="288" w:lineRule="auto"/>
        <w:jc w:val="left"/>
        <w:rPr>
          <w:rFonts w:hint="eastAsia" w:ascii="仿宋" w:hAnsi="仿宋" w:eastAsia="仿宋" w:cs="仿宋"/>
          <w:b/>
          <w:bCs/>
          <w:i w:val="0"/>
          <w:color w:val="000000"/>
          <w:sz w:val="24"/>
          <w:szCs w:val="24"/>
          <w:highlight w:val="none"/>
          <w:u w:val="none"/>
          <w:lang w:val="en-US" w:eastAsia="zh-CN"/>
        </w:rPr>
      </w:pPr>
    </w:p>
    <w:p>
      <w:pPr>
        <w:autoSpaceDE w:val="0"/>
        <w:autoSpaceDN w:val="0"/>
        <w:snapToGrid w:val="0"/>
        <w:spacing w:line="288" w:lineRule="auto"/>
        <w:jc w:val="left"/>
        <w:rPr>
          <w:rFonts w:hint="eastAsia" w:ascii="仿宋" w:hAnsi="仿宋" w:eastAsia="仿宋" w:cs="仿宋"/>
          <w:b/>
          <w:bCs/>
          <w:i w:val="0"/>
          <w:color w:val="000000"/>
          <w:sz w:val="24"/>
          <w:szCs w:val="24"/>
          <w:highlight w:val="none"/>
          <w:u w:val="none"/>
          <w:lang w:val="en-US" w:eastAsia="zh-CN"/>
        </w:rPr>
      </w:pPr>
    </w:p>
    <w:p>
      <w:pPr>
        <w:autoSpaceDE w:val="0"/>
        <w:autoSpaceDN w:val="0"/>
        <w:snapToGrid w:val="0"/>
        <w:spacing w:line="288" w:lineRule="auto"/>
        <w:jc w:val="left"/>
        <w:rPr>
          <w:rFonts w:hint="eastAsia" w:ascii="仿宋" w:hAnsi="仿宋" w:eastAsia="仿宋" w:cs="仿宋"/>
          <w:b/>
          <w:bCs/>
          <w:i w:val="0"/>
          <w:color w:val="000000"/>
          <w:sz w:val="24"/>
          <w:szCs w:val="24"/>
          <w:highlight w:val="none"/>
          <w:u w:val="none"/>
          <w:lang w:val="en-US" w:eastAsia="zh-CN"/>
        </w:rPr>
      </w:pPr>
    </w:p>
    <w:p>
      <w:pPr>
        <w:autoSpaceDE w:val="0"/>
        <w:autoSpaceDN w:val="0"/>
        <w:snapToGrid w:val="0"/>
        <w:spacing w:line="288" w:lineRule="auto"/>
        <w:jc w:val="left"/>
        <w:rPr>
          <w:rFonts w:hint="eastAsia" w:ascii="仿宋" w:hAnsi="仿宋" w:eastAsia="仿宋" w:cs="仿宋"/>
          <w:b/>
          <w:bCs/>
          <w:i w:val="0"/>
          <w:color w:val="000000"/>
          <w:sz w:val="24"/>
          <w:szCs w:val="24"/>
          <w:highlight w:val="none"/>
          <w:u w:val="none"/>
          <w:lang w:val="en-US" w:eastAsia="zh-CN"/>
        </w:rPr>
      </w:pPr>
    </w:p>
    <w:p>
      <w:pPr>
        <w:autoSpaceDE w:val="0"/>
        <w:autoSpaceDN w:val="0"/>
        <w:snapToGrid w:val="0"/>
        <w:spacing w:line="288" w:lineRule="auto"/>
        <w:jc w:val="left"/>
        <w:rPr>
          <w:rFonts w:hint="eastAsia" w:ascii="仿宋" w:hAnsi="仿宋" w:eastAsia="仿宋" w:cs="仿宋"/>
          <w:b/>
          <w:bCs/>
          <w:i w:val="0"/>
          <w:color w:val="000000"/>
          <w:sz w:val="24"/>
          <w:szCs w:val="24"/>
          <w:highlight w:val="none"/>
          <w:u w:val="none"/>
          <w:lang w:val="en-US" w:eastAsia="zh-CN"/>
        </w:rPr>
      </w:pPr>
    </w:p>
    <w:p>
      <w:pPr>
        <w:autoSpaceDE w:val="0"/>
        <w:autoSpaceDN w:val="0"/>
        <w:snapToGrid w:val="0"/>
        <w:spacing w:line="288" w:lineRule="auto"/>
        <w:jc w:val="left"/>
        <w:rPr>
          <w:rFonts w:hint="eastAsia" w:ascii="仿宋" w:hAnsi="仿宋" w:eastAsia="仿宋" w:cs="仿宋"/>
          <w:b/>
          <w:bCs/>
          <w:i w:val="0"/>
          <w:color w:val="000000"/>
          <w:sz w:val="24"/>
          <w:szCs w:val="24"/>
          <w:highlight w:val="none"/>
          <w:u w:val="none"/>
          <w:lang w:val="en-US" w:eastAsia="zh-CN"/>
        </w:rPr>
      </w:pPr>
    </w:p>
    <w:p>
      <w:pPr>
        <w:autoSpaceDE w:val="0"/>
        <w:autoSpaceDN w:val="0"/>
        <w:snapToGrid w:val="0"/>
        <w:spacing w:line="288" w:lineRule="auto"/>
        <w:jc w:val="left"/>
        <w:rPr>
          <w:rFonts w:hint="eastAsia" w:ascii="仿宋" w:hAnsi="仿宋" w:eastAsia="仿宋" w:cs="仿宋"/>
          <w:b/>
          <w:bCs/>
          <w:i w:val="0"/>
          <w:color w:val="000000"/>
          <w:sz w:val="24"/>
          <w:szCs w:val="24"/>
          <w:highlight w:val="none"/>
          <w:u w:val="none"/>
          <w:lang w:val="en-US" w:eastAsia="zh-CN"/>
        </w:rPr>
      </w:pPr>
    </w:p>
    <w:p>
      <w:pPr>
        <w:autoSpaceDE w:val="0"/>
        <w:autoSpaceDN w:val="0"/>
        <w:snapToGrid w:val="0"/>
        <w:spacing w:line="288" w:lineRule="auto"/>
        <w:jc w:val="left"/>
        <w:rPr>
          <w:rFonts w:hint="eastAsia" w:ascii="仿宋" w:hAnsi="仿宋" w:eastAsia="仿宋" w:cs="仿宋"/>
          <w:b/>
          <w:bCs/>
          <w:i w:val="0"/>
          <w:color w:val="000000"/>
          <w:sz w:val="24"/>
          <w:szCs w:val="24"/>
          <w:highlight w:val="none"/>
          <w:u w:val="none"/>
          <w:lang w:val="en-US" w:eastAsia="zh-CN"/>
        </w:rPr>
      </w:pPr>
    </w:p>
    <w:p>
      <w:pPr>
        <w:autoSpaceDE w:val="0"/>
        <w:autoSpaceDN w:val="0"/>
        <w:snapToGrid w:val="0"/>
        <w:spacing w:line="288" w:lineRule="auto"/>
        <w:jc w:val="left"/>
        <w:rPr>
          <w:rFonts w:hint="eastAsia" w:ascii="仿宋" w:hAnsi="仿宋" w:eastAsia="仿宋" w:cs="仿宋"/>
          <w:b/>
          <w:bCs/>
          <w:i w:val="0"/>
          <w:color w:val="000000"/>
          <w:sz w:val="24"/>
          <w:szCs w:val="24"/>
          <w:highlight w:val="none"/>
          <w:u w:val="none"/>
          <w:lang w:val="en-US" w:eastAsia="zh-CN"/>
        </w:rPr>
      </w:pPr>
    </w:p>
    <w:p>
      <w:pPr>
        <w:autoSpaceDE w:val="0"/>
        <w:autoSpaceDN w:val="0"/>
        <w:snapToGrid w:val="0"/>
        <w:spacing w:line="288" w:lineRule="auto"/>
        <w:jc w:val="left"/>
        <w:rPr>
          <w:rFonts w:hint="default" w:ascii="仿宋" w:hAnsi="仿宋" w:eastAsia="仿宋" w:cs="仿宋"/>
          <w:b/>
          <w:bCs/>
          <w:kern w:val="0"/>
          <w:sz w:val="40"/>
          <w:szCs w:val="40"/>
          <w:lang w:val="en-US" w:eastAsia="zh-CN" w:bidi="ar-SA"/>
        </w:rPr>
      </w:pPr>
      <w:r>
        <w:rPr>
          <w:rFonts w:hint="eastAsia" w:ascii="仿宋" w:hAnsi="仿宋" w:eastAsia="仿宋" w:cs="仿宋"/>
          <w:b/>
          <w:bCs/>
          <w:i w:val="0"/>
          <w:color w:val="000000"/>
          <w:sz w:val="24"/>
          <w:szCs w:val="24"/>
          <w:highlight w:val="none"/>
          <w:u w:val="none"/>
          <w:lang w:val="en-US" w:eastAsia="zh-CN"/>
        </w:rPr>
        <w:t>附件一：维护清单明细表</w:t>
      </w:r>
    </w:p>
    <w:tbl>
      <w:tblPr>
        <w:tblStyle w:val="15"/>
        <w:tblW w:w="96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5"/>
        <w:gridCol w:w="5249"/>
        <w:gridCol w:w="169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水闸名称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水闸类型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启闭形式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孔数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莫尕提引水枢纽</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泄洪（冲砂）闸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卷扬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夏尔乌逊（黄水沟）分洪闸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泄洪闸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吊葫芦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达吾提闸2#闸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卷扬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孔雀河第一分水枢纽泄洪冲砂闸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引（泄）洪闸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卷扬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孔雀河第二分水枢纽左右泄洪冲砂闸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泄洪闸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卷扬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普惠水库泄洪闸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泄洪闸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卷扬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阿卡枢纽拦河泄洪闸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泄洪闸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卷扬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达吾提闸1#闸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莲花闸（原阿洪口闸）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开都河第一分水枢纽北岸乌兰尕孜节制闸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开都河第一分水枢纽北岸乌兰尕孜分水闸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开都河第一分水枢纽北岸乌兰尕孜高浇地涵闸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开都河第一分水枢纽北岸阿孜尕尔退水节制闸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开都河第一分水枢纽北岸阿孜尕尔退水闸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排（退）水闸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开都河第一分水枢纽北岸柏林节制闸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开都河第一分水枢纽北岸柏林左分水闸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开都河第一分水枢纽北岸岔孜节制闸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开都河第一分水枢纽北岸岔孜分水闸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开都河第一分水枢纽北岸乌拉斯台退水节制闸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开都河第一分水枢纽北岸乌拉斯台退水闸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排（退）水闸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开都河第一分水枢纽南岸总干节制闸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开都河第一分水枢纽南岸总干左岸低闸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开都河第一分水枢纽南岸总分查汗屯格分水闸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开都河第一分水枢纽南岸总分一支干进水闸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开都河第一分水枢纽南岸一支干6+171节制闸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开都河第一分水枢纽南岸一支干6+171左岸分水闸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开都河第一分水枢纽南岸一支干6+171二十一团五连分水闸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开都河第一分水枢纽南岸一支干6+171上游开发区分水闸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开都河第一分水枢纽南岸一支干11+300节制闸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开都河第一分水枢纽南岸一支干11+300分水闸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开来渠中游节制闸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开来渠中游新干渠闸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开来渠下游节制闸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开来渠下游分水闸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开都河第一分水枢纽南岸总分二支干进水闸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开都河第一分水枢纽南岸二支干5+600节制闸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开都河第一分水枢纽南岸二支干5+600农二连一支分水闸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开都河第一分水枢纽南岸二支干11+050节制闸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开都河第一分水枢纽南岸二支干11+050右岸分水闸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开都河第一分水枢纽南岸二支干南毛坤节制闸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开都河第一分水枢纽南岸二支干南毛坤右岸分水闸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解放二渠清水河东支泄洪闸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泄洪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解放二渠清水河西支泄洪闸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泄洪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解放二渠总干渠乌拉斯台节制闸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解放二渠总干渠团结渠闸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解放二渠总干渠跃进渠闸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解放二渠总干渠洪干渠闸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解放二渠总干渠生态节制闸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解放二渠总干渠生态放水闸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解放二渠总分节制闸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解放二渠总分红旗总口子闸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解放二渠总分八一干渠闸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解放二渠总分南干渠闸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解放二渠北干渠三号测桥节制闸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解放二渠北干渠六支干节制闸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莫尕提干渠引水闸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莫尕提枢纽团结渠引水闸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开都河宝浪苏木分水枢纽翻身渠引水闸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开都河第二分水枢纽北岸干渠引水闸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开都河第二分水枢纽南岸干渠引水闸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开都河第二分水枢纽北岸干渠北大渠节制闸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开都河第二分水枢纽北岸干渠北大渠进水闸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开都河第二分水枢纽北岸干渠五号渠节制闸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开都河第二分水枢纽北岸干渠五号渠进水闸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开都河第二分水枢纽北岸干渠友谊渠节制闸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开都河第二分水枢纽北岸干渠友谊渠分水闸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开都河第二分水枢纽北岸干渠四大队渠进水闸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开都河第二分水枢纽南岸干渠租户节制闸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开都河第二分水枢纽南岸干渠租户分水闸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开都河第二分水枢纽南岸干渠解放一渠节制闸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开都河第二分水枢纽南岸干渠解放一渠分水闸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开都河第二分水枢纽南岸干渠解放一渠一干节制闸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开都河第二分水枢纽南岸干渠解放一渠二干节制闸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74</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孔雀河第一分水枢纽库塔干渠闸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75</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孔雀河第一分水枢纽十八团渠闸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76</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孔雀河第二分水枢纽多浪进水闸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库塔总干渠节制闸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78</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库塔总干渠哈拉苏闸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孔雀河第三分水枢泄洪冲砂闸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泄洪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孔雀河第三分水枢纽永丰干渠进水闸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孔雀河第三分水枢纽团结干渠进水闸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进水闸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库塔干渠总干渠二支渠节制闸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库塔干渠总干渠二支渠哈拉玉宫分水闸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84</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库塔干渠总干渠二支渠阿瓦提农场分水闸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库塔干渠总干渠西干渠进水闸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86</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库塔干渠总干渠希尼尔水库分水闸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87</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库塔干渠西干渠库外渠节制闸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88</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库塔干渠西干渠库外渠分水闸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89</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库塔干渠西干渠兴平节制闸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库塔干渠西干渠兴平分水闸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库塔干渠西干渠兴平水利科研所分水闸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库塔干渠西干渠阿瓦提开发二支分水闸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93</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库塔干渠西干渠白鹭节制闸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94</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库塔干渠西干渠白鹭阿瓦提开发分水闸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95</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库塔干渠西干渠白鹭哈拉玉宫开发分水闸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96</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库塔干渠西干渠金鹿节制闸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97</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库塔干渠西干渠金鹿大华公司分水闸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库塔干渠西干渠金鹿哈拉玉宫6队分水闸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99</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库塔干渠西干渠天鹅节制闸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库塔干渠西干渠天鹅哈拉玉宫乡分水闸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库塔干渠西干渠孔雀节制闸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库塔干渠西干渠孔雀孔雀农场分水闸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103</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库塔干渠东干渠（上段）退水闸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退水闸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104</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阿卡枢纽节制闸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105</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阿克苏甫节制闸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106</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阿克苏甫分水闸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分水闸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199</w:t>
            </w:r>
          </w:p>
        </w:tc>
      </w:tr>
    </w:tbl>
    <w:p>
      <w:pPr>
        <w:pStyle w:val="2"/>
        <w:ind w:left="0" w:leftChars="0" w:firstLine="0" w:firstLineChars="0"/>
        <w:rPr>
          <w:rFonts w:hint="eastAsia"/>
          <w:lang w:val="en-US" w:eastAsia="zh-CN"/>
        </w:rPr>
      </w:pPr>
    </w:p>
    <w:p>
      <w:pPr>
        <w:autoSpaceDE w:val="0"/>
        <w:autoSpaceDN w:val="0"/>
        <w:snapToGrid w:val="0"/>
        <w:spacing w:line="288" w:lineRule="auto"/>
        <w:jc w:val="left"/>
        <w:rPr>
          <w:rFonts w:hint="eastAsia"/>
          <w:lang w:val="en-US" w:eastAsia="zh-CN"/>
        </w:rPr>
      </w:pPr>
      <w:r>
        <w:rPr>
          <w:rFonts w:hint="eastAsia" w:ascii="仿宋" w:hAnsi="仿宋" w:eastAsia="仿宋" w:cs="仿宋"/>
          <w:b/>
          <w:bCs/>
          <w:i w:val="0"/>
          <w:color w:val="000000"/>
          <w:sz w:val="24"/>
          <w:szCs w:val="24"/>
          <w:highlight w:val="none"/>
          <w:u w:val="none"/>
          <w:lang w:val="en-US" w:eastAsia="zh-CN"/>
        </w:rPr>
        <w:t>附件二：除锈喷漆清单明细表</w:t>
      </w:r>
    </w:p>
    <w:tbl>
      <w:tblPr>
        <w:tblStyle w:val="15"/>
        <w:tblpPr w:leftFromText="180" w:rightFromText="180" w:vertAnchor="text" w:horzAnchor="page" w:tblpX="1104" w:tblpY="365"/>
        <w:tblOverlap w:val="never"/>
        <w:tblW w:w="96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0"/>
        <w:gridCol w:w="4485"/>
        <w:gridCol w:w="1440"/>
        <w:gridCol w:w="900"/>
        <w:gridCol w:w="85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水闸名称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水闸类型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启闭形式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孔数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闸门形式（钢闸门/铸铁闸门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孔雀河第一分水枢纽库塔总干渠节制闸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3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孔雀河第一分水枢纽库塔总干渠哈拉苏闸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开都河第一分水枢纽北岸乌兰尕孜节制闸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平板钢闸门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开都河第一分水枢纽北岸乌兰尕孜分水闸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开都河第一分水枢纽北岸乌兰尕孜高浇地涵闸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开都河第一分水枢纽北岸阿孜尕尔退水节制闸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平板钢闸门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开都河第一分水枢纽北岸阿孜尕尔退水闸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排（退）水闸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平板钢闸门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开都河第一分水枢纽北岸柏林节制闸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平板钢闸门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开都河第一分水枢纽北岸柏林左分水闸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10</w:t>
            </w:r>
          </w:p>
        </w:tc>
        <w:tc>
          <w:tcPr>
            <w:tcW w:w="448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开都河第一分水枢纽北岸耐力哈利分水闸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开都河第一分水枢纽北岸岔孜节制闸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平板钢闸门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开都河第一分水枢纽北岸岔孜分水闸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开都河第一分水枢纽北岸乌拉斯台退水节制闸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平板钢闸门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开都河第一分水枢纽北岸乌拉斯台退水闸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排（退）水闸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开都河第一分水枢纽南岸总干节制闸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钢闸门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开都河第一分水枢纽南岸总干左岸高闸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开都河第一分水枢纽南岸总干左岸低闸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开都河第一分水枢纽南岸小巴伦二支分水闸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开都河第一分水枢纽南岸总分查汗屯格分水闸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开都河第一分水枢纽南岸总分一支干进水闸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平板钢闸门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开都河第一分水枢纽南岸一支干6+171节制闸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开都河第一分水枢纽南岸一支干6+171左岸分水闸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开都河第一分水枢纽南岸一支干6+171二十一团五连分水闸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开都河第一分水枢纽南岸一支干6+171上游开发区分水闸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开都河第一分水枢纽南岸小巴伦三支分水闸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开都河第一分水枢纽南岸一支干11+300节制闸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平板钢闸门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开都河第一分水枢纽南岸一支干11+300分水闸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开都河第一分水枢纽南岸一支干四支渠分水闸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平板钢闸门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开来渠下游节制闸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平板钢闸门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开来渠下游分水闸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开都河第一分水枢纽南岸总分二支干进水闸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平板钢闸门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开都河第一分水枢纽南岸二支干5+600节制闸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开都河第一分水枢纽南岸二支干杏树园分水闸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开都河第一分水枢纽南岸二支干5+600农二连一支分水闸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开都河第一分水枢纽南岸二支干11+050节制闸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开都河第一分水枢纽南岸二支干南支分水闸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开都河第一分水枢纽南岸二支干11+050右岸分水闸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平板钢闸门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开都河第一分水枢纽南岸二支干南毛坤节制闸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开都河第一分水枢纽南岸二支干阿克分水闸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40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开都河第一分水枢纽南岸二支干南毛坤右岸分水闸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引（进）水闸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41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解放二渠清水河东支泄洪闸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泄洪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42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解放二渠北干渠三号测桥节制闸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43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解放二渠北干渠六支干节制闸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44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开都河第二分水枢纽南岸干渠解放一渠一干节制闸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节制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平板钢闸门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45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库塔干渠总干渠西干渠进水闸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46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库塔干渠总干渠希尼尔水库分水闸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引水闸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铸铁闸门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67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bl>
    <w:p>
      <w:pPr>
        <w:pStyle w:val="2"/>
        <w:rPr>
          <w:rFonts w:hint="eastAsia"/>
          <w:lang w:val="en-US" w:eastAsia="zh-CN"/>
        </w:rPr>
      </w:pPr>
    </w:p>
    <w:p>
      <w:pPr>
        <w:autoSpaceDE w:val="0"/>
        <w:autoSpaceDN w:val="0"/>
        <w:snapToGrid w:val="0"/>
        <w:spacing w:line="288" w:lineRule="auto"/>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说明：1、投标人为完成本合同工程在工程施工全过程中的全部措施项目、安全生产及临时工程（包括施工、生活用水、电，临时建筑，施工道路、导流、排水等）费用应包含在项目单价和合价中，招标人不再另行支付，敬请投标人特别注意。</w:t>
      </w:r>
    </w:p>
    <w:p>
      <w:pPr>
        <w:autoSpaceDE w:val="0"/>
        <w:autoSpaceDN w:val="0"/>
        <w:snapToGrid w:val="0"/>
        <w:spacing w:line="288" w:lineRule="auto"/>
        <w:ind w:firstLine="361"/>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2、按照新疆水利厅《关于在我区水利水电施工企业计取安全生产费用的通知》新水办建管【2011】80号文的有关规定，投标人的安全生产费用必须保证项目人员的安全教育培训；安全设备、器材、防护品的购买、完善、改造和维护；安全检查、事故管理；危险源控危险品管理；职业卫生健康管理等安全生产管理所需的费用；施工期新冠肺炎防控各项工作。</w:t>
      </w:r>
    </w:p>
    <w:p>
      <w:pPr>
        <w:autoSpaceDE w:val="0"/>
        <w:autoSpaceDN w:val="0"/>
        <w:snapToGrid w:val="0"/>
        <w:spacing w:line="288" w:lineRule="auto"/>
        <w:ind w:firstLine="361"/>
        <w:jc w:val="left"/>
        <w:rPr>
          <w:rFonts w:hint="eastAsia" w:ascii="仿宋" w:hAnsi="仿宋" w:eastAsia="仿宋" w:cs="仿宋"/>
          <w:b/>
          <w:sz w:val="32"/>
          <w:szCs w:val="32"/>
          <w:highlight w:val="none"/>
        </w:rPr>
      </w:pPr>
      <w:r>
        <w:rPr>
          <w:rFonts w:hint="eastAsia" w:ascii="仿宋" w:hAnsi="仿宋" w:eastAsia="仿宋" w:cs="仿宋"/>
          <w:b w:val="0"/>
          <w:bCs w:val="0"/>
          <w:kern w:val="0"/>
          <w:sz w:val="24"/>
          <w:szCs w:val="24"/>
          <w:lang w:val="en-US" w:eastAsia="zh-CN" w:bidi="ar-SA"/>
        </w:rPr>
        <w:t>3、</w:t>
      </w:r>
      <w:r>
        <w:rPr>
          <w:rFonts w:hint="eastAsia" w:ascii="仿宋" w:hAnsi="仿宋" w:eastAsia="仿宋" w:cs="仿宋"/>
          <w:b w:val="0"/>
          <w:bCs w:val="0"/>
          <w:kern w:val="0"/>
          <w:sz w:val="24"/>
          <w:szCs w:val="24"/>
          <w:lang w:val="zh-CN" w:eastAsia="zh-CN" w:bidi="ar-SA"/>
        </w:rPr>
        <w:t>水土保持措施包括土地平整、防尘网防护、洒水降尘、弃渣处理等；环境保护措施包括垃圾收集站、垃圾桶、防噪用具、生活污水渗池、卫生防疫、环保宣传牌等。</w:t>
      </w:r>
    </w:p>
    <w:p>
      <w:pPr>
        <w:rPr>
          <w:rFonts w:hint="eastAsia" w:ascii="仿宋" w:hAnsi="仿宋" w:eastAsia="仿宋" w:cs="仿宋"/>
          <w:lang w:eastAsia="zh-CN"/>
        </w:rPr>
      </w:pP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r>
        <w:rPr>
          <w:rFonts w:hint="eastAsia" w:hAnsi="仿宋" w:cs="仿宋"/>
          <w:b/>
          <w:bCs/>
          <w:sz w:val="32"/>
          <w:szCs w:val="32"/>
          <w:lang w:val="en-US" w:eastAsia="zh-CN"/>
        </w:rPr>
        <w:t>二、</w:t>
      </w:r>
      <w:r>
        <w:rPr>
          <w:rFonts w:hint="eastAsia" w:ascii="仿宋" w:hAnsi="仿宋" w:eastAsia="仿宋" w:cs="仿宋"/>
          <w:b/>
          <w:bCs/>
          <w:sz w:val="32"/>
          <w:szCs w:val="32"/>
          <w:lang w:eastAsia="zh-CN"/>
        </w:rPr>
        <w:t>服务标准及考核要求：</w:t>
      </w:r>
    </w:p>
    <w:p>
      <w:pPr>
        <w:pStyle w:val="9"/>
        <w:kinsoku w:val="0"/>
        <w:overflowPunct w:val="0"/>
        <w:spacing w:before="34"/>
        <w:ind w:left="0" w:leftChars="0" w:firstLine="0" w:firstLineChars="0"/>
        <w:jc w:val="both"/>
        <w:rPr>
          <w:rFonts w:hint="eastAsia" w:ascii="仿宋" w:hAnsi="仿宋" w:eastAsia="仿宋" w:cs="仿宋"/>
          <w:b/>
          <w:bCs/>
          <w:sz w:val="28"/>
          <w:szCs w:val="28"/>
        </w:rPr>
      </w:pPr>
      <w:r>
        <w:rPr>
          <w:rFonts w:hint="eastAsia" w:hAnsi="仿宋" w:cs="仿宋"/>
          <w:b/>
          <w:bCs/>
          <w:sz w:val="28"/>
          <w:szCs w:val="28"/>
          <w:lang w:val="en-US" w:eastAsia="zh-CN"/>
        </w:rPr>
        <w:t>1.</w:t>
      </w:r>
      <w:r>
        <w:rPr>
          <w:rFonts w:hint="eastAsia" w:ascii="仿宋" w:hAnsi="仿宋" w:eastAsia="仿宋" w:cs="仿宋"/>
          <w:b/>
          <w:bCs/>
          <w:sz w:val="28"/>
          <w:szCs w:val="28"/>
        </w:rPr>
        <w:t xml:space="preserve"> </w:t>
      </w:r>
      <w:r>
        <w:rPr>
          <w:rFonts w:hint="eastAsia" w:ascii="仿宋" w:hAnsi="仿宋" w:eastAsia="仿宋" w:cs="仿宋"/>
          <w:b/>
          <w:bCs/>
          <w:sz w:val="28"/>
          <w:szCs w:val="28"/>
          <w:lang w:eastAsia="zh-CN"/>
        </w:rPr>
        <w:t>巴音局</w:t>
      </w:r>
      <w:r>
        <w:rPr>
          <w:rFonts w:hint="eastAsia" w:ascii="仿宋" w:hAnsi="仿宋" w:eastAsia="仿宋" w:cs="仿宋"/>
          <w:b/>
          <w:bCs/>
          <w:sz w:val="28"/>
          <w:szCs w:val="28"/>
        </w:rPr>
        <w:t>水闸日常维</w:t>
      </w:r>
      <w:r>
        <w:rPr>
          <w:rFonts w:hint="eastAsia" w:ascii="仿宋" w:hAnsi="仿宋" w:eastAsia="仿宋" w:cs="仿宋"/>
          <w:b/>
          <w:bCs/>
          <w:sz w:val="28"/>
          <w:szCs w:val="28"/>
          <w:lang w:eastAsia="zh-CN"/>
        </w:rPr>
        <w:t>修养护需求</w:t>
      </w:r>
    </w:p>
    <w:p>
      <w:pPr>
        <w:pStyle w:val="9"/>
        <w:kinsoku w:val="0"/>
        <w:overflowPunct w:val="0"/>
        <w:spacing w:before="34"/>
        <w:ind w:left="0" w:leftChars="0" w:firstLine="0" w:firstLineChars="0"/>
        <w:jc w:val="both"/>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.1、一般规定</w:t>
      </w:r>
    </w:p>
    <w:p>
      <w:pPr>
        <w:pStyle w:val="9"/>
        <w:kinsoku w:val="0"/>
        <w:overflowPunct w:val="0"/>
        <w:spacing w:before="34"/>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按照相关标准规定：设备维修保养包括检查、维护、检修三类。其中检查分为日常检查、定期检查；检修分为故障检修和计划检修，故障检修是指设备存在实施检修才能消除的故障，计划检修是依据相关标准或设备说明书中要求实施的检修。</w:t>
      </w:r>
    </w:p>
    <w:p>
      <w:pPr>
        <w:pStyle w:val="9"/>
        <w:kinsoku w:val="0"/>
        <w:overflowPunct w:val="0"/>
        <w:spacing w:before="34"/>
        <w:ind w:left="0" w:leftChars="0" w:firstLine="0" w:firstLineChars="0"/>
        <w:jc w:val="both"/>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b w:val="0"/>
          <w:bCs w:val="0"/>
          <w:sz w:val="28"/>
          <w:szCs w:val="28"/>
          <w:highlight w:val="none"/>
        </w:rPr>
        <w:t>定期检查应</w:t>
      </w:r>
      <w:r>
        <w:rPr>
          <w:rFonts w:hint="eastAsia" w:ascii="仿宋" w:hAnsi="仿宋" w:eastAsia="仿宋" w:cs="仿宋"/>
          <w:b w:val="0"/>
          <w:bCs w:val="0"/>
          <w:sz w:val="28"/>
          <w:szCs w:val="28"/>
          <w:highlight w:val="none"/>
          <w:lang w:val="en-US" w:eastAsia="zh-CN"/>
        </w:rPr>
        <w:t>一</w:t>
      </w:r>
      <w:r>
        <w:rPr>
          <w:rFonts w:hint="eastAsia" w:ascii="仿宋" w:hAnsi="仿宋" w:eastAsia="仿宋" w:cs="仿宋"/>
          <w:b w:val="0"/>
          <w:bCs w:val="0"/>
          <w:sz w:val="28"/>
          <w:szCs w:val="28"/>
          <w:highlight w:val="none"/>
        </w:rPr>
        <w:t>年两次，分别在</w:t>
      </w:r>
      <w:r>
        <w:rPr>
          <w:rFonts w:hint="eastAsia" w:hAnsi="仿宋" w:cs="仿宋"/>
          <w:b w:val="0"/>
          <w:bCs w:val="0"/>
          <w:sz w:val="28"/>
          <w:szCs w:val="28"/>
          <w:highlight w:val="none"/>
          <w:lang w:val="en-US" w:eastAsia="zh-CN"/>
        </w:rPr>
        <w:t>6</w:t>
      </w:r>
      <w:r>
        <w:rPr>
          <w:rFonts w:hint="eastAsia" w:ascii="仿宋" w:hAnsi="仿宋" w:eastAsia="仿宋" w:cs="仿宋"/>
          <w:b w:val="0"/>
          <w:bCs w:val="0"/>
          <w:sz w:val="28"/>
          <w:szCs w:val="28"/>
          <w:highlight w:val="none"/>
          <w:lang w:val="en-US" w:eastAsia="zh-CN"/>
        </w:rPr>
        <w:t>月</w:t>
      </w:r>
      <w:r>
        <w:rPr>
          <w:rFonts w:hint="eastAsia" w:ascii="仿宋" w:hAnsi="仿宋" w:eastAsia="仿宋" w:cs="仿宋"/>
          <w:b w:val="0"/>
          <w:bCs w:val="0"/>
          <w:sz w:val="28"/>
          <w:szCs w:val="28"/>
          <w:highlight w:val="none"/>
        </w:rPr>
        <w:t>和</w:t>
      </w:r>
      <w:r>
        <w:rPr>
          <w:rFonts w:hint="eastAsia" w:ascii="仿宋" w:hAnsi="仿宋" w:eastAsia="仿宋" w:cs="仿宋"/>
          <w:b w:val="0"/>
          <w:bCs w:val="0"/>
          <w:sz w:val="28"/>
          <w:szCs w:val="28"/>
          <w:highlight w:val="none"/>
          <w:lang w:val="en-US" w:eastAsia="zh-CN"/>
        </w:rPr>
        <w:t>次年3月</w:t>
      </w:r>
      <w:r>
        <w:rPr>
          <w:rFonts w:hint="eastAsia" w:ascii="仿宋" w:hAnsi="仿宋" w:eastAsia="仿宋" w:cs="仿宋"/>
          <w:b w:val="0"/>
          <w:bCs w:val="0"/>
          <w:sz w:val="28"/>
          <w:szCs w:val="28"/>
          <w:highlight w:val="none"/>
        </w:rPr>
        <w:t>进行；设备维护应每年一次，宜结合检查情况</w:t>
      </w:r>
      <w:r>
        <w:rPr>
          <w:rFonts w:hint="eastAsia" w:ascii="仿宋" w:hAnsi="仿宋" w:eastAsia="仿宋" w:cs="仿宋"/>
          <w:b w:val="0"/>
          <w:bCs w:val="0"/>
          <w:sz w:val="28"/>
          <w:szCs w:val="28"/>
          <w:highlight w:val="none"/>
          <w:lang w:val="en-US" w:eastAsia="zh-CN"/>
        </w:rPr>
        <w:t>或根据发包人</w:t>
      </w:r>
      <w:r>
        <w:rPr>
          <w:rFonts w:hint="eastAsia" w:ascii="仿宋" w:hAnsi="仿宋" w:eastAsia="仿宋" w:cs="仿宋"/>
          <w:b w:val="0"/>
          <w:bCs w:val="0"/>
          <w:sz w:val="28"/>
          <w:szCs w:val="28"/>
          <w:highlight w:val="none"/>
        </w:rPr>
        <w:t>实施。维护中不能解决的问题，应进行检修。</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发包人负责日常检查。承包人负责定期检查</w:t>
      </w:r>
      <w:r>
        <w:rPr>
          <w:rFonts w:hint="eastAsia" w:ascii="仿宋" w:hAnsi="仿宋" w:eastAsia="仿宋" w:cs="仿宋"/>
          <w:b w:val="0"/>
          <w:bCs w:val="0"/>
          <w:sz w:val="28"/>
          <w:szCs w:val="28"/>
          <w:lang w:eastAsia="zh-CN"/>
        </w:rPr>
        <w:t>、检修及应急抢修</w:t>
      </w:r>
      <w:r>
        <w:rPr>
          <w:rFonts w:hint="eastAsia" w:ascii="仿宋" w:hAnsi="仿宋" w:eastAsia="仿宋" w:cs="仿宋"/>
          <w:b w:val="0"/>
          <w:bCs w:val="0"/>
          <w:sz w:val="28"/>
          <w:szCs w:val="28"/>
        </w:rPr>
        <w:t>，并认真填写工作记录，记录表格须经监理和发包人现场代表签字确认并加盖公章，形成明确的检查结论，以供检查验收；检查中发现的问题承包人应及时维护解决，如因承包人原因未及时维护、检修造成发包人损失的，由承包人赔偿发包人所有损失。维护中不能解决的问题，由承包人负责检修，</w:t>
      </w:r>
      <w:r>
        <w:rPr>
          <w:rFonts w:hint="eastAsia" w:ascii="仿宋" w:hAnsi="仿宋" w:eastAsia="仿宋" w:cs="仿宋"/>
          <w:b/>
          <w:bCs/>
          <w:sz w:val="28"/>
          <w:szCs w:val="28"/>
        </w:rPr>
        <w:t>检修所发生的</w:t>
      </w:r>
      <w:r>
        <w:rPr>
          <w:rFonts w:hint="eastAsia" w:ascii="仿宋" w:hAnsi="仿宋" w:eastAsia="仿宋" w:cs="仿宋"/>
          <w:b/>
          <w:bCs/>
          <w:sz w:val="28"/>
          <w:szCs w:val="28"/>
          <w:lang w:val="en-US" w:eastAsia="zh-CN"/>
        </w:rPr>
        <w:t>单个设备零件或材料</w:t>
      </w:r>
      <w:r>
        <w:rPr>
          <w:rFonts w:hint="eastAsia" w:ascii="仿宋" w:hAnsi="仿宋" w:eastAsia="仿宋" w:cs="仿宋"/>
          <w:b/>
          <w:bCs/>
          <w:sz w:val="28"/>
          <w:szCs w:val="28"/>
        </w:rPr>
        <w:t>费用伍佰元</w:t>
      </w:r>
      <w:r>
        <w:rPr>
          <w:rFonts w:hint="eastAsia" w:ascii="仿宋" w:hAnsi="仿宋" w:eastAsia="仿宋" w:cs="仿宋"/>
          <w:b/>
          <w:bCs/>
          <w:sz w:val="28"/>
          <w:szCs w:val="28"/>
          <w:lang w:val="en-US" w:eastAsia="zh-CN"/>
        </w:rPr>
        <w:t>以内的</w:t>
      </w:r>
      <w:r>
        <w:rPr>
          <w:rFonts w:hint="eastAsia" w:ascii="仿宋" w:hAnsi="仿宋" w:eastAsia="仿宋" w:cs="仿宋"/>
          <w:b/>
          <w:bCs/>
          <w:sz w:val="28"/>
          <w:szCs w:val="28"/>
        </w:rPr>
        <w:t>由承包人承担</w:t>
      </w:r>
      <w:r>
        <w:rPr>
          <w:rFonts w:hint="eastAsia" w:ascii="仿宋" w:hAnsi="仿宋" w:eastAsia="仿宋" w:cs="仿宋"/>
          <w:b/>
          <w:bCs/>
          <w:sz w:val="28"/>
          <w:szCs w:val="28"/>
          <w:lang w:eastAsia="zh-CN"/>
        </w:rPr>
        <w:t>，</w:t>
      </w:r>
      <w:r>
        <w:rPr>
          <w:rFonts w:hint="eastAsia" w:ascii="仿宋" w:hAnsi="仿宋" w:eastAsia="仿宋" w:cs="仿宋"/>
          <w:b/>
          <w:bCs/>
          <w:sz w:val="28"/>
          <w:szCs w:val="28"/>
        </w:rPr>
        <w:t>伍佰元</w:t>
      </w:r>
      <w:r>
        <w:rPr>
          <w:rFonts w:hint="eastAsia" w:ascii="仿宋" w:hAnsi="仿宋" w:eastAsia="仿宋" w:cs="仿宋"/>
          <w:b/>
          <w:bCs/>
          <w:sz w:val="28"/>
          <w:szCs w:val="28"/>
          <w:lang w:val="en-US" w:eastAsia="zh-CN"/>
        </w:rPr>
        <w:t>以上的</w:t>
      </w:r>
      <w:r>
        <w:rPr>
          <w:rFonts w:hint="eastAsia" w:ascii="仿宋" w:hAnsi="仿宋" w:eastAsia="仿宋" w:cs="仿宋"/>
          <w:b/>
          <w:bCs/>
          <w:sz w:val="28"/>
          <w:szCs w:val="28"/>
        </w:rPr>
        <w:t>由</w:t>
      </w:r>
      <w:r>
        <w:rPr>
          <w:rFonts w:hint="eastAsia" w:ascii="仿宋" w:hAnsi="仿宋" w:eastAsia="仿宋" w:cs="仿宋"/>
          <w:b/>
          <w:bCs/>
          <w:sz w:val="28"/>
          <w:szCs w:val="28"/>
          <w:lang w:val="en-US" w:eastAsia="zh-CN"/>
        </w:rPr>
        <w:t>发</w:t>
      </w:r>
      <w:r>
        <w:rPr>
          <w:rFonts w:hint="eastAsia" w:ascii="仿宋" w:hAnsi="仿宋" w:eastAsia="仿宋" w:cs="仿宋"/>
          <w:b/>
          <w:bCs/>
          <w:sz w:val="28"/>
          <w:szCs w:val="28"/>
        </w:rPr>
        <w:t>包人承担。</w:t>
      </w:r>
    </w:p>
    <w:p>
      <w:pPr>
        <w:pStyle w:val="9"/>
        <w:kinsoku w:val="0"/>
        <w:overflowPunct w:val="0"/>
        <w:spacing w:before="34"/>
        <w:ind w:left="0" w:leftChars="0" w:firstLine="0" w:firstLineChars="0"/>
        <w:jc w:val="both"/>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.2、闸门定期检查主要包含以下项目：</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1）门叶主横梁、边梁、顶梁、底梁、纵次梁、横次梁、吊耳、弧形闸门的支臂等主要受理构件有无变形、损伤，其焊缝有无开裂</w:t>
      </w:r>
      <w:r>
        <w:rPr>
          <w:rFonts w:hint="eastAsia" w:ascii="仿宋" w:hAnsi="仿宋" w:eastAsia="仿宋" w:cs="仿宋"/>
          <w:b w:val="0"/>
          <w:bCs w:val="0"/>
          <w:sz w:val="28"/>
          <w:szCs w:val="28"/>
          <w:lang w:val="en-US" w:eastAsia="zh-CN"/>
        </w:rPr>
        <w:t>脱焊</w:t>
      </w:r>
      <w:r>
        <w:rPr>
          <w:rFonts w:hint="eastAsia" w:ascii="仿宋" w:hAnsi="仿宋" w:eastAsia="仿宋" w:cs="仿宋"/>
          <w:b w:val="0"/>
          <w:bCs w:val="0"/>
          <w:sz w:val="28"/>
          <w:szCs w:val="28"/>
        </w:rPr>
        <w:t>现象。</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2）检查设备正向支承结构是否正常。平面定轮闸门检查滚轮外观有无裂纹、破损或严重磨损，支承结构有无变形、损伤，滚轮转动是否正常。平面滑动闸门检查滑块有无变形、损伤或脱落，滑块有无严重磨损。弧形闸门检查支铰有无变形、损伤，支铰运转是否正常，有无异常响声，润滑是否正常。</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3）检查设备反向支承结构和侧向支承结构有无变形、损伤或脱落，有无严重磨损。采用滚轮的，应检查滚轮转动是否正常。</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4）检查闸墩、底板、胸墙、弧形闸门牛腿等混凝土结构有无影响设备运行的剥蚀、淘空、裂纹等异常。</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5）检查底槛、主轨、反轨、门楣、止水座板、弧门铰座等埋件有无变形，损伤、脱落、焊缝开裂或其他影响设备运行的缺陷。</w:t>
      </w:r>
    </w:p>
    <w:p>
      <w:pPr>
        <w:pStyle w:val="9"/>
        <w:kinsoku w:val="0"/>
        <w:overflowPunct w:val="0"/>
        <w:spacing w:before="34"/>
        <w:ind w:left="0" w:leftChars="0" w:firstLine="0" w:firstLineChars="0"/>
        <w:jc w:val="both"/>
        <w:rPr>
          <w:rFonts w:hint="eastAsia" w:ascii="仿宋" w:hAnsi="仿宋" w:eastAsia="仿宋" w:cs="仿宋"/>
          <w:b/>
          <w:bCs/>
          <w:sz w:val="28"/>
          <w:szCs w:val="28"/>
        </w:rPr>
      </w:pPr>
      <w:r>
        <w:rPr>
          <w:rFonts w:hint="eastAsia" w:ascii="仿宋" w:hAnsi="仿宋" w:eastAsia="仿宋" w:cs="仿宋"/>
          <w:b w:val="0"/>
          <w:bCs w:val="0"/>
          <w:sz w:val="28"/>
          <w:szCs w:val="28"/>
        </w:rPr>
        <w:t>6）焊缝及热影响区有无撕裂，裂纹或其他异常。</w:t>
      </w:r>
    </w:p>
    <w:p>
      <w:pPr>
        <w:pStyle w:val="9"/>
        <w:kinsoku w:val="0"/>
        <w:overflowPunct w:val="0"/>
        <w:spacing w:before="34"/>
        <w:ind w:left="0" w:leftChars="0" w:firstLine="0" w:firstLineChars="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sz w:val="28"/>
          <w:szCs w:val="28"/>
        </w:rPr>
        <w:t>3、固定卷扬式启闭机定期检查主要包含以下项目：</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1）启闭机各零部件和构件是否有变形、损伤及开裂等异常情况。</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2）机架、吊板、连接轴等主要部件的防腐涂层是否完好。</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3）各部位连接螺栓有无松动、断裂、缺失情况。</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4）减速器油位是否正常，端面、密封面有无油液渗漏。</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5）减速器运行时有无异常响声、振动及发热情况。</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6）制动器工作是否灵活可靠，运行时有无打滑、焦糊和冒烟现象。各铰接点的润滑是否良好，紧固件有无松动，定位块有无位移。</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7）制动轮表面有无裂纹、划痕及表面退火现象。制动轮与摩擦片间隙及磨损量是否满足设计要求。</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8）滑轮是否转动灵活，轮缘及轮体有无裂纹，绳操的磨损量是否符合标准要求。</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9）联轴器的转动是否平稳，其中齿轮联轴器的齿套、键、销以及弹性联轴器的弹性垫圈等零件有无裂纹，变形、松动、脱落等情况。</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10）钢丝绳压板是否有有松动、脱落现象，各压板的紧固程度是否一致。</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11）卷筒、卷筒轴有无裂纹、变形，卷筒与开始齿轮的连接螺栓、定位销、抗剪套有无松动、错位、变形等情况。</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12）高度指示装置工作是否正常，联轴器等零件有无锈蚀、裂纹、变形、松动等情况。</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13）将大齿轮与小齿轮上润滑油清洗干净，并重新涂抹黄油，清洗时应观察齿轮齿面的磨损及锈蚀情况。</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15）检查减速器润滑油，发现不满足要求时应予更换。更换的新油要经过检查合格，不合格油液不得使用。注油设备、油孔、油道、油箱等要经过清洗后方可注入新油。</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16）如钢丝绳润滑油失效，应及时更换。更换时用钢丝刷刷去钢丝绳上污物，并用清洗剂清洗干净，将润滑油均匀涂抹在钢丝绳上。更换钢丝绳润滑油时应检查钢丝绳破坏或磨损情况。</w:t>
      </w:r>
    </w:p>
    <w:p>
      <w:pPr>
        <w:pStyle w:val="9"/>
        <w:kinsoku w:val="0"/>
        <w:overflowPunct w:val="0"/>
        <w:spacing w:before="34"/>
        <w:ind w:left="0" w:leftChars="0" w:firstLine="0" w:firstLineChars="0"/>
        <w:jc w:val="both"/>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4、螺杆式启闭机定期检查主要包含以下项目：</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1）机架防腐涂层是否完好，结构有无变形、裂纹现象。</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2）各部件连接螺栓有无松动、断裂、缺失情况。</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3）螺杆、螺母、蜗轮及轴承的润滑情况是否良好。</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4）机箱油封和结合面有无漏油情况。</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5）高度指示装置是否正常，上下行程开关动作是否灵活可靠。</w:t>
      </w:r>
    </w:p>
    <w:p>
      <w:pPr>
        <w:pStyle w:val="9"/>
        <w:kinsoku w:val="0"/>
        <w:overflowPunct w:val="0"/>
        <w:spacing w:before="34"/>
        <w:ind w:left="0" w:leftChars="0" w:firstLine="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6）定期更换启闭机配套润滑油（一年1次）。</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5、电器控制定期检查主要包含以下项目：</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1）各种供电线路布置是否规范，有无龟裂、绝缘层脱落、折断等现象。</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2）电控柜柜体内线路接头、元器件插接有无松动、烧灼粘连等现象。</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3）电动机绕组绝缘电阻值是否满足绝缘等级的要求。</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4）各种电器设备接地是否可靠，防雷设施是否完好。</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6、设备经过定期检查后需报修的项目</w:t>
      </w:r>
    </w:p>
    <w:p>
      <w:pPr>
        <w:pStyle w:val="9"/>
        <w:kinsoku w:val="0"/>
        <w:overflowPunct w:val="0"/>
        <w:spacing w:before="34"/>
        <w:ind w:left="0" w:leftChars="0" w:firstLine="0" w:firstLineChars="0"/>
        <w:jc w:val="both"/>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、在闸门定期检查或维护过程中，发现设备有下述状况时应检修：</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1）设备有运行故障，正常维护不能使其恢复。</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2）埋件变形、损伤或脱落。</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3）迎水面有异物撞击导致的明显变形。</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4）设备主要受力构件有变形或损伤。</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5）焊缝有撕裂、裂纹或其他异常。</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6）设备运转部件经维修后仍不能正常运转。</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7）设备正向支承有变形、损伤或开裂。</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8）设备反向支承有变形、损伤或脱落。</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9）设备侧向支承有变形、损伤或脱落。</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10）闸门更换止水橡皮后漏水仍然较严重。</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11）设备防腐涂层大面积失效。</w:t>
      </w:r>
    </w:p>
    <w:p>
      <w:pPr>
        <w:pStyle w:val="9"/>
        <w:kinsoku w:val="0"/>
        <w:overflowPunct w:val="0"/>
        <w:spacing w:before="34"/>
        <w:ind w:left="0" w:leftChars="0" w:firstLine="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12）螺杆弯曲或变形不能正常使用。</w:t>
      </w:r>
    </w:p>
    <w:p>
      <w:pPr>
        <w:pStyle w:val="9"/>
        <w:kinsoku w:val="0"/>
        <w:overflowPunct w:val="0"/>
        <w:spacing w:before="34"/>
        <w:ind w:left="0" w:leftChars="0" w:firstLine="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13）发生其他故障及存在安全隐患等情形。</w:t>
      </w:r>
    </w:p>
    <w:p>
      <w:pPr>
        <w:pStyle w:val="9"/>
        <w:kinsoku w:val="0"/>
        <w:overflowPunct w:val="0"/>
        <w:spacing w:before="34"/>
        <w:ind w:left="0" w:leftChars="0" w:firstLine="0" w:firstLineChars="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、在固定卷扬式启闭机定期检查或维护工作中，发现设备有下述状况时可应检修：</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1）设备有运行故障，正常的维护保养不能使其恢复。</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2）起升机构溜钩，经维护调整仍无法解决。</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3）滑轮组不转动，钢丝绳在滑轮内打滑严重，经维护仍无法解决。</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4）滑轮、齿轮联轴器、卷筒、制动器、传动齿轮等部件的报废按照GB6067.1的规定执行。</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5）钢丝绳出现断丝、磨损、腐蚀、变形、折弯等情况时，应按照GB/T5972的规定执行进行检修或更换。</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6）减速器严重漏油，经维护未有效解决。</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7）减速器有异响。</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电机噪声超过85dB或发热严重，经维护仍无法达到性能要求。</w:t>
      </w:r>
    </w:p>
    <w:p>
      <w:pPr>
        <w:pStyle w:val="9"/>
        <w:kinsoku w:val="0"/>
        <w:overflowPunct w:val="0"/>
        <w:spacing w:before="34"/>
        <w:ind w:left="0" w:leftChars="0" w:firstLine="0" w:firstLineChars="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8）开式齿轮有严重磨损或断齿。</w:t>
      </w:r>
    </w:p>
    <w:p>
      <w:pPr>
        <w:pStyle w:val="9"/>
        <w:kinsoku w:val="0"/>
        <w:overflowPunct w:val="0"/>
        <w:spacing w:before="34"/>
        <w:ind w:left="0" w:leftChars="0" w:firstLine="0" w:firstLineChars="0"/>
        <w:jc w:val="both"/>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、在螺杆式启闭机定期检查或维护工作中，发现设备有下述状况时应检修：</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1）启闭机部件磨损和锈蚀维护后不能满足设计要求。</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2）螺杆和螺母的磨损情况具体按CB/T3534的规定执行。</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3）螺杆的直线度不满足SL381的规定应校正。</w:t>
      </w:r>
    </w:p>
    <w:p>
      <w:pPr>
        <w:pStyle w:val="9"/>
        <w:kinsoku w:val="0"/>
        <w:overflowPunct w:val="0"/>
        <w:spacing w:before="34"/>
        <w:ind w:left="0" w:leftChars="0" w:firstLine="0" w:firstLineChars="0"/>
        <w:jc w:val="both"/>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、在电器设备定期检查或维护工作中，发现设备有下述状况时应检修：</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1）电气系统异常发热、焦糊冒烟。</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2）手动机构应动作灵活，无</w:t>
      </w:r>
      <w:r>
        <w:rPr>
          <w:rFonts w:hint="eastAsia" w:ascii="仿宋" w:hAnsi="仿宋" w:eastAsia="仿宋" w:cs="仿宋"/>
          <w:b w:val="0"/>
          <w:bCs w:val="0"/>
          <w:sz w:val="28"/>
          <w:szCs w:val="28"/>
          <w:lang w:val="en-US" w:eastAsia="zh-CN"/>
        </w:rPr>
        <w:t>卡阻</w:t>
      </w:r>
      <w:r>
        <w:rPr>
          <w:rFonts w:hint="eastAsia" w:ascii="仿宋" w:hAnsi="仿宋" w:eastAsia="仿宋" w:cs="仿宋"/>
          <w:b w:val="0"/>
          <w:bCs w:val="0"/>
          <w:sz w:val="28"/>
          <w:szCs w:val="28"/>
        </w:rPr>
        <w:t>现象，各控制开关、按键的挡位手感分明，能准确定位，出现故障应检修。</w:t>
      </w:r>
    </w:p>
    <w:p>
      <w:pPr>
        <w:pStyle w:val="9"/>
        <w:kinsoku w:val="0"/>
        <w:overflowPunct w:val="0"/>
        <w:spacing w:before="34"/>
        <w:ind w:left="0" w:leftChars="0" w:firstLine="0" w:firstLineChars="0"/>
        <w:jc w:val="both"/>
        <w:rPr>
          <w:rFonts w:hint="eastAsia"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润滑油</w:t>
      </w:r>
      <w:r>
        <w:rPr>
          <w:rFonts w:hint="eastAsia" w:ascii="仿宋" w:hAnsi="仿宋" w:eastAsia="仿宋" w:cs="仿宋"/>
          <w:b/>
          <w:bCs/>
          <w:sz w:val="28"/>
          <w:szCs w:val="28"/>
        </w:rPr>
        <w:t>更换主要包含以下项目</w:t>
      </w:r>
      <w:r>
        <w:rPr>
          <w:rFonts w:hint="eastAsia" w:ascii="仿宋" w:hAnsi="仿宋" w:eastAsia="仿宋" w:cs="仿宋"/>
          <w:b/>
          <w:bCs/>
          <w:sz w:val="28"/>
          <w:szCs w:val="28"/>
          <w:lang w:eastAsia="zh-CN"/>
        </w:rPr>
        <w:t>：</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1）将</w:t>
      </w:r>
      <w:r>
        <w:rPr>
          <w:rFonts w:hint="eastAsia" w:ascii="仿宋" w:hAnsi="仿宋" w:eastAsia="仿宋" w:cs="仿宋"/>
          <w:b w:val="0"/>
          <w:bCs w:val="0"/>
          <w:sz w:val="28"/>
          <w:szCs w:val="28"/>
          <w:lang w:val="en-US" w:eastAsia="zh-CN"/>
        </w:rPr>
        <w:t>全部</w:t>
      </w:r>
      <w:r>
        <w:rPr>
          <w:rFonts w:hint="eastAsia" w:ascii="仿宋" w:hAnsi="仿宋" w:eastAsia="仿宋" w:cs="仿宋"/>
          <w:b w:val="0"/>
          <w:bCs w:val="0"/>
          <w:sz w:val="28"/>
          <w:szCs w:val="28"/>
        </w:rPr>
        <w:t>螺杆式启闭机内原有润滑脂油清理干净，更换新的启闭机专用润滑脂，保证启闭机正常运行。</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2）将</w:t>
      </w:r>
      <w:r>
        <w:rPr>
          <w:rFonts w:hint="eastAsia" w:ascii="仿宋" w:hAnsi="仿宋" w:eastAsia="仿宋" w:cs="仿宋"/>
          <w:b w:val="0"/>
          <w:bCs w:val="0"/>
          <w:sz w:val="28"/>
          <w:szCs w:val="28"/>
          <w:lang w:eastAsia="zh-CN"/>
        </w:rPr>
        <w:t>全部</w:t>
      </w:r>
      <w:r>
        <w:rPr>
          <w:rFonts w:hint="eastAsia" w:ascii="仿宋" w:hAnsi="仿宋" w:eastAsia="仿宋" w:cs="仿宋"/>
          <w:b w:val="0"/>
          <w:bCs w:val="0"/>
          <w:sz w:val="28"/>
          <w:szCs w:val="28"/>
        </w:rPr>
        <w:t>卷扬式启闭机减速机内原有润滑油清理干净，更换新的启闭机减速机专用润滑油，更换的新油要经过检查合格，不合格油液不得使用。注油设备、油孔、油道、油箱等要经过清洗后方可注入新油。保证启闭机正常运行。</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3）螺杆润滑油更换。更换时用钢丝刷刷去螺杆上污物，并用清洗剂清洗干净，将润滑油均匀涂抹在螺杆上。更换螺杆润滑油时应检查螺杆破坏或磨损情况。</w:t>
      </w:r>
    </w:p>
    <w:p>
      <w:pPr>
        <w:pStyle w:val="9"/>
        <w:kinsoku w:val="0"/>
        <w:overflowPunct w:val="0"/>
        <w:spacing w:before="34"/>
        <w:ind w:left="0" w:leftChars="0"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4）卷扬式启闭机钢丝绳润滑油更换。更换时用钢丝刷刷去钢丝绳上污物，并用清洗剂清洗干净，将润滑油均匀涂抹在钢丝绳上。更换钢丝绳润滑油时应检查钢丝绳破坏或磨损情况。</w:t>
      </w:r>
    </w:p>
    <w:p>
      <w:pPr>
        <w:pStyle w:val="9"/>
        <w:kinsoku w:val="0"/>
        <w:overflowPunct w:val="0"/>
        <w:spacing w:before="34"/>
        <w:ind w:left="0" w:leftChars="0" w:firstLine="0" w:firstLineChars="0"/>
        <w:jc w:val="both"/>
        <w:rPr>
          <w:rFonts w:hint="eastAsia" w:ascii="仿宋" w:hAnsi="仿宋" w:eastAsia="仿宋" w:cs="仿宋"/>
          <w:b/>
          <w:bCs/>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、应急检修</w:t>
      </w:r>
    </w:p>
    <w:p>
      <w:pPr>
        <w:pStyle w:val="9"/>
        <w:kinsoku w:val="0"/>
        <w:overflowPunct w:val="0"/>
        <w:spacing w:before="34"/>
        <w:ind w:left="0" w:leftChars="0" w:firstLine="560" w:firstLineChars="0"/>
        <w:jc w:val="both"/>
        <w:rPr>
          <w:rFonts w:hint="eastAsia" w:ascii="仿宋" w:hAnsi="仿宋" w:eastAsia="仿宋" w:cs="仿宋"/>
          <w:b/>
          <w:bCs/>
          <w:sz w:val="28"/>
          <w:szCs w:val="28"/>
          <w:lang w:val="en-US" w:eastAsia="zh-CN"/>
        </w:rPr>
      </w:pPr>
      <w:r>
        <w:rPr>
          <w:rFonts w:hint="eastAsia" w:ascii="仿宋" w:hAnsi="仿宋" w:eastAsia="仿宋" w:cs="仿宋"/>
          <w:b w:val="0"/>
          <w:bCs w:val="0"/>
          <w:sz w:val="28"/>
          <w:szCs w:val="28"/>
        </w:rPr>
        <w:t>承包人除定期检查和及时维护、检修外，还应承担应急检修任务，接到应急检修通知后</w:t>
      </w:r>
      <w:r>
        <w:rPr>
          <w:rFonts w:hint="eastAsia" w:ascii="仿宋" w:hAnsi="仿宋" w:eastAsia="仿宋" w:cs="仿宋"/>
          <w:b w:val="0"/>
          <w:bCs w:val="0"/>
          <w:sz w:val="28"/>
          <w:szCs w:val="28"/>
          <w:lang w:val="en-US" w:eastAsia="zh-CN"/>
        </w:rPr>
        <w:t>两小时内</w:t>
      </w:r>
      <w:r>
        <w:rPr>
          <w:rFonts w:hint="eastAsia" w:ascii="仿宋" w:hAnsi="仿宋" w:eastAsia="仿宋" w:cs="仿宋"/>
          <w:b w:val="0"/>
          <w:bCs w:val="0"/>
          <w:sz w:val="28"/>
          <w:szCs w:val="28"/>
        </w:rPr>
        <w:t>赶赴现场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并在三日内完成检修工作，保证启闭机正常运行。</w:t>
      </w:r>
    </w:p>
    <w:p>
      <w:pPr>
        <w:pStyle w:val="9"/>
        <w:kinsoku w:val="0"/>
        <w:overflowPunct w:val="0"/>
        <w:spacing w:before="34"/>
        <w:ind w:left="0" w:leftChars="0" w:firstLine="0" w:firstLineChars="0"/>
        <w:jc w:val="both"/>
        <w:rPr>
          <w:rFonts w:hint="eastAsia" w:ascii="仿宋" w:hAnsi="仿宋" w:eastAsia="仿宋" w:cs="仿宋"/>
          <w:b/>
          <w:bCs/>
          <w:sz w:val="28"/>
          <w:szCs w:val="28"/>
        </w:rPr>
      </w:pPr>
      <w:r>
        <w:rPr>
          <w:rFonts w:hint="eastAsia" w:hAnsi="仿宋" w:cs="仿宋"/>
          <w:b/>
          <w:bCs/>
          <w:sz w:val="28"/>
          <w:szCs w:val="28"/>
          <w:lang w:val="en-US" w:eastAsia="zh-CN"/>
        </w:rPr>
        <w:t>八</w:t>
      </w:r>
      <w:r>
        <w:rPr>
          <w:rFonts w:hint="eastAsia" w:ascii="仿宋" w:hAnsi="仿宋" w:eastAsia="仿宋" w:cs="仿宋"/>
          <w:b/>
          <w:bCs/>
          <w:sz w:val="28"/>
          <w:szCs w:val="28"/>
        </w:rPr>
        <w:t>、其他</w:t>
      </w:r>
    </w:p>
    <w:p>
      <w:pPr>
        <w:pStyle w:val="9"/>
        <w:kinsoku w:val="0"/>
        <w:overflowPunct w:val="0"/>
        <w:spacing w:before="34"/>
        <w:ind w:left="0" w:leftChars="0" w:firstLine="0" w:firstLineChars="0"/>
        <w:jc w:val="both"/>
        <w:rPr>
          <w:rFonts w:hint="eastAsia" w:ascii="仿宋" w:hAnsi="仿宋" w:eastAsia="仿宋" w:cs="仿宋"/>
          <w:b/>
          <w:bCs/>
          <w:sz w:val="28"/>
          <w:szCs w:val="28"/>
          <w:highlight w:val="none"/>
        </w:rPr>
      </w:pPr>
      <w:r>
        <w:rPr>
          <w:rFonts w:hint="eastAsia" w:ascii="仿宋" w:hAnsi="仿宋" w:eastAsia="仿宋" w:cs="仿宋"/>
          <w:b/>
          <w:bCs/>
          <w:sz w:val="28"/>
          <w:szCs w:val="28"/>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val="0"/>
          <w:bCs w:val="0"/>
          <w:sz w:val="28"/>
          <w:szCs w:val="28"/>
          <w:lang w:val="en-US" w:eastAsia="zh-CN"/>
        </w:rPr>
        <w:t>其他未尽事项参考《水工钢闸门和启闭机安全运行规程》（SL722-2015）执行。</w:t>
      </w:r>
    </w:p>
    <w:p>
      <w:pPr>
        <w:pStyle w:val="9"/>
        <w:kinsoku w:val="0"/>
        <w:overflowPunct w:val="0"/>
        <w:spacing w:before="34"/>
        <w:ind w:left="0" w:leftChars="0" w:firstLine="0" w:firstLineChars="0"/>
        <w:jc w:val="both"/>
        <w:rPr>
          <w:rFonts w:hint="eastAsia" w:ascii="仿宋" w:hAnsi="仿宋" w:eastAsia="仿宋" w:cs="仿宋"/>
          <w:b/>
          <w:bCs/>
          <w:sz w:val="28"/>
          <w:szCs w:val="28"/>
        </w:rPr>
      </w:pPr>
      <w:r>
        <w:rPr>
          <w:rFonts w:hint="eastAsia" w:hAnsi="仿宋" w:cs="仿宋"/>
          <w:b/>
          <w:bCs/>
          <w:sz w:val="28"/>
          <w:szCs w:val="28"/>
          <w:lang w:val="en-US" w:eastAsia="zh-CN"/>
        </w:rPr>
        <w:t>九</w:t>
      </w:r>
      <w:r>
        <w:rPr>
          <w:rFonts w:hint="eastAsia" w:ascii="仿宋" w:hAnsi="仿宋" w:eastAsia="仿宋" w:cs="仿宋"/>
          <w:b/>
          <w:bCs/>
          <w:sz w:val="28"/>
          <w:szCs w:val="28"/>
        </w:rPr>
        <w:t>、付款方式</w:t>
      </w:r>
    </w:p>
    <w:p>
      <w:pPr>
        <w:pStyle w:val="9"/>
        <w:kinsoku w:val="0"/>
        <w:overflowPunct w:val="0"/>
        <w:spacing w:before="34"/>
        <w:ind w:left="0" w:leftChars="0" w:firstLine="0" w:firstLineChars="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    1）水闸日常维修养护部分分3次支付，第一次闸门定期检修完成后支付该单项工程合同价款的30%；当年年底支付至该单项工程合同价款的60%；第二次闸门定期检修完成并通过完工验收后支付至该单项工程合同价款的97%；留3%作为质量保证金，质保期1年，质保期内无质量问题且经再次验收合格后支付质量保证金。</w:t>
      </w:r>
    </w:p>
    <w:p>
      <w:pPr>
        <w:pStyle w:val="9"/>
        <w:kinsoku w:val="0"/>
        <w:overflowPunct w:val="0"/>
        <w:spacing w:before="34"/>
        <w:ind w:left="0" w:leftChars="0" w:firstLine="0" w:firstLineChars="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    2）其他维修养护部分按工程进度付款，单项工程完工验收合格后工程款累计支付金额达到单项工程合同价款的90%；完成竣工结算审核后工程款累计支付金额达到审定金额的97%；留审定金额的3%作为质量保证金，质保期1年，质保期内无质量问题且经再次验收合格后支付质量保证金。</w:t>
      </w: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p>
    <w:p>
      <w:pPr>
        <w:pStyle w:val="9"/>
        <w:kinsoku w:val="0"/>
        <w:overflowPunct w:val="0"/>
        <w:spacing w:before="34"/>
        <w:ind w:left="0" w:leftChars="0" w:firstLine="0" w:firstLineChars="0"/>
        <w:jc w:val="both"/>
        <w:rPr>
          <w:rFonts w:hint="eastAsia" w:ascii="仿宋" w:hAnsi="仿宋" w:eastAsia="仿宋" w:cs="仿宋"/>
          <w:b/>
          <w:bCs/>
          <w:sz w:val="28"/>
          <w:szCs w:val="28"/>
          <w:lang w:val="en-US" w:eastAsia="zh-CN"/>
        </w:rPr>
      </w:pPr>
    </w:p>
    <w:p>
      <w:pPr>
        <w:pStyle w:val="9"/>
        <w:numPr>
          <w:ilvl w:val="0"/>
          <w:numId w:val="0"/>
        </w:numPr>
        <w:kinsoku w:val="0"/>
        <w:overflowPunct w:val="0"/>
        <w:spacing w:before="34"/>
        <w:ind w:leftChars="0"/>
        <w:jc w:val="both"/>
        <w:rPr>
          <w:rFonts w:hint="eastAsia" w:ascii="仿宋" w:hAnsi="仿宋" w:eastAsia="仿宋" w:cs="仿宋"/>
          <w:b/>
          <w:bCs/>
          <w:sz w:val="28"/>
          <w:szCs w:val="28"/>
          <w:lang w:val="en-US" w:eastAsia="zh-CN"/>
        </w:rPr>
      </w:pPr>
      <w:r>
        <w:rPr>
          <w:rFonts w:hint="eastAsia" w:hAnsi="仿宋" w:cs="仿宋"/>
          <w:b/>
          <w:bCs/>
          <w:sz w:val="28"/>
          <w:szCs w:val="28"/>
          <w:lang w:val="en-US" w:eastAsia="zh-CN"/>
        </w:rPr>
        <w:t>十、</w:t>
      </w:r>
      <w:r>
        <w:rPr>
          <w:rFonts w:hint="eastAsia" w:ascii="仿宋" w:hAnsi="仿宋" w:eastAsia="仿宋" w:cs="仿宋"/>
          <w:b/>
          <w:bCs/>
          <w:sz w:val="28"/>
          <w:szCs w:val="28"/>
          <w:lang w:val="en-US" w:eastAsia="zh-CN"/>
        </w:rPr>
        <w:t>月总结维护记录作为价款结算依据。</w:t>
      </w:r>
    </w:p>
    <w:p>
      <w:pPr>
        <w:pStyle w:val="9"/>
        <w:numPr>
          <w:ilvl w:val="0"/>
          <w:numId w:val="0"/>
        </w:numPr>
        <w:kinsoku w:val="0"/>
        <w:overflowPunct w:val="0"/>
        <w:spacing w:before="34"/>
        <w:ind w:leftChars="0"/>
        <w:jc w:val="both"/>
        <w:rPr>
          <w:rFonts w:hint="eastAsia" w:ascii="仿宋" w:hAnsi="仿宋" w:eastAsia="仿宋" w:cs="仿宋"/>
          <w:b/>
          <w:bCs/>
          <w:sz w:val="28"/>
          <w:szCs w:val="28"/>
          <w:lang w:val="en-US" w:eastAsia="zh-CN"/>
        </w:rPr>
      </w:pPr>
    </w:p>
    <w:p>
      <w:pPr>
        <w:jc w:val="cente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螺杆式启闭机定期检查记录表</w:t>
      </w:r>
    </w:p>
    <w:p>
      <w:pPr>
        <w:rPr>
          <w:rFonts w:hint="eastAsia" w:ascii="仿宋" w:hAnsi="仿宋" w:eastAsia="仿宋" w:cs="仿宋"/>
        </w:rPr>
      </w:pPr>
    </w:p>
    <w:tbl>
      <w:tblPr>
        <w:tblStyle w:val="15"/>
        <w:tblW w:w="8537" w:type="dxa"/>
        <w:jc w:val="center"/>
        <w:shd w:val="clear" w:color="auto" w:fill="auto"/>
        <w:tblLayout w:type="fixed"/>
        <w:tblCellMar>
          <w:top w:w="0" w:type="dxa"/>
          <w:left w:w="0" w:type="dxa"/>
          <w:bottom w:w="0" w:type="dxa"/>
          <w:right w:w="0" w:type="dxa"/>
        </w:tblCellMar>
      </w:tblPr>
      <w:tblGrid>
        <w:gridCol w:w="948"/>
        <w:gridCol w:w="949"/>
        <w:gridCol w:w="948"/>
        <w:gridCol w:w="949"/>
        <w:gridCol w:w="948"/>
        <w:gridCol w:w="1346"/>
        <w:gridCol w:w="998"/>
        <w:gridCol w:w="502"/>
        <w:gridCol w:w="949"/>
      </w:tblGrid>
      <w:tr>
        <w:tblPrEx>
          <w:shd w:val="clear" w:color="auto" w:fill="auto"/>
          <w:tblCellMar>
            <w:top w:w="0" w:type="dxa"/>
            <w:left w:w="0" w:type="dxa"/>
            <w:bottom w:w="0" w:type="dxa"/>
            <w:right w:w="0" w:type="dxa"/>
          </w:tblCellMar>
        </w:tblPrEx>
        <w:trPr>
          <w:trHeight w:val="108" w:hRule="atLeast"/>
          <w:jc w:val="center"/>
        </w:trPr>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闸站名称</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设备名称</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设备型号</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108" w:hRule="atLeast"/>
          <w:jc w:val="center"/>
        </w:trPr>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维护日期</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监理签字</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维护单位</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108"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序号</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维护项目</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质量标准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维护记录</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结论</w:t>
            </w:r>
          </w:p>
        </w:tc>
      </w:tr>
      <w:tr>
        <w:tblPrEx>
          <w:shd w:val="clear" w:color="auto" w:fill="auto"/>
          <w:tblCellMar>
            <w:top w:w="0" w:type="dxa"/>
            <w:left w:w="0" w:type="dxa"/>
            <w:bottom w:w="0" w:type="dxa"/>
            <w:right w:w="0" w:type="dxa"/>
          </w:tblCellMar>
        </w:tblPrEx>
        <w:trPr>
          <w:trHeight w:val="242" w:hRule="atLeast"/>
          <w:jc w:val="center"/>
        </w:trPr>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8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设备检查</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供电电缆、电动机电缆等应无龟裂、绝缘层脱落、折断等缺陷。</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194" w:hRule="atLeast"/>
          <w:jc w:val="center"/>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螺母、螺杆及涡轮、蜗杆外观应无异常。</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108"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设备润滑</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传动系统润滑应正常。</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108" w:hRule="atLeast"/>
          <w:jc w:val="center"/>
        </w:trPr>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8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设备测试</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各活动部件的间隙应正常。</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194" w:hRule="atLeast"/>
          <w:jc w:val="center"/>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电动机绝缘电阻不得小于0.5MΩ</w:t>
            </w:r>
            <w:r>
              <w:rPr>
                <w:rStyle w:val="29"/>
                <w:rFonts w:hint="eastAsia" w:ascii="仿宋" w:hAnsi="仿宋" w:eastAsia="仿宋" w:cs="仿宋"/>
                <w:lang w:val="en-US" w:eastAsia="zh-CN" w:bidi="ar"/>
              </w:rPr>
              <w:t>。</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194" w:hRule="atLeast"/>
          <w:jc w:val="center"/>
        </w:trPr>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8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试运行</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螺杆运行应正常，无跳动、弯曲现象。</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108" w:hRule="atLeast"/>
          <w:jc w:val="center"/>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闸门应无偏斜和抖动现象。</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108" w:hRule="atLeast"/>
          <w:jc w:val="center"/>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高度指示应正常。</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108" w:hRule="atLeast"/>
          <w:jc w:val="center"/>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电动机应无异常温升。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285" w:hRule="atLeast"/>
          <w:jc w:val="center"/>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电压应在361V-399V之间，三相电流不平衡度应不超过10%</w:t>
            </w:r>
            <w:r>
              <w:rPr>
                <w:rStyle w:val="30"/>
                <w:rFonts w:hint="eastAsia" w:ascii="仿宋" w:hAnsi="仿宋" w:eastAsia="仿宋" w:cs="仿宋"/>
                <w:lang w:val="en-US" w:eastAsia="zh-CN" w:bidi="ar"/>
              </w:rPr>
              <w:t>。</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98" w:hRule="atLeast"/>
          <w:jc w:val="center"/>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启闭机应无异常响声、振动。</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98" w:hRule="atLeast"/>
          <w:jc w:val="center"/>
        </w:trPr>
        <w:tc>
          <w:tcPr>
            <w:tcW w:w="8537"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发现的缺陷及缺陷处理意见：</w:t>
            </w:r>
          </w:p>
        </w:tc>
      </w:tr>
      <w:tr>
        <w:tblPrEx>
          <w:shd w:val="clear" w:color="auto" w:fill="auto"/>
          <w:tblCellMar>
            <w:top w:w="0" w:type="dxa"/>
            <w:left w:w="0" w:type="dxa"/>
            <w:bottom w:w="0" w:type="dxa"/>
            <w:right w:w="0" w:type="dxa"/>
          </w:tblCellMar>
        </w:tblPrEx>
        <w:trPr>
          <w:trHeight w:val="312" w:hRule="atLeast"/>
          <w:jc w:val="center"/>
        </w:trPr>
        <w:tc>
          <w:tcPr>
            <w:tcW w:w="8537"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维护结论：</w:t>
            </w:r>
          </w:p>
        </w:tc>
      </w:tr>
      <w:tr>
        <w:tblPrEx>
          <w:shd w:val="clear" w:color="auto" w:fill="auto"/>
          <w:tblCellMar>
            <w:top w:w="0" w:type="dxa"/>
            <w:left w:w="0" w:type="dxa"/>
            <w:bottom w:w="0" w:type="dxa"/>
            <w:right w:w="0" w:type="dxa"/>
          </w:tblCellMar>
        </w:tblPrEx>
        <w:trPr>
          <w:trHeight w:val="312" w:hRule="atLeast"/>
          <w:jc w:val="center"/>
        </w:trPr>
        <w:tc>
          <w:tcPr>
            <w:tcW w:w="8537"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12" w:hRule="atLeast"/>
          <w:jc w:val="center"/>
        </w:trPr>
        <w:tc>
          <w:tcPr>
            <w:tcW w:w="8537"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312" w:hRule="atLeast"/>
          <w:jc w:val="center"/>
        </w:trPr>
        <w:tc>
          <w:tcPr>
            <w:tcW w:w="8537"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312" w:hRule="atLeast"/>
          <w:jc w:val="center"/>
        </w:trPr>
        <w:tc>
          <w:tcPr>
            <w:tcW w:w="8537"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97" w:hRule="atLeast"/>
          <w:jc w:val="center"/>
        </w:trPr>
        <w:tc>
          <w:tcPr>
            <w:tcW w:w="8537"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水闸管理工作人员签字：</w:t>
            </w:r>
          </w:p>
        </w:tc>
      </w:tr>
    </w:tbl>
    <w:p>
      <w:pPr>
        <w:rPr>
          <w:rFonts w:hint="eastAsia" w:ascii="仿宋" w:hAnsi="仿宋" w:eastAsia="仿宋" w:cs="仿宋"/>
        </w:rPr>
      </w:pPr>
    </w:p>
    <w:p>
      <w:pPr>
        <w:jc w:val="center"/>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jc w:val="center"/>
        <w:rPr>
          <w:rFonts w:hint="eastAsia" w:ascii="仿宋" w:hAnsi="仿宋" w:eastAsia="仿宋" w:cs="仿宋"/>
          <w:color w:val="auto"/>
          <w:sz w:val="28"/>
          <w:szCs w:val="32"/>
        </w:rPr>
      </w:pPr>
      <w:r>
        <w:rPr>
          <w:rFonts w:hint="eastAsia" w:ascii="仿宋" w:hAnsi="仿宋" w:eastAsia="仿宋" w:cs="仿宋"/>
          <w:color w:val="auto"/>
          <w:sz w:val="28"/>
          <w:szCs w:val="32"/>
          <w:lang w:eastAsia="zh-CN"/>
        </w:rPr>
        <w:t>（</w:t>
      </w:r>
      <w:r>
        <w:rPr>
          <w:rFonts w:hint="eastAsia" w:ascii="仿宋" w:hAnsi="仿宋" w:eastAsia="仿宋" w:cs="仿宋"/>
          <w:color w:val="auto"/>
          <w:sz w:val="28"/>
          <w:szCs w:val="32"/>
          <w:lang w:val="en-US" w:eastAsia="zh-CN"/>
        </w:rPr>
        <w:t>二</w:t>
      </w:r>
      <w:r>
        <w:rPr>
          <w:rFonts w:hint="eastAsia" w:ascii="仿宋" w:hAnsi="仿宋" w:eastAsia="仿宋" w:cs="仿宋"/>
          <w:color w:val="auto"/>
          <w:sz w:val="28"/>
          <w:szCs w:val="32"/>
          <w:lang w:eastAsia="zh-CN"/>
        </w:rPr>
        <w:t>）</w:t>
      </w:r>
      <w:r>
        <w:rPr>
          <w:rFonts w:hint="eastAsia" w:ascii="仿宋" w:hAnsi="仿宋" w:eastAsia="仿宋" w:cs="仿宋"/>
          <w:color w:val="auto"/>
          <w:sz w:val="28"/>
          <w:szCs w:val="32"/>
        </w:rPr>
        <w:t>固定卷扬式启闭机设备定期检查记录表</w:t>
      </w:r>
    </w:p>
    <w:tbl>
      <w:tblPr>
        <w:tblStyle w:val="15"/>
        <w:tblW w:w="9273" w:type="dxa"/>
        <w:jc w:val="center"/>
        <w:shd w:val="clear" w:color="auto" w:fill="auto"/>
        <w:tblLayout w:type="fixed"/>
        <w:tblCellMar>
          <w:top w:w="0" w:type="dxa"/>
          <w:left w:w="0" w:type="dxa"/>
          <w:bottom w:w="0" w:type="dxa"/>
          <w:right w:w="0" w:type="dxa"/>
        </w:tblCellMar>
      </w:tblPr>
      <w:tblGrid>
        <w:gridCol w:w="960"/>
        <w:gridCol w:w="960"/>
        <w:gridCol w:w="648"/>
        <w:gridCol w:w="1272"/>
        <w:gridCol w:w="960"/>
        <w:gridCol w:w="1593"/>
        <w:gridCol w:w="960"/>
        <w:gridCol w:w="348"/>
        <w:gridCol w:w="1572"/>
      </w:tblGrid>
      <w:tr>
        <w:tblPrEx>
          <w:tblCellMar>
            <w:top w:w="0" w:type="dxa"/>
            <w:left w:w="0" w:type="dxa"/>
            <w:bottom w:w="0" w:type="dxa"/>
            <w:right w:w="0" w:type="dxa"/>
          </w:tblCellMar>
        </w:tblPrEx>
        <w:trPr>
          <w:trHeight w:val="318" w:hRule="atLeast"/>
          <w:jc w:val="center"/>
        </w:trPr>
        <w:tc>
          <w:tcPr>
            <w:tcW w:w="1920"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闸站名称</w:t>
            </w:r>
          </w:p>
        </w:tc>
        <w:tc>
          <w:tcPr>
            <w:tcW w:w="1920" w:type="dxa"/>
            <w:gridSpan w:val="2"/>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1"/>
                <w:szCs w:val="21"/>
                <w:u w:val="none"/>
              </w:rPr>
            </w:pPr>
          </w:p>
        </w:tc>
        <w:tc>
          <w:tcPr>
            <w:tcW w:w="96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设备名称</w:t>
            </w:r>
          </w:p>
        </w:tc>
        <w:tc>
          <w:tcPr>
            <w:tcW w:w="159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1"/>
                <w:szCs w:val="21"/>
                <w:u w:val="none"/>
              </w:rPr>
            </w:pPr>
          </w:p>
        </w:tc>
        <w:tc>
          <w:tcPr>
            <w:tcW w:w="96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设备型号</w:t>
            </w:r>
          </w:p>
        </w:tc>
        <w:tc>
          <w:tcPr>
            <w:tcW w:w="1920" w:type="dxa"/>
            <w:gridSpan w:val="2"/>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18" w:hRule="atLeast"/>
          <w:jc w:val="center"/>
        </w:trPr>
        <w:tc>
          <w:tcPr>
            <w:tcW w:w="1920" w:type="dxa"/>
            <w:gridSpan w:val="2"/>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维护日期</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监理签字</w:t>
            </w:r>
          </w:p>
        </w:tc>
        <w:tc>
          <w:tcPr>
            <w:tcW w:w="159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维护单位</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18"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序号</w:t>
            </w:r>
          </w:p>
        </w:tc>
        <w:tc>
          <w:tcPr>
            <w:tcW w:w="16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维护项目</w:t>
            </w: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质量标准</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维护记录</w:t>
            </w: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结论</w:t>
            </w:r>
          </w:p>
        </w:tc>
      </w:tr>
      <w:tr>
        <w:tblPrEx>
          <w:shd w:val="clear" w:color="auto" w:fill="auto"/>
          <w:tblCellMar>
            <w:top w:w="0" w:type="dxa"/>
            <w:left w:w="0" w:type="dxa"/>
            <w:bottom w:w="0" w:type="dxa"/>
            <w:right w:w="0" w:type="dxa"/>
          </w:tblCellMar>
        </w:tblPrEx>
        <w:trPr>
          <w:trHeight w:val="879"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608" w:type="dxa"/>
            <w:gridSpan w:val="2"/>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设备检查</w:t>
            </w: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供电电缆、电动机电缆等不应有龟裂、绝缘层脱落、折断等缺陷。</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879"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608"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电控柜接地应正常，元器件接头不应有松动、烧蚀等现象。</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1167"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608"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制动拉杆、弹簧等部件应无锈蚀、变形、断裂等，制动轮外表面应无油污、裂纹等状况。</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318"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6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设备润滑</w:t>
            </w: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开式齿轮应润滑良好。</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591"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608" w:type="dxa"/>
            <w:gridSpan w:val="2"/>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设备测试</w:t>
            </w: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制动器闸瓦间隙应保持在0.5～1.0mm之间。</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591"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1"/>
                <w:szCs w:val="21"/>
                <w:u w:val="none"/>
              </w:rPr>
            </w:pPr>
          </w:p>
        </w:tc>
        <w:tc>
          <w:tcPr>
            <w:tcW w:w="1608"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电动机绝缘电阻值不得小于0.5MΩ。</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591"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608" w:type="dxa"/>
            <w:gridSpan w:val="2"/>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设备试运行</w:t>
            </w: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钢丝绳在卷筒上运行应无跳槽、滑动等现象。</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591"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608"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滑轮应转动正常，无打滑或干涉。</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318"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608"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闸门应无偏斜和抖动现象。</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591"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608"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减速器、电机、各传动齿轮应无异常响声或振动。</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591"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608"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电动机表面温度不得超过65℃。</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879"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608"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轴承运行应无异常响声、振动，轴承温度不得超过65℃。</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591"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608"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传动齿轮的啮合及润滑应符合要求。</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18"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608"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高度指示应正常。</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591"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608"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荷重仪示值应稳定，无阶跃性变化。</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879"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608"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电压应在361V-399V之间，三相电流不平衡度应不超过10％。</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318"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608"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3825"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电气元件应无异常。</w:t>
            </w:r>
          </w:p>
        </w:tc>
        <w:tc>
          <w:tcPr>
            <w:tcW w:w="1308"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c>
          <w:tcPr>
            <w:tcW w:w="15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03" w:hRule="atLeast"/>
          <w:jc w:val="center"/>
        </w:trPr>
        <w:tc>
          <w:tcPr>
            <w:tcW w:w="9273" w:type="dxa"/>
            <w:gridSpan w:val="9"/>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jc w:val="both"/>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发现的缺陷及缺陷处理意见：</w:t>
            </w:r>
          </w:p>
        </w:tc>
      </w:tr>
      <w:tr>
        <w:tblPrEx>
          <w:shd w:val="clear" w:color="auto" w:fill="auto"/>
          <w:tblCellMar>
            <w:top w:w="0" w:type="dxa"/>
            <w:left w:w="0" w:type="dxa"/>
            <w:bottom w:w="0" w:type="dxa"/>
            <w:right w:w="0" w:type="dxa"/>
          </w:tblCellMar>
        </w:tblPrEx>
        <w:trPr>
          <w:trHeight w:val="303" w:hRule="atLeast"/>
          <w:jc w:val="center"/>
        </w:trPr>
        <w:tc>
          <w:tcPr>
            <w:tcW w:w="9273" w:type="dxa"/>
            <w:gridSpan w:val="9"/>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jc w:val="both"/>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维护结论：</w:t>
            </w:r>
          </w:p>
        </w:tc>
      </w:tr>
      <w:tr>
        <w:tblPrEx>
          <w:shd w:val="clear" w:color="auto" w:fill="auto"/>
          <w:tblCellMar>
            <w:top w:w="0" w:type="dxa"/>
            <w:left w:w="0" w:type="dxa"/>
            <w:bottom w:w="0" w:type="dxa"/>
            <w:right w:w="0" w:type="dxa"/>
          </w:tblCellMar>
        </w:tblPrEx>
        <w:trPr>
          <w:trHeight w:val="303" w:hRule="atLeast"/>
          <w:jc w:val="center"/>
        </w:trPr>
        <w:tc>
          <w:tcPr>
            <w:tcW w:w="9273" w:type="dxa"/>
            <w:gridSpan w:val="9"/>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jc w:val="both"/>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水闸管理工作人员签字：</w:t>
            </w:r>
          </w:p>
        </w:tc>
      </w:tr>
    </w:tbl>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sz w:val="28"/>
          <w:szCs w:val="32"/>
        </w:rPr>
      </w:pPr>
      <w:r>
        <w:rPr>
          <w:rFonts w:hint="eastAsia" w:ascii="仿宋" w:hAnsi="仿宋" w:eastAsia="仿宋" w:cs="仿宋"/>
          <w:sz w:val="28"/>
          <w:szCs w:val="32"/>
          <w:lang w:eastAsia="zh-CN"/>
        </w:rPr>
        <w:t>（</w:t>
      </w:r>
      <w:r>
        <w:rPr>
          <w:rFonts w:hint="eastAsia" w:ascii="仿宋" w:hAnsi="仿宋" w:eastAsia="仿宋" w:cs="仿宋"/>
          <w:sz w:val="28"/>
          <w:szCs w:val="32"/>
          <w:lang w:val="en-US" w:eastAsia="zh-CN"/>
        </w:rPr>
        <w:t>三</w:t>
      </w:r>
      <w:r>
        <w:rPr>
          <w:rFonts w:hint="eastAsia" w:ascii="仿宋" w:hAnsi="仿宋" w:eastAsia="仿宋" w:cs="仿宋"/>
          <w:sz w:val="28"/>
          <w:szCs w:val="32"/>
          <w:lang w:eastAsia="zh-CN"/>
        </w:rPr>
        <w:t>）</w:t>
      </w:r>
      <w:r>
        <w:rPr>
          <w:rFonts w:hint="eastAsia" w:ascii="仿宋" w:hAnsi="仿宋" w:eastAsia="仿宋" w:cs="仿宋"/>
          <w:sz w:val="28"/>
          <w:szCs w:val="32"/>
        </w:rPr>
        <w:t>闸门定期检查记录表</w:t>
      </w:r>
    </w:p>
    <w:tbl>
      <w:tblPr>
        <w:tblStyle w:val="15"/>
        <w:tblW w:w="9600" w:type="dxa"/>
        <w:jc w:val="center"/>
        <w:shd w:val="clear" w:color="auto" w:fill="auto"/>
        <w:tblLayout w:type="fixed"/>
        <w:tblCellMar>
          <w:top w:w="0" w:type="dxa"/>
          <w:left w:w="0" w:type="dxa"/>
          <w:bottom w:w="0" w:type="dxa"/>
          <w:right w:w="0" w:type="dxa"/>
        </w:tblCellMar>
      </w:tblPr>
      <w:tblGrid>
        <w:gridCol w:w="960"/>
        <w:gridCol w:w="960"/>
        <w:gridCol w:w="960"/>
        <w:gridCol w:w="960"/>
        <w:gridCol w:w="960"/>
        <w:gridCol w:w="960"/>
        <w:gridCol w:w="960"/>
        <w:gridCol w:w="960"/>
        <w:gridCol w:w="960"/>
        <w:gridCol w:w="960"/>
      </w:tblGrid>
      <w:tr>
        <w:tblPrEx>
          <w:tblCellMar>
            <w:top w:w="0" w:type="dxa"/>
            <w:left w:w="0" w:type="dxa"/>
            <w:bottom w:w="0" w:type="dxa"/>
            <w:right w:w="0" w:type="dxa"/>
          </w:tblCellMar>
        </w:tblPrEx>
        <w:trPr>
          <w:trHeight w:val="318" w:hRule="atLeast"/>
          <w:jc w:val="center"/>
        </w:trPr>
        <w:tc>
          <w:tcPr>
            <w:tcW w:w="1920" w:type="dxa"/>
            <w:gridSpan w:val="2"/>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闸站名称</w:t>
            </w:r>
          </w:p>
        </w:tc>
        <w:tc>
          <w:tcPr>
            <w:tcW w:w="2880" w:type="dxa"/>
            <w:gridSpan w:val="3"/>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b w:val="0"/>
                <w:bCs w:val="0"/>
                <w:i w:val="0"/>
                <w:color w:val="000000"/>
                <w:sz w:val="21"/>
                <w:szCs w:val="21"/>
                <w:u w:val="none"/>
              </w:rPr>
            </w:pPr>
          </w:p>
        </w:tc>
        <w:tc>
          <w:tcPr>
            <w:tcW w:w="96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设备名称</w:t>
            </w:r>
          </w:p>
        </w:tc>
        <w:tc>
          <w:tcPr>
            <w:tcW w:w="96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b w:val="0"/>
                <w:bCs w:val="0"/>
                <w:i w:val="0"/>
                <w:color w:val="000000"/>
                <w:sz w:val="21"/>
                <w:szCs w:val="21"/>
                <w:u w:val="none"/>
              </w:rPr>
            </w:pPr>
          </w:p>
        </w:tc>
        <w:tc>
          <w:tcPr>
            <w:tcW w:w="96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设备型号</w:t>
            </w:r>
          </w:p>
        </w:tc>
        <w:tc>
          <w:tcPr>
            <w:tcW w:w="1920" w:type="dxa"/>
            <w:gridSpan w:val="2"/>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b w:val="0"/>
                <w:bCs w:val="0"/>
                <w:i w:val="0"/>
                <w:color w:val="000000"/>
                <w:sz w:val="21"/>
                <w:szCs w:val="21"/>
                <w:u w:val="none"/>
              </w:rPr>
            </w:pPr>
          </w:p>
        </w:tc>
      </w:tr>
      <w:tr>
        <w:tblPrEx>
          <w:shd w:val="clear" w:color="auto" w:fill="auto"/>
          <w:tblCellMar>
            <w:top w:w="0" w:type="dxa"/>
            <w:left w:w="0" w:type="dxa"/>
            <w:bottom w:w="0" w:type="dxa"/>
            <w:right w:w="0" w:type="dxa"/>
          </w:tblCellMar>
        </w:tblPrEx>
        <w:trPr>
          <w:trHeight w:val="303" w:hRule="atLeast"/>
          <w:jc w:val="center"/>
        </w:trPr>
        <w:tc>
          <w:tcPr>
            <w:tcW w:w="1920" w:type="dxa"/>
            <w:gridSpan w:val="2"/>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维护日期</w:t>
            </w: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b w:val="0"/>
                <w:bCs w:val="0"/>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监理签字</w:t>
            </w: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b w:val="0"/>
                <w:bCs w:val="0"/>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维护单位</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b w:val="0"/>
                <w:bCs w:val="0"/>
                <w:i w:val="0"/>
                <w:color w:val="000000"/>
                <w:sz w:val="21"/>
                <w:szCs w:val="21"/>
                <w:u w:val="none"/>
              </w:rPr>
            </w:pPr>
          </w:p>
        </w:tc>
      </w:tr>
      <w:tr>
        <w:tblPrEx>
          <w:tblCellMar>
            <w:top w:w="0" w:type="dxa"/>
            <w:left w:w="0" w:type="dxa"/>
            <w:bottom w:w="0" w:type="dxa"/>
            <w:right w:w="0" w:type="dxa"/>
          </w:tblCellMar>
        </w:tblPrEx>
        <w:trPr>
          <w:trHeight w:val="318" w:hRule="atLeast"/>
          <w:jc w:val="center"/>
        </w:trPr>
        <w:tc>
          <w:tcPr>
            <w:tcW w:w="960" w:type="dxa"/>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序</w:t>
            </w:r>
          </w:p>
        </w:tc>
        <w:tc>
          <w:tcPr>
            <w:tcW w:w="2880" w:type="dxa"/>
            <w:gridSpan w:val="3"/>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维护项目</w:t>
            </w:r>
          </w:p>
        </w:tc>
        <w:tc>
          <w:tcPr>
            <w:tcW w:w="2880" w:type="dxa"/>
            <w:gridSpan w:val="3"/>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质量标准</w:t>
            </w:r>
          </w:p>
        </w:tc>
        <w:tc>
          <w:tcPr>
            <w:tcW w:w="1920" w:type="dxa"/>
            <w:gridSpan w:val="2"/>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维护记录</w:t>
            </w:r>
          </w:p>
        </w:tc>
        <w:tc>
          <w:tcPr>
            <w:tcW w:w="96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结论</w:t>
            </w:r>
          </w:p>
        </w:tc>
      </w:tr>
      <w:tr>
        <w:tblPrEx>
          <w:shd w:val="clear" w:color="auto" w:fill="auto"/>
          <w:tblCellMar>
            <w:top w:w="0" w:type="dxa"/>
            <w:left w:w="0" w:type="dxa"/>
            <w:bottom w:w="0" w:type="dxa"/>
            <w:right w:w="0" w:type="dxa"/>
          </w:tblCellMar>
        </w:tblPrEx>
        <w:trPr>
          <w:trHeight w:val="318"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号</w:t>
            </w:r>
          </w:p>
        </w:tc>
        <w:tc>
          <w:tcPr>
            <w:tcW w:w="2880" w:type="dxa"/>
            <w:gridSpan w:val="3"/>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b w:val="0"/>
                <w:bCs w:val="0"/>
                <w:i w:val="0"/>
                <w:color w:val="000000"/>
                <w:sz w:val="21"/>
                <w:szCs w:val="21"/>
                <w:u w:val="none"/>
              </w:rPr>
            </w:pPr>
          </w:p>
        </w:tc>
        <w:tc>
          <w:tcPr>
            <w:tcW w:w="2880" w:type="dxa"/>
            <w:gridSpan w:val="3"/>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b w:val="0"/>
                <w:bCs w:val="0"/>
                <w:i w:val="0"/>
                <w:color w:val="000000"/>
                <w:sz w:val="21"/>
                <w:szCs w:val="21"/>
                <w:u w:val="none"/>
              </w:rPr>
            </w:pPr>
          </w:p>
        </w:tc>
        <w:tc>
          <w:tcPr>
            <w:tcW w:w="1920"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b w:val="0"/>
                <w:bCs w:val="0"/>
                <w:i w:val="0"/>
                <w:color w:val="000000"/>
                <w:sz w:val="21"/>
                <w:szCs w:val="21"/>
                <w:u w:val="none"/>
              </w:rPr>
            </w:pPr>
          </w:p>
        </w:tc>
        <w:tc>
          <w:tcPr>
            <w:tcW w:w="96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b w:val="0"/>
                <w:bCs w:val="0"/>
                <w:i w:val="0"/>
                <w:color w:val="000000"/>
                <w:sz w:val="21"/>
                <w:szCs w:val="21"/>
                <w:u w:val="none"/>
              </w:rPr>
            </w:pPr>
          </w:p>
        </w:tc>
      </w:tr>
      <w:tr>
        <w:tblPrEx>
          <w:shd w:val="clear" w:color="auto" w:fill="auto"/>
          <w:tblCellMar>
            <w:top w:w="0" w:type="dxa"/>
            <w:left w:w="0" w:type="dxa"/>
            <w:bottom w:w="0" w:type="dxa"/>
            <w:right w:w="0" w:type="dxa"/>
          </w:tblCellMar>
        </w:tblPrEx>
        <w:trPr>
          <w:trHeight w:val="318"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1</w:t>
            </w:r>
          </w:p>
        </w:tc>
        <w:tc>
          <w:tcPr>
            <w:tcW w:w="2880" w:type="dxa"/>
            <w:gridSpan w:val="3"/>
            <w:tcBorders>
              <w:top w:val="nil"/>
              <w:left w:val="nil"/>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设备润滑</w:t>
            </w:r>
          </w:p>
        </w:tc>
        <w:tc>
          <w:tcPr>
            <w:tcW w:w="2880" w:type="dxa"/>
            <w:gridSpan w:val="3"/>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设备转动部位应转动灵活，无卡阻或异常响声。</w:t>
            </w:r>
          </w:p>
        </w:tc>
        <w:tc>
          <w:tcPr>
            <w:tcW w:w="1920" w:type="dxa"/>
            <w:gridSpan w:val="2"/>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tblCellMar>
            <w:top w:w="0" w:type="dxa"/>
            <w:left w:w="0" w:type="dxa"/>
            <w:bottom w:w="0" w:type="dxa"/>
            <w:right w:w="0" w:type="dxa"/>
          </w:tblCellMar>
        </w:tblPrEx>
        <w:trPr>
          <w:trHeight w:val="318"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 w:hAnsi="仿宋" w:eastAsia="仿宋" w:cs="仿宋"/>
                <w:b w:val="0"/>
                <w:bCs w:val="0"/>
                <w:i w:val="0"/>
                <w:color w:val="000000"/>
                <w:sz w:val="21"/>
                <w:szCs w:val="21"/>
                <w:u w:val="none"/>
              </w:rPr>
            </w:pP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（拦污栅无此项）</w:t>
            </w:r>
          </w:p>
        </w:tc>
        <w:tc>
          <w:tcPr>
            <w:tcW w:w="2880" w:type="dxa"/>
            <w:gridSpan w:val="3"/>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both"/>
              <w:rPr>
                <w:rFonts w:hint="eastAsia" w:ascii="仿宋" w:hAnsi="仿宋" w:eastAsia="仿宋" w:cs="仿宋"/>
                <w:b w:val="0"/>
                <w:bCs w:val="0"/>
                <w:i w:val="0"/>
                <w:color w:val="000000"/>
                <w:sz w:val="21"/>
                <w:szCs w:val="21"/>
                <w:u w:val="none"/>
              </w:rPr>
            </w:pPr>
          </w:p>
        </w:tc>
        <w:tc>
          <w:tcPr>
            <w:tcW w:w="1920"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shd w:val="clear" w:color="auto" w:fill="auto"/>
          <w:tblCellMar>
            <w:top w:w="0" w:type="dxa"/>
            <w:left w:w="0" w:type="dxa"/>
            <w:bottom w:w="0" w:type="dxa"/>
            <w:right w:w="0" w:type="dxa"/>
          </w:tblCellMar>
        </w:tblPrEx>
        <w:trPr>
          <w:trHeight w:val="591"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2</w:t>
            </w:r>
          </w:p>
        </w:tc>
        <w:tc>
          <w:tcPr>
            <w:tcW w:w="2880" w:type="dxa"/>
            <w:gridSpan w:val="3"/>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主要受力结构</w:t>
            </w:r>
          </w:p>
        </w:tc>
        <w:tc>
          <w:tcPr>
            <w:tcW w:w="2880" w:type="dxa"/>
            <w:gridSpan w:val="3"/>
            <w:tcBorders>
              <w:top w:val="nil"/>
              <w:left w:val="nil"/>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主横梁、边梁、顶梁、底梁、纵次梁、横次梁、</w:t>
            </w:r>
          </w:p>
        </w:tc>
        <w:tc>
          <w:tcPr>
            <w:tcW w:w="1920" w:type="dxa"/>
            <w:gridSpan w:val="2"/>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tblCellMar>
            <w:top w:w="0" w:type="dxa"/>
            <w:left w:w="0" w:type="dxa"/>
            <w:bottom w:w="0" w:type="dxa"/>
            <w:right w:w="0" w:type="dxa"/>
          </w:tblCellMar>
        </w:tblPrEx>
        <w:trPr>
          <w:trHeight w:val="591"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 w:hAnsi="仿宋" w:eastAsia="仿宋" w:cs="仿宋"/>
                <w:b w:val="0"/>
                <w:bCs w:val="0"/>
                <w:i w:val="0"/>
                <w:color w:val="000000"/>
                <w:sz w:val="21"/>
                <w:szCs w:val="21"/>
                <w:u w:val="none"/>
              </w:rPr>
            </w:pPr>
          </w:p>
        </w:tc>
        <w:tc>
          <w:tcPr>
            <w:tcW w:w="2880" w:type="dxa"/>
            <w:gridSpan w:val="3"/>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b w:val="0"/>
                <w:bCs w:val="0"/>
                <w:i w:val="0"/>
                <w:color w:val="000000"/>
                <w:sz w:val="21"/>
                <w:szCs w:val="21"/>
                <w:u w:val="none"/>
              </w:rPr>
            </w:pPr>
          </w:p>
        </w:tc>
        <w:tc>
          <w:tcPr>
            <w:tcW w:w="2880" w:type="dxa"/>
            <w:gridSpan w:val="3"/>
            <w:tcBorders>
              <w:top w:val="nil"/>
              <w:left w:val="nil"/>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吊耳、弧门支臂、闸门面板、拦污栅栅条等主要</w:t>
            </w:r>
          </w:p>
        </w:tc>
        <w:tc>
          <w:tcPr>
            <w:tcW w:w="1920"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tblCellMar>
            <w:top w:w="0" w:type="dxa"/>
            <w:left w:w="0" w:type="dxa"/>
            <w:bottom w:w="0" w:type="dxa"/>
            <w:right w:w="0" w:type="dxa"/>
          </w:tblCellMar>
        </w:tblPrEx>
        <w:trPr>
          <w:trHeight w:val="318"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 w:hAnsi="仿宋" w:eastAsia="仿宋" w:cs="仿宋"/>
                <w:b w:val="0"/>
                <w:bCs w:val="0"/>
                <w:i w:val="0"/>
                <w:color w:val="000000"/>
                <w:sz w:val="21"/>
                <w:szCs w:val="21"/>
                <w:u w:val="none"/>
              </w:rPr>
            </w:pPr>
          </w:p>
        </w:tc>
        <w:tc>
          <w:tcPr>
            <w:tcW w:w="2880" w:type="dxa"/>
            <w:gridSpan w:val="3"/>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b w:val="0"/>
                <w:bCs w:val="0"/>
                <w:i w:val="0"/>
                <w:color w:val="000000"/>
                <w:sz w:val="21"/>
                <w:szCs w:val="21"/>
                <w:u w:val="none"/>
              </w:rPr>
            </w:pP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受力构件应无变形、损伤。</w:t>
            </w:r>
          </w:p>
        </w:tc>
        <w:tc>
          <w:tcPr>
            <w:tcW w:w="1920"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shd w:val="clear" w:color="auto" w:fill="auto"/>
          <w:tblCellMar>
            <w:top w:w="0" w:type="dxa"/>
            <w:left w:w="0" w:type="dxa"/>
            <w:bottom w:w="0" w:type="dxa"/>
            <w:right w:w="0" w:type="dxa"/>
          </w:tblCellMar>
        </w:tblPrEx>
        <w:trPr>
          <w:trHeight w:val="591"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3</w:t>
            </w:r>
          </w:p>
        </w:tc>
        <w:tc>
          <w:tcPr>
            <w:tcW w:w="1920" w:type="dxa"/>
            <w:gridSpan w:val="2"/>
            <w:vMerge w:val="restart"/>
            <w:tcBorders>
              <w:top w:val="nil"/>
              <w:left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正</w:t>
            </w:r>
          </w:p>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向</w:t>
            </w:r>
          </w:p>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支</w:t>
            </w:r>
          </w:p>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承</w:t>
            </w:r>
          </w:p>
        </w:tc>
        <w:tc>
          <w:tcPr>
            <w:tcW w:w="96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滚轮</w:t>
            </w: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滚轮及其附近区域应无淤泥、杂草等污物。</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tblCellMar>
            <w:top w:w="0" w:type="dxa"/>
            <w:left w:w="0" w:type="dxa"/>
            <w:bottom w:w="0" w:type="dxa"/>
            <w:right w:w="0" w:type="dxa"/>
          </w:tblCellMar>
        </w:tblPrEx>
        <w:trPr>
          <w:trHeight w:val="591"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4</w:t>
            </w:r>
          </w:p>
        </w:tc>
        <w:tc>
          <w:tcPr>
            <w:tcW w:w="1920" w:type="dxa"/>
            <w:gridSpan w:val="2"/>
            <w:vMerge w:val="continue"/>
            <w:tcBorders>
              <w:left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p>
        </w:tc>
        <w:tc>
          <w:tcPr>
            <w:tcW w:w="96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b w:val="0"/>
                <w:bCs w:val="0"/>
                <w:i w:val="0"/>
                <w:color w:val="000000"/>
                <w:sz w:val="21"/>
                <w:szCs w:val="21"/>
                <w:u w:val="none"/>
              </w:rPr>
            </w:pP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滚轮外观应无裂纹、破损或严重磨损。</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tblCellMar>
            <w:top w:w="0" w:type="dxa"/>
            <w:left w:w="0" w:type="dxa"/>
            <w:bottom w:w="0" w:type="dxa"/>
            <w:right w:w="0" w:type="dxa"/>
          </w:tblCellMar>
        </w:tblPrEx>
        <w:trPr>
          <w:trHeight w:val="591"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w:t>
            </w:r>
          </w:p>
        </w:tc>
        <w:tc>
          <w:tcPr>
            <w:tcW w:w="1920" w:type="dxa"/>
            <w:gridSpan w:val="2"/>
            <w:vMerge w:val="continue"/>
            <w:tcBorders>
              <w:left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p>
        </w:tc>
        <w:tc>
          <w:tcPr>
            <w:tcW w:w="96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b w:val="0"/>
                <w:bCs w:val="0"/>
                <w:i w:val="0"/>
                <w:color w:val="000000"/>
                <w:sz w:val="21"/>
                <w:szCs w:val="21"/>
                <w:u w:val="none"/>
              </w:rPr>
            </w:pP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滚轮支承结构应无变形、损伤。</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shd w:val="clear" w:color="auto" w:fill="auto"/>
          <w:tblCellMar>
            <w:top w:w="0" w:type="dxa"/>
            <w:left w:w="0" w:type="dxa"/>
            <w:bottom w:w="0" w:type="dxa"/>
            <w:right w:w="0" w:type="dxa"/>
          </w:tblCellMar>
        </w:tblPrEx>
        <w:trPr>
          <w:trHeight w:val="318"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6</w:t>
            </w:r>
          </w:p>
        </w:tc>
        <w:tc>
          <w:tcPr>
            <w:tcW w:w="1920" w:type="dxa"/>
            <w:gridSpan w:val="2"/>
            <w:vMerge w:val="continue"/>
            <w:tcBorders>
              <w:left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p>
        </w:tc>
        <w:tc>
          <w:tcPr>
            <w:tcW w:w="96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b w:val="0"/>
                <w:bCs w:val="0"/>
                <w:i w:val="0"/>
                <w:color w:val="000000"/>
                <w:sz w:val="21"/>
                <w:szCs w:val="21"/>
                <w:u w:val="none"/>
              </w:rPr>
            </w:pP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滚轮应转动灵活。</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shd w:val="clear" w:color="auto" w:fill="auto"/>
          <w:tblCellMar>
            <w:top w:w="0" w:type="dxa"/>
            <w:left w:w="0" w:type="dxa"/>
            <w:bottom w:w="0" w:type="dxa"/>
            <w:right w:w="0" w:type="dxa"/>
          </w:tblCellMar>
        </w:tblPrEx>
        <w:trPr>
          <w:trHeight w:val="591"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w:t>
            </w:r>
          </w:p>
        </w:tc>
        <w:tc>
          <w:tcPr>
            <w:tcW w:w="1920" w:type="dxa"/>
            <w:gridSpan w:val="2"/>
            <w:vMerge w:val="continue"/>
            <w:tcBorders>
              <w:left w:val="nil"/>
              <w:right w:val="single" w:color="000000" w:sz="8" w:space="0"/>
            </w:tcBorders>
            <w:shd w:val="clear" w:color="auto" w:fill="auto"/>
            <w:tcMar>
              <w:top w:w="12" w:type="dxa"/>
              <w:left w:w="12" w:type="dxa"/>
              <w:right w:w="12" w:type="dxa"/>
            </w:tcMar>
            <w:vAlign w:val="center"/>
          </w:tcPr>
          <w:p>
            <w:pPr>
              <w:rPr>
                <w:rFonts w:hint="eastAsia" w:ascii="仿宋" w:hAnsi="仿宋" w:eastAsia="仿宋" w:cs="仿宋"/>
                <w:b w:val="0"/>
                <w:bCs w:val="0"/>
                <w:i w:val="0"/>
                <w:color w:val="000000"/>
                <w:sz w:val="22"/>
                <w:szCs w:val="22"/>
                <w:u w:val="none"/>
              </w:rPr>
            </w:pPr>
          </w:p>
        </w:tc>
        <w:tc>
          <w:tcPr>
            <w:tcW w:w="96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滑块</w:t>
            </w: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滑块应无变形、损伤或脱落。</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shd w:val="clear" w:color="auto" w:fill="auto"/>
          <w:tblCellMar>
            <w:top w:w="0" w:type="dxa"/>
            <w:left w:w="0" w:type="dxa"/>
            <w:bottom w:w="0" w:type="dxa"/>
            <w:right w:w="0" w:type="dxa"/>
          </w:tblCellMar>
        </w:tblPrEx>
        <w:trPr>
          <w:trHeight w:val="318"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w:t>
            </w:r>
          </w:p>
        </w:tc>
        <w:tc>
          <w:tcPr>
            <w:tcW w:w="1920" w:type="dxa"/>
            <w:gridSpan w:val="2"/>
            <w:vMerge w:val="continue"/>
            <w:tcBorders>
              <w:left w:val="nil"/>
              <w:right w:val="single" w:color="000000" w:sz="8" w:space="0"/>
            </w:tcBorders>
            <w:shd w:val="clear" w:color="auto" w:fill="auto"/>
            <w:tcMar>
              <w:top w:w="12" w:type="dxa"/>
              <w:left w:w="12" w:type="dxa"/>
              <w:right w:w="12" w:type="dxa"/>
            </w:tcMar>
            <w:vAlign w:val="center"/>
          </w:tcPr>
          <w:p>
            <w:pPr>
              <w:rPr>
                <w:rFonts w:hint="eastAsia" w:ascii="仿宋" w:hAnsi="仿宋" w:eastAsia="仿宋" w:cs="仿宋"/>
                <w:b w:val="0"/>
                <w:bCs w:val="0"/>
                <w:i w:val="0"/>
                <w:color w:val="000000"/>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b w:val="0"/>
                <w:bCs w:val="0"/>
                <w:i w:val="0"/>
                <w:color w:val="000000"/>
                <w:sz w:val="21"/>
                <w:szCs w:val="21"/>
                <w:u w:val="none"/>
              </w:rPr>
            </w:pP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滑块应无严重磨损。</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shd w:val="clear" w:color="auto" w:fill="auto"/>
          <w:tblCellMar>
            <w:top w:w="0" w:type="dxa"/>
            <w:left w:w="0" w:type="dxa"/>
            <w:bottom w:w="0" w:type="dxa"/>
            <w:right w:w="0" w:type="dxa"/>
          </w:tblCellMar>
        </w:tblPrEx>
        <w:trPr>
          <w:trHeight w:val="318"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9</w:t>
            </w:r>
          </w:p>
        </w:tc>
        <w:tc>
          <w:tcPr>
            <w:tcW w:w="1920" w:type="dxa"/>
            <w:gridSpan w:val="2"/>
            <w:vMerge w:val="continue"/>
            <w:tcBorders>
              <w:left w:val="nil"/>
              <w:right w:val="single" w:color="000000" w:sz="8" w:space="0"/>
            </w:tcBorders>
            <w:shd w:val="clear" w:color="auto" w:fill="auto"/>
            <w:tcMar>
              <w:top w:w="12" w:type="dxa"/>
              <w:left w:w="12" w:type="dxa"/>
              <w:right w:w="12" w:type="dxa"/>
            </w:tcMar>
            <w:vAlign w:val="center"/>
          </w:tcPr>
          <w:p>
            <w:pPr>
              <w:rPr>
                <w:rFonts w:hint="eastAsia" w:ascii="仿宋" w:hAnsi="仿宋" w:eastAsia="仿宋" w:cs="仿宋"/>
                <w:b w:val="0"/>
                <w:bCs w:val="0"/>
                <w:i w:val="0"/>
                <w:color w:val="000000"/>
                <w:sz w:val="22"/>
                <w:szCs w:val="22"/>
                <w:u w:val="none"/>
              </w:rPr>
            </w:pPr>
          </w:p>
        </w:tc>
        <w:tc>
          <w:tcPr>
            <w:tcW w:w="96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弧门支铰</w:t>
            </w: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支铰应无变形、损伤。</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shd w:val="clear" w:color="auto" w:fill="auto"/>
          <w:tblCellMar>
            <w:top w:w="0" w:type="dxa"/>
            <w:left w:w="0" w:type="dxa"/>
            <w:bottom w:w="0" w:type="dxa"/>
            <w:right w:w="0" w:type="dxa"/>
          </w:tblCellMar>
        </w:tblPrEx>
        <w:trPr>
          <w:trHeight w:val="318"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10</w:t>
            </w:r>
          </w:p>
        </w:tc>
        <w:tc>
          <w:tcPr>
            <w:tcW w:w="1920" w:type="dxa"/>
            <w:gridSpan w:val="2"/>
            <w:vMerge w:val="continue"/>
            <w:tcBorders>
              <w:left w:val="nil"/>
              <w:right w:val="single" w:color="000000" w:sz="8" w:space="0"/>
            </w:tcBorders>
            <w:shd w:val="clear" w:color="auto" w:fill="auto"/>
            <w:tcMar>
              <w:top w:w="12" w:type="dxa"/>
              <w:left w:w="12" w:type="dxa"/>
              <w:right w:w="12" w:type="dxa"/>
            </w:tcMar>
            <w:vAlign w:val="center"/>
          </w:tcPr>
          <w:p>
            <w:pPr>
              <w:rPr>
                <w:rFonts w:hint="eastAsia" w:ascii="仿宋" w:hAnsi="仿宋" w:eastAsia="仿宋" w:cs="仿宋"/>
                <w:b w:val="0"/>
                <w:bCs w:val="0"/>
                <w:i w:val="0"/>
                <w:color w:val="000000"/>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b w:val="0"/>
                <w:bCs w:val="0"/>
                <w:i w:val="0"/>
                <w:color w:val="000000"/>
                <w:sz w:val="21"/>
                <w:szCs w:val="21"/>
                <w:u w:val="none"/>
              </w:rPr>
            </w:pP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支铰应运转灵活，无卡阻。</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shd w:val="clear" w:color="auto" w:fill="auto"/>
          <w:tblCellMar>
            <w:top w:w="0" w:type="dxa"/>
            <w:left w:w="0" w:type="dxa"/>
            <w:bottom w:w="0" w:type="dxa"/>
            <w:right w:w="0" w:type="dxa"/>
          </w:tblCellMar>
        </w:tblPrEx>
        <w:trPr>
          <w:trHeight w:val="591"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11</w:t>
            </w:r>
          </w:p>
        </w:tc>
        <w:tc>
          <w:tcPr>
            <w:tcW w:w="1920" w:type="dxa"/>
            <w:gridSpan w:val="2"/>
            <w:vMerge w:val="continue"/>
            <w:tcBorders>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仿宋" w:hAnsi="仿宋" w:eastAsia="仿宋" w:cs="仿宋"/>
                <w:b w:val="0"/>
                <w:bCs w:val="0"/>
                <w:i w:val="0"/>
                <w:color w:val="000000"/>
                <w:sz w:val="22"/>
                <w:szCs w:val="22"/>
                <w:u w:val="none"/>
              </w:rPr>
            </w:pPr>
          </w:p>
        </w:tc>
        <w:tc>
          <w:tcPr>
            <w:tcW w:w="96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b w:val="0"/>
                <w:bCs w:val="0"/>
                <w:i w:val="0"/>
                <w:color w:val="000000"/>
                <w:sz w:val="21"/>
                <w:szCs w:val="21"/>
                <w:u w:val="none"/>
              </w:rPr>
            </w:pP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支铰应润滑良好，无异常响声。</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shd w:val="clear" w:color="auto" w:fill="auto"/>
          <w:tblCellMar>
            <w:top w:w="0" w:type="dxa"/>
            <w:left w:w="0" w:type="dxa"/>
            <w:bottom w:w="0" w:type="dxa"/>
            <w:right w:w="0" w:type="dxa"/>
          </w:tblCellMar>
        </w:tblPrEx>
        <w:trPr>
          <w:trHeight w:val="591"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12</w:t>
            </w:r>
          </w:p>
        </w:tc>
        <w:tc>
          <w:tcPr>
            <w:tcW w:w="2880" w:type="dxa"/>
            <w:gridSpan w:val="3"/>
            <w:tcBorders>
              <w:top w:val="nil"/>
              <w:left w:val="nil"/>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反向支承</w:t>
            </w: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反向支承应无变形、损伤或脱落。</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shd w:val="clear" w:color="auto" w:fill="auto"/>
          <w:tblCellMar>
            <w:top w:w="0" w:type="dxa"/>
            <w:left w:w="0" w:type="dxa"/>
            <w:bottom w:w="0" w:type="dxa"/>
            <w:right w:w="0" w:type="dxa"/>
          </w:tblCellMar>
        </w:tblPrEx>
        <w:trPr>
          <w:trHeight w:val="318"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13</w:t>
            </w: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（拦污栅无此项）</w:t>
            </w: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反向支承应无严重磨损。</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shd w:val="clear" w:color="auto" w:fill="auto"/>
          <w:tblCellMar>
            <w:top w:w="0" w:type="dxa"/>
            <w:left w:w="0" w:type="dxa"/>
            <w:bottom w:w="0" w:type="dxa"/>
            <w:right w:w="0" w:type="dxa"/>
          </w:tblCellMar>
        </w:tblPrEx>
        <w:trPr>
          <w:trHeight w:val="591"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14</w:t>
            </w:r>
          </w:p>
        </w:tc>
        <w:tc>
          <w:tcPr>
            <w:tcW w:w="2880" w:type="dxa"/>
            <w:gridSpan w:val="3"/>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侧向支承</w:t>
            </w: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侧向支承应无变形、损伤或脱落。</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tblCellMar>
            <w:top w:w="0" w:type="dxa"/>
            <w:left w:w="0" w:type="dxa"/>
            <w:bottom w:w="0" w:type="dxa"/>
            <w:right w:w="0" w:type="dxa"/>
          </w:tblCellMar>
        </w:tblPrEx>
        <w:trPr>
          <w:trHeight w:val="318"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15</w:t>
            </w:r>
          </w:p>
        </w:tc>
        <w:tc>
          <w:tcPr>
            <w:tcW w:w="2880" w:type="dxa"/>
            <w:gridSpan w:val="3"/>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b w:val="0"/>
                <w:bCs w:val="0"/>
                <w:i w:val="0"/>
                <w:color w:val="000000"/>
                <w:sz w:val="21"/>
                <w:szCs w:val="21"/>
                <w:u w:val="none"/>
              </w:rPr>
            </w:pP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 xml:space="preserve">  侧向支承应无严重磨损。</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shd w:val="clear" w:color="auto" w:fill="auto"/>
          <w:tblCellMar>
            <w:top w:w="0" w:type="dxa"/>
            <w:left w:w="0" w:type="dxa"/>
            <w:bottom w:w="0" w:type="dxa"/>
            <w:right w:w="0" w:type="dxa"/>
          </w:tblCellMar>
        </w:tblPrEx>
        <w:trPr>
          <w:trHeight w:val="591"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16</w:t>
            </w:r>
          </w:p>
        </w:tc>
        <w:tc>
          <w:tcPr>
            <w:tcW w:w="2880" w:type="dxa"/>
            <w:gridSpan w:val="3"/>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闸孔混凝土</w:t>
            </w:r>
          </w:p>
        </w:tc>
        <w:tc>
          <w:tcPr>
            <w:tcW w:w="2880" w:type="dxa"/>
            <w:gridSpan w:val="3"/>
            <w:tcBorders>
              <w:top w:val="nil"/>
              <w:left w:val="nil"/>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闸墩、底板、胸墙、弧形闸门牛腿等混凝土结</w:t>
            </w:r>
          </w:p>
        </w:tc>
        <w:tc>
          <w:tcPr>
            <w:tcW w:w="1920" w:type="dxa"/>
            <w:gridSpan w:val="2"/>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shd w:val="clear" w:color="auto" w:fill="auto"/>
          <w:tblCellMar>
            <w:top w:w="0" w:type="dxa"/>
            <w:left w:w="0" w:type="dxa"/>
            <w:bottom w:w="0" w:type="dxa"/>
            <w:right w:w="0" w:type="dxa"/>
          </w:tblCellMar>
        </w:tblPrEx>
        <w:trPr>
          <w:trHeight w:val="591" w:hRule="atLeast"/>
          <w:jc w:val="center"/>
        </w:trPr>
        <w:tc>
          <w:tcPr>
            <w:tcW w:w="960"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仿宋" w:hAnsi="仿宋" w:eastAsia="仿宋" w:cs="仿宋"/>
                <w:b w:val="0"/>
                <w:bCs w:val="0"/>
                <w:i w:val="0"/>
                <w:color w:val="000000"/>
                <w:sz w:val="21"/>
                <w:szCs w:val="21"/>
                <w:u w:val="none"/>
              </w:rPr>
            </w:pPr>
          </w:p>
        </w:tc>
        <w:tc>
          <w:tcPr>
            <w:tcW w:w="2880" w:type="dxa"/>
            <w:gridSpan w:val="3"/>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仿宋" w:hAnsi="仿宋" w:eastAsia="仿宋" w:cs="仿宋"/>
                <w:b w:val="0"/>
                <w:bCs w:val="0"/>
                <w:i w:val="0"/>
                <w:color w:val="000000"/>
                <w:sz w:val="21"/>
                <w:szCs w:val="21"/>
                <w:u w:val="none"/>
              </w:rPr>
            </w:pP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构应无影响设备运行的剥蚀、淘空、裂纹等缺陷。</w:t>
            </w:r>
          </w:p>
        </w:tc>
        <w:tc>
          <w:tcPr>
            <w:tcW w:w="1920" w:type="dxa"/>
            <w:gridSpan w:val="2"/>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shd w:val="clear" w:color="auto" w:fill="auto"/>
          <w:tblCellMar>
            <w:top w:w="0" w:type="dxa"/>
            <w:left w:w="0" w:type="dxa"/>
            <w:bottom w:w="0" w:type="dxa"/>
            <w:right w:w="0" w:type="dxa"/>
          </w:tblCellMar>
        </w:tblPrEx>
        <w:trPr>
          <w:trHeight w:val="318"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17</w:t>
            </w: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防冻设施</w:t>
            </w: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防冻设施应能正常使用。</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shd w:val="clear" w:color="auto" w:fill="auto"/>
          <w:tblCellMar>
            <w:top w:w="0" w:type="dxa"/>
            <w:left w:w="0" w:type="dxa"/>
            <w:bottom w:w="0" w:type="dxa"/>
            <w:right w:w="0" w:type="dxa"/>
          </w:tblCellMar>
        </w:tblPrEx>
        <w:trPr>
          <w:trHeight w:val="318" w:hRule="atLeast"/>
          <w:jc w:val="center"/>
        </w:trPr>
        <w:tc>
          <w:tcPr>
            <w:tcW w:w="960"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18</w:t>
            </w: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破冰设施</w:t>
            </w:r>
          </w:p>
        </w:tc>
        <w:tc>
          <w:tcPr>
            <w:tcW w:w="288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破冰设施应能正常使用。</w:t>
            </w:r>
          </w:p>
        </w:tc>
        <w:tc>
          <w:tcPr>
            <w:tcW w:w="1920"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tcMar>
              <w:top w:w="12" w:type="dxa"/>
              <w:left w:w="12" w:type="dxa"/>
              <w:right w:w="12" w:type="dxa"/>
            </w:tcMar>
            <w:vAlign w:val="top"/>
          </w:tcPr>
          <w:p>
            <w:pPr>
              <w:jc w:val="both"/>
              <w:rPr>
                <w:rFonts w:hint="eastAsia" w:ascii="仿宋" w:hAnsi="仿宋" w:eastAsia="仿宋" w:cs="仿宋"/>
                <w:b w:val="0"/>
                <w:bCs w:val="0"/>
                <w:i w:val="0"/>
                <w:color w:val="000000"/>
                <w:sz w:val="21"/>
                <w:szCs w:val="21"/>
                <w:u w:val="none"/>
              </w:rPr>
            </w:pPr>
          </w:p>
        </w:tc>
      </w:tr>
      <w:tr>
        <w:tblPrEx>
          <w:tblCellMar>
            <w:top w:w="0" w:type="dxa"/>
            <w:left w:w="0" w:type="dxa"/>
            <w:bottom w:w="0" w:type="dxa"/>
            <w:right w:w="0" w:type="dxa"/>
          </w:tblCellMar>
        </w:tblPrEx>
        <w:trPr>
          <w:trHeight w:val="318" w:hRule="atLeast"/>
          <w:jc w:val="center"/>
        </w:trPr>
        <w:tc>
          <w:tcPr>
            <w:tcW w:w="9600" w:type="dxa"/>
            <w:gridSpan w:val="10"/>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jc w:val="both"/>
              <w:textAlignment w:val="top"/>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发现的缺陷及缺陷处理意见：</w:t>
            </w:r>
          </w:p>
        </w:tc>
      </w:tr>
      <w:tr>
        <w:tblPrEx>
          <w:tblCellMar>
            <w:top w:w="0" w:type="dxa"/>
            <w:left w:w="0" w:type="dxa"/>
            <w:bottom w:w="0" w:type="dxa"/>
            <w:right w:w="0" w:type="dxa"/>
          </w:tblCellMar>
        </w:tblPrEx>
        <w:trPr>
          <w:trHeight w:val="303" w:hRule="atLeast"/>
          <w:jc w:val="center"/>
        </w:trPr>
        <w:tc>
          <w:tcPr>
            <w:tcW w:w="9600" w:type="dxa"/>
            <w:gridSpan w:val="10"/>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jc w:val="both"/>
              <w:textAlignment w:val="top"/>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 xml:space="preserve">  维护结论：</w:t>
            </w:r>
          </w:p>
        </w:tc>
      </w:tr>
      <w:tr>
        <w:tblPrEx>
          <w:shd w:val="clear" w:color="auto" w:fill="auto"/>
          <w:tblCellMar>
            <w:top w:w="0" w:type="dxa"/>
            <w:left w:w="0" w:type="dxa"/>
            <w:bottom w:w="0" w:type="dxa"/>
            <w:right w:w="0" w:type="dxa"/>
          </w:tblCellMar>
        </w:tblPrEx>
        <w:trPr>
          <w:trHeight w:val="303" w:hRule="atLeast"/>
          <w:jc w:val="center"/>
        </w:trPr>
        <w:tc>
          <w:tcPr>
            <w:tcW w:w="9600" w:type="dxa"/>
            <w:gridSpan w:val="10"/>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jc w:val="both"/>
              <w:textAlignment w:val="top"/>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水闸管理工作人员签字：</w:t>
            </w:r>
          </w:p>
        </w:tc>
      </w:tr>
    </w:tbl>
    <w:p>
      <w:pPr>
        <w:pStyle w:val="9"/>
        <w:kinsoku w:val="0"/>
        <w:overflowPunct w:val="0"/>
        <w:spacing w:before="34"/>
        <w:ind w:left="0" w:leftChars="0" w:firstLine="0" w:firstLineChars="0"/>
        <w:jc w:val="both"/>
        <w:rPr>
          <w:rFonts w:hint="eastAsia" w:ascii="仿宋" w:hAnsi="仿宋" w:eastAsia="仿宋" w:cs="仿宋"/>
          <w:b/>
          <w:bCs/>
          <w:sz w:val="28"/>
          <w:szCs w:val="28"/>
        </w:rPr>
      </w:pPr>
    </w:p>
    <w:p>
      <w:pPr>
        <w:pStyle w:val="2"/>
        <w:ind w:left="0" w:leftChars="0" w:firstLine="0" w:firstLineChars="0"/>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3"/>
        <w:jc w:val="center"/>
        <w:rPr>
          <w:rFonts w:hint="eastAsia" w:ascii="仿宋" w:hAnsi="仿宋" w:eastAsia="仿宋" w:cs="仿宋"/>
        </w:rPr>
      </w:pPr>
      <w:bookmarkStart w:id="29" w:name="_Toc19913"/>
      <w:r>
        <w:rPr>
          <w:rFonts w:hint="eastAsia" w:ascii="仿宋" w:hAnsi="仿宋" w:eastAsia="仿宋" w:cs="仿宋"/>
        </w:rPr>
        <w:t>第五章</w:t>
      </w:r>
      <w:r>
        <w:rPr>
          <w:rFonts w:hint="eastAsia" w:ascii="仿宋" w:hAnsi="仿宋" w:eastAsia="仿宋" w:cs="仿宋"/>
        </w:rPr>
        <w:tab/>
      </w:r>
      <w:r>
        <w:rPr>
          <w:rFonts w:hint="eastAsia" w:ascii="仿宋" w:hAnsi="仿宋" w:eastAsia="仿宋" w:cs="仿宋"/>
        </w:rPr>
        <w:t>合同条款及合同格式（仅供参考）</w:t>
      </w:r>
      <w:bookmarkEnd w:id="29"/>
    </w:p>
    <w:p>
      <w:pPr>
        <w:rPr>
          <w:rFonts w:hint="eastAsia" w:ascii="仿宋" w:hAnsi="仿宋" w:eastAsia="仿宋" w:cs="仿宋"/>
        </w:rPr>
      </w:pPr>
    </w:p>
    <w:p>
      <w:pPr>
        <w:pStyle w:val="9"/>
        <w:kinsoku w:val="0"/>
        <w:overflowPunct w:val="0"/>
        <w:spacing w:before="1"/>
        <w:ind w:left="0"/>
        <w:rPr>
          <w:rFonts w:hint="eastAsia" w:ascii="仿宋" w:hAnsi="仿宋" w:eastAsia="仿宋" w:cs="仿宋"/>
          <w:b/>
          <w:bCs/>
          <w:sz w:val="59"/>
          <w:szCs w:val="59"/>
        </w:rPr>
      </w:pPr>
    </w:p>
    <w:p>
      <w:pPr>
        <w:pStyle w:val="9"/>
        <w:kinsoku w:val="0"/>
        <w:overflowPunct w:val="0"/>
        <w:spacing w:before="1"/>
        <w:ind w:left="0"/>
        <w:rPr>
          <w:rFonts w:hint="eastAsia" w:ascii="仿宋" w:hAnsi="仿宋" w:eastAsia="仿宋" w:cs="仿宋"/>
          <w:b/>
          <w:bCs/>
          <w:sz w:val="59"/>
          <w:szCs w:val="59"/>
        </w:rPr>
      </w:pPr>
    </w:p>
    <w:p>
      <w:pPr>
        <w:pStyle w:val="9"/>
        <w:kinsoku w:val="0"/>
        <w:overflowPunct w:val="0"/>
        <w:spacing w:before="0"/>
        <w:ind w:left="0"/>
        <w:jc w:val="center"/>
        <w:rPr>
          <w:rFonts w:hint="eastAsia" w:ascii="仿宋" w:hAnsi="仿宋" w:eastAsia="仿宋" w:cs="仿宋"/>
          <w:sz w:val="72"/>
          <w:szCs w:val="72"/>
        </w:rPr>
      </w:pPr>
      <w:r>
        <w:rPr>
          <w:rFonts w:hint="eastAsia" w:ascii="仿宋" w:hAnsi="仿宋" w:eastAsia="仿宋" w:cs="仿宋"/>
          <w:b/>
          <w:bCs/>
          <w:sz w:val="72"/>
          <w:szCs w:val="72"/>
        </w:rPr>
        <w:t>采</w:t>
      </w:r>
      <w:r>
        <w:rPr>
          <w:rFonts w:hint="eastAsia" w:ascii="仿宋" w:hAnsi="仿宋" w:eastAsia="仿宋" w:cs="仿宋"/>
          <w:b/>
          <w:bCs/>
          <w:spacing w:val="-9"/>
          <w:sz w:val="72"/>
          <w:szCs w:val="72"/>
        </w:rPr>
        <w:t xml:space="preserve"> </w:t>
      </w:r>
      <w:r>
        <w:rPr>
          <w:rFonts w:hint="eastAsia" w:ascii="仿宋" w:hAnsi="仿宋" w:eastAsia="仿宋" w:cs="仿宋"/>
          <w:b/>
          <w:bCs/>
          <w:sz w:val="72"/>
          <w:szCs w:val="72"/>
        </w:rPr>
        <w:t>购</w:t>
      </w:r>
      <w:r>
        <w:rPr>
          <w:rFonts w:hint="eastAsia" w:ascii="仿宋" w:hAnsi="仿宋" w:eastAsia="仿宋" w:cs="仿宋"/>
          <w:b/>
          <w:bCs/>
          <w:spacing w:val="-9"/>
          <w:sz w:val="72"/>
          <w:szCs w:val="72"/>
        </w:rPr>
        <w:t xml:space="preserve"> </w:t>
      </w:r>
      <w:r>
        <w:rPr>
          <w:rFonts w:hint="eastAsia" w:ascii="仿宋" w:hAnsi="仿宋" w:eastAsia="仿宋" w:cs="仿宋"/>
          <w:b/>
          <w:bCs/>
          <w:sz w:val="72"/>
          <w:szCs w:val="72"/>
        </w:rPr>
        <w:t>合</w:t>
      </w:r>
      <w:r>
        <w:rPr>
          <w:rFonts w:hint="eastAsia" w:ascii="仿宋" w:hAnsi="仿宋" w:eastAsia="仿宋" w:cs="仿宋"/>
          <w:b/>
          <w:bCs/>
          <w:spacing w:val="-10"/>
          <w:sz w:val="72"/>
          <w:szCs w:val="72"/>
        </w:rPr>
        <w:t xml:space="preserve"> </w:t>
      </w:r>
      <w:r>
        <w:rPr>
          <w:rFonts w:hint="eastAsia" w:ascii="仿宋" w:hAnsi="仿宋" w:eastAsia="仿宋" w:cs="仿宋"/>
          <w:b/>
          <w:bCs/>
          <w:sz w:val="72"/>
          <w:szCs w:val="72"/>
        </w:rPr>
        <w:t>同</w:t>
      </w:r>
    </w:p>
    <w:p>
      <w:pPr>
        <w:pStyle w:val="9"/>
        <w:kinsoku w:val="0"/>
        <w:overflowPunct w:val="0"/>
        <w:spacing w:before="0"/>
        <w:ind w:left="0"/>
        <w:rPr>
          <w:rFonts w:hint="eastAsia" w:ascii="仿宋" w:hAnsi="仿宋" w:eastAsia="仿宋" w:cs="仿宋"/>
          <w:b/>
          <w:bCs/>
          <w:sz w:val="72"/>
          <w:szCs w:val="72"/>
        </w:rPr>
      </w:pPr>
    </w:p>
    <w:p>
      <w:pPr>
        <w:pStyle w:val="9"/>
        <w:kinsoku w:val="0"/>
        <w:overflowPunct w:val="0"/>
        <w:spacing w:before="0"/>
        <w:ind w:left="0"/>
        <w:rPr>
          <w:rFonts w:hint="eastAsia" w:ascii="仿宋" w:hAnsi="仿宋" w:eastAsia="仿宋" w:cs="仿宋"/>
          <w:b/>
          <w:bCs/>
          <w:sz w:val="63"/>
          <w:szCs w:val="63"/>
        </w:rPr>
      </w:pPr>
    </w:p>
    <w:p>
      <w:pPr>
        <w:pStyle w:val="9"/>
        <w:kinsoku w:val="0"/>
        <w:overflowPunct w:val="0"/>
        <w:spacing w:before="0"/>
        <w:jc w:val="both"/>
        <w:rPr>
          <w:rFonts w:hint="eastAsia" w:ascii="仿宋" w:hAnsi="仿宋" w:eastAsia="仿宋" w:cs="仿宋"/>
          <w:sz w:val="28"/>
          <w:szCs w:val="28"/>
        </w:rPr>
      </w:pPr>
      <w:r>
        <w:rPr>
          <w:rFonts w:hint="eastAsia" w:ascii="仿宋" w:hAnsi="仿宋" w:eastAsia="仿宋" w:cs="仿宋"/>
          <w:b/>
          <w:bCs/>
          <w:sz w:val="32"/>
          <w:szCs w:val="32"/>
          <w:lang w:val="en-US" w:eastAsia="zh-CN"/>
        </w:rPr>
        <w:t xml:space="preserve">           </w:t>
      </w:r>
      <w:r>
        <w:rPr>
          <w:rFonts w:hint="eastAsia" w:hAnsi="仿宋" w:cs="仿宋"/>
          <w:b/>
          <w:bCs/>
          <w:sz w:val="32"/>
          <w:szCs w:val="32"/>
          <w:lang w:val="en-US" w:eastAsia="zh-CN"/>
        </w:rPr>
        <w:t>合同</w:t>
      </w:r>
      <w:r>
        <w:rPr>
          <w:rFonts w:hint="eastAsia" w:ascii="仿宋" w:hAnsi="仿宋" w:eastAsia="仿宋" w:cs="仿宋"/>
          <w:b/>
          <w:bCs/>
          <w:sz w:val="32"/>
          <w:szCs w:val="32"/>
        </w:rPr>
        <w:t>编号：</w:t>
      </w:r>
    </w:p>
    <w:p>
      <w:pPr>
        <w:pStyle w:val="9"/>
        <w:kinsoku w:val="0"/>
        <w:overflowPunct w:val="0"/>
        <w:spacing w:before="0"/>
        <w:ind w:left="0"/>
        <w:rPr>
          <w:rFonts w:hint="eastAsia" w:ascii="仿宋" w:hAnsi="仿宋" w:eastAsia="仿宋" w:cs="仿宋"/>
          <w:b/>
          <w:bCs/>
          <w:sz w:val="32"/>
          <w:szCs w:val="32"/>
        </w:rPr>
      </w:pPr>
    </w:p>
    <w:p>
      <w:pPr>
        <w:pStyle w:val="9"/>
        <w:kinsoku w:val="0"/>
        <w:overflowPunct w:val="0"/>
        <w:spacing w:before="0"/>
        <w:ind w:left="0"/>
        <w:rPr>
          <w:rFonts w:hint="eastAsia" w:ascii="仿宋" w:hAnsi="仿宋" w:eastAsia="仿宋" w:cs="仿宋"/>
          <w:b/>
          <w:bCs/>
          <w:sz w:val="32"/>
          <w:szCs w:val="32"/>
        </w:rPr>
      </w:pPr>
    </w:p>
    <w:p>
      <w:pPr>
        <w:pStyle w:val="9"/>
        <w:kinsoku w:val="0"/>
        <w:overflowPunct w:val="0"/>
        <w:spacing w:before="0"/>
        <w:ind w:left="0"/>
        <w:rPr>
          <w:rFonts w:hint="eastAsia" w:ascii="仿宋" w:hAnsi="仿宋" w:eastAsia="仿宋" w:cs="仿宋"/>
          <w:b/>
          <w:bCs/>
          <w:sz w:val="32"/>
          <w:szCs w:val="32"/>
        </w:rPr>
      </w:pPr>
    </w:p>
    <w:p>
      <w:pPr>
        <w:pStyle w:val="9"/>
        <w:kinsoku w:val="0"/>
        <w:overflowPunct w:val="0"/>
        <w:spacing w:before="0"/>
        <w:ind w:left="0"/>
        <w:rPr>
          <w:rFonts w:hint="eastAsia" w:ascii="仿宋" w:hAnsi="仿宋" w:eastAsia="仿宋" w:cs="仿宋"/>
          <w:b/>
          <w:bCs/>
          <w:sz w:val="32"/>
          <w:szCs w:val="32"/>
        </w:rPr>
      </w:pPr>
    </w:p>
    <w:p>
      <w:pPr>
        <w:pStyle w:val="9"/>
        <w:kinsoku w:val="0"/>
        <w:overflowPunct w:val="0"/>
        <w:spacing w:before="4"/>
        <w:ind w:left="0"/>
        <w:rPr>
          <w:rFonts w:hint="eastAsia" w:ascii="仿宋" w:hAnsi="仿宋" w:eastAsia="仿宋" w:cs="仿宋"/>
          <w:b/>
          <w:bCs/>
          <w:sz w:val="31"/>
          <w:szCs w:val="31"/>
        </w:rPr>
      </w:pPr>
    </w:p>
    <w:p>
      <w:pPr>
        <w:pStyle w:val="9"/>
        <w:kinsoku w:val="0"/>
        <w:overflowPunct w:val="0"/>
        <w:spacing w:before="4"/>
        <w:ind w:left="0"/>
        <w:rPr>
          <w:rFonts w:hint="eastAsia" w:ascii="仿宋" w:hAnsi="仿宋" w:eastAsia="仿宋" w:cs="仿宋"/>
          <w:b/>
          <w:bCs/>
          <w:sz w:val="31"/>
          <w:szCs w:val="31"/>
        </w:rPr>
      </w:pPr>
    </w:p>
    <w:p>
      <w:pPr>
        <w:pStyle w:val="9"/>
        <w:kinsoku w:val="0"/>
        <w:overflowPunct w:val="0"/>
        <w:spacing w:before="4"/>
        <w:ind w:left="0"/>
        <w:rPr>
          <w:rFonts w:hint="eastAsia" w:ascii="仿宋" w:hAnsi="仿宋" w:eastAsia="仿宋" w:cs="仿宋"/>
          <w:b/>
          <w:bCs/>
          <w:sz w:val="31"/>
          <w:szCs w:val="31"/>
        </w:rPr>
      </w:pP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b/>
          <w:bCs/>
          <w:spacing w:val="1"/>
          <w:kern w:val="0"/>
          <w:sz w:val="32"/>
          <w:szCs w:val="32"/>
          <w:lang w:val="en-US" w:eastAsia="zh-CN" w:bidi="ar-SA"/>
        </w:rPr>
      </w:pPr>
      <w:r>
        <w:rPr>
          <w:rFonts w:hint="eastAsia" w:ascii="仿宋" w:hAnsi="仿宋" w:eastAsia="仿宋" w:cs="仿宋"/>
          <w:b/>
          <w:bCs/>
          <w:spacing w:val="1"/>
          <w:kern w:val="0"/>
          <w:sz w:val="32"/>
          <w:szCs w:val="32"/>
          <w:lang w:val="en-US" w:eastAsia="zh-CN" w:bidi="ar-SA"/>
        </w:rPr>
        <w:t>采购人：</w:t>
      </w:r>
    </w:p>
    <w:p>
      <w:pPr>
        <w:keepNext w:val="0"/>
        <w:keepLines w:val="0"/>
        <w:widowControl/>
        <w:suppressLineNumbers w:val="0"/>
        <w:jc w:val="left"/>
        <w:rPr>
          <w:rFonts w:hint="eastAsia" w:ascii="仿宋" w:hAnsi="仿宋" w:eastAsia="仿宋" w:cs="仿宋"/>
          <w:b/>
          <w:bCs/>
          <w:spacing w:val="1"/>
          <w:kern w:val="0"/>
          <w:sz w:val="32"/>
          <w:szCs w:val="32"/>
          <w:lang w:val="en-US" w:eastAsia="zh-CN" w:bidi="ar-SA"/>
        </w:rPr>
      </w:pPr>
      <w:r>
        <w:rPr>
          <w:rFonts w:hint="eastAsia" w:ascii="仿宋" w:hAnsi="仿宋" w:eastAsia="仿宋" w:cs="仿宋"/>
          <w:b/>
          <w:bCs/>
          <w:spacing w:val="1"/>
          <w:kern w:val="0"/>
          <w:sz w:val="32"/>
          <w:szCs w:val="32"/>
          <w:lang w:val="en-US" w:eastAsia="zh-CN" w:bidi="ar-SA"/>
        </w:rPr>
        <w:t xml:space="preserve">项目名称： </w:t>
      </w:r>
    </w:p>
    <w:p>
      <w:pPr>
        <w:keepNext w:val="0"/>
        <w:keepLines w:val="0"/>
        <w:widowControl/>
        <w:suppressLineNumbers w:val="0"/>
        <w:jc w:val="left"/>
        <w:rPr>
          <w:rFonts w:hint="eastAsia" w:ascii="仿宋" w:hAnsi="仿宋" w:eastAsia="仿宋" w:cs="仿宋"/>
          <w:b/>
          <w:bCs/>
          <w:spacing w:val="1"/>
          <w:kern w:val="0"/>
          <w:sz w:val="32"/>
          <w:szCs w:val="32"/>
          <w:lang w:val="en-US" w:eastAsia="zh-CN" w:bidi="ar-SA"/>
        </w:rPr>
      </w:pPr>
      <w:r>
        <w:rPr>
          <w:rFonts w:hint="eastAsia" w:ascii="仿宋" w:hAnsi="仿宋" w:eastAsia="仿宋" w:cs="仿宋"/>
          <w:b/>
          <w:bCs/>
          <w:spacing w:val="1"/>
          <w:kern w:val="0"/>
          <w:sz w:val="32"/>
          <w:szCs w:val="32"/>
          <w:lang w:val="en-US" w:eastAsia="zh-CN" w:bidi="ar-SA"/>
        </w:rPr>
        <w:t>供应商：</w:t>
      </w:r>
    </w:p>
    <w:p>
      <w:pPr>
        <w:pStyle w:val="24"/>
        <w:kinsoku w:val="0"/>
        <w:overflowPunct w:val="0"/>
        <w:spacing w:line="356" w:lineRule="auto"/>
        <w:ind w:left="1397" w:right="6304"/>
        <w:jc w:val="both"/>
        <w:outlineLvl w:val="9"/>
        <w:rPr>
          <w:rFonts w:hint="eastAsia" w:ascii="仿宋" w:hAnsi="仿宋" w:eastAsia="仿宋" w:cs="仿宋"/>
          <w:w w:val="99"/>
        </w:rPr>
      </w:pPr>
    </w:p>
    <w:p>
      <w:pPr>
        <w:pStyle w:val="24"/>
        <w:kinsoku w:val="0"/>
        <w:overflowPunct w:val="0"/>
        <w:spacing w:line="356" w:lineRule="auto"/>
        <w:ind w:left="0" w:leftChars="0" w:right="6304" w:firstLine="0" w:firstLineChars="0"/>
        <w:jc w:val="both"/>
        <w:outlineLvl w:val="9"/>
        <w:rPr>
          <w:rFonts w:hint="eastAsia" w:ascii="仿宋" w:hAnsi="仿宋" w:eastAsia="仿宋" w:cs="仿宋"/>
          <w:w w:val="99"/>
        </w:rPr>
      </w:pPr>
      <w:r>
        <w:rPr>
          <w:rFonts w:hint="eastAsia" w:ascii="仿宋" w:hAnsi="仿宋" w:eastAsia="仿宋" w:cs="仿宋"/>
          <w:w w:val="99"/>
        </w:rPr>
        <w:t xml:space="preserve"> </w:t>
      </w:r>
    </w:p>
    <w:p>
      <w:pPr>
        <w:pStyle w:val="9"/>
        <w:kinsoku w:val="0"/>
        <w:overflowPunct w:val="0"/>
        <w:spacing w:before="47"/>
        <w:ind w:left="1397"/>
        <w:jc w:val="center"/>
        <w:rPr>
          <w:rFonts w:hint="eastAsia" w:ascii="仿宋" w:hAnsi="仿宋" w:eastAsia="仿宋" w:cs="仿宋"/>
          <w:sz w:val="32"/>
          <w:szCs w:val="32"/>
        </w:rPr>
      </w:pPr>
      <w:r>
        <w:rPr>
          <w:rFonts w:hint="eastAsia" w:ascii="仿宋" w:hAnsi="仿宋" w:eastAsia="仿宋" w:cs="仿宋"/>
          <w:b/>
          <w:bCs/>
          <w:spacing w:val="1"/>
          <w:sz w:val="32"/>
          <w:szCs w:val="32"/>
        </w:rPr>
        <w:t>签订日期：×年×月×日</w:t>
      </w:r>
    </w:p>
    <w:p>
      <w:pPr>
        <w:rPr>
          <w:rFonts w:hint="eastAsia" w:ascii="仿宋" w:hAnsi="仿宋" w:eastAsia="仿宋" w:cs="仿宋"/>
        </w:rPr>
      </w:pPr>
    </w:p>
    <w:p>
      <w:pPr>
        <w:spacing w:line="420" w:lineRule="exact"/>
        <w:ind w:firstLine="480" w:firstLineChars="200"/>
        <w:rPr>
          <w:rFonts w:hint="eastAsia" w:ascii="仿宋" w:hAnsi="仿宋" w:eastAsia="仿宋" w:cs="仿宋"/>
          <w:kern w:val="0"/>
          <w:sz w:val="24"/>
          <w:szCs w:val="24"/>
        </w:rPr>
      </w:pPr>
    </w:p>
    <w:p>
      <w:pPr>
        <w:spacing w:line="420" w:lineRule="exact"/>
        <w:ind w:firstLine="480" w:firstLineChars="200"/>
        <w:rPr>
          <w:rFonts w:hint="eastAsia" w:ascii="仿宋" w:hAnsi="仿宋" w:eastAsia="仿宋" w:cs="仿宋"/>
          <w:kern w:val="0"/>
          <w:sz w:val="24"/>
          <w:szCs w:val="24"/>
        </w:rPr>
      </w:pPr>
    </w:p>
    <w:p>
      <w:pPr>
        <w:pStyle w:val="9"/>
        <w:kinsoku w:val="0"/>
        <w:overflowPunct w:val="0"/>
        <w:spacing w:before="34" w:line="357" w:lineRule="auto"/>
        <w:ind w:left="0" w:leftChars="0" w:right="126" w:firstLine="0" w:firstLineChars="0"/>
        <w:rPr>
          <w:rFonts w:hint="eastAsia" w:ascii="仿宋" w:hAnsi="仿宋" w:eastAsia="仿宋" w:cs="仿宋"/>
        </w:rPr>
      </w:pPr>
    </w:p>
    <w:p>
      <w:pPr>
        <w:pStyle w:val="9"/>
        <w:kinsoku w:val="0"/>
        <w:overflowPunct w:val="0"/>
        <w:spacing w:before="34" w:line="357" w:lineRule="auto"/>
        <w:ind w:left="0" w:leftChars="0" w:right="126" w:firstLine="0" w:firstLineChars="0"/>
        <w:rPr>
          <w:rFonts w:hint="eastAsia" w:ascii="仿宋" w:hAnsi="仿宋" w:eastAsia="仿宋" w:cs="仿宋"/>
        </w:rPr>
      </w:pPr>
    </w:p>
    <w:p>
      <w:pPr>
        <w:pStyle w:val="9"/>
        <w:kinsoku w:val="0"/>
        <w:overflowPunct w:val="0"/>
        <w:spacing w:before="34" w:line="357" w:lineRule="auto"/>
        <w:ind w:left="0" w:leftChars="0" w:right="126" w:firstLine="0" w:firstLineChars="0"/>
        <w:rPr>
          <w:rFonts w:hint="eastAsia" w:ascii="仿宋" w:hAnsi="仿宋" w:eastAsia="仿宋" w:cs="仿宋"/>
        </w:rPr>
      </w:pPr>
    </w:p>
    <w:p>
      <w:pPr>
        <w:pStyle w:val="9"/>
        <w:kinsoku w:val="0"/>
        <w:overflowPunct w:val="0"/>
        <w:spacing w:before="34" w:line="357" w:lineRule="auto"/>
        <w:ind w:left="0" w:leftChars="0" w:right="126" w:firstLine="0" w:firstLineChars="0"/>
        <w:rPr>
          <w:rFonts w:hint="eastAsia" w:ascii="仿宋" w:hAnsi="仿宋" w:eastAsia="仿宋" w:cs="仿宋"/>
        </w:rPr>
      </w:pP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项目名称： </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项目编号： </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甲方（采购人）： </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乙方（供应商）： </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丙方（鉴证方）：</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本项目于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年  月  日经过竞争性磋商，确定（成交供应商名称）为（项目名称）成交人，经甲乙双方协商，就本项目的管理服务范围、内容、质量、价款等相关内容，双方达成如下协议：</w:t>
      </w:r>
    </w:p>
    <w:p>
      <w:pPr>
        <w:pStyle w:val="9"/>
        <w:kinsoku w:val="0"/>
        <w:overflowPunct w:val="0"/>
        <w:spacing w:before="39"/>
        <w:rPr>
          <w:rFonts w:hint="eastAsia" w:ascii="仿宋" w:hAnsi="仿宋" w:eastAsia="仿宋" w:cs="仿宋"/>
          <w:b/>
          <w:bCs/>
        </w:rPr>
      </w:pPr>
      <w:r>
        <w:rPr>
          <w:rFonts w:hint="eastAsia" w:ascii="仿宋" w:hAnsi="仿宋" w:eastAsia="仿宋" w:cs="仿宋"/>
          <w:b/>
          <w:bCs/>
        </w:rPr>
        <w:t xml:space="preserve">一、项目名称及服务地点： </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1、项目名称：</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2、项目地点：</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3、委托经营期限：</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4、服务标准： </w:t>
      </w:r>
    </w:p>
    <w:p>
      <w:pPr>
        <w:pStyle w:val="9"/>
        <w:kinsoku w:val="0"/>
        <w:overflowPunct w:val="0"/>
        <w:spacing w:before="0"/>
        <w:ind w:left="0"/>
        <w:rPr>
          <w:rFonts w:hint="eastAsia" w:ascii="仿宋" w:hAnsi="仿宋" w:eastAsia="仿宋" w:cs="仿宋"/>
          <w:b/>
          <w:bCs/>
        </w:rPr>
      </w:pPr>
      <w:r>
        <w:rPr>
          <w:rFonts w:hint="eastAsia" w:ascii="仿宋" w:hAnsi="仿宋" w:eastAsia="仿宋" w:cs="仿宋"/>
          <w:b/>
          <w:bCs/>
        </w:rPr>
        <w:t>二、合同价款及支付方式</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1、合同价款：价款：（大写）</w:t>
      </w:r>
      <w:r>
        <w:rPr>
          <w:rFonts w:hint="eastAsia" w:ascii="仿宋" w:hAnsi="仿宋" w:eastAsia="仿宋" w:cs="仿宋"/>
          <w:kern w:val="0"/>
          <w:sz w:val="24"/>
          <w:szCs w:val="24"/>
        </w:rPr>
        <w:tab/>
      </w:r>
      <w:r>
        <w:rPr>
          <w:rFonts w:hint="eastAsia" w:ascii="仿宋" w:hAnsi="仿宋" w:eastAsia="仿宋" w:cs="仿宋"/>
          <w:kern w:val="0"/>
          <w:sz w:val="24"/>
          <w:szCs w:val="24"/>
        </w:rPr>
        <w:t>元（￥：</w:t>
      </w:r>
      <w:r>
        <w:rPr>
          <w:rFonts w:hint="eastAsia" w:ascii="仿宋" w:hAnsi="仿宋" w:eastAsia="仿宋" w:cs="仿宋"/>
          <w:kern w:val="0"/>
          <w:sz w:val="24"/>
          <w:szCs w:val="24"/>
        </w:rPr>
        <w:tab/>
      </w:r>
      <w:r>
        <w:rPr>
          <w:rFonts w:hint="eastAsia" w:ascii="仿宋" w:hAnsi="仿宋" w:eastAsia="仿宋" w:cs="仿宋"/>
          <w:kern w:val="0"/>
          <w:sz w:val="24"/>
          <w:szCs w:val="24"/>
        </w:rPr>
        <w:t xml:space="preserve">元）； </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rPr>
        <w:t>2、</w:t>
      </w:r>
      <w:r>
        <w:rPr>
          <w:rFonts w:hint="eastAsia" w:ascii="仿宋" w:hAnsi="仿宋" w:eastAsia="仿宋" w:cs="仿宋"/>
          <w:color w:val="auto"/>
          <w:kern w:val="0"/>
          <w:sz w:val="24"/>
          <w:szCs w:val="24"/>
        </w:rPr>
        <w:t>支付方式</w:t>
      </w:r>
      <w:r>
        <w:rPr>
          <w:rFonts w:hint="eastAsia" w:ascii="仿宋" w:hAnsi="仿宋" w:eastAsia="仿宋" w:cs="仿宋"/>
          <w:color w:val="auto"/>
          <w:kern w:val="0"/>
          <w:sz w:val="24"/>
          <w:szCs w:val="24"/>
          <w:lang w:eastAsia="zh-CN"/>
        </w:rPr>
        <w:t>：</w:t>
      </w:r>
    </w:p>
    <w:p>
      <w:pPr>
        <w:pStyle w:val="9"/>
        <w:kinsoku w:val="0"/>
        <w:overflowPunct w:val="0"/>
        <w:spacing w:before="34"/>
        <w:ind w:left="0" w:leftChars="0" w:firstLine="0" w:firstLineChars="0"/>
        <w:jc w:val="both"/>
        <w:rPr>
          <w:rFonts w:hint="eastAsia" w:ascii="仿宋" w:hAnsi="仿宋" w:eastAsia="仿宋" w:cs="仿宋"/>
          <w:b/>
          <w:bCs/>
          <w:sz w:val="28"/>
          <w:szCs w:val="28"/>
        </w:rPr>
      </w:pPr>
      <w:r>
        <w:rPr>
          <w:rFonts w:hint="eastAsia" w:ascii="仿宋" w:hAnsi="仿宋" w:eastAsia="仿宋" w:cs="仿宋"/>
          <w:b/>
          <w:bCs/>
          <w:sz w:val="28"/>
          <w:szCs w:val="28"/>
        </w:rPr>
        <w:t>付款方式</w:t>
      </w:r>
    </w:p>
    <w:p>
      <w:pPr>
        <w:pStyle w:val="9"/>
        <w:kinsoku w:val="0"/>
        <w:overflowPunct w:val="0"/>
        <w:spacing w:before="34"/>
        <w:ind w:left="0" w:leftChars="0" w:firstLine="0" w:firstLineChars="0"/>
        <w:jc w:val="both"/>
        <w:rPr>
          <w:rFonts w:hint="eastAsia" w:ascii="仿宋" w:hAnsi="仿宋" w:eastAsia="仿宋" w:cs="仿宋"/>
          <w:color w:val="auto"/>
          <w:kern w:val="0"/>
          <w:sz w:val="24"/>
          <w:szCs w:val="24"/>
          <w:lang w:val="en-US" w:eastAsia="zh-CN" w:bidi="ar-SA"/>
        </w:rPr>
      </w:pP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color w:val="auto"/>
          <w:kern w:val="0"/>
          <w:sz w:val="24"/>
          <w:szCs w:val="24"/>
          <w:lang w:val="en-US" w:eastAsia="zh-CN" w:bidi="ar-SA"/>
        </w:rPr>
        <w:t xml:space="preserve">  1）水闸日常维修养护部分分3次支付，第一次闸门定期检修完成后支付该单项工程合同价款的30%；当年年底支付至该单项工程合同价款的60%；第二次闸门定期检修完成并通过完工验收后支付至该单项工程合同价款的97%；留3%作为质量保证金，质保期1年，质保期内无质量问题且经再次验收合格后支付质量保证金。</w:t>
      </w:r>
    </w:p>
    <w:p>
      <w:pPr>
        <w:pStyle w:val="9"/>
        <w:kinsoku w:val="0"/>
        <w:overflowPunct w:val="0"/>
        <w:spacing w:before="34"/>
        <w:ind w:left="0" w:leftChars="0" w:firstLine="0" w:firstLineChars="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2）其他维修养护部分按工程进度付款，单项工程完工验收合格后工程款累计支付金额达到单项工程合同价款的90%；完成竣工结算审核后工程款累计支付金额达到审定金额的97%；留审定金额的3%作为质量保证金，质保期1年，质保期内无质量问题且经再次验收合格后支付质量保证金。</w:t>
      </w:r>
    </w:p>
    <w:p>
      <w:pPr>
        <w:pStyle w:val="9"/>
        <w:kinsoku w:val="0"/>
        <w:overflowPunct w:val="0"/>
        <w:spacing w:before="39"/>
        <w:rPr>
          <w:rFonts w:hint="eastAsia" w:ascii="仿宋" w:hAnsi="仿宋" w:eastAsia="仿宋" w:cs="仿宋"/>
          <w:b/>
          <w:bCs/>
        </w:rPr>
      </w:pPr>
      <w:r>
        <w:rPr>
          <w:rFonts w:hint="eastAsia" w:ascii="仿宋" w:hAnsi="仿宋" w:eastAsia="仿宋" w:cs="仿宋"/>
          <w:b/>
          <w:bCs/>
        </w:rPr>
        <w:t>三、供货周期及方式</w:t>
      </w:r>
    </w:p>
    <w:tbl>
      <w:tblPr>
        <w:tblStyle w:val="15"/>
        <w:tblpPr w:leftFromText="180" w:rightFromText="180" w:vertAnchor="text" w:horzAnchor="page" w:tblpX="1106" w:tblpY="864"/>
        <w:tblOverlap w:val="never"/>
        <w:tblW w:w="99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70"/>
        <w:gridCol w:w="2560"/>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0" w:hRule="atLeast"/>
        </w:trPr>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380"/>
              </w:tabs>
              <w:bidi w:val="0"/>
              <w:jc w:val="left"/>
              <w:rPr>
                <w:rFonts w:hint="eastAsia" w:ascii="仿宋" w:hAnsi="仿宋" w:eastAsia="仿宋" w:cs="仿宋"/>
                <w:i w:val="0"/>
                <w:color w:val="000000"/>
                <w:sz w:val="24"/>
                <w:szCs w:val="24"/>
                <w:u w:val="none"/>
              </w:rPr>
            </w:pPr>
            <w:r>
              <w:rPr>
                <w:rFonts w:hint="eastAsia"/>
                <w:lang w:eastAsia="zh-CN"/>
              </w:rPr>
              <w:tab/>
            </w:r>
            <w:r>
              <w:rPr>
                <w:rFonts w:hint="eastAsia" w:ascii="仿宋" w:hAnsi="仿宋" w:eastAsia="仿宋" w:cs="仿宋"/>
                <w:i w:val="0"/>
                <w:color w:val="000000"/>
                <w:kern w:val="0"/>
                <w:sz w:val="24"/>
                <w:szCs w:val="24"/>
                <w:u w:val="none"/>
                <w:lang w:val="en-US" w:eastAsia="zh-CN" w:bidi="ar"/>
              </w:rPr>
              <w:t>项目名称</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计划开工日期</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823" w:rightChars="392"/>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计划完工日期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0" w:hRule="atLeast"/>
        </w:trPr>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106座水闸日常维修养护(199套闸门、启闭机、螺杆、钢丝绳、止水橡胶、电器设备及其他附属设施检修）</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2021年6月25日</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2022年6月24日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trPr>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闸门除锈喷漆(67扇）</w:t>
            </w:r>
          </w:p>
        </w:tc>
        <w:tc>
          <w:tcPr>
            <w:tcW w:w="2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2021年6月25</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2021年9月30日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60" w:hRule="atLeast"/>
        </w:trPr>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孔雀河第一分水枢纽库塔干渠引（进）水闸钢铁复合闸门（3*3.5m）制作安装（含旧闸门拆除、闸槽砼及钢结构拆除、二期砼浇筑等）</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0" w:hRule="atLeast"/>
        </w:trPr>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手电两用螺杆式启闭机制安（QL-150KN,螺杆直径90mm，含限位开关、启动柜，含旧启闭机拆除）</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闸门侧行走支撑制作安装</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bl>
    <w:p>
      <w:pPr>
        <w:spacing w:line="42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工</w:t>
      </w:r>
      <w:r>
        <w:rPr>
          <w:rFonts w:hint="eastAsia" w:ascii="仿宋" w:hAnsi="仿宋" w:eastAsia="仿宋" w:cs="仿宋"/>
          <w:kern w:val="0"/>
          <w:sz w:val="24"/>
          <w:szCs w:val="24"/>
          <w:highlight w:val="none"/>
        </w:rPr>
        <w:t>期：</w:t>
      </w:r>
      <w:r>
        <w:rPr>
          <w:rFonts w:hint="eastAsia" w:ascii="仿宋" w:hAnsi="仿宋" w:eastAsia="仿宋" w:cs="仿宋"/>
          <w:kern w:val="0"/>
          <w:sz w:val="24"/>
          <w:szCs w:val="24"/>
          <w:highlight w:val="none"/>
          <w:lang w:val="en-US" w:eastAsia="zh-CN"/>
        </w:rPr>
        <w:t>自合同签订之日起一年。</w:t>
      </w:r>
    </w:p>
    <w:p>
      <w:pPr>
        <w:pStyle w:val="2"/>
        <w:ind w:left="0" w:leftChars="0" w:firstLine="0" w:firstLineChars="0"/>
        <w:rPr>
          <w:rFonts w:hint="eastAsia" w:ascii="仿宋" w:hAnsi="仿宋" w:eastAsia="仿宋" w:cs="仿宋"/>
          <w:b/>
          <w:bCs/>
          <w:kern w:val="0"/>
          <w:sz w:val="24"/>
          <w:szCs w:val="24"/>
          <w:lang w:val="en-US" w:eastAsia="zh-CN" w:bidi="ar-SA"/>
        </w:rPr>
      </w:pPr>
      <w:r>
        <w:rPr>
          <w:rFonts w:hint="eastAsia" w:ascii="仿宋" w:hAnsi="仿宋" w:eastAsia="仿宋" w:cs="仿宋"/>
          <w:lang w:val="en-US" w:eastAsia="zh-CN"/>
        </w:rPr>
        <w:t xml:space="preserve">                                        </w:t>
      </w:r>
      <w:r>
        <w:rPr>
          <w:rFonts w:hint="eastAsia" w:ascii="仿宋" w:hAnsi="仿宋" w:eastAsia="仿宋" w:cs="仿宋"/>
          <w:b/>
          <w:bCs/>
          <w:kern w:val="0"/>
          <w:sz w:val="24"/>
          <w:szCs w:val="24"/>
          <w:lang w:val="en-US" w:eastAsia="zh-CN" w:bidi="ar-SA"/>
        </w:rPr>
        <w:t>计划工期表</w:t>
      </w:r>
    </w:p>
    <w:p>
      <w:pPr>
        <w:pStyle w:val="9"/>
        <w:kinsoku w:val="0"/>
        <w:overflowPunct w:val="0"/>
        <w:spacing w:before="39"/>
        <w:rPr>
          <w:rFonts w:hint="eastAsia" w:ascii="仿宋" w:hAnsi="仿宋" w:eastAsia="仿宋" w:cs="仿宋"/>
          <w:b/>
          <w:bCs/>
        </w:rPr>
      </w:pPr>
      <w:r>
        <w:rPr>
          <w:rFonts w:hint="eastAsia" w:ascii="仿宋" w:hAnsi="仿宋" w:eastAsia="仿宋" w:cs="仿宋"/>
          <w:b/>
          <w:bCs/>
        </w:rPr>
        <w:t>四、服务范围</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专业服务咨询管理机构按照依法、依规和执业准则，制定年度建设工程质量、安全监督检查计划，定期、不定期的进行检查并协助规划建设行政主管部门做好对涉及建筑施工质量、安全生产的事项需要审批或验收等工作。</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2、加强对高危建设工程施工单位安全生产检查和隐患治理的技术保障；及时上报规划建设行政建设行政主管部门，做好协调督促服务工作。</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3、编制建设工程重大安全生产应预案、演练和策划应急救援技术服务。</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4、建设工程施工作业场所职业危害因素委托检验检测。</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5、建设工程项目安全生产标准化达标评审的抽查和技术指导服务工作。</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6、建设工程安全生产教育培训、技术专题公益宣传及其辅助性服务事项。</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7、其他需要的安全生产技术咨询服务事项。</w:t>
      </w:r>
    </w:p>
    <w:p>
      <w:pPr>
        <w:pStyle w:val="9"/>
        <w:kinsoku w:val="0"/>
        <w:overflowPunct w:val="0"/>
        <w:spacing w:before="39"/>
        <w:rPr>
          <w:rFonts w:hint="eastAsia" w:ascii="仿宋" w:hAnsi="仿宋" w:eastAsia="仿宋" w:cs="仿宋"/>
          <w:b/>
          <w:bCs/>
        </w:rPr>
      </w:pPr>
      <w:r>
        <w:rPr>
          <w:rFonts w:hint="eastAsia" w:ascii="仿宋" w:hAnsi="仿宋" w:eastAsia="仿宋" w:cs="仿宋"/>
          <w:b/>
          <w:bCs/>
        </w:rPr>
        <w:t>五、质量标准要求：（详见采购内容）</w:t>
      </w:r>
    </w:p>
    <w:p>
      <w:pPr>
        <w:pStyle w:val="9"/>
        <w:kinsoku w:val="0"/>
        <w:overflowPunct w:val="0"/>
        <w:spacing w:before="39"/>
        <w:rPr>
          <w:rFonts w:hint="eastAsia" w:ascii="仿宋" w:hAnsi="仿宋" w:eastAsia="仿宋" w:cs="仿宋"/>
        </w:rPr>
      </w:pPr>
      <w:r>
        <w:rPr>
          <w:rFonts w:hint="eastAsia" w:ascii="仿宋" w:hAnsi="仿宋" w:eastAsia="仿宋" w:cs="仿宋"/>
          <w:b/>
          <w:bCs/>
          <w:lang w:eastAsia="zh-CN"/>
        </w:rPr>
        <w:t>六</w:t>
      </w:r>
      <w:r>
        <w:rPr>
          <w:rFonts w:hint="eastAsia" w:ascii="仿宋" w:hAnsi="仿宋" w:eastAsia="仿宋" w:cs="仿宋"/>
          <w:b/>
          <w:bCs/>
        </w:rPr>
        <w:t>、甲方责任：</w:t>
      </w:r>
      <w:r>
        <w:rPr>
          <w:rFonts w:hint="eastAsia" w:ascii="仿宋" w:hAnsi="仿宋" w:eastAsia="仿宋" w:cs="仿宋"/>
        </w:rPr>
        <w:t xml:space="preserve"> </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1、全面监督、指导、检查验收、考核乙方工作，发现问题及时通知乙方，要求乙方及时予以处理，对乙方提出的合理建议和要求予以采纳或提供帮助。 </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2、如遇特殊工作需求时（如外来人员参观、创优检查等情况），需提前通知乙方安排人员进行准备工作。 </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3、有权制定相应之管理措施、监督检查标准等，以保证乙方按照合同及其他双方议定之要求进行作业。</w:t>
      </w:r>
    </w:p>
    <w:p>
      <w:pPr>
        <w:spacing w:line="420" w:lineRule="exact"/>
        <w:ind w:firstLine="480" w:firstLineChars="200"/>
        <w:rPr>
          <w:rFonts w:hint="eastAsia" w:ascii="仿宋" w:hAnsi="仿宋" w:eastAsia="仿宋" w:cs="仿宋"/>
        </w:rPr>
      </w:pPr>
      <w:r>
        <w:rPr>
          <w:rFonts w:hint="eastAsia" w:ascii="仿宋" w:hAnsi="仿宋" w:eastAsia="仿宋" w:cs="仿宋"/>
          <w:kern w:val="0"/>
          <w:sz w:val="24"/>
          <w:szCs w:val="24"/>
        </w:rPr>
        <w:t>4、按合同约定为乙方办理结算手续。</w:t>
      </w:r>
      <w:r>
        <w:rPr>
          <w:rFonts w:hint="eastAsia" w:ascii="仿宋" w:hAnsi="仿宋" w:eastAsia="仿宋" w:cs="仿宋"/>
        </w:rPr>
        <w:t xml:space="preserve"> </w:t>
      </w:r>
    </w:p>
    <w:p>
      <w:pPr>
        <w:pStyle w:val="9"/>
        <w:kinsoku w:val="0"/>
        <w:overflowPunct w:val="0"/>
        <w:spacing w:before="39"/>
        <w:rPr>
          <w:rFonts w:hint="eastAsia" w:ascii="仿宋" w:hAnsi="仿宋" w:eastAsia="仿宋" w:cs="仿宋"/>
          <w:b/>
          <w:bCs/>
        </w:rPr>
      </w:pPr>
      <w:r>
        <w:rPr>
          <w:rFonts w:hint="eastAsia" w:ascii="仿宋" w:hAnsi="仿宋" w:eastAsia="仿宋" w:cs="仿宋"/>
          <w:b/>
          <w:bCs/>
          <w:lang w:eastAsia="zh-CN"/>
        </w:rPr>
        <w:t>七</w:t>
      </w:r>
      <w:r>
        <w:rPr>
          <w:rFonts w:hint="eastAsia" w:ascii="仿宋" w:hAnsi="仿宋" w:eastAsia="仿宋" w:cs="仿宋"/>
          <w:b/>
          <w:bCs/>
        </w:rPr>
        <w:t>、乙方责任：</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1、乙方应严格按本合同约定及其投标书中的承诺为甲方受托管理的服务；严格教育、培训和管理工作人员。遵守甲方制定的 各项规章制度，服从甲方的管理，爱护甲方及区域内的财物，维护甲方良好形象。</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2、乙方的所有工作人员，必须按甲方的有关规定办理相关手续并提交所有工作人员有效身份证明文件的复印件。工作时间，所有乙方人员必须统一着装、佩带工卡上岗。</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3、每 月 日之前将下月工作计划以书面形式交甲方审核；每月日之前以书面形式向甲方提交本月工作总结。调整的月度工作计划需要报甲方备案。</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4、如遇有关部门进行检查，乙方必须保证达到相关要求措施到位，如因乙方原因未能通过有关检查，乙方将负责全部违约责任，甲方有权视具体情况对乙方采取相应处罚。</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5、乙方负责人应与甲方每月联检一次，每月至少指派一名管理人员和甲方检查承 包范围内的工作情况，并积极征询甲方意见，加强沟通，不断提高服务品质。</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6、乙方应科学、合理安排进驻甲方工作现场之人员的工作时间和计划，负责承担 所有人员的工资、住宿、福利、保险及其他一切费用。因乙方员工发生劳动争议而影响或有可能影响到本合同的履行，乙方应及时做出相应调整，以保证本合同项下养老服务质量。</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7、乙方应积极听取甲方对绿化管养工作的意见，认真配合并完成各工作事项。</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8、乙方承诺自行办理公共责任保险。 </w:t>
      </w:r>
    </w:p>
    <w:p>
      <w:pPr>
        <w:pStyle w:val="9"/>
        <w:kinsoku w:val="0"/>
        <w:overflowPunct w:val="0"/>
        <w:spacing w:before="39"/>
        <w:rPr>
          <w:rFonts w:hint="eastAsia" w:ascii="仿宋" w:hAnsi="仿宋" w:eastAsia="仿宋" w:cs="仿宋"/>
          <w:b/>
          <w:bCs/>
        </w:rPr>
      </w:pPr>
      <w:r>
        <w:rPr>
          <w:rFonts w:hint="eastAsia" w:ascii="仿宋" w:hAnsi="仿宋" w:eastAsia="仿宋" w:cs="仿宋"/>
          <w:b/>
          <w:bCs/>
          <w:lang w:eastAsia="zh-CN"/>
        </w:rPr>
        <w:t>八</w:t>
      </w:r>
      <w:r>
        <w:rPr>
          <w:rFonts w:hint="eastAsia" w:ascii="仿宋" w:hAnsi="仿宋" w:eastAsia="仿宋" w:cs="仿宋"/>
          <w:b/>
          <w:bCs/>
        </w:rPr>
        <w:t>、合同履行延误</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乙方向甲方缴纳的合同履行保证金，在本合同到期后的一个月内，返还合同履行保证金。如发生下列情况，合同履行保证金不予返还或相应扣减：</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1、乙方未履行本合同约定的义务；</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2、因乙方原因给甲方造成经济损失。 </w:t>
      </w:r>
    </w:p>
    <w:p>
      <w:pPr>
        <w:pStyle w:val="9"/>
        <w:kinsoku w:val="0"/>
        <w:overflowPunct w:val="0"/>
        <w:spacing w:before="39"/>
        <w:rPr>
          <w:rFonts w:hint="eastAsia" w:ascii="仿宋" w:hAnsi="仿宋" w:eastAsia="仿宋" w:cs="仿宋"/>
          <w:b/>
          <w:bCs/>
        </w:rPr>
      </w:pPr>
      <w:r>
        <w:rPr>
          <w:rFonts w:hint="eastAsia" w:ascii="仿宋" w:hAnsi="仿宋" w:eastAsia="仿宋" w:cs="仿宋"/>
          <w:b/>
          <w:bCs/>
          <w:lang w:eastAsia="zh-CN"/>
        </w:rPr>
        <w:t>九</w:t>
      </w:r>
      <w:r>
        <w:rPr>
          <w:rFonts w:hint="eastAsia" w:ascii="仿宋" w:hAnsi="仿宋" w:eastAsia="仿宋" w:cs="仿宋"/>
          <w:b/>
          <w:bCs/>
        </w:rPr>
        <w:t xml:space="preserve">、服务标准和考核要求（详见磋商内容） </w:t>
      </w:r>
    </w:p>
    <w:p>
      <w:pPr>
        <w:pStyle w:val="9"/>
        <w:kinsoku w:val="0"/>
        <w:overflowPunct w:val="0"/>
        <w:spacing w:before="39"/>
        <w:rPr>
          <w:rFonts w:hint="eastAsia" w:ascii="仿宋" w:hAnsi="仿宋" w:eastAsia="仿宋" w:cs="仿宋"/>
          <w:b/>
          <w:bCs/>
        </w:rPr>
      </w:pPr>
      <w:r>
        <w:rPr>
          <w:rFonts w:hint="eastAsia" w:ascii="仿宋" w:hAnsi="仿宋" w:eastAsia="仿宋" w:cs="仿宋"/>
          <w:b/>
          <w:bCs/>
        </w:rPr>
        <w:t>十、违约责任</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 因乙方未能按照约定提供服务的，甲方有权要求乙方限期整改，逾期未整改且严重违约的，甲方有权利解除合同。造成甲方经济损失的，乙方应给予甲方经济赔偿。</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2.乙方在合同期满后，不移交管理权，不及时移交有关档案资料等，每逾期 1 日应向甲方支付委托期限内平均服务费用</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的违约金，由此造成的经济损失超过违约金的，还应给予赔偿。</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 由于乙方管理不善或操作不当等原因造成重大事故的，有乙方承担责任并负责善后处理。</w:t>
      </w:r>
    </w:p>
    <w:p>
      <w:pPr>
        <w:pStyle w:val="9"/>
        <w:kinsoku w:val="0"/>
        <w:overflowPunct w:val="0"/>
        <w:spacing w:before="0"/>
        <w:ind w:left="0"/>
        <w:rPr>
          <w:rFonts w:hint="eastAsia" w:ascii="仿宋" w:hAnsi="仿宋" w:eastAsia="仿宋" w:cs="仿宋"/>
          <w:b/>
          <w:bCs/>
        </w:rPr>
      </w:pPr>
      <w:r>
        <w:rPr>
          <w:rFonts w:hint="eastAsia" w:ascii="仿宋" w:hAnsi="仿宋" w:eastAsia="仿宋" w:cs="仿宋"/>
          <w:b/>
          <w:bCs/>
        </w:rPr>
        <w:t>十</w:t>
      </w:r>
      <w:r>
        <w:rPr>
          <w:rFonts w:hint="eastAsia" w:ascii="仿宋" w:hAnsi="仿宋" w:eastAsia="仿宋" w:cs="仿宋"/>
          <w:b/>
          <w:bCs/>
          <w:lang w:eastAsia="zh-CN"/>
        </w:rPr>
        <w:t>一</w:t>
      </w:r>
      <w:r>
        <w:rPr>
          <w:rFonts w:hint="eastAsia" w:ascii="仿宋" w:hAnsi="仿宋" w:eastAsia="仿宋" w:cs="仿宋"/>
          <w:b/>
          <w:bCs/>
        </w:rPr>
        <w:t xml:space="preserve">、合同变更、补充与终止 </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1.在合同履行过程中，若因政府行为或不可抗拒因素而影响本合同正常履行或某一方面需要修改、变更合同内容时，经甲乙双方协商一致，协商后所立补充条款或补充协 议与本合同具有同等效力。</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 合同规定的管理期满，本合同自然终止。</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 乙方如果丧失履约能力或被宣布破产，甲方可在任何时候以书面形式通知乙方终止合同而不给乙方补偿。该终止采购将不损害或影响甲方已经采取或将要采取任何行动或补救措施的权利。</w:t>
      </w:r>
    </w:p>
    <w:p>
      <w:pPr>
        <w:pStyle w:val="9"/>
        <w:kinsoku w:val="0"/>
        <w:overflowPunct w:val="0"/>
        <w:spacing w:before="0"/>
        <w:ind w:left="0"/>
        <w:rPr>
          <w:rFonts w:hint="eastAsia" w:ascii="仿宋" w:hAnsi="仿宋" w:eastAsia="仿宋" w:cs="仿宋"/>
          <w:b/>
          <w:bCs/>
        </w:rPr>
      </w:pPr>
      <w:r>
        <w:rPr>
          <w:rFonts w:hint="eastAsia" w:ascii="仿宋" w:hAnsi="仿宋" w:eastAsia="仿宋" w:cs="仿宋"/>
          <w:b/>
          <w:bCs/>
        </w:rPr>
        <w:t>十</w:t>
      </w:r>
      <w:r>
        <w:rPr>
          <w:rFonts w:hint="eastAsia" w:ascii="仿宋" w:hAnsi="仿宋" w:eastAsia="仿宋" w:cs="仿宋"/>
          <w:b/>
          <w:bCs/>
          <w:lang w:eastAsia="zh-CN"/>
        </w:rPr>
        <w:t>二</w:t>
      </w:r>
      <w:r>
        <w:rPr>
          <w:rFonts w:hint="eastAsia" w:ascii="仿宋" w:hAnsi="仿宋" w:eastAsia="仿宋" w:cs="仿宋"/>
          <w:b/>
          <w:bCs/>
        </w:rPr>
        <w:t xml:space="preserve">、争议的解决 </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在发生对项目服务内容、服务承诺等问题争议时，应先通过友好协商形式解决，如协商开始 30 天后仍不能解决，可以向</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提请调解。调解不成，任何一方有权在签约地选择仲裁或诉讼的途径解决。</w:t>
      </w:r>
    </w:p>
    <w:p>
      <w:pPr>
        <w:pStyle w:val="9"/>
        <w:kinsoku w:val="0"/>
        <w:overflowPunct w:val="0"/>
        <w:spacing w:before="36" w:line="357" w:lineRule="auto"/>
        <w:rPr>
          <w:rFonts w:hint="eastAsia" w:ascii="仿宋" w:hAnsi="仿宋" w:eastAsia="仿宋" w:cs="仿宋"/>
          <w:b/>
          <w:bCs/>
        </w:rPr>
      </w:pPr>
      <w:r>
        <w:rPr>
          <w:rFonts w:hint="eastAsia" w:ascii="仿宋" w:hAnsi="仿宋" w:eastAsia="仿宋" w:cs="仿宋"/>
          <w:b/>
          <w:bCs/>
        </w:rPr>
        <w:t>十</w:t>
      </w:r>
      <w:r>
        <w:rPr>
          <w:rFonts w:hint="eastAsia" w:ascii="仿宋" w:hAnsi="仿宋" w:eastAsia="仿宋" w:cs="仿宋"/>
          <w:b/>
          <w:bCs/>
          <w:lang w:eastAsia="zh-CN"/>
        </w:rPr>
        <w:t>三</w:t>
      </w:r>
      <w:r>
        <w:rPr>
          <w:rFonts w:hint="eastAsia" w:ascii="仿宋" w:hAnsi="仿宋" w:eastAsia="仿宋" w:cs="仿宋"/>
          <w:b/>
          <w:bCs/>
        </w:rPr>
        <w:t xml:space="preserve">、转让和分包 </w:t>
      </w:r>
    </w:p>
    <w:p>
      <w:pPr>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除甲方事先书面同意外，乙方不得转让和分包其履行的合同义务。</w:t>
      </w:r>
    </w:p>
    <w:p>
      <w:pPr>
        <w:pStyle w:val="9"/>
        <w:kinsoku w:val="0"/>
        <w:overflowPunct w:val="0"/>
        <w:spacing w:before="0"/>
        <w:ind w:left="0"/>
        <w:rPr>
          <w:rFonts w:hint="eastAsia" w:ascii="仿宋" w:hAnsi="仿宋" w:eastAsia="仿宋" w:cs="仿宋"/>
          <w:b/>
          <w:bCs/>
        </w:rPr>
      </w:pPr>
      <w:r>
        <w:rPr>
          <w:rFonts w:hint="eastAsia" w:ascii="仿宋" w:hAnsi="仿宋" w:eastAsia="仿宋" w:cs="仿宋"/>
          <w:b/>
          <w:bCs/>
        </w:rPr>
        <w:t>十</w:t>
      </w:r>
      <w:r>
        <w:rPr>
          <w:rFonts w:hint="eastAsia" w:ascii="仿宋" w:hAnsi="仿宋" w:eastAsia="仿宋" w:cs="仿宋"/>
          <w:b/>
          <w:bCs/>
          <w:lang w:eastAsia="zh-CN"/>
        </w:rPr>
        <w:t>四</w:t>
      </w:r>
      <w:r>
        <w:rPr>
          <w:rFonts w:hint="eastAsia" w:ascii="仿宋" w:hAnsi="仿宋" w:eastAsia="仿宋" w:cs="仿宋"/>
          <w:b/>
          <w:bCs/>
        </w:rPr>
        <w:t>、本合同的组成文件</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1.本合同文件；</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2.成交通知书；</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3.磋商文件；</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4.磋商响应文件</w:t>
      </w:r>
    </w:p>
    <w:p>
      <w:pPr>
        <w:spacing w:line="420" w:lineRule="exact"/>
        <w:ind w:firstLine="480" w:firstLineChars="200"/>
        <w:rPr>
          <w:rFonts w:hint="eastAsia" w:ascii="仿宋" w:hAnsi="仿宋" w:eastAsia="仿宋" w:cs="仿宋"/>
        </w:rPr>
      </w:pPr>
      <w:r>
        <w:rPr>
          <w:rFonts w:hint="eastAsia" w:ascii="仿宋" w:hAnsi="仿宋" w:eastAsia="仿宋" w:cs="仿宋"/>
          <w:kern w:val="0"/>
          <w:sz w:val="24"/>
          <w:szCs w:val="24"/>
        </w:rPr>
        <w:t>5.双方签署的补充协议等</w:t>
      </w:r>
      <w:r>
        <w:rPr>
          <w:rFonts w:hint="eastAsia" w:ascii="仿宋" w:hAnsi="仿宋" w:eastAsia="仿宋" w:cs="仿宋"/>
        </w:rPr>
        <w:t xml:space="preserve"> </w:t>
      </w:r>
    </w:p>
    <w:p>
      <w:pPr>
        <w:pStyle w:val="9"/>
        <w:kinsoku w:val="0"/>
        <w:overflowPunct w:val="0"/>
        <w:spacing w:before="0"/>
        <w:ind w:left="0"/>
        <w:rPr>
          <w:rFonts w:hint="eastAsia" w:ascii="仿宋" w:hAnsi="仿宋" w:eastAsia="仿宋" w:cs="仿宋"/>
          <w:b/>
          <w:bCs/>
        </w:rPr>
      </w:pPr>
      <w:r>
        <w:rPr>
          <w:rFonts w:hint="eastAsia" w:ascii="仿宋" w:hAnsi="仿宋" w:eastAsia="仿宋" w:cs="仿宋"/>
          <w:b/>
          <w:bCs/>
        </w:rPr>
        <w:t>十</w:t>
      </w:r>
      <w:r>
        <w:rPr>
          <w:rFonts w:hint="eastAsia" w:ascii="仿宋" w:hAnsi="仿宋" w:eastAsia="仿宋" w:cs="仿宋"/>
          <w:b/>
          <w:bCs/>
          <w:lang w:eastAsia="zh-CN"/>
        </w:rPr>
        <w:t>五</w:t>
      </w:r>
      <w:r>
        <w:rPr>
          <w:rFonts w:hint="eastAsia" w:ascii="仿宋" w:hAnsi="仿宋" w:eastAsia="仿宋" w:cs="仿宋"/>
          <w:b/>
          <w:bCs/>
        </w:rPr>
        <w:t>、合同生效</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1.本合同经甲、乙、丙三方签字并加盖公章后生效。</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2.本合同一式陆份，甲、乙、丙三方各执贰份。</w:t>
      </w:r>
    </w:p>
    <w:tbl>
      <w:tblPr>
        <w:tblStyle w:val="15"/>
        <w:tblW w:w="7821" w:type="dxa"/>
        <w:tblInd w:w="543" w:type="dxa"/>
        <w:tblLayout w:type="fixed"/>
        <w:tblCellMar>
          <w:top w:w="0" w:type="dxa"/>
          <w:left w:w="0" w:type="dxa"/>
          <w:bottom w:w="0" w:type="dxa"/>
          <w:right w:w="0" w:type="dxa"/>
        </w:tblCellMar>
      </w:tblPr>
      <w:tblGrid>
        <w:gridCol w:w="1675"/>
        <w:gridCol w:w="1920"/>
        <w:gridCol w:w="1920"/>
        <w:gridCol w:w="2306"/>
      </w:tblGrid>
      <w:tr>
        <w:tblPrEx>
          <w:tblCellMar>
            <w:top w:w="0" w:type="dxa"/>
            <w:left w:w="0" w:type="dxa"/>
            <w:bottom w:w="0" w:type="dxa"/>
            <w:right w:w="0" w:type="dxa"/>
          </w:tblCellMar>
        </w:tblPrEx>
        <w:trPr>
          <w:trHeight w:val="454" w:hRule="exact"/>
        </w:trPr>
        <w:tc>
          <w:tcPr>
            <w:tcW w:w="1675" w:type="dxa"/>
            <w:vAlign w:val="top"/>
          </w:tcPr>
          <w:p>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甲</w:t>
            </w:r>
            <w:r>
              <w:rPr>
                <w:rFonts w:hint="eastAsia" w:ascii="仿宋" w:hAnsi="仿宋" w:eastAsia="仿宋" w:cs="仿宋"/>
                <w:kern w:val="0"/>
                <w:sz w:val="24"/>
                <w:szCs w:val="24"/>
              </w:rPr>
              <w:tab/>
            </w:r>
            <w:r>
              <w:rPr>
                <w:rFonts w:hint="eastAsia" w:ascii="仿宋" w:hAnsi="仿宋" w:eastAsia="仿宋" w:cs="仿宋"/>
                <w:kern w:val="0"/>
                <w:sz w:val="24"/>
                <w:szCs w:val="24"/>
              </w:rPr>
              <w:t>方</w:t>
            </w:r>
          </w:p>
        </w:tc>
        <w:tc>
          <w:tcPr>
            <w:tcW w:w="1920" w:type="dxa"/>
            <w:vAlign w:val="top"/>
          </w:tcPr>
          <w:p>
            <w:pPr>
              <w:spacing w:line="420" w:lineRule="exact"/>
              <w:ind w:firstLine="480" w:firstLineChars="200"/>
              <w:rPr>
                <w:rFonts w:hint="eastAsia" w:ascii="仿宋" w:hAnsi="仿宋" w:eastAsia="仿宋" w:cs="仿宋"/>
                <w:kern w:val="0"/>
                <w:sz w:val="24"/>
                <w:szCs w:val="24"/>
              </w:rPr>
            </w:pPr>
          </w:p>
        </w:tc>
        <w:tc>
          <w:tcPr>
            <w:tcW w:w="1920" w:type="dxa"/>
            <w:vAlign w:val="top"/>
          </w:tcPr>
          <w:p>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乙</w:t>
            </w:r>
            <w:r>
              <w:rPr>
                <w:rFonts w:hint="eastAsia" w:ascii="仿宋" w:hAnsi="仿宋" w:eastAsia="仿宋" w:cs="仿宋"/>
                <w:kern w:val="0"/>
                <w:sz w:val="24"/>
                <w:szCs w:val="24"/>
              </w:rPr>
              <w:tab/>
            </w:r>
            <w:r>
              <w:rPr>
                <w:rFonts w:hint="eastAsia" w:ascii="仿宋" w:hAnsi="仿宋" w:eastAsia="仿宋" w:cs="仿宋"/>
                <w:kern w:val="0"/>
                <w:sz w:val="24"/>
                <w:szCs w:val="24"/>
              </w:rPr>
              <w:t>方</w:t>
            </w:r>
          </w:p>
        </w:tc>
        <w:tc>
          <w:tcPr>
            <w:tcW w:w="2306" w:type="dxa"/>
            <w:vAlign w:val="top"/>
          </w:tcPr>
          <w:p>
            <w:pPr>
              <w:spacing w:line="420" w:lineRule="exact"/>
              <w:ind w:firstLine="480" w:firstLineChars="200"/>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468" w:hRule="exact"/>
        </w:trPr>
        <w:tc>
          <w:tcPr>
            <w:tcW w:w="1675" w:type="dxa"/>
            <w:vAlign w:val="top"/>
          </w:tcPr>
          <w:p>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单 位 名称：</w:t>
            </w:r>
          </w:p>
        </w:tc>
        <w:tc>
          <w:tcPr>
            <w:tcW w:w="1920" w:type="dxa"/>
            <w:vAlign w:val="top"/>
          </w:tcPr>
          <w:p>
            <w:pPr>
              <w:spacing w:line="420" w:lineRule="exact"/>
              <w:ind w:firstLine="480" w:firstLineChars="200"/>
              <w:rPr>
                <w:rFonts w:hint="eastAsia" w:ascii="仿宋" w:hAnsi="仿宋" w:eastAsia="仿宋" w:cs="仿宋"/>
                <w:kern w:val="0"/>
                <w:sz w:val="24"/>
                <w:szCs w:val="24"/>
              </w:rPr>
            </w:pPr>
          </w:p>
        </w:tc>
        <w:tc>
          <w:tcPr>
            <w:tcW w:w="1920" w:type="dxa"/>
            <w:vAlign w:val="top"/>
          </w:tcPr>
          <w:p>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单 位 名称：</w:t>
            </w:r>
          </w:p>
        </w:tc>
        <w:tc>
          <w:tcPr>
            <w:tcW w:w="2306" w:type="dxa"/>
            <w:vAlign w:val="top"/>
          </w:tcPr>
          <w:p>
            <w:pPr>
              <w:spacing w:line="420" w:lineRule="exact"/>
              <w:ind w:firstLine="480" w:firstLineChars="200"/>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467" w:hRule="exact"/>
        </w:trPr>
        <w:tc>
          <w:tcPr>
            <w:tcW w:w="1675" w:type="dxa"/>
            <w:vAlign w:val="top"/>
          </w:tcPr>
          <w:p>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地</w:t>
            </w:r>
            <w:r>
              <w:rPr>
                <w:rFonts w:hint="eastAsia" w:ascii="仿宋" w:hAnsi="仿宋" w:eastAsia="仿宋" w:cs="仿宋"/>
                <w:kern w:val="0"/>
                <w:sz w:val="24"/>
                <w:szCs w:val="24"/>
              </w:rPr>
              <w:tab/>
            </w:r>
            <w:r>
              <w:rPr>
                <w:rFonts w:hint="eastAsia" w:ascii="仿宋" w:hAnsi="仿宋" w:eastAsia="仿宋" w:cs="仿宋"/>
                <w:kern w:val="0"/>
                <w:sz w:val="24"/>
                <w:szCs w:val="24"/>
              </w:rPr>
              <w:t>址：</w:t>
            </w:r>
          </w:p>
        </w:tc>
        <w:tc>
          <w:tcPr>
            <w:tcW w:w="1920" w:type="dxa"/>
            <w:vAlign w:val="top"/>
          </w:tcPr>
          <w:p>
            <w:pPr>
              <w:spacing w:line="420" w:lineRule="exact"/>
              <w:ind w:firstLine="480" w:firstLineChars="200"/>
              <w:rPr>
                <w:rFonts w:hint="eastAsia" w:ascii="仿宋" w:hAnsi="仿宋" w:eastAsia="仿宋" w:cs="仿宋"/>
                <w:kern w:val="0"/>
                <w:sz w:val="24"/>
                <w:szCs w:val="24"/>
              </w:rPr>
            </w:pPr>
          </w:p>
        </w:tc>
        <w:tc>
          <w:tcPr>
            <w:tcW w:w="1920" w:type="dxa"/>
            <w:vAlign w:val="top"/>
          </w:tcPr>
          <w:p>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地</w:t>
            </w:r>
            <w:r>
              <w:rPr>
                <w:rFonts w:hint="eastAsia" w:ascii="仿宋" w:hAnsi="仿宋" w:eastAsia="仿宋" w:cs="仿宋"/>
                <w:kern w:val="0"/>
                <w:sz w:val="24"/>
                <w:szCs w:val="24"/>
              </w:rPr>
              <w:tab/>
            </w:r>
            <w:r>
              <w:rPr>
                <w:rFonts w:hint="eastAsia" w:ascii="仿宋" w:hAnsi="仿宋" w:eastAsia="仿宋" w:cs="仿宋"/>
                <w:kern w:val="0"/>
                <w:sz w:val="24"/>
                <w:szCs w:val="24"/>
              </w:rPr>
              <w:t>址：</w:t>
            </w:r>
          </w:p>
        </w:tc>
        <w:tc>
          <w:tcPr>
            <w:tcW w:w="2306" w:type="dxa"/>
            <w:vAlign w:val="top"/>
          </w:tcPr>
          <w:p>
            <w:pPr>
              <w:spacing w:line="420" w:lineRule="exact"/>
              <w:ind w:firstLine="480" w:firstLineChars="200"/>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467" w:hRule="exact"/>
        </w:trPr>
        <w:tc>
          <w:tcPr>
            <w:tcW w:w="1675" w:type="dxa"/>
            <w:vAlign w:val="top"/>
          </w:tcPr>
          <w:p>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法定代表人：</w:t>
            </w:r>
          </w:p>
        </w:tc>
        <w:tc>
          <w:tcPr>
            <w:tcW w:w="1920" w:type="dxa"/>
            <w:vAlign w:val="top"/>
          </w:tcPr>
          <w:p>
            <w:pPr>
              <w:spacing w:line="420" w:lineRule="exact"/>
              <w:ind w:firstLine="480" w:firstLineChars="200"/>
              <w:rPr>
                <w:rFonts w:hint="eastAsia" w:ascii="仿宋" w:hAnsi="仿宋" w:eastAsia="仿宋" w:cs="仿宋"/>
                <w:kern w:val="0"/>
                <w:sz w:val="24"/>
                <w:szCs w:val="24"/>
              </w:rPr>
            </w:pPr>
          </w:p>
        </w:tc>
        <w:tc>
          <w:tcPr>
            <w:tcW w:w="1920" w:type="dxa"/>
            <w:vAlign w:val="top"/>
          </w:tcPr>
          <w:p>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法定代表人：</w:t>
            </w:r>
          </w:p>
        </w:tc>
        <w:tc>
          <w:tcPr>
            <w:tcW w:w="2306" w:type="dxa"/>
            <w:vAlign w:val="top"/>
          </w:tcPr>
          <w:p>
            <w:pPr>
              <w:spacing w:line="420" w:lineRule="exact"/>
              <w:ind w:firstLine="480" w:firstLineChars="200"/>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467" w:hRule="exact"/>
        </w:trPr>
        <w:tc>
          <w:tcPr>
            <w:tcW w:w="1675" w:type="dxa"/>
            <w:vAlign w:val="top"/>
          </w:tcPr>
          <w:p>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委托代理人：</w:t>
            </w:r>
          </w:p>
        </w:tc>
        <w:tc>
          <w:tcPr>
            <w:tcW w:w="1920" w:type="dxa"/>
            <w:vAlign w:val="top"/>
          </w:tcPr>
          <w:p>
            <w:pPr>
              <w:spacing w:line="420" w:lineRule="exact"/>
              <w:ind w:firstLine="480" w:firstLineChars="200"/>
              <w:rPr>
                <w:rFonts w:hint="eastAsia" w:ascii="仿宋" w:hAnsi="仿宋" w:eastAsia="仿宋" w:cs="仿宋"/>
                <w:kern w:val="0"/>
                <w:sz w:val="24"/>
                <w:szCs w:val="24"/>
              </w:rPr>
            </w:pPr>
          </w:p>
        </w:tc>
        <w:tc>
          <w:tcPr>
            <w:tcW w:w="1920" w:type="dxa"/>
            <w:vAlign w:val="top"/>
          </w:tcPr>
          <w:p>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委托代理人：</w:t>
            </w:r>
          </w:p>
        </w:tc>
        <w:tc>
          <w:tcPr>
            <w:tcW w:w="2306" w:type="dxa"/>
            <w:vAlign w:val="top"/>
          </w:tcPr>
          <w:p>
            <w:pPr>
              <w:spacing w:line="420" w:lineRule="exact"/>
              <w:ind w:firstLine="480" w:firstLineChars="200"/>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466" w:hRule="exact"/>
        </w:trPr>
        <w:tc>
          <w:tcPr>
            <w:tcW w:w="1675" w:type="dxa"/>
            <w:vAlign w:val="top"/>
          </w:tcPr>
          <w:p>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电</w:t>
            </w:r>
            <w:r>
              <w:rPr>
                <w:rFonts w:hint="eastAsia" w:ascii="仿宋" w:hAnsi="仿宋" w:eastAsia="仿宋" w:cs="仿宋"/>
                <w:kern w:val="0"/>
                <w:sz w:val="24"/>
                <w:szCs w:val="24"/>
              </w:rPr>
              <w:tab/>
            </w:r>
            <w:r>
              <w:rPr>
                <w:rFonts w:hint="eastAsia" w:ascii="仿宋" w:hAnsi="仿宋" w:eastAsia="仿宋" w:cs="仿宋"/>
                <w:kern w:val="0"/>
                <w:sz w:val="24"/>
                <w:szCs w:val="24"/>
              </w:rPr>
              <w:t>话：</w:t>
            </w:r>
          </w:p>
        </w:tc>
        <w:tc>
          <w:tcPr>
            <w:tcW w:w="1920" w:type="dxa"/>
            <w:vAlign w:val="top"/>
          </w:tcPr>
          <w:p>
            <w:pPr>
              <w:spacing w:line="420" w:lineRule="exact"/>
              <w:ind w:firstLine="480" w:firstLineChars="200"/>
              <w:rPr>
                <w:rFonts w:hint="eastAsia" w:ascii="仿宋" w:hAnsi="仿宋" w:eastAsia="仿宋" w:cs="仿宋"/>
                <w:kern w:val="0"/>
                <w:sz w:val="24"/>
                <w:szCs w:val="24"/>
              </w:rPr>
            </w:pPr>
          </w:p>
        </w:tc>
        <w:tc>
          <w:tcPr>
            <w:tcW w:w="1920" w:type="dxa"/>
            <w:vAlign w:val="top"/>
          </w:tcPr>
          <w:p>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电</w:t>
            </w:r>
            <w:r>
              <w:rPr>
                <w:rFonts w:hint="eastAsia" w:ascii="仿宋" w:hAnsi="仿宋" w:eastAsia="仿宋" w:cs="仿宋"/>
                <w:kern w:val="0"/>
                <w:sz w:val="24"/>
                <w:szCs w:val="24"/>
              </w:rPr>
              <w:tab/>
            </w:r>
            <w:r>
              <w:rPr>
                <w:rFonts w:hint="eastAsia" w:ascii="仿宋" w:hAnsi="仿宋" w:eastAsia="仿宋" w:cs="仿宋"/>
                <w:kern w:val="0"/>
                <w:sz w:val="24"/>
                <w:szCs w:val="24"/>
              </w:rPr>
              <w:t>话：</w:t>
            </w:r>
          </w:p>
        </w:tc>
        <w:tc>
          <w:tcPr>
            <w:tcW w:w="2306" w:type="dxa"/>
            <w:vAlign w:val="top"/>
          </w:tcPr>
          <w:p>
            <w:pPr>
              <w:spacing w:line="420" w:lineRule="exact"/>
              <w:ind w:firstLine="480" w:firstLineChars="200"/>
              <w:rPr>
                <w:rFonts w:hint="eastAsia" w:ascii="仿宋" w:hAnsi="仿宋" w:eastAsia="仿宋" w:cs="仿宋"/>
                <w:kern w:val="0"/>
                <w:sz w:val="24"/>
                <w:szCs w:val="24"/>
              </w:rPr>
            </w:pPr>
          </w:p>
        </w:tc>
      </w:tr>
      <w:tr>
        <w:tblPrEx>
          <w:tblCellMar>
            <w:top w:w="0" w:type="dxa"/>
            <w:left w:w="0" w:type="dxa"/>
            <w:bottom w:w="0" w:type="dxa"/>
            <w:right w:w="0" w:type="dxa"/>
          </w:tblCellMar>
        </w:tblPrEx>
        <w:trPr>
          <w:trHeight w:val="453" w:hRule="exact"/>
        </w:trPr>
        <w:tc>
          <w:tcPr>
            <w:tcW w:w="1675" w:type="dxa"/>
            <w:vAlign w:val="top"/>
          </w:tcPr>
          <w:p>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签订日期：</w:t>
            </w:r>
          </w:p>
        </w:tc>
        <w:tc>
          <w:tcPr>
            <w:tcW w:w="1920" w:type="dxa"/>
            <w:vAlign w:val="top"/>
          </w:tcPr>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年</w:t>
            </w:r>
            <w:r>
              <w:rPr>
                <w:rFonts w:hint="eastAsia" w:ascii="仿宋" w:hAnsi="仿宋" w:eastAsia="仿宋" w:cs="仿宋"/>
                <w:kern w:val="0"/>
                <w:sz w:val="24"/>
                <w:szCs w:val="24"/>
              </w:rPr>
              <w:tab/>
            </w:r>
            <w:r>
              <w:rPr>
                <w:rFonts w:hint="eastAsia" w:ascii="仿宋" w:hAnsi="仿宋" w:eastAsia="仿宋" w:cs="仿宋"/>
                <w:kern w:val="0"/>
                <w:sz w:val="24"/>
                <w:szCs w:val="24"/>
              </w:rPr>
              <w:t>月</w:t>
            </w:r>
            <w:r>
              <w:rPr>
                <w:rFonts w:hint="eastAsia" w:ascii="仿宋" w:hAnsi="仿宋" w:eastAsia="仿宋" w:cs="仿宋"/>
                <w:kern w:val="0"/>
                <w:sz w:val="24"/>
                <w:szCs w:val="24"/>
              </w:rPr>
              <w:tab/>
            </w:r>
            <w:r>
              <w:rPr>
                <w:rFonts w:hint="eastAsia" w:ascii="仿宋" w:hAnsi="仿宋" w:eastAsia="仿宋" w:cs="仿宋"/>
                <w:kern w:val="0"/>
                <w:sz w:val="24"/>
                <w:szCs w:val="24"/>
              </w:rPr>
              <w:t>日</w:t>
            </w:r>
          </w:p>
        </w:tc>
        <w:tc>
          <w:tcPr>
            <w:tcW w:w="1920" w:type="dxa"/>
            <w:vAlign w:val="top"/>
          </w:tcPr>
          <w:p>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签 订日期：</w:t>
            </w:r>
          </w:p>
        </w:tc>
        <w:tc>
          <w:tcPr>
            <w:tcW w:w="2306" w:type="dxa"/>
            <w:vAlign w:val="top"/>
          </w:tcPr>
          <w:p>
            <w:pPr>
              <w:spacing w:line="420" w:lineRule="exact"/>
              <w:ind w:left="-477" w:leftChars="-227" w:right="-487" w:rightChars="-232" w:firstLine="960" w:firstLineChars="400"/>
              <w:rPr>
                <w:rFonts w:hint="eastAsia" w:ascii="仿宋" w:hAnsi="仿宋" w:eastAsia="仿宋" w:cs="仿宋"/>
                <w:kern w:val="0"/>
                <w:sz w:val="24"/>
                <w:szCs w:val="24"/>
              </w:rPr>
            </w:pPr>
            <w:r>
              <w:rPr>
                <w:rFonts w:hint="eastAsia" w:ascii="仿宋" w:hAnsi="仿宋" w:eastAsia="仿宋" w:cs="仿宋"/>
                <w:kern w:val="0"/>
                <w:sz w:val="24"/>
                <w:szCs w:val="24"/>
              </w:rPr>
              <w:t>年</w:t>
            </w:r>
            <w:r>
              <w:rPr>
                <w:rFonts w:hint="eastAsia" w:ascii="仿宋" w:hAnsi="仿宋" w:eastAsia="仿宋" w:cs="仿宋"/>
                <w:kern w:val="0"/>
                <w:sz w:val="24"/>
                <w:szCs w:val="24"/>
              </w:rPr>
              <w:tab/>
            </w:r>
            <w:r>
              <w:rPr>
                <w:rFonts w:hint="eastAsia" w:ascii="仿宋" w:hAnsi="仿宋" w:eastAsia="仿宋" w:cs="仿宋"/>
                <w:kern w:val="0"/>
                <w:sz w:val="24"/>
                <w:szCs w:val="24"/>
              </w:rPr>
              <w:t>月</w:t>
            </w:r>
            <w:r>
              <w:rPr>
                <w:rFonts w:hint="eastAsia" w:ascii="仿宋" w:hAnsi="仿宋" w:eastAsia="仿宋" w:cs="仿宋"/>
                <w:kern w:val="0"/>
                <w:sz w:val="24"/>
                <w:szCs w:val="24"/>
              </w:rPr>
              <w:tab/>
            </w:r>
            <w:r>
              <w:rPr>
                <w:rFonts w:hint="eastAsia" w:ascii="仿宋" w:hAnsi="仿宋" w:eastAsia="仿宋" w:cs="仿宋"/>
                <w:kern w:val="0"/>
                <w:sz w:val="24"/>
                <w:szCs w:val="24"/>
              </w:rPr>
              <w:t>日</w:t>
            </w:r>
          </w:p>
        </w:tc>
      </w:tr>
    </w:tbl>
    <w:p>
      <w:pPr>
        <w:spacing w:line="420" w:lineRule="exact"/>
        <w:rPr>
          <w:rFonts w:hint="eastAsia" w:ascii="仿宋" w:hAnsi="仿宋" w:eastAsia="仿宋" w:cs="仿宋"/>
          <w:kern w:val="0"/>
          <w:sz w:val="24"/>
          <w:szCs w:val="24"/>
        </w:rPr>
      </w:pPr>
    </w:p>
    <w:p>
      <w:pPr>
        <w:spacing w:line="420" w:lineRule="exact"/>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注：本合同仅作为参考文本，合同签订双方可根据项目的具体要求进行签订。</w:t>
      </w:r>
    </w:p>
    <w:p>
      <w:pPr>
        <w:spacing w:line="420" w:lineRule="exact"/>
        <w:ind w:firstLine="480" w:firstLineChars="200"/>
        <w:rPr>
          <w:rFonts w:hint="eastAsia" w:ascii="仿宋" w:hAnsi="仿宋" w:eastAsia="仿宋" w:cs="仿宋"/>
          <w:kern w:val="0"/>
          <w:sz w:val="24"/>
          <w:szCs w:val="24"/>
        </w:rPr>
      </w:pPr>
    </w:p>
    <w:p>
      <w:pPr>
        <w:pStyle w:val="7"/>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7"/>
        <w:rPr>
          <w:rFonts w:hint="eastAsia" w:ascii="仿宋" w:hAnsi="仿宋" w:eastAsia="仿宋" w:cs="仿宋"/>
          <w:kern w:val="0"/>
          <w:sz w:val="24"/>
          <w:szCs w:val="24"/>
        </w:rPr>
      </w:pPr>
    </w:p>
    <w:p>
      <w:pPr>
        <w:pStyle w:val="7"/>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7"/>
        <w:rPr>
          <w:rFonts w:hint="eastAsia" w:ascii="仿宋" w:hAnsi="仿宋" w:eastAsia="仿宋" w:cs="仿宋"/>
          <w:kern w:val="0"/>
          <w:sz w:val="24"/>
          <w:szCs w:val="24"/>
        </w:rPr>
      </w:pPr>
    </w:p>
    <w:p>
      <w:pPr>
        <w:pStyle w:val="3"/>
        <w:jc w:val="both"/>
        <w:rPr>
          <w:rFonts w:hint="eastAsia" w:ascii="仿宋" w:hAnsi="仿宋" w:eastAsia="仿宋" w:cs="仿宋"/>
          <w:w w:val="95"/>
          <w:sz w:val="40"/>
          <w:szCs w:val="52"/>
        </w:rPr>
      </w:pPr>
    </w:p>
    <w:p>
      <w:pPr>
        <w:pStyle w:val="3"/>
        <w:jc w:val="center"/>
        <w:rPr>
          <w:rFonts w:hint="eastAsia" w:ascii="仿宋" w:hAnsi="仿宋" w:eastAsia="仿宋" w:cs="仿宋"/>
          <w:w w:val="95"/>
          <w:sz w:val="40"/>
          <w:szCs w:val="52"/>
        </w:rPr>
      </w:pPr>
    </w:p>
    <w:p>
      <w:pPr>
        <w:pStyle w:val="3"/>
        <w:jc w:val="center"/>
        <w:rPr>
          <w:rFonts w:hint="eastAsia" w:ascii="仿宋" w:hAnsi="仿宋" w:eastAsia="仿宋" w:cs="仿宋"/>
          <w:w w:val="95"/>
          <w:sz w:val="40"/>
          <w:szCs w:val="52"/>
        </w:rPr>
      </w:pPr>
    </w:p>
    <w:p>
      <w:pPr>
        <w:pStyle w:val="3"/>
        <w:jc w:val="center"/>
        <w:rPr>
          <w:rFonts w:hint="eastAsia" w:ascii="仿宋" w:hAnsi="仿宋" w:eastAsia="仿宋" w:cs="仿宋"/>
          <w:w w:val="95"/>
          <w:sz w:val="40"/>
          <w:szCs w:val="52"/>
        </w:rPr>
      </w:pPr>
    </w:p>
    <w:p>
      <w:pPr>
        <w:pStyle w:val="3"/>
        <w:jc w:val="center"/>
        <w:rPr>
          <w:rFonts w:hint="eastAsia" w:ascii="仿宋" w:hAnsi="仿宋" w:eastAsia="仿宋" w:cs="仿宋"/>
          <w:w w:val="95"/>
          <w:sz w:val="40"/>
          <w:szCs w:val="52"/>
        </w:rPr>
      </w:pPr>
    </w:p>
    <w:p>
      <w:pPr>
        <w:pStyle w:val="3"/>
        <w:jc w:val="center"/>
        <w:rPr>
          <w:rFonts w:hint="eastAsia" w:ascii="仿宋" w:hAnsi="仿宋" w:eastAsia="仿宋" w:cs="仿宋"/>
          <w:w w:val="95"/>
          <w:sz w:val="40"/>
          <w:szCs w:val="52"/>
        </w:rPr>
      </w:pPr>
    </w:p>
    <w:p>
      <w:pPr>
        <w:pStyle w:val="3"/>
        <w:jc w:val="center"/>
        <w:rPr>
          <w:rFonts w:hint="eastAsia" w:ascii="仿宋" w:hAnsi="仿宋" w:eastAsia="仿宋" w:cs="仿宋"/>
          <w:w w:val="95"/>
          <w:sz w:val="40"/>
          <w:szCs w:val="52"/>
        </w:rPr>
      </w:pPr>
    </w:p>
    <w:p>
      <w:pPr>
        <w:pStyle w:val="3"/>
        <w:jc w:val="center"/>
        <w:rPr>
          <w:rFonts w:hint="eastAsia" w:ascii="仿宋" w:hAnsi="仿宋" w:eastAsia="仿宋" w:cs="仿宋"/>
          <w:w w:val="95"/>
          <w:sz w:val="40"/>
          <w:szCs w:val="52"/>
        </w:rPr>
      </w:pPr>
    </w:p>
    <w:p>
      <w:pPr>
        <w:pStyle w:val="3"/>
        <w:jc w:val="center"/>
        <w:rPr>
          <w:rFonts w:hint="eastAsia" w:ascii="仿宋" w:hAnsi="仿宋" w:eastAsia="仿宋" w:cs="仿宋"/>
          <w:sz w:val="40"/>
          <w:szCs w:val="52"/>
        </w:rPr>
      </w:pPr>
      <w:bookmarkStart w:id="30" w:name="_Toc26145"/>
      <w:r>
        <w:rPr>
          <w:rFonts w:hint="eastAsia" w:ascii="仿宋" w:hAnsi="仿宋" w:eastAsia="仿宋" w:cs="仿宋"/>
          <w:w w:val="95"/>
          <w:sz w:val="40"/>
          <w:szCs w:val="52"/>
        </w:rPr>
        <w:t>第六章</w:t>
      </w:r>
      <w:r>
        <w:rPr>
          <w:rFonts w:hint="eastAsia" w:ascii="仿宋" w:hAnsi="仿宋" w:eastAsia="仿宋" w:cs="仿宋"/>
          <w:w w:val="95"/>
          <w:sz w:val="40"/>
          <w:szCs w:val="52"/>
        </w:rPr>
        <w:tab/>
      </w:r>
      <w:r>
        <w:rPr>
          <w:rFonts w:hint="eastAsia" w:ascii="仿宋" w:hAnsi="仿宋" w:eastAsia="仿宋" w:cs="仿宋"/>
          <w:sz w:val="40"/>
          <w:szCs w:val="52"/>
        </w:rPr>
        <w:t>磋商响应性文件格式</w:t>
      </w:r>
      <w:bookmarkEnd w:id="30"/>
    </w:p>
    <w:p>
      <w:pPr>
        <w:pStyle w:val="9"/>
        <w:kinsoku w:val="0"/>
        <w:overflowPunct w:val="0"/>
        <w:spacing w:before="130" w:line="355" w:lineRule="auto"/>
        <w:ind w:right="7" w:firstLine="480"/>
        <w:jc w:val="center"/>
        <w:rPr>
          <w:rFonts w:hint="eastAsia" w:ascii="仿宋" w:hAnsi="仿宋" w:eastAsia="仿宋" w:cs="仿宋"/>
          <w:b/>
          <w:spacing w:val="4"/>
        </w:rPr>
      </w:pPr>
      <w:r>
        <w:rPr>
          <w:rFonts w:hint="eastAsia" w:ascii="仿宋" w:hAnsi="仿宋" w:eastAsia="仿宋" w:cs="仿宋"/>
        </w:rPr>
        <w:br w:type="page"/>
      </w:r>
      <w:r>
        <w:rPr>
          <w:rFonts w:hint="eastAsia" w:ascii="仿宋" w:hAnsi="仿宋" w:eastAsia="仿宋" w:cs="仿宋"/>
          <w:b/>
          <w:spacing w:val="4"/>
        </w:rPr>
        <w:t>目录</w:t>
      </w:r>
    </w:p>
    <w:p>
      <w:pPr>
        <w:pStyle w:val="9"/>
        <w:spacing w:before="0"/>
        <w:ind w:left="0" w:firstLine="482" w:firstLineChars="200"/>
        <w:rPr>
          <w:rFonts w:hint="eastAsia" w:ascii="仿宋" w:hAnsi="仿宋" w:eastAsia="仿宋" w:cs="仿宋"/>
          <w:highlight w:val="yellow"/>
        </w:rPr>
      </w:pPr>
      <w:r>
        <w:rPr>
          <w:rFonts w:hint="eastAsia" w:ascii="仿宋" w:hAnsi="仿宋" w:eastAsia="仿宋" w:cs="仿宋"/>
          <w:b/>
          <w:highlight w:val="none"/>
        </w:rPr>
        <w:t>一、商务部分</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(1)投标函；</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(2)法定代表人身份证明； </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(3)委托授权书（附被授权人身份证复印件）； </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(4)投标保证金缴纳凭证； </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(5)1）投标报价单；</w:t>
      </w:r>
    </w:p>
    <w:p>
      <w:pPr>
        <w:spacing w:line="420" w:lineRule="exact"/>
        <w:ind w:firstLine="720" w:firstLineChars="30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2）报价明细表</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eastAsia="zh-CN"/>
        </w:rPr>
        <w:t>)供应商基本情况；</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1）供应商基本情况表；</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2）营业执照副本、税务登记证、组织机构代码证、（三证合一的提供统一社会信用代码的营业执照）、公司资质证书；</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3）近1年财务状况报告相关材料；</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4）近</w:t>
      </w: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lang w:eastAsia="zh-CN"/>
        </w:rPr>
        <w:t>个月单位社会保障缴费证明（</w:t>
      </w:r>
      <w:r>
        <w:rPr>
          <w:rFonts w:hint="eastAsia" w:ascii="仿宋" w:hAnsi="仿宋" w:eastAsia="仿宋" w:cs="仿宋"/>
          <w:kern w:val="0"/>
          <w:sz w:val="24"/>
          <w:szCs w:val="24"/>
          <w:lang w:val="en-US" w:eastAsia="zh-CN"/>
        </w:rPr>
        <w:t>2021年一、二、三月</w:t>
      </w:r>
      <w:r>
        <w:rPr>
          <w:rFonts w:hint="eastAsia" w:ascii="仿宋" w:hAnsi="仿宋" w:eastAsia="仿宋" w:cs="仿宋"/>
          <w:kern w:val="0"/>
          <w:sz w:val="24"/>
          <w:szCs w:val="24"/>
          <w:lang w:eastAsia="zh-CN"/>
        </w:rPr>
        <w:t>）；</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lang w:eastAsia="zh-CN"/>
        </w:rPr>
        <w:t xml:space="preserve">) 一般商务条款偏离表； </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lang w:eastAsia="zh-CN"/>
        </w:rPr>
        <w:t>)近三年类似项目业绩介绍（</w:t>
      </w:r>
      <w:r>
        <w:rPr>
          <w:rFonts w:hint="eastAsia" w:ascii="仿宋" w:hAnsi="仿宋" w:eastAsia="仿宋" w:cs="仿宋"/>
          <w:kern w:val="0"/>
          <w:sz w:val="24"/>
          <w:szCs w:val="24"/>
          <w:lang w:val="en-US" w:eastAsia="zh-CN"/>
        </w:rPr>
        <w:t>2018、2019年、2020年</w:t>
      </w:r>
      <w:r>
        <w:rPr>
          <w:rFonts w:hint="eastAsia" w:ascii="仿宋" w:hAnsi="仿宋" w:eastAsia="仿宋" w:cs="仿宋"/>
          <w:kern w:val="0"/>
          <w:sz w:val="24"/>
          <w:szCs w:val="24"/>
          <w:lang w:eastAsia="zh-CN"/>
        </w:rPr>
        <w:t>）；</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lang w:eastAsia="zh-CN"/>
        </w:rPr>
        <w:t>)中小企业声明函（符合本声明函填写）；</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lang w:eastAsia="zh-CN"/>
        </w:rPr>
        <w:t>)残疾人福利性单位声明函（符合本声明函填写） ；</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)缴纳招标代理服务费承诺书；</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)其他商务资格证明资料（格式自定）。</w:t>
      </w:r>
    </w:p>
    <w:p>
      <w:pPr>
        <w:pStyle w:val="9"/>
        <w:spacing w:before="0"/>
        <w:ind w:left="0" w:firstLine="482" w:firstLineChars="200"/>
        <w:rPr>
          <w:rFonts w:hint="eastAsia" w:ascii="仿宋" w:hAnsi="仿宋" w:eastAsia="仿宋" w:cs="仿宋"/>
          <w:b/>
          <w:highlight w:val="none"/>
        </w:rPr>
      </w:pPr>
      <w:r>
        <w:rPr>
          <w:rFonts w:hint="eastAsia" w:ascii="仿宋" w:hAnsi="仿宋" w:eastAsia="仿宋" w:cs="仿宋"/>
          <w:b/>
          <w:highlight w:val="none"/>
        </w:rPr>
        <w:t>二、技术部分</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)企业技术、经济及综合实力描述；</w:t>
      </w:r>
    </w:p>
    <w:p>
      <w:pPr>
        <w:spacing w:line="420" w:lineRule="exact"/>
        <w:ind w:firstLine="480" w:firstLineChars="200"/>
        <w:rPr>
          <w:rFonts w:hint="eastAsia" w:ascii="仿宋" w:hAnsi="仿宋" w:eastAsia="仿宋" w:cs="仿宋"/>
          <w:kern w:val="0"/>
          <w:sz w:val="24"/>
          <w:szCs w:val="24"/>
          <w:lang w:val="en-US"/>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14</w:t>
      </w:r>
      <w:r>
        <w:rPr>
          <w:rFonts w:hint="eastAsia" w:ascii="仿宋" w:hAnsi="仿宋" w:eastAsia="仿宋" w:cs="仿宋"/>
          <w:kern w:val="0"/>
          <w:sz w:val="24"/>
          <w:szCs w:val="24"/>
          <w:lang w:eastAsia="zh-CN"/>
        </w:rPr>
        <w:t>）</w:t>
      </w:r>
      <w:r>
        <w:rPr>
          <w:rFonts w:hint="eastAsia" w:ascii="仿宋" w:hAnsi="仿宋" w:eastAsia="仿宋" w:cs="仿宋"/>
          <w:kern w:val="0"/>
          <w:sz w:val="24"/>
          <w:lang w:val="en-US" w:eastAsia="zh-CN"/>
        </w:rPr>
        <w:t>项目负责人及团队配备</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15</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一般</w:t>
      </w:r>
      <w:r>
        <w:rPr>
          <w:rFonts w:hint="eastAsia" w:ascii="仿宋" w:hAnsi="仿宋" w:eastAsia="仿宋" w:cs="仿宋"/>
          <w:kern w:val="0"/>
          <w:sz w:val="24"/>
          <w:szCs w:val="24"/>
          <w:lang w:eastAsia="zh-CN"/>
        </w:rPr>
        <w:t>技术</w:t>
      </w:r>
      <w:r>
        <w:rPr>
          <w:rFonts w:hint="eastAsia" w:ascii="仿宋" w:hAnsi="仿宋" w:eastAsia="仿宋" w:cs="仿宋"/>
          <w:kern w:val="0"/>
          <w:sz w:val="24"/>
          <w:szCs w:val="24"/>
        </w:rPr>
        <w:t>条款偏离表</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16</w:t>
      </w:r>
      <w:r>
        <w:rPr>
          <w:rFonts w:hint="eastAsia" w:ascii="仿宋" w:hAnsi="仿宋" w:eastAsia="仿宋" w:cs="仿宋"/>
          <w:kern w:val="0"/>
          <w:sz w:val="24"/>
          <w:szCs w:val="24"/>
          <w:lang w:eastAsia="zh-CN"/>
        </w:rPr>
        <w:t>）</w:t>
      </w:r>
      <w:r>
        <w:rPr>
          <w:rFonts w:hint="eastAsia" w:ascii="仿宋" w:hAnsi="仿宋" w:eastAsia="仿宋" w:cs="仿宋"/>
          <w:kern w:val="0"/>
          <w:sz w:val="24"/>
          <w:lang w:val="en-US" w:eastAsia="zh-CN"/>
        </w:rPr>
        <w:t xml:space="preserve">售后服务方案 </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（17）理解及合理意见和建议</w:t>
      </w:r>
    </w:p>
    <w:p>
      <w:pPr>
        <w:spacing w:line="420" w:lineRule="exac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（18）实施方案</w:t>
      </w:r>
    </w:p>
    <w:p>
      <w:pPr>
        <w:spacing w:line="42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（19）</w:t>
      </w:r>
      <w:r>
        <w:rPr>
          <w:rFonts w:hint="eastAsia" w:ascii="仿宋" w:hAnsi="仿宋" w:eastAsia="仿宋" w:cs="仿宋"/>
          <w:color w:val="auto"/>
          <w:kern w:val="0"/>
          <w:sz w:val="24"/>
          <w:lang w:val="en-US" w:eastAsia="zh-CN"/>
        </w:rPr>
        <w:t>管理措施</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lang w:eastAsia="zh-CN"/>
        </w:rPr>
        <w:t>)供应商认为需要提交的技术资料</w:t>
      </w:r>
    </w:p>
    <w:p>
      <w:pPr>
        <w:pStyle w:val="9"/>
        <w:spacing w:before="0"/>
        <w:ind w:left="0" w:firstLine="480" w:firstLineChars="200"/>
        <w:rPr>
          <w:rFonts w:hint="eastAsia" w:ascii="仿宋" w:hAnsi="仿宋" w:eastAsia="仿宋" w:cs="仿宋"/>
        </w:rPr>
      </w:pPr>
      <w:r>
        <w:rPr>
          <w:rFonts w:hint="eastAsia" w:ascii="仿宋" w:hAnsi="仿宋" w:eastAsia="仿宋" w:cs="仿宋"/>
        </w:rPr>
        <w:t>注：请投标供应商按照以下文件的要求格式、内容，顺序制作投标文件，并请编制目录及页码，否则可能将影响对投标文件的评价。</w:t>
      </w:r>
    </w:p>
    <w:p>
      <w:pPr>
        <w:pStyle w:val="9"/>
        <w:kinsoku w:val="0"/>
        <w:overflowPunct w:val="0"/>
        <w:spacing w:before="130" w:line="360" w:lineRule="exact"/>
        <w:ind w:left="119" w:right="6" w:firstLine="480"/>
        <w:rPr>
          <w:rFonts w:hint="eastAsia" w:ascii="仿宋" w:hAnsi="仿宋" w:eastAsia="仿宋" w:cs="仿宋"/>
          <w:spacing w:val="4"/>
        </w:rPr>
      </w:pPr>
    </w:p>
    <w:p>
      <w:pPr>
        <w:pStyle w:val="25"/>
        <w:kinsoku w:val="0"/>
        <w:overflowPunct w:val="0"/>
        <w:spacing w:line="940" w:lineRule="exact"/>
        <w:jc w:val="center"/>
        <w:outlineLvl w:val="9"/>
        <w:rPr>
          <w:rFonts w:hint="eastAsia" w:ascii="仿宋" w:hAnsi="仿宋" w:eastAsia="仿宋" w:cs="仿宋"/>
        </w:rPr>
      </w:pPr>
    </w:p>
    <w:p>
      <w:pPr>
        <w:pStyle w:val="25"/>
        <w:kinsoku w:val="0"/>
        <w:overflowPunct w:val="0"/>
        <w:spacing w:line="940" w:lineRule="exact"/>
        <w:ind w:left="0" w:leftChars="0" w:firstLine="0" w:firstLineChars="0"/>
        <w:jc w:val="both"/>
        <w:outlineLvl w:val="9"/>
        <w:rPr>
          <w:rFonts w:hint="eastAsia" w:ascii="仿宋" w:hAnsi="仿宋" w:eastAsia="仿宋" w:cs="仿宋"/>
        </w:rPr>
      </w:pPr>
    </w:p>
    <w:p>
      <w:pPr>
        <w:pStyle w:val="25"/>
        <w:kinsoku w:val="0"/>
        <w:overflowPunct w:val="0"/>
        <w:spacing w:line="940" w:lineRule="exact"/>
        <w:jc w:val="center"/>
        <w:outlineLvl w:val="9"/>
        <w:rPr>
          <w:rFonts w:hint="eastAsia" w:ascii="仿宋" w:hAnsi="仿宋" w:eastAsia="仿宋" w:cs="仿宋"/>
        </w:rPr>
      </w:pPr>
    </w:p>
    <w:p>
      <w:pPr>
        <w:pStyle w:val="25"/>
        <w:kinsoku w:val="0"/>
        <w:overflowPunct w:val="0"/>
        <w:spacing w:line="940" w:lineRule="exact"/>
        <w:jc w:val="center"/>
        <w:outlineLvl w:val="9"/>
        <w:rPr>
          <w:rFonts w:hint="eastAsia" w:ascii="仿宋" w:hAnsi="仿宋" w:eastAsia="仿宋" w:cs="仿宋"/>
        </w:rPr>
      </w:pPr>
    </w:p>
    <w:p>
      <w:pPr>
        <w:jc w:val="center"/>
        <w:rPr>
          <w:rFonts w:hint="eastAsia" w:ascii="仿宋" w:hAnsi="仿宋" w:eastAsia="仿宋" w:cs="仿宋"/>
          <w:b/>
          <w:bCs/>
          <w:sz w:val="52"/>
          <w:szCs w:val="52"/>
        </w:rPr>
      </w:pPr>
      <w:r>
        <w:rPr>
          <w:rFonts w:hint="eastAsia" w:ascii="仿宋" w:hAnsi="仿宋" w:eastAsia="仿宋" w:cs="仿宋"/>
          <w:b/>
          <w:sz w:val="52"/>
          <w:szCs w:val="52"/>
        </w:rPr>
        <w:t>（一）商务部分</w:t>
      </w:r>
    </w:p>
    <w:p>
      <w:pPr>
        <w:pStyle w:val="9"/>
        <w:kinsoku w:val="0"/>
        <w:overflowPunct w:val="0"/>
        <w:spacing w:before="130" w:line="355" w:lineRule="auto"/>
        <w:ind w:right="7" w:firstLine="480"/>
        <w:jc w:val="center"/>
        <w:rPr>
          <w:rFonts w:hint="eastAsia" w:ascii="仿宋" w:hAnsi="仿宋" w:eastAsia="仿宋" w:cs="仿宋"/>
          <w:b/>
          <w:bCs/>
          <w:sz w:val="36"/>
          <w:szCs w:val="36"/>
        </w:rPr>
      </w:pPr>
      <w:r>
        <w:rPr>
          <w:rFonts w:hint="eastAsia" w:ascii="仿宋" w:hAnsi="仿宋" w:eastAsia="仿宋" w:cs="仿宋"/>
        </w:rPr>
        <w:br w:type="page"/>
      </w:r>
      <w:r>
        <w:rPr>
          <w:rFonts w:hint="eastAsia" w:ascii="仿宋" w:hAnsi="仿宋" w:eastAsia="仿宋" w:cs="仿宋"/>
          <w:b/>
          <w:bCs/>
          <w:sz w:val="36"/>
          <w:szCs w:val="36"/>
        </w:rPr>
        <w:t>一、投标函</w:t>
      </w:r>
    </w:p>
    <w:p>
      <w:pPr>
        <w:spacing w:line="48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为响应你方组织的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项目的招标[项目编号为：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]，我方愿参与投标。</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我方确认收到贵方提供的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磋商文件的全部内容。</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(磋商供应商名称)      </w:t>
      </w:r>
      <w:r>
        <w:rPr>
          <w:rFonts w:hint="eastAsia" w:ascii="仿宋" w:hAnsi="仿宋" w:eastAsia="仿宋" w:cs="仿宋"/>
          <w:kern w:val="0"/>
          <w:sz w:val="24"/>
          <w:szCs w:val="24"/>
        </w:rPr>
        <w:t>作为投标供应商正式授权</w:t>
      </w:r>
      <w:r>
        <w:rPr>
          <w:rFonts w:hint="eastAsia" w:ascii="仿宋" w:hAnsi="仿宋" w:eastAsia="仿宋" w:cs="仿宋"/>
          <w:kern w:val="0"/>
          <w:sz w:val="24"/>
          <w:szCs w:val="24"/>
          <w:u w:val="single"/>
        </w:rPr>
        <w:t xml:space="preserve">  (授权代表全名, 职务)  </w:t>
      </w:r>
      <w:r>
        <w:rPr>
          <w:rFonts w:hint="eastAsia" w:ascii="仿宋" w:hAnsi="仿宋" w:eastAsia="仿宋" w:cs="仿宋"/>
          <w:kern w:val="0"/>
          <w:sz w:val="24"/>
          <w:szCs w:val="24"/>
        </w:rPr>
        <w:t>代表我方全权处理有关本报价的一切事宜。</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我方已完全明白招标文件的所有条款要求，并申明如下：</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（一）按招标文件提供的全部货物与相关服务的投标总价详见《报价一览表》。</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（二）本投标文件的有效期为投标截止时</w:t>
      </w:r>
      <w:r>
        <w:rPr>
          <w:rFonts w:hint="eastAsia" w:ascii="仿宋" w:hAnsi="仿宋" w:eastAsia="仿宋" w:cs="仿宋"/>
          <w:kern w:val="0"/>
          <w:sz w:val="24"/>
          <w:szCs w:val="24"/>
          <w:highlight w:val="none"/>
        </w:rPr>
        <w:t>间起60天。如</w:t>
      </w:r>
      <w:r>
        <w:rPr>
          <w:rFonts w:hint="eastAsia" w:ascii="仿宋" w:hAnsi="仿宋" w:eastAsia="仿宋" w:cs="仿宋"/>
          <w:kern w:val="0"/>
          <w:sz w:val="24"/>
          <w:szCs w:val="24"/>
        </w:rPr>
        <w:t>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（三）我方明白并同意，在规定的开标日之后，投标有效期之内撤回投标或中标后不按规定与采购人签订合同或不提交履约保证金, 则贵方将不予退还投标保证金。</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（四）我方同意按照贵方可能提出的要求而提供与投标有关的任何其它数据、信息或资料。</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（五）我方理解贵方不一定接受最低投标价或任何贵方可能收到的投标。</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（六）我方如果中标，将保证履行招标文件及其澄清、修改文件（如果有）中的全部责任和义务，按质、按量、按期完成《磋商内容》及《合同书》中的全部任务。</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（七）如我方被授予合同，我方承诺支付就本次招标应支付或将支付的中标服务费（详见按招标文件要求格式填写的《中标服务费支付承诺书》）。</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（八）我方作为</w:t>
      </w:r>
      <w:r>
        <w:rPr>
          <w:rFonts w:hint="eastAsia" w:ascii="仿宋" w:hAnsi="仿宋" w:eastAsia="仿宋" w:cs="仿宋"/>
          <w:kern w:val="0"/>
          <w:sz w:val="24"/>
          <w:szCs w:val="24"/>
          <w:u w:val="single"/>
        </w:rPr>
        <w:t xml:space="preserve">   （制造商/代理商）   </w:t>
      </w:r>
      <w:r>
        <w:rPr>
          <w:rFonts w:hint="eastAsia" w:ascii="仿宋" w:hAnsi="仿宋" w:eastAsia="仿宋" w:cs="仿宋"/>
          <w:kern w:val="0"/>
          <w:sz w:val="24"/>
          <w:szCs w:val="24"/>
        </w:rPr>
        <w:t>是在法律、财务和运作上独立于采购人、招标代理机构的投标供应商，在此保证所提交的所有文件和全部说明是真实的和正确的。</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（九）我方投标报价已包含应向知识产权所有权人支付的所有相关税费，并保证采购人在中国使用我方提供的货物时，如有第三方提出侵犯其知识产权主张的，责任由我方承担。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（十）我方与其他投标供应商不存在单位负责人为同一人或者存在直接控股、管理关系。</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（十一）我方承诺未为本项目提供整体设计、规范编制或者项目管理、监理、检测等服务。</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（十二）我方具备《政府采购法》第二十二条规定的条件，承诺如下：</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（1）我方已依法缴纳了各项税费及社会保险费用，如有需要，可随时向采购人提供近三个月内的相关缴费证明，以便核查。</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（2）我方已依法建立健全的财务会计制度，如有需要，可随时向采购人提供相关的证明材料，以便核查。</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（3）我方参加本项目政府采购活动前3年内在经营活动中没有重大违法记录。</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（4）我方具备履行合同所必需的设备和专业技术能力。</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（5）我方符合法律、行政法规规定的其他条件。</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以上内容如有虚假或与事实不符的，评审委员会可将我方做无效投标处理，我方愿意承担相应的法律责任。</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（十三）我方对在本函及投标文件中所作的所有承诺承担法律责任。</w:t>
      </w:r>
    </w:p>
    <w:p>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（十四）所有与本招标有关的函件请发往下列地址：</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地    址：</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.邮政编码：</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电    话：</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传    真：</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代表姓名：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.职    务：</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rPr>
          <w:rFonts w:hint="eastAsia" w:ascii="仿宋" w:hAnsi="仿宋" w:eastAsia="仿宋" w:cs="仿宋"/>
          <w:color w:val="000000"/>
          <w:szCs w:val="21"/>
          <w:u w:val="single"/>
        </w:rPr>
      </w:pPr>
    </w:p>
    <w:p>
      <w:pPr>
        <w:spacing w:line="420" w:lineRule="exact"/>
        <w:ind w:firstLine="480" w:firstLineChars="200"/>
        <w:rPr>
          <w:rFonts w:hint="eastAsia" w:ascii="仿宋" w:hAnsi="仿宋" w:eastAsia="仿宋" w:cs="仿宋"/>
          <w:kern w:val="0"/>
          <w:sz w:val="24"/>
          <w:szCs w:val="24"/>
        </w:rPr>
      </w:pPr>
    </w:p>
    <w:p>
      <w:pPr>
        <w:spacing w:line="420" w:lineRule="exact"/>
        <w:ind w:right="480"/>
        <w:jc w:val="right"/>
        <w:rPr>
          <w:rFonts w:hint="eastAsia" w:ascii="仿宋" w:hAnsi="仿宋" w:eastAsia="仿宋" w:cs="仿宋"/>
          <w:kern w:val="0"/>
          <w:sz w:val="24"/>
          <w:szCs w:val="24"/>
        </w:rPr>
      </w:pPr>
      <w:r>
        <w:rPr>
          <w:rFonts w:hint="eastAsia" w:ascii="仿宋" w:hAnsi="仿宋" w:eastAsia="仿宋" w:cs="仿宋"/>
          <w:kern w:val="0"/>
          <w:sz w:val="24"/>
          <w:szCs w:val="24"/>
        </w:rPr>
        <w:t>供应商：</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（公章） </w:t>
      </w:r>
    </w:p>
    <w:p>
      <w:pPr>
        <w:wordWrap w:val="0"/>
        <w:spacing w:line="420" w:lineRule="exact"/>
        <w:ind w:firstLine="480" w:firstLineChars="200"/>
        <w:jc w:val="right"/>
        <w:rPr>
          <w:rFonts w:hint="eastAsia" w:ascii="仿宋" w:hAnsi="仿宋" w:eastAsia="仿宋" w:cs="仿宋"/>
          <w:kern w:val="0"/>
          <w:sz w:val="24"/>
          <w:szCs w:val="24"/>
        </w:rPr>
      </w:pPr>
      <w:r>
        <w:rPr>
          <w:rFonts w:hint="eastAsia" w:ascii="仿宋" w:hAnsi="仿宋" w:eastAsia="仿宋" w:cs="仿宋"/>
          <w:kern w:val="0"/>
          <w:sz w:val="24"/>
          <w:szCs w:val="24"/>
        </w:rPr>
        <w:t>法定代表人或委托人：</w:t>
      </w:r>
      <w:r>
        <w:rPr>
          <w:rFonts w:hint="eastAsia" w:ascii="仿宋" w:hAnsi="仿宋" w:eastAsia="仿宋" w:cs="仿宋"/>
          <w:kern w:val="0"/>
          <w:sz w:val="24"/>
          <w:szCs w:val="24"/>
        </w:rPr>
        <w:tab/>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（签字）    </w:t>
      </w:r>
    </w:p>
    <w:p>
      <w:pPr>
        <w:spacing w:line="420" w:lineRule="exact"/>
        <w:ind w:right="480" w:firstLine="6360" w:firstLineChars="2650"/>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rPr>
        <w:tab/>
      </w:r>
      <w:r>
        <w:rPr>
          <w:rFonts w:hint="eastAsia" w:ascii="仿宋" w:hAnsi="仿宋" w:eastAsia="仿宋" w:cs="仿宋"/>
          <w:kern w:val="0"/>
          <w:sz w:val="24"/>
          <w:szCs w:val="24"/>
        </w:rPr>
        <w:t>年</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pPr>
        <w:pStyle w:val="9"/>
        <w:kinsoku w:val="0"/>
        <w:overflowPunct w:val="0"/>
        <w:spacing w:before="34" w:line="357" w:lineRule="auto"/>
        <w:ind w:right="126" w:firstLine="480"/>
        <w:jc w:val="center"/>
        <w:rPr>
          <w:rFonts w:hint="eastAsia" w:ascii="仿宋" w:hAnsi="仿宋" w:eastAsia="仿宋" w:cs="仿宋"/>
          <w:sz w:val="36"/>
          <w:szCs w:val="36"/>
        </w:rPr>
      </w:pPr>
      <w:r>
        <w:rPr>
          <w:rFonts w:hint="eastAsia" w:ascii="仿宋" w:hAnsi="仿宋" w:eastAsia="仿宋" w:cs="仿宋"/>
        </w:rPr>
        <w:br w:type="page"/>
      </w:r>
      <w:r>
        <w:rPr>
          <w:rFonts w:hint="eastAsia" w:ascii="仿宋" w:hAnsi="仿宋" w:eastAsia="仿宋" w:cs="仿宋"/>
          <w:b/>
          <w:bCs/>
          <w:sz w:val="36"/>
          <w:szCs w:val="36"/>
        </w:rPr>
        <w:t>二、法定代表人身份证明</w:t>
      </w:r>
    </w:p>
    <w:p>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投标单位名称：</w:t>
      </w:r>
      <w:r>
        <w:rPr>
          <w:rFonts w:hint="eastAsia" w:ascii="仿宋" w:hAnsi="仿宋" w:eastAsia="仿宋" w:cs="仿宋"/>
          <w:kern w:val="0"/>
          <w:sz w:val="24"/>
          <w:szCs w:val="24"/>
          <w:u w:val="single"/>
        </w:rPr>
        <w:t xml:space="preserve">                       </w:t>
      </w:r>
    </w:p>
    <w:p>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单位性质：</w:t>
      </w:r>
      <w:r>
        <w:rPr>
          <w:rFonts w:hint="eastAsia" w:ascii="仿宋" w:hAnsi="仿宋" w:eastAsia="仿宋" w:cs="仿宋"/>
          <w:kern w:val="0"/>
          <w:sz w:val="24"/>
          <w:szCs w:val="24"/>
          <w:u w:val="single"/>
        </w:rPr>
        <w:t xml:space="preserve">                           </w:t>
      </w:r>
    </w:p>
    <w:p>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地址：</w:t>
      </w:r>
      <w:r>
        <w:rPr>
          <w:rFonts w:hint="eastAsia" w:ascii="仿宋" w:hAnsi="仿宋" w:eastAsia="仿宋" w:cs="仿宋"/>
          <w:kern w:val="0"/>
          <w:sz w:val="24"/>
          <w:szCs w:val="24"/>
          <w:u w:val="single"/>
        </w:rPr>
        <w:t xml:space="preserve">                               </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成立时间：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经营期限：</w:t>
      </w:r>
      <w:r>
        <w:rPr>
          <w:rFonts w:hint="eastAsia" w:ascii="仿宋" w:hAnsi="仿宋" w:eastAsia="仿宋" w:cs="仿宋"/>
          <w:kern w:val="0"/>
          <w:sz w:val="24"/>
          <w:szCs w:val="24"/>
          <w:u w:val="single"/>
        </w:rPr>
        <w:t xml:space="preserve">             </w:t>
      </w:r>
    </w:p>
    <w:p>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年龄：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职务：</w:t>
      </w:r>
      <w:r>
        <w:rPr>
          <w:rFonts w:hint="eastAsia" w:ascii="仿宋" w:hAnsi="仿宋" w:eastAsia="仿宋" w:cs="仿宋"/>
          <w:kern w:val="0"/>
          <w:sz w:val="24"/>
          <w:szCs w:val="24"/>
          <w:u w:val="single"/>
        </w:rPr>
        <w:t xml:space="preserve">           </w:t>
      </w:r>
    </w:p>
    <w:p>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身份证号码：</w:t>
      </w:r>
      <w:r>
        <w:rPr>
          <w:rFonts w:hint="eastAsia" w:ascii="仿宋" w:hAnsi="仿宋" w:eastAsia="仿宋" w:cs="仿宋"/>
          <w:kern w:val="0"/>
          <w:sz w:val="24"/>
          <w:szCs w:val="24"/>
          <w:u w:val="single"/>
        </w:rPr>
        <w:t xml:space="preserve">                                  </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（投标单位名称）的法定代表人。</w:t>
      </w:r>
    </w:p>
    <w:p>
      <w:pPr>
        <w:spacing w:line="420" w:lineRule="exact"/>
        <w:ind w:firstLine="960" w:firstLineChars="400"/>
        <w:rPr>
          <w:rFonts w:hint="eastAsia" w:ascii="仿宋" w:hAnsi="仿宋" w:eastAsia="仿宋" w:cs="仿宋"/>
          <w:kern w:val="0"/>
          <w:sz w:val="24"/>
          <w:szCs w:val="24"/>
        </w:rPr>
      </w:pPr>
      <w:r>
        <w:rPr>
          <w:rFonts w:hint="eastAsia" w:ascii="仿宋" w:hAnsi="仿宋" w:eastAsia="仿宋" w:cs="仿宋"/>
          <w:kern w:val="0"/>
          <w:sz w:val="24"/>
          <w:szCs w:val="24"/>
        </w:rPr>
        <w:t>特此证明。</w:t>
      </w:r>
    </w:p>
    <w:p>
      <w:pPr>
        <w:pStyle w:val="9"/>
        <w:kinsoku w:val="0"/>
        <w:overflowPunct w:val="0"/>
        <w:spacing w:before="0"/>
        <w:ind w:left="0"/>
        <w:rPr>
          <w:rFonts w:hint="eastAsia" w:ascii="仿宋" w:hAnsi="仿宋" w:eastAsia="仿宋" w:cs="仿宋"/>
          <w:sz w:val="20"/>
          <w:szCs w:val="20"/>
        </w:rPr>
      </w:pPr>
    </w:p>
    <w:p>
      <w:pPr>
        <w:pStyle w:val="9"/>
        <w:kinsoku w:val="0"/>
        <w:overflowPunct w:val="0"/>
        <w:spacing w:before="7"/>
        <w:ind w:left="0"/>
        <w:rPr>
          <w:rFonts w:hint="eastAsia" w:ascii="仿宋" w:hAnsi="仿宋" w:eastAsia="仿宋" w:cs="仿宋"/>
          <w:sz w:val="25"/>
          <w:szCs w:val="25"/>
        </w:rPr>
      </w:pPr>
    </w:p>
    <w:p>
      <w:pPr>
        <w:pStyle w:val="9"/>
        <w:kinsoku w:val="0"/>
        <w:overflowPunct w:val="0"/>
        <w:spacing w:before="0" w:line="200" w:lineRule="atLeast"/>
        <w:ind w:left="608"/>
        <w:rPr>
          <w:rFonts w:hint="eastAsia" w:ascii="仿宋" w:hAnsi="仿宋" w:eastAsia="仿宋" w:cs="仿宋"/>
          <w:sz w:val="20"/>
          <w:szCs w:val="20"/>
        </w:rPr>
      </w:pPr>
      <w:r>
        <w:rPr>
          <w:rFonts w:hint="eastAsia" w:ascii="仿宋" w:hAnsi="仿宋" w:eastAsia="仿宋" w:cs="仿宋"/>
          <w:sz w:val="20"/>
          <w:szCs w:val="20"/>
        </w:rPr>
        <mc:AlternateContent>
          <mc:Choice Requires="wpg">
            <w:drawing>
              <wp:inline distT="0" distB="0" distL="114300" distR="114300">
                <wp:extent cx="5136515" cy="1458595"/>
                <wp:effectExtent l="0" t="0" r="8255" b="9525"/>
                <wp:docPr id="13" name="组合 13"/>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pPr>
                                <w:pStyle w:val="9"/>
                                <w:kinsoku w:val="0"/>
                                <w:overflowPunct w:val="0"/>
                                <w:spacing w:before="0"/>
                                <w:ind w:left="0"/>
                              </w:pPr>
                            </w:p>
                            <w:p>
                              <w:pPr>
                                <w:pStyle w:val="9"/>
                                <w:kinsoku w:val="0"/>
                                <w:overflowPunct w:val="0"/>
                                <w:spacing w:before="0"/>
                                <w:ind w:left="0"/>
                              </w:pPr>
                            </w:p>
                            <w:p>
                              <w:pPr>
                                <w:pStyle w:val="9"/>
                                <w:kinsoku w:val="0"/>
                                <w:overflowPunct w:val="0"/>
                                <w:spacing w:before="13"/>
                                <w:ind w:left="0"/>
                                <w:rPr>
                                  <w:sz w:val="28"/>
                                  <w:szCs w:val="28"/>
                                </w:rPr>
                              </w:pPr>
                            </w:p>
                            <w:p>
                              <w:pPr>
                                <w:pStyle w:val="9"/>
                                <w:kinsoku w:val="0"/>
                                <w:overflowPunct w:val="0"/>
                                <w:spacing w:before="0"/>
                                <w:ind w:left="107"/>
                              </w:pPr>
                              <w:r>
                                <w:rPr>
                                  <w:rFonts w:hint="eastAsia"/>
                                </w:rPr>
                                <w:t>法定代表人身份证复印件（正面）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pPr>
                                <w:pStyle w:val="9"/>
                                <w:kinsoku w:val="0"/>
                                <w:overflowPunct w:val="0"/>
                                <w:spacing w:before="0"/>
                                <w:ind w:left="0"/>
                              </w:pPr>
                            </w:p>
                            <w:p>
                              <w:pPr>
                                <w:pStyle w:val="9"/>
                                <w:kinsoku w:val="0"/>
                                <w:overflowPunct w:val="0"/>
                                <w:spacing w:before="0"/>
                                <w:ind w:left="0"/>
                              </w:pPr>
                            </w:p>
                            <w:p>
                              <w:pPr>
                                <w:pStyle w:val="9"/>
                                <w:kinsoku w:val="0"/>
                                <w:overflowPunct w:val="0"/>
                                <w:spacing w:before="13"/>
                                <w:ind w:left="0"/>
                                <w:rPr>
                                  <w:sz w:val="28"/>
                                  <w:szCs w:val="28"/>
                                </w:rPr>
                              </w:pPr>
                            </w:p>
                            <w:p>
                              <w:pPr>
                                <w:pStyle w:val="9"/>
                                <w:kinsoku w:val="0"/>
                                <w:overflowPunct w:val="0"/>
                                <w:spacing w:before="0"/>
                                <w:ind w:left="107"/>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">
                <o:lock v:ext="edit" rotation="t" aspectratio="f"/>
                <v:shape id="_x0000_s1026" o:spid="_x0000_s1026" o:spt="100" style="position:absolute;left:4;top:9;height:20;width:8079;" filled="f" stroked="t" coordsize="8079,20" o:gfxdata="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DUQHbgAAADaAAAA&#10;DwAAAAAAAAABACAAAAAiAAAAZHJzL2Rvd25yZXYueG1sUEsBAhQAFAAAAAgAh07iQDMvBZ47AAAA&#10;OQAAABAAAAAAAAAAAQAgAAAABwEAAGRycy9zaGFwZXhtbC54bWxQSwUGAAAAAAYABgBbAQAAsQMA&#10;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9"/>
                          <w:kinsoku w:val="0"/>
                          <w:overflowPunct w:val="0"/>
                          <w:spacing w:before="0"/>
                          <w:ind w:left="0"/>
                        </w:pPr>
                      </w:p>
                      <w:p>
                        <w:pPr>
                          <w:pStyle w:val="9"/>
                          <w:kinsoku w:val="0"/>
                          <w:overflowPunct w:val="0"/>
                          <w:spacing w:before="0"/>
                          <w:ind w:left="0"/>
                        </w:pPr>
                      </w:p>
                      <w:p>
                        <w:pPr>
                          <w:pStyle w:val="9"/>
                          <w:kinsoku w:val="0"/>
                          <w:overflowPunct w:val="0"/>
                          <w:spacing w:before="13"/>
                          <w:ind w:left="0"/>
                          <w:rPr>
                            <w:sz w:val="28"/>
                            <w:szCs w:val="28"/>
                          </w:rPr>
                        </w:pPr>
                      </w:p>
                      <w:p>
                        <w:pPr>
                          <w:pStyle w:val="9"/>
                          <w:kinsoku w:val="0"/>
                          <w:overflowPunct w:val="0"/>
                          <w:spacing w:before="0"/>
                          <w:ind w:left="107"/>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9"/>
                          <w:kinsoku w:val="0"/>
                          <w:overflowPunct w:val="0"/>
                          <w:spacing w:before="0"/>
                          <w:ind w:left="0"/>
                        </w:pPr>
                      </w:p>
                      <w:p>
                        <w:pPr>
                          <w:pStyle w:val="9"/>
                          <w:kinsoku w:val="0"/>
                          <w:overflowPunct w:val="0"/>
                          <w:spacing w:before="0"/>
                          <w:ind w:left="0"/>
                        </w:pPr>
                      </w:p>
                      <w:p>
                        <w:pPr>
                          <w:pStyle w:val="9"/>
                          <w:kinsoku w:val="0"/>
                          <w:overflowPunct w:val="0"/>
                          <w:spacing w:before="13"/>
                          <w:ind w:left="0"/>
                          <w:rPr>
                            <w:sz w:val="28"/>
                            <w:szCs w:val="28"/>
                          </w:rPr>
                        </w:pPr>
                      </w:p>
                      <w:p>
                        <w:pPr>
                          <w:pStyle w:val="9"/>
                          <w:kinsoku w:val="0"/>
                          <w:overflowPunct w:val="0"/>
                          <w:spacing w:before="0"/>
                          <w:ind w:left="107"/>
                        </w:pPr>
                        <w:r>
                          <w:rPr>
                            <w:rFonts w:hint="eastAsia"/>
                          </w:rPr>
                          <w:t>法定代表人身份证复印件（反面）</w:t>
                        </w:r>
                      </w:p>
                    </w:txbxContent>
                  </v:textbox>
                </v:shape>
                <w10:wrap type="none"/>
                <w10:anchorlock/>
              </v:group>
            </w:pict>
          </mc:Fallback>
        </mc:AlternateContent>
      </w:r>
    </w:p>
    <w:p>
      <w:pPr>
        <w:pStyle w:val="9"/>
        <w:kinsoku w:val="0"/>
        <w:overflowPunct w:val="0"/>
        <w:spacing w:before="0"/>
        <w:ind w:left="0"/>
        <w:rPr>
          <w:rFonts w:hint="eastAsia" w:ascii="仿宋" w:hAnsi="仿宋" w:eastAsia="仿宋" w:cs="仿宋"/>
          <w:sz w:val="20"/>
          <w:szCs w:val="20"/>
        </w:rPr>
      </w:pPr>
    </w:p>
    <w:p>
      <w:pPr>
        <w:wordWrap w:val="0"/>
        <w:spacing w:line="420" w:lineRule="exact"/>
        <w:ind w:firstLine="480" w:firstLineChars="200"/>
        <w:jc w:val="right"/>
        <w:rPr>
          <w:rFonts w:hint="eastAsia" w:ascii="仿宋" w:hAnsi="仿宋" w:eastAsia="仿宋" w:cs="仿宋"/>
          <w:kern w:val="0"/>
          <w:sz w:val="24"/>
          <w:szCs w:val="24"/>
        </w:rPr>
      </w:pPr>
    </w:p>
    <w:p>
      <w:pPr>
        <w:spacing w:line="420" w:lineRule="exact"/>
        <w:ind w:firstLine="480" w:firstLineChars="200"/>
        <w:jc w:val="right"/>
        <w:rPr>
          <w:rFonts w:hint="eastAsia" w:ascii="仿宋" w:hAnsi="仿宋" w:eastAsia="仿宋" w:cs="仿宋"/>
          <w:kern w:val="0"/>
          <w:sz w:val="24"/>
          <w:szCs w:val="24"/>
        </w:rPr>
      </w:pPr>
    </w:p>
    <w:p>
      <w:pPr>
        <w:spacing w:line="420" w:lineRule="exact"/>
        <w:ind w:firstLine="480" w:firstLineChars="200"/>
        <w:jc w:val="right"/>
        <w:rPr>
          <w:rFonts w:hint="eastAsia" w:ascii="仿宋" w:hAnsi="仿宋" w:eastAsia="仿宋" w:cs="仿宋"/>
          <w:kern w:val="0"/>
          <w:sz w:val="24"/>
          <w:szCs w:val="24"/>
        </w:rPr>
      </w:pPr>
      <w:r>
        <w:rPr>
          <w:rFonts w:hint="eastAsia" w:ascii="仿宋" w:hAnsi="仿宋" w:eastAsia="仿宋" w:cs="仿宋"/>
          <w:kern w:val="0"/>
          <w:sz w:val="24"/>
          <w:szCs w:val="24"/>
        </w:rPr>
        <w:t>供应商：</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（公章）</w:t>
      </w:r>
    </w:p>
    <w:p>
      <w:pPr>
        <w:wordWrap w:val="0"/>
        <w:spacing w:line="420" w:lineRule="exact"/>
        <w:ind w:right="480" w:firstLine="480" w:firstLineChars="20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日 </w:t>
      </w:r>
    </w:p>
    <w:p>
      <w:pPr>
        <w:pStyle w:val="9"/>
        <w:kinsoku w:val="0"/>
        <w:overflowPunct w:val="0"/>
        <w:spacing w:before="34" w:line="357" w:lineRule="auto"/>
        <w:ind w:right="126" w:firstLine="480"/>
        <w:jc w:val="center"/>
        <w:rPr>
          <w:rFonts w:hint="eastAsia" w:ascii="仿宋" w:hAnsi="仿宋" w:eastAsia="仿宋" w:cs="仿宋"/>
          <w:b/>
          <w:bCs/>
        </w:rPr>
      </w:pPr>
      <w:r>
        <w:rPr>
          <w:rFonts w:hint="eastAsia" w:ascii="仿宋" w:hAnsi="仿宋" w:eastAsia="仿宋" w:cs="仿宋"/>
        </w:rPr>
        <w:br w:type="page"/>
      </w:r>
      <w:r>
        <w:rPr>
          <w:rFonts w:hint="eastAsia" w:ascii="仿宋" w:hAnsi="仿宋" w:eastAsia="仿宋" w:cs="仿宋"/>
          <w:b/>
          <w:bCs/>
          <w:sz w:val="36"/>
          <w:szCs w:val="36"/>
        </w:rPr>
        <w:t>三、授权委托书</w:t>
      </w:r>
    </w:p>
    <w:p>
      <w:pPr>
        <w:pStyle w:val="9"/>
        <w:kinsoku w:val="0"/>
        <w:overflowPunct w:val="0"/>
        <w:spacing w:before="2"/>
        <w:ind w:left="0"/>
        <w:rPr>
          <w:rFonts w:hint="eastAsia" w:ascii="仿宋" w:hAnsi="仿宋" w:eastAsia="仿宋" w:cs="仿宋"/>
          <w:b/>
          <w:bCs/>
          <w:sz w:val="21"/>
          <w:szCs w:val="21"/>
        </w:rPr>
      </w:pPr>
    </w:p>
    <w:p>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致：采购人名称 </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本授权书声明：注册于</w:t>
      </w:r>
      <w:r>
        <w:rPr>
          <w:rFonts w:hint="eastAsia" w:ascii="仿宋" w:hAnsi="仿宋" w:eastAsia="仿宋" w:cs="仿宋"/>
          <w:kern w:val="0"/>
          <w:sz w:val="24"/>
          <w:szCs w:val="24"/>
          <w:u w:val="single"/>
        </w:rPr>
        <w:t>（投标人地址）</w:t>
      </w:r>
      <w:r>
        <w:rPr>
          <w:rFonts w:hint="eastAsia" w:ascii="仿宋" w:hAnsi="仿宋" w:eastAsia="仿宋" w:cs="仿宋"/>
          <w:kern w:val="0"/>
          <w:sz w:val="24"/>
          <w:szCs w:val="24"/>
        </w:rPr>
        <w:t>的</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法定代表人（负责人）</w:t>
      </w:r>
      <w:r>
        <w:rPr>
          <w:rFonts w:hint="eastAsia" w:ascii="仿宋" w:hAnsi="仿宋" w:eastAsia="仿宋" w:cs="仿宋"/>
          <w:kern w:val="0"/>
          <w:sz w:val="24"/>
          <w:szCs w:val="24"/>
          <w:u w:val="single"/>
        </w:rPr>
        <w:t>姓名、职务或职称）</w:t>
      </w:r>
      <w:r>
        <w:rPr>
          <w:rFonts w:hint="eastAsia" w:ascii="仿宋" w:hAnsi="仿宋" w:eastAsia="仿宋" w:cs="仿宋"/>
          <w:kern w:val="0"/>
          <w:sz w:val="24"/>
          <w:szCs w:val="24"/>
        </w:rPr>
        <w:t>代表本公司授权</w:t>
      </w:r>
      <w:r>
        <w:rPr>
          <w:rFonts w:hint="eastAsia" w:ascii="仿宋" w:hAnsi="仿宋" w:eastAsia="仿宋" w:cs="仿宋"/>
          <w:kern w:val="0"/>
          <w:sz w:val="24"/>
          <w:szCs w:val="24"/>
          <w:u w:val="single"/>
        </w:rPr>
        <w:t>（姓名）</w:t>
      </w:r>
      <w:r>
        <w:rPr>
          <w:rFonts w:hint="eastAsia" w:ascii="仿宋" w:hAnsi="仿宋" w:eastAsia="仿宋" w:cs="仿宋"/>
          <w:kern w:val="0"/>
          <w:sz w:val="24"/>
          <w:szCs w:val="24"/>
        </w:rPr>
        <w:t>为本单位的合法代理人，参与贵方组织的</w:t>
      </w:r>
      <w:r>
        <w:rPr>
          <w:rFonts w:hint="eastAsia" w:ascii="仿宋" w:hAnsi="仿宋" w:eastAsia="仿宋" w:cs="仿宋"/>
          <w:kern w:val="0"/>
          <w:sz w:val="24"/>
          <w:szCs w:val="24"/>
          <w:u w:val="single"/>
        </w:rPr>
        <w:t>（项目名称及项目编号）</w:t>
      </w:r>
      <w:r>
        <w:rPr>
          <w:rFonts w:hint="eastAsia" w:ascii="仿宋" w:hAnsi="仿宋" w:eastAsia="仿宋" w:cs="仿宋"/>
          <w:kern w:val="0"/>
          <w:sz w:val="24"/>
          <w:szCs w:val="24"/>
        </w:rPr>
        <w:t xml:space="preserve"> 的投标、</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、签约等具体工作，并签署全部有关文件、协议及合同。</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我单位对被授权人的上述经济活动负全部责任。在撤销授权的书面通知前，本授权书一直有效。被授权人在授权书有效期内签署的所有文件不因授权的撤消而失效。</w:t>
      </w:r>
    </w:p>
    <w:p>
      <w:pPr>
        <w:pStyle w:val="9"/>
        <w:kinsoku w:val="0"/>
        <w:overflowPunct w:val="0"/>
        <w:spacing w:before="12"/>
        <w:ind w:left="0"/>
        <w:rPr>
          <w:rFonts w:hint="eastAsia" w:ascii="仿宋" w:hAnsi="仿宋" w:eastAsia="仿宋" w:cs="仿宋"/>
          <w:sz w:val="4"/>
          <w:szCs w:val="4"/>
        </w:rPr>
      </w:pPr>
    </w:p>
    <w:p>
      <w:pPr>
        <w:pStyle w:val="9"/>
        <w:kinsoku w:val="0"/>
        <w:overflowPunct w:val="0"/>
        <w:spacing w:before="0" w:line="200" w:lineRule="atLeast"/>
        <w:ind w:left="628"/>
        <w:rPr>
          <w:rFonts w:hint="eastAsia" w:ascii="仿宋" w:hAnsi="仿宋" w:eastAsia="仿宋" w:cs="仿宋"/>
          <w:sz w:val="20"/>
          <w:szCs w:val="20"/>
        </w:rPr>
      </w:pPr>
      <w:r>
        <w:rPr>
          <w:rFonts w:hint="eastAsia" w:ascii="仿宋" w:hAnsi="仿宋" w:eastAsia="仿宋" w:cs="仿宋"/>
          <w:sz w:val="20"/>
          <w:szCs w:val="20"/>
        </w:rPr>
        <mc:AlternateContent>
          <mc:Choice Requires="wpg">
            <w:drawing>
              <wp:inline distT="0" distB="0" distL="114300" distR="114300">
                <wp:extent cx="5136515" cy="1458595"/>
                <wp:effectExtent l="0" t="0" r="8255" b="9525"/>
                <wp:docPr id="26" name="组合 26"/>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8" name="任意多边形 18"/>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4" name="文本框 24"/>
                        <wps:cNvSpPr txBox="1"/>
                        <wps:spPr>
                          <a:xfrm>
                            <a:off x="19" y="19"/>
                            <a:ext cx="4025" cy="2258"/>
                          </a:xfrm>
                          <a:prstGeom prst="rect">
                            <a:avLst/>
                          </a:prstGeom>
                          <a:noFill/>
                          <a:ln>
                            <a:noFill/>
                          </a:ln>
                        </wps:spPr>
                        <wps:txbx>
                          <w:txbxContent>
                            <w:p>
                              <w:pPr>
                                <w:pStyle w:val="9"/>
                                <w:kinsoku w:val="0"/>
                                <w:overflowPunct w:val="0"/>
                                <w:spacing w:before="0"/>
                                <w:ind w:left="0"/>
                              </w:pPr>
                            </w:p>
                            <w:p>
                              <w:pPr>
                                <w:pStyle w:val="9"/>
                                <w:kinsoku w:val="0"/>
                                <w:overflowPunct w:val="0"/>
                                <w:spacing w:before="0"/>
                                <w:ind w:left="0"/>
                              </w:pPr>
                            </w:p>
                            <w:p>
                              <w:pPr>
                                <w:pStyle w:val="9"/>
                                <w:kinsoku w:val="0"/>
                                <w:overflowPunct w:val="0"/>
                                <w:spacing w:before="12"/>
                                <w:ind w:left="0"/>
                                <w:rPr>
                                  <w:sz w:val="28"/>
                                  <w:szCs w:val="28"/>
                                </w:rPr>
                              </w:pPr>
                            </w:p>
                            <w:p>
                              <w:pPr>
                                <w:pStyle w:val="9"/>
                                <w:kinsoku w:val="0"/>
                                <w:overflowPunct w:val="0"/>
                                <w:spacing w:before="0"/>
                                <w:ind w:left="107"/>
                              </w:pPr>
                              <w:r>
                                <w:rPr>
                                  <w:rFonts w:hint="eastAsia"/>
                                </w:rPr>
                                <w:t>法定代表人身份证复印件（正面）</w:t>
                              </w:r>
                            </w:p>
                          </w:txbxContent>
                        </wps:txbx>
                        <wps:bodyPr lIns="0" tIns="0" rIns="0" bIns="0" upright="1"/>
                      </wps:wsp>
                      <wps:wsp>
                        <wps:cNvPr id="25" name="文本框 25"/>
                        <wps:cNvSpPr txBox="1"/>
                        <wps:spPr>
                          <a:xfrm>
                            <a:off x="4044" y="19"/>
                            <a:ext cx="4025" cy="2258"/>
                          </a:xfrm>
                          <a:prstGeom prst="rect">
                            <a:avLst/>
                          </a:prstGeom>
                          <a:noFill/>
                          <a:ln>
                            <a:noFill/>
                          </a:ln>
                        </wps:spPr>
                        <wps:txbx>
                          <w:txbxContent>
                            <w:p>
                              <w:pPr>
                                <w:pStyle w:val="9"/>
                                <w:kinsoku w:val="0"/>
                                <w:overflowPunct w:val="0"/>
                                <w:spacing w:before="0"/>
                                <w:ind w:left="0"/>
                              </w:pPr>
                            </w:p>
                            <w:p>
                              <w:pPr>
                                <w:pStyle w:val="9"/>
                                <w:kinsoku w:val="0"/>
                                <w:overflowPunct w:val="0"/>
                                <w:spacing w:before="0"/>
                                <w:ind w:left="0"/>
                              </w:pPr>
                            </w:p>
                            <w:p>
                              <w:pPr>
                                <w:pStyle w:val="9"/>
                                <w:kinsoku w:val="0"/>
                                <w:overflowPunct w:val="0"/>
                                <w:spacing w:before="12"/>
                                <w:ind w:left="0"/>
                                <w:rPr>
                                  <w:sz w:val="28"/>
                                  <w:szCs w:val="28"/>
                                </w:rPr>
                              </w:pPr>
                            </w:p>
                            <w:p>
                              <w:pPr>
                                <w:pStyle w:val="9"/>
                                <w:kinsoku w:val="0"/>
                                <w:overflowPunct w:val="0"/>
                                <w:spacing w:before="0"/>
                                <w:ind w:left="107"/>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fV36Ur0AAADb&#10;AAAADwAAAGRycy9kb3ducmV2LnhtbEWPQWsCMRCF7wX/Qxihl1ITCy3r1uhBLAg9dav3YTNuFjeT&#10;NUnV9td3DoXeZnhv3vtmub6FQV0o5T6yhfnMgCJuo+u5s7D/fHusQOWC7HCITBa+KcN6NblbYu3i&#10;lT/o0pROSQjnGi34UsZa69x6CphncSQW7RhTwCJr6rRLeJXwMOgnY150wJ6lweNIG0/tqfkKFn6O&#10;D7vnrcdt01YH814tNmdMjbX307l5BVXoVv7Nf9c7J/gCK7/IA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XfpSvQAA&#10;ANsAAAAPAAAAAAAAAAEAIAAAACIAAABkcnMvZG93bnJldi54bWxQSwECFAAUAAAACACHTuJAMy8F&#10;njsAAAA5AAAAEAAAAAAAAAABACAAAAAMAQAAZHJzL3NoYXBleG1sLnhtbFBLBQYAAAAABgAGAFsB&#10;AAC2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hWJ3E7wAAADb&#10;AAAADwAAAGRycy9kb3ducmV2LnhtbEVPS4vCMBC+C/sfwix4EZsqIlobZVkRPAjr66C3oRnb7jaT&#10;0kSr/34jCN7m43tOuribStyocaVlBYMoBkGcWV1yruB4WPUnIJxH1lhZJgUPcrCYf3RSTLRteUe3&#10;vc9FCGGXoILC+zqR0mUFGXSRrYkDd7GNQR9gk0vdYBvCTSWHcTyWBksODQXW9F1Q9re/GgXteinL&#10;o//JevlucxhNT1/173mrVPdzEM9AeLr7t/jlXuswfwrPX8IBcv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idx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W4JHNrYAAADb&#10;AAAADwAAAGRycy9kb3ducmV2LnhtbEVPy4rCMBTdC/5DuAPuNFVRho5pGQqCK8HX/tLcaco0N20S&#10;X39vFoLLw3lvyoftxI18aB0rmM8yEMS10y03Cs6n7fQbRIjIGjvHpOBJAcpiPNpgrt2dD3Q7xkak&#10;EA45KjAx9rmUoTZkMcxcT5y4P+ctxgR9I7XHewq3nVxk2VpabDk1GOypMlT/H69Wga9DpYflYC7V&#10;sL/wL/ZuvVwpNfmaZz8gIj3iR/x277SCRVqfvqQfIIs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uCRza2AAAA2w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Pu50T70AAADb&#10;AAAADwAAAGRycy9kb3ducmV2LnhtbEWPQWsCMRSE7wX/Q3iCN82qpditUVDUeiniWuj1uXluFjcv&#10;yyau+u+NIPQ4zMw3zHR+s5VoqfGlYwXDQQKCOHe65ELB72Hdn4DwAVlj5ZgU3MnDfNZ5m2Kq3ZX3&#10;1GahEBHCPkUFJoQ6ldLnhiz6gauJo3dyjcUQZVNI3eA1wm0lR0nyIS2WHBcM1rQ0lJ+zi1Vw9q1Z&#10;HN8337sxf/5MsuOq/jutlOp1h8kXiEC38B9+tbdawWgM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nRP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9"/>
                          <w:kinsoku w:val="0"/>
                          <w:overflowPunct w:val="0"/>
                          <w:spacing w:before="0"/>
                          <w:ind w:left="0"/>
                        </w:pPr>
                      </w:p>
                      <w:p>
                        <w:pPr>
                          <w:pStyle w:val="9"/>
                          <w:kinsoku w:val="0"/>
                          <w:overflowPunct w:val="0"/>
                          <w:spacing w:before="0"/>
                          <w:ind w:left="0"/>
                        </w:pPr>
                      </w:p>
                      <w:p>
                        <w:pPr>
                          <w:pStyle w:val="9"/>
                          <w:kinsoku w:val="0"/>
                          <w:overflowPunct w:val="0"/>
                          <w:spacing w:before="12"/>
                          <w:ind w:left="0"/>
                          <w:rPr>
                            <w:sz w:val="28"/>
                            <w:szCs w:val="28"/>
                          </w:rPr>
                        </w:pPr>
                      </w:p>
                      <w:p>
                        <w:pPr>
                          <w:pStyle w:val="9"/>
                          <w:kinsoku w:val="0"/>
                          <w:overflowPunct w:val="0"/>
                          <w:spacing w:before="0"/>
                          <w:ind w:left="107"/>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9"/>
                          <w:kinsoku w:val="0"/>
                          <w:overflowPunct w:val="0"/>
                          <w:spacing w:before="0"/>
                          <w:ind w:left="0"/>
                        </w:pPr>
                      </w:p>
                      <w:p>
                        <w:pPr>
                          <w:pStyle w:val="9"/>
                          <w:kinsoku w:val="0"/>
                          <w:overflowPunct w:val="0"/>
                          <w:spacing w:before="0"/>
                          <w:ind w:left="0"/>
                        </w:pPr>
                      </w:p>
                      <w:p>
                        <w:pPr>
                          <w:pStyle w:val="9"/>
                          <w:kinsoku w:val="0"/>
                          <w:overflowPunct w:val="0"/>
                          <w:spacing w:before="12"/>
                          <w:ind w:left="0"/>
                          <w:rPr>
                            <w:sz w:val="28"/>
                            <w:szCs w:val="28"/>
                          </w:rPr>
                        </w:pPr>
                      </w:p>
                      <w:p>
                        <w:pPr>
                          <w:pStyle w:val="9"/>
                          <w:kinsoku w:val="0"/>
                          <w:overflowPunct w:val="0"/>
                          <w:spacing w:before="0"/>
                          <w:ind w:left="107"/>
                        </w:pPr>
                        <w:r>
                          <w:rPr>
                            <w:rFonts w:hint="eastAsia"/>
                          </w:rPr>
                          <w:t>法定代表人身份证复印件（反面）</w:t>
                        </w:r>
                      </w:p>
                    </w:txbxContent>
                  </v:textbox>
                </v:shape>
                <w10:wrap type="none"/>
                <w10:anchorlock/>
              </v:group>
            </w:pict>
          </mc:Fallback>
        </mc:AlternateContent>
      </w:r>
    </w:p>
    <w:p>
      <w:pPr>
        <w:pStyle w:val="9"/>
        <w:kinsoku w:val="0"/>
        <w:overflowPunct w:val="0"/>
        <w:spacing w:before="0"/>
        <w:ind w:left="0"/>
        <w:rPr>
          <w:rFonts w:hint="eastAsia" w:ascii="仿宋" w:hAnsi="仿宋" w:eastAsia="仿宋" w:cs="仿宋"/>
          <w:sz w:val="20"/>
          <w:szCs w:val="20"/>
        </w:rPr>
      </w:pPr>
    </w:p>
    <w:p>
      <w:pPr>
        <w:pStyle w:val="9"/>
        <w:kinsoku w:val="0"/>
        <w:overflowPunct w:val="0"/>
        <w:spacing w:before="1"/>
        <w:ind w:left="0"/>
        <w:rPr>
          <w:rFonts w:hint="eastAsia" w:ascii="仿宋" w:hAnsi="仿宋" w:eastAsia="仿宋" w:cs="仿宋"/>
          <w:sz w:val="19"/>
          <w:szCs w:val="19"/>
        </w:rPr>
      </w:pPr>
    </w:p>
    <w:p>
      <w:pPr>
        <w:pStyle w:val="9"/>
        <w:kinsoku w:val="0"/>
        <w:overflowPunct w:val="0"/>
        <w:spacing w:before="0" w:line="200" w:lineRule="atLeast"/>
        <w:ind w:left="628"/>
        <w:rPr>
          <w:rFonts w:hint="eastAsia" w:ascii="仿宋" w:hAnsi="仿宋" w:eastAsia="仿宋" w:cs="仿宋"/>
          <w:sz w:val="20"/>
          <w:szCs w:val="20"/>
        </w:rPr>
      </w:pPr>
      <w:r>
        <w:rPr>
          <w:rFonts w:hint="eastAsia" w:ascii="仿宋" w:hAnsi="仿宋" w:eastAsia="仿宋" w:cs="仿宋"/>
          <w:sz w:val="20"/>
          <w:szCs w:val="20"/>
        </w:rPr>
        <mc:AlternateContent>
          <mc:Choice Requires="wpg">
            <w:drawing>
              <wp:inline distT="0" distB="0" distL="114300" distR="114300">
                <wp:extent cx="5136515" cy="1384935"/>
                <wp:effectExtent l="0" t="0" r="7620" b="6985"/>
                <wp:docPr id="39" name="组合 39"/>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27" name="任意多边形 27"/>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8" name="任意多边形 28"/>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29" name="任意多边形 29"/>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0" name="任意多边形 30"/>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1" name="任意多边形 31"/>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32" name="任意多边形 32"/>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33" name="任意多边形 33"/>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34" name="任意多边形 34"/>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35" name="任意多边形 35"/>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36" name="任意多边形 36"/>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37" name="文本框 37"/>
                        <wps:cNvSpPr txBox="1"/>
                        <wps:spPr>
                          <a:xfrm>
                            <a:off x="19" y="19"/>
                            <a:ext cx="4025" cy="2142"/>
                          </a:xfrm>
                          <a:prstGeom prst="rect">
                            <a:avLst/>
                          </a:prstGeom>
                          <a:noFill/>
                          <a:ln>
                            <a:noFill/>
                          </a:ln>
                        </wps:spPr>
                        <wps:txbx>
                          <w:txbxContent>
                            <w:p>
                              <w:pPr>
                                <w:pStyle w:val="9"/>
                                <w:kinsoku w:val="0"/>
                                <w:overflowPunct w:val="0"/>
                                <w:spacing w:before="0"/>
                                <w:ind w:left="0"/>
                              </w:pPr>
                            </w:p>
                            <w:p>
                              <w:pPr>
                                <w:pStyle w:val="9"/>
                                <w:kinsoku w:val="0"/>
                                <w:overflowPunct w:val="0"/>
                                <w:spacing w:before="0"/>
                                <w:ind w:left="0"/>
                              </w:pPr>
                            </w:p>
                            <w:p>
                              <w:pPr>
                                <w:pStyle w:val="9"/>
                                <w:kinsoku w:val="0"/>
                                <w:overflowPunct w:val="0"/>
                                <w:spacing w:before="7"/>
                                <w:ind w:left="0"/>
                              </w:pPr>
                            </w:p>
                            <w:p>
                              <w:pPr>
                                <w:pStyle w:val="9"/>
                                <w:kinsoku w:val="0"/>
                                <w:overflowPunct w:val="0"/>
                                <w:spacing w:before="0"/>
                                <w:ind w:left="107"/>
                              </w:pPr>
                              <w:r>
                                <w:rPr>
                                  <w:rFonts w:hint="eastAsia"/>
                                </w:rPr>
                                <w:t>被授权代表身份证复印件（正面）</w:t>
                              </w:r>
                            </w:p>
                          </w:txbxContent>
                        </wps:txbx>
                        <wps:bodyPr lIns="0" tIns="0" rIns="0" bIns="0" upright="1"/>
                      </wps:wsp>
                      <wps:wsp>
                        <wps:cNvPr id="38" name="文本框 38"/>
                        <wps:cNvSpPr txBox="1"/>
                        <wps:spPr>
                          <a:xfrm>
                            <a:off x="4044" y="19"/>
                            <a:ext cx="4025" cy="2142"/>
                          </a:xfrm>
                          <a:prstGeom prst="rect">
                            <a:avLst/>
                          </a:prstGeom>
                          <a:noFill/>
                          <a:ln>
                            <a:noFill/>
                          </a:ln>
                        </wps:spPr>
                        <wps:txbx>
                          <w:txbxContent>
                            <w:p>
                              <w:pPr>
                                <w:pStyle w:val="9"/>
                                <w:kinsoku w:val="0"/>
                                <w:overflowPunct w:val="0"/>
                                <w:spacing w:before="0"/>
                                <w:ind w:left="0"/>
                              </w:pPr>
                            </w:p>
                            <w:p>
                              <w:pPr>
                                <w:pStyle w:val="9"/>
                                <w:kinsoku w:val="0"/>
                                <w:overflowPunct w:val="0"/>
                                <w:spacing w:before="0"/>
                                <w:ind w:left="0"/>
                              </w:pPr>
                            </w:p>
                            <w:p>
                              <w:pPr>
                                <w:pStyle w:val="9"/>
                                <w:kinsoku w:val="0"/>
                                <w:overflowPunct w:val="0"/>
                                <w:spacing w:before="7"/>
                                <w:ind w:left="0"/>
                              </w:pPr>
                            </w:p>
                            <w:p>
                              <w:pPr>
                                <w:pStyle w:val="9"/>
                                <w:kinsoku w:val="0"/>
                                <w:overflowPunct w:val="0"/>
                                <w:spacing w:before="0"/>
                                <w:ind w:left="107"/>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">
                <o:lock v:ext="edit" rotation="t" aspectratio="f"/>
                <v:shape id="_x0000_s1026" o:spid="_x0000_s1026" o:spt="100" style="position:absolute;left:4;top:9;height:20;width:8079;" filled="f" stroked="t" coordsize="8079,20" o:gfxdata="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HAP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o4GRbbkAAADb&#10;AAAADwAAAGRycy9kb3ducmV2LnhtbEVPzYrCMBC+C75DGGFvmlRYcavRg7IgKx6s+wBDM7alzaQk&#10;Wa379OYgePz4/tfbwXbiRj40jjVkMwWCuHSm4UrD7+V7ugQRIrLBzjFpeFCA7WY8WmNu3J3PdCti&#10;JVIIhxw11DH2uZShrMlimLmeOHFX5y3GBH0ljcd7CrednCu1kBYbTg019rSrqWyLP6th7/3lJPtr&#10;8f9z3LusUu3n19Bq/THJ1ApEpCG+xS/3wWiYp7HpS/oBcvM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OBkW25AAAA2wAA&#10;AA8AAAAAAAAAAQAgAAAAIgAAAGRycy9kb3ducmV2LnhtbFBLAQIUABQAAAAIAIdO4kAzLwWeOwAA&#10;ADkAAAAQAAAAAAAAAAEAIAAAAAgBAABkcnMvc2hhcGV4bWwueG1sUEsFBgAAAAAGAAYAWwEAALID&#10;AAAAAA==&#10;" path="m0,0l8040,0e">
                  <v:fill on="f" focussize="0,0"/>
                  <v:stroke weight="0.48pt" color="#000000" joinstyle="round"/>
                  <v:imagedata o:title=""/>
                  <o:lock v:ext="edit" aspectratio="f"/>
                </v:shape>
                <v:shape id="_x0000_s1026" o:spid="_x0000_s1026" o:spt="100" style="position:absolute;left:24;top:2151;height:20;width:8041;" filled="f" stroked="t" coordsize="8041,20" o:gfxdata="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NNPa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170;height:20;width:8079;" filled="f" stroked="t" coordsize="8079,20" o:gfxdata="UEsDBAoAAAAAAIdO4kAAAAAAAAAAAAAAAAAEAAAAZHJzL1BLAwQUAAAACACHTuJAvhB+prkAAADb&#10;AAAADwAAAGRycy9kb3ducmV2LnhtbEVPPW/CMBDdK/EfrENiKzapqF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4Qfqa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9;top:4;height:2171;width:20;" filled="f" stroked="t" coordsize="20,2171" o:gfxdata="UEsDBAoAAAAAAIdO4kAAAAAAAAAAAAAAAAAEAAAAZHJzL1BLAwQUAAAACACHTuJAGGyrMrsAAADb&#10;AAAADwAAAGRycy9kb3ducmV2LnhtbEWPQWvCQBSE7wX/w/KE3ppNK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yrMr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_x0000_s1026" o:spid="_x0000_s1026" o:spt="100" style="position:absolute;left:28;top:24;height:2133;width:20;" filled="f" stroked="t" coordsize="20,2133" o:gfxdata="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S4MG/&#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_x0000_s1026" o:spid="_x0000_s1026" o:spt="100" style="position:absolute;left:4034;top:24;height:2123;width:20;" filled="f" stroked="t" coordsize="20,2123" o:gfxdata="UEsDBAoAAAAAAIdO4kAAAAAAAAAAAAAAAAAEAAAAZHJzL1BLAwQUAAAACACHTuJAnjNuybwAAADb&#10;AAAADwAAAGRycy9kb3ducmV2LnhtbEWPzWoCQRCE74G8w9ABb3FWB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zbsm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4053;top:24;height:2123;width:20;" filled="f" stroked="t" coordsize="20,2123" o:gfxdata="UEsDBAoAAAAAAIdO4kAAAAAAAAAAAAAAAAAEAAAAZHJzL1BLAwQUAAAACACHTuJAEdr2vbwAAADb&#10;AAAADwAAAGRycy9kb3ducmV2LnhtbEWPS2vDMBCE74X+B7GB3Bo5bcn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a9r2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8059;top:33;height:2123;width:20;" filled="f" stroked="t" coordsize="20,2123" o:gfxdata="UEsDBAoAAAAAAIdO4kAAAAAAAAAAAAAAAAAEAAAAZHJzL1BLAwQUAAAACACHTuJAfpZTJrwAAADb&#10;AAAADwAAAGRycy9kb3ducmV2LnhtbEWPS2vDMBCE74X+B7GB3Bo5L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WUya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8078;top:14;height:2162;width:20;" filled="f" stroked="t" coordsize="20,2162" o:gfxdata="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udB5O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_x0000_s1026" o:spid="_x0000_s1026" o:spt="202" type="#_x0000_t202" style="position:absolute;left:19;top:19;height:2142;width:4025;"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9"/>
                          <w:kinsoku w:val="0"/>
                          <w:overflowPunct w:val="0"/>
                          <w:spacing w:before="0"/>
                          <w:ind w:left="0"/>
                        </w:pPr>
                      </w:p>
                      <w:p>
                        <w:pPr>
                          <w:pStyle w:val="9"/>
                          <w:kinsoku w:val="0"/>
                          <w:overflowPunct w:val="0"/>
                          <w:spacing w:before="0"/>
                          <w:ind w:left="0"/>
                        </w:pPr>
                      </w:p>
                      <w:p>
                        <w:pPr>
                          <w:pStyle w:val="9"/>
                          <w:kinsoku w:val="0"/>
                          <w:overflowPunct w:val="0"/>
                          <w:spacing w:before="7"/>
                          <w:ind w:left="0"/>
                        </w:pPr>
                      </w:p>
                      <w:p>
                        <w:pPr>
                          <w:pStyle w:val="9"/>
                          <w:kinsoku w:val="0"/>
                          <w:overflowPunct w:val="0"/>
                          <w:spacing w:before="0"/>
                          <w:ind w:left="107"/>
                        </w:pPr>
                        <w:r>
                          <w:rPr>
                            <w:rFonts w:hint="eastAsia"/>
                          </w:rPr>
                          <w:t>被授权代表身份证复印件（正面）</w:t>
                        </w:r>
                      </w:p>
                    </w:txbxContent>
                  </v:textbox>
                </v:shape>
                <v:shape id="_x0000_s1026" o:spid="_x0000_s1026" o:spt="202" type="#_x0000_t202" style="position:absolute;left:4044;top:19;height:2142;width:4025;"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9"/>
                          <w:kinsoku w:val="0"/>
                          <w:overflowPunct w:val="0"/>
                          <w:spacing w:before="0"/>
                          <w:ind w:left="0"/>
                        </w:pPr>
                      </w:p>
                      <w:p>
                        <w:pPr>
                          <w:pStyle w:val="9"/>
                          <w:kinsoku w:val="0"/>
                          <w:overflowPunct w:val="0"/>
                          <w:spacing w:before="0"/>
                          <w:ind w:left="0"/>
                        </w:pPr>
                      </w:p>
                      <w:p>
                        <w:pPr>
                          <w:pStyle w:val="9"/>
                          <w:kinsoku w:val="0"/>
                          <w:overflowPunct w:val="0"/>
                          <w:spacing w:before="7"/>
                          <w:ind w:left="0"/>
                        </w:pPr>
                      </w:p>
                      <w:p>
                        <w:pPr>
                          <w:pStyle w:val="9"/>
                          <w:kinsoku w:val="0"/>
                          <w:overflowPunct w:val="0"/>
                          <w:spacing w:before="0"/>
                          <w:ind w:left="107"/>
                        </w:pPr>
                        <w:r>
                          <w:rPr>
                            <w:rFonts w:hint="eastAsia"/>
                          </w:rPr>
                          <w:t>被授权代表身份证复印件（反面）</w:t>
                        </w:r>
                      </w:p>
                    </w:txbxContent>
                  </v:textbox>
                </v:shape>
                <w10:wrap type="none"/>
                <w10:anchorlock/>
              </v:group>
            </w:pict>
          </mc:Fallback>
        </mc:AlternateContent>
      </w:r>
    </w:p>
    <w:p>
      <w:pPr>
        <w:pStyle w:val="9"/>
        <w:kinsoku w:val="0"/>
        <w:overflowPunct w:val="0"/>
        <w:spacing w:before="0"/>
        <w:ind w:left="0"/>
        <w:rPr>
          <w:rFonts w:hint="eastAsia" w:ascii="仿宋" w:hAnsi="仿宋" w:eastAsia="仿宋" w:cs="仿宋"/>
          <w:sz w:val="20"/>
          <w:szCs w:val="20"/>
        </w:rPr>
      </w:pPr>
    </w:p>
    <w:p>
      <w:pPr>
        <w:pStyle w:val="9"/>
        <w:kinsoku w:val="0"/>
        <w:overflowPunct w:val="0"/>
        <w:spacing w:before="7"/>
        <w:ind w:left="0"/>
        <w:rPr>
          <w:rFonts w:hint="eastAsia" w:ascii="仿宋" w:hAnsi="仿宋" w:eastAsia="仿宋" w:cs="仿宋"/>
          <w:sz w:val="20"/>
          <w:szCs w:val="20"/>
        </w:rPr>
      </w:pPr>
    </w:p>
    <w:p>
      <w:pPr>
        <w:pStyle w:val="9"/>
        <w:tabs>
          <w:tab w:val="left" w:pos="5295"/>
        </w:tabs>
        <w:kinsoku w:val="0"/>
        <w:overflowPunct w:val="0"/>
        <w:spacing w:before="26"/>
        <w:ind w:left="618"/>
        <w:rPr>
          <w:rFonts w:hint="eastAsia" w:ascii="仿宋" w:hAnsi="仿宋" w:eastAsia="仿宋" w:cs="仿宋"/>
        </w:rPr>
      </w:pPr>
      <w:r>
        <w:rPr>
          <w:rFonts w:hint="eastAsia" w:ascii="仿宋" w:hAnsi="仿宋" w:eastAsia="仿宋" w:cs="仿宋"/>
        </w:rPr>
        <w:t>被授权代表（签字）：</w:t>
      </w:r>
      <w:r>
        <w:rPr>
          <w:rFonts w:hint="eastAsia" w:ascii="仿宋" w:hAnsi="仿宋" w:eastAsia="仿宋" w:cs="仿宋"/>
        </w:rPr>
        <w:tab/>
      </w:r>
      <w:r>
        <w:rPr>
          <w:rFonts w:hint="eastAsia" w:ascii="仿宋" w:hAnsi="仿宋" w:eastAsia="仿宋" w:cs="仿宋"/>
        </w:rPr>
        <w:t>供应商法定代表人（签字）：</w:t>
      </w:r>
    </w:p>
    <w:p>
      <w:pPr>
        <w:pStyle w:val="9"/>
        <w:tabs>
          <w:tab w:val="left" w:pos="1098"/>
          <w:tab w:val="left" w:pos="5298"/>
          <w:tab w:val="left" w:pos="5778"/>
        </w:tabs>
        <w:kinsoku w:val="0"/>
        <w:overflowPunct w:val="0"/>
        <w:spacing w:before="86"/>
        <w:ind w:left="618"/>
        <w:rPr>
          <w:rFonts w:hint="eastAsia" w:ascii="仿宋" w:hAnsi="仿宋" w:eastAsia="仿宋" w:cs="仿宋"/>
        </w:rPr>
      </w:pPr>
      <w:r>
        <w:rPr>
          <w:rFonts w:hint="eastAsia" w:ascii="仿宋" w:hAnsi="仿宋" w:eastAsia="仿宋" w:cs="仿宋"/>
        </w:rPr>
        <w:t>职</w:t>
      </w:r>
      <w:r>
        <w:rPr>
          <w:rFonts w:hint="eastAsia" w:ascii="仿宋" w:hAnsi="仿宋" w:eastAsia="仿宋" w:cs="仿宋"/>
        </w:rPr>
        <w:tab/>
      </w:r>
      <w:r>
        <w:rPr>
          <w:rFonts w:hint="eastAsia" w:ascii="仿宋" w:hAnsi="仿宋" w:eastAsia="仿宋" w:cs="仿宋"/>
        </w:rPr>
        <w:t>务：</w:t>
      </w:r>
      <w:r>
        <w:rPr>
          <w:rFonts w:hint="eastAsia" w:ascii="仿宋" w:hAnsi="仿宋" w:eastAsia="仿宋" w:cs="仿宋"/>
        </w:rPr>
        <w:tab/>
      </w:r>
      <w:r>
        <w:rPr>
          <w:rFonts w:hint="eastAsia" w:ascii="仿宋" w:hAnsi="仿宋" w:eastAsia="仿宋" w:cs="仿宋"/>
        </w:rPr>
        <w:t>职</w:t>
      </w:r>
      <w:r>
        <w:rPr>
          <w:rFonts w:hint="eastAsia" w:ascii="仿宋" w:hAnsi="仿宋" w:eastAsia="仿宋" w:cs="仿宋"/>
        </w:rPr>
        <w:tab/>
      </w:r>
      <w:r>
        <w:rPr>
          <w:rFonts w:hint="eastAsia" w:ascii="仿宋" w:hAnsi="仿宋" w:eastAsia="仿宋" w:cs="仿宋"/>
        </w:rPr>
        <w:t>务：</w:t>
      </w:r>
    </w:p>
    <w:p>
      <w:pPr>
        <w:pStyle w:val="9"/>
        <w:tabs>
          <w:tab w:val="left" w:pos="1098"/>
          <w:tab w:val="left" w:pos="5298"/>
          <w:tab w:val="left" w:pos="5778"/>
        </w:tabs>
        <w:kinsoku w:val="0"/>
        <w:overflowPunct w:val="0"/>
        <w:spacing w:before="84"/>
        <w:ind w:left="618"/>
        <w:rPr>
          <w:rFonts w:hint="eastAsia" w:ascii="仿宋" w:hAnsi="仿宋" w:eastAsia="仿宋" w:cs="仿宋"/>
        </w:rPr>
      </w:pPr>
      <w:r>
        <w:rPr>
          <w:rFonts w:hint="eastAsia" w:ascii="仿宋" w:hAnsi="仿宋" w:eastAsia="仿宋" w:cs="仿宋"/>
        </w:rPr>
        <w:t>电</w:t>
      </w:r>
      <w:r>
        <w:rPr>
          <w:rFonts w:hint="eastAsia" w:ascii="仿宋" w:hAnsi="仿宋" w:eastAsia="仿宋" w:cs="仿宋"/>
        </w:rPr>
        <w:tab/>
      </w:r>
      <w:r>
        <w:rPr>
          <w:rFonts w:hint="eastAsia" w:ascii="仿宋" w:hAnsi="仿宋" w:eastAsia="仿宋" w:cs="仿宋"/>
        </w:rPr>
        <w:t>话：</w:t>
      </w:r>
      <w:r>
        <w:rPr>
          <w:rFonts w:hint="eastAsia" w:ascii="仿宋" w:hAnsi="仿宋" w:eastAsia="仿宋" w:cs="仿宋"/>
        </w:rPr>
        <w:tab/>
      </w:r>
      <w:r>
        <w:rPr>
          <w:rFonts w:hint="eastAsia" w:ascii="仿宋" w:hAnsi="仿宋" w:eastAsia="仿宋" w:cs="仿宋"/>
        </w:rPr>
        <w:t>电</w:t>
      </w:r>
      <w:r>
        <w:rPr>
          <w:rFonts w:hint="eastAsia" w:ascii="仿宋" w:hAnsi="仿宋" w:eastAsia="仿宋" w:cs="仿宋"/>
        </w:rPr>
        <w:tab/>
      </w:r>
      <w:r>
        <w:rPr>
          <w:rFonts w:hint="eastAsia" w:ascii="仿宋" w:hAnsi="仿宋" w:eastAsia="仿宋" w:cs="仿宋"/>
        </w:rPr>
        <w:t>话：</w:t>
      </w:r>
    </w:p>
    <w:p>
      <w:pPr>
        <w:pStyle w:val="9"/>
        <w:tabs>
          <w:tab w:val="left" w:pos="5631"/>
          <w:tab w:val="left" w:pos="6591"/>
          <w:tab w:val="left" w:pos="7191"/>
          <w:tab w:val="left" w:pos="7791"/>
          <w:tab w:val="left" w:pos="8247"/>
        </w:tabs>
        <w:kinsoku w:val="0"/>
        <w:overflowPunct w:val="0"/>
        <w:spacing w:before="166" w:line="383" w:lineRule="auto"/>
        <w:ind w:left="4912" w:right="238" w:hanging="384"/>
        <w:rPr>
          <w:rFonts w:hint="eastAsia" w:ascii="仿宋" w:hAnsi="仿宋" w:eastAsia="仿宋" w:cs="仿宋"/>
        </w:rPr>
      </w:pPr>
      <w:r>
        <w:rPr>
          <w:rFonts w:hint="eastAsia" w:ascii="仿宋" w:hAnsi="仿宋" w:eastAsia="仿宋" w:cs="仿宋"/>
        </w:rPr>
        <w:t>供应商：</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rPr>
        <w:t>（盖章）</w:t>
      </w:r>
    </w:p>
    <w:p>
      <w:pPr>
        <w:pStyle w:val="9"/>
        <w:tabs>
          <w:tab w:val="left" w:pos="5145"/>
          <w:tab w:val="left" w:pos="6591"/>
          <w:tab w:val="left" w:pos="7191"/>
          <w:tab w:val="left" w:pos="7791"/>
          <w:tab w:val="left" w:pos="8247"/>
        </w:tabs>
        <w:kinsoku w:val="0"/>
        <w:wordWrap w:val="0"/>
        <w:overflowPunct w:val="0"/>
        <w:spacing w:before="166" w:line="383" w:lineRule="auto"/>
        <w:ind w:left="105" w:leftChars="50" w:right="238"/>
        <w:jc w:val="right"/>
        <w:rPr>
          <w:rFonts w:hint="eastAsia" w:ascii="仿宋" w:hAnsi="仿宋" w:eastAsia="仿宋" w:cs="仿宋"/>
        </w:rPr>
      </w:pPr>
      <w:r>
        <w:rPr>
          <w:rFonts w:hint="eastAsia" w:ascii="仿宋" w:hAnsi="仿宋" w:eastAsia="仿宋" w:cs="仿宋"/>
        </w:rPr>
        <w:t xml:space="preserve"> 日期：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 xml:space="preserve">日                </w:t>
      </w:r>
    </w:p>
    <w:p>
      <w:pPr>
        <w:pStyle w:val="9"/>
        <w:kinsoku w:val="0"/>
        <w:overflowPunct w:val="0"/>
        <w:spacing w:before="7"/>
        <w:ind w:left="0"/>
        <w:rPr>
          <w:rFonts w:hint="eastAsia" w:ascii="仿宋" w:hAnsi="仿宋" w:eastAsia="仿宋" w:cs="仿宋"/>
          <w:sz w:val="22"/>
          <w:szCs w:val="22"/>
        </w:rPr>
      </w:pPr>
    </w:p>
    <w:p>
      <w:pPr>
        <w:pStyle w:val="9"/>
        <w:kinsoku w:val="0"/>
        <w:overflowPunct w:val="0"/>
        <w:spacing w:before="34" w:line="357" w:lineRule="auto"/>
        <w:ind w:right="126" w:firstLine="480"/>
        <w:jc w:val="center"/>
        <w:rPr>
          <w:rFonts w:hint="eastAsia" w:ascii="仿宋" w:hAnsi="仿宋" w:eastAsia="仿宋" w:cs="仿宋"/>
          <w:b/>
          <w:bCs/>
        </w:rPr>
      </w:pPr>
      <w:r>
        <w:rPr>
          <w:rFonts w:hint="eastAsia" w:ascii="仿宋" w:hAnsi="仿宋" w:eastAsia="仿宋" w:cs="仿宋"/>
        </w:rPr>
        <w:br w:type="page"/>
      </w:r>
      <w:r>
        <w:rPr>
          <w:rFonts w:hint="eastAsia" w:ascii="仿宋" w:hAnsi="仿宋" w:eastAsia="仿宋" w:cs="仿宋"/>
          <w:b/>
          <w:bCs/>
          <w:sz w:val="36"/>
          <w:szCs w:val="36"/>
        </w:rPr>
        <w:t>四、投标保证金缴纳凭证</w:t>
      </w:r>
    </w:p>
    <w:p>
      <w:pPr>
        <w:pStyle w:val="9"/>
        <w:kinsoku w:val="0"/>
        <w:overflowPunct w:val="0"/>
        <w:spacing w:before="0"/>
        <w:ind w:left="0"/>
        <w:rPr>
          <w:rFonts w:hint="eastAsia" w:ascii="仿宋" w:hAnsi="仿宋" w:eastAsia="仿宋" w:cs="仿宋"/>
          <w:b/>
          <w:bCs/>
          <w:sz w:val="20"/>
          <w:szCs w:val="20"/>
        </w:rPr>
      </w:pPr>
    </w:p>
    <w:p>
      <w:pPr>
        <w:pStyle w:val="9"/>
        <w:kinsoku w:val="0"/>
        <w:overflowPunct w:val="0"/>
        <w:spacing w:before="4"/>
        <w:ind w:left="0"/>
        <w:rPr>
          <w:rFonts w:hint="eastAsia" w:ascii="仿宋" w:hAnsi="仿宋" w:eastAsia="仿宋" w:cs="仿宋"/>
          <w:b/>
          <w:bCs/>
          <w:sz w:val="23"/>
          <w:szCs w:val="23"/>
        </w:rPr>
      </w:pPr>
    </w:p>
    <w:p>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致：（采购人）</w:t>
      </w:r>
    </w:p>
    <w:p>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我方于</w:t>
      </w:r>
      <w:r>
        <w:rPr>
          <w:rFonts w:hint="eastAsia" w:ascii="仿宋" w:hAnsi="仿宋" w:eastAsia="仿宋" w:cs="仿宋"/>
          <w:kern w:val="0"/>
          <w:sz w:val="24"/>
          <w:szCs w:val="24"/>
        </w:rPr>
        <w:tab/>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ab/>
      </w:r>
      <w:r>
        <w:rPr>
          <w:rFonts w:hint="eastAsia" w:ascii="仿宋" w:hAnsi="仿宋" w:eastAsia="仿宋" w:cs="仿宋"/>
          <w:kern w:val="0"/>
          <w:sz w:val="24"/>
          <w:szCs w:val="24"/>
        </w:rPr>
        <w:t>月</w:t>
      </w:r>
      <w:r>
        <w:rPr>
          <w:rFonts w:hint="eastAsia" w:ascii="仿宋" w:hAnsi="仿宋" w:eastAsia="仿宋" w:cs="仿宋"/>
          <w:kern w:val="0"/>
          <w:sz w:val="24"/>
          <w:szCs w:val="24"/>
          <w:u w:val="single"/>
        </w:rPr>
        <w:tab/>
      </w:r>
      <w:r>
        <w:rPr>
          <w:rFonts w:hint="eastAsia" w:ascii="仿宋" w:hAnsi="仿宋" w:eastAsia="仿宋" w:cs="仿宋"/>
          <w:kern w:val="0"/>
          <w:sz w:val="24"/>
          <w:szCs w:val="24"/>
        </w:rPr>
        <w:t xml:space="preserve"> 日参加</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rPr>
        <w:t xml:space="preserve">（项目名称）   </w:t>
      </w:r>
      <w:r>
        <w:rPr>
          <w:rFonts w:hint="eastAsia" w:ascii="仿宋" w:hAnsi="仿宋" w:eastAsia="仿宋" w:cs="仿宋"/>
          <w:kern w:val="0"/>
          <w:sz w:val="24"/>
          <w:szCs w:val="24"/>
        </w:rPr>
        <w:t>的投标，现保证：我方在规定的投标有效期内撤销或修改投标文件的，或者在收到中标通知书后无正当理由拒签合同或拒交规定履约担保的，投标保证金不予退还。</w:t>
      </w:r>
    </w:p>
    <w:p>
      <w:pPr>
        <w:pStyle w:val="9"/>
        <w:kinsoku w:val="0"/>
        <w:overflowPunct w:val="0"/>
        <w:spacing w:before="0"/>
        <w:ind w:left="0"/>
        <w:rPr>
          <w:rFonts w:hint="eastAsia" w:ascii="仿宋" w:hAnsi="仿宋" w:eastAsia="仿宋" w:cs="仿宋"/>
        </w:rPr>
      </w:pPr>
    </w:p>
    <w:p>
      <w:pPr>
        <w:pStyle w:val="9"/>
        <w:kinsoku w:val="0"/>
        <w:overflowPunct w:val="0"/>
        <w:spacing w:before="0"/>
        <w:ind w:left="0"/>
        <w:rPr>
          <w:rFonts w:hint="eastAsia" w:ascii="仿宋" w:hAnsi="仿宋" w:eastAsia="仿宋" w:cs="仿宋"/>
        </w:rPr>
      </w:pPr>
    </w:p>
    <w:p>
      <w:pPr>
        <w:pStyle w:val="9"/>
        <w:kinsoku w:val="0"/>
        <w:overflowPunct w:val="0"/>
        <w:spacing w:before="4"/>
        <w:ind w:left="0"/>
        <w:rPr>
          <w:rFonts w:hint="eastAsia" w:ascii="仿宋" w:hAnsi="仿宋" w:eastAsia="仿宋" w:cs="仿宋"/>
          <w:sz w:val="34"/>
          <w:szCs w:val="34"/>
        </w:rPr>
      </w:pPr>
    </w:p>
    <w:p>
      <w:pPr>
        <w:pStyle w:val="9"/>
        <w:tabs>
          <w:tab w:val="left" w:pos="8227"/>
        </w:tabs>
        <w:kinsoku w:val="0"/>
        <w:overflowPunct w:val="0"/>
        <w:spacing w:before="0" w:line="381" w:lineRule="auto"/>
        <w:ind w:left="4027" w:right="118"/>
        <w:rPr>
          <w:rFonts w:hint="eastAsia" w:ascii="仿宋" w:hAnsi="仿宋" w:eastAsia="仿宋" w:cs="仿宋"/>
        </w:rPr>
      </w:pPr>
      <w:r>
        <w:rPr>
          <w:rFonts w:hint="eastAsia" w:ascii="仿宋" w:hAnsi="仿宋" w:eastAsia="仿宋" w:cs="仿宋"/>
        </w:rPr>
        <w:t>供应商：</w:t>
      </w:r>
      <w:r>
        <w:rPr>
          <w:rFonts w:hint="eastAsia" w:ascii="仿宋" w:hAnsi="仿宋" w:eastAsia="仿宋" w:cs="仿宋"/>
          <w:u w:val="single"/>
        </w:rPr>
        <w:tab/>
      </w:r>
      <w:r>
        <w:rPr>
          <w:rFonts w:hint="eastAsia" w:ascii="仿宋" w:hAnsi="仿宋" w:eastAsia="仿宋" w:cs="仿宋"/>
          <w:w w:val="95"/>
        </w:rPr>
        <w:t>（盖章）</w:t>
      </w:r>
      <w:r>
        <w:rPr>
          <w:rFonts w:hint="eastAsia" w:ascii="仿宋" w:hAnsi="仿宋" w:eastAsia="仿宋" w:cs="仿宋"/>
        </w:rPr>
        <w:t xml:space="preserve"> </w:t>
      </w:r>
    </w:p>
    <w:p>
      <w:pPr>
        <w:pStyle w:val="9"/>
        <w:tabs>
          <w:tab w:val="left" w:pos="8227"/>
        </w:tabs>
        <w:kinsoku w:val="0"/>
        <w:overflowPunct w:val="0"/>
        <w:spacing w:before="0" w:line="381" w:lineRule="auto"/>
        <w:ind w:left="4027" w:right="118"/>
        <w:rPr>
          <w:rFonts w:hint="eastAsia" w:ascii="仿宋" w:hAnsi="仿宋" w:eastAsia="仿宋" w:cs="仿宋"/>
          <w:w w:val="95"/>
        </w:rPr>
      </w:pPr>
      <w:r>
        <w:rPr>
          <w:rFonts w:hint="eastAsia" w:ascii="仿宋" w:hAnsi="仿宋" w:eastAsia="仿宋" w:cs="仿宋"/>
        </w:rPr>
        <w:t>法定代表人或被授权人：</w:t>
      </w:r>
      <w:r>
        <w:rPr>
          <w:rFonts w:hint="eastAsia" w:ascii="仿宋" w:hAnsi="仿宋" w:eastAsia="仿宋" w:cs="仿宋"/>
          <w:u w:val="single"/>
        </w:rPr>
        <w:tab/>
      </w:r>
      <w:r>
        <w:rPr>
          <w:rFonts w:hint="eastAsia" w:ascii="仿宋" w:hAnsi="仿宋" w:eastAsia="仿宋" w:cs="仿宋"/>
          <w:w w:val="95"/>
        </w:rPr>
        <w:t>（签字）</w:t>
      </w:r>
    </w:p>
    <w:p>
      <w:pPr>
        <w:pStyle w:val="9"/>
        <w:tabs>
          <w:tab w:val="left" w:pos="5551"/>
          <w:tab w:val="left" w:pos="6511"/>
          <w:tab w:val="left" w:pos="7111"/>
          <w:tab w:val="left" w:pos="7711"/>
        </w:tabs>
        <w:kinsoku w:val="0"/>
        <w:overflowPunct w:val="0"/>
        <w:spacing w:before="46"/>
        <w:ind w:left="2583" w:firstLine="2248"/>
        <w:rPr>
          <w:rFonts w:hint="eastAsia" w:ascii="仿宋" w:hAnsi="仿宋" w:eastAsia="仿宋" w:cs="仿宋"/>
        </w:rPr>
      </w:pPr>
      <w:r>
        <w:rPr>
          <w:rFonts w:hint="eastAsia" w:ascii="仿宋" w:hAnsi="仿宋" w:eastAsia="仿宋" w:cs="仿宋"/>
        </w:rPr>
        <w:t>日</w:t>
      </w:r>
      <w:r>
        <w:rPr>
          <w:rFonts w:hint="eastAsia" w:ascii="仿宋" w:hAnsi="仿宋" w:eastAsia="仿宋" w:cs="仿宋"/>
        </w:rPr>
        <w:tab/>
      </w:r>
      <w:r>
        <w:rPr>
          <w:rFonts w:hint="eastAsia" w:ascii="仿宋" w:hAnsi="仿宋" w:eastAsia="仿宋" w:cs="仿宋"/>
        </w:rPr>
        <w:t>期：</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ab/>
      </w:r>
      <w:r>
        <w:rPr>
          <w:rFonts w:hint="eastAsia" w:ascii="仿宋" w:hAnsi="仿宋" w:eastAsia="仿宋" w:cs="仿宋"/>
        </w:rPr>
        <w:t>日</w:t>
      </w:r>
    </w:p>
    <w:p>
      <w:pPr>
        <w:pStyle w:val="9"/>
        <w:kinsoku w:val="0"/>
        <w:overflowPunct w:val="0"/>
        <w:spacing w:before="0"/>
        <w:ind w:left="0"/>
        <w:rPr>
          <w:rFonts w:hint="eastAsia" w:ascii="仿宋" w:hAnsi="仿宋" w:eastAsia="仿宋" w:cs="仿宋"/>
        </w:rPr>
      </w:pPr>
    </w:p>
    <w:p>
      <w:pPr>
        <w:pStyle w:val="9"/>
        <w:kinsoku w:val="0"/>
        <w:overflowPunct w:val="0"/>
        <w:spacing w:before="5"/>
        <w:ind w:left="0"/>
        <w:rPr>
          <w:rFonts w:hint="eastAsia" w:ascii="仿宋" w:hAnsi="仿宋" w:eastAsia="仿宋" w:cs="仿宋"/>
          <w:sz w:val="25"/>
          <w:szCs w:val="25"/>
        </w:rPr>
      </w:pPr>
    </w:p>
    <w:p>
      <w:pPr>
        <w:pStyle w:val="9"/>
        <w:kinsoku w:val="0"/>
        <w:overflowPunct w:val="0"/>
        <w:spacing w:before="0"/>
        <w:jc w:val="center"/>
        <w:rPr>
          <w:rFonts w:hint="eastAsia" w:ascii="仿宋" w:hAnsi="仿宋" w:eastAsia="仿宋" w:cs="仿宋"/>
        </w:rPr>
      </w:pPr>
      <w:r>
        <w:rPr>
          <w:rFonts w:hint="eastAsia" w:ascii="仿宋" w:hAnsi="仿宋" w:eastAsia="仿宋" w:cs="仿宋"/>
        </w:rPr>
        <w:t>缴费回单（复印件应附在投标文件中）</w:t>
      </w:r>
    </w:p>
    <w:p>
      <w:pPr>
        <w:pStyle w:val="9"/>
        <w:kinsoku w:val="0"/>
        <w:overflowPunct w:val="0"/>
        <w:spacing w:before="0"/>
        <w:ind w:left="0"/>
        <w:rPr>
          <w:rFonts w:hint="eastAsia" w:ascii="仿宋" w:hAnsi="仿宋" w:eastAsia="仿宋" w:cs="仿宋"/>
          <w:sz w:val="20"/>
          <w:szCs w:val="20"/>
        </w:rPr>
      </w:pPr>
    </w:p>
    <w:p>
      <w:pPr>
        <w:pStyle w:val="9"/>
        <w:kinsoku w:val="0"/>
        <w:overflowPunct w:val="0"/>
        <w:spacing w:before="8"/>
        <w:ind w:left="0"/>
        <w:rPr>
          <w:rFonts w:hint="eastAsia" w:ascii="仿宋" w:hAnsi="仿宋" w:eastAsia="仿宋" w:cs="仿宋"/>
          <w:sz w:val="10"/>
          <w:szCs w:val="10"/>
        </w:rPr>
      </w:pPr>
    </w:p>
    <w:p>
      <w:pPr>
        <w:pStyle w:val="9"/>
        <w:kinsoku w:val="0"/>
        <w:overflowPunct w:val="0"/>
        <w:spacing w:before="0" w:line="200" w:lineRule="atLeast"/>
        <w:rPr>
          <w:rFonts w:hint="eastAsia" w:ascii="仿宋" w:hAnsi="仿宋" w:eastAsia="仿宋" w:cs="仿宋"/>
          <w:sz w:val="20"/>
          <w:szCs w:val="20"/>
        </w:rPr>
      </w:pPr>
      <w:r>
        <w:rPr>
          <w:rFonts w:hint="eastAsia" w:ascii="仿宋" w:hAnsi="仿宋" w:eastAsia="仿宋" w:cs="仿宋"/>
          <w:sz w:val="20"/>
          <w:szCs w:val="20"/>
          <w:lang w:val="en-US" w:eastAsia="zh-CN"/>
        </w:rPr>
        <w:t xml:space="preserve"> </w:t>
      </w:r>
      <w:r>
        <w:rPr>
          <w:rFonts w:hint="eastAsia" w:ascii="仿宋" w:hAnsi="仿宋" w:eastAsia="仿宋" w:cs="仿宋"/>
          <w:sz w:val="20"/>
          <w:szCs w:val="20"/>
        </w:rPr>
        <mc:AlternateContent>
          <mc:Choice Requires="wpg">
            <w:drawing>
              <wp:inline distT="0" distB="0" distL="114300" distR="114300">
                <wp:extent cx="5695950" cy="3213100"/>
                <wp:effectExtent l="0" t="0" r="0" b="6350"/>
                <wp:docPr id="120" name="组合 120"/>
                <wp:cNvGraphicFramePr/>
                <a:graphic xmlns:a="http://schemas.openxmlformats.org/drawingml/2006/main">
                  <a:graphicData uri="http://schemas.microsoft.com/office/word/2010/wordprocessingGroup">
                    <wpg:wgp>
                      <wpg:cNvGrpSpPr>
                        <a:grpSpLocks noRot="1"/>
                      </wpg:cNvGrpSpPr>
                      <wpg:grpSpPr>
                        <a:xfrm>
                          <a:off x="0" y="0"/>
                          <a:ext cx="5695950" cy="3213100"/>
                          <a:chOff x="0" y="0"/>
                          <a:chExt cx="7425" cy="5060"/>
                        </a:xfrm>
                      </wpg:grpSpPr>
                      <wpg:grpSp>
                        <wpg:cNvPr id="119" name="组合 119"/>
                        <wpg:cNvGrpSpPr/>
                        <wpg:grpSpPr>
                          <a:xfrm>
                            <a:off x="0" y="0"/>
                            <a:ext cx="7425" cy="5060"/>
                            <a:chOff x="0" y="0"/>
                            <a:chExt cx="7425" cy="5060"/>
                          </a:xfrm>
                        </wpg:grpSpPr>
                        <wps:wsp>
                          <wps:cNvPr id="40" name="任意多边形 40"/>
                          <wps:cNvSpPr/>
                          <wps:spPr>
                            <a:xfrm>
                              <a:off x="0" y="0"/>
                              <a:ext cx="7425" cy="5060"/>
                            </a:xfrm>
                            <a:custGeom>
                              <a:avLst/>
                              <a:gdLst/>
                              <a:ahLst/>
                              <a:cxnLst/>
                              <a:pathLst>
                                <a:path w="7425" h="5060">
                                  <a:moveTo>
                                    <a:pt x="483" y="19"/>
                                  </a:moveTo>
                                  <a:lnTo>
                                    <a:pt x="412" y="19"/>
                                  </a:lnTo>
                                  <a:lnTo>
                                    <a:pt x="426" y="0"/>
                                  </a:lnTo>
                                  <a:lnTo>
                                    <a:pt x="497" y="0"/>
                                  </a:lnTo>
                                  <a:lnTo>
                                    <a:pt x="483" y="19"/>
                                  </a:lnTo>
                                  <a:close/>
                                </a:path>
                              </a:pathLst>
                            </a:custGeom>
                            <a:solidFill>
                              <a:srgbClr val="000000"/>
                            </a:solidFill>
                            <a:ln>
                              <a:noFill/>
                            </a:ln>
                          </wps:spPr>
                          <wps:bodyPr upright="1"/>
                        </wps:wsp>
                        <wps:wsp>
                          <wps:cNvPr id="41" name="任意多边形 41"/>
                          <wps:cNvSpPr/>
                          <wps:spPr>
                            <a:xfrm>
                              <a:off x="0" y="0"/>
                              <a:ext cx="7425" cy="5060"/>
                            </a:xfrm>
                            <a:custGeom>
                              <a:avLst/>
                              <a:gdLst/>
                              <a:ahLst/>
                              <a:cxnLst/>
                              <a:pathLst>
                                <a:path w="7425" h="5060">
                                  <a:moveTo>
                                    <a:pt x="7011" y="19"/>
                                  </a:moveTo>
                                  <a:lnTo>
                                    <a:pt x="6940" y="19"/>
                                  </a:lnTo>
                                  <a:lnTo>
                                    <a:pt x="6926" y="0"/>
                                  </a:lnTo>
                                  <a:lnTo>
                                    <a:pt x="6998" y="0"/>
                                  </a:lnTo>
                                  <a:lnTo>
                                    <a:pt x="7011" y="19"/>
                                  </a:lnTo>
                                  <a:close/>
                                </a:path>
                              </a:pathLst>
                            </a:custGeom>
                            <a:solidFill>
                              <a:srgbClr val="000000"/>
                            </a:solidFill>
                            <a:ln>
                              <a:noFill/>
                            </a:ln>
                          </wps:spPr>
                          <wps:bodyPr upright="1"/>
                        </wps:wsp>
                        <wps:wsp>
                          <wps:cNvPr id="42" name="任意多边形 42"/>
                          <wps:cNvSpPr/>
                          <wps:spPr>
                            <a:xfrm>
                              <a:off x="0" y="0"/>
                              <a:ext cx="7425" cy="5060"/>
                            </a:xfrm>
                            <a:custGeom>
                              <a:avLst/>
                              <a:gdLst/>
                              <a:ahLst/>
                              <a:cxnLst/>
                              <a:pathLst>
                                <a:path w="7425" h="5060">
                                  <a:moveTo>
                                    <a:pt x="390" y="39"/>
                                  </a:moveTo>
                                  <a:lnTo>
                                    <a:pt x="346" y="39"/>
                                  </a:lnTo>
                                  <a:lnTo>
                                    <a:pt x="359" y="19"/>
                                  </a:lnTo>
                                  <a:lnTo>
                                    <a:pt x="403" y="19"/>
                                  </a:lnTo>
                                  <a:lnTo>
                                    <a:pt x="390" y="39"/>
                                  </a:lnTo>
                                  <a:close/>
                                </a:path>
                              </a:pathLst>
                            </a:custGeom>
                            <a:solidFill>
                              <a:srgbClr val="000000"/>
                            </a:solidFill>
                            <a:ln>
                              <a:noFill/>
                            </a:ln>
                          </wps:spPr>
                          <wps:bodyPr upright="1"/>
                        </wps:wsp>
                        <wps:wsp>
                          <wps:cNvPr id="43" name="任意多边形 43"/>
                          <wps:cNvSpPr/>
                          <wps:spPr>
                            <a:xfrm>
                              <a:off x="0" y="0"/>
                              <a:ext cx="7425" cy="5060"/>
                            </a:xfrm>
                            <a:custGeom>
                              <a:avLst/>
                              <a:gdLst/>
                              <a:ahLst/>
                              <a:cxnLst/>
                              <a:pathLst>
                                <a:path w="7425" h="5060">
                                  <a:moveTo>
                                    <a:pt x="7077" y="39"/>
                                  </a:moveTo>
                                  <a:lnTo>
                                    <a:pt x="7033" y="39"/>
                                  </a:lnTo>
                                  <a:lnTo>
                                    <a:pt x="7020" y="19"/>
                                  </a:lnTo>
                                  <a:lnTo>
                                    <a:pt x="7064" y="19"/>
                                  </a:lnTo>
                                  <a:lnTo>
                                    <a:pt x="7077" y="39"/>
                                  </a:lnTo>
                                  <a:close/>
                                </a:path>
                              </a:pathLst>
                            </a:custGeom>
                            <a:solidFill>
                              <a:srgbClr val="000000"/>
                            </a:solidFill>
                            <a:ln>
                              <a:noFill/>
                            </a:ln>
                          </wps:spPr>
                          <wps:bodyPr upright="1"/>
                        </wps:wsp>
                        <wps:wsp>
                          <wps:cNvPr id="44" name="任意多边形 44"/>
                          <wps:cNvSpPr/>
                          <wps:spPr>
                            <a:xfrm>
                              <a:off x="0" y="0"/>
                              <a:ext cx="7425" cy="5060"/>
                            </a:xfrm>
                            <a:custGeom>
                              <a:avLst/>
                              <a:gdLst/>
                              <a:ahLst/>
                              <a:cxnLst/>
                              <a:pathLst>
                                <a:path w="7425" h="5060">
                                  <a:moveTo>
                                    <a:pt x="340" y="59"/>
                                  </a:moveTo>
                                  <a:lnTo>
                                    <a:pt x="309" y="59"/>
                                  </a:lnTo>
                                  <a:lnTo>
                                    <a:pt x="321" y="39"/>
                                  </a:lnTo>
                                  <a:lnTo>
                                    <a:pt x="352" y="39"/>
                                  </a:lnTo>
                                  <a:lnTo>
                                    <a:pt x="340" y="59"/>
                                  </a:lnTo>
                                  <a:close/>
                                </a:path>
                              </a:pathLst>
                            </a:custGeom>
                            <a:solidFill>
                              <a:srgbClr val="000000"/>
                            </a:solidFill>
                            <a:ln>
                              <a:noFill/>
                            </a:ln>
                          </wps:spPr>
                          <wps:bodyPr upright="1"/>
                        </wps:wsp>
                        <wps:wsp>
                          <wps:cNvPr id="45" name="任意多边形 45"/>
                          <wps:cNvSpPr/>
                          <wps:spPr>
                            <a:xfrm>
                              <a:off x="0" y="0"/>
                              <a:ext cx="7425" cy="5060"/>
                            </a:xfrm>
                            <a:custGeom>
                              <a:avLst/>
                              <a:gdLst/>
                              <a:ahLst/>
                              <a:cxnLst/>
                              <a:pathLst>
                                <a:path w="7425" h="5060">
                                  <a:moveTo>
                                    <a:pt x="7115" y="59"/>
                                  </a:moveTo>
                                  <a:lnTo>
                                    <a:pt x="7084" y="59"/>
                                  </a:lnTo>
                                  <a:lnTo>
                                    <a:pt x="7071" y="39"/>
                                  </a:lnTo>
                                  <a:lnTo>
                                    <a:pt x="7102" y="39"/>
                                  </a:lnTo>
                                  <a:lnTo>
                                    <a:pt x="7115" y="59"/>
                                  </a:lnTo>
                                  <a:close/>
                                </a:path>
                              </a:pathLst>
                            </a:custGeom>
                            <a:solidFill>
                              <a:srgbClr val="000000"/>
                            </a:solidFill>
                            <a:ln>
                              <a:noFill/>
                            </a:ln>
                          </wps:spPr>
                          <wps:bodyPr upright="1"/>
                        </wps:wsp>
                        <wps:wsp>
                          <wps:cNvPr id="46" name="任意多边形 46"/>
                          <wps:cNvSpPr/>
                          <wps:spPr>
                            <a:xfrm>
                              <a:off x="0" y="0"/>
                              <a:ext cx="7425" cy="5060"/>
                            </a:xfrm>
                            <a:custGeom>
                              <a:avLst/>
                              <a:gdLst/>
                              <a:ahLst/>
                              <a:cxnLst/>
                              <a:pathLst>
                                <a:path w="7425" h="5060">
                                  <a:moveTo>
                                    <a:pt x="304" y="79"/>
                                  </a:moveTo>
                                  <a:lnTo>
                                    <a:pt x="273" y="79"/>
                                  </a:lnTo>
                                  <a:lnTo>
                                    <a:pt x="285" y="59"/>
                                  </a:lnTo>
                                  <a:lnTo>
                                    <a:pt x="316" y="59"/>
                                  </a:lnTo>
                                  <a:lnTo>
                                    <a:pt x="304" y="79"/>
                                  </a:lnTo>
                                  <a:close/>
                                </a:path>
                              </a:pathLst>
                            </a:custGeom>
                            <a:solidFill>
                              <a:srgbClr val="000000"/>
                            </a:solidFill>
                            <a:ln>
                              <a:noFill/>
                            </a:ln>
                          </wps:spPr>
                          <wps:bodyPr upright="1"/>
                        </wps:wsp>
                        <wps:wsp>
                          <wps:cNvPr id="47" name="任意多边形 47"/>
                          <wps:cNvSpPr/>
                          <wps:spPr>
                            <a:xfrm>
                              <a:off x="0" y="0"/>
                              <a:ext cx="7425" cy="5060"/>
                            </a:xfrm>
                            <a:custGeom>
                              <a:avLst/>
                              <a:gdLst/>
                              <a:ahLst/>
                              <a:cxnLst/>
                              <a:pathLst>
                                <a:path w="7425" h="5060">
                                  <a:moveTo>
                                    <a:pt x="7151" y="79"/>
                                  </a:moveTo>
                                  <a:lnTo>
                                    <a:pt x="7120" y="79"/>
                                  </a:lnTo>
                                  <a:lnTo>
                                    <a:pt x="7108" y="59"/>
                                  </a:lnTo>
                                  <a:lnTo>
                                    <a:pt x="7139" y="59"/>
                                  </a:lnTo>
                                  <a:lnTo>
                                    <a:pt x="7151" y="79"/>
                                  </a:lnTo>
                                  <a:close/>
                                </a:path>
                              </a:pathLst>
                            </a:custGeom>
                            <a:solidFill>
                              <a:srgbClr val="000000"/>
                            </a:solidFill>
                            <a:ln>
                              <a:noFill/>
                            </a:ln>
                          </wps:spPr>
                          <wps:bodyPr upright="1"/>
                        </wps:wsp>
                        <wps:wsp>
                          <wps:cNvPr id="48" name="任意多边形 48"/>
                          <wps:cNvSpPr/>
                          <wps:spPr>
                            <a:xfrm>
                              <a:off x="0" y="0"/>
                              <a:ext cx="7425" cy="5060"/>
                            </a:xfrm>
                            <a:custGeom>
                              <a:avLst/>
                              <a:gdLst/>
                              <a:ahLst/>
                              <a:cxnLst/>
                              <a:pathLst>
                                <a:path w="7425" h="5060">
                                  <a:moveTo>
                                    <a:pt x="269" y="99"/>
                                  </a:moveTo>
                                  <a:lnTo>
                                    <a:pt x="239" y="99"/>
                                  </a:lnTo>
                                  <a:lnTo>
                                    <a:pt x="250" y="79"/>
                                  </a:lnTo>
                                  <a:lnTo>
                                    <a:pt x="281" y="79"/>
                                  </a:lnTo>
                                  <a:lnTo>
                                    <a:pt x="269" y="99"/>
                                  </a:lnTo>
                                  <a:close/>
                                </a:path>
                              </a:pathLst>
                            </a:custGeom>
                            <a:solidFill>
                              <a:srgbClr val="000000"/>
                            </a:solidFill>
                            <a:ln>
                              <a:noFill/>
                            </a:ln>
                          </wps:spPr>
                          <wps:bodyPr upright="1"/>
                        </wps:wsp>
                        <wps:wsp>
                          <wps:cNvPr id="49" name="任意多边形 49"/>
                          <wps:cNvSpPr/>
                          <wps:spPr>
                            <a:xfrm>
                              <a:off x="0" y="0"/>
                              <a:ext cx="7425" cy="5060"/>
                            </a:xfrm>
                            <a:custGeom>
                              <a:avLst/>
                              <a:gdLst/>
                              <a:ahLst/>
                              <a:cxnLst/>
                              <a:pathLst>
                                <a:path w="7425" h="5060">
                                  <a:moveTo>
                                    <a:pt x="7185" y="99"/>
                                  </a:moveTo>
                                  <a:lnTo>
                                    <a:pt x="7154" y="99"/>
                                  </a:lnTo>
                                  <a:lnTo>
                                    <a:pt x="7143" y="79"/>
                                  </a:lnTo>
                                  <a:lnTo>
                                    <a:pt x="7174" y="79"/>
                                  </a:lnTo>
                                  <a:lnTo>
                                    <a:pt x="7185" y="99"/>
                                  </a:lnTo>
                                  <a:close/>
                                </a:path>
                              </a:pathLst>
                            </a:custGeom>
                            <a:solidFill>
                              <a:srgbClr val="000000"/>
                            </a:solidFill>
                            <a:ln>
                              <a:noFill/>
                            </a:ln>
                          </wps:spPr>
                          <wps:bodyPr upright="1"/>
                        </wps:wsp>
                        <wps:wsp>
                          <wps:cNvPr id="50" name="任意多边形 50"/>
                          <wps:cNvSpPr/>
                          <wps:spPr>
                            <a:xfrm>
                              <a:off x="0" y="0"/>
                              <a:ext cx="7425" cy="5060"/>
                            </a:xfrm>
                            <a:custGeom>
                              <a:avLst/>
                              <a:gdLst/>
                              <a:ahLst/>
                              <a:cxnLst/>
                              <a:pathLst>
                                <a:path w="7425" h="5060">
                                  <a:moveTo>
                                    <a:pt x="237" y="119"/>
                                  </a:moveTo>
                                  <a:lnTo>
                                    <a:pt x="217" y="119"/>
                                  </a:lnTo>
                                  <a:lnTo>
                                    <a:pt x="228" y="99"/>
                                  </a:lnTo>
                                  <a:lnTo>
                                    <a:pt x="247" y="99"/>
                                  </a:lnTo>
                                  <a:lnTo>
                                    <a:pt x="237" y="119"/>
                                  </a:lnTo>
                                  <a:close/>
                                </a:path>
                              </a:pathLst>
                            </a:custGeom>
                            <a:solidFill>
                              <a:srgbClr val="000000"/>
                            </a:solidFill>
                            <a:ln>
                              <a:noFill/>
                            </a:ln>
                          </wps:spPr>
                          <wps:bodyPr upright="1"/>
                        </wps:wsp>
                        <wps:wsp>
                          <wps:cNvPr id="51" name="任意多边形 51"/>
                          <wps:cNvSpPr/>
                          <wps:spPr>
                            <a:xfrm>
                              <a:off x="0" y="0"/>
                              <a:ext cx="7425" cy="5060"/>
                            </a:xfrm>
                            <a:custGeom>
                              <a:avLst/>
                              <a:gdLst/>
                              <a:ahLst/>
                              <a:cxnLst/>
                              <a:pathLst>
                                <a:path w="7425" h="5060">
                                  <a:moveTo>
                                    <a:pt x="7207" y="119"/>
                                  </a:moveTo>
                                  <a:lnTo>
                                    <a:pt x="7187" y="119"/>
                                  </a:lnTo>
                                  <a:lnTo>
                                    <a:pt x="7176" y="99"/>
                                  </a:lnTo>
                                  <a:lnTo>
                                    <a:pt x="7196" y="99"/>
                                  </a:lnTo>
                                  <a:lnTo>
                                    <a:pt x="7207" y="119"/>
                                  </a:lnTo>
                                  <a:close/>
                                </a:path>
                              </a:pathLst>
                            </a:custGeom>
                            <a:solidFill>
                              <a:srgbClr val="000000"/>
                            </a:solidFill>
                            <a:ln>
                              <a:noFill/>
                            </a:ln>
                          </wps:spPr>
                          <wps:bodyPr upright="1"/>
                        </wps:wsp>
                        <wps:wsp>
                          <wps:cNvPr id="52" name="任意多边形 52"/>
                          <wps:cNvSpPr/>
                          <wps:spPr>
                            <a:xfrm>
                              <a:off x="0" y="0"/>
                              <a:ext cx="7425" cy="5060"/>
                            </a:xfrm>
                            <a:custGeom>
                              <a:avLst/>
                              <a:gdLst/>
                              <a:ahLst/>
                              <a:cxnLst/>
                              <a:pathLst>
                                <a:path w="7425" h="5060">
                                  <a:moveTo>
                                    <a:pt x="216" y="139"/>
                                  </a:moveTo>
                                  <a:lnTo>
                                    <a:pt x="186" y="139"/>
                                  </a:lnTo>
                                  <a:lnTo>
                                    <a:pt x="196" y="119"/>
                                  </a:lnTo>
                                  <a:lnTo>
                                    <a:pt x="226" y="119"/>
                                  </a:lnTo>
                                  <a:lnTo>
                                    <a:pt x="216" y="139"/>
                                  </a:lnTo>
                                  <a:close/>
                                </a:path>
                              </a:pathLst>
                            </a:custGeom>
                            <a:solidFill>
                              <a:srgbClr val="000000"/>
                            </a:solidFill>
                            <a:ln>
                              <a:noFill/>
                            </a:ln>
                          </wps:spPr>
                          <wps:bodyPr upright="1"/>
                        </wps:wsp>
                        <wps:wsp>
                          <wps:cNvPr id="53" name="任意多边形 53"/>
                          <wps:cNvSpPr/>
                          <wps:spPr>
                            <a:xfrm>
                              <a:off x="0" y="0"/>
                              <a:ext cx="7425" cy="5060"/>
                            </a:xfrm>
                            <a:custGeom>
                              <a:avLst/>
                              <a:gdLst/>
                              <a:ahLst/>
                              <a:cxnLst/>
                              <a:pathLst>
                                <a:path w="7425" h="5060">
                                  <a:moveTo>
                                    <a:pt x="7238" y="139"/>
                                  </a:moveTo>
                                  <a:lnTo>
                                    <a:pt x="7208" y="139"/>
                                  </a:lnTo>
                                  <a:lnTo>
                                    <a:pt x="7197" y="119"/>
                                  </a:lnTo>
                                  <a:lnTo>
                                    <a:pt x="7228" y="119"/>
                                  </a:lnTo>
                                  <a:lnTo>
                                    <a:pt x="7238" y="139"/>
                                  </a:lnTo>
                                  <a:close/>
                                </a:path>
                              </a:pathLst>
                            </a:custGeom>
                            <a:solidFill>
                              <a:srgbClr val="000000"/>
                            </a:solidFill>
                            <a:ln>
                              <a:noFill/>
                            </a:ln>
                          </wps:spPr>
                          <wps:bodyPr upright="1"/>
                        </wps:wsp>
                        <wps:wsp>
                          <wps:cNvPr id="54" name="任意多边形 54"/>
                          <wps:cNvSpPr/>
                          <wps:spPr>
                            <a:xfrm>
                              <a:off x="0" y="0"/>
                              <a:ext cx="7425" cy="5060"/>
                            </a:xfrm>
                            <a:custGeom>
                              <a:avLst/>
                              <a:gdLst/>
                              <a:ahLst/>
                              <a:cxnLst/>
                              <a:pathLst>
                                <a:path w="7425" h="5060">
                                  <a:moveTo>
                                    <a:pt x="186" y="159"/>
                                  </a:moveTo>
                                  <a:lnTo>
                                    <a:pt x="166" y="159"/>
                                  </a:lnTo>
                                  <a:lnTo>
                                    <a:pt x="176" y="139"/>
                                  </a:lnTo>
                                  <a:lnTo>
                                    <a:pt x="196" y="139"/>
                                  </a:lnTo>
                                  <a:lnTo>
                                    <a:pt x="186" y="159"/>
                                  </a:lnTo>
                                  <a:close/>
                                </a:path>
                              </a:pathLst>
                            </a:custGeom>
                            <a:solidFill>
                              <a:srgbClr val="000000"/>
                            </a:solidFill>
                            <a:ln>
                              <a:noFill/>
                            </a:ln>
                          </wps:spPr>
                          <wps:bodyPr upright="1"/>
                        </wps:wsp>
                        <wps:wsp>
                          <wps:cNvPr id="55" name="任意多边形 55"/>
                          <wps:cNvSpPr/>
                          <wps:spPr>
                            <a:xfrm>
                              <a:off x="0" y="0"/>
                              <a:ext cx="7425" cy="5060"/>
                            </a:xfrm>
                            <a:custGeom>
                              <a:avLst/>
                              <a:gdLst/>
                              <a:ahLst/>
                              <a:cxnLst/>
                              <a:pathLst>
                                <a:path w="7425" h="5060">
                                  <a:moveTo>
                                    <a:pt x="7258" y="159"/>
                                  </a:moveTo>
                                  <a:lnTo>
                                    <a:pt x="7238" y="159"/>
                                  </a:lnTo>
                                  <a:lnTo>
                                    <a:pt x="7228" y="139"/>
                                  </a:lnTo>
                                  <a:lnTo>
                                    <a:pt x="7248" y="139"/>
                                  </a:lnTo>
                                  <a:lnTo>
                                    <a:pt x="7258" y="159"/>
                                  </a:lnTo>
                                  <a:close/>
                                </a:path>
                              </a:pathLst>
                            </a:custGeom>
                            <a:solidFill>
                              <a:srgbClr val="000000"/>
                            </a:solidFill>
                            <a:ln>
                              <a:noFill/>
                            </a:ln>
                          </wps:spPr>
                          <wps:bodyPr upright="1"/>
                        </wps:wsp>
                        <wps:wsp>
                          <wps:cNvPr id="56" name="任意多边形 56"/>
                          <wps:cNvSpPr/>
                          <wps:spPr>
                            <a:xfrm>
                              <a:off x="0" y="0"/>
                              <a:ext cx="7425" cy="5060"/>
                            </a:xfrm>
                            <a:custGeom>
                              <a:avLst/>
                              <a:gdLst/>
                              <a:ahLst/>
                              <a:cxnLst/>
                              <a:pathLst>
                                <a:path w="7425" h="5060">
                                  <a:moveTo>
                                    <a:pt x="167" y="179"/>
                                  </a:moveTo>
                                  <a:lnTo>
                                    <a:pt x="147" y="179"/>
                                  </a:lnTo>
                                  <a:lnTo>
                                    <a:pt x="156" y="159"/>
                                  </a:lnTo>
                                  <a:lnTo>
                                    <a:pt x="176" y="159"/>
                                  </a:lnTo>
                                  <a:lnTo>
                                    <a:pt x="167" y="179"/>
                                  </a:lnTo>
                                  <a:close/>
                                </a:path>
                              </a:pathLst>
                            </a:custGeom>
                            <a:solidFill>
                              <a:srgbClr val="000000"/>
                            </a:solidFill>
                            <a:ln>
                              <a:noFill/>
                            </a:ln>
                          </wps:spPr>
                          <wps:bodyPr upright="1"/>
                        </wps:wsp>
                        <wps:wsp>
                          <wps:cNvPr id="57" name="任意多边形 57"/>
                          <wps:cNvSpPr/>
                          <wps:spPr>
                            <a:xfrm>
                              <a:off x="0" y="0"/>
                              <a:ext cx="7425" cy="5060"/>
                            </a:xfrm>
                            <a:custGeom>
                              <a:avLst/>
                              <a:gdLst/>
                              <a:ahLst/>
                              <a:cxnLst/>
                              <a:pathLst>
                                <a:path w="7425" h="5060">
                                  <a:moveTo>
                                    <a:pt x="7277" y="179"/>
                                  </a:moveTo>
                                  <a:lnTo>
                                    <a:pt x="7256" y="179"/>
                                  </a:lnTo>
                                  <a:lnTo>
                                    <a:pt x="7247" y="159"/>
                                  </a:lnTo>
                                  <a:lnTo>
                                    <a:pt x="7267" y="159"/>
                                  </a:lnTo>
                                  <a:lnTo>
                                    <a:pt x="7277" y="179"/>
                                  </a:lnTo>
                                  <a:close/>
                                </a:path>
                              </a:pathLst>
                            </a:custGeom>
                            <a:solidFill>
                              <a:srgbClr val="000000"/>
                            </a:solidFill>
                            <a:ln>
                              <a:noFill/>
                            </a:ln>
                          </wps:spPr>
                          <wps:bodyPr upright="1"/>
                        </wps:wsp>
                        <wps:wsp>
                          <wps:cNvPr id="58" name="任意多边形 58"/>
                          <wps:cNvSpPr/>
                          <wps:spPr>
                            <a:xfrm>
                              <a:off x="0" y="0"/>
                              <a:ext cx="7425" cy="5060"/>
                            </a:xfrm>
                            <a:custGeom>
                              <a:avLst/>
                              <a:gdLst/>
                              <a:ahLst/>
                              <a:cxnLst/>
                              <a:pathLst>
                                <a:path w="7425" h="5060">
                                  <a:moveTo>
                                    <a:pt x="149" y="199"/>
                                  </a:moveTo>
                                  <a:lnTo>
                                    <a:pt x="129" y="199"/>
                                  </a:lnTo>
                                  <a:lnTo>
                                    <a:pt x="138" y="179"/>
                                  </a:lnTo>
                                  <a:lnTo>
                                    <a:pt x="158" y="179"/>
                                  </a:lnTo>
                                  <a:lnTo>
                                    <a:pt x="149" y="199"/>
                                  </a:lnTo>
                                  <a:close/>
                                </a:path>
                              </a:pathLst>
                            </a:custGeom>
                            <a:solidFill>
                              <a:srgbClr val="000000"/>
                            </a:solidFill>
                            <a:ln>
                              <a:noFill/>
                            </a:ln>
                          </wps:spPr>
                          <wps:bodyPr upright="1"/>
                        </wps:wsp>
                        <wps:wsp>
                          <wps:cNvPr id="59" name="任意多边形 59"/>
                          <wps:cNvSpPr/>
                          <wps:spPr>
                            <a:xfrm>
                              <a:off x="0" y="0"/>
                              <a:ext cx="7425" cy="5060"/>
                            </a:xfrm>
                            <a:custGeom>
                              <a:avLst/>
                              <a:gdLst/>
                              <a:ahLst/>
                              <a:cxnLst/>
                              <a:pathLst>
                                <a:path w="7425" h="5060">
                                  <a:moveTo>
                                    <a:pt x="7294" y="199"/>
                                  </a:moveTo>
                                  <a:lnTo>
                                    <a:pt x="7274" y="199"/>
                                  </a:lnTo>
                                  <a:lnTo>
                                    <a:pt x="7265" y="179"/>
                                  </a:lnTo>
                                  <a:lnTo>
                                    <a:pt x="7286" y="179"/>
                                  </a:lnTo>
                                  <a:lnTo>
                                    <a:pt x="7294" y="199"/>
                                  </a:lnTo>
                                  <a:close/>
                                </a:path>
                              </a:pathLst>
                            </a:custGeom>
                            <a:solidFill>
                              <a:srgbClr val="000000"/>
                            </a:solidFill>
                            <a:ln>
                              <a:noFill/>
                            </a:ln>
                          </wps:spPr>
                          <wps:bodyPr upright="1"/>
                        </wps:wsp>
                        <wps:wsp>
                          <wps:cNvPr id="60" name="任意多边形 60"/>
                          <wps:cNvSpPr/>
                          <wps:spPr>
                            <a:xfrm>
                              <a:off x="0" y="0"/>
                              <a:ext cx="7425" cy="5060"/>
                            </a:xfrm>
                            <a:custGeom>
                              <a:avLst/>
                              <a:gdLst/>
                              <a:ahLst/>
                              <a:cxnLst/>
                              <a:pathLst>
                                <a:path w="7425" h="5060">
                                  <a:moveTo>
                                    <a:pt x="132" y="219"/>
                                  </a:moveTo>
                                  <a:lnTo>
                                    <a:pt x="112" y="219"/>
                                  </a:lnTo>
                                  <a:lnTo>
                                    <a:pt x="121" y="199"/>
                                  </a:lnTo>
                                  <a:lnTo>
                                    <a:pt x="141" y="199"/>
                                  </a:lnTo>
                                  <a:lnTo>
                                    <a:pt x="132" y="219"/>
                                  </a:lnTo>
                                  <a:close/>
                                </a:path>
                              </a:pathLst>
                            </a:custGeom>
                            <a:solidFill>
                              <a:srgbClr val="000000"/>
                            </a:solidFill>
                            <a:ln>
                              <a:noFill/>
                            </a:ln>
                          </wps:spPr>
                          <wps:bodyPr upright="1"/>
                        </wps:wsp>
                        <wps:wsp>
                          <wps:cNvPr id="61" name="任意多边形 61"/>
                          <wps:cNvSpPr/>
                          <wps:spPr>
                            <a:xfrm>
                              <a:off x="0" y="0"/>
                              <a:ext cx="7425" cy="5060"/>
                            </a:xfrm>
                            <a:custGeom>
                              <a:avLst/>
                              <a:gdLst/>
                              <a:ahLst/>
                              <a:cxnLst/>
                              <a:pathLst>
                                <a:path w="7425" h="5060">
                                  <a:moveTo>
                                    <a:pt x="7311" y="219"/>
                                  </a:moveTo>
                                  <a:lnTo>
                                    <a:pt x="7291" y="219"/>
                                  </a:lnTo>
                                  <a:lnTo>
                                    <a:pt x="7283" y="199"/>
                                  </a:lnTo>
                                  <a:lnTo>
                                    <a:pt x="7303" y="199"/>
                                  </a:lnTo>
                                  <a:lnTo>
                                    <a:pt x="7311" y="219"/>
                                  </a:lnTo>
                                  <a:close/>
                                </a:path>
                              </a:pathLst>
                            </a:custGeom>
                            <a:solidFill>
                              <a:srgbClr val="000000"/>
                            </a:solidFill>
                            <a:ln>
                              <a:noFill/>
                            </a:ln>
                          </wps:spPr>
                          <wps:bodyPr upright="1"/>
                        </wps:wsp>
                        <wps:wsp>
                          <wps:cNvPr id="62" name="任意多边形 62"/>
                          <wps:cNvSpPr/>
                          <wps:spPr>
                            <a:xfrm>
                              <a:off x="0" y="0"/>
                              <a:ext cx="7425" cy="5060"/>
                            </a:xfrm>
                            <a:custGeom>
                              <a:avLst/>
                              <a:gdLst/>
                              <a:ahLst/>
                              <a:cxnLst/>
                              <a:pathLst>
                                <a:path w="7425" h="5060">
                                  <a:moveTo>
                                    <a:pt x="101" y="259"/>
                                  </a:moveTo>
                                  <a:lnTo>
                                    <a:pt x="89" y="259"/>
                                  </a:lnTo>
                                  <a:lnTo>
                                    <a:pt x="96" y="239"/>
                                  </a:lnTo>
                                  <a:lnTo>
                                    <a:pt x="104" y="219"/>
                                  </a:lnTo>
                                  <a:lnTo>
                                    <a:pt x="124" y="219"/>
                                  </a:lnTo>
                                  <a:lnTo>
                                    <a:pt x="116" y="239"/>
                                  </a:lnTo>
                                  <a:lnTo>
                                    <a:pt x="109" y="239"/>
                                  </a:lnTo>
                                  <a:lnTo>
                                    <a:pt x="101" y="259"/>
                                  </a:lnTo>
                                  <a:close/>
                                </a:path>
                              </a:pathLst>
                            </a:custGeom>
                            <a:solidFill>
                              <a:srgbClr val="000000"/>
                            </a:solidFill>
                            <a:ln>
                              <a:noFill/>
                            </a:ln>
                          </wps:spPr>
                          <wps:bodyPr upright="1"/>
                        </wps:wsp>
                        <wps:wsp>
                          <wps:cNvPr id="63" name="任意多边形 63"/>
                          <wps:cNvSpPr/>
                          <wps:spPr>
                            <a:xfrm>
                              <a:off x="0" y="0"/>
                              <a:ext cx="7425" cy="5060"/>
                            </a:xfrm>
                            <a:custGeom>
                              <a:avLst/>
                              <a:gdLst/>
                              <a:ahLst/>
                              <a:cxnLst/>
                              <a:pathLst>
                                <a:path w="7425" h="5060">
                                  <a:moveTo>
                                    <a:pt x="7335" y="259"/>
                                  </a:moveTo>
                                  <a:lnTo>
                                    <a:pt x="7322" y="259"/>
                                  </a:lnTo>
                                  <a:lnTo>
                                    <a:pt x="7315" y="239"/>
                                  </a:lnTo>
                                  <a:lnTo>
                                    <a:pt x="7307" y="239"/>
                                  </a:lnTo>
                                  <a:lnTo>
                                    <a:pt x="7299" y="219"/>
                                  </a:lnTo>
                                  <a:lnTo>
                                    <a:pt x="7319" y="219"/>
                                  </a:lnTo>
                                  <a:lnTo>
                                    <a:pt x="7327" y="239"/>
                                  </a:lnTo>
                                  <a:lnTo>
                                    <a:pt x="7335" y="259"/>
                                  </a:lnTo>
                                  <a:close/>
                                </a:path>
                              </a:pathLst>
                            </a:custGeom>
                            <a:solidFill>
                              <a:srgbClr val="000000"/>
                            </a:solidFill>
                            <a:ln>
                              <a:noFill/>
                            </a:ln>
                          </wps:spPr>
                          <wps:bodyPr upright="1"/>
                        </wps:wsp>
                        <wps:wsp>
                          <wps:cNvPr id="64" name="任意多边形 64"/>
                          <wps:cNvSpPr/>
                          <wps:spPr>
                            <a:xfrm>
                              <a:off x="0" y="0"/>
                              <a:ext cx="7425" cy="5060"/>
                            </a:xfrm>
                            <a:custGeom>
                              <a:avLst/>
                              <a:gdLst/>
                              <a:ahLst/>
                              <a:cxnLst/>
                              <a:pathLst>
                                <a:path w="7425" h="5060">
                                  <a:moveTo>
                                    <a:pt x="94" y="279"/>
                                  </a:moveTo>
                                  <a:lnTo>
                                    <a:pt x="75" y="279"/>
                                  </a:lnTo>
                                  <a:lnTo>
                                    <a:pt x="82" y="259"/>
                                  </a:lnTo>
                                  <a:lnTo>
                                    <a:pt x="102" y="259"/>
                                  </a:lnTo>
                                  <a:lnTo>
                                    <a:pt x="94" y="279"/>
                                  </a:lnTo>
                                  <a:close/>
                                </a:path>
                              </a:pathLst>
                            </a:custGeom>
                            <a:solidFill>
                              <a:srgbClr val="000000"/>
                            </a:solidFill>
                            <a:ln>
                              <a:noFill/>
                            </a:ln>
                          </wps:spPr>
                          <wps:bodyPr upright="1"/>
                        </wps:wsp>
                        <wps:wsp>
                          <wps:cNvPr id="65" name="任意多边形 65"/>
                          <wps:cNvSpPr/>
                          <wps:spPr>
                            <a:xfrm>
                              <a:off x="0" y="0"/>
                              <a:ext cx="7425" cy="5060"/>
                            </a:xfrm>
                            <a:custGeom>
                              <a:avLst/>
                              <a:gdLst/>
                              <a:ahLst/>
                              <a:cxnLst/>
                              <a:pathLst>
                                <a:path w="7425" h="5060">
                                  <a:moveTo>
                                    <a:pt x="7349" y="279"/>
                                  </a:moveTo>
                                  <a:lnTo>
                                    <a:pt x="7329" y="279"/>
                                  </a:lnTo>
                                  <a:lnTo>
                                    <a:pt x="7322" y="259"/>
                                  </a:lnTo>
                                  <a:lnTo>
                                    <a:pt x="7342" y="259"/>
                                  </a:lnTo>
                                  <a:lnTo>
                                    <a:pt x="7349" y="279"/>
                                  </a:lnTo>
                                  <a:close/>
                                </a:path>
                              </a:pathLst>
                            </a:custGeom>
                            <a:solidFill>
                              <a:srgbClr val="000000"/>
                            </a:solidFill>
                            <a:ln>
                              <a:noFill/>
                            </a:ln>
                          </wps:spPr>
                          <wps:bodyPr upright="1"/>
                        </wps:wsp>
                        <wps:wsp>
                          <wps:cNvPr id="66" name="任意多边形 66"/>
                          <wps:cNvSpPr/>
                          <wps:spPr>
                            <a:xfrm>
                              <a:off x="0" y="0"/>
                              <a:ext cx="7425" cy="5060"/>
                            </a:xfrm>
                            <a:custGeom>
                              <a:avLst/>
                              <a:gdLst/>
                              <a:ahLst/>
                              <a:cxnLst/>
                              <a:pathLst>
                                <a:path w="7425" h="5060">
                                  <a:moveTo>
                                    <a:pt x="69" y="319"/>
                                  </a:moveTo>
                                  <a:lnTo>
                                    <a:pt x="55" y="319"/>
                                  </a:lnTo>
                                  <a:lnTo>
                                    <a:pt x="62" y="299"/>
                                  </a:lnTo>
                                  <a:lnTo>
                                    <a:pt x="68" y="279"/>
                                  </a:lnTo>
                                  <a:lnTo>
                                    <a:pt x="88" y="279"/>
                                  </a:lnTo>
                                  <a:lnTo>
                                    <a:pt x="81" y="299"/>
                                  </a:lnTo>
                                  <a:lnTo>
                                    <a:pt x="75" y="299"/>
                                  </a:lnTo>
                                  <a:lnTo>
                                    <a:pt x="69" y="319"/>
                                  </a:lnTo>
                                  <a:close/>
                                </a:path>
                              </a:pathLst>
                            </a:custGeom>
                            <a:solidFill>
                              <a:srgbClr val="000000"/>
                            </a:solidFill>
                            <a:ln>
                              <a:noFill/>
                            </a:ln>
                          </wps:spPr>
                          <wps:bodyPr upright="1"/>
                        </wps:wsp>
                        <wps:wsp>
                          <wps:cNvPr id="67" name="任意多边形 67"/>
                          <wps:cNvSpPr/>
                          <wps:spPr>
                            <a:xfrm>
                              <a:off x="0" y="0"/>
                              <a:ext cx="7425" cy="5060"/>
                            </a:xfrm>
                            <a:custGeom>
                              <a:avLst/>
                              <a:gdLst/>
                              <a:ahLst/>
                              <a:cxnLst/>
                              <a:pathLst>
                                <a:path w="7425" h="5060">
                                  <a:moveTo>
                                    <a:pt x="7368" y="319"/>
                                  </a:moveTo>
                                  <a:lnTo>
                                    <a:pt x="7355" y="319"/>
                                  </a:lnTo>
                                  <a:lnTo>
                                    <a:pt x="7349" y="299"/>
                                  </a:lnTo>
                                  <a:lnTo>
                                    <a:pt x="7342" y="299"/>
                                  </a:lnTo>
                                  <a:lnTo>
                                    <a:pt x="7336" y="279"/>
                                  </a:lnTo>
                                  <a:lnTo>
                                    <a:pt x="7356" y="279"/>
                                  </a:lnTo>
                                  <a:lnTo>
                                    <a:pt x="7362" y="299"/>
                                  </a:lnTo>
                                  <a:lnTo>
                                    <a:pt x="7368" y="319"/>
                                  </a:lnTo>
                                  <a:close/>
                                </a:path>
                              </a:pathLst>
                            </a:custGeom>
                            <a:solidFill>
                              <a:srgbClr val="000000"/>
                            </a:solidFill>
                            <a:ln>
                              <a:noFill/>
                            </a:ln>
                          </wps:spPr>
                          <wps:bodyPr upright="1"/>
                        </wps:wsp>
                        <wps:wsp>
                          <wps:cNvPr id="68" name="任意多边形 68"/>
                          <wps:cNvSpPr/>
                          <wps:spPr>
                            <a:xfrm>
                              <a:off x="0" y="0"/>
                              <a:ext cx="7425" cy="5060"/>
                            </a:xfrm>
                            <a:custGeom>
                              <a:avLst/>
                              <a:gdLst/>
                              <a:ahLst/>
                              <a:cxnLst/>
                              <a:pathLst>
                                <a:path w="7425" h="5060">
                                  <a:moveTo>
                                    <a:pt x="63" y="339"/>
                                  </a:moveTo>
                                  <a:lnTo>
                                    <a:pt x="44" y="339"/>
                                  </a:lnTo>
                                  <a:lnTo>
                                    <a:pt x="50" y="319"/>
                                  </a:lnTo>
                                  <a:lnTo>
                                    <a:pt x="69" y="319"/>
                                  </a:lnTo>
                                  <a:lnTo>
                                    <a:pt x="63" y="339"/>
                                  </a:lnTo>
                                  <a:close/>
                                </a:path>
                              </a:pathLst>
                            </a:custGeom>
                            <a:solidFill>
                              <a:srgbClr val="000000"/>
                            </a:solidFill>
                            <a:ln>
                              <a:noFill/>
                            </a:ln>
                          </wps:spPr>
                          <wps:bodyPr upright="1"/>
                        </wps:wsp>
                        <wps:wsp>
                          <wps:cNvPr id="69" name="任意多边形 69"/>
                          <wps:cNvSpPr/>
                          <wps:spPr>
                            <a:xfrm>
                              <a:off x="0" y="0"/>
                              <a:ext cx="7425" cy="5060"/>
                            </a:xfrm>
                            <a:custGeom>
                              <a:avLst/>
                              <a:gdLst/>
                              <a:ahLst/>
                              <a:cxnLst/>
                              <a:pathLst>
                                <a:path w="7425" h="5060">
                                  <a:moveTo>
                                    <a:pt x="7380" y="339"/>
                                  </a:moveTo>
                                  <a:lnTo>
                                    <a:pt x="7360" y="339"/>
                                  </a:lnTo>
                                  <a:lnTo>
                                    <a:pt x="7355" y="319"/>
                                  </a:lnTo>
                                  <a:lnTo>
                                    <a:pt x="7374" y="319"/>
                                  </a:lnTo>
                                  <a:lnTo>
                                    <a:pt x="7380" y="339"/>
                                  </a:lnTo>
                                  <a:close/>
                                </a:path>
                              </a:pathLst>
                            </a:custGeom>
                            <a:solidFill>
                              <a:srgbClr val="000000"/>
                            </a:solidFill>
                            <a:ln>
                              <a:noFill/>
                            </a:ln>
                          </wps:spPr>
                          <wps:bodyPr upright="1"/>
                        </wps:wsp>
                        <wps:wsp>
                          <wps:cNvPr id="70" name="任意多边形 70"/>
                          <wps:cNvSpPr/>
                          <wps:spPr>
                            <a:xfrm>
                              <a:off x="0" y="0"/>
                              <a:ext cx="7425" cy="5060"/>
                            </a:xfrm>
                            <a:custGeom>
                              <a:avLst/>
                              <a:gdLst/>
                              <a:ahLst/>
                              <a:cxnLst/>
                              <a:pathLst>
                                <a:path w="7425" h="5060">
                                  <a:moveTo>
                                    <a:pt x="43" y="379"/>
                                  </a:moveTo>
                                  <a:lnTo>
                                    <a:pt x="29" y="379"/>
                                  </a:lnTo>
                                  <a:lnTo>
                                    <a:pt x="34" y="359"/>
                                  </a:lnTo>
                                  <a:lnTo>
                                    <a:pt x="39" y="339"/>
                                  </a:lnTo>
                                  <a:lnTo>
                                    <a:pt x="58" y="339"/>
                                  </a:lnTo>
                                  <a:lnTo>
                                    <a:pt x="53" y="359"/>
                                  </a:lnTo>
                                  <a:lnTo>
                                    <a:pt x="48" y="359"/>
                                  </a:lnTo>
                                  <a:lnTo>
                                    <a:pt x="43" y="379"/>
                                  </a:lnTo>
                                  <a:close/>
                                </a:path>
                              </a:pathLst>
                            </a:custGeom>
                            <a:solidFill>
                              <a:srgbClr val="000000"/>
                            </a:solidFill>
                            <a:ln>
                              <a:noFill/>
                            </a:ln>
                          </wps:spPr>
                          <wps:bodyPr upright="1"/>
                        </wps:wsp>
                        <wps:wsp>
                          <wps:cNvPr id="71" name="任意多边形 71"/>
                          <wps:cNvSpPr/>
                          <wps:spPr>
                            <a:xfrm>
                              <a:off x="0" y="0"/>
                              <a:ext cx="7425" cy="5060"/>
                            </a:xfrm>
                            <a:custGeom>
                              <a:avLst/>
                              <a:gdLst/>
                              <a:ahLst/>
                              <a:cxnLst/>
                              <a:pathLst>
                                <a:path w="7425" h="5060">
                                  <a:moveTo>
                                    <a:pt x="7394" y="379"/>
                                  </a:moveTo>
                                  <a:lnTo>
                                    <a:pt x="7380" y="379"/>
                                  </a:lnTo>
                                  <a:lnTo>
                                    <a:pt x="7376" y="359"/>
                                  </a:lnTo>
                                  <a:lnTo>
                                    <a:pt x="7371" y="359"/>
                                  </a:lnTo>
                                  <a:lnTo>
                                    <a:pt x="7366" y="339"/>
                                  </a:lnTo>
                                  <a:lnTo>
                                    <a:pt x="7385" y="339"/>
                                  </a:lnTo>
                                  <a:lnTo>
                                    <a:pt x="7390" y="359"/>
                                  </a:lnTo>
                                  <a:lnTo>
                                    <a:pt x="7394" y="379"/>
                                  </a:lnTo>
                                  <a:close/>
                                </a:path>
                              </a:pathLst>
                            </a:custGeom>
                            <a:solidFill>
                              <a:srgbClr val="000000"/>
                            </a:solidFill>
                            <a:ln>
                              <a:noFill/>
                            </a:ln>
                          </wps:spPr>
                          <wps:bodyPr upright="1"/>
                        </wps:wsp>
                        <wps:wsp>
                          <wps:cNvPr id="72" name="任意多边形 72"/>
                          <wps:cNvSpPr/>
                          <wps:spPr>
                            <a:xfrm>
                              <a:off x="0" y="0"/>
                              <a:ext cx="7425" cy="5060"/>
                            </a:xfrm>
                            <a:custGeom>
                              <a:avLst/>
                              <a:gdLst/>
                              <a:ahLst/>
                              <a:cxnLst/>
                              <a:pathLst>
                                <a:path w="7425" h="5060">
                                  <a:moveTo>
                                    <a:pt x="32" y="419"/>
                                  </a:moveTo>
                                  <a:lnTo>
                                    <a:pt x="17" y="419"/>
                                  </a:lnTo>
                                  <a:lnTo>
                                    <a:pt x="21" y="399"/>
                                  </a:lnTo>
                                  <a:lnTo>
                                    <a:pt x="25" y="379"/>
                                  </a:lnTo>
                                  <a:lnTo>
                                    <a:pt x="43" y="379"/>
                                  </a:lnTo>
                                  <a:lnTo>
                                    <a:pt x="39" y="399"/>
                                  </a:lnTo>
                                  <a:lnTo>
                                    <a:pt x="35" y="399"/>
                                  </a:lnTo>
                                  <a:lnTo>
                                    <a:pt x="32" y="419"/>
                                  </a:lnTo>
                                  <a:close/>
                                </a:path>
                              </a:pathLst>
                            </a:custGeom>
                            <a:solidFill>
                              <a:srgbClr val="000000"/>
                            </a:solidFill>
                            <a:ln>
                              <a:noFill/>
                            </a:ln>
                          </wps:spPr>
                          <wps:bodyPr upright="1"/>
                        </wps:wsp>
                        <wps:wsp>
                          <wps:cNvPr id="73" name="任意多边形 73"/>
                          <wps:cNvSpPr/>
                          <wps:spPr>
                            <a:xfrm>
                              <a:off x="0" y="0"/>
                              <a:ext cx="7425" cy="5060"/>
                            </a:xfrm>
                            <a:custGeom>
                              <a:avLst/>
                              <a:gdLst/>
                              <a:ahLst/>
                              <a:cxnLst/>
                              <a:pathLst>
                                <a:path w="7425" h="5060">
                                  <a:moveTo>
                                    <a:pt x="7406" y="419"/>
                                  </a:moveTo>
                                  <a:lnTo>
                                    <a:pt x="7392" y="419"/>
                                  </a:lnTo>
                                  <a:lnTo>
                                    <a:pt x="7388" y="399"/>
                                  </a:lnTo>
                                  <a:lnTo>
                                    <a:pt x="7384" y="399"/>
                                  </a:lnTo>
                                  <a:lnTo>
                                    <a:pt x="7380" y="379"/>
                                  </a:lnTo>
                                  <a:lnTo>
                                    <a:pt x="7399" y="379"/>
                                  </a:lnTo>
                                  <a:lnTo>
                                    <a:pt x="7403" y="399"/>
                                  </a:lnTo>
                                  <a:lnTo>
                                    <a:pt x="7406" y="419"/>
                                  </a:lnTo>
                                  <a:close/>
                                </a:path>
                              </a:pathLst>
                            </a:custGeom>
                            <a:solidFill>
                              <a:srgbClr val="000000"/>
                            </a:solidFill>
                            <a:ln>
                              <a:noFill/>
                            </a:ln>
                          </wps:spPr>
                          <wps:bodyPr upright="1"/>
                        </wps:wsp>
                        <wps:wsp>
                          <wps:cNvPr id="74" name="任意多边形 74"/>
                          <wps:cNvSpPr/>
                          <wps:spPr>
                            <a:xfrm>
                              <a:off x="0" y="0"/>
                              <a:ext cx="7425" cy="5060"/>
                            </a:xfrm>
                            <a:custGeom>
                              <a:avLst/>
                              <a:gdLst/>
                              <a:ahLst/>
                              <a:cxnLst/>
                              <a:pathLst>
                                <a:path w="7425" h="5060">
                                  <a:moveTo>
                                    <a:pt x="21" y="479"/>
                                  </a:moveTo>
                                  <a:lnTo>
                                    <a:pt x="6" y="479"/>
                                  </a:lnTo>
                                  <a:lnTo>
                                    <a:pt x="8" y="459"/>
                                  </a:lnTo>
                                  <a:lnTo>
                                    <a:pt x="11" y="439"/>
                                  </a:lnTo>
                                  <a:lnTo>
                                    <a:pt x="14" y="419"/>
                                  </a:lnTo>
                                  <a:lnTo>
                                    <a:pt x="32" y="419"/>
                                  </a:lnTo>
                                  <a:lnTo>
                                    <a:pt x="28" y="439"/>
                                  </a:lnTo>
                                  <a:lnTo>
                                    <a:pt x="26" y="439"/>
                                  </a:lnTo>
                                  <a:lnTo>
                                    <a:pt x="23" y="459"/>
                                  </a:lnTo>
                                  <a:lnTo>
                                    <a:pt x="23" y="459"/>
                                  </a:lnTo>
                                  <a:lnTo>
                                    <a:pt x="21" y="479"/>
                                  </a:lnTo>
                                  <a:close/>
                                </a:path>
                              </a:pathLst>
                            </a:custGeom>
                            <a:solidFill>
                              <a:srgbClr val="000000"/>
                            </a:solidFill>
                            <a:ln>
                              <a:noFill/>
                            </a:ln>
                          </wps:spPr>
                          <wps:bodyPr upright="1"/>
                        </wps:wsp>
                        <wps:wsp>
                          <wps:cNvPr id="75" name="任意多边形 75"/>
                          <wps:cNvSpPr/>
                          <wps:spPr>
                            <a:xfrm>
                              <a:off x="0" y="0"/>
                              <a:ext cx="7425" cy="5060"/>
                            </a:xfrm>
                            <a:custGeom>
                              <a:avLst/>
                              <a:gdLst/>
                              <a:ahLst/>
                              <a:cxnLst/>
                              <a:pathLst>
                                <a:path w="7425" h="5060">
                                  <a:moveTo>
                                    <a:pt x="7418" y="479"/>
                                  </a:moveTo>
                                  <a:lnTo>
                                    <a:pt x="7403" y="479"/>
                                  </a:lnTo>
                                  <a:lnTo>
                                    <a:pt x="7401" y="459"/>
                                  </a:lnTo>
                                  <a:lnTo>
                                    <a:pt x="7401" y="459"/>
                                  </a:lnTo>
                                  <a:lnTo>
                                    <a:pt x="7398" y="439"/>
                                  </a:lnTo>
                                  <a:lnTo>
                                    <a:pt x="7395" y="439"/>
                                  </a:lnTo>
                                  <a:lnTo>
                                    <a:pt x="7392" y="419"/>
                                  </a:lnTo>
                                  <a:lnTo>
                                    <a:pt x="7410" y="419"/>
                                  </a:lnTo>
                                  <a:lnTo>
                                    <a:pt x="7413" y="439"/>
                                  </a:lnTo>
                                  <a:lnTo>
                                    <a:pt x="7415" y="459"/>
                                  </a:lnTo>
                                  <a:lnTo>
                                    <a:pt x="7418" y="479"/>
                                  </a:lnTo>
                                  <a:close/>
                                </a:path>
                              </a:pathLst>
                            </a:custGeom>
                            <a:solidFill>
                              <a:srgbClr val="000000"/>
                            </a:solidFill>
                            <a:ln>
                              <a:noFill/>
                            </a:ln>
                          </wps:spPr>
                          <wps:bodyPr upright="1"/>
                        </wps:wsp>
                        <wps:wsp>
                          <wps:cNvPr id="76" name="任意多边形 76"/>
                          <wps:cNvSpPr/>
                          <wps:spPr>
                            <a:xfrm>
                              <a:off x="0" y="0"/>
                              <a:ext cx="7425" cy="5060"/>
                            </a:xfrm>
                            <a:custGeom>
                              <a:avLst/>
                              <a:gdLst/>
                              <a:ahLst/>
                              <a:cxnLst/>
                              <a:pathLst>
                                <a:path w="7425" h="5060">
                                  <a:moveTo>
                                    <a:pt x="16" y="519"/>
                                  </a:moveTo>
                                  <a:lnTo>
                                    <a:pt x="1" y="519"/>
                                  </a:lnTo>
                                  <a:lnTo>
                                    <a:pt x="2" y="499"/>
                                  </a:lnTo>
                                  <a:lnTo>
                                    <a:pt x="4" y="479"/>
                                  </a:lnTo>
                                  <a:lnTo>
                                    <a:pt x="19" y="479"/>
                                  </a:lnTo>
                                  <a:lnTo>
                                    <a:pt x="17" y="499"/>
                                  </a:lnTo>
                                  <a:lnTo>
                                    <a:pt x="17" y="499"/>
                                  </a:lnTo>
                                  <a:lnTo>
                                    <a:pt x="16" y="519"/>
                                  </a:lnTo>
                                  <a:close/>
                                </a:path>
                              </a:pathLst>
                            </a:custGeom>
                            <a:solidFill>
                              <a:srgbClr val="000000"/>
                            </a:solidFill>
                            <a:ln>
                              <a:noFill/>
                            </a:ln>
                          </wps:spPr>
                          <wps:bodyPr upright="1"/>
                        </wps:wsp>
                        <wps:wsp>
                          <wps:cNvPr id="77" name="任意多边形 77"/>
                          <wps:cNvSpPr/>
                          <wps:spPr>
                            <a:xfrm>
                              <a:off x="0" y="0"/>
                              <a:ext cx="7425" cy="5060"/>
                            </a:xfrm>
                            <a:custGeom>
                              <a:avLst/>
                              <a:gdLst/>
                              <a:ahLst/>
                              <a:cxnLst/>
                              <a:pathLst>
                                <a:path w="7425" h="5060">
                                  <a:moveTo>
                                    <a:pt x="7423" y="519"/>
                                  </a:moveTo>
                                  <a:lnTo>
                                    <a:pt x="7408" y="519"/>
                                  </a:lnTo>
                                  <a:lnTo>
                                    <a:pt x="7406" y="499"/>
                                  </a:lnTo>
                                  <a:lnTo>
                                    <a:pt x="7406" y="499"/>
                                  </a:lnTo>
                                  <a:lnTo>
                                    <a:pt x="7405" y="479"/>
                                  </a:lnTo>
                                  <a:lnTo>
                                    <a:pt x="7420" y="479"/>
                                  </a:lnTo>
                                  <a:lnTo>
                                    <a:pt x="7421" y="499"/>
                                  </a:lnTo>
                                  <a:lnTo>
                                    <a:pt x="7423" y="519"/>
                                  </a:lnTo>
                                  <a:close/>
                                </a:path>
                              </a:pathLst>
                            </a:custGeom>
                            <a:solidFill>
                              <a:srgbClr val="000000"/>
                            </a:solidFill>
                            <a:ln>
                              <a:noFill/>
                            </a:ln>
                          </wps:spPr>
                          <wps:bodyPr upright="1"/>
                        </wps:wsp>
                        <wps:wsp>
                          <wps:cNvPr id="78" name="任意多边形 78"/>
                          <wps:cNvSpPr/>
                          <wps:spPr>
                            <a:xfrm>
                              <a:off x="0" y="0"/>
                              <a:ext cx="7425" cy="5060"/>
                            </a:xfrm>
                            <a:custGeom>
                              <a:avLst/>
                              <a:gdLst/>
                              <a:ahLst/>
                              <a:cxnLst/>
                              <a:pathLst>
                                <a:path w="7425" h="5060">
                                  <a:moveTo>
                                    <a:pt x="19" y="4559"/>
                                  </a:moveTo>
                                  <a:lnTo>
                                    <a:pt x="2" y="4559"/>
                                  </a:lnTo>
                                  <a:lnTo>
                                    <a:pt x="1" y="4539"/>
                                  </a:lnTo>
                                  <a:lnTo>
                                    <a:pt x="0" y="4519"/>
                                  </a:lnTo>
                                  <a:lnTo>
                                    <a:pt x="0" y="4499"/>
                                  </a:lnTo>
                                  <a:lnTo>
                                    <a:pt x="0" y="539"/>
                                  </a:lnTo>
                                  <a:lnTo>
                                    <a:pt x="0" y="519"/>
                                  </a:lnTo>
                                  <a:lnTo>
                                    <a:pt x="15" y="519"/>
                                  </a:lnTo>
                                  <a:lnTo>
                                    <a:pt x="15" y="539"/>
                                  </a:lnTo>
                                  <a:lnTo>
                                    <a:pt x="15" y="4499"/>
                                  </a:lnTo>
                                  <a:lnTo>
                                    <a:pt x="15" y="4519"/>
                                  </a:lnTo>
                                  <a:lnTo>
                                    <a:pt x="16" y="4539"/>
                                  </a:lnTo>
                                  <a:lnTo>
                                    <a:pt x="17" y="4539"/>
                                  </a:lnTo>
                                  <a:lnTo>
                                    <a:pt x="19" y="4559"/>
                                  </a:lnTo>
                                  <a:close/>
                                </a:path>
                              </a:pathLst>
                            </a:custGeom>
                            <a:solidFill>
                              <a:srgbClr val="000000"/>
                            </a:solidFill>
                            <a:ln>
                              <a:noFill/>
                            </a:ln>
                          </wps:spPr>
                          <wps:bodyPr upright="1"/>
                        </wps:wsp>
                        <wps:wsp>
                          <wps:cNvPr id="79" name="任意多边形 79"/>
                          <wps:cNvSpPr/>
                          <wps:spPr>
                            <a:xfrm>
                              <a:off x="0" y="0"/>
                              <a:ext cx="7425" cy="5060"/>
                            </a:xfrm>
                            <a:custGeom>
                              <a:avLst/>
                              <a:gdLst/>
                              <a:ahLst/>
                              <a:cxnLst/>
                              <a:pathLst>
                                <a:path w="7425" h="5060">
                                  <a:moveTo>
                                    <a:pt x="7421" y="4559"/>
                                  </a:moveTo>
                                  <a:lnTo>
                                    <a:pt x="7405" y="4559"/>
                                  </a:lnTo>
                                  <a:lnTo>
                                    <a:pt x="7406" y="4539"/>
                                  </a:lnTo>
                                  <a:lnTo>
                                    <a:pt x="7408" y="4539"/>
                                  </a:lnTo>
                                  <a:lnTo>
                                    <a:pt x="7408" y="4519"/>
                                  </a:lnTo>
                                  <a:lnTo>
                                    <a:pt x="7408" y="4519"/>
                                  </a:lnTo>
                                  <a:lnTo>
                                    <a:pt x="7409" y="4499"/>
                                  </a:lnTo>
                                  <a:lnTo>
                                    <a:pt x="7409" y="539"/>
                                  </a:lnTo>
                                  <a:lnTo>
                                    <a:pt x="7408" y="519"/>
                                  </a:lnTo>
                                  <a:lnTo>
                                    <a:pt x="7423" y="519"/>
                                  </a:lnTo>
                                  <a:lnTo>
                                    <a:pt x="7424" y="539"/>
                                  </a:lnTo>
                                  <a:lnTo>
                                    <a:pt x="7424" y="4499"/>
                                  </a:lnTo>
                                  <a:lnTo>
                                    <a:pt x="7423" y="4519"/>
                                  </a:lnTo>
                                  <a:lnTo>
                                    <a:pt x="7423" y="4539"/>
                                  </a:lnTo>
                                  <a:lnTo>
                                    <a:pt x="7421" y="4559"/>
                                  </a:lnTo>
                                  <a:close/>
                                </a:path>
                              </a:pathLst>
                            </a:custGeom>
                            <a:solidFill>
                              <a:srgbClr val="000000"/>
                            </a:solidFill>
                            <a:ln>
                              <a:noFill/>
                            </a:ln>
                          </wps:spPr>
                          <wps:bodyPr upright="1"/>
                        </wps:wsp>
                        <wps:wsp>
                          <wps:cNvPr id="80" name="任意多边形 80"/>
                          <wps:cNvSpPr/>
                          <wps:spPr>
                            <a:xfrm>
                              <a:off x="0" y="0"/>
                              <a:ext cx="7425" cy="5060"/>
                            </a:xfrm>
                            <a:custGeom>
                              <a:avLst/>
                              <a:gdLst/>
                              <a:ahLst/>
                              <a:cxnLst/>
                              <a:pathLst>
                                <a:path w="7425" h="5060">
                                  <a:moveTo>
                                    <a:pt x="23" y="4599"/>
                                  </a:moveTo>
                                  <a:lnTo>
                                    <a:pt x="8" y="4599"/>
                                  </a:lnTo>
                                  <a:lnTo>
                                    <a:pt x="6" y="4579"/>
                                  </a:lnTo>
                                  <a:lnTo>
                                    <a:pt x="4" y="4559"/>
                                  </a:lnTo>
                                  <a:lnTo>
                                    <a:pt x="19" y="4559"/>
                                  </a:lnTo>
                                  <a:lnTo>
                                    <a:pt x="21" y="4579"/>
                                  </a:lnTo>
                                  <a:lnTo>
                                    <a:pt x="21" y="4579"/>
                                  </a:lnTo>
                                  <a:lnTo>
                                    <a:pt x="23" y="4599"/>
                                  </a:lnTo>
                                  <a:close/>
                                </a:path>
                              </a:pathLst>
                            </a:custGeom>
                            <a:solidFill>
                              <a:srgbClr val="000000"/>
                            </a:solidFill>
                            <a:ln>
                              <a:noFill/>
                            </a:ln>
                          </wps:spPr>
                          <wps:bodyPr upright="1"/>
                        </wps:wsp>
                        <wps:wsp>
                          <wps:cNvPr id="81" name="任意多边形 81"/>
                          <wps:cNvSpPr/>
                          <wps:spPr>
                            <a:xfrm>
                              <a:off x="0" y="0"/>
                              <a:ext cx="7425" cy="5060"/>
                            </a:xfrm>
                            <a:custGeom>
                              <a:avLst/>
                              <a:gdLst/>
                              <a:ahLst/>
                              <a:cxnLst/>
                              <a:pathLst>
                                <a:path w="7425" h="5060">
                                  <a:moveTo>
                                    <a:pt x="7415" y="4599"/>
                                  </a:moveTo>
                                  <a:lnTo>
                                    <a:pt x="7401" y="4599"/>
                                  </a:lnTo>
                                  <a:lnTo>
                                    <a:pt x="7403" y="4579"/>
                                  </a:lnTo>
                                  <a:lnTo>
                                    <a:pt x="7403" y="4579"/>
                                  </a:lnTo>
                                  <a:lnTo>
                                    <a:pt x="7405" y="4559"/>
                                  </a:lnTo>
                                  <a:lnTo>
                                    <a:pt x="7420" y="4559"/>
                                  </a:lnTo>
                                  <a:lnTo>
                                    <a:pt x="7418" y="4579"/>
                                  </a:lnTo>
                                  <a:lnTo>
                                    <a:pt x="7415" y="4599"/>
                                  </a:lnTo>
                                  <a:close/>
                                </a:path>
                              </a:pathLst>
                            </a:custGeom>
                            <a:solidFill>
                              <a:srgbClr val="000000"/>
                            </a:solidFill>
                            <a:ln>
                              <a:noFill/>
                            </a:ln>
                          </wps:spPr>
                          <wps:bodyPr upright="1"/>
                        </wps:wsp>
                        <wps:wsp>
                          <wps:cNvPr id="82" name="任意多边形 82"/>
                          <wps:cNvSpPr/>
                          <wps:spPr>
                            <a:xfrm>
                              <a:off x="0" y="0"/>
                              <a:ext cx="7425" cy="5060"/>
                            </a:xfrm>
                            <a:custGeom>
                              <a:avLst/>
                              <a:gdLst/>
                              <a:ahLst/>
                              <a:cxnLst/>
                              <a:pathLst>
                                <a:path w="7425" h="5060">
                                  <a:moveTo>
                                    <a:pt x="32" y="4639"/>
                                  </a:moveTo>
                                  <a:lnTo>
                                    <a:pt x="17" y="4639"/>
                                  </a:lnTo>
                                  <a:lnTo>
                                    <a:pt x="14" y="4619"/>
                                  </a:lnTo>
                                  <a:lnTo>
                                    <a:pt x="11" y="4599"/>
                                  </a:lnTo>
                                  <a:lnTo>
                                    <a:pt x="26" y="4599"/>
                                  </a:lnTo>
                                  <a:lnTo>
                                    <a:pt x="29" y="4619"/>
                                  </a:lnTo>
                                  <a:lnTo>
                                    <a:pt x="28" y="4619"/>
                                  </a:lnTo>
                                  <a:lnTo>
                                    <a:pt x="32" y="4639"/>
                                  </a:lnTo>
                                  <a:close/>
                                </a:path>
                              </a:pathLst>
                            </a:custGeom>
                            <a:solidFill>
                              <a:srgbClr val="000000"/>
                            </a:solidFill>
                            <a:ln>
                              <a:noFill/>
                            </a:ln>
                          </wps:spPr>
                          <wps:bodyPr upright="1"/>
                        </wps:wsp>
                        <wps:wsp>
                          <wps:cNvPr id="83" name="任意多边形 83"/>
                          <wps:cNvSpPr/>
                          <wps:spPr>
                            <a:xfrm>
                              <a:off x="0" y="0"/>
                              <a:ext cx="7425" cy="5060"/>
                            </a:xfrm>
                            <a:custGeom>
                              <a:avLst/>
                              <a:gdLst/>
                              <a:ahLst/>
                              <a:cxnLst/>
                              <a:pathLst>
                                <a:path w="7425" h="5060">
                                  <a:moveTo>
                                    <a:pt x="7406" y="4639"/>
                                  </a:moveTo>
                                  <a:lnTo>
                                    <a:pt x="7392" y="4639"/>
                                  </a:lnTo>
                                  <a:lnTo>
                                    <a:pt x="7395" y="4619"/>
                                  </a:lnTo>
                                  <a:lnTo>
                                    <a:pt x="7395" y="4619"/>
                                  </a:lnTo>
                                  <a:lnTo>
                                    <a:pt x="7398" y="4599"/>
                                  </a:lnTo>
                                  <a:lnTo>
                                    <a:pt x="7413" y="4599"/>
                                  </a:lnTo>
                                  <a:lnTo>
                                    <a:pt x="7410" y="4619"/>
                                  </a:lnTo>
                                  <a:lnTo>
                                    <a:pt x="7406" y="4639"/>
                                  </a:lnTo>
                                  <a:close/>
                                </a:path>
                              </a:pathLst>
                            </a:custGeom>
                            <a:solidFill>
                              <a:srgbClr val="000000"/>
                            </a:solidFill>
                            <a:ln>
                              <a:noFill/>
                            </a:ln>
                          </wps:spPr>
                          <wps:bodyPr upright="1"/>
                        </wps:wsp>
                        <wps:wsp>
                          <wps:cNvPr id="84" name="任意多边形 84"/>
                          <wps:cNvSpPr/>
                          <wps:spPr>
                            <a:xfrm>
                              <a:off x="0" y="0"/>
                              <a:ext cx="7425" cy="5060"/>
                            </a:xfrm>
                            <a:custGeom>
                              <a:avLst/>
                              <a:gdLst/>
                              <a:ahLst/>
                              <a:cxnLst/>
                              <a:pathLst>
                                <a:path w="7425" h="5060">
                                  <a:moveTo>
                                    <a:pt x="43" y="4679"/>
                                  </a:moveTo>
                                  <a:lnTo>
                                    <a:pt x="29" y="4679"/>
                                  </a:lnTo>
                                  <a:lnTo>
                                    <a:pt x="25" y="4659"/>
                                  </a:lnTo>
                                  <a:lnTo>
                                    <a:pt x="21" y="4639"/>
                                  </a:lnTo>
                                  <a:lnTo>
                                    <a:pt x="35" y="4639"/>
                                  </a:lnTo>
                                  <a:lnTo>
                                    <a:pt x="39" y="4659"/>
                                  </a:lnTo>
                                  <a:lnTo>
                                    <a:pt x="39" y="4659"/>
                                  </a:lnTo>
                                  <a:lnTo>
                                    <a:pt x="43" y="4679"/>
                                  </a:lnTo>
                                  <a:close/>
                                </a:path>
                              </a:pathLst>
                            </a:custGeom>
                            <a:solidFill>
                              <a:srgbClr val="000000"/>
                            </a:solidFill>
                            <a:ln>
                              <a:noFill/>
                            </a:ln>
                          </wps:spPr>
                          <wps:bodyPr upright="1"/>
                        </wps:wsp>
                        <wps:wsp>
                          <wps:cNvPr id="85" name="任意多边形 85"/>
                          <wps:cNvSpPr/>
                          <wps:spPr>
                            <a:xfrm>
                              <a:off x="0" y="0"/>
                              <a:ext cx="7425" cy="5060"/>
                            </a:xfrm>
                            <a:custGeom>
                              <a:avLst/>
                              <a:gdLst/>
                              <a:ahLst/>
                              <a:cxnLst/>
                              <a:pathLst>
                                <a:path w="7425" h="5060">
                                  <a:moveTo>
                                    <a:pt x="7394" y="4679"/>
                                  </a:moveTo>
                                  <a:lnTo>
                                    <a:pt x="7380" y="4679"/>
                                  </a:lnTo>
                                  <a:lnTo>
                                    <a:pt x="7384" y="4659"/>
                                  </a:lnTo>
                                  <a:lnTo>
                                    <a:pt x="7384" y="4659"/>
                                  </a:lnTo>
                                  <a:lnTo>
                                    <a:pt x="7388" y="4639"/>
                                  </a:lnTo>
                                  <a:lnTo>
                                    <a:pt x="7403" y="4639"/>
                                  </a:lnTo>
                                  <a:lnTo>
                                    <a:pt x="7399" y="4659"/>
                                  </a:lnTo>
                                  <a:lnTo>
                                    <a:pt x="7394" y="4679"/>
                                  </a:lnTo>
                                  <a:close/>
                                </a:path>
                              </a:pathLst>
                            </a:custGeom>
                            <a:solidFill>
                              <a:srgbClr val="000000"/>
                            </a:solidFill>
                            <a:ln>
                              <a:noFill/>
                            </a:ln>
                          </wps:spPr>
                          <wps:bodyPr upright="1"/>
                        </wps:wsp>
                        <wps:wsp>
                          <wps:cNvPr id="86" name="任意多边形 86"/>
                          <wps:cNvSpPr/>
                          <wps:spPr>
                            <a:xfrm>
                              <a:off x="0" y="0"/>
                              <a:ext cx="7425" cy="5060"/>
                            </a:xfrm>
                            <a:custGeom>
                              <a:avLst/>
                              <a:gdLst/>
                              <a:ahLst/>
                              <a:cxnLst/>
                              <a:pathLst>
                                <a:path w="7425" h="5060">
                                  <a:moveTo>
                                    <a:pt x="48" y="4679"/>
                                  </a:moveTo>
                                  <a:lnTo>
                                    <a:pt x="43" y="4679"/>
                                  </a:lnTo>
                                  <a:lnTo>
                                    <a:pt x="43" y="4659"/>
                                  </a:lnTo>
                                  <a:lnTo>
                                    <a:pt x="48" y="4679"/>
                                  </a:lnTo>
                                  <a:close/>
                                </a:path>
                              </a:pathLst>
                            </a:custGeom>
                            <a:solidFill>
                              <a:srgbClr val="000000"/>
                            </a:solidFill>
                            <a:ln>
                              <a:noFill/>
                            </a:ln>
                          </wps:spPr>
                          <wps:bodyPr upright="1"/>
                        </wps:wsp>
                        <wps:wsp>
                          <wps:cNvPr id="87" name="任意多边形 87"/>
                          <wps:cNvSpPr/>
                          <wps:spPr>
                            <a:xfrm>
                              <a:off x="0" y="0"/>
                              <a:ext cx="7425" cy="5060"/>
                            </a:xfrm>
                            <a:custGeom>
                              <a:avLst/>
                              <a:gdLst/>
                              <a:ahLst/>
                              <a:cxnLst/>
                              <a:pathLst>
                                <a:path w="7425" h="5060">
                                  <a:moveTo>
                                    <a:pt x="7380" y="4679"/>
                                  </a:moveTo>
                                  <a:lnTo>
                                    <a:pt x="7376" y="4679"/>
                                  </a:lnTo>
                                  <a:lnTo>
                                    <a:pt x="7380" y="4659"/>
                                  </a:lnTo>
                                  <a:lnTo>
                                    <a:pt x="7380" y="4679"/>
                                  </a:lnTo>
                                  <a:close/>
                                </a:path>
                              </a:pathLst>
                            </a:custGeom>
                            <a:solidFill>
                              <a:srgbClr val="000000"/>
                            </a:solidFill>
                            <a:ln>
                              <a:noFill/>
                            </a:ln>
                          </wps:spPr>
                          <wps:bodyPr upright="1"/>
                        </wps:wsp>
                        <wps:wsp>
                          <wps:cNvPr id="88" name="任意多边形 88"/>
                          <wps:cNvSpPr/>
                          <wps:spPr>
                            <a:xfrm>
                              <a:off x="0" y="0"/>
                              <a:ext cx="7425" cy="5060"/>
                            </a:xfrm>
                            <a:custGeom>
                              <a:avLst/>
                              <a:gdLst/>
                              <a:ahLst/>
                              <a:cxnLst/>
                              <a:pathLst>
                                <a:path w="7425" h="5060">
                                  <a:moveTo>
                                    <a:pt x="63" y="4719"/>
                                  </a:moveTo>
                                  <a:lnTo>
                                    <a:pt x="44" y="4719"/>
                                  </a:lnTo>
                                  <a:lnTo>
                                    <a:pt x="39" y="4699"/>
                                  </a:lnTo>
                                  <a:lnTo>
                                    <a:pt x="34" y="4679"/>
                                  </a:lnTo>
                                  <a:lnTo>
                                    <a:pt x="48" y="4679"/>
                                  </a:lnTo>
                                  <a:lnTo>
                                    <a:pt x="53" y="4699"/>
                                  </a:lnTo>
                                  <a:lnTo>
                                    <a:pt x="58" y="4699"/>
                                  </a:lnTo>
                                  <a:lnTo>
                                    <a:pt x="63" y="4719"/>
                                  </a:lnTo>
                                  <a:close/>
                                </a:path>
                              </a:pathLst>
                            </a:custGeom>
                            <a:solidFill>
                              <a:srgbClr val="000000"/>
                            </a:solidFill>
                            <a:ln>
                              <a:noFill/>
                            </a:ln>
                          </wps:spPr>
                          <wps:bodyPr upright="1"/>
                        </wps:wsp>
                        <wps:wsp>
                          <wps:cNvPr id="89" name="任意多边形 89"/>
                          <wps:cNvSpPr/>
                          <wps:spPr>
                            <a:xfrm>
                              <a:off x="0" y="0"/>
                              <a:ext cx="7425" cy="5060"/>
                            </a:xfrm>
                            <a:custGeom>
                              <a:avLst/>
                              <a:gdLst/>
                              <a:ahLst/>
                              <a:cxnLst/>
                              <a:pathLst>
                                <a:path w="7425" h="5060">
                                  <a:moveTo>
                                    <a:pt x="7380" y="4719"/>
                                  </a:moveTo>
                                  <a:lnTo>
                                    <a:pt x="7360" y="4719"/>
                                  </a:lnTo>
                                  <a:lnTo>
                                    <a:pt x="7366" y="4699"/>
                                  </a:lnTo>
                                  <a:lnTo>
                                    <a:pt x="7371" y="4699"/>
                                  </a:lnTo>
                                  <a:lnTo>
                                    <a:pt x="7376" y="4679"/>
                                  </a:lnTo>
                                  <a:lnTo>
                                    <a:pt x="7390" y="4679"/>
                                  </a:lnTo>
                                  <a:lnTo>
                                    <a:pt x="7385" y="4699"/>
                                  </a:lnTo>
                                  <a:lnTo>
                                    <a:pt x="7380" y="4719"/>
                                  </a:lnTo>
                                  <a:close/>
                                </a:path>
                              </a:pathLst>
                            </a:custGeom>
                            <a:solidFill>
                              <a:srgbClr val="000000"/>
                            </a:solidFill>
                            <a:ln>
                              <a:noFill/>
                            </a:ln>
                          </wps:spPr>
                          <wps:bodyPr upright="1"/>
                        </wps:wsp>
                        <wps:wsp>
                          <wps:cNvPr id="90" name="任意多边形 90"/>
                          <wps:cNvSpPr/>
                          <wps:spPr>
                            <a:xfrm>
                              <a:off x="0" y="0"/>
                              <a:ext cx="7425" cy="5060"/>
                            </a:xfrm>
                            <a:custGeom>
                              <a:avLst/>
                              <a:gdLst/>
                              <a:ahLst/>
                              <a:cxnLst/>
                              <a:pathLst>
                                <a:path w="7425" h="5060">
                                  <a:moveTo>
                                    <a:pt x="81" y="4759"/>
                                  </a:moveTo>
                                  <a:lnTo>
                                    <a:pt x="62" y="4759"/>
                                  </a:lnTo>
                                  <a:lnTo>
                                    <a:pt x="55" y="4739"/>
                                  </a:lnTo>
                                  <a:lnTo>
                                    <a:pt x="50" y="4719"/>
                                  </a:lnTo>
                                  <a:lnTo>
                                    <a:pt x="63" y="4719"/>
                                  </a:lnTo>
                                  <a:lnTo>
                                    <a:pt x="69" y="4739"/>
                                  </a:lnTo>
                                  <a:lnTo>
                                    <a:pt x="75" y="4739"/>
                                  </a:lnTo>
                                  <a:lnTo>
                                    <a:pt x="81" y="4759"/>
                                  </a:lnTo>
                                  <a:close/>
                                </a:path>
                              </a:pathLst>
                            </a:custGeom>
                            <a:solidFill>
                              <a:srgbClr val="000000"/>
                            </a:solidFill>
                            <a:ln>
                              <a:noFill/>
                            </a:ln>
                          </wps:spPr>
                          <wps:bodyPr upright="1"/>
                        </wps:wsp>
                        <wps:wsp>
                          <wps:cNvPr id="91" name="任意多边形 91"/>
                          <wps:cNvSpPr/>
                          <wps:spPr>
                            <a:xfrm>
                              <a:off x="0" y="0"/>
                              <a:ext cx="7425" cy="5060"/>
                            </a:xfrm>
                            <a:custGeom>
                              <a:avLst/>
                              <a:gdLst/>
                              <a:ahLst/>
                              <a:cxnLst/>
                              <a:pathLst>
                                <a:path w="7425" h="5060">
                                  <a:moveTo>
                                    <a:pt x="7362" y="4759"/>
                                  </a:moveTo>
                                  <a:lnTo>
                                    <a:pt x="7342" y="4759"/>
                                  </a:lnTo>
                                  <a:lnTo>
                                    <a:pt x="7349" y="4739"/>
                                  </a:lnTo>
                                  <a:lnTo>
                                    <a:pt x="7355" y="4739"/>
                                  </a:lnTo>
                                  <a:lnTo>
                                    <a:pt x="7360" y="4719"/>
                                  </a:lnTo>
                                  <a:lnTo>
                                    <a:pt x="7374" y="4719"/>
                                  </a:lnTo>
                                  <a:lnTo>
                                    <a:pt x="7368" y="4739"/>
                                  </a:lnTo>
                                  <a:lnTo>
                                    <a:pt x="7362" y="4759"/>
                                  </a:lnTo>
                                  <a:close/>
                                </a:path>
                              </a:pathLst>
                            </a:custGeom>
                            <a:solidFill>
                              <a:srgbClr val="000000"/>
                            </a:solidFill>
                            <a:ln>
                              <a:noFill/>
                            </a:ln>
                          </wps:spPr>
                          <wps:bodyPr upright="1"/>
                        </wps:wsp>
                        <wps:wsp>
                          <wps:cNvPr id="92" name="任意多边形 92"/>
                          <wps:cNvSpPr/>
                          <wps:spPr>
                            <a:xfrm>
                              <a:off x="0" y="0"/>
                              <a:ext cx="7425" cy="5060"/>
                            </a:xfrm>
                            <a:custGeom>
                              <a:avLst/>
                              <a:gdLst/>
                              <a:ahLst/>
                              <a:cxnLst/>
                              <a:pathLst>
                                <a:path w="7425" h="5060">
                                  <a:moveTo>
                                    <a:pt x="94" y="4779"/>
                                  </a:moveTo>
                                  <a:lnTo>
                                    <a:pt x="75" y="4779"/>
                                  </a:lnTo>
                                  <a:lnTo>
                                    <a:pt x="68" y="4759"/>
                                  </a:lnTo>
                                  <a:lnTo>
                                    <a:pt x="88" y="4759"/>
                                  </a:lnTo>
                                  <a:lnTo>
                                    <a:pt x="94" y="4779"/>
                                  </a:lnTo>
                                  <a:close/>
                                </a:path>
                              </a:pathLst>
                            </a:custGeom>
                            <a:solidFill>
                              <a:srgbClr val="000000"/>
                            </a:solidFill>
                            <a:ln>
                              <a:noFill/>
                            </a:ln>
                          </wps:spPr>
                          <wps:bodyPr upright="1"/>
                        </wps:wsp>
                        <wps:wsp>
                          <wps:cNvPr id="93" name="任意多边形 93"/>
                          <wps:cNvSpPr/>
                          <wps:spPr>
                            <a:xfrm>
                              <a:off x="0" y="0"/>
                              <a:ext cx="7425" cy="5060"/>
                            </a:xfrm>
                            <a:custGeom>
                              <a:avLst/>
                              <a:gdLst/>
                              <a:ahLst/>
                              <a:cxnLst/>
                              <a:pathLst>
                                <a:path w="7425" h="5060">
                                  <a:moveTo>
                                    <a:pt x="7349" y="4779"/>
                                  </a:moveTo>
                                  <a:lnTo>
                                    <a:pt x="7329" y="4779"/>
                                  </a:lnTo>
                                  <a:lnTo>
                                    <a:pt x="7336" y="4759"/>
                                  </a:lnTo>
                                  <a:lnTo>
                                    <a:pt x="7356" y="4759"/>
                                  </a:lnTo>
                                  <a:lnTo>
                                    <a:pt x="7349" y="4779"/>
                                  </a:lnTo>
                                  <a:close/>
                                </a:path>
                              </a:pathLst>
                            </a:custGeom>
                            <a:solidFill>
                              <a:srgbClr val="000000"/>
                            </a:solidFill>
                            <a:ln>
                              <a:noFill/>
                            </a:ln>
                          </wps:spPr>
                          <wps:bodyPr upright="1"/>
                        </wps:wsp>
                        <wps:wsp>
                          <wps:cNvPr id="94" name="任意多边形 94"/>
                          <wps:cNvSpPr/>
                          <wps:spPr>
                            <a:xfrm>
                              <a:off x="0" y="0"/>
                              <a:ext cx="7425" cy="5060"/>
                            </a:xfrm>
                            <a:custGeom>
                              <a:avLst/>
                              <a:gdLst/>
                              <a:ahLst/>
                              <a:cxnLst/>
                              <a:pathLst>
                                <a:path w="7425" h="5060">
                                  <a:moveTo>
                                    <a:pt x="116" y="4819"/>
                                  </a:moveTo>
                                  <a:lnTo>
                                    <a:pt x="96" y="4819"/>
                                  </a:lnTo>
                                  <a:lnTo>
                                    <a:pt x="89" y="4799"/>
                                  </a:lnTo>
                                  <a:lnTo>
                                    <a:pt x="82" y="4779"/>
                                  </a:lnTo>
                                  <a:lnTo>
                                    <a:pt x="94" y="4779"/>
                                  </a:lnTo>
                                  <a:lnTo>
                                    <a:pt x="102" y="4799"/>
                                  </a:lnTo>
                                  <a:lnTo>
                                    <a:pt x="109" y="4799"/>
                                  </a:lnTo>
                                  <a:lnTo>
                                    <a:pt x="116" y="4819"/>
                                  </a:lnTo>
                                  <a:close/>
                                </a:path>
                              </a:pathLst>
                            </a:custGeom>
                            <a:solidFill>
                              <a:srgbClr val="000000"/>
                            </a:solidFill>
                            <a:ln>
                              <a:noFill/>
                            </a:ln>
                          </wps:spPr>
                          <wps:bodyPr upright="1"/>
                        </wps:wsp>
                        <wps:wsp>
                          <wps:cNvPr id="95" name="任意多边形 95"/>
                          <wps:cNvSpPr/>
                          <wps:spPr>
                            <a:xfrm>
                              <a:off x="0" y="0"/>
                              <a:ext cx="7425" cy="5060"/>
                            </a:xfrm>
                            <a:custGeom>
                              <a:avLst/>
                              <a:gdLst/>
                              <a:ahLst/>
                              <a:cxnLst/>
                              <a:pathLst>
                                <a:path w="7425" h="5060">
                                  <a:moveTo>
                                    <a:pt x="7327" y="4819"/>
                                  </a:moveTo>
                                  <a:lnTo>
                                    <a:pt x="7307" y="4819"/>
                                  </a:lnTo>
                                  <a:lnTo>
                                    <a:pt x="7315" y="4799"/>
                                  </a:lnTo>
                                  <a:lnTo>
                                    <a:pt x="7322" y="4799"/>
                                  </a:lnTo>
                                  <a:lnTo>
                                    <a:pt x="7329" y="4779"/>
                                  </a:lnTo>
                                  <a:lnTo>
                                    <a:pt x="7342" y="4779"/>
                                  </a:lnTo>
                                  <a:lnTo>
                                    <a:pt x="7335" y="4799"/>
                                  </a:lnTo>
                                  <a:lnTo>
                                    <a:pt x="7327" y="4819"/>
                                  </a:lnTo>
                                  <a:close/>
                                </a:path>
                              </a:pathLst>
                            </a:custGeom>
                            <a:solidFill>
                              <a:srgbClr val="000000"/>
                            </a:solidFill>
                            <a:ln>
                              <a:noFill/>
                            </a:ln>
                          </wps:spPr>
                          <wps:bodyPr upright="1"/>
                        </wps:wsp>
                        <wps:wsp>
                          <wps:cNvPr id="96" name="任意多边形 96"/>
                          <wps:cNvSpPr/>
                          <wps:spPr>
                            <a:xfrm>
                              <a:off x="0" y="0"/>
                              <a:ext cx="7425" cy="5060"/>
                            </a:xfrm>
                            <a:custGeom>
                              <a:avLst/>
                              <a:gdLst/>
                              <a:ahLst/>
                              <a:cxnLst/>
                              <a:pathLst>
                                <a:path w="7425" h="5060">
                                  <a:moveTo>
                                    <a:pt x="132" y="4839"/>
                                  </a:moveTo>
                                  <a:lnTo>
                                    <a:pt x="112" y="4839"/>
                                  </a:lnTo>
                                  <a:lnTo>
                                    <a:pt x="104" y="4819"/>
                                  </a:lnTo>
                                  <a:lnTo>
                                    <a:pt x="124" y="4819"/>
                                  </a:lnTo>
                                  <a:lnTo>
                                    <a:pt x="132" y="4839"/>
                                  </a:lnTo>
                                  <a:close/>
                                </a:path>
                              </a:pathLst>
                            </a:custGeom>
                            <a:solidFill>
                              <a:srgbClr val="000000"/>
                            </a:solidFill>
                            <a:ln>
                              <a:noFill/>
                            </a:ln>
                          </wps:spPr>
                          <wps:bodyPr upright="1"/>
                        </wps:wsp>
                        <wps:wsp>
                          <wps:cNvPr id="97" name="任意多边形 97"/>
                          <wps:cNvSpPr/>
                          <wps:spPr>
                            <a:xfrm>
                              <a:off x="0" y="0"/>
                              <a:ext cx="7425" cy="5060"/>
                            </a:xfrm>
                            <a:custGeom>
                              <a:avLst/>
                              <a:gdLst/>
                              <a:ahLst/>
                              <a:cxnLst/>
                              <a:pathLst>
                                <a:path w="7425" h="5060">
                                  <a:moveTo>
                                    <a:pt x="7311" y="4839"/>
                                  </a:moveTo>
                                  <a:lnTo>
                                    <a:pt x="7291" y="4839"/>
                                  </a:lnTo>
                                  <a:lnTo>
                                    <a:pt x="7299" y="4819"/>
                                  </a:lnTo>
                                  <a:lnTo>
                                    <a:pt x="7319" y="4819"/>
                                  </a:lnTo>
                                  <a:lnTo>
                                    <a:pt x="7311" y="4839"/>
                                  </a:lnTo>
                                  <a:close/>
                                </a:path>
                              </a:pathLst>
                            </a:custGeom>
                            <a:solidFill>
                              <a:srgbClr val="000000"/>
                            </a:solidFill>
                            <a:ln>
                              <a:noFill/>
                            </a:ln>
                          </wps:spPr>
                          <wps:bodyPr upright="1"/>
                        </wps:wsp>
                        <wps:wsp>
                          <wps:cNvPr id="98" name="任意多边形 98"/>
                          <wps:cNvSpPr/>
                          <wps:spPr>
                            <a:xfrm>
                              <a:off x="0" y="0"/>
                              <a:ext cx="7425" cy="5060"/>
                            </a:xfrm>
                            <a:custGeom>
                              <a:avLst/>
                              <a:gdLst/>
                              <a:ahLst/>
                              <a:cxnLst/>
                              <a:pathLst>
                                <a:path w="7425" h="5060">
                                  <a:moveTo>
                                    <a:pt x="149" y="4859"/>
                                  </a:moveTo>
                                  <a:lnTo>
                                    <a:pt x="129" y="4859"/>
                                  </a:lnTo>
                                  <a:lnTo>
                                    <a:pt x="121" y="4839"/>
                                  </a:lnTo>
                                  <a:lnTo>
                                    <a:pt x="141" y="4839"/>
                                  </a:lnTo>
                                  <a:lnTo>
                                    <a:pt x="149" y="4859"/>
                                  </a:lnTo>
                                  <a:close/>
                                </a:path>
                              </a:pathLst>
                            </a:custGeom>
                            <a:solidFill>
                              <a:srgbClr val="000000"/>
                            </a:solidFill>
                            <a:ln>
                              <a:noFill/>
                            </a:ln>
                          </wps:spPr>
                          <wps:bodyPr upright="1"/>
                        </wps:wsp>
                        <wps:wsp>
                          <wps:cNvPr id="99" name="任意多边形 99"/>
                          <wps:cNvSpPr/>
                          <wps:spPr>
                            <a:xfrm>
                              <a:off x="0" y="0"/>
                              <a:ext cx="7425" cy="5060"/>
                            </a:xfrm>
                            <a:custGeom>
                              <a:avLst/>
                              <a:gdLst/>
                              <a:ahLst/>
                              <a:cxnLst/>
                              <a:pathLst>
                                <a:path w="7425" h="5060">
                                  <a:moveTo>
                                    <a:pt x="7294" y="4859"/>
                                  </a:moveTo>
                                  <a:lnTo>
                                    <a:pt x="7274" y="4859"/>
                                  </a:lnTo>
                                  <a:lnTo>
                                    <a:pt x="7283" y="4839"/>
                                  </a:lnTo>
                                  <a:lnTo>
                                    <a:pt x="7303" y="4839"/>
                                  </a:lnTo>
                                  <a:lnTo>
                                    <a:pt x="7294" y="4859"/>
                                  </a:lnTo>
                                  <a:close/>
                                </a:path>
                              </a:pathLst>
                            </a:custGeom>
                            <a:solidFill>
                              <a:srgbClr val="000000"/>
                            </a:solidFill>
                            <a:ln>
                              <a:noFill/>
                            </a:ln>
                          </wps:spPr>
                          <wps:bodyPr upright="1"/>
                        </wps:wsp>
                        <wps:wsp>
                          <wps:cNvPr id="100" name="任意多边形 100"/>
                          <wps:cNvSpPr/>
                          <wps:spPr>
                            <a:xfrm>
                              <a:off x="0" y="0"/>
                              <a:ext cx="7425" cy="5060"/>
                            </a:xfrm>
                            <a:custGeom>
                              <a:avLst/>
                              <a:gdLst/>
                              <a:ahLst/>
                              <a:cxnLst/>
                              <a:pathLst>
                                <a:path w="7425" h="5060">
                                  <a:moveTo>
                                    <a:pt x="167" y="4879"/>
                                  </a:moveTo>
                                  <a:lnTo>
                                    <a:pt x="147" y="4879"/>
                                  </a:lnTo>
                                  <a:lnTo>
                                    <a:pt x="138" y="4859"/>
                                  </a:lnTo>
                                  <a:lnTo>
                                    <a:pt x="158" y="4859"/>
                                  </a:lnTo>
                                  <a:lnTo>
                                    <a:pt x="167" y="4879"/>
                                  </a:lnTo>
                                  <a:close/>
                                </a:path>
                              </a:pathLst>
                            </a:custGeom>
                            <a:solidFill>
                              <a:srgbClr val="000000"/>
                            </a:solidFill>
                            <a:ln>
                              <a:noFill/>
                            </a:ln>
                          </wps:spPr>
                          <wps:bodyPr upright="1"/>
                        </wps:wsp>
                        <wps:wsp>
                          <wps:cNvPr id="101" name="任意多边形 101"/>
                          <wps:cNvSpPr/>
                          <wps:spPr>
                            <a:xfrm>
                              <a:off x="0" y="0"/>
                              <a:ext cx="7425" cy="5060"/>
                            </a:xfrm>
                            <a:custGeom>
                              <a:avLst/>
                              <a:gdLst/>
                              <a:ahLst/>
                              <a:cxnLst/>
                              <a:pathLst>
                                <a:path w="7425" h="5060">
                                  <a:moveTo>
                                    <a:pt x="7277" y="4879"/>
                                  </a:moveTo>
                                  <a:lnTo>
                                    <a:pt x="7256" y="4879"/>
                                  </a:lnTo>
                                  <a:lnTo>
                                    <a:pt x="7265" y="4859"/>
                                  </a:lnTo>
                                  <a:lnTo>
                                    <a:pt x="7286" y="4859"/>
                                  </a:lnTo>
                                  <a:lnTo>
                                    <a:pt x="7277" y="4879"/>
                                  </a:lnTo>
                                  <a:close/>
                                </a:path>
                              </a:pathLst>
                            </a:custGeom>
                            <a:solidFill>
                              <a:srgbClr val="000000"/>
                            </a:solidFill>
                            <a:ln>
                              <a:noFill/>
                            </a:ln>
                          </wps:spPr>
                          <wps:bodyPr upright="1"/>
                        </wps:wsp>
                        <wps:wsp>
                          <wps:cNvPr id="102" name="任意多边形 102"/>
                          <wps:cNvSpPr/>
                          <wps:spPr>
                            <a:xfrm>
                              <a:off x="0" y="0"/>
                              <a:ext cx="7425" cy="5060"/>
                            </a:xfrm>
                            <a:custGeom>
                              <a:avLst/>
                              <a:gdLst/>
                              <a:ahLst/>
                              <a:cxnLst/>
                              <a:pathLst>
                                <a:path w="7425" h="5060">
                                  <a:moveTo>
                                    <a:pt x="186" y="4899"/>
                                  </a:moveTo>
                                  <a:lnTo>
                                    <a:pt x="166" y="4899"/>
                                  </a:lnTo>
                                  <a:lnTo>
                                    <a:pt x="156" y="4879"/>
                                  </a:lnTo>
                                  <a:lnTo>
                                    <a:pt x="176" y="4879"/>
                                  </a:lnTo>
                                  <a:lnTo>
                                    <a:pt x="186" y="4899"/>
                                  </a:lnTo>
                                  <a:close/>
                                </a:path>
                              </a:pathLst>
                            </a:custGeom>
                            <a:solidFill>
                              <a:srgbClr val="000000"/>
                            </a:solidFill>
                            <a:ln>
                              <a:noFill/>
                            </a:ln>
                          </wps:spPr>
                          <wps:bodyPr upright="1"/>
                        </wps:wsp>
                        <wps:wsp>
                          <wps:cNvPr id="103" name="任意多边形 103"/>
                          <wps:cNvSpPr/>
                          <wps:spPr>
                            <a:xfrm>
                              <a:off x="0" y="0"/>
                              <a:ext cx="7425" cy="5060"/>
                            </a:xfrm>
                            <a:custGeom>
                              <a:avLst/>
                              <a:gdLst/>
                              <a:ahLst/>
                              <a:cxnLst/>
                              <a:pathLst>
                                <a:path w="7425" h="5060">
                                  <a:moveTo>
                                    <a:pt x="7258" y="4899"/>
                                  </a:moveTo>
                                  <a:lnTo>
                                    <a:pt x="7238" y="4899"/>
                                  </a:lnTo>
                                  <a:lnTo>
                                    <a:pt x="7247" y="4879"/>
                                  </a:lnTo>
                                  <a:lnTo>
                                    <a:pt x="7267" y="4879"/>
                                  </a:lnTo>
                                  <a:lnTo>
                                    <a:pt x="7258" y="4899"/>
                                  </a:lnTo>
                                  <a:close/>
                                </a:path>
                              </a:pathLst>
                            </a:custGeom>
                            <a:solidFill>
                              <a:srgbClr val="000000"/>
                            </a:solidFill>
                            <a:ln>
                              <a:noFill/>
                            </a:ln>
                          </wps:spPr>
                          <wps:bodyPr upright="1"/>
                        </wps:wsp>
                        <wps:wsp>
                          <wps:cNvPr id="104" name="任意多边形 104"/>
                          <wps:cNvSpPr/>
                          <wps:spPr>
                            <a:xfrm>
                              <a:off x="0" y="0"/>
                              <a:ext cx="7425" cy="5060"/>
                            </a:xfrm>
                            <a:custGeom>
                              <a:avLst/>
                              <a:gdLst/>
                              <a:ahLst/>
                              <a:cxnLst/>
                              <a:pathLst>
                                <a:path w="7425" h="5060">
                                  <a:moveTo>
                                    <a:pt x="206" y="4919"/>
                                  </a:moveTo>
                                  <a:lnTo>
                                    <a:pt x="186" y="4919"/>
                                  </a:lnTo>
                                  <a:lnTo>
                                    <a:pt x="176" y="4899"/>
                                  </a:lnTo>
                                  <a:lnTo>
                                    <a:pt x="196" y="4899"/>
                                  </a:lnTo>
                                  <a:lnTo>
                                    <a:pt x="206" y="4919"/>
                                  </a:lnTo>
                                  <a:close/>
                                </a:path>
                              </a:pathLst>
                            </a:custGeom>
                            <a:solidFill>
                              <a:srgbClr val="000000"/>
                            </a:solidFill>
                            <a:ln>
                              <a:noFill/>
                            </a:ln>
                          </wps:spPr>
                          <wps:bodyPr upright="1"/>
                        </wps:wsp>
                        <wps:wsp>
                          <wps:cNvPr id="105" name="任意多边形 105"/>
                          <wps:cNvSpPr/>
                          <wps:spPr>
                            <a:xfrm>
                              <a:off x="0" y="0"/>
                              <a:ext cx="7425" cy="5060"/>
                            </a:xfrm>
                            <a:custGeom>
                              <a:avLst/>
                              <a:gdLst/>
                              <a:ahLst/>
                              <a:cxnLst/>
                              <a:pathLst>
                                <a:path w="7425" h="5060">
                                  <a:moveTo>
                                    <a:pt x="7238" y="4919"/>
                                  </a:moveTo>
                                  <a:lnTo>
                                    <a:pt x="7218" y="4919"/>
                                  </a:lnTo>
                                  <a:lnTo>
                                    <a:pt x="7228" y="4899"/>
                                  </a:lnTo>
                                  <a:lnTo>
                                    <a:pt x="7248" y="4899"/>
                                  </a:lnTo>
                                  <a:lnTo>
                                    <a:pt x="7238" y="4919"/>
                                  </a:lnTo>
                                  <a:close/>
                                </a:path>
                              </a:pathLst>
                            </a:custGeom>
                            <a:solidFill>
                              <a:srgbClr val="000000"/>
                            </a:solidFill>
                            <a:ln>
                              <a:noFill/>
                            </a:ln>
                          </wps:spPr>
                          <wps:bodyPr upright="1"/>
                        </wps:wsp>
                        <wps:wsp>
                          <wps:cNvPr id="106" name="任意多边形 106"/>
                          <wps:cNvSpPr/>
                          <wps:spPr>
                            <a:xfrm>
                              <a:off x="0" y="0"/>
                              <a:ext cx="7425" cy="5060"/>
                            </a:xfrm>
                            <a:custGeom>
                              <a:avLst/>
                              <a:gdLst/>
                              <a:ahLst/>
                              <a:cxnLst/>
                              <a:pathLst>
                                <a:path w="7425" h="5060">
                                  <a:moveTo>
                                    <a:pt x="237" y="4939"/>
                                  </a:moveTo>
                                  <a:lnTo>
                                    <a:pt x="206" y="4939"/>
                                  </a:lnTo>
                                  <a:lnTo>
                                    <a:pt x="196" y="4919"/>
                                  </a:lnTo>
                                  <a:lnTo>
                                    <a:pt x="226" y="4919"/>
                                  </a:lnTo>
                                  <a:lnTo>
                                    <a:pt x="237" y="4939"/>
                                  </a:lnTo>
                                  <a:close/>
                                </a:path>
                              </a:pathLst>
                            </a:custGeom>
                            <a:solidFill>
                              <a:srgbClr val="000000"/>
                            </a:solidFill>
                            <a:ln>
                              <a:noFill/>
                            </a:ln>
                          </wps:spPr>
                          <wps:bodyPr upright="1"/>
                        </wps:wsp>
                        <wps:wsp>
                          <wps:cNvPr id="107" name="任意多边形 107"/>
                          <wps:cNvSpPr/>
                          <wps:spPr>
                            <a:xfrm>
                              <a:off x="0" y="0"/>
                              <a:ext cx="7425" cy="5060"/>
                            </a:xfrm>
                            <a:custGeom>
                              <a:avLst/>
                              <a:gdLst/>
                              <a:ahLst/>
                              <a:cxnLst/>
                              <a:pathLst>
                                <a:path w="7425" h="5060">
                                  <a:moveTo>
                                    <a:pt x="7217" y="4939"/>
                                  </a:moveTo>
                                  <a:lnTo>
                                    <a:pt x="7187" y="4939"/>
                                  </a:lnTo>
                                  <a:lnTo>
                                    <a:pt x="7198" y="4919"/>
                                  </a:lnTo>
                                  <a:lnTo>
                                    <a:pt x="7228" y="4919"/>
                                  </a:lnTo>
                                  <a:lnTo>
                                    <a:pt x="7217" y="4939"/>
                                  </a:lnTo>
                                  <a:close/>
                                </a:path>
                              </a:pathLst>
                            </a:custGeom>
                            <a:solidFill>
                              <a:srgbClr val="000000"/>
                            </a:solidFill>
                            <a:ln>
                              <a:noFill/>
                            </a:ln>
                          </wps:spPr>
                          <wps:bodyPr upright="1"/>
                        </wps:wsp>
                        <wps:wsp>
                          <wps:cNvPr id="108" name="任意多边形 108"/>
                          <wps:cNvSpPr/>
                          <wps:spPr>
                            <a:xfrm>
                              <a:off x="0" y="0"/>
                              <a:ext cx="7425" cy="5060"/>
                            </a:xfrm>
                            <a:custGeom>
                              <a:avLst/>
                              <a:gdLst/>
                              <a:ahLst/>
                              <a:cxnLst/>
                              <a:pathLst>
                                <a:path w="7425" h="5060">
                                  <a:moveTo>
                                    <a:pt x="258" y="4959"/>
                                  </a:moveTo>
                                  <a:lnTo>
                                    <a:pt x="239" y="4959"/>
                                  </a:lnTo>
                                  <a:lnTo>
                                    <a:pt x="228" y="4939"/>
                                  </a:lnTo>
                                  <a:lnTo>
                                    <a:pt x="247" y="4939"/>
                                  </a:lnTo>
                                  <a:lnTo>
                                    <a:pt x="258" y="4959"/>
                                  </a:lnTo>
                                  <a:close/>
                                </a:path>
                              </a:pathLst>
                            </a:custGeom>
                            <a:solidFill>
                              <a:srgbClr val="000000"/>
                            </a:solidFill>
                            <a:ln>
                              <a:noFill/>
                            </a:ln>
                          </wps:spPr>
                          <wps:bodyPr upright="1"/>
                        </wps:wsp>
                        <wps:wsp>
                          <wps:cNvPr id="109" name="任意多边形 109"/>
                          <wps:cNvSpPr/>
                          <wps:spPr>
                            <a:xfrm>
                              <a:off x="0" y="0"/>
                              <a:ext cx="7425" cy="5060"/>
                            </a:xfrm>
                            <a:custGeom>
                              <a:avLst/>
                              <a:gdLst/>
                              <a:ahLst/>
                              <a:cxnLst/>
                              <a:pathLst>
                                <a:path w="7425" h="5060">
                                  <a:moveTo>
                                    <a:pt x="7185" y="4959"/>
                                  </a:moveTo>
                                  <a:lnTo>
                                    <a:pt x="7165" y="4959"/>
                                  </a:lnTo>
                                  <a:lnTo>
                                    <a:pt x="7176" y="4939"/>
                                  </a:lnTo>
                                  <a:lnTo>
                                    <a:pt x="7196" y="4939"/>
                                  </a:lnTo>
                                  <a:lnTo>
                                    <a:pt x="7185" y="4959"/>
                                  </a:lnTo>
                                  <a:close/>
                                </a:path>
                              </a:pathLst>
                            </a:custGeom>
                            <a:solidFill>
                              <a:srgbClr val="000000"/>
                            </a:solidFill>
                            <a:ln>
                              <a:noFill/>
                            </a:ln>
                          </wps:spPr>
                          <wps:bodyPr upright="1"/>
                        </wps:wsp>
                        <wps:wsp>
                          <wps:cNvPr id="110" name="任意多边形 110"/>
                          <wps:cNvSpPr/>
                          <wps:spPr>
                            <a:xfrm>
                              <a:off x="0" y="0"/>
                              <a:ext cx="7425" cy="5060"/>
                            </a:xfrm>
                            <a:custGeom>
                              <a:avLst/>
                              <a:gdLst/>
                              <a:ahLst/>
                              <a:cxnLst/>
                              <a:pathLst>
                                <a:path w="7425" h="5060">
                                  <a:moveTo>
                                    <a:pt x="292" y="4979"/>
                                  </a:moveTo>
                                  <a:lnTo>
                                    <a:pt x="261" y="4979"/>
                                  </a:lnTo>
                                  <a:lnTo>
                                    <a:pt x="250" y="4959"/>
                                  </a:lnTo>
                                  <a:lnTo>
                                    <a:pt x="281" y="4959"/>
                                  </a:lnTo>
                                  <a:lnTo>
                                    <a:pt x="292" y="4979"/>
                                  </a:lnTo>
                                  <a:close/>
                                </a:path>
                              </a:pathLst>
                            </a:custGeom>
                            <a:solidFill>
                              <a:srgbClr val="000000"/>
                            </a:solidFill>
                            <a:ln>
                              <a:noFill/>
                            </a:ln>
                          </wps:spPr>
                          <wps:bodyPr upright="1"/>
                        </wps:wsp>
                        <wps:wsp>
                          <wps:cNvPr id="111" name="任意多边形 111"/>
                          <wps:cNvSpPr/>
                          <wps:spPr>
                            <a:xfrm>
                              <a:off x="0" y="0"/>
                              <a:ext cx="7425" cy="5060"/>
                            </a:xfrm>
                            <a:custGeom>
                              <a:avLst/>
                              <a:gdLst/>
                              <a:ahLst/>
                              <a:cxnLst/>
                              <a:pathLst>
                                <a:path w="7425" h="5060">
                                  <a:moveTo>
                                    <a:pt x="7162" y="4979"/>
                                  </a:moveTo>
                                  <a:lnTo>
                                    <a:pt x="7131" y="4979"/>
                                  </a:lnTo>
                                  <a:lnTo>
                                    <a:pt x="7143" y="4959"/>
                                  </a:lnTo>
                                  <a:lnTo>
                                    <a:pt x="7174" y="4959"/>
                                  </a:lnTo>
                                  <a:lnTo>
                                    <a:pt x="7162" y="4979"/>
                                  </a:lnTo>
                                  <a:close/>
                                </a:path>
                              </a:pathLst>
                            </a:custGeom>
                            <a:solidFill>
                              <a:srgbClr val="000000"/>
                            </a:solidFill>
                            <a:ln>
                              <a:noFill/>
                            </a:ln>
                          </wps:spPr>
                          <wps:bodyPr upright="1"/>
                        </wps:wsp>
                        <wps:wsp>
                          <wps:cNvPr id="112" name="任意多边形 112"/>
                          <wps:cNvSpPr/>
                          <wps:spPr>
                            <a:xfrm>
                              <a:off x="0" y="0"/>
                              <a:ext cx="7425" cy="5060"/>
                            </a:xfrm>
                            <a:custGeom>
                              <a:avLst/>
                              <a:gdLst/>
                              <a:ahLst/>
                              <a:cxnLst/>
                              <a:pathLst>
                                <a:path w="7425" h="5060">
                                  <a:moveTo>
                                    <a:pt x="328" y="4999"/>
                                  </a:moveTo>
                                  <a:lnTo>
                                    <a:pt x="297" y="4999"/>
                                  </a:lnTo>
                                  <a:lnTo>
                                    <a:pt x="285" y="4979"/>
                                  </a:lnTo>
                                  <a:lnTo>
                                    <a:pt x="316" y="4979"/>
                                  </a:lnTo>
                                  <a:lnTo>
                                    <a:pt x="328" y="4999"/>
                                  </a:lnTo>
                                  <a:close/>
                                </a:path>
                              </a:pathLst>
                            </a:custGeom>
                            <a:solidFill>
                              <a:srgbClr val="000000"/>
                            </a:solidFill>
                            <a:ln>
                              <a:noFill/>
                            </a:ln>
                          </wps:spPr>
                          <wps:bodyPr upright="1"/>
                        </wps:wsp>
                        <wps:wsp>
                          <wps:cNvPr id="113" name="任意多边形 113"/>
                          <wps:cNvSpPr/>
                          <wps:spPr>
                            <a:xfrm>
                              <a:off x="0" y="0"/>
                              <a:ext cx="7425" cy="5060"/>
                            </a:xfrm>
                            <a:custGeom>
                              <a:avLst/>
                              <a:gdLst/>
                              <a:ahLst/>
                              <a:cxnLst/>
                              <a:pathLst>
                                <a:path w="7425" h="5060">
                                  <a:moveTo>
                                    <a:pt x="7127" y="4999"/>
                                  </a:moveTo>
                                  <a:lnTo>
                                    <a:pt x="7096" y="4999"/>
                                  </a:lnTo>
                                  <a:lnTo>
                                    <a:pt x="7108" y="4979"/>
                                  </a:lnTo>
                                  <a:lnTo>
                                    <a:pt x="7139" y="4979"/>
                                  </a:lnTo>
                                  <a:lnTo>
                                    <a:pt x="7127" y="4999"/>
                                  </a:lnTo>
                                  <a:close/>
                                </a:path>
                              </a:pathLst>
                            </a:custGeom>
                            <a:solidFill>
                              <a:srgbClr val="000000"/>
                            </a:solidFill>
                            <a:ln>
                              <a:noFill/>
                            </a:ln>
                          </wps:spPr>
                          <wps:bodyPr upright="1"/>
                        </wps:wsp>
                        <wps:wsp>
                          <wps:cNvPr id="114" name="任意多边形 114"/>
                          <wps:cNvSpPr/>
                          <wps:spPr>
                            <a:xfrm>
                              <a:off x="0" y="0"/>
                              <a:ext cx="7425" cy="5060"/>
                            </a:xfrm>
                            <a:custGeom>
                              <a:avLst/>
                              <a:gdLst/>
                              <a:ahLst/>
                              <a:cxnLst/>
                              <a:pathLst>
                                <a:path w="7425" h="5060">
                                  <a:moveTo>
                                    <a:pt x="378" y="5019"/>
                                  </a:moveTo>
                                  <a:lnTo>
                                    <a:pt x="334" y="5019"/>
                                  </a:lnTo>
                                  <a:lnTo>
                                    <a:pt x="321" y="4999"/>
                                  </a:lnTo>
                                  <a:lnTo>
                                    <a:pt x="365" y="4999"/>
                                  </a:lnTo>
                                  <a:lnTo>
                                    <a:pt x="378" y="5019"/>
                                  </a:lnTo>
                                  <a:close/>
                                </a:path>
                              </a:pathLst>
                            </a:custGeom>
                            <a:solidFill>
                              <a:srgbClr val="000000"/>
                            </a:solidFill>
                            <a:ln>
                              <a:noFill/>
                            </a:ln>
                          </wps:spPr>
                          <wps:bodyPr upright="1"/>
                        </wps:wsp>
                        <wps:wsp>
                          <wps:cNvPr id="115" name="任意多边形 115"/>
                          <wps:cNvSpPr/>
                          <wps:spPr>
                            <a:xfrm>
                              <a:off x="0" y="0"/>
                              <a:ext cx="7425" cy="5060"/>
                            </a:xfrm>
                            <a:custGeom>
                              <a:avLst/>
                              <a:gdLst/>
                              <a:ahLst/>
                              <a:cxnLst/>
                              <a:pathLst>
                                <a:path w="7425" h="5060">
                                  <a:moveTo>
                                    <a:pt x="7090" y="5019"/>
                                  </a:moveTo>
                                  <a:lnTo>
                                    <a:pt x="7046" y="5019"/>
                                  </a:lnTo>
                                  <a:lnTo>
                                    <a:pt x="7059" y="4999"/>
                                  </a:lnTo>
                                  <a:lnTo>
                                    <a:pt x="7102" y="4999"/>
                                  </a:lnTo>
                                  <a:lnTo>
                                    <a:pt x="7090" y="5019"/>
                                  </a:lnTo>
                                  <a:close/>
                                </a:path>
                              </a:pathLst>
                            </a:custGeom>
                            <a:solidFill>
                              <a:srgbClr val="000000"/>
                            </a:solidFill>
                            <a:ln>
                              <a:noFill/>
                            </a:ln>
                          </wps:spPr>
                          <wps:bodyPr upright="1"/>
                        </wps:wsp>
                        <wps:wsp>
                          <wps:cNvPr id="116" name="任意多边形 116"/>
                          <wps:cNvSpPr/>
                          <wps:spPr>
                            <a:xfrm>
                              <a:off x="0" y="0"/>
                              <a:ext cx="7425" cy="5060"/>
                            </a:xfrm>
                            <a:custGeom>
                              <a:avLst/>
                              <a:gdLst/>
                              <a:ahLst/>
                              <a:cxnLst/>
                              <a:pathLst>
                                <a:path w="7425" h="5060">
                                  <a:moveTo>
                                    <a:pt x="443" y="5039"/>
                                  </a:moveTo>
                                  <a:lnTo>
                                    <a:pt x="385" y="5039"/>
                                  </a:lnTo>
                                  <a:lnTo>
                                    <a:pt x="372" y="5019"/>
                                  </a:lnTo>
                                  <a:lnTo>
                                    <a:pt x="429" y="5019"/>
                                  </a:lnTo>
                                  <a:lnTo>
                                    <a:pt x="443" y="5039"/>
                                  </a:lnTo>
                                  <a:close/>
                                </a:path>
                              </a:pathLst>
                            </a:custGeom>
                            <a:solidFill>
                              <a:srgbClr val="000000"/>
                            </a:solidFill>
                            <a:ln>
                              <a:noFill/>
                            </a:ln>
                          </wps:spPr>
                          <wps:bodyPr upright="1"/>
                        </wps:wsp>
                        <wps:wsp>
                          <wps:cNvPr id="117" name="任意多边形 117"/>
                          <wps:cNvSpPr/>
                          <wps:spPr>
                            <a:xfrm>
                              <a:off x="0" y="0"/>
                              <a:ext cx="7425" cy="5060"/>
                            </a:xfrm>
                            <a:custGeom>
                              <a:avLst/>
                              <a:gdLst/>
                              <a:ahLst/>
                              <a:cxnLst/>
                              <a:pathLst>
                                <a:path w="7425" h="5060">
                                  <a:moveTo>
                                    <a:pt x="7038" y="5039"/>
                                  </a:moveTo>
                                  <a:lnTo>
                                    <a:pt x="6981" y="5039"/>
                                  </a:lnTo>
                                  <a:lnTo>
                                    <a:pt x="6994" y="5019"/>
                                  </a:lnTo>
                                  <a:lnTo>
                                    <a:pt x="7051" y="5019"/>
                                  </a:lnTo>
                                  <a:lnTo>
                                    <a:pt x="7038" y="5039"/>
                                  </a:lnTo>
                                  <a:close/>
                                </a:path>
                              </a:pathLst>
                            </a:custGeom>
                            <a:solidFill>
                              <a:srgbClr val="000000"/>
                            </a:solidFill>
                            <a:ln>
                              <a:noFill/>
                            </a:ln>
                          </wps:spPr>
                          <wps:bodyPr upright="1"/>
                        </wps:wsp>
                        <wps:wsp>
                          <wps:cNvPr id="118" name="任意多边形 118"/>
                          <wps:cNvSpPr/>
                          <wps:spPr>
                            <a:xfrm>
                              <a:off x="0" y="0"/>
                              <a:ext cx="7425" cy="5060"/>
                            </a:xfrm>
                            <a:custGeom>
                              <a:avLst/>
                              <a:gdLst/>
                              <a:ahLst/>
                              <a:cxnLst/>
                              <a:pathLst>
                                <a:path w="7425" h="5060">
                                  <a:moveTo>
                                    <a:pt x="6956" y="5059"/>
                                  </a:moveTo>
                                  <a:lnTo>
                                    <a:pt x="467" y="5059"/>
                                  </a:lnTo>
                                  <a:lnTo>
                                    <a:pt x="453" y="5039"/>
                                  </a:lnTo>
                                  <a:lnTo>
                                    <a:pt x="6970" y="5039"/>
                                  </a:lnTo>
                                  <a:lnTo>
                                    <a:pt x="6956" y="5059"/>
                                  </a:lnTo>
                                  <a:close/>
                                </a:path>
                              </a:pathLst>
                            </a:custGeom>
                            <a:solidFill>
                              <a:srgbClr val="000000"/>
                            </a:solidFill>
                            <a:ln>
                              <a:noFill/>
                            </a:ln>
                          </wps:spPr>
                          <wps:bodyPr upright="1"/>
                        </wps:wsp>
                      </wpg:grpSp>
                    </wpg:wgp>
                  </a:graphicData>
                </a:graphic>
              </wp:inline>
            </w:drawing>
          </mc:Choice>
          <mc:Fallback>
            <w:pict>
              <v:group id="_x0000_s1026" o:spid="_x0000_s1026" o:spt="203" style="height:253pt;width:448.5pt;" coordsize="7425,5060" o:gfxdata="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">
                <o:lock v:ext="edit" rotation="t" aspectratio="f"/>
                <v:group id="_x0000_s1026" o:spid="_x0000_s1026" o:spt="203" style="position:absolute;left:0;top:0;height:5060;width:7425;" coordsize="7425,5060"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shape id="_x0000_s1026" o:spid="_x0000_s1026" o:spt="100" style="position:absolute;left:0;top:0;height:5060;width:7425;" fillcolor="#000000" filled="t" stroked="f" coordsize="7425,5060" o:gfxdata="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LQ92S5AAAA2wAA&#10;AA8AAAAAAAAAAQAgAAAAIgAAAGRycy9kb3ducmV2LnhtbFBLAQIUABQAAAAIAIdO4kAzLwWeOwAA&#10;ADkAAAAQAAAAAAAAAAEAIAAAAAgBAABkcnMvc2hhcGV4bWwueG1sUEsFBgAAAAAGAAYAWwEAALID&#10;AAAAAA==&#10;" path="m483,19l412,19,426,0,497,0,483,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nZxS/70AAADb&#10;AAAADwAAAGRycy9kb3ducmV2LnhtbEWPT4vCMBTE78J+h/AWvIimFZWlGkUWBA8Vsbr3R/Nsi81L&#10;aLL+2U+/EQSPw8z8hlms7qYVV+p8Y1lBOkpAEJdWN1wpOB03wy8QPiBrbC2Tggd5WC0/egvMtL3x&#10;ga5FqESEsM9QQR2Cy6T0ZU0G/cg64uidbWcwRNlVUnd4i3DTynGSzKTBhuNCjY6+ayovxa9R8FPk&#10;+Z/bDNx2tx/74PP1bEprpfqfaTIHEege3uFXe6sVTFJ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nFL/vQAA&#10;ANsAAAAPAAAAAAAAAAEAIAAAACIAAABkcnMvZG93bnJldi54bWxQSwECFAAUAAAACACHTuJAMy8F&#10;njsAAAA5AAAAEAAAAAAAAAABACAAAAAMAQAAZHJzL3NoYXBleG1sLnhtbFBLBQYAAAAABgAGAFsB&#10;AAC2AwAAAAA=&#10;" path="m7011,19l6940,19,6926,0,6998,0,7011,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bU7MiLwAAADb&#10;AAAADwAAAGRycy9kb3ducmV2LnhtbEWPT4vCMBTE7wt+h/AEL4umFlekGkUEwUNl2ar3R/Nsi81L&#10;aOLfT28WFvY4zMxvmMXqYVpxo843lhWMRwkI4tLqhisFx8N2OAPhA7LG1jIpeJKH1bL3scBM2zv/&#10;0K0IlYgQ9hkqqENwmZS+rMmgH1lHHL2z7QyGKLtK6g7vEW5amSbJVBpsOC7U6GhTU3kprkbBqcjz&#10;l9t+ut3+O/XB5+vpF62VGvTHyRxEoEf4D/+1d1rBJI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1OzIi8AAAA&#10;2wAAAA8AAAAAAAAAAQAgAAAAIgAAAGRycy9kb3ducmV2LnhtbFBLAQIUABQAAAAIAIdO4kAzLwWe&#10;OwAAADkAAAAQAAAAAAAAAAEAIAAAAAsBAABkcnMvc2hhcGV4bWwueG1sUEsFBgAAAAAGAAYAWwEA&#10;ALUDAAAAAA==&#10;" path="m390,39l346,39,359,19,403,19,390,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AgJpE74AAADb&#10;AAAADwAAAGRycy9kb3ducmV2LnhtbEWPQWvCQBSE7wX/w/IKvZS6MVaR1FVEEDykFGO9P7KvSWj2&#10;7ZLdJtFf7xYKPQ4z8w2z3o6mFT11vrGsYDZNQBCXVjdcKfg8H15WIHxA1thaJgVX8rDdTB7WmGk7&#10;8In6IlQiQthnqKAOwWVS+rImg35qHXH0vmxnMETZVVJ3OES4aWWaJEtpsOG4UKOjfU3ld/FjFFyK&#10;PL+5w7M7vn+kPvh8t1zQTqmnx1nyBiLQGP7Df+2jVvA6h98v8Qf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JpE74A&#10;AADbAAAADwAAAAAAAAABACAAAAAiAAAAZHJzL2Rvd25yZXYueG1sUEsBAhQAFAAAAAgAh07iQDMv&#10;BZ47AAAAOQAAABAAAAAAAAAAAQAgAAAADQEAAGRycy9zaGFwZXhtbC54bWxQSwUGAAAAAAYABgBb&#10;AQAAtwMAAAAA&#10;" path="m7077,39l7033,39,7020,19,7064,19,7077,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jevxZ74AAADb&#10;AAAADwAAAGRycy9kb3ducmV2LnhtbEWPQWvCQBSE7wX/w/KEXorZJFiR6CoiBDykSGN7f2SfSTD7&#10;dslu1fbXd4VCj8PMfMOst3cziCuNvresIEtSEMSN1T23Cj5O5WwJwgdkjYNlUvBNHrabydMaC21v&#10;/E7XOrQiQtgXqKALwRVS+qYjgz6xjjh6ZzsaDFGOrdQj3iLcDDJP04U02HNc6NDRvqPmUn8ZBZ91&#10;Vf248sUd3o65D77aLV5pp9TzNEtXIALdw3/4r33QCuZzeHyJP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vxZ74A&#10;AADbAAAADwAAAAAAAAABACAAAAAiAAAAZHJzL2Rvd25yZXYueG1sUEsBAhQAFAAAAAgAh07iQDMv&#10;BZ47AAAAOQAAABAAAAAAAAAAAQAgAAAADQEAAGRycy9zaGFwZXhtbC54bWxQSwUGAAAAAAYABgBb&#10;AQAAtwMAAAAA&#10;" path="m340,59l309,59,321,39,352,39,340,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4qdU/LwAAADb&#10;AAAADwAAAGRycy9kb3ducmV2LnhtbEWPT4vCMBTE78J+h/AWvIimihbpGkUWBA8Vse7eH83btmzz&#10;Epr499MbQfA4zMxvmMXqalpxps43lhWMRwkI4tLqhisFP8fNcA7CB2SNrWVScCMPq+VHb4GZthc+&#10;0LkIlYgQ9hkqqENwmZS+rMmgH1lHHL0/2xkMUXaV1B1eIty0cpIkqTTYcFyo0dF3TeV/cTIKfos8&#10;v7vNwG13+4kPPl+nM1or1f8cJ18gAl3DO/xqb7WC6Qy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nVPy8AAAA&#10;2wAAAA8AAAAAAAAAAQAgAAAAIgAAAGRycy9kb3ducmV2LnhtbFBLAQIUABQAAAAIAIdO4kAzLwWe&#10;OwAAADkAAAAQAAAAAAAAAAEAIAAAAAsBAABkcnMvc2hhcGV4bWwueG1sUEsFBgAAAAAGAAYAWwEA&#10;ALUDAAAAAA==&#10;" path="m7115,59l7084,59,7071,39,7102,39,7115,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EnXKi7wAAADb&#10;AAAADwAAAGRycy9kb3ducmV2LnhtbEWPT4vCMBTE7wt+h/AEL4umilukGkUEwUNl2ar3R/Nsi81L&#10;aOLfT28WFvY4zMxvmMXqYVpxo843lhWMRwkI4tLqhisFx8N2OAPhA7LG1jIpeJKH1bL3scBM2zv/&#10;0K0IlYgQ9hkqqENwmZS+rMmgH1lHHL2z7QyGKLtK6g7vEW5aOUmSVBpsOC7U6GhTU3kprkbBqcjz&#10;l9t+ut3+e+KDz9fpF62VGvTHyRxEoEf4D/+1d1rBNI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1you8AAAA&#10;2wAAAA8AAAAAAAAAAQAgAAAAIgAAAGRycy9kb3ducmV2LnhtbFBLAQIUABQAAAAIAIdO4kAzLwWe&#10;OwAAADkAAAAQAAAAAAAAAAEAIAAAAAsBAABkcnMvc2hhcGV4bWwueG1sUEsFBgAAAAAGAAYAWwEA&#10;ALUDAAAAAA==&#10;" path="m304,79l273,79,285,59,316,59,304,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fTlvELwAAADb&#10;AAAADwAAAGRycy9kb3ducmV2LnhtbEWPT4vCMBTE78J+h/AWvIimirrSNYoIgocuYl3vj+bZlm1e&#10;QhP/fvqNIHgcZuY3zHx5M424UOtrywqGgwQEcWF1zaWC38OmPwPhA7LGxjIpuJOH5eKjM8dU2yvv&#10;6ZKHUkQI+xQVVCG4VEpfVGTQD6wjjt7JtgZDlG0pdYvXCDeNHCXJVBqsOS5U6GhdUfGXn42CY55l&#10;D7fpue3PbuSDz1bTCa2U6n4Ok28QgW7hHX61t1rB+Au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5bxC8AAAA&#10;2wAAAA8AAAAAAAAAAQAgAAAAIgAAAGRycy9kb3ducmV2LnhtbFBLAQIUABQAAAAIAIdO4kAzLwWe&#10;OwAAADkAAAAQAAAAAAAAAAEAIAAAAAsBAABkcnMvc2hhcGV4bWwueG1sUEsFBgAAAAAGAAYAWwEA&#10;ALUDAAAAAA==&#10;" path="m7151,79l7120,79,7108,59,7139,59,7151,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DKb7YrkAAADb&#10;AAAADwAAAGRycy9kb3ducmV2LnhtbEVPy4rCMBTdC/MP4Q64kTFVVIaOaZEBwUVFrLq/NHfaMs1N&#10;aOLz681CcHk472V+M524UO9bywom4wQEcWV1y7WC42H99Q3CB2SNnWVScCcPefYxWGKq7ZX3dClD&#10;LWII+xQVNCG4VEpfNWTQj60jjtyf7Q2GCPta6h6vMdx0cpokC2mw5djQoKPfhqr/8mwUnMqieLj1&#10;yG22u6kPvlgt5rRSavg5SX5ABLqFt/jl3mgFszg2fok/QG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ym+2K5AAAA2wAA&#10;AA8AAAAAAAAAAQAgAAAAIgAAAGRycy9kb3ducmV2LnhtbFBLAQIUABQAAAAIAIdO4kAzLwWeOwAA&#10;ADkAAAAQAAAAAAAAAAEAIAAAAAgBAABkcnMvc2hhcGV4bWwueG1sUEsFBgAAAAAGAAYAWwEAALID&#10;AAAAAA==&#10;" path="m269,99l239,99,250,79,281,79,269,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Y+pe+bwAAADb&#10;AAAADwAAAGRycy9kb3ducmV2LnhtbEWPT4vCMBTE78J+h/AWvIimisraNYoIgocuYl3vj+bZlm1e&#10;QhP/fvqNIHgcZuY3zHx5M424UOtrywqGgwQEcWF1zaWC38Om/wXCB2SNjWVScCcPy8VHZ46ptlfe&#10;0yUPpYgQ9ikqqEJwqZS+qMigH1hHHL2TbQ2GKNtS6havEW4aOUqSqTRYc1yo0NG6ouIvPxsFxzzL&#10;Hm7Tc9uf3cgHn62mE1op1f0cJt8gAt3CO/xqb7WC8Qy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qXvm8AAAA&#10;2wAAAA8AAAAAAAAAAQAgAAAAIgAAAGRycy9kb3ducmV2LnhtbFBLAQIUABQAAAAIAIdO4kAzLwWe&#10;OwAAADkAAAAQAAAAAAAAAAEAIAAAAAsBAABkcnMvc2hhcGV4bWwueG1sUEsFBgAAAAAGAAYAWwEA&#10;ALUDAAAAAA==&#10;" path="m7185,99l7154,99,7143,79,7174,79,7185,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dwlhubkAAADb&#10;AAAADwAAAGRycy9kb3ducmV2LnhtbEVPy4rCMBTdC/5DuIIbmaYKinRMRQTBRQexOvtLc6ctNjeh&#10;ic+vnywEl4fzXq0fphM36n1rWcE0SUEQV1a3XCs4n3ZfSxA+IGvsLJOCJ3lY58PBCjNt73ykWxlq&#10;EUPYZ6igCcFlUvqqIYM+sY44cn+2Nxgi7Gupe7zHcNPJWZoupMGWY0ODjrYNVZfyahT8lkXxcruJ&#10;2/8cZj74YrOY00ap8WiafoMI9Agf8du91wrmcX38En+Az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JYbm5AAAA2wAA&#10;AA8AAAAAAAAAAQAgAAAAIgAAAGRycy9kb3ducmV2LnhtbFBLAQIUABQAAAAIAIdO4kAzLwWeOwAA&#10;ADkAAAAQAAAAAAAAAAEAIAAAAAgBAABkcnMvc2hhcGV4bWwueG1sUEsFBgAAAAAGAAYAWwEAALID&#10;AAAAAA==&#10;" path="m237,119l217,119,228,99,247,99,237,1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GEXEIr0AAADb&#10;AAAADwAAAGRycy9kb3ducmV2LnhtbEWPzWrDMBCE74W8g9hALiWRbUgIjpUQAgYfXErd5r5YW9vU&#10;WglL+evTV4VCj8PMfMMUh7sZxZUmP1hWkK4SEMSt1QN3Cj7ey+UWhA/IGkfLpOBBHg772VOBubY3&#10;fqNrEzoRIexzVNCH4HIpfduTQb+yjjh6n3YyGKKcOqknvEW4GWWWJBtpcOC40KOjU0/tV3MxCs5N&#10;XX+78tlVL6+ZD74+btZ0VGoxT5MdiED38B/+a1dawTqF3y/xB8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cQivQAA&#10;ANsAAAAPAAAAAAAAAAEAIAAAACIAAABkcnMvZG93bnJldi54bWxQSwECFAAUAAAACACHTuJAMy8F&#10;njsAAAA5AAAAEAAAAAAAAAABACAAAAAMAQAAZHJzL3NoYXBleG1sLnhtbFBLBQYAAAAABgAGAFsB&#10;AAC2AwAAAAA=&#10;" path="m7207,119l7187,119,7176,99,7196,99,7207,1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6JdaVbwAAADb&#10;AAAADwAAAGRycy9kb3ducmV2LnhtbEWPQYvCMBSE78L+h/AW9iKaWlCWahRZEHqoiNW9P5pnW2xe&#10;QpNV119vBMHjMDPfMIvVzXTiQr1vLSuYjBMQxJXVLdcKjofN6BuED8gaO8uk4J88rJYfgwVm2l55&#10;T5cy1CJC2GeooAnBZVL6qiGDfmwdcfROtjcYouxrqXu8RrjpZJokM2mw5bjQoKOfhqpz+WcU/JZF&#10;cXebocu3u9QHX6xnU1or9fU5SeYgAt3CO/xq51rBNIXnl/g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XWlW8AAAA&#10;2wAAAA8AAAAAAAAAAQAgAAAAIgAAAGRycy9kb3ducmV2LnhtbFBLAQIUABQAAAAIAIdO4kAzLwWe&#10;OwAAADkAAAAQAAAAAAAAAAEAIAAAAAsBAABkcnMvc2hhcGV4bWwueG1sUEsFBgAAAAAGAAYAWwEA&#10;ALUDAAAAAA==&#10;" path="m216,139l186,139,196,119,226,119,216,1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h9v/zrwAAADb&#10;AAAADwAAAGRycy9kb3ducmV2LnhtbEWPT4vCMBTE78J+h/AWvIimKhbpGkUWBA8Vse7eH83btmzz&#10;Epr499MbQfA4zMxvmMXqalpxps43lhWMRwkI4tLqhisFP8fNcA7CB2SNrWVScCMPq+VHb4GZthc+&#10;0LkIlYgQ9hkqqENwmZS+rMmgH1lHHL0/2xkMUXaV1B1eIty0cpIkqTTYcFyo0dF3TeV/cTIKfos8&#10;v7vNwG13+4kPPl+nM1or1f8cJ18gAl3DO/xqb7WC2R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b/868AAAA&#10;2wAAAA8AAAAAAAAAAQAgAAAAIgAAAGRycy9kb3ducmV2LnhtbFBLAQIUABQAAAAIAIdO4kAzLwWe&#10;OwAAADkAAAAQAAAAAAAAAAEAIAAAAAsBAABkcnMvc2hhcGV4bWwueG1sUEsFBgAAAAAGAAYAWwEA&#10;ALUDAAAAAA==&#10;" path="m7238,139l7208,139,7197,119,7228,119,7238,1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CDJnurwAAADb&#10;AAAADwAAAGRycy9kb3ducmV2LnhtbEWPT4vCMBTE78J+h/AWvIimihbpGkUWBA8Vse7eH83btmzz&#10;Epr499MbQfA4zMxvmMXqalpxps43lhWMRwkI4tLqhisFP8fNcA7CB2SNrWVScCMPq+VHb4GZthc+&#10;0LkIlYgQ9hkqqENwmZS+rMmgH1lHHL0/2xkMUXaV1B1eIty0cpIkqTTYcFyo0dF3TeV/cTIKfos8&#10;v7vNwG13+4kPPl+nM1or1f8cJ18gAl3DO/xqb7WC2R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yZ7q8AAAA&#10;2wAAAA8AAAAAAAAAAQAgAAAAIgAAAGRycy9kb3ducmV2LnhtbFBLAQIUABQAAAAIAIdO4kAzLwWe&#10;OwAAADkAAAAQAAAAAAAAAAEAIAAAAAsBAABkcnMvc2hhcGV4bWwueG1sUEsFBgAAAAAGAAYAWwEA&#10;ALUDAAAAAA==&#10;" path="m186,159l166,159,176,139,196,139,186,1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Z37CIbwAAADb&#10;AAAADwAAAGRycy9kb3ducmV2LnhtbEWPT4vCMBTE78J+h/AWvIimCpWlGkUWBA8Vsbt7fzTPtti8&#10;hCZb/3x6Iwgeh5n5DbNcX00reup8Y1nBdJKAIC6tbrhS8PuzHX+B8AFZY2uZFNzIw3r1MVhipu2F&#10;j9QXoRIRwj5DBXUILpPSlzUZ9BPriKN3sp3BEGVXSd3hJcJNK2dJMpcGG44LNTr6rqk8F/9GwV+R&#10;53e3Hbnd/jDzweebeUobpYaf02QBItA1vMOv9k4rSFN4fo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wiG8AAAA&#10;2wAAAA8AAAAAAAAAAQAgAAAAIgAAAGRycy9kb3ducmV2LnhtbFBLAQIUABQAAAAIAIdO4kAzLwWe&#10;OwAAADkAAAAQAAAAAAAAAAEAIAAAAAsBAABkcnMvc2hhcGV4bWwueG1sUEsFBgAAAAAGAAYAWwEA&#10;ALUDAAAAAA==&#10;" path="m7258,159l7238,159,7228,139,7248,139,7258,1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l6xcVr4AAADb&#10;AAAADwAAAGRycy9kb3ducmV2LnhtbEWPwWrDMBBE74H+g9hCLiGRHYgpjpUQCgYfXErd9r5YW9vU&#10;WglLdZJ+fRUI9DjMzBumOF7MKGaa/GBZQbpJQBC3Vg/cKfh4L9dPIHxA1jhaJgVX8nA8PCwKzLU9&#10;8xvNTehEhLDPUUEfgsul9G1PBv3GOuLofdnJYIhy6qSe8BzhZpTbJMmkwYHjQo+Onntqv5sfo+Cz&#10;qetfV65c9fK69cHXp2xHJ6WWj2myBxHoEv7D93alFewyuH2JP0A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6xcVr4A&#10;AADbAAAADwAAAAAAAAABACAAAAAiAAAAZHJzL2Rvd25yZXYueG1sUEsBAhQAFAAAAAgAh07iQDMv&#10;BZ47AAAAOQAAABAAAAAAAAAAAQAgAAAADQEAAGRycy9zaGFwZXhtbC54bWxQSwUGAAAAAAYABgBb&#10;AQAAtwMAAAAA&#10;" path="m167,179l147,179,156,159,176,159,167,1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OD5zb4AAADb&#10;AAAADwAAAGRycy9kb3ducmV2LnhtbEWPQWvCQBSE70L/w/IKvYhuDGhLdBUpBHJIEWN7f2Rfk9Ds&#10;2yW7TWx/fbcgeBxm5htmd7iaXow0+M6ygtUyAUFcW91xo+D9ki9eQPiArLG3TAp+yMNh/zDbYabt&#10;xGcaq9CICGGfoYI2BJdJ6euWDPqldcTR+7SDwRDl0Eg94BThppdpkmykwY7jQouOXluqv6pvo+Cj&#10;Kstfl89d8XZKffDlcbOmo1JPj6tkCyLQNdzDt3ahFayf4f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5zb4A&#10;AADbAAAADwAAAAAAAAABACAAAAAiAAAAZHJzL2Rvd25yZXYueG1sUEsBAhQAFAAAAAgAh07iQDMv&#10;BZ47AAAAOQAAABAAAAAAAAAAAQAgAAAADQEAAGRycy9zaGFwZXhtbC54bWxQSwUGAAAAAAYABgBb&#10;AQAAtwMAAAAA&#10;" path="m7277,179l7256,179,7247,159,7267,159,7277,1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iX9tv7kAAADb&#10;AAAADwAAAGRycy9kb3ducmV2LnhtbEVPy4rCMBTdC/5DuIIbmaYKinRMRQTBRQexOvtLc6ctNjeh&#10;ic+vnywEl4fzXq0fphM36n1rWcE0SUEQV1a3XCs4n3ZfSxA+IGvsLJOCJ3lY58PBCjNt73ykWxlq&#10;EUPYZ6igCcFlUvqqIYM+sY44cn+2Nxgi7Gupe7zHcNPJWZoupMGWY0ODjrYNVZfyahT8lkXxcruJ&#10;2/8cZj74YrOY00ap8WiafoMI9Agf8du91wrmcWz8En+Az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bb+5AAAA2wAA&#10;AA8AAAAAAAAAAQAgAAAAIgAAAGRycy9kb3ducmV2LnhtbFBLAQIUABQAAAAIAIdO4kAzLwWeOwAA&#10;ADkAAAAQAAAAAAAAAAEAIAAAAAgBAABkcnMvc2hhcGV4bWwueG1sUEsFBgAAAAAGAAYAWwEAALID&#10;AAAAAA==&#10;" path="m149,199l129,199,138,179,158,179,149,1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5jPIJL4AAADb&#10;AAAADwAAAGRycy9kb3ducmV2LnhtbEWPQWvCQBSE70L/w/IKvYhuDChtdBUpBHJIEWN7f2Rfk9Ds&#10;2yW7TWx/fbcgeBxm5htmd7iaXow0+M6ygtUyAUFcW91xo+D9ki+eQfiArLG3TAp+yMNh/zDbYabt&#10;xGcaq9CICGGfoYI2BJdJ6euWDPqldcTR+7SDwRDl0Eg94BThppdpkmykwY7jQouOXluqv6pvo+Cj&#10;Kstfl89d8XZKffDlcbOmo1JPj6tkCyLQNdzDt3ahFaxf4P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PIJL4A&#10;AADbAAAADwAAAAAAAAABACAAAAAiAAAAZHJzL2Rvd25yZXYueG1sUEsBAhQAFAAAAAgAh07iQDMv&#10;BZ47AAAAOQAAABAAAAAAAAAAAQAgAAAADQEAAGRycy9zaGFwZXhtbC54bWxQSwUGAAAAAAYABgBb&#10;AQAAtwMAAAAA&#10;" path="m7294,199l7274,199,7265,179,7286,179,7294,1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uWWrBLgAAADb&#10;AAAADwAAAGRycy9kb3ducmV2LnhtbEVPy4rCMBTdC/5DuIIbGVMFi3SMIoLgoiJW3V+aO22Z5iY0&#10;8fn1ZiG4PJz3YvUwrbhR5xvLCibjBARxaXXDlYLzafszB+EDssbWMil4kofVst9bYKbtnY90K0Il&#10;Ygj7DBXUIbhMSl/WZNCPrSOO3J/tDIYIu0rqDu8x3LRymiSpNNhwbKjR0aam8r+4GgWXIs9fbjty&#10;u/1h6oPP1+mM1koNB5PkF0SgR/iKP+6dVpDG9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WWrBLgAAADbAAAA&#10;DwAAAAAAAAABACAAAAAiAAAAZHJzL2Rvd25yZXYueG1sUEsBAhQAFAAAAAgAh07iQDMvBZ47AAAA&#10;OQAAABAAAAAAAAAAAQAgAAAABwEAAGRycy9zaGFwZXhtbC54bWxQSwUGAAAAAAYABgBbAQAAsQMA&#10;AAAA&#10;" path="m132,219l112,219,121,199,141,199,132,2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1ikOn70AAADb&#10;AAAADwAAAGRycy9kb3ducmV2LnhtbEWPwWrDMBBE74X8g9hALyWRbagJrpUQAgEfXEqd5L5YW9vE&#10;WglLjdN+fVUo9DjMzBum3N3NKG40+cGygnSdgCBurR64U3A+HVcbED4gaxwtk4Iv8rDbLh5KLLSd&#10;+Z1uTehEhLAvUEEfgiuk9G1PBv3aOuLofdjJYIhy6qSecI5wM8osSXJpcOC40KOjQ0/ttfk0Ci5N&#10;XX+745OrXt8yH3y9z59pr9TjMk1eQAS6h//wX7vSCvIU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KQ6fvQAA&#10;ANsAAAAPAAAAAAAAAAEAIAAAACIAAABkcnMvZG93bnJldi54bWxQSwECFAAUAAAACACHTuJAMy8F&#10;njsAAAA5AAAAEAAAAAAAAAABACAAAAAMAQAAZHJzL3NoYXBleG1sLnhtbFBLBQYAAAAABgAGAFsB&#10;AAC2AwAAAAA=&#10;" path="m7311,219l7291,219,7283,199,7303,199,7311,2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JvuQ6LwAAADb&#10;AAAADwAAAGRycy9kb3ducmV2LnhtbEWPT4vCMBTE7wt+h/CEvSyaWrBI1ygiCB66iFXvj+ZtW2xe&#10;QpP136ffCILHYWZ+w8yXN9OJC/W+taxgMk5AEFdWt1wrOB42oxkIH5A1dpZJwZ08LBeDjznm2l55&#10;T5cy1CJC2OeooAnB5VL6qiGDfmwdcfR+bW8wRNnXUvd4jXDTyTRJMmmw5bjQoKN1Q9W5/DMKTmVR&#10;PNzmy21/dqkPvlhlU1op9TmcJN8gAt3CO/xqb7WCLIXn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7kOi8AAAA&#10;2wAAAA8AAAAAAAAAAQAgAAAAIgAAAGRycy9kb3ducmV2LnhtbFBLAQIUABQAAAAIAIdO4kAzLwWe&#10;OwAAADkAAAAQAAAAAAAAAAEAIAAAAAsBAABkcnMvc2hhcGV4bWwueG1sUEsFBgAAAAAGAAYAWwEA&#10;ALUDAAAAAA==&#10;" path="m101,259l89,259,96,239,104,219,124,219,116,239,109,239,101,2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Sbc1c7wAAADb&#10;AAAADwAAAGRycy9kb3ducmV2LnhtbEWPT4vCMBTE7wt+h/AEL4umKlukGkUEwUNl2ar3R/Nsi81L&#10;aOLfT28WFvY4zMxvmMXqYVpxo843lhWMRwkI4tLqhisFx8N2OAPhA7LG1jIpeJKH1bL3scBM2zv/&#10;0K0IlYgQ9hkqqENwmZS+rMmgH1lHHL2z7QyGKLtK6g7vEW5aOUmSVBpsOC7U6GhTU3kprkbBqcjz&#10;l9t+ut3+e+KDz9fpF62VGvTHyRxEoEf4D/+1d1pBOo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3NXO8AAAA&#10;2wAAAA8AAAAAAAAAAQAgAAAAIgAAAGRycy9kb3ducmV2LnhtbFBLAQIUABQAAAAIAIdO4kAzLwWe&#10;OwAAADkAAAAQAAAAAAAAAAEAIAAAAAsBAABkcnMvc2hhcGV4bWwueG1sUEsFBgAAAAAGAAYAWwEA&#10;ALUDAAAAAA==&#10;" path="m7335,259l7322,259,7315,239,7307,239,7299,219,7319,219,7327,239,7335,2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xl6tB7wAAADb&#10;AAAADwAAAGRycy9kb3ducmV2LnhtbEWPT4vCMBTE7wt+h/AEL4umilukGkUEwUNl2ar3R/Nsi81L&#10;aOLfT28WFvY4zMxvmMXqYVpxo843lhWMRwkI4tLqhisFx8N2OAPhA7LG1jIpeJKH1bL3scBM2zv/&#10;0K0IlYgQ9hkqqENwmZS+rMmgH1lHHL2z7QyGKLtK6g7vEW5aOUmSVBpsOC7U6GhTU3kprkbBqcjz&#10;l9t+ut3+e+KDz9fpF62VGvTHyRxEoEf4D/+1d1pBOo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erQe8AAAA&#10;2wAAAA8AAAAAAAAAAQAgAAAAIgAAAGRycy9kb3ducmV2LnhtbFBLAQIUABQAAAAIAIdO4kAzLwWe&#10;OwAAADkAAAAQAAAAAAAAAAEAIAAAAAsBAABkcnMvc2hhcGV4bWwueG1sUEsFBgAAAAAGAAYAWwEA&#10;ALUDAAAAAA==&#10;" path="m94,279l75,279,82,259,102,259,94,2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qRIInL4AAADb&#10;AAAADwAAAGRycy9kb3ducmV2LnhtbEWPwWrDMBBE74H+g9hCLiGRHYgpjpUQCgYfXErd9r5YW9vU&#10;WglLdZJ+fRUI9DjMzBumOF7MKGaa/GBZQbpJQBC3Vg/cKfh4L9dPIHxA1jhaJgVX8nA8PCwKzLU9&#10;8xvNTehEhLDPUUEfgsul9G1PBv3GOuLofdnJYIhy6qSe8BzhZpTbJMmkwYHjQo+Onntqv5sfo+Cz&#10;qetfV65c9fK69cHXp2xHJ6WWj2myBxHoEv7D93alFWQ7uH2JP0A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IInL4A&#10;AADbAAAADwAAAAAAAAABACAAAAAiAAAAZHJzL2Rvd25yZXYueG1sUEsBAhQAFAAAAAgAh07iQDMv&#10;BZ47AAAAOQAAABAAAAAAAAAAAQAgAAAADQEAAGRycy9zaGFwZXhtbC54bWxQSwUGAAAAAAYABgBb&#10;AQAAtwMAAAAA&#10;" path="m7349,279l7329,279,7322,259,7342,259,7349,2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WcCW670AAADb&#10;AAAADwAAAGRycy9kb3ducmV2LnhtbEWPwWrDMBBE74X+g9hCL6WRbYgpTpRgCgEfHEKd9r5YG9vU&#10;WglLjdN+fRQI9DjMzBtmvb2YUZxp8oNlBekiAUHcWj1wp+DzuHt9A+EDssbRMin4JQ/bzePDGgtt&#10;Z/6gcxM6ESHsC1TQh+AKKX3bk0G/sI44eic7GQxRTp3UE84RbkaZJUkuDQ4cF3p09N5T+938GAVf&#10;TV3/ud2Lq/aHzAdfl/mSSqWen9JkBSLQJfyH7+1KK8hzuH2JP0B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wJbrvQAA&#10;ANsAAAAPAAAAAAAAAAEAIAAAACIAAABkcnMvZG93bnJldi54bWxQSwECFAAUAAAACACHTuJAMy8F&#10;njsAAAA5AAAAEAAAAAAAAAABACAAAAAMAQAAZHJzL3NoYXBleG1sLnhtbFBLBQYAAAAABgAGAFsB&#10;AAC2AwAAAAA=&#10;" path="m69,319l55,319,62,299,68,279,88,279,81,299,75,299,69,3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NowzcL4AAADb&#10;AAAADwAAAGRycy9kb3ducmV2LnhtbEWPzWrDMBCE74W8g9hCLyWWbagT3CghBAw5uJQ6yX2xtrap&#10;tRKWmr+nrwqFHoeZ+YZZba5mFGea/GBZQZakIIhbqwfuFBwP1XwJwgdkjaNlUnAjD5v17GGFpbYX&#10;/qBzEzoRIexLVNCH4EopfduTQZ9YRxy9TzsZDFFOndQTXiLcjDJP00IaHDgu9Oho11P71XwbBaem&#10;ru+uenb7t/fcB19vixfaKvX0mKWvIAJdw3/4r73XCooF/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wzcL4A&#10;AADbAAAADwAAAAAAAAABACAAAAAiAAAAZHJzL2Rvd25yZXYueG1sUEsBAhQAFAAAAAgAh07iQDMv&#10;BZ47AAAAOQAAABAAAAAAAAAAAQAgAAAADQEAAGRycy9zaGFwZXhtbC54bWxQSwUGAAAAAAYABgBb&#10;AQAAtwMAAAAA&#10;" path="m7368,319l7355,319,7349,299,7342,299,7336,279,7356,279,7362,299,7368,3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RxOnArgAAADb&#10;AAAADwAAAGRycy9kb3ducmV2LnhtbEVPy4rCMBTdC/5DuIIbGVMFi3SMIoLgoiJW3V+aO22Z5iY0&#10;8fn1ZiG4PJz3YvUwrbhR5xvLCibjBARxaXXDlYLzafszB+EDssbWMil4kofVst9bYKbtnY90K0Il&#10;Ygj7DBXUIbhMSl/WZNCPrSOO3J/tDIYIu0rqDu8x3LRymiSpNNhwbKjR0aam8r+4GgWXIs9fbjty&#10;u/1h6oPP1+mM1koNB5PkF0SgR/iKP+6dVpDGs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xOnArgAAADbAAAA&#10;DwAAAAAAAAABACAAAAAiAAAAZHJzL2Rvd25yZXYueG1sUEsBAhQAFAAAAAgAh07iQDMvBZ47AAAA&#10;OQAAABAAAAAAAAAAAQAgAAAABwEAAGRycy9zaGFwZXhtbC54bWxQSwUGAAAAAAYABgBbAQAAsQMA&#10;AAAA&#10;" path="m63,339l44,339,50,319,69,319,63,3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KF8Cmb4AAADb&#10;AAAADwAAAGRycy9kb3ducmV2LnhtbEWPzWrDMBCE74W8g9hCLyWWbahJ3CghBAw5uJQ6yX2xtrap&#10;tRKWmr+nrwqFHoeZ+YZZba5mFGea/GBZQZakIIhbqwfuFBwP1XwBwgdkjaNlUnAjD5v17GGFpbYX&#10;/qBzEzoRIexLVNCH4EopfduTQZ9YRxy9TzsZDFFOndQTXiLcjDJP00IaHDgu9Oho11P71XwbBaem&#10;ru+uenb7t/fcB19vixfaKvX0mKWvIAJdw3/4r73XCool/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8Cmb4A&#10;AADbAAAADwAAAAAAAAABACAAAAAiAAAAZHJzL2Rvd25yZXYueG1sUEsBAhQAFAAAAAgAh07iQDMv&#10;BZ47AAAAOQAAABAAAAAAAAAAAQAgAAAADQEAAGRycy9zaGFwZXhtbC54bWxQSwUGAAAAAAYABgBb&#10;AQAAtwMAAAAA&#10;" path="m7380,339l7360,339,7355,319,7374,319,7380,3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PLw92bsAAADb&#10;AAAADwAAAGRycy9kb3ducmV2LnhtbEVPz2vCMBS+C/4P4Qm7yJoqzI2uqcig0EPHsG73R/PWljUv&#10;ocm08683h4HHj+93vp/NKM40+cGygk2SgiBurR64U/B5Kh9fQPiArHG0TAr+yMO+WC5yzLS98JHO&#10;TehEDGGfoYI+BJdJ6dueDPrEOuLIfdvJYIhw6qSe8BLDzSi3abqTBgeODT06euup/Wl+jYKvpq6v&#10;rly76v1j64OvD7snOij1sNqkryACzeEu/ndXWsFzXB+/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w92bsAAADb&#10;AAAADwAAAAAAAAABACAAAAAiAAAAZHJzL2Rvd25yZXYueG1sUEsBAhQAFAAAAAgAh07iQDMvBZ47&#10;AAAAOQAAABAAAAAAAAAAAQAgAAAACgEAAGRycy9zaGFwZXhtbC54bWxQSwUGAAAAAAYABgBbAQAA&#10;tAMAAAAA&#10;" path="m43,379l29,379,34,359,39,339,58,339,53,359,48,359,43,3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U/CYQr4AAADb&#10;AAAADwAAAGRycy9kb3ducmV2LnhtbEWPQWvCQBSE70L/w/IKvYjZRGiU1FWkEPAQKcb2/si+JqHZ&#10;t0t2q2l/vVsoeBxm5htms5vMIC40+t6ygixJQRA3VvfcKng/l4s1CB+QNQ6WScEPedhtH2YbLLS9&#10;8okudWhFhLAvUEEXgiuk9E1HBn1iHXH0Pu1oMEQ5tlKPeI1wM8hlmubSYM9xoUNHrx01X/W3UfBR&#10;V9WvK+fucHxb+uCrff5Me6WeHrP0BUSgKdzD/+2DVrDK4O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YQr4A&#10;AADbAAAADwAAAAAAAAABACAAAAAiAAAAZHJzL2Rvd25yZXYueG1sUEsBAhQAFAAAAAgAh07iQDMv&#10;BZ47AAAAOQAAABAAAAAAAAAAAQAgAAAADQEAAGRycy9zaGFwZXhtbC54bWxQSwUGAAAAAAYABgBb&#10;AQAAtwMAAAAA&#10;" path="m7394,379l7380,379,7376,359,7371,359,7366,339,7385,339,7390,359,7394,3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oyIGNb4AAADb&#10;AAAADwAAAGRycy9kb3ducmV2LnhtbEWPQWvCQBSE7wX/w/IKvRTdGDCV1FVECHhIKU31/si+JqHZ&#10;t0t2G6O/visUehxm5htms5tML0YafGdZwXKRgCCure64UXD6LOZrED4ga+wtk4IredhtZw8bzLW9&#10;8AeNVWhEhLDPUUEbgsul9HVLBv3COuLofdnBYIhyaKQe8BLhppdpkmTSYMdxoUVHh5bq7+rHKDhX&#10;ZXlzxbM7vr2nPvhyn61or9TT4zJ5BRFoCv/hv/ZRK3hJ4f4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IGNb4A&#10;AADbAAAADwAAAAAAAAABACAAAAAiAAAAZHJzL2Rvd25yZXYueG1sUEsBAhQAFAAAAAgAh07iQDMv&#10;BZ47AAAAOQAAABAAAAAAAAAAAQAgAAAADQEAAGRycy9zaGFwZXhtbC54bWxQSwUGAAAAAAYABgBb&#10;AQAAtwMAAAAA&#10;" path="m32,419l17,419,21,399,25,379,43,379,39,399,35,399,32,4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zG6jrrwAAADb&#10;AAAADwAAAGRycy9kb3ducmV2LnhtbEWPT4vCMBTE78J+h/AWvIimKrrSNYoIgocuYl3vj+bZlm1e&#10;QhP/fvqNIHgcZuY3zHx5M424UOtrywqGgwQEcWF1zaWC38OmPwPhA7LGxjIpuJOH5eKjM8dU2yvv&#10;6ZKHUkQI+xQVVCG4VEpfVGTQD6wjjt7JtgZDlG0pdYvXCDeNHCXJVBqsOS5U6GhdUfGXn42CY55l&#10;D7fpue3PbuSDz1bTCa2U6n4Ok28QgW7hHX61t1rB1x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uo668AAAA&#10;2wAAAA8AAAAAAAAAAQAgAAAAIgAAAGRycy9kb3ducmV2LnhtbFBLAQIUABQAAAAIAIdO4kAzLwWe&#10;OwAAADkAAAAQAAAAAAAAAAEAIAAAAAsBAABkcnMvc2hhcGV4bWwueG1sUEsFBgAAAAAGAAYAWwEA&#10;ALUDAAAAAA==&#10;" path="m7406,419l7392,419,7388,399,7384,399,7380,379,7399,379,7403,399,7406,4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Q4c72rwAAADb&#10;AAAADwAAAGRycy9kb3ducmV2LnhtbEWPT4vCMBTE78J+h/AWvIimirrSNYoIgocuYl3vj+bZlm1e&#10;QhP/fvqNIHgcZuY3zHx5M424UOtrywqGgwQEcWF1zaWC38OmPwPhA7LGxjIpuJOH5eKjM8dU2yvv&#10;6ZKHUkQI+xQVVCG4VEpfVGTQD6wjjt7JtgZDlG0pdYvXCDeNHCXJVBqsOS5U6GhdUfGXn42CY55l&#10;D7fpue3PbuSDz1bTCa2U6n4Ok28QgW7hHX61t1rB1x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HO9q8AAAA&#10;2wAAAA8AAAAAAAAAAQAgAAAAIgAAAGRycy9kb3ducmV2LnhtbFBLAQIUABQAAAAIAIdO4kAzLwWe&#10;OwAAADkAAAAQAAAAAAAAAAEAIAAAAAsBAABkcnMvc2hhcGV4bWwueG1sUEsFBgAAAAAGAAYAWwEA&#10;ALUDAAAAAA==&#10;" path="m21,479l6,479,8,459,11,439,14,419,32,419,28,439,26,439,23,459,23,459,21,4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LMueQb4AAADb&#10;AAAADwAAAGRycy9kb3ducmV2LnhtbEWPQWvCQBSE70L/w/IKvYhuDGhLdBUpBHJIEWN7f2Rfk9Ds&#10;2yW7TWx/fbcgeBxm5htmd7iaXow0+M6ygtUyAUFcW91xo+D9ki9eQPiArLG3TAp+yMNh/zDbYabt&#10;xGcaq9CICGGfoYI2BJdJ6euWDPqldcTR+7SDwRDl0Eg94BThppdpkmykwY7jQouOXluqv6pvo+Cj&#10;Kstfl89d8XZKffDlcbOmo1JPj6tkCyLQNdzDt3ahFTyv4f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ueQb4A&#10;AADbAAAADwAAAAAAAAABACAAAAAiAAAAZHJzL2Rvd25yZXYueG1sUEsBAhQAFAAAAAgAh07iQDMv&#10;BZ47AAAAOQAAABAAAAAAAAAAAQAgAAAADQEAAGRycy9zaGFwZXhtbC54bWxQSwUGAAAAAAYABgBb&#10;AQAAtwMAAAAA&#10;" path="m7418,479l7403,479,7401,459,7401,459,7398,439,7395,439,7392,419,7410,419,7413,439,7415,459,7418,4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3BkANr4AAADb&#10;AAAADwAAAGRycy9kb3ducmV2LnhtbEWPzWrDMBCE74W8g9hCLyWWbagT3CghBAw5uJQ6yX2xtrap&#10;tRKWmr+nrwqFHoeZ+YZZba5mFGea/GBZQZakIIhbqwfuFBwP1XwJwgdkjaNlUnAjD5v17GGFpbYX&#10;/qBzEzoRIexLVNCH4EopfduTQZ9YRxy9TzsZDFFOndQTXiLcjDJP00IaHDgu9Oho11P71XwbBaem&#10;ru+uenb7t/fcB19vixfaKvX0mKWvIAJdw3/4r73XChYF/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kANr4A&#10;AADbAAAADwAAAAAAAAABACAAAAAiAAAAZHJzL2Rvd25yZXYueG1sUEsBAhQAFAAAAAgAh07iQDMv&#10;BZ47AAAAOQAAABAAAAAAAAAAAQAgAAAADQEAAGRycy9zaGFwZXhtbC54bWxQSwUGAAAAAAYABgBb&#10;AQAAtwMAAAAA&#10;" path="m16,519l1,519,2,499,4,479,19,479,17,499,17,499,16,5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s1WlrbwAAADb&#10;AAAADwAAAGRycy9kb3ducmV2LnhtbEWPT4vCMBTE78J+h/AWvIimClrpGkUWBA8Vse7eH83btmzz&#10;Epr499MbQfA4zMxvmMXqalpxps43lhWMRwkI4tLqhisFP8fNcA7CB2SNrWVScCMPq+VHb4GZthc+&#10;0LkIlYgQ9hkqqENwmZS+rMmgH1lHHL0/2xkMUXaV1B1eIty0cpIkM2mw4bhQo6Pvmsr/4mQU/BZ5&#10;fnebgdvu9hMffL6eTWmtVP9znHyBCHQN7/CrvdUK0h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Vpa28AAAA&#10;2wAAAA8AAAAAAAAAAQAgAAAAIgAAAGRycy9kb3ducmV2LnhtbFBLAQIUABQAAAAIAIdO4kAzLwWe&#10;OwAAADkAAAAQAAAAAAAAAAEAIAAAAAsBAABkcnMvc2hhcGV4bWwueG1sUEsFBgAAAAAGAAYAWwEA&#10;ALUDAAAAAA==&#10;" path="m7423,519l7408,519,7406,499,7406,499,7405,479,7420,479,7421,499,7423,5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wsox37sAAADb&#10;AAAADwAAAGRycy9kb3ducmV2LnhtbEVPz2vCMBS+C/4P4Qm7yJoqzI2uqcig0EPHsG73R/PWljUv&#10;ocm08683h4HHj+93vp/NKM40+cGygk2SgiBurR64U/B5Kh9fQPiArHG0TAr+yMO+WC5yzLS98JHO&#10;TehEDGGfoYI+BJdJ6dueDPrEOuLIfdvJYIhw6qSe8BLDzSi3abqTBgeODT06euup/Wl+jYKvpq6v&#10;rly76v1j64OvD7snOij1sNqkryACzeEu/ndXWsFzHBu/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sox37sAAADb&#10;AAAADwAAAAAAAAABACAAAAAiAAAAZHJzL2Rvd25yZXYueG1sUEsBAhQAFAAAAAgAh07iQDMvBZ47&#10;AAAAOQAAABAAAAAAAAAAAQAgAAAACgEAAGRycy9zaGFwZXhtbC54bWxQSwUGAAAAAAYABgBbAQAA&#10;tAMAAAAA&#10;" path="m19,4559l2,4559,1,4539,0,4519,0,4499,0,539,0,519,15,519,15,539,15,4499,15,4519,16,4539,17,4539,19,45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rYaURLwAAADb&#10;AAAADwAAAGRycy9kb3ducmV2LnhtbEWPT4vCMBTE78J+h/AWvIimCuraNYoIgocuYl3vj+bZlm1e&#10;QhP/fvqNIHgcZuY3zHx5M424UOtrywqGgwQEcWF1zaWC38Om/wXCB2SNjWVScCcPy8VHZ46ptlfe&#10;0yUPpYgQ9ikqqEJwqZS+qMigH1hHHL2TbQ2GKNtS6havEW4aOUqSiTRYc1yo0NG6ouIvPxsFxzzL&#10;Hm7Tc9uf3cgHn60mY1op1f0cJt8gAt3CO/xqb7WC6Qy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GlES8AAAA&#10;2wAAAA8AAAAAAAAAAQAgAAAAIgAAAGRycy9kb3ducmV2LnhtbFBLAQIUABQAAAAIAIdO4kAzLwWe&#10;OwAAADkAAAAQAAAAAAAAAAEAIAAAAAsBAABkcnMvc2hhcGV4bWwueG1sUEsFBgAAAAAGAAYAWwEA&#10;ALUDAAAAAA==&#10;" path="m7421,4559l7405,4559,7406,4539,7408,4539,7408,4519,7408,4519,7409,4499,7409,539,7408,519,7423,519,7424,539,7424,4499,7423,4519,7423,4539,7421,45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CWlN/rgAAADb&#10;AAAADwAAAGRycy9kb3ducmV2LnhtbEVPy4rCMBTdC/5DuIIb0VRBKdUoIgguOoh1Zn9prm2xuQlN&#10;fM3Xm4Xg8nDeq83TtOJOnW8sK5hOEhDEpdUNVwp+z/txCsIHZI2tZVLwIg+bdb+3wkzbB5/oXoRK&#10;xBD2GSqoQ3CZlL6syaCfWEccuYvtDIYIu0rqDh8x3LRyliQLabDh2FCjo11N5bW4GQV/RZ7/u/3I&#10;HX6OMx98vl3MaavUcDBNliACPcNX/HEftII0ro9f4g+Q6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WlN/rgAAADbAAAA&#10;DwAAAAAAAAABACAAAAAiAAAAZHJzL2Rvd25yZXYueG1sUEsBAhQAFAAAAAgAh07iQDMvBZ47AAAA&#10;OQAAABAAAAAAAAAAAQAgAAAABwEAAGRycy9zaGFwZXhtbC54bWxQSwUGAAAAAAYABgBbAQAAsQMA&#10;AAAA&#10;" path="m23,4599l8,4599,6,4579,4,4559,19,4559,21,4579,21,4579,23,45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ZiXoZb4AAADb&#10;AAAADwAAAGRycy9kb3ducmV2LnhtbEWPwWrDMBBE74X+g9hCLqWRHUgwTpRgCgYfXELc9r5YG9vU&#10;WglLcdJ+fVUo5DjMzBtmd7iZUcw0+cGygnSZgCBurR64U/DxXr5kIHxA1jhaJgXf5OGwf3zYYa7t&#10;lU80N6ETEcI+RwV9CC6X0rc9GfRL64ijd7aTwRDl1Ek94TXCzShXSbKRBgeOCz06eu2p/WouRsFn&#10;U9c/rnx21dtx5YOvi82aCqUWT2myBRHoFu7h/3alFWQp/H2JP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XoZb4A&#10;AADbAAAADwAAAAAAAAABACAAAAAiAAAAZHJzL2Rvd25yZXYueG1sUEsBAhQAFAAAAAgAh07iQDMv&#10;BZ47AAAAOQAAABAAAAAAAAAAAQAgAAAADQEAAGRycy9zaGFwZXhtbC54bWxQSwUGAAAAAAYABgBb&#10;AQAAtwMAAAAA&#10;" path="m7415,4599l7401,4599,7403,4579,7403,4579,7405,4559,7420,4559,7418,4579,7415,45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lvd2ErwAAADb&#10;AAAADwAAAGRycy9kb3ducmV2LnhtbEWPT4vCMBTE78J+h/AWvMiaWlBKNYosCB4qYnXvj+bZlm1e&#10;QhP/7H56Iwgeh5n5DbNY3U0nrtT71rKCyTgBQVxZ3XKt4HTcfGUgfEDW2FkmBX/kYbX8GCww1/bG&#10;B7qWoRYRwj5HBU0ILpfSVw0Z9GPriKN3tr3BEGVfS93jLcJNJ9MkmUmDLceFBh19N1T9lhej4Kcs&#10;in+3Gbntbp/64Iv1bEprpYafk2QOItA9vMOv9lYryFJ4fo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3dhK8AAAA&#10;2wAAAA8AAAAAAAAAAQAgAAAAIgAAAGRycy9kb3ducmV2LnhtbFBLAQIUABQAAAAIAIdO4kAzLwWe&#10;OwAAADkAAAAQAAAAAAAAAAEAIAAAAAsBAABkcnMvc2hhcGV4bWwueG1sUEsFBgAAAAAGAAYAWwEA&#10;ALUDAAAAAA==&#10;" path="m32,4639l17,4639,14,4619,11,4599,26,4599,29,4619,28,4619,32,46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bvTib4AAADb&#10;AAAADwAAAGRycy9kb3ducmV2LnhtbEWPQWvCQBSE7wX/w/IEL6VuYqlI6ipBEHJIKY16f2Rfk9Ds&#10;2yW7GvXXu4VCj8PMfMOst1fTiwsNvrOsIJ0nIIhrqztuFBwP+5cVCB+QNfaWScGNPGw3k6c1ZtqO&#10;/EWXKjQiQthnqKANwWVS+rolg35uHXH0vu1gMEQ5NFIPOEa46eUiSZbSYMdxoUVHu5bqn+psFJyq&#10;sry7/bMrPj4XPvgyX75RrtRsmibvIAJdw3/4r11oBatX+P0Sf4D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Tib4A&#10;AADbAAAADwAAAAAAAAABACAAAAAiAAAAZHJzL2Rvd25yZXYueG1sUEsBAhQAFAAAAAgAh07iQDMv&#10;BZ47AAAAOQAAABAAAAAAAAAAAQAgAAAADQEAAGRycy9zaGFwZXhtbC54bWxQSwUGAAAAAAYABgBb&#10;AQAAtwMAAAAA&#10;" path="m7406,4639l7392,4639,7395,4619,7395,4619,7398,4599,7413,4599,7410,4619,7406,46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dlJL/b4AAADb&#10;AAAADwAAAGRycy9kb3ducmV2LnhtbEWPQWvCQBSE7wX/w/IEL6VuIq1I6ipBEHJIKY16f2Rfk9Ds&#10;2yW7GvXXu4VCj8PMfMOst1fTiwsNvrOsIJ0nIIhrqztuFBwP+5cVCB+QNfaWScGNPGw3k6c1ZtqO&#10;/EWXKjQiQthnqKANwWVS+rolg35uHXH0vu1gMEQ5NFIPOEa46eUiSZbSYMdxoUVHu5bqn+psFJyq&#10;sry7/bMrPj4XPvgyX75RrtRsmibvIAJdw3/4r11oBatX+P0Sf4D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JL/b4A&#10;AADbAAAADwAAAAAAAAABACAAAAAiAAAAZHJzL2Rvd25yZXYueG1sUEsBAhQAFAAAAAgAh07iQDMv&#10;BZ47AAAAOQAAABAAAAAAAAAAAQAgAAAADQEAAGRycy9zaGFwZXhtbC54bWxQSwUGAAAAAAYABgBb&#10;AQAAtwMAAAAA&#10;" path="m43,4679l29,4679,25,4659,21,4639,35,4639,39,4659,39,4659,43,46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GR7uZrsAAADb&#10;AAAADwAAAGRycy9kb3ducmV2LnhtbEWPzarCMBSE9xd8h3AENxdNFRSpRhFBcFGRW3V/aI5tsTkJ&#10;Tfx9eiMIdznMzDfMfPkwjbhR62vLCoaDBARxYXXNpYLjYdOfgvABWWNjmRQ8ycNy0fmZY6rtnf/o&#10;lodSRAj7FBVUIbhUSl9UZNAPrCOO3tm2BkOUbSl1i/cIN40cJclEGqw5LlToaF1RccmvRsEpz7KX&#10;2/y67W4/8sFnq8mYVkr1usNkBiLQI/yHv+2tVjAdw+dL/AFy8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7uZrsAAADb&#10;AAAADwAAAAAAAAABACAAAAAiAAAAZHJzL2Rvd25yZXYueG1sUEsBAhQAFAAAAAgAh07iQDMvBZ47&#10;AAAAOQAAABAAAAAAAAAAAQAgAAAACgEAAGRycy9zaGFwZXhtbC54bWxQSwUGAAAAAAYABgBbAQAA&#10;tAMAAAAA&#10;" path="m7394,4679l7380,4679,7384,4659,7384,4659,7388,4639,7403,4639,7399,4659,7394,46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6cxwEbwAAADb&#10;AAAADwAAAGRycy9kb3ducmV2LnhtbEWPT4vCMBTE78J+h/AEL7KmCpZSjSILgoeK2N29P5pnW2xe&#10;QhP/7H56Iwgeh5n5DbNc300nrtT71rKC6SQBQVxZ3XKt4Od7+5mB8AFZY2eZFPyRh/XqY7DEXNsb&#10;H+lahlpECPscFTQhuFxKXzVk0E+sI47eyfYGQ5R9LXWPtwg3nZwlSSoNthwXGnT01VB1Li9GwW9Z&#10;FP9uO3a7/WHmgy826Zw2So2G02QBItA9vMOv9k4ryFJ4fo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McBG8AAAA&#10;2wAAAA8AAAAAAAAAAQAgAAAAIgAAAGRycy9kb3ducmV2LnhtbFBLAQIUABQAAAAIAIdO4kAzLwWe&#10;OwAAADkAAAAQAAAAAAAAAAEAIAAAAAsBAABkcnMvc2hhcGV4bWwueG1sUEsFBgAAAAAGAAYAWwEA&#10;ALUDAAAAAA==&#10;" path="m48,4679l43,4679,43,4659,48,46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hoDVirwAAADb&#10;AAAADwAAAGRycy9kb3ducmV2LnhtbEWPT4vCMBTE78J+h/AWvMiaKuhKNYosFDxUxLp7fzTPtmzz&#10;Epr499MbQfA4zMxvmMXqalpxps43lhWMhgkI4tLqhisFv4fsawbCB2SNrWVScCMPq+VHb4Gpthfe&#10;07kIlYgQ9ikqqENwqZS+rMmgH1pHHL2j7QyGKLtK6g4vEW5aOU6SqTTYcFyo0dFPTeV/cTIK/oo8&#10;v7ts4Dbb3dgHn6+nE1or1f8cJXMQga7hHX61N1rB7Bu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A1Yq8AAAA&#10;2wAAAA8AAAAAAAAAAQAgAAAAIgAAAGRycy9kb3ducmV2LnhtbFBLAQIUABQAAAAIAIdO4kAzLwWe&#10;OwAAADkAAAAQAAAAAAAAAAEAIAAAAAsBAABkcnMvc2hhcGV4bWwueG1sUEsFBgAAAAAGAAYAWwEA&#10;ALUDAAAAAA==&#10;" path="m7380,4679l7376,4679,7380,4659,7380,46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9x9B+LgAAADb&#10;AAAADwAAAGRycy9kb3ducmV2LnhtbEVPy4rCMBTdC/5DuIIb0VRBKdUoIgguOoh1Zn9prm2xuQlN&#10;fM3Xm4Xg8nDeq83TtOJOnW8sK5hOEhDEpdUNVwp+z/txCsIHZI2tZVLwIg+bdb+3wkzbB5/oXoRK&#10;xBD2GSqoQ3CZlL6syaCfWEccuYvtDIYIu0rqDh8x3LRyliQLabDh2FCjo11N5bW4GQV/RZ7/u/3I&#10;HX6OMx98vl3MaavUcDBNliACPcNX/HEftII0jo1f4g+Q6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x9B+LgAAADbAAAA&#10;DwAAAAAAAAABACAAAAAiAAAAZHJzL2Rvd25yZXYueG1sUEsBAhQAFAAAAAgAh07iQDMvBZ47AAAA&#10;OQAAABAAAAAAAAAAAQAgAAAABwEAAGRycy9zaGFwZXhtbC54bWxQSwUGAAAAAAYABgBbAQAAsQMA&#10;AAAA&#10;" path="m63,4719l44,4719,39,4699,34,4679,48,4679,53,4699,58,4699,63,47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mFPkY7wAAADb&#10;AAAADwAAAGRycy9kb3ducmV2LnhtbEWPT4vCMBTE78J+h/AWvIimCkrtGkUWBA8Vse7eH83btmzz&#10;Epr499MbQfA4zMxvmMXqalpxps43lhWMRwkI4tLqhisFP8fNMAXhA7LG1jIpuJGH1fKjt8BM2wsf&#10;6FyESkQI+wwV1CG4TEpf1mTQj6wjjt6f7QyGKLtK6g4vEW5aOUmSmTTYcFyo0dF3TeV/cTIKfos8&#10;v7vNwG13+4kPPl/PprRWqv85Tr5ABLqGd/jV3moF6Ry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T5GO8AAAA&#10;2wAAAA8AAAAAAAAAAQAgAAAAIgAAAGRycy9kb3ducmV2LnhtbFBLAQIUABQAAAAIAIdO4kAzLwWe&#10;OwAAADkAAAAQAAAAAAAAAAEAIAAAAAsBAABkcnMvc2hhcGV4bWwueG1sUEsFBgAAAAAGAAYAWwEA&#10;ALUDAAAAAA==&#10;" path="m7380,4719l7360,4719,7366,4699,7371,4699,7376,4679,7390,4679,7385,4699,7380,47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jLDbI7sAAADb&#10;AAAADwAAAGRycy9kb3ducmV2LnhtbEVPz2vCMBS+C/4P4Qm7yJoqTLauqcig0EPHsG73R/PWljUv&#10;ocm08683h4HHj+93vp/NKM40+cGygk2SgiBurR64U/B5Kh+fQfiArHG0TAr+yMO+WC5yzLS98JHO&#10;TehEDGGfoYI+BJdJ6dueDPrEOuLIfdvJYIhw6qSe8BLDzSi3abqTBgeODT06euup/Wl+jYKvpq6v&#10;rly76v1j64OvD7snOij1sNqkryACzeEu/ndXWsFLXB+/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LDbI7sAAADb&#10;AAAADwAAAAAAAAABACAAAAAiAAAAZHJzL2Rvd25yZXYueG1sUEsBAhQAFAAAAAgAh07iQDMvBZ47&#10;AAAAOQAAABAAAAAAAAAAAQAgAAAACgEAAGRycy9zaGFwZXhtbC54bWxQSwUGAAAAAAYABgBbAQAA&#10;tAMAAAAA&#10;" path="m81,4759l62,4759,55,4739,50,4719,63,4719,69,4739,75,4739,81,47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4/x+uL4AAADb&#10;AAAADwAAAGRycy9kb3ducmV2LnhtbEWPQWvCQBSE70L/w/IKvYjZRGjQ1FWkEPAQKcb2/si+JqHZ&#10;t0t2q2l/vVsoeBxm5htms5vMIC40+t6ygixJQRA3VvfcKng/l4sVCB+QNQ6WScEPedhtH2YbLLS9&#10;8okudWhFhLAvUEEXgiuk9E1HBn1iHXH0Pu1oMEQ5tlKPeI1wM8hlmubSYM9xoUNHrx01X/W3UfBR&#10;V9WvK+fucHxb+uCrff5Me6WeHrP0BUSgKdzD/+2DVrDO4O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uL4A&#10;AADbAAAADwAAAAAAAAABACAAAAAiAAAAZHJzL2Rvd25yZXYueG1sUEsBAhQAFAAAAAgAh07iQDMv&#10;BZ47AAAAOQAAABAAAAAAAAAAAQAgAAAADQEAAGRycy9zaGFwZXhtbC54bWxQSwUGAAAAAAYABgBb&#10;AQAAtwMAAAAA&#10;" path="m7362,4759l7342,4759,7349,4739,7355,4739,7360,4719,7374,4719,7368,4739,7362,47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Ey7gz74AAADb&#10;AAAADwAAAGRycy9kb3ducmV2LnhtbEWPQWvCQBSE7wX/w/IKvRTdGDDU1FVECHhIKU31/si+JqHZ&#10;t0t2G6O/visUehxm5htms5tML0YafGdZwXKRgCCure64UXD6LOYvIHxA1thbJgVX8rDbzh42mGt7&#10;4Q8aq9CICGGfo4I2BJdL6euWDPqFdcTR+7KDwRDl0Eg94CXCTS/TJMmkwY7jQouODi3V39WPUXCu&#10;yvLmimd3fHtPffDlPlvRXqmnx2XyCiLQFP7Df+2jVrBO4f4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7gz74A&#10;AADbAAAADwAAAAAAAAABACAAAAAiAAAAZHJzL2Rvd25yZXYueG1sUEsBAhQAFAAAAAgAh07iQDMv&#10;BZ47AAAAOQAAABAAAAAAAAAAAQAgAAAADQEAAGRycy9zaGFwZXhtbC54bWxQSwUGAAAAAAYABgBb&#10;AQAAtwMAAAAA&#10;" path="m94,4779l75,4779,68,4759,88,4759,94,47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fGJFVLwAAADb&#10;AAAADwAAAGRycy9kb3ducmV2LnhtbEWPT4vCMBTE78J+h/AWvIimKsraNYoIgocuYl3vj+bZlm1e&#10;QhP/fvqNIHgcZuY3zHx5M424UOtrywqGgwQEcWF1zaWC38Om/wXCB2SNjWVScCcPy8VHZ46ptlfe&#10;0yUPpYgQ9ikqqEJwqZS+qMigH1hHHL2TbQ2GKNtS6havEW4aOUqSqTRYc1yo0NG6ouIvPxsFxzzL&#10;Hm7Tc9uf3cgHn62mE1op1f0cJt8gAt3CO/xqb7WC2R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iRVS8AAAA&#10;2wAAAA8AAAAAAAAAAQAgAAAAIgAAAGRycy9kb3ducmV2LnhtbFBLAQIUABQAAAAIAIdO4kAzLwWe&#10;OwAAADkAAAAQAAAAAAAAAAEAIAAAAAsBAABkcnMvc2hhcGV4bWwueG1sUEsFBgAAAAAGAAYAWwEA&#10;ALUDAAAAAA==&#10;" path="m7349,4779l7329,4779,7336,4759,7356,4759,7349,47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84vdILwAAADb&#10;AAAADwAAAGRycy9kb3ducmV2LnhtbEWPT4vCMBTE78J+h/AWvIimisraNYoIgocuYl3vj+bZlm1e&#10;QhP/fvqNIHgcZuY3zHx5M424UOtrywqGgwQEcWF1zaWC38Om/wXCB2SNjWVScCcPy8VHZ46ptlfe&#10;0yUPpYgQ9ikqqEJwqZS+qMigH1hHHL2TbQ2GKNtS6havEW4aOUqSqTRYc1yo0NG6ouIvPxsFxzzL&#10;Hm7Tc9uf3cgHn62mE1op1f0cJt8gAt3CO/xqb7WC2R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L3SC8AAAA&#10;2wAAAA8AAAAAAAAAAQAgAAAAIgAAAGRycy9kb3ducmV2LnhtbFBLAQIUABQAAAAIAIdO4kAzLwWe&#10;OwAAADkAAAAQAAAAAAAAAAEAIAAAAAsBAABkcnMvc2hhcGV4bWwueG1sUEsFBgAAAAAGAAYAWwEA&#10;ALUDAAAAAA==&#10;" path="m116,4819l96,4819,89,4799,82,4779,94,4779,102,4799,109,4799,116,48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nMd4u74AAADb&#10;AAAADwAAAGRycy9kb3ducmV2LnhtbEWPQWvCQBSE70L/w/IKvYhuDChtdBUpBHJIEWN7f2Rfk9Ds&#10;2yW7TWx/fbcgeBxm5htmd7iaXow0+M6ygtUyAUFcW91xo+D9ki+eQfiArLG3TAp+yMNh/zDbYabt&#10;xGcaq9CICGGfoYI2BJdJ6euWDPqldcTR+7SDwRDl0Eg94BThppdpkmykwY7jQouOXluqv6pvo+Cj&#10;Kstfl89d8XZKffDlcbOmo1JPj6tkCyLQNdzDt3ahFbys4f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d4u74A&#10;AADbAAAADwAAAAAAAAABACAAAAAiAAAAZHJzL2Rvd25yZXYueG1sUEsBAhQAFAAAAAgAh07iQDMv&#10;BZ47AAAAOQAAABAAAAAAAAAAAQAgAAAADQEAAGRycy9zaGFwZXhtbC54bWxQSwUGAAAAAAYABgBb&#10;AQAAtwMAAAAA&#10;" path="m7327,4819l7307,4819,7315,4799,7322,4799,7329,4779,7342,4779,7335,4799,7327,48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bBXmzL4AAADb&#10;AAAADwAAAGRycy9kb3ducmV2LnhtbEWPzWrDMBCE74W8g9hCLyWWbahJ3CghBAw5uJQ6yX2xtrap&#10;tRKWmr+nrwqFHoeZ+YZZba5mFGea/GBZQZakIIhbqwfuFBwP1XwBwgdkjaNlUnAjD5v17GGFpbYX&#10;/qBzEzoRIexLVNCH4EopfduTQZ9YRxy9TzsZDFFOndQTXiLcjDJP00IaHDgu9Oho11P71XwbBaem&#10;ru+uenb7t/fcB19vixfaKvX0mKWvIAJdw3/4r73XCpYF/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XmzL4A&#10;AADbAAAADwAAAAAAAAABACAAAAAiAAAAZHJzL2Rvd25yZXYueG1sUEsBAhQAFAAAAAgAh07iQDMv&#10;BZ47AAAAOQAAABAAAAAAAAAAAQAgAAAADQEAAGRycy9zaGFwZXhtbC54bWxQSwUGAAAAAAYABgBb&#10;AQAAtwMAAAAA&#10;" path="m132,4839l112,4839,104,4819,124,4819,132,48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A1lDV7wAAADb&#10;AAAADwAAAGRycy9kb3ducmV2LnhtbEWPT4vCMBTE78J+h/AWvIimCuraNYoIgocuYl3vj+bZlm1e&#10;QhP/fvqNIHgcZuY3zHx5M424UOtrywqGgwQEcWF1zaWC38Om/wXCB2SNjWVScCcPy8VHZ46ptlfe&#10;0yUPpYgQ9ikqqEJwqZS+qMigH1hHHL2TbQ2GKNtS6havEW4aOUqSiTRYc1yo0NG6ouIvPxsFxzzL&#10;Hm7Tc9uf3cgHn60mY1op1f0cJt8gAt3CO/xqb7WC2RS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ZQ1e8AAAA&#10;2wAAAA8AAAAAAAAAAQAgAAAAIgAAAGRycy9kb3ducmV2LnhtbFBLAQIUABQAAAAIAIdO4kAzLwWe&#10;OwAAADkAAAAQAAAAAAAAAAEAIAAAAAsBAABkcnMvc2hhcGV4bWwueG1sUEsFBgAAAAAGAAYAWwEA&#10;ALUDAAAAAA==&#10;" path="m7311,4839l7291,4839,7299,4819,7319,4819,7311,48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csbXJbsAAADb&#10;AAAADwAAAGRycy9kb3ducmV2LnhtbEVPz2vCMBS+C/4P4Qm7yJoqTLauqcig0EPHsG73R/PWljUv&#10;ocm08683h4HHj+93vp/NKM40+cGygk2SgiBurR64U/B5Kh+fQfiArHG0TAr+yMO+WC5yzLS98JHO&#10;TehEDGGfoYI+BJdJ6dueDPrEOuLIfdvJYIhw6qSe8BLDzSi3abqTBgeODT06euup/Wl+jYKvpq6v&#10;rly76v1j64OvD7snOij1sNqkryACzeEu/ndXWsFLHBu/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bXJbsAAADb&#10;AAAADwAAAAAAAAABACAAAAAiAAAAZHJzL2Rvd25yZXYueG1sUEsBAhQAFAAAAAgAh07iQDMvBZ47&#10;AAAAOQAAABAAAAAAAAAAAQAgAAAACgEAAGRycy9zaGFwZXhtbC54bWxQSwUGAAAAAAYABgBbAQAA&#10;tAMAAAAA&#10;" path="m149,4859l129,4859,121,4839,141,4839,149,48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HYpyvrwAAADb&#10;AAAADwAAAGRycy9kb3ducmV2LnhtbEWPT4vCMBTE78J+h/AWvMiaKihrNYosFDxUxLp7fzTPtmzz&#10;Epr499MbQfA4zMxvmMXqalpxps43lhWMhgkI4tLqhisFv4fs6xuED8gaW8uk4EYeVsuP3gJTbS+8&#10;p3MRKhEh7FNUUIfgUil9WZNBP7SOOHpH2xkMUXaV1B1eIty0cpwkU2mw4bhQo6Ofmsr/4mQU/BV5&#10;fnfZwG22u7EPPl9PJ7RWqv85SuYgAl3DO/xqb7SC2Qy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Kcr68AAAA&#10;2wAAAA8AAAAAAAAAAQAgAAAAIgAAAGRycy9kb3ducmV2LnhtbFBLAQIUABQAAAAIAIdO4kAzLwWe&#10;OwAAADkAAAAQAAAAAAAAAAEAIAAAAAsBAABkcnMvc2hhcGV4bWwueG1sUEsFBgAAAAAGAAYAWwEA&#10;ALUDAAAAAA==&#10;" path="m7294,4859l7274,4859,7283,4839,7303,4839,7294,48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PpJPVb8AAADc&#10;AAAADwAAAGRycy9kb3ducmV2LnhtbEWPT2vDMAzF74V9B6NBL6W1W2gZad1SBoUcMsay7S5iLQmL&#10;ZRN7/bNPPx0Ku0m8p/d+2h2uflBnGlMf2MJyYUARN8H13Fr4eD/Nn0CljOxwCEwWbpTgsH+Y7LBw&#10;4cJvdK5zqySEU4EWupxjoXVqOvKYFiESi/YVRo9Z1rHVbsSLhPtBr4zZaI89S0OHkZ47ar7rH2/h&#10;s66q33iaxfLldZVyqo6bNR2tnT4uzRZUpmv+N9+vSyf4RvDlGZlA7/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ST1W/&#10;AAAA3AAAAA8AAAAAAAAAAQAgAAAAIgAAAGRycy9kb3ducmV2LnhtbFBLAQIUABQAAAAIAIdO4kAz&#10;LwWeOwAAADkAAAAQAAAAAAAAAAEAIAAAAA4BAABkcnMvc2hhcGV4bWwueG1sUEsFBgAAAAAGAAYA&#10;WwEAALgDAAAAAA==&#10;" path="m167,4879l147,4879,138,4859,158,4859,167,48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Ud7qzrsAAADc&#10;AAAADwAAAGRycy9kb3ducmV2LnhtbEVP32vCMBB+F/wfwg32ImtSYSLVVEQQfKiMVfd+NGdb1lxC&#10;k6nbX28Gg73dx/fz1pu7HcSVxtA71pBnCgRx40zPrYbzaf+yBBEissHBMWn4pgCbcjpZY2Hcjd/p&#10;WsdWpBAOBWroYvSFlKHpyGLInCdO3MWNFmOCYyvNiLcUbgc5V2ohLfacGjr0tOuo+ay/rIaPuqp+&#10;/H7mD8e3eYih2i5eaav181OuViAi3eO/+M99MGm+yuH3mXSBL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7qzrsAAADc&#10;AAAADwAAAAAAAAABACAAAAAiAAAAZHJzL2Rvd25yZXYueG1sUEsBAhQAFAAAAAgAh07iQDMvBZ47&#10;AAAAOQAAABAAAAAAAAAAAQAgAAAACgEAAGRycy9zaGFwZXhtbC54bWxQSwUGAAAAAAYABgBbAQAA&#10;tAMAAAAA&#10;" path="m7277,4879l7256,4879,7265,4859,7286,4859,7277,48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oQx0ubsAAADc&#10;AAAADwAAAGRycy9kb3ducmV2LnhtbEVP32vCMBB+F/wfwg32IjOxMJFqWkQQfKiMVfd+NGdb1lxC&#10;k6nbX28Gg73dx/fzNuXdDuJKY+gda1jMFQjixpmeWw3n0/5lBSJEZIODY9LwTQHKYjrZYG7cjd/p&#10;WsdWpBAOOWroYvS5lKHpyGKYO0+cuIsbLcYEx1aaEW8p3A4yU2opLfacGjr0tOuo+ay/rIaPuqp+&#10;/H7mD8e3LMRQbZevtNX6+Wmh1iAi3eO/+M99MGm+yuD3mXSBLB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x0ubsAAADc&#10;AAAADwAAAAAAAAABACAAAAAiAAAAZHJzL2Rvd25yZXYueG1sUEsBAhQAFAAAAAgAh07iQDMvBZ47&#10;AAAAOQAAABAAAAAAAAAAAQAgAAAACgEAAGRycy9zaGFwZXhtbC54bWxQSwUGAAAAAAYABgBbAQAA&#10;tAMAAAAA&#10;" path="m186,4899l166,4899,156,4879,176,4879,186,48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zkDRIrwAAADc&#10;AAAADwAAAGRycy9kb3ducmV2LnhtbEVPS2sCMRC+C/0PYQq9iCZalLJuVkQQPGwprvY+bMbdxc0k&#10;bOKj/fVNodDbfHzPydcP24sbDaFzrGE2VSCIa2c6bjScjrvJG4gQkQ32jknDFwVYF0+jHDPj7nyg&#10;WxUbkUI4ZKihjdFnUoa6JYth6jxx4s5usBgTHBppBryncNvLuVJLabHj1NCip21L9aW6Wg2fVVl+&#10;+93Y798/5iGGcrNc0Ebrl+eZWoGI9Ij/4j/33qT56hV+n0kX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A0SK8AAAA&#10;3AAAAA8AAAAAAAAAAQAgAAAAIgAAAGRycy9kb3ducmV2LnhtbFBLAQIUABQAAAAIAIdO4kAzLwWe&#10;OwAAADkAAAAQAAAAAAAAAAEAIAAAAAsBAABkcnMvc2hhcGV4bWwueG1sUEsFBgAAAAAGAAYAWwEA&#10;ALUDAAAAAA==&#10;" path="m7258,4899l7238,4899,7247,4879,7267,4879,7258,48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QalJVrwAAADc&#10;AAAADwAAAGRycy9kb3ducmV2LnhtbEVPS2sCMRC+C/0PYQq9iCZKlbJuVkQQPGwprvY+bMbdxc0k&#10;bOKj/fVNodDbfHzPydcP24sbDaFzrGE2VSCIa2c6bjScjrvJG4gQkQ32jknDFwVYF0+jHDPj7nyg&#10;WxUbkUI4ZKihjdFnUoa6JYth6jxx4s5usBgTHBppBryncNvLuVJLabHj1NCip21L9aW6Wg2fVVl+&#10;+93Y798/5iGGcrNc0Ebrl+eZWoGI9Ij/4j/33qT56hV+n0kX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pSVa8AAAA&#10;3AAAAA8AAAAAAAAAAQAgAAAAIgAAAGRycy9kb3ducmV2LnhtbFBLAQIUABQAAAAIAIdO4kAzLwWe&#10;OwAAADkAAAAQAAAAAAAAAAEAIAAAAAsBAABkcnMvc2hhcGV4bWwueG1sUEsFBgAAAAAGAAYAWwEA&#10;ALUDAAAAAA==&#10;" path="m206,4919l186,4919,176,4899,196,4899,206,49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LuXszboAAADc&#10;AAAADwAAAGRycy9kb3ducmV2LnhtbEVPS4vCMBC+C/6HMIIXWRMFRbpGEUHwUJHtrvehmW3LNpPQ&#10;xOevN4Kwt/n4nrNc32wrLtSFxrGGyViBIC6dabjS8PO9+1iACBHZYOuYNNwpwHrV7y0xM+7KX3Qp&#10;YiVSCIcMNdQx+kzKUNZkMYydJ07cr+ssxgS7SpoOrynctnKq1FxabDg11OhpW1P5V5ythlOR5w+/&#10;G/n94TgNMeSb+Yw2Wg8HE/UJItIt/ovf7r1J89UMXs+kC+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5ezNugAAANwA&#10;AAAPAAAAAAAAAAEAIAAAACIAAABkcnMvZG93bnJldi54bWxQSwECFAAUAAAACACHTuJAMy8FnjsA&#10;AAA5AAAAEAAAAAAAAAABACAAAAAJAQAAZHJzL3NoYXBleG1sLnhtbFBLBQYAAAAABgAGAFsBAACz&#10;AwAAAAA=&#10;" path="m7238,4919l7218,4919,7228,4899,7248,4899,7238,49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3jdyursAAADc&#10;AAAADwAAAGRycy9kb3ducmV2LnhtbEVPS2sCMRC+C/0PYQq9SE0UushqFCkIe1gprvY+bMbdpZtJ&#10;2KS+fr0pFLzNx/ec5fpqe3GmIXSONUwnCgRx7UzHjYbjYfs+BxEissHeMWm4UYD16mW0xNy4C+/p&#10;XMVGpBAOOWpoY/S5lKFuyWKYOE+cuJMbLMYEh0aaAS8p3PZyplQmLXacGlr09NlS/VP9Wg3fVVne&#10;/Xbsi93XLMRQbrIP2mj99jpVCxCRrvEp/ncXJs1XGfw9ky6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dyursAAADc&#10;AAAADwAAAAAAAAABACAAAAAiAAAAZHJzL2Rvd25yZXYueG1sUEsBAhQAFAAAAAgAh07iQDMvBZ47&#10;AAAAOQAAABAAAAAAAAAAAQAgAAAACgEAAGRycy9zaGFwZXhtbC54bWxQSwUGAAAAAAYABgBbAQAA&#10;tAMAAAAA&#10;" path="m237,4939l206,4939,196,4919,226,4919,237,49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sXvXIbwAAADc&#10;AAAADwAAAGRycy9kb3ducmV2LnhtbEVPS2sCMRC+C/6HMAUvUhOF2rKaXUQQPGwp3ep92Iy7SzeT&#10;sInPX98UCr3Nx/ecdXGzvbjQEDrHGuYzBYK4dqbjRsPha/f8BiJEZIO9Y9JwpwBFPh6tMTPuyp90&#10;qWIjUgiHDDW0MfpMylC3ZDHMnCdO3MkNFmOCQyPNgNcUbnu5UGopLXacGlr0tG2p/q7OVsOxKsuH&#10;3039/v1jEWIoN8sX2mg9eZqrFYhIt/gv/nPvTZqvXuH3mXSB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71yG8AAAA&#10;3AAAAA8AAAAAAAAAAQAgAAAAIgAAAGRycy9kb3ducmV2LnhtbFBLAQIUABQAAAAIAIdO4kAzLwWe&#10;OwAAADkAAAAQAAAAAAAAAAEAIAAAAAsBAABkcnMvc2hhcGV4bWwueG1sUEsFBgAAAAAGAAYAWwEA&#10;ALUDAAAAAA==&#10;" path="m7217,4939l7187,4939,7198,4919,7228,4919,7217,49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wORDU78AAADc&#10;AAAADwAAAGRycy9kb3ducmV2LnhtbEWPT2vDMAzF74V9B6NBL6W1W2gZad1SBoUcMsay7S5iLQmL&#10;ZRN7/bNPPx0Ku0m8p/d+2h2uflBnGlMf2MJyYUARN8H13Fr4eD/Nn0CljOxwCEwWbpTgsH+Y7LBw&#10;4cJvdK5zqySEU4EWupxjoXVqOvKYFiESi/YVRo9Z1rHVbsSLhPtBr4zZaI89S0OHkZ47ar7rH2/h&#10;s66q33iaxfLldZVyqo6bNR2tnT4uzRZUpmv+N9+vSyf4RmjlGZlA7/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kQ1O/&#10;AAAA3AAAAA8AAAAAAAAAAQAgAAAAIgAAAGRycy9kb3ducmV2LnhtbFBLAQIUABQAAAAIAIdO4kAz&#10;LwWeOwAAADkAAAAQAAAAAAAAAAEAIAAAAA4BAABkcnMvc2hhcGV4bWwueG1sUEsFBgAAAAAGAAYA&#10;WwEAALgDAAAAAA==&#10;" path="m258,4959l239,4959,228,4939,247,4939,258,49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r6jmyLwAAADc&#10;AAAADwAAAGRycy9kb3ducmV2LnhtbEVPS2sCMRC+C/6HMAUvUhOFSruaXUQQPGwp3ep92Iy7SzeT&#10;sInPX98UCr3Nx/ecdXGzvbjQEDrHGuYzBYK4dqbjRsPha/f8CiJEZIO9Y9JwpwBFPh6tMTPuyp90&#10;qWIjUgiHDDW0MfpMylC3ZDHMnCdO3MkNFmOCQyPNgNcUbnu5UGopLXacGlr0tG2p/q7OVsOxKsuH&#10;3039/v1jEWIoN8sX2mg9eZqrFYhIt/gv/nPvTZqv3uD3mXSB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5si8AAAA&#10;3AAAAA8AAAAAAAAAAQAgAAAAIgAAAGRycy9kb3ducmV2LnhtbFBLAQIUABQAAAAIAIdO4kAzLwWe&#10;OwAAADkAAAAQAAAAAAAAAAEAIAAAAAsBAABkcnMvc2hhcGV4bWwueG1sUEsFBgAAAAAGAAYAWwEA&#10;ALUDAAAAAA==&#10;" path="m7185,4959l7165,4959,7176,4939,7196,4939,7185,49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u0vZiL4AAADc&#10;AAAADwAAAGRycy9kb3ducmV2LnhtbEWPT2vCQBDF70K/wzKFXqRuIigldRURBA8RMW3vQ3aahGZn&#10;l+z6p3565yB4m+G9ee83i9XV9epMQ+w8G8gnGSji2tuOGwPfX9v3D1AxIVvsPZOBf4qwWr6MFlhY&#10;f+EjnavUKAnhWKCBNqVQaB3rlhzGiQ/Eov36wWGSdWi0HfAi4a7X0yyba4cdS0OLgTYt1X/VyRn4&#10;qcryFrbjsNsfpjHFcj2f0dqYt9c8+wSV6Jqe5sf1zgp+LvjyjEy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0vZiL4A&#10;AADcAAAADwAAAAAAAAABACAAAAAiAAAAZHJzL2Rvd25yZXYueG1sUEsBAhQAFAAAAAgAh07iQDMv&#10;BZ47AAAAOQAAABAAAAAAAAAAAQAgAAAADQEAAGRycy9zaGFwZXhtbC54bWxQSwUGAAAAAAYABgBb&#10;AQAAtwMAAAAA&#10;" path="m292,4979l261,4979,250,4959,281,4959,292,49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1Ad8E7wAAADc&#10;AAAADwAAAGRycy9kb3ducmV2LnhtbEVPTWvCQBC9F/wPywi9FN0kUJGYVUQI5JBSGvU+ZMckmJ1d&#10;slu1/fXdQqG3ebzPKXYPM4obTX6wrCBdJiCIW6sH7hScjuViDcIHZI2jZVLwRR5229lTgbm2d/6g&#10;WxM6EUPY56igD8HlUvq2J4N+aR1x5C52MhginDqpJ7zHcDPKLElW0uDAsaFHR4ee2mvzaRScm7r+&#10;duWLq97eMx98vV+90l6p53mabEAEeoR/8Z+70nF+msLvM/EC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HfBO8AAAA&#10;3AAAAA8AAAAAAAAAAQAgAAAAIgAAAGRycy9kb3ducmV2LnhtbFBLAQIUABQAAAAIAIdO4kAzLwWe&#10;OwAAADkAAAAQAAAAAAAAAAEAIAAAAAsBAABkcnMvc2hhcGV4bWwueG1sUEsFBgAAAAAGAAYAWwEA&#10;ALUDAAAAAA==&#10;" path="m7162,4979l7131,4979,7143,4959,7174,4959,7162,49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JNXiZLsAAADc&#10;AAAADwAAAGRycy9kb3ducmV2LnhtbEVPS4vCMBC+C/sfwix4EU1bUJZqFFkQPFTEut6HZmzLNpPQ&#10;xMfurzeC4G0+vucsVnfTiSv1vrWsIJ0kIIgrq1uuFfwcN+MvED4ga+wsk4I/8rBafgwWmGt74wNd&#10;y1CLGMI+RwVNCC6X0lcNGfQT64gjd7a9wRBhX0vd4y2Gm05mSTKTBluODQ06+m6o+i0vRsGpLIp/&#10;txm57W6f+eCL9WxKa6WGn2kyBxHoHt7il3ur4/w0g+cz8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XiZLsAAADc&#10;AAAADwAAAAAAAAABACAAAAAiAAAAZHJzL2Rvd25yZXYueG1sUEsBAhQAFAAAAAgAh07iQDMvBZ47&#10;AAAAOQAAABAAAAAAAAAAAQAgAAAACgEAAGRycy9zaGFwZXhtbC54bWxQSwUGAAAAAAYABgBbAQAA&#10;tAMAAAAA&#10;" path="m328,4999l297,4999,285,4979,316,4979,328,49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S5lH/7sAAADc&#10;AAAADwAAAGRycy9kb3ducmV2LnhtbEVPS4vCMBC+C/sfwix4EU2rKEs1iiwIHipide9DM7bFZhKa&#10;rI/99RtB8DYf33MWq7tpxZU631hWkI4SEMSl1Q1XCk7HzfALhA/IGlvLpOBBHlbLj94CM21vfKBr&#10;ESoRQ9hnqKAOwWVS+rImg35kHXHkzrYzGCLsKqk7vMVw08pxksykwYZjQ42OvmsqL8WvUfBT5Pmf&#10;2wzcdrcf++Dz9WxKa6X6n2kyBxHoHt7il3ur4/x0As9n4gV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5lH/7sAAADc&#10;AAAADwAAAAAAAAABACAAAAAiAAAAZHJzL2Rvd25yZXYueG1sUEsBAhQAFAAAAAgAh07iQDMvBZ47&#10;AAAAOQAAABAAAAAAAAAAAQAgAAAACgEAAGRycy9zaGFwZXhtbC54bWxQSwUGAAAAAAYABgBbAQAA&#10;tAMAAAAA&#10;" path="m7127,4999l7096,4999,7108,4979,7139,4979,7127,49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xHDfi7sAAADc&#10;AAAADwAAAGRycy9kb3ducmV2LnhtbEVPS4vCMBC+C/sfwix4EU0rKks1iiwIHipide9DM7bFZhKa&#10;rI/99RtB8DYf33MWq7tpxZU631hWkI4SEMSl1Q1XCk7HzfALhA/IGlvLpOBBHlbLj94CM21vfKBr&#10;ESoRQ9hnqKAOwWVS+rImg35kHXHkzrYzGCLsKqk7vMVw08pxksykwYZjQ42OvmsqL8WvUfBT5Pmf&#10;2wzcdrcf++Dz9WxKa6X6n2kyBxHoHt7il3ur4/x0As9n4gV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Dfi7sAAADc&#10;AAAADwAAAAAAAAABACAAAAAiAAAAZHJzL2Rvd25yZXYueG1sUEsBAhQAFAAAAAgAh07iQDMvBZ47&#10;AAAAOQAAABAAAAAAAAAAAQAgAAAACgEAAGRycy9zaGFwZXhtbC54bWxQSwUGAAAAAAYABgBbAQAA&#10;tAMAAAAA&#10;" path="m378,5019l334,5019,321,4999,365,4999,378,50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qzx6ELwAAADc&#10;AAAADwAAAGRycy9kb3ducmV2LnhtbEVPyWrDMBC9F/IPYgK5lES2ISE4VkIIGHxwKXWb+2BNbVNr&#10;JCxl69dXhUJv83jrFIe7GcWVJj9YVpCuEhDErdUDdwo+3svlFoQPyBpHy6TgQR4O+9lTgbm2N36j&#10;axM6EUPY56igD8HlUvq2J4N+ZR1x5D7tZDBEOHVST3iL4WaUWZJspMGBY0OPjk49tV/NxSg4N3X9&#10;7cpnV728Zj74+rhZ01GpxTxNdiAC3cO/+M9d6Tg/XcPvM/EC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8ehC8AAAA&#10;3AAAAA8AAAAAAAAAAQAgAAAAIgAAAGRycy9kb3ducmV2LnhtbFBLAQIUABQAAAAIAIdO4kAzLwWe&#10;OwAAADkAAAAQAAAAAAAAAAEAIAAAAAsBAABkcnMvc2hhcGV4bWwueG1sUEsFBgAAAAAGAAYAWwEA&#10;ALUDAAAAAA==&#10;" path="m7090,5019l7046,5019,7059,4999,7102,4999,7090,50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W+7kZ7oAAADc&#10;AAAADwAAAGRycy9kb3ducmV2LnhtbEVPS4vCMBC+C/sfwix4kTWtYFmqUWRB8FAR6+59aMa2bDMJ&#10;TXz+eiMI3ubje858eTWdOFPvW8sK0nECgriyuuVawe9h/fUNwgdkjZ1lUnAjD8vFx2COubYX3tO5&#10;DLWIIexzVNCE4HIpfdWQQT+2jjhyR9sbDBH2tdQ9XmK46eQkSTJpsOXY0KCjn4aq//JkFPyVRXF3&#10;65HbbHcTH3yxyqa0Umr4mSYzEIGu4S1+uTc6zk8zeD4TL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7uRnugAAANwA&#10;AAAPAAAAAAAAAAEAIAAAACIAAABkcnMvZG93bnJldi54bWxQSwECFAAUAAAACACHTuJAMy8FnjsA&#10;AAA5AAAAEAAAAAAAAAABACAAAAAJAQAAZHJzL3NoYXBleG1sLnhtbFBLBQYAAAAABgAGAFsBAACz&#10;AwAAAAA=&#10;" path="m443,5039l385,5039,372,5019,429,5019,443,50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NKJB/LwAAADc&#10;AAAADwAAAGRycy9kb3ducmV2LnhtbEVPTWvCQBC9F/oflhG8FLOJ0FSiq0gh4CFFmrb3ITsmwezs&#10;kl017a/vFoTe5vE+Z7ObzCCuNPresoIsSUEQN1b33Cr4/CgXKxA+IGscLJOCb/Kw2z4+bLDQ9sbv&#10;dK1DK2II+wIVdCG4QkrfdGTQJ9YRR+5kR4MhwrGVesRbDDeDXKZpLg32HBs6dPTaUXOuL0bBV11V&#10;P658coe349IHX+3zZ9orNZ9l6RpEoCn8i+/ug47zsxf4eyZe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iQfy8AAAA&#10;3AAAAA8AAAAAAAAAAQAgAAAAIgAAAGRycy9kb3ducmV2LnhtbFBLAQIUABQAAAAIAIdO4kAzLwWe&#10;OwAAADkAAAAQAAAAAAAAAAEAIAAAAAsBAABkcnMvc2hhcGV4bWwueG1sUEsFBgAAAAAGAAYAWwEA&#10;ALUDAAAAAA==&#10;" path="m7038,5039l6981,5039,6994,5019,7051,5019,7038,50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RT3Vjr4AAADc&#10;AAAADwAAAGRycy9kb3ducmV2LnhtbEWPT2vCQBDF70K/wzKFXqRuIigldRURBA8RMW3vQ3aahGZn&#10;l+z6p3565yB4m+G9ee83i9XV9epMQ+w8G8gnGSji2tuOGwPfX9v3D1AxIVvsPZOBf4qwWr6MFlhY&#10;f+EjnavUKAnhWKCBNqVQaB3rlhzGiQ/Eov36wWGSdWi0HfAi4a7X0yyba4cdS0OLgTYt1X/VyRn4&#10;qcryFrbjsNsfpjHFcj2f0dqYt9c8+wSV6Jqe5sf1zgp+LrTyjEy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3Vjr4A&#10;AADcAAAADwAAAAAAAAABACAAAAAiAAAAZHJzL2Rvd25yZXYueG1sUEsBAhQAFAAAAAgAh07iQDMv&#10;BZ47AAAAOQAAABAAAAAAAAAAAQAgAAAADQEAAGRycy9zaGFwZXhtbC54bWxQSwUGAAAAAAYABgBb&#10;AQAAtwMAAAAA&#10;" path="m6956,5059l467,5059,453,5039,6970,5039,6956,5059xe">
                    <v:fill on="t" focussize="0,0"/>
                    <v:stroke on="f"/>
                    <v:imagedata o:title=""/>
                    <o:lock v:ext="edit" aspectratio="f"/>
                  </v:shape>
                </v:group>
                <w10:wrap type="none"/>
                <w10:anchorlock/>
              </v:group>
            </w:pict>
          </mc:Fallback>
        </mc:AlternateContent>
      </w:r>
    </w:p>
    <w:p>
      <w:pPr>
        <w:pStyle w:val="9"/>
        <w:kinsoku w:val="0"/>
        <w:overflowPunct w:val="0"/>
        <w:spacing w:before="174"/>
        <w:rPr>
          <w:rFonts w:hint="eastAsia" w:ascii="仿宋" w:hAnsi="仿宋" w:eastAsia="仿宋" w:cs="仿宋"/>
          <w:b/>
          <w:bCs/>
          <w:spacing w:val="1"/>
          <w:sz w:val="21"/>
          <w:szCs w:val="21"/>
        </w:rPr>
      </w:pPr>
    </w:p>
    <w:p>
      <w:pPr>
        <w:pStyle w:val="9"/>
        <w:kinsoku w:val="0"/>
        <w:overflowPunct w:val="0"/>
        <w:spacing w:before="174"/>
        <w:rPr>
          <w:rFonts w:hint="eastAsia" w:ascii="仿宋" w:hAnsi="仿宋" w:eastAsia="仿宋" w:cs="仿宋"/>
          <w:sz w:val="21"/>
          <w:szCs w:val="21"/>
        </w:rPr>
      </w:pPr>
      <w:r>
        <w:rPr>
          <w:rFonts w:hint="eastAsia" w:ascii="仿宋" w:hAnsi="仿宋" w:eastAsia="仿宋" w:cs="仿宋"/>
          <w:b/>
          <w:bCs/>
          <w:spacing w:val="1"/>
          <w:sz w:val="21"/>
          <w:szCs w:val="21"/>
        </w:rPr>
        <w:t>★备注：投标保证金缴费回单复印件加盖公章</w:t>
      </w:r>
    </w:p>
    <w:p>
      <w:pPr>
        <w:pStyle w:val="9"/>
        <w:kinsoku w:val="0"/>
        <w:overflowPunct w:val="0"/>
        <w:spacing w:before="34" w:line="357" w:lineRule="auto"/>
        <w:ind w:right="126" w:firstLine="480"/>
        <w:jc w:val="center"/>
        <w:rPr>
          <w:rFonts w:hint="eastAsia" w:ascii="仿宋" w:hAnsi="仿宋" w:eastAsia="仿宋" w:cs="仿宋"/>
          <w:b/>
          <w:bCs/>
        </w:rPr>
      </w:pPr>
      <w:r>
        <w:rPr>
          <w:rFonts w:hint="eastAsia" w:ascii="仿宋" w:hAnsi="仿宋" w:eastAsia="仿宋" w:cs="仿宋"/>
        </w:rPr>
        <w:br w:type="page"/>
      </w:r>
      <w:r>
        <w:rPr>
          <w:rFonts w:hint="eastAsia" w:ascii="仿宋" w:hAnsi="仿宋" w:eastAsia="仿宋" w:cs="仿宋"/>
          <w:b/>
          <w:bCs/>
          <w:sz w:val="36"/>
          <w:szCs w:val="36"/>
        </w:rPr>
        <w:t>五、投标报价单</w:t>
      </w:r>
    </w:p>
    <w:p>
      <w:pPr>
        <w:pStyle w:val="9"/>
        <w:kinsoku w:val="0"/>
        <w:overflowPunct w:val="0"/>
        <w:spacing w:before="6"/>
        <w:ind w:left="0"/>
        <w:rPr>
          <w:rFonts w:hint="eastAsia" w:ascii="仿宋" w:hAnsi="仿宋" w:eastAsia="仿宋" w:cs="仿宋"/>
          <w:b/>
          <w:bCs/>
          <w:sz w:val="26"/>
          <w:szCs w:val="26"/>
        </w:rPr>
      </w:pPr>
    </w:p>
    <w:p>
      <w:pPr>
        <w:rPr>
          <w:rFonts w:hint="eastAsia" w:ascii="仿宋" w:hAnsi="仿宋" w:eastAsia="仿宋" w:cs="仿宋"/>
          <w:kern w:val="0"/>
          <w:sz w:val="24"/>
          <w:szCs w:val="24"/>
          <w:u w:val="single"/>
        </w:rPr>
      </w:pPr>
      <w:r>
        <w:rPr>
          <w:rFonts w:hint="eastAsia" w:ascii="仿宋" w:hAnsi="仿宋" w:eastAsia="仿宋" w:cs="仿宋"/>
          <w:kern w:val="0"/>
          <w:sz w:val="24"/>
          <w:szCs w:val="24"/>
        </w:rPr>
        <w:t>采购项目名称：</w:t>
      </w:r>
      <w:r>
        <w:rPr>
          <w:rFonts w:hint="eastAsia" w:ascii="仿宋" w:hAnsi="仿宋" w:eastAsia="仿宋" w:cs="仿宋"/>
          <w:kern w:val="0"/>
          <w:sz w:val="24"/>
          <w:szCs w:val="24"/>
          <w:u w:val="single"/>
        </w:rPr>
        <w:t>　                              　　</w:t>
      </w:r>
    </w:p>
    <w:p>
      <w:pPr>
        <w:rPr>
          <w:rFonts w:hint="eastAsia" w:ascii="仿宋" w:hAnsi="仿宋" w:eastAsia="仿宋" w:cs="仿宋"/>
          <w:kern w:val="0"/>
          <w:sz w:val="24"/>
          <w:szCs w:val="24"/>
          <w:u w:val="single"/>
        </w:rPr>
      </w:pPr>
      <w:r>
        <w:rPr>
          <w:rFonts w:hint="eastAsia" w:ascii="仿宋" w:hAnsi="仿宋" w:eastAsia="仿宋" w:cs="仿宋"/>
          <w:kern w:val="0"/>
          <w:sz w:val="24"/>
          <w:szCs w:val="24"/>
        </w:rPr>
        <w:t>采购项目编号：</w:t>
      </w:r>
      <w:r>
        <w:rPr>
          <w:rFonts w:hint="eastAsia" w:ascii="仿宋" w:hAnsi="仿宋" w:eastAsia="仿宋" w:cs="仿宋"/>
          <w:kern w:val="0"/>
          <w:sz w:val="24"/>
          <w:szCs w:val="24"/>
          <w:u w:val="single"/>
        </w:rPr>
        <w:t>　                              　　</w:t>
      </w:r>
    </w:p>
    <w:tbl>
      <w:tblPr>
        <w:tblStyle w:val="15"/>
        <w:tblW w:w="9420" w:type="dxa"/>
        <w:jc w:val="center"/>
        <w:tblLayout w:type="fixed"/>
        <w:tblCellMar>
          <w:top w:w="0" w:type="dxa"/>
          <w:left w:w="108" w:type="dxa"/>
          <w:bottom w:w="0" w:type="dxa"/>
          <w:right w:w="108" w:type="dxa"/>
        </w:tblCellMar>
      </w:tblPr>
      <w:tblGrid>
        <w:gridCol w:w="1728"/>
        <w:gridCol w:w="7692"/>
      </w:tblGrid>
      <w:tr>
        <w:tblPrEx>
          <w:tblCellMar>
            <w:top w:w="0" w:type="dxa"/>
            <w:left w:w="108" w:type="dxa"/>
            <w:bottom w:w="0" w:type="dxa"/>
            <w:right w:w="108" w:type="dxa"/>
          </w:tblCellMar>
        </w:tblPrEx>
        <w:trPr>
          <w:cantSplit/>
          <w:trHeight w:val="567" w:hRule="atLeast"/>
          <w:jc w:val="center"/>
        </w:trPr>
        <w:tc>
          <w:tcPr>
            <w:tcW w:w="1728" w:type="dxa"/>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分项</w:t>
            </w:r>
          </w:p>
        </w:tc>
        <w:tc>
          <w:tcPr>
            <w:tcW w:w="76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金额(元)</w:t>
            </w:r>
          </w:p>
        </w:tc>
      </w:tr>
      <w:tr>
        <w:tblPrEx>
          <w:tblCellMar>
            <w:top w:w="0" w:type="dxa"/>
            <w:left w:w="108" w:type="dxa"/>
            <w:bottom w:w="0" w:type="dxa"/>
            <w:right w:w="108" w:type="dxa"/>
          </w:tblCellMar>
        </w:tblPrEx>
        <w:trPr>
          <w:cantSplit/>
          <w:trHeight w:val="567" w:hRule="atLeast"/>
          <w:jc w:val="center"/>
        </w:trPr>
        <w:tc>
          <w:tcPr>
            <w:tcW w:w="1728" w:type="dxa"/>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总报价</w:t>
            </w:r>
          </w:p>
        </w:tc>
        <w:tc>
          <w:tcPr>
            <w:tcW w:w="769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（大写）人民币                      元整（￥           ）</w:t>
            </w:r>
          </w:p>
        </w:tc>
      </w:tr>
      <w:tr>
        <w:tblPrEx>
          <w:tblCellMar>
            <w:top w:w="0" w:type="dxa"/>
            <w:left w:w="108" w:type="dxa"/>
            <w:bottom w:w="0" w:type="dxa"/>
            <w:right w:w="108" w:type="dxa"/>
          </w:tblCellMar>
        </w:tblPrEx>
        <w:trPr>
          <w:cantSplit/>
          <w:trHeight w:val="567" w:hRule="atLeast"/>
          <w:jc w:val="center"/>
        </w:trPr>
        <w:tc>
          <w:tcPr>
            <w:tcW w:w="1728" w:type="dxa"/>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服务</w:t>
            </w:r>
            <w:r>
              <w:rPr>
                <w:rFonts w:hint="eastAsia" w:ascii="仿宋" w:hAnsi="仿宋" w:eastAsia="仿宋" w:cs="仿宋"/>
                <w:kern w:val="0"/>
                <w:sz w:val="24"/>
                <w:szCs w:val="24"/>
              </w:rPr>
              <w:t>期</w:t>
            </w:r>
          </w:p>
        </w:tc>
        <w:tc>
          <w:tcPr>
            <w:tcW w:w="769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0"/>
                <w:sz w:val="24"/>
                <w:szCs w:val="24"/>
              </w:rPr>
            </w:pPr>
          </w:p>
        </w:tc>
      </w:tr>
      <w:tr>
        <w:tblPrEx>
          <w:tblCellMar>
            <w:top w:w="0" w:type="dxa"/>
            <w:left w:w="108" w:type="dxa"/>
            <w:bottom w:w="0" w:type="dxa"/>
            <w:right w:w="108" w:type="dxa"/>
          </w:tblCellMar>
        </w:tblPrEx>
        <w:trPr>
          <w:cantSplit/>
          <w:trHeight w:val="567" w:hRule="atLeast"/>
          <w:jc w:val="center"/>
        </w:trPr>
        <w:tc>
          <w:tcPr>
            <w:tcW w:w="1728" w:type="dxa"/>
            <w:tcBorders>
              <w:top w:val="single" w:color="000000" w:sz="4" w:space="0"/>
              <w:left w:val="single" w:color="000000" w:sz="4" w:space="0"/>
              <w:bottom w:val="single" w:color="000000" w:sz="4" w:space="0"/>
            </w:tcBorders>
            <w:vAlign w:val="center"/>
          </w:tcPr>
          <w:p>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质保期</w:t>
            </w:r>
          </w:p>
        </w:tc>
        <w:tc>
          <w:tcPr>
            <w:tcW w:w="769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0"/>
                <w:sz w:val="24"/>
                <w:szCs w:val="24"/>
              </w:rPr>
            </w:pPr>
          </w:p>
        </w:tc>
      </w:tr>
      <w:tr>
        <w:tblPrEx>
          <w:tblCellMar>
            <w:top w:w="0" w:type="dxa"/>
            <w:left w:w="108" w:type="dxa"/>
            <w:bottom w:w="0" w:type="dxa"/>
            <w:right w:w="108" w:type="dxa"/>
          </w:tblCellMar>
        </w:tblPrEx>
        <w:trPr>
          <w:cantSplit/>
          <w:trHeight w:val="567" w:hRule="atLeast"/>
          <w:jc w:val="center"/>
        </w:trPr>
        <w:tc>
          <w:tcPr>
            <w:tcW w:w="1728" w:type="dxa"/>
            <w:tcBorders>
              <w:top w:val="single" w:color="000000" w:sz="4" w:space="0"/>
              <w:left w:val="single" w:color="000000" w:sz="4" w:space="0"/>
              <w:bottom w:val="single" w:color="000000" w:sz="2" w:space="0"/>
            </w:tcBorders>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备注</w:t>
            </w:r>
          </w:p>
        </w:tc>
        <w:tc>
          <w:tcPr>
            <w:tcW w:w="7692" w:type="dxa"/>
            <w:tcBorders>
              <w:top w:val="single" w:color="000000" w:sz="4" w:space="0"/>
              <w:left w:val="single" w:color="000000" w:sz="4" w:space="0"/>
              <w:bottom w:val="single" w:color="000000" w:sz="2" w:space="0"/>
              <w:right w:val="single" w:color="000000" w:sz="4" w:space="0"/>
            </w:tcBorders>
            <w:vAlign w:val="center"/>
          </w:tcPr>
          <w:p>
            <w:pPr>
              <w:rPr>
                <w:rFonts w:hint="eastAsia" w:ascii="仿宋" w:hAnsi="仿宋" w:eastAsia="仿宋" w:cs="仿宋"/>
                <w:kern w:val="0"/>
                <w:sz w:val="24"/>
                <w:szCs w:val="24"/>
              </w:rPr>
            </w:pPr>
          </w:p>
        </w:tc>
      </w:tr>
    </w:tbl>
    <w:p>
      <w:pPr>
        <w:spacing w:line="480" w:lineRule="exact"/>
        <w:ind w:firstLine="420"/>
        <w:rPr>
          <w:rFonts w:hint="eastAsia" w:ascii="仿宋" w:hAnsi="仿宋" w:eastAsia="仿宋" w:cs="仿宋"/>
          <w:kern w:val="0"/>
          <w:sz w:val="24"/>
          <w:szCs w:val="24"/>
        </w:rPr>
      </w:pPr>
      <w:r>
        <w:rPr>
          <w:rFonts w:hint="eastAsia" w:ascii="仿宋" w:hAnsi="仿宋" w:eastAsia="仿宋" w:cs="仿宋"/>
          <w:kern w:val="0"/>
          <w:sz w:val="24"/>
          <w:szCs w:val="24"/>
        </w:rPr>
        <w:t>注：1.此表总报价是所有需采购人支付的金额总数，包括《磋商内容》要求的全部内容。</w:t>
      </w:r>
    </w:p>
    <w:p>
      <w:pPr>
        <w:spacing w:line="480" w:lineRule="exact"/>
        <w:ind w:firstLine="420"/>
        <w:rPr>
          <w:rFonts w:hint="eastAsia" w:ascii="仿宋" w:hAnsi="仿宋" w:eastAsia="仿宋" w:cs="仿宋"/>
          <w:kern w:val="0"/>
          <w:sz w:val="24"/>
          <w:szCs w:val="24"/>
        </w:rPr>
      </w:pPr>
      <w:r>
        <w:rPr>
          <w:rFonts w:hint="eastAsia" w:ascii="仿宋" w:hAnsi="仿宋" w:eastAsia="仿宋" w:cs="仿宋"/>
          <w:kern w:val="0"/>
          <w:sz w:val="24"/>
          <w:szCs w:val="24"/>
        </w:rPr>
        <w:t>2.总报价中必须包含购置、安装、运输保险、装卸、培训辅导、质保期售后服务、全额含税发票、雇员费用、合同实施过程中应预见和不可预见费用等。所有价格均应予人民币报价，金额单位为元。</w:t>
      </w:r>
    </w:p>
    <w:p>
      <w:pPr>
        <w:pStyle w:val="9"/>
        <w:tabs>
          <w:tab w:val="left" w:pos="8227"/>
        </w:tabs>
        <w:kinsoku w:val="0"/>
        <w:overflowPunct w:val="0"/>
        <w:spacing w:before="0" w:line="381" w:lineRule="auto"/>
        <w:ind w:left="4027" w:right="118"/>
        <w:rPr>
          <w:rFonts w:hint="eastAsia" w:ascii="仿宋" w:hAnsi="仿宋" w:eastAsia="仿宋" w:cs="仿宋"/>
        </w:rPr>
      </w:pPr>
    </w:p>
    <w:p>
      <w:pPr>
        <w:pStyle w:val="9"/>
        <w:tabs>
          <w:tab w:val="left" w:pos="8227"/>
        </w:tabs>
        <w:kinsoku w:val="0"/>
        <w:overflowPunct w:val="0"/>
        <w:spacing w:before="0" w:line="381" w:lineRule="auto"/>
        <w:ind w:left="4027" w:right="118"/>
        <w:rPr>
          <w:rFonts w:hint="eastAsia" w:ascii="仿宋" w:hAnsi="仿宋" w:eastAsia="仿宋" w:cs="仿宋"/>
        </w:rPr>
      </w:pPr>
      <w:r>
        <w:rPr>
          <w:rFonts w:hint="eastAsia" w:ascii="仿宋" w:hAnsi="仿宋" w:eastAsia="仿宋" w:cs="仿宋"/>
        </w:rPr>
        <w:t>供应商：</w:t>
      </w:r>
      <w:r>
        <w:rPr>
          <w:rFonts w:hint="eastAsia" w:ascii="仿宋" w:hAnsi="仿宋" w:eastAsia="仿宋" w:cs="仿宋"/>
          <w:u w:val="single"/>
        </w:rPr>
        <w:tab/>
      </w:r>
      <w:r>
        <w:rPr>
          <w:rFonts w:hint="eastAsia" w:ascii="仿宋" w:hAnsi="仿宋" w:eastAsia="仿宋" w:cs="仿宋"/>
          <w:w w:val="95"/>
        </w:rPr>
        <w:t>（盖章）</w:t>
      </w:r>
      <w:r>
        <w:rPr>
          <w:rFonts w:hint="eastAsia" w:ascii="仿宋" w:hAnsi="仿宋" w:eastAsia="仿宋" w:cs="仿宋"/>
        </w:rPr>
        <w:t xml:space="preserve"> </w:t>
      </w:r>
    </w:p>
    <w:p>
      <w:pPr>
        <w:pStyle w:val="9"/>
        <w:tabs>
          <w:tab w:val="left" w:pos="8227"/>
        </w:tabs>
        <w:kinsoku w:val="0"/>
        <w:overflowPunct w:val="0"/>
        <w:spacing w:before="0" w:line="381" w:lineRule="auto"/>
        <w:ind w:left="4027" w:right="118"/>
        <w:rPr>
          <w:rFonts w:hint="eastAsia" w:ascii="仿宋" w:hAnsi="仿宋" w:eastAsia="仿宋" w:cs="仿宋"/>
          <w:w w:val="95"/>
        </w:rPr>
      </w:pPr>
      <w:r>
        <w:rPr>
          <w:rFonts w:hint="eastAsia" w:ascii="仿宋" w:hAnsi="仿宋" w:eastAsia="仿宋" w:cs="仿宋"/>
        </w:rPr>
        <w:t>法定代表人或被授权人：</w:t>
      </w:r>
      <w:r>
        <w:rPr>
          <w:rFonts w:hint="eastAsia" w:ascii="仿宋" w:hAnsi="仿宋" w:eastAsia="仿宋" w:cs="仿宋"/>
          <w:u w:val="single"/>
        </w:rPr>
        <w:tab/>
      </w:r>
      <w:r>
        <w:rPr>
          <w:rFonts w:hint="eastAsia" w:ascii="仿宋" w:hAnsi="仿宋" w:eastAsia="仿宋" w:cs="仿宋"/>
          <w:w w:val="95"/>
        </w:rPr>
        <w:t>（签字）</w:t>
      </w:r>
    </w:p>
    <w:p>
      <w:pPr>
        <w:pStyle w:val="9"/>
        <w:tabs>
          <w:tab w:val="left" w:pos="5551"/>
          <w:tab w:val="left" w:pos="6511"/>
          <w:tab w:val="left" w:pos="7111"/>
          <w:tab w:val="left" w:pos="7711"/>
        </w:tabs>
        <w:kinsoku w:val="0"/>
        <w:overflowPunct w:val="0"/>
        <w:spacing w:before="46"/>
        <w:ind w:left="2583" w:firstLine="2248"/>
        <w:rPr>
          <w:rFonts w:hint="eastAsia" w:ascii="仿宋" w:hAnsi="仿宋" w:eastAsia="仿宋" w:cs="仿宋"/>
        </w:rPr>
      </w:pPr>
      <w:r>
        <w:rPr>
          <w:rFonts w:hint="eastAsia" w:ascii="仿宋" w:hAnsi="仿宋" w:eastAsia="仿宋" w:cs="仿宋"/>
        </w:rPr>
        <w:t>日</w:t>
      </w:r>
      <w:r>
        <w:rPr>
          <w:rFonts w:hint="eastAsia" w:ascii="仿宋" w:hAnsi="仿宋" w:eastAsia="仿宋" w:cs="仿宋"/>
        </w:rPr>
        <w:tab/>
      </w:r>
      <w:r>
        <w:rPr>
          <w:rFonts w:hint="eastAsia" w:ascii="仿宋" w:hAnsi="仿宋" w:eastAsia="仿宋" w:cs="仿宋"/>
        </w:rPr>
        <w:t>期：</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ab/>
      </w:r>
      <w:r>
        <w:rPr>
          <w:rFonts w:hint="eastAsia" w:ascii="仿宋" w:hAnsi="仿宋" w:eastAsia="仿宋" w:cs="仿宋"/>
        </w:rPr>
        <w:t>日</w:t>
      </w:r>
    </w:p>
    <w:p>
      <w:pPr>
        <w:pStyle w:val="9"/>
        <w:kinsoku w:val="0"/>
        <w:overflowPunct w:val="0"/>
        <w:spacing w:before="34" w:line="357" w:lineRule="auto"/>
        <w:ind w:right="126" w:firstLine="480"/>
        <w:jc w:val="center"/>
        <w:rPr>
          <w:rFonts w:hint="eastAsia" w:ascii="仿宋" w:hAnsi="仿宋" w:eastAsia="仿宋" w:cs="仿宋"/>
        </w:rPr>
      </w:pPr>
    </w:p>
    <w:p>
      <w:pPr>
        <w:pStyle w:val="9"/>
        <w:kinsoku w:val="0"/>
        <w:overflowPunct w:val="0"/>
        <w:spacing w:before="34" w:line="357" w:lineRule="auto"/>
        <w:ind w:right="126" w:firstLine="480"/>
        <w:jc w:val="center"/>
        <w:rPr>
          <w:rFonts w:hint="eastAsia" w:ascii="仿宋" w:hAnsi="仿宋" w:eastAsia="仿宋" w:cs="仿宋"/>
        </w:rPr>
      </w:pPr>
    </w:p>
    <w:p>
      <w:pPr>
        <w:pStyle w:val="9"/>
        <w:kinsoku w:val="0"/>
        <w:overflowPunct w:val="0"/>
        <w:spacing w:before="34" w:line="357" w:lineRule="auto"/>
        <w:ind w:right="126" w:firstLine="480"/>
        <w:jc w:val="center"/>
        <w:rPr>
          <w:rFonts w:hint="eastAsia" w:ascii="仿宋" w:hAnsi="仿宋" w:eastAsia="仿宋" w:cs="仿宋"/>
        </w:rPr>
      </w:pPr>
    </w:p>
    <w:p>
      <w:pPr>
        <w:pStyle w:val="9"/>
        <w:kinsoku w:val="0"/>
        <w:overflowPunct w:val="0"/>
        <w:spacing w:before="34" w:line="357" w:lineRule="auto"/>
        <w:ind w:right="126" w:firstLine="480"/>
        <w:jc w:val="center"/>
        <w:rPr>
          <w:rFonts w:hint="eastAsia" w:ascii="仿宋" w:hAnsi="仿宋" w:eastAsia="仿宋" w:cs="仿宋"/>
        </w:rPr>
      </w:pPr>
    </w:p>
    <w:p>
      <w:pPr>
        <w:pStyle w:val="9"/>
        <w:kinsoku w:val="0"/>
        <w:overflowPunct w:val="0"/>
        <w:spacing w:before="34" w:line="357" w:lineRule="auto"/>
        <w:ind w:right="126" w:firstLine="480"/>
        <w:jc w:val="center"/>
        <w:rPr>
          <w:rFonts w:hint="eastAsia" w:ascii="仿宋" w:hAnsi="仿宋" w:eastAsia="仿宋" w:cs="仿宋"/>
        </w:rPr>
      </w:pPr>
    </w:p>
    <w:p>
      <w:pPr>
        <w:pStyle w:val="9"/>
        <w:kinsoku w:val="0"/>
        <w:overflowPunct w:val="0"/>
        <w:spacing w:before="34" w:line="357" w:lineRule="auto"/>
        <w:ind w:right="126" w:firstLine="480"/>
        <w:jc w:val="center"/>
        <w:rPr>
          <w:rFonts w:hint="eastAsia" w:ascii="仿宋" w:hAnsi="仿宋" w:eastAsia="仿宋" w:cs="仿宋"/>
        </w:rPr>
      </w:pPr>
    </w:p>
    <w:p>
      <w:pPr>
        <w:pStyle w:val="9"/>
        <w:kinsoku w:val="0"/>
        <w:overflowPunct w:val="0"/>
        <w:spacing w:before="34" w:line="357" w:lineRule="auto"/>
        <w:ind w:right="126" w:firstLine="480"/>
        <w:jc w:val="center"/>
        <w:rPr>
          <w:rFonts w:hint="eastAsia" w:ascii="仿宋" w:hAnsi="仿宋" w:eastAsia="仿宋" w:cs="仿宋"/>
        </w:rPr>
      </w:pPr>
    </w:p>
    <w:p>
      <w:pPr>
        <w:pStyle w:val="9"/>
        <w:kinsoku w:val="0"/>
        <w:overflowPunct w:val="0"/>
        <w:spacing w:before="34" w:line="357" w:lineRule="auto"/>
        <w:ind w:right="126" w:firstLine="480"/>
        <w:jc w:val="center"/>
        <w:rPr>
          <w:rFonts w:hint="eastAsia" w:ascii="仿宋" w:hAnsi="仿宋" w:eastAsia="仿宋" w:cs="仿宋"/>
        </w:rPr>
      </w:pPr>
    </w:p>
    <w:p>
      <w:pPr>
        <w:pStyle w:val="9"/>
        <w:kinsoku w:val="0"/>
        <w:overflowPunct w:val="0"/>
        <w:spacing w:before="34" w:line="357" w:lineRule="auto"/>
        <w:ind w:right="126" w:firstLine="480"/>
        <w:jc w:val="center"/>
        <w:rPr>
          <w:rFonts w:hint="eastAsia" w:ascii="仿宋" w:hAnsi="仿宋" w:eastAsia="仿宋" w:cs="仿宋"/>
        </w:rPr>
      </w:pPr>
    </w:p>
    <w:p>
      <w:pPr>
        <w:pStyle w:val="9"/>
        <w:kinsoku w:val="0"/>
        <w:overflowPunct w:val="0"/>
        <w:spacing w:before="34" w:line="357" w:lineRule="auto"/>
        <w:ind w:right="126" w:firstLine="480"/>
        <w:jc w:val="center"/>
        <w:rPr>
          <w:rFonts w:hint="eastAsia" w:ascii="仿宋" w:hAnsi="仿宋" w:eastAsia="仿宋" w:cs="仿宋"/>
        </w:rPr>
      </w:pPr>
    </w:p>
    <w:p>
      <w:pPr>
        <w:pStyle w:val="9"/>
        <w:kinsoku w:val="0"/>
        <w:overflowPunct w:val="0"/>
        <w:spacing w:before="34" w:line="357" w:lineRule="auto"/>
        <w:ind w:right="126" w:firstLine="480"/>
        <w:jc w:val="center"/>
        <w:rPr>
          <w:rFonts w:hint="eastAsia" w:ascii="仿宋" w:hAnsi="仿宋" w:eastAsia="仿宋" w:cs="仿宋"/>
        </w:rPr>
      </w:pPr>
    </w:p>
    <w:p>
      <w:pPr>
        <w:pStyle w:val="9"/>
        <w:kinsoku w:val="0"/>
        <w:overflowPunct w:val="0"/>
        <w:spacing w:before="34" w:line="357" w:lineRule="auto"/>
        <w:ind w:right="126" w:firstLine="480"/>
        <w:jc w:val="center"/>
        <w:rPr>
          <w:rFonts w:hint="eastAsia" w:ascii="仿宋" w:hAnsi="仿宋" w:eastAsia="仿宋" w:cs="仿宋"/>
        </w:rPr>
      </w:pPr>
    </w:p>
    <w:p>
      <w:pPr>
        <w:pStyle w:val="9"/>
        <w:kinsoku w:val="0"/>
        <w:overflowPunct w:val="0"/>
        <w:spacing w:before="34" w:line="357" w:lineRule="auto"/>
        <w:ind w:right="126" w:firstLine="480"/>
        <w:jc w:val="center"/>
        <w:rPr>
          <w:rFonts w:hint="eastAsia" w:ascii="仿宋" w:hAnsi="仿宋" w:eastAsia="仿宋" w:cs="仿宋"/>
        </w:rPr>
      </w:pPr>
    </w:p>
    <w:p>
      <w:pPr>
        <w:pStyle w:val="9"/>
        <w:kinsoku w:val="0"/>
        <w:overflowPunct w:val="0"/>
        <w:spacing w:before="34" w:line="357" w:lineRule="auto"/>
        <w:ind w:right="126" w:firstLine="480"/>
        <w:jc w:val="center"/>
        <w:rPr>
          <w:rFonts w:hint="eastAsia" w:ascii="仿宋" w:hAnsi="仿宋" w:eastAsia="仿宋" w:cs="仿宋"/>
        </w:rPr>
      </w:pPr>
    </w:p>
    <w:p>
      <w:pPr>
        <w:spacing w:line="440" w:lineRule="exact"/>
        <w:ind w:firstLine="4176" w:firstLineChars="1300"/>
        <w:rPr>
          <w:rFonts w:hint="eastAsia" w:ascii="仿宋" w:hAnsi="仿宋" w:eastAsia="仿宋" w:cs="仿宋"/>
          <w:b/>
          <w:sz w:val="32"/>
          <w:szCs w:val="32"/>
        </w:rPr>
      </w:pPr>
      <w:r>
        <w:rPr>
          <w:rFonts w:hint="eastAsia" w:ascii="仿宋" w:hAnsi="仿宋" w:eastAsia="仿宋" w:cs="仿宋"/>
          <w:b/>
          <w:sz w:val="32"/>
          <w:szCs w:val="32"/>
        </w:rPr>
        <w:t>明细报价表</w:t>
      </w:r>
    </w:p>
    <w:p>
      <w:pPr>
        <w:tabs>
          <w:tab w:val="left" w:pos="5100"/>
        </w:tabs>
        <w:spacing w:line="440" w:lineRule="exact"/>
        <w:ind w:firstLine="411" w:firstLineChars="147"/>
        <w:rPr>
          <w:rFonts w:hint="eastAsia" w:ascii="仿宋" w:hAnsi="仿宋" w:eastAsia="仿宋" w:cs="仿宋"/>
          <w:bCs/>
          <w:sz w:val="28"/>
          <w:szCs w:val="28"/>
        </w:rPr>
      </w:pPr>
    </w:p>
    <w:p>
      <w:pPr>
        <w:tabs>
          <w:tab w:val="left" w:pos="5100"/>
        </w:tabs>
        <w:spacing w:line="440" w:lineRule="exact"/>
        <w:ind w:firstLine="411" w:firstLineChars="147"/>
        <w:rPr>
          <w:rFonts w:hint="eastAsia" w:ascii="仿宋" w:hAnsi="仿宋" w:eastAsia="仿宋" w:cs="仿宋"/>
          <w:bCs/>
          <w:sz w:val="28"/>
          <w:szCs w:val="28"/>
        </w:rPr>
      </w:pPr>
      <w:r>
        <w:rPr>
          <w:rFonts w:hint="eastAsia" w:ascii="仿宋" w:hAnsi="仿宋" w:eastAsia="仿宋" w:cs="仿宋"/>
          <w:bCs/>
          <w:sz w:val="28"/>
          <w:szCs w:val="28"/>
        </w:rPr>
        <w:t>项目名称：                                 招标编号：</w:t>
      </w:r>
      <w:r>
        <w:rPr>
          <w:rFonts w:hint="eastAsia" w:ascii="仿宋" w:hAnsi="仿宋" w:eastAsia="仿宋" w:cs="仿宋"/>
          <w:sz w:val="28"/>
          <w:szCs w:val="28"/>
        </w:rPr>
        <w:t xml:space="preserve"> </w:t>
      </w:r>
    </w:p>
    <w:p>
      <w:pPr>
        <w:pStyle w:val="19"/>
        <w:spacing w:line="440" w:lineRule="exact"/>
        <w:ind w:left="208" w:leftChars="99" w:firstLine="140" w:firstLineChars="50"/>
        <w:jc w:val="both"/>
        <w:rPr>
          <w:rFonts w:hint="eastAsia" w:ascii="仿宋" w:hAnsi="仿宋" w:eastAsia="仿宋" w:cs="仿宋"/>
          <w:color w:val="auto"/>
          <w:sz w:val="28"/>
          <w:szCs w:val="28"/>
        </w:rPr>
      </w:pPr>
    </w:p>
    <w:p>
      <w:pPr>
        <w:pStyle w:val="19"/>
        <w:spacing w:line="440" w:lineRule="exact"/>
        <w:ind w:left="208" w:leftChars="99" w:firstLine="140" w:firstLineChars="50"/>
        <w:jc w:val="both"/>
        <w:rPr>
          <w:rFonts w:hint="eastAsia" w:ascii="仿宋" w:hAnsi="仿宋" w:eastAsia="仿宋" w:cs="仿宋"/>
          <w:bCs/>
          <w:color w:val="auto"/>
          <w:kern w:val="2"/>
          <w:sz w:val="28"/>
          <w:szCs w:val="28"/>
        </w:rPr>
      </w:pPr>
      <w:r>
        <w:rPr>
          <w:rFonts w:hint="eastAsia" w:ascii="仿宋" w:hAnsi="仿宋" w:eastAsia="仿宋" w:cs="仿宋"/>
          <w:color w:val="auto"/>
          <w:sz w:val="28"/>
          <w:szCs w:val="28"/>
        </w:rPr>
        <w:t>投标单位名称（公章）：</w:t>
      </w:r>
      <w:r>
        <w:rPr>
          <w:rFonts w:hint="eastAsia" w:ascii="仿宋" w:hAnsi="仿宋" w:eastAsia="仿宋" w:cs="仿宋"/>
          <w:color w:val="auto"/>
          <w:sz w:val="28"/>
          <w:szCs w:val="28"/>
          <w:u w:val="single"/>
        </w:rPr>
        <w:t xml:space="preserve">                 </w:t>
      </w:r>
      <w:r>
        <w:rPr>
          <w:rFonts w:hint="eastAsia" w:ascii="仿宋" w:hAnsi="仿宋" w:eastAsia="仿宋" w:cs="仿宋"/>
          <w:bCs/>
          <w:color w:val="auto"/>
          <w:kern w:val="2"/>
          <w:sz w:val="28"/>
          <w:szCs w:val="28"/>
        </w:rPr>
        <w:t xml:space="preserve">    </w:t>
      </w:r>
    </w:p>
    <w:p>
      <w:pPr>
        <w:pStyle w:val="19"/>
        <w:spacing w:line="440" w:lineRule="exact"/>
        <w:ind w:left="208" w:leftChars="99" w:firstLine="140" w:firstLineChars="50"/>
        <w:jc w:val="both"/>
        <w:rPr>
          <w:rFonts w:hint="eastAsia" w:ascii="仿宋" w:hAnsi="仿宋" w:eastAsia="仿宋" w:cs="仿宋"/>
          <w:bCs/>
          <w:color w:val="auto"/>
          <w:kern w:val="2"/>
          <w:sz w:val="28"/>
          <w:szCs w:val="28"/>
        </w:rPr>
      </w:pPr>
    </w:p>
    <w:tbl>
      <w:tblPr>
        <w:tblStyle w:val="15"/>
        <w:tblW w:w="9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6"/>
        <w:gridCol w:w="2943"/>
        <w:gridCol w:w="969"/>
        <w:gridCol w:w="1215"/>
        <w:gridCol w:w="1272"/>
        <w:gridCol w:w="1147"/>
        <w:gridCol w:w="1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序号</w:t>
            </w:r>
          </w:p>
        </w:tc>
        <w:tc>
          <w:tcPr>
            <w:tcW w:w="2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工程或费用名称</w:t>
            </w:r>
          </w:p>
        </w:tc>
        <w:tc>
          <w:tcPr>
            <w:tcW w:w="9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单位</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数量</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单价（元）</w:t>
            </w: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合价（元）</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9" w:hRule="atLeast"/>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1</w:t>
            </w:r>
          </w:p>
        </w:tc>
        <w:tc>
          <w:tcPr>
            <w:tcW w:w="294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106座水闸日常维修养护(199套闸门、启闭机、螺杆、钢丝绳、止水橡胶、电器设备及其他附属设施检修）</w:t>
            </w:r>
          </w:p>
        </w:tc>
        <w:tc>
          <w:tcPr>
            <w:tcW w:w="9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199.00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 w:hAnsi="仿宋" w:eastAsia="仿宋" w:cs="仿宋"/>
                <w:b w:val="0"/>
                <w:bCs/>
                <w:i w:val="0"/>
                <w:color w:val="000000"/>
                <w:sz w:val="20"/>
                <w:szCs w:val="20"/>
                <w:highlight w:val="none"/>
                <w:u w:val="none"/>
                <w:lang w:val="en-US" w:eastAsia="zh-CN"/>
              </w:rPr>
            </w:pPr>
            <w:r>
              <w:rPr>
                <w:rFonts w:hint="eastAsia" w:ascii="仿宋" w:hAnsi="仿宋" w:eastAsia="仿宋" w:cs="仿宋"/>
                <w:b w:val="0"/>
                <w:bCs/>
                <w:i w:val="0"/>
                <w:color w:val="000000"/>
                <w:sz w:val="20"/>
                <w:szCs w:val="20"/>
                <w:highlight w:val="none"/>
                <w:u w:val="none"/>
                <w:lang w:val="en-US" w:eastAsia="zh-CN"/>
              </w:rPr>
              <w:t>详见维护清单明细：附件一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6" w:hRule="atLeast"/>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2</w:t>
            </w:r>
          </w:p>
        </w:tc>
        <w:tc>
          <w:tcPr>
            <w:tcW w:w="294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闸门除锈喷漆(67扇）</w:t>
            </w:r>
          </w:p>
        </w:tc>
        <w:tc>
          <w:tcPr>
            <w:tcW w:w="9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1387.58</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 w:hAnsi="仿宋" w:eastAsia="仿宋" w:cs="仿宋"/>
                <w:b w:val="0"/>
                <w:bCs/>
                <w:i w:val="0"/>
                <w:color w:val="000000"/>
                <w:sz w:val="20"/>
                <w:szCs w:val="20"/>
                <w:highlight w:val="none"/>
                <w:u w:val="none"/>
                <w:lang w:val="en-US"/>
              </w:rPr>
            </w:pPr>
            <w:r>
              <w:rPr>
                <w:rFonts w:hint="eastAsia" w:ascii="仿宋" w:hAnsi="仿宋" w:eastAsia="仿宋" w:cs="仿宋"/>
                <w:b w:val="0"/>
                <w:bCs/>
                <w:i w:val="0"/>
                <w:color w:val="000000"/>
                <w:sz w:val="20"/>
                <w:szCs w:val="20"/>
                <w:highlight w:val="none"/>
                <w:u w:val="none"/>
                <w:lang w:val="en-US" w:eastAsia="zh-CN"/>
              </w:rPr>
              <w:t>详见除锈喷漆明细：附件二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7" w:hRule="atLeast"/>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3</w:t>
            </w:r>
          </w:p>
        </w:tc>
        <w:tc>
          <w:tcPr>
            <w:tcW w:w="294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孔雀河第一分水枢纽库塔干渠引（进）水闸钢铁复合闸门（3*3.5m）制作安装（含旧闸门拆除、闸槽砼及钢结构拆除、二期砼浇筑等）</w:t>
            </w:r>
          </w:p>
        </w:tc>
        <w:tc>
          <w:tcPr>
            <w:tcW w:w="9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扇</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2.00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4</w:t>
            </w:r>
          </w:p>
        </w:tc>
        <w:tc>
          <w:tcPr>
            <w:tcW w:w="294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手电两用螺杆式启闭机（QL-150KN,含限位开关、启动柜等,螺杆直径90mm）</w:t>
            </w:r>
          </w:p>
        </w:tc>
        <w:tc>
          <w:tcPr>
            <w:tcW w:w="9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2.00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5</w:t>
            </w:r>
          </w:p>
        </w:tc>
        <w:tc>
          <w:tcPr>
            <w:tcW w:w="294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闸门侧行走支撑制作安装</w:t>
            </w:r>
          </w:p>
        </w:tc>
        <w:tc>
          <w:tcPr>
            <w:tcW w:w="9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11.00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6</w:t>
            </w:r>
          </w:p>
        </w:tc>
        <w:tc>
          <w:tcPr>
            <w:tcW w:w="2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备用金</w:t>
            </w:r>
          </w:p>
        </w:tc>
        <w:tc>
          <w:tcPr>
            <w:tcW w:w="9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项</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1</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20000</w:t>
            </w: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i w:val="0"/>
                <w:color w:val="000000"/>
                <w:sz w:val="22"/>
                <w:szCs w:val="22"/>
                <w:highlight w:val="none"/>
                <w:u w:val="none"/>
              </w:rPr>
            </w:pPr>
            <w:r>
              <w:rPr>
                <w:rFonts w:hint="eastAsia" w:ascii="仿宋" w:hAnsi="仿宋" w:eastAsia="仿宋" w:cs="仿宋"/>
                <w:b w:val="0"/>
                <w:bCs/>
                <w:szCs w:val="21"/>
                <w:highlight w:val="none"/>
                <w:lang w:val="en-US" w:eastAsia="zh-CN"/>
              </w:rPr>
              <w:t>20000</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i w:val="0"/>
                <w:color w:val="000000"/>
                <w:sz w:val="20"/>
                <w:szCs w:val="20"/>
                <w:highlight w:val="none"/>
                <w:u w:val="none"/>
              </w:rPr>
            </w:pPr>
            <w:r>
              <w:rPr>
                <w:rFonts w:hint="eastAsia" w:ascii="仿宋" w:hAnsi="仿宋" w:eastAsia="仿宋" w:cs="仿宋"/>
                <w:b w:val="0"/>
                <w:bCs/>
                <w:i w:val="0"/>
                <w:color w:val="000000"/>
                <w:sz w:val="20"/>
                <w:szCs w:val="20"/>
                <w:highlight w:val="none"/>
                <w:u w:val="none"/>
                <w:lang w:eastAsia="zh-CN"/>
              </w:rPr>
              <w:t>（</w:t>
            </w:r>
            <w:r>
              <w:rPr>
                <w:rFonts w:hint="eastAsia" w:ascii="仿宋" w:hAnsi="仿宋" w:eastAsia="仿宋" w:cs="仿宋"/>
                <w:b w:val="0"/>
                <w:bCs/>
                <w:i w:val="0"/>
                <w:color w:val="000000"/>
                <w:sz w:val="20"/>
                <w:szCs w:val="20"/>
                <w:highlight w:val="none"/>
                <w:u w:val="none"/>
                <w:lang w:val="zh-CN"/>
              </w:rPr>
              <w:t>注：此部分费用由招标人掌握，为项目实施过程中可能发生的合同变更而预留的费用。</w:t>
            </w:r>
            <w:r>
              <w:rPr>
                <w:rFonts w:hint="eastAsia" w:ascii="仿宋" w:hAnsi="仿宋" w:eastAsia="仿宋" w:cs="仿宋"/>
                <w:b w:val="0"/>
                <w:bCs/>
                <w:i w:val="0"/>
                <w:color w:val="000000"/>
                <w:sz w:val="20"/>
                <w:szCs w:val="20"/>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9377" w:type="dxa"/>
            <w:gridSpan w:val="7"/>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总价（元）大写：</w:t>
            </w:r>
          </w:p>
          <w:p>
            <w:pPr>
              <w:ind w:firstLine="1050" w:firstLineChars="500"/>
              <w:jc w:val="left"/>
              <w:rPr>
                <w:rFonts w:hint="default"/>
                <w:b w:val="0"/>
                <w:bCs/>
                <w:lang w:val="en-US" w:eastAsia="zh-CN"/>
              </w:rPr>
            </w:pPr>
            <w:r>
              <w:rPr>
                <w:rFonts w:hint="eastAsia" w:ascii="仿宋" w:hAnsi="仿宋" w:eastAsia="仿宋" w:cs="仿宋"/>
                <w:b w:val="0"/>
                <w:bCs/>
                <w:szCs w:val="21"/>
                <w:highlight w:val="none"/>
                <w:lang w:val="en-US" w:eastAsia="zh-CN"/>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备注</w:t>
            </w:r>
          </w:p>
        </w:tc>
        <w:tc>
          <w:tcPr>
            <w:tcW w:w="8871"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b w:val="0"/>
                <w:bCs/>
                <w:i w:val="0"/>
                <w:color w:val="000000"/>
                <w:sz w:val="20"/>
                <w:szCs w:val="20"/>
                <w:highlight w:val="none"/>
                <w:u w:val="none"/>
                <w:lang w:eastAsia="zh-CN"/>
              </w:rPr>
            </w:pPr>
            <w:r>
              <w:rPr>
                <w:rFonts w:hint="eastAsia" w:ascii="仿宋" w:hAnsi="仿宋" w:eastAsia="仿宋" w:cs="仿宋"/>
                <w:b w:val="0"/>
                <w:bCs/>
                <w:kern w:val="0"/>
                <w:sz w:val="24"/>
                <w:szCs w:val="24"/>
              </w:rPr>
              <w:t>总报价中必须包含购置、安装、运输保险、装卸、培训辅导、质保期售后服务、全额含税发票、雇员费用、合同实施过程中应预见和不可预见费用等。所有价格均应予人民币报价，金额单位为元。</w:t>
            </w:r>
          </w:p>
        </w:tc>
      </w:tr>
    </w:tbl>
    <w:p>
      <w:pPr>
        <w:spacing w:line="460" w:lineRule="atLeast"/>
        <w:jc w:val="right"/>
        <w:rPr>
          <w:rFonts w:hint="eastAsia" w:ascii="仿宋" w:hAnsi="仿宋" w:eastAsia="仿宋" w:cs="仿宋"/>
          <w:b w:val="0"/>
          <w:bCs/>
          <w:sz w:val="24"/>
          <w:szCs w:val="24"/>
        </w:rPr>
      </w:pPr>
      <w:r>
        <w:rPr>
          <w:rFonts w:hint="eastAsia" w:ascii="仿宋" w:hAnsi="仿宋" w:eastAsia="仿宋" w:cs="仿宋"/>
          <w:b w:val="0"/>
          <w:bCs/>
          <w:sz w:val="24"/>
          <w:szCs w:val="24"/>
        </w:rPr>
        <w:t>投标人代表签字：</w:t>
      </w:r>
    </w:p>
    <w:p>
      <w:pPr>
        <w:spacing w:line="460" w:lineRule="atLeast"/>
        <w:jc w:val="right"/>
        <w:rPr>
          <w:rFonts w:hint="eastAsia" w:ascii="仿宋" w:hAnsi="仿宋" w:eastAsia="仿宋" w:cs="仿宋"/>
          <w:b w:val="0"/>
          <w:bCs/>
          <w:sz w:val="24"/>
          <w:szCs w:val="24"/>
        </w:rPr>
      </w:pPr>
      <w:r>
        <w:rPr>
          <w:rFonts w:hint="eastAsia" w:ascii="仿宋" w:hAnsi="仿宋" w:eastAsia="仿宋" w:cs="仿宋"/>
          <w:b w:val="0"/>
          <w:bCs/>
          <w:sz w:val="24"/>
          <w:szCs w:val="24"/>
        </w:rPr>
        <w:t>日期：</w:t>
      </w:r>
    </w:p>
    <w:p>
      <w:pPr>
        <w:spacing w:line="440" w:lineRule="exact"/>
        <w:rPr>
          <w:rFonts w:hint="eastAsia" w:ascii="仿宋" w:hAnsi="仿宋" w:eastAsia="仿宋" w:cs="仿宋"/>
          <w:b/>
          <w:sz w:val="21"/>
          <w:szCs w:val="21"/>
        </w:rPr>
      </w:pPr>
      <w:r>
        <w:rPr>
          <w:rFonts w:hint="eastAsia" w:ascii="仿宋" w:hAnsi="仿宋" w:eastAsia="仿宋" w:cs="仿宋"/>
          <w:b/>
          <w:sz w:val="21"/>
          <w:szCs w:val="21"/>
        </w:rPr>
        <w:t>注：1、合计金额应为各分项价格之和。</w:t>
      </w:r>
    </w:p>
    <w:p>
      <w:pPr>
        <w:spacing w:line="440" w:lineRule="exact"/>
        <w:ind w:firstLine="413" w:firstLineChars="196"/>
        <w:rPr>
          <w:rFonts w:hint="eastAsia" w:ascii="仿宋" w:hAnsi="仿宋" w:eastAsia="仿宋" w:cs="仿宋"/>
          <w:b/>
          <w:sz w:val="21"/>
          <w:szCs w:val="21"/>
        </w:rPr>
      </w:pPr>
      <w:r>
        <w:rPr>
          <w:rFonts w:hint="eastAsia" w:ascii="仿宋" w:hAnsi="仿宋" w:eastAsia="仿宋" w:cs="仿宋"/>
          <w:b/>
          <w:sz w:val="21"/>
          <w:szCs w:val="21"/>
        </w:rPr>
        <w:t>2、请各投标人根据投标方案，在本表中详细写明所有产品型号规格、主要技术参数、数量、综合单价、总价及品牌和产地。</w:t>
      </w:r>
    </w:p>
    <w:p>
      <w:pPr>
        <w:spacing w:line="440" w:lineRule="exact"/>
        <w:ind w:firstLine="413" w:firstLineChars="196"/>
        <w:rPr>
          <w:rFonts w:hint="eastAsia" w:ascii="仿宋" w:hAnsi="仿宋" w:eastAsia="仿宋" w:cs="仿宋"/>
          <w:b/>
          <w:sz w:val="21"/>
          <w:szCs w:val="21"/>
        </w:rPr>
      </w:pPr>
      <w:r>
        <w:rPr>
          <w:rFonts w:hint="eastAsia" w:ascii="仿宋" w:hAnsi="仿宋" w:eastAsia="仿宋" w:cs="仿宋"/>
          <w:b/>
          <w:sz w:val="21"/>
          <w:szCs w:val="21"/>
        </w:rPr>
        <w:t>3、单价必须包括货物、安装、调试、技术支持、运输、保险、售后服务、培训及其它必需服务的报价。</w:t>
      </w:r>
    </w:p>
    <w:p>
      <w:pPr>
        <w:pStyle w:val="9"/>
        <w:kinsoku w:val="0"/>
        <w:overflowPunct w:val="0"/>
        <w:spacing w:before="34" w:line="357" w:lineRule="auto"/>
        <w:ind w:left="0" w:leftChars="0" w:right="126" w:firstLine="0" w:firstLineChars="0"/>
        <w:jc w:val="both"/>
        <w:rPr>
          <w:rFonts w:hint="eastAsia" w:ascii="仿宋" w:hAnsi="仿宋" w:eastAsia="仿宋" w:cs="仿宋"/>
        </w:rPr>
      </w:pPr>
    </w:p>
    <w:p>
      <w:pPr>
        <w:pStyle w:val="9"/>
        <w:kinsoku w:val="0"/>
        <w:overflowPunct w:val="0"/>
        <w:spacing w:before="34" w:line="357" w:lineRule="auto"/>
        <w:ind w:left="0" w:leftChars="0" w:right="126" w:firstLine="0" w:firstLineChars="0"/>
        <w:jc w:val="left"/>
        <w:rPr>
          <w:rFonts w:hint="eastAsia" w:ascii="仿宋" w:hAnsi="仿宋" w:eastAsia="仿宋" w:cs="仿宋"/>
          <w:b/>
          <w:bCs/>
        </w:rPr>
      </w:pPr>
      <w:r>
        <w:rPr>
          <w:rFonts w:hint="eastAsia" w:ascii="仿宋" w:hAnsi="仿宋" w:eastAsia="仿宋" w:cs="仿宋"/>
          <w:b/>
          <w:bCs/>
          <w:sz w:val="36"/>
          <w:szCs w:val="36"/>
          <w:lang w:eastAsia="zh-CN"/>
        </w:rPr>
        <w:t>六</w:t>
      </w:r>
      <w:r>
        <w:rPr>
          <w:rFonts w:hint="eastAsia" w:ascii="仿宋" w:hAnsi="仿宋" w:eastAsia="仿宋" w:cs="仿宋"/>
          <w:b/>
          <w:bCs/>
          <w:sz w:val="36"/>
          <w:szCs w:val="36"/>
        </w:rPr>
        <w:t>、供应商基本情况</w:t>
      </w:r>
    </w:p>
    <w:p>
      <w:pPr>
        <w:pStyle w:val="9"/>
        <w:kinsoku w:val="0"/>
        <w:overflowPunct w:val="0"/>
        <w:spacing w:before="0"/>
        <w:ind w:left="3104" w:right="2998"/>
        <w:jc w:val="center"/>
        <w:rPr>
          <w:rFonts w:hint="eastAsia" w:ascii="仿宋" w:hAnsi="仿宋" w:eastAsia="仿宋" w:cs="仿宋"/>
        </w:rPr>
      </w:pPr>
      <w:r>
        <w:rPr>
          <w:rFonts w:hint="eastAsia" w:ascii="仿宋" w:hAnsi="仿宋" w:eastAsia="仿宋" w:cs="仿宋"/>
          <w:b/>
          <w:bCs/>
        </w:rPr>
        <w:t>（一）供应商基本情况表</w:t>
      </w:r>
    </w:p>
    <w:p>
      <w:pPr>
        <w:pStyle w:val="9"/>
        <w:kinsoku w:val="0"/>
        <w:overflowPunct w:val="0"/>
        <w:spacing w:before="5"/>
        <w:ind w:left="0"/>
        <w:rPr>
          <w:rFonts w:hint="eastAsia" w:ascii="仿宋" w:hAnsi="仿宋" w:eastAsia="仿宋" w:cs="仿宋"/>
          <w:b/>
          <w:bCs/>
          <w:sz w:val="6"/>
          <w:szCs w:val="6"/>
        </w:rPr>
      </w:pPr>
    </w:p>
    <w:tbl>
      <w:tblPr>
        <w:tblStyle w:val="15"/>
        <w:tblW w:w="9539" w:type="dxa"/>
        <w:jc w:val="center"/>
        <w:tblLayout w:type="fixed"/>
        <w:tblCellMar>
          <w:top w:w="0" w:type="dxa"/>
          <w:left w:w="0" w:type="dxa"/>
          <w:bottom w:w="0" w:type="dxa"/>
          <w:right w:w="0" w:type="dxa"/>
        </w:tblCellMar>
      </w:tblPr>
      <w:tblGrid>
        <w:gridCol w:w="1359"/>
        <w:gridCol w:w="1581"/>
        <w:gridCol w:w="930"/>
        <w:gridCol w:w="539"/>
        <w:gridCol w:w="717"/>
        <w:gridCol w:w="753"/>
        <w:gridCol w:w="502"/>
        <w:gridCol w:w="401"/>
        <w:gridCol w:w="604"/>
        <w:gridCol w:w="2153"/>
      </w:tblGrid>
      <w:tr>
        <w:tblPrEx>
          <w:tblCellMar>
            <w:top w:w="0" w:type="dxa"/>
            <w:left w:w="0" w:type="dxa"/>
            <w:bottom w:w="0" w:type="dxa"/>
            <w:right w:w="0" w:type="dxa"/>
          </w:tblCellMar>
        </w:tblPrEx>
        <w:trPr>
          <w:trHeight w:val="491" w:hRule="exact"/>
          <w:jc w:val="center"/>
        </w:trPr>
        <w:tc>
          <w:tcPr>
            <w:tcW w:w="1359" w:type="dxa"/>
            <w:tcBorders>
              <w:top w:val="single" w:color="000000" w:sz="4" w:space="0"/>
              <w:left w:val="single" w:color="000000" w:sz="4" w:space="0"/>
              <w:bottom w:val="single" w:color="000000" w:sz="4" w:space="0"/>
              <w:right w:val="single" w:color="000000" w:sz="4" w:space="0"/>
            </w:tcBorders>
            <w:vAlign w:val="top"/>
          </w:tcPr>
          <w:p>
            <w:pPr>
              <w:pStyle w:val="20"/>
              <w:kinsoku w:val="0"/>
              <w:overflowPunct w:val="0"/>
              <w:spacing w:before="145"/>
              <w:ind w:left="137"/>
              <w:rPr>
                <w:rFonts w:hint="eastAsia" w:ascii="仿宋" w:hAnsi="仿宋" w:eastAsia="仿宋" w:cs="仿宋"/>
              </w:rPr>
            </w:pPr>
            <w:r>
              <w:rPr>
                <w:rFonts w:hint="eastAsia" w:ascii="仿宋" w:hAnsi="仿宋" w:eastAsia="仿宋" w:cs="仿宋"/>
              </w:rPr>
              <w:t>单位名称</w:t>
            </w:r>
          </w:p>
        </w:tc>
        <w:tc>
          <w:tcPr>
            <w:tcW w:w="8180" w:type="dxa"/>
            <w:gridSpan w:val="9"/>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r>
      <w:tr>
        <w:tblPrEx>
          <w:tblCellMar>
            <w:top w:w="0" w:type="dxa"/>
            <w:left w:w="0" w:type="dxa"/>
            <w:bottom w:w="0" w:type="dxa"/>
            <w:right w:w="0" w:type="dxa"/>
          </w:tblCellMar>
        </w:tblPrEx>
        <w:trPr>
          <w:trHeight w:val="549" w:hRule="exact"/>
          <w:jc w:val="center"/>
        </w:trPr>
        <w:tc>
          <w:tcPr>
            <w:tcW w:w="1359" w:type="dxa"/>
            <w:tcBorders>
              <w:top w:val="single" w:color="000000" w:sz="4" w:space="0"/>
              <w:left w:val="single" w:color="000000" w:sz="4" w:space="0"/>
              <w:bottom w:val="single" w:color="000000" w:sz="4" w:space="0"/>
              <w:right w:val="single" w:color="000000" w:sz="4" w:space="0"/>
            </w:tcBorders>
            <w:vAlign w:val="top"/>
          </w:tcPr>
          <w:p>
            <w:pPr>
              <w:pStyle w:val="20"/>
              <w:kinsoku w:val="0"/>
              <w:overflowPunct w:val="0"/>
              <w:spacing w:before="145"/>
              <w:ind w:left="137"/>
              <w:rPr>
                <w:rFonts w:hint="eastAsia" w:ascii="仿宋" w:hAnsi="仿宋" w:eastAsia="仿宋" w:cs="仿宋"/>
              </w:rPr>
            </w:pPr>
            <w:r>
              <w:rPr>
                <w:rFonts w:hint="eastAsia" w:ascii="仿宋" w:hAnsi="仿宋" w:eastAsia="仿宋" w:cs="仿宋"/>
              </w:rPr>
              <w:t>单位地址</w:t>
            </w:r>
          </w:p>
        </w:tc>
        <w:tc>
          <w:tcPr>
            <w:tcW w:w="8180" w:type="dxa"/>
            <w:gridSpan w:val="9"/>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r>
      <w:tr>
        <w:tblPrEx>
          <w:tblCellMar>
            <w:top w:w="0" w:type="dxa"/>
            <w:left w:w="0" w:type="dxa"/>
            <w:bottom w:w="0" w:type="dxa"/>
            <w:right w:w="0" w:type="dxa"/>
          </w:tblCellMar>
        </w:tblPrEx>
        <w:trPr>
          <w:trHeight w:val="514" w:hRule="exact"/>
          <w:jc w:val="center"/>
        </w:trPr>
        <w:tc>
          <w:tcPr>
            <w:tcW w:w="1359" w:type="dxa"/>
            <w:tcBorders>
              <w:top w:val="single" w:color="000000" w:sz="4" w:space="0"/>
              <w:left w:val="single" w:color="000000" w:sz="4" w:space="0"/>
              <w:bottom w:val="single" w:color="000000" w:sz="4" w:space="0"/>
              <w:right w:val="single" w:color="000000" w:sz="4" w:space="0"/>
            </w:tcBorders>
            <w:vAlign w:val="top"/>
          </w:tcPr>
          <w:p>
            <w:pPr>
              <w:pStyle w:val="20"/>
              <w:kinsoku w:val="0"/>
              <w:overflowPunct w:val="0"/>
              <w:spacing w:before="145"/>
              <w:ind w:left="137"/>
              <w:rPr>
                <w:rFonts w:hint="eastAsia" w:ascii="仿宋" w:hAnsi="仿宋" w:eastAsia="仿宋" w:cs="仿宋"/>
              </w:rPr>
            </w:pPr>
            <w:r>
              <w:rPr>
                <w:rFonts w:hint="eastAsia" w:ascii="仿宋" w:hAnsi="仿宋" w:eastAsia="仿宋" w:cs="仿宋"/>
              </w:rPr>
              <w:t>主管部门</w:t>
            </w:r>
          </w:p>
        </w:tc>
        <w:tc>
          <w:tcPr>
            <w:tcW w:w="8180" w:type="dxa"/>
            <w:gridSpan w:val="9"/>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r>
      <w:tr>
        <w:trPr>
          <w:trHeight w:val="595" w:hRule="exact"/>
          <w:jc w:val="center"/>
        </w:trPr>
        <w:tc>
          <w:tcPr>
            <w:tcW w:w="1359" w:type="dxa"/>
            <w:tcBorders>
              <w:top w:val="single" w:color="000000" w:sz="4" w:space="0"/>
              <w:left w:val="single" w:color="000000" w:sz="4" w:space="0"/>
              <w:bottom w:val="single" w:color="000000" w:sz="4" w:space="0"/>
              <w:right w:val="single" w:color="000000" w:sz="4" w:space="0"/>
            </w:tcBorders>
            <w:vAlign w:val="top"/>
          </w:tcPr>
          <w:p>
            <w:pPr>
              <w:pStyle w:val="20"/>
              <w:kinsoku w:val="0"/>
              <w:overflowPunct w:val="0"/>
              <w:spacing w:before="145"/>
              <w:ind w:left="137"/>
              <w:rPr>
                <w:rFonts w:hint="eastAsia" w:ascii="仿宋" w:hAnsi="仿宋" w:eastAsia="仿宋" w:cs="仿宋"/>
              </w:rPr>
            </w:pPr>
            <w:r>
              <w:rPr>
                <w:rFonts w:hint="eastAsia" w:ascii="仿宋" w:hAnsi="仿宋" w:eastAsia="仿宋" w:cs="仿宋"/>
              </w:rPr>
              <w:t>成立时间</w:t>
            </w:r>
          </w:p>
        </w:tc>
        <w:tc>
          <w:tcPr>
            <w:tcW w:w="2511" w:type="dxa"/>
            <w:gridSpan w:val="2"/>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c>
          <w:tcPr>
            <w:tcW w:w="2511" w:type="dxa"/>
            <w:gridSpan w:val="4"/>
            <w:tcBorders>
              <w:top w:val="single" w:color="000000" w:sz="4" w:space="0"/>
              <w:left w:val="single" w:color="000000" w:sz="4" w:space="0"/>
              <w:bottom w:val="single" w:color="000000" w:sz="4" w:space="0"/>
              <w:right w:val="single" w:color="000000" w:sz="4" w:space="0"/>
            </w:tcBorders>
            <w:vAlign w:val="top"/>
          </w:tcPr>
          <w:p>
            <w:pPr>
              <w:pStyle w:val="20"/>
              <w:kinsoku w:val="0"/>
              <w:overflowPunct w:val="0"/>
              <w:spacing w:before="145"/>
              <w:ind w:left="181"/>
              <w:rPr>
                <w:rFonts w:hint="eastAsia" w:ascii="仿宋" w:hAnsi="仿宋" w:eastAsia="仿宋" w:cs="仿宋"/>
              </w:rPr>
            </w:pPr>
            <w:r>
              <w:rPr>
                <w:rFonts w:hint="eastAsia" w:ascii="仿宋" w:hAnsi="仿宋" w:eastAsia="仿宋" w:cs="仿宋"/>
              </w:rPr>
              <w:t>注册资金（万元）</w:t>
            </w:r>
          </w:p>
        </w:tc>
        <w:tc>
          <w:tcPr>
            <w:tcW w:w="3158"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r>
      <w:tr>
        <w:tblPrEx>
          <w:tblCellMar>
            <w:top w:w="0" w:type="dxa"/>
            <w:left w:w="0" w:type="dxa"/>
            <w:bottom w:w="0" w:type="dxa"/>
            <w:right w:w="0" w:type="dxa"/>
          </w:tblCellMar>
        </w:tblPrEx>
        <w:trPr>
          <w:trHeight w:val="538" w:hRule="exact"/>
          <w:jc w:val="center"/>
        </w:trPr>
        <w:tc>
          <w:tcPr>
            <w:tcW w:w="1359" w:type="dxa"/>
            <w:tcBorders>
              <w:top w:val="single" w:color="000000" w:sz="4" w:space="0"/>
              <w:left w:val="single" w:color="000000" w:sz="4" w:space="0"/>
              <w:bottom w:val="single" w:color="000000" w:sz="4" w:space="0"/>
              <w:right w:val="single" w:color="000000" w:sz="4" w:space="0"/>
            </w:tcBorders>
            <w:vAlign w:val="top"/>
          </w:tcPr>
          <w:p>
            <w:pPr>
              <w:pStyle w:val="20"/>
              <w:kinsoku w:val="0"/>
              <w:overflowPunct w:val="0"/>
              <w:spacing w:before="146"/>
              <w:ind w:left="137"/>
              <w:rPr>
                <w:rFonts w:hint="eastAsia" w:ascii="仿宋" w:hAnsi="仿宋" w:eastAsia="仿宋" w:cs="仿宋"/>
              </w:rPr>
            </w:pPr>
            <w:r>
              <w:rPr>
                <w:rFonts w:hint="eastAsia" w:ascii="仿宋" w:hAnsi="仿宋" w:eastAsia="仿宋" w:cs="仿宋"/>
              </w:rPr>
              <w:t>单位性质</w:t>
            </w:r>
          </w:p>
        </w:tc>
        <w:tc>
          <w:tcPr>
            <w:tcW w:w="8180" w:type="dxa"/>
            <w:gridSpan w:val="9"/>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r>
      <w:tr>
        <w:tblPrEx>
          <w:tblCellMar>
            <w:top w:w="0" w:type="dxa"/>
            <w:left w:w="0" w:type="dxa"/>
            <w:bottom w:w="0" w:type="dxa"/>
            <w:right w:w="0" w:type="dxa"/>
          </w:tblCellMar>
        </w:tblPrEx>
        <w:trPr>
          <w:trHeight w:val="735" w:hRule="exact"/>
          <w:jc w:val="center"/>
        </w:trPr>
        <w:tc>
          <w:tcPr>
            <w:tcW w:w="1359" w:type="dxa"/>
            <w:tcBorders>
              <w:top w:val="single" w:color="000000" w:sz="4" w:space="0"/>
              <w:left w:val="single" w:color="000000" w:sz="4" w:space="0"/>
              <w:bottom w:val="single" w:color="000000" w:sz="4" w:space="0"/>
              <w:right w:val="single" w:color="000000" w:sz="4" w:space="0"/>
            </w:tcBorders>
            <w:vAlign w:val="top"/>
          </w:tcPr>
          <w:p>
            <w:pPr>
              <w:pStyle w:val="20"/>
              <w:kinsoku w:val="0"/>
              <w:overflowPunct w:val="0"/>
              <w:spacing w:before="141" w:line="312" w:lineRule="exact"/>
              <w:ind w:left="257" w:right="133" w:hanging="120"/>
              <w:rPr>
                <w:rFonts w:hint="eastAsia" w:ascii="仿宋" w:hAnsi="仿宋" w:eastAsia="仿宋" w:cs="仿宋"/>
              </w:rPr>
            </w:pPr>
            <w:r>
              <w:rPr>
                <w:rFonts w:hint="eastAsia" w:ascii="仿宋" w:hAnsi="仿宋" w:eastAsia="仿宋" w:cs="仿宋"/>
              </w:rPr>
              <w:t>投标期间 联系人</w:t>
            </w:r>
          </w:p>
        </w:tc>
        <w:tc>
          <w:tcPr>
            <w:tcW w:w="1581"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c>
          <w:tcPr>
            <w:tcW w:w="1469" w:type="dxa"/>
            <w:gridSpan w:val="2"/>
            <w:tcBorders>
              <w:top w:val="single" w:color="000000" w:sz="4" w:space="0"/>
              <w:left w:val="single" w:color="000000" w:sz="4" w:space="0"/>
              <w:bottom w:val="single" w:color="000000" w:sz="4" w:space="0"/>
              <w:right w:val="single" w:color="000000" w:sz="4" w:space="0"/>
            </w:tcBorders>
            <w:vAlign w:val="top"/>
          </w:tcPr>
          <w:p>
            <w:pPr>
              <w:pStyle w:val="20"/>
              <w:kinsoku w:val="0"/>
              <w:overflowPunct w:val="0"/>
              <w:spacing w:before="4"/>
              <w:rPr>
                <w:rFonts w:hint="eastAsia" w:ascii="仿宋" w:hAnsi="仿宋" w:eastAsia="仿宋" w:cs="仿宋"/>
                <w:b/>
                <w:bCs/>
                <w:sz w:val="20"/>
                <w:szCs w:val="20"/>
              </w:rPr>
            </w:pPr>
          </w:p>
          <w:p>
            <w:pPr>
              <w:pStyle w:val="20"/>
              <w:kinsoku w:val="0"/>
              <w:overflowPunct w:val="0"/>
              <w:ind w:left="366"/>
              <w:rPr>
                <w:rFonts w:hint="eastAsia" w:ascii="仿宋" w:hAnsi="仿宋" w:eastAsia="仿宋" w:cs="仿宋"/>
              </w:rPr>
            </w:pPr>
            <w:r>
              <w:rPr>
                <w:rFonts w:hint="eastAsia" w:ascii="仿宋" w:hAnsi="仿宋" w:eastAsia="仿宋" w:cs="仿宋"/>
              </w:rPr>
              <w:t>电 话</w:t>
            </w:r>
          </w:p>
        </w:tc>
        <w:tc>
          <w:tcPr>
            <w:tcW w:w="1470" w:type="dxa"/>
            <w:gridSpan w:val="2"/>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c>
          <w:tcPr>
            <w:tcW w:w="1507" w:type="dxa"/>
            <w:gridSpan w:val="3"/>
            <w:tcBorders>
              <w:top w:val="single" w:color="000000" w:sz="4" w:space="0"/>
              <w:left w:val="single" w:color="000000" w:sz="4" w:space="0"/>
              <w:bottom w:val="single" w:color="000000" w:sz="4" w:space="0"/>
              <w:right w:val="single" w:color="000000" w:sz="4" w:space="0"/>
            </w:tcBorders>
            <w:vAlign w:val="top"/>
          </w:tcPr>
          <w:p>
            <w:pPr>
              <w:pStyle w:val="20"/>
              <w:kinsoku w:val="0"/>
              <w:overflowPunct w:val="0"/>
              <w:spacing w:before="4"/>
              <w:rPr>
                <w:rFonts w:hint="eastAsia" w:ascii="仿宋" w:hAnsi="仿宋" w:eastAsia="仿宋" w:cs="仿宋"/>
                <w:b/>
                <w:bCs/>
                <w:sz w:val="20"/>
                <w:szCs w:val="20"/>
              </w:rPr>
            </w:pPr>
          </w:p>
          <w:p>
            <w:pPr>
              <w:pStyle w:val="20"/>
              <w:kinsoku w:val="0"/>
              <w:overflowPunct w:val="0"/>
              <w:ind w:left="383"/>
              <w:rPr>
                <w:rFonts w:hint="eastAsia" w:ascii="仿宋" w:hAnsi="仿宋" w:eastAsia="仿宋" w:cs="仿宋"/>
              </w:rPr>
            </w:pPr>
            <w:r>
              <w:rPr>
                <w:rFonts w:hint="eastAsia" w:ascii="仿宋" w:hAnsi="仿宋" w:eastAsia="仿宋" w:cs="仿宋"/>
              </w:rPr>
              <w:t>传 真</w:t>
            </w:r>
          </w:p>
        </w:tc>
        <w:tc>
          <w:tcPr>
            <w:tcW w:w="2153"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r>
      <w:tr>
        <w:tblPrEx>
          <w:tblCellMar>
            <w:top w:w="0" w:type="dxa"/>
            <w:left w:w="0" w:type="dxa"/>
            <w:bottom w:w="0" w:type="dxa"/>
            <w:right w:w="0" w:type="dxa"/>
          </w:tblCellMar>
        </w:tblPrEx>
        <w:trPr>
          <w:trHeight w:val="549" w:hRule="exact"/>
          <w:jc w:val="center"/>
        </w:trPr>
        <w:tc>
          <w:tcPr>
            <w:tcW w:w="1359" w:type="dxa"/>
            <w:vMerge w:val="restart"/>
            <w:tcBorders>
              <w:top w:val="single" w:color="000000" w:sz="4" w:space="0"/>
              <w:left w:val="single" w:color="000000" w:sz="4" w:space="0"/>
              <w:bottom w:val="single" w:color="000000" w:sz="4" w:space="0"/>
              <w:right w:val="single" w:color="000000" w:sz="4" w:space="0"/>
            </w:tcBorders>
            <w:vAlign w:val="top"/>
          </w:tcPr>
          <w:p>
            <w:pPr>
              <w:pStyle w:val="20"/>
              <w:kinsoku w:val="0"/>
              <w:overflowPunct w:val="0"/>
              <w:rPr>
                <w:rFonts w:hint="eastAsia" w:ascii="仿宋" w:hAnsi="仿宋" w:eastAsia="仿宋" w:cs="仿宋"/>
                <w:b/>
                <w:bCs/>
              </w:rPr>
            </w:pPr>
          </w:p>
          <w:p>
            <w:pPr>
              <w:pStyle w:val="20"/>
              <w:kinsoku w:val="0"/>
              <w:overflowPunct w:val="0"/>
              <w:rPr>
                <w:rFonts w:hint="eastAsia" w:ascii="仿宋" w:hAnsi="仿宋" w:eastAsia="仿宋" w:cs="仿宋"/>
                <w:b/>
                <w:bCs/>
              </w:rPr>
            </w:pPr>
          </w:p>
          <w:p>
            <w:pPr>
              <w:pStyle w:val="20"/>
              <w:kinsoku w:val="0"/>
              <w:overflowPunct w:val="0"/>
              <w:rPr>
                <w:rFonts w:hint="eastAsia" w:ascii="仿宋" w:hAnsi="仿宋" w:eastAsia="仿宋" w:cs="仿宋"/>
                <w:b/>
                <w:bCs/>
              </w:rPr>
            </w:pPr>
          </w:p>
          <w:p>
            <w:pPr>
              <w:pStyle w:val="20"/>
              <w:kinsoku w:val="0"/>
              <w:overflowPunct w:val="0"/>
              <w:spacing w:line="475" w:lineRule="auto"/>
              <w:ind w:left="497" w:right="493"/>
              <w:jc w:val="both"/>
              <w:rPr>
                <w:rFonts w:hint="eastAsia" w:ascii="仿宋" w:hAnsi="仿宋" w:eastAsia="仿宋" w:cs="仿宋"/>
              </w:rPr>
            </w:pPr>
            <w:r>
              <w:rPr>
                <w:rFonts w:hint="eastAsia" w:ascii="仿宋" w:hAnsi="仿宋" w:eastAsia="仿宋" w:cs="仿宋"/>
              </w:rPr>
              <w:t>职 工 概 况</w:t>
            </w:r>
          </w:p>
        </w:tc>
        <w:tc>
          <w:tcPr>
            <w:tcW w:w="1581" w:type="dxa"/>
            <w:tcBorders>
              <w:top w:val="single" w:color="000000" w:sz="4" w:space="0"/>
              <w:left w:val="single" w:color="000000" w:sz="4" w:space="0"/>
              <w:bottom w:val="single" w:color="000000" w:sz="4" w:space="0"/>
              <w:right w:val="single" w:color="000000" w:sz="4" w:space="0"/>
            </w:tcBorders>
            <w:vAlign w:val="top"/>
          </w:tcPr>
          <w:p>
            <w:pPr>
              <w:pStyle w:val="20"/>
              <w:kinsoku w:val="0"/>
              <w:overflowPunct w:val="0"/>
              <w:spacing w:before="144"/>
              <w:ind w:left="236"/>
              <w:rPr>
                <w:rFonts w:hint="eastAsia" w:ascii="仿宋" w:hAnsi="仿宋" w:eastAsia="仿宋" w:cs="仿宋"/>
              </w:rPr>
            </w:pPr>
            <w:r>
              <w:rPr>
                <w:rFonts w:hint="eastAsia" w:ascii="仿宋" w:hAnsi="仿宋" w:eastAsia="仿宋" w:cs="仿宋"/>
              </w:rPr>
              <w:t>职工总数</w:t>
            </w:r>
          </w:p>
        </w:tc>
        <w:tc>
          <w:tcPr>
            <w:tcW w:w="1469" w:type="dxa"/>
            <w:gridSpan w:val="2"/>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c>
          <w:tcPr>
            <w:tcW w:w="2373" w:type="dxa"/>
            <w:gridSpan w:val="4"/>
            <w:tcBorders>
              <w:top w:val="single" w:color="000000" w:sz="4" w:space="0"/>
              <w:left w:val="single" w:color="000000" w:sz="4" w:space="0"/>
              <w:bottom w:val="single" w:color="000000" w:sz="4" w:space="0"/>
              <w:right w:val="single" w:color="000000" w:sz="4" w:space="0"/>
            </w:tcBorders>
            <w:vAlign w:val="top"/>
          </w:tcPr>
          <w:p>
            <w:pPr>
              <w:pStyle w:val="20"/>
              <w:kinsoku w:val="0"/>
              <w:overflowPunct w:val="0"/>
              <w:spacing w:before="144"/>
              <w:ind w:left="118"/>
              <w:rPr>
                <w:rFonts w:hint="eastAsia" w:ascii="仿宋" w:hAnsi="仿宋" w:eastAsia="仿宋" w:cs="仿宋"/>
              </w:rPr>
            </w:pPr>
            <w:r>
              <w:rPr>
                <w:rFonts w:hint="eastAsia" w:ascii="仿宋" w:hAnsi="仿宋" w:eastAsia="仿宋" w:cs="仿宋"/>
              </w:rPr>
              <w:t>其中：技术人员数</w:t>
            </w:r>
          </w:p>
        </w:tc>
        <w:tc>
          <w:tcPr>
            <w:tcW w:w="2757" w:type="dxa"/>
            <w:gridSpan w:val="2"/>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r>
      <w:tr>
        <w:tblPrEx>
          <w:tblCellMar>
            <w:top w:w="0" w:type="dxa"/>
            <w:left w:w="0" w:type="dxa"/>
            <w:bottom w:w="0" w:type="dxa"/>
            <w:right w:w="0" w:type="dxa"/>
          </w:tblCellMar>
        </w:tblPrEx>
        <w:trPr>
          <w:trHeight w:val="538" w:hRule="exact"/>
          <w:jc w:val="center"/>
        </w:trPr>
        <w:tc>
          <w:tcPr>
            <w:tcW w:w="1359" w:type="dxa"/>
            <w:vMerge w:val="continue"/>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c>
          <w:tcPr>
            <w:tcW w:w="8180" w:type="dxa"/>
            <w:gridSpan w:val="9"/>
            <w:tcBorders>
              <w:top w:val="single" w:color="000000" w:sz="4" w:space="0"/>
              <w:left w:val="single" w:color="000000" w:sz="4" w:space="0"/>
              <w:bottom w:val="single" w:color="000000" w:sz="4" w:space="0"/>
              <w:right w:val="single" w:color="000000" w:sz="4" w:space="0"/>
            </w:tcBorders>
            <w:vAlign w:val="top"/>
          </w:tcPr>
          <w:p>
            <w:pPr>
              <w:pStyle w:val="20"/>
              <w:kinsoku w:val="0"/>
              <w:overflowPunct w:val="0"/>
              <w:spacing w:before="145"/>
              <w:jc w:val="center"/>
              <w:rPr>
                <w:rFonts w:hint="eastAsia" w:ascii="仿宋" w:hAnsi="仿宋" w:eastAsia="仿宋" w:cs="仿宋"/>
              </w:rPr>
            </w:pPr>
            <w:r>
              <w:rPr>
                <w:rFonts w:hint="eastAsia" w:ascii="仿宋" w:hAnsi="仿宋" w:eastAsia="仿宋" w:cs="仿宋"/>
              </w:rPr>
              <w:t>单位行政和技术负责人</w:t>
            </w:r>
          </w:p>
        </w:tc>
      </w:tr>
      <w:tr>
        <w:tblPrEx>
          <w:tblCellMar>
            <w:top w:w="0" w:type="dxa"/>
            <w:left w:w="0" w:type="dxa"/>
            <w:bottom w:w="0" w:type="dxa"/>
            <w:right w:w="0" w:type="dxa"/>
          </w:tblCellMar>
        </w:tblPrEx>
        <w:trPr>
          <w:trHeight w:val="549" w:hRule="exact"/>
          <w:jc w:val="center"/>
        </w:trPr>
        <w:tc>
          <w:tcPr>
            <w:tcW w:w="1359" w:type="dxa"/>
            <w:vMerge w:val="continue"/>
            <w:tcBorders>
              <w:top w:val="single" w:color="000000" w:sz="4" w:space="0"/>
              <w:left w:val="single" w:color="000000" w:sz="4" w:space="0"/>
              <w:bottom w:val="single" w:color="000000" w:sz="4" w:space="0"/>
              <w:right w:val="single" w:color="000000" w:sz="4" w:space="0"/>
            </w:tcBorders>
            <w:vAlign w:val="top"/>
          </w:tcPr>
          <w:p>
            <w:pPr>
              <w:pStyle w:val="20"/>
              <w:kinsoku w:val="0"/>
              <w:overflowPunct w:val="0"/>
              <w:spacing w:before="145"/>
              <w:jc w:val="center"/>
              <w:rPr>
                <w:rFonts w:hint="eastAsia" w:ascii="仿宋" w:hAnsi="仿宋" w:eastAsia="仿宋" w:cs="仿宋"/>
              </w:rPr>
            </w:pPr>
          </w:p>
        </w:tc>
        <w:tc>
          <w:tcPr>
            <w:tcW w:w="1581" w:type="dxa"/>
            <w:tcBorders>
              <w:top w:val="single" w:color="000000" w:sz="4" w:space="0"/>
              <w:left w:val="single" w:color="000000" w:sz="4" w:space="0"/>
              <w:bottom w:val="single" w:color="000000" w:sz="4" w:space="0"/>
              <w:right w:val="single" w:color="000000" w:sz="4" w:space="0"/>
            </w:tcBorders>
            <w:vAlign w:val="top"/>
          </w:tcPr>
          <w:p>
            <w:pPr>
              <w:pStyle w:val="20"/>
              <w:kinsoku w:val="0"/>
              <w:overflowPunct w:val="0"/>
              <w:spacing w:before="145"/>
              <w:ind w:left="416"/>
              <w:rPr>
                <w:rFonts w:hint="eastAsia" w:ascii="仿宋" w:hAnsi="仿宋" w:eastAsia="仿宋" w:cs="仿宋"/>
              </w:rPr>
            </w:pPr>
            <w:r>
              <w:rPr>
                <w:rFonts w:hint="eastAsia" w:ascii="仿宋" w:hAnsi="仿宋" w:eastAsia="仿宋" w:cs="仿宋"/>
              </w:rPr>
              <w:t>姓 名</w:t>
            </w:r>
          </w:p>
        </w:tc>
        <w:tc>
          <w:tcPr>
            <w:tcW w:w="2186" w:type="dxa"/>
            <w:gridSpan w:val="3"/>
            <w:tcBorders>
              <w:top w:val="single" w:color="000000" w:sz="4" w:space="0"/>
              <w:left w:val="single" w:color="000000" w:sz="4" w:space="0"/>
              <w:bottom w:val="single" w:color="000000" w:sz="4" w:space="0"/>
              <w:right w:val="single" w:color="000000" w:sz="4" w:space="0"/>
            </w:tcBorders>
            <w:vAlign w:val="top"/>
          </w:tcPr>
          <w:p>
            <w:pPr>
              <w:pStyle w:val="20"/>
              <w:kinsoku w:val="0"/>
              <w:overflowPunct w:val="0"/>
              <w:spacing w:before="145"/>
              <w:ind w:left="452"/>
              <w:rPr>
                <w:rFonts w:hint="eastAsia" w:ascii="仿宋" w:hAnsi="仿宋" w:eastAsia="仿宋" w:cs="仿宋"/>
              </w:rPr>
            </w:pPr>
            <w:r>
              <w:rPr>
                <w:rFonts w:hint="eastAsia" w:ascii="仿宋" w:hAnsi="仿宋" w:eastAsia="仿宋" w:cs="仿宋"/>
              </w:rPr>
              <w:t>职务/职称</w:t>
            </w:r>
          </w:p>
        </w:tc>
        <w:tc>
          <w:tcPr>
            <w:tcW w:w="1656" w:type="dxa"/>
            <w:gridSpan w:val="3"/>
            <w:tcBorders>
              <w:top w:val="single" w:color="000000" w:sz="4" w:space="0"/>
              <w:left w:val="single" w:color="000000" w:sz="4" w:space="0"/>
              <w:bottom w:val="single" w:color="000000" w:sz="4" w:space="0"/>
              <w:right w:val="single" w:color="000000" w:sz="4" w:space="0"/>
            </w:tcBorders>
            <w:vAlign w:val="top"/>
          </w:tcPr>
          <w:p>
            <w:pPr>
              <w:pStyle w:val="20"/>
              <w:kinsoku w:val="0"/>
              <w:overflowPunct w:val="0"/>
              <w:spacing w:before="145"/>
              <w:ind w:left="450"/>
              <w:rPr>
                <w:rFonts w:hint="eastAsia" w:ascii="仿宋" w:hAnsi="仿宋" w:eastAsia="仿宋" w:cs="仿宋"/>
              </w:rPr>
            </w:pPr>
            <w:r>
              <w:rPr>
                <w:rFonts w:hint="eastAsia" w:ascii="仿宋" w:hAnsi="仿宋" w:eastAsia="仿宋" w:cs="仿宋"/>
              </w:rPr>
              <w:t>年 龄</w:t>
            </w:r>
          </w:p>
        </w:tc>
        <w:tc>
          <w:tcPr>
            <w:tcW w:w="2757" w:type="dxa"/>
            <w:gridSpan w:val="2"/>
            <w:tcBorders>
              <w:top w:val="single" w:color="000000" w:sz="4" w:space="0"/>
              <w:left w:val="single" w:color="000000" w:sz="4" w:space="0"/>
              <w:bottom w:val="single" w:color="000000" w:sz="4" w:space="0"/>
              <w:right w:val="single" w:color="000000" w:sz="4" w:space="0"/>
            </w:tcBorders>
            <w:vAlign w:val="top"/>
          </w:tcPr>
          <w:p>
            <w:pPr>
              <w:pStyle w:val="20"/>
              <w:tabs>
                <w:tab w:val="left" w:pos="479"/>
              </w:tabs>
              <w:kinsoku w:val="0"/>
              <w:overflowPunct w:val="0"/>
              <w:spacing w:before="145"/>
              <w:ind w:right="1"/>
              <w:jc w:val="center"/>
              <w:rPr>
                <w:rFonts w:hint="eastAsia" w:ascii="仿宋" w:hAnsi="仿宋" w:eastAsia="仿宋" w:cs="仿宋"/>
              </w:rPr>
            </w:pPr>
            <w:r>
              <w:rPr>
                <w:rFonts w:hint="eastAsia" w:ascii="仿宋" w:hAnsi="仿宋" w:eastAsia="仿宋" w:cs="仿宋"/>
              </w:rPr>
              <w:t>专</w:t>
            </w:r>
            <w:r>
              <w:rPr>
                <w:rFonts w:hint="eastAsia" w:ascii="仿宋" w:hAnsi="仿宋" w:eastAsia="仿宋" w:cs="仿宋"/>
              </w:rPr>
              <w:tab/>
            </w:r>
            <w:r>
              <w:rPr>
                <w:rFonts w:hint="eastAsia" w:ascii="仿宋" w:hAnsi="仿宋" w:eastAsia="仿宋" w:cs="仿宋"/>
              </w:rPr>
              <w:t>业</w:t>
            </w:r>
          </w:p>
        </w:tc>
      </w:tr>
      <w:tr>
        <w:tblPrEx>
          <w:tblCellMar>
            <w:top w:w="0" w:type="dxa"/>
            <w:left w:w="0" w:type="dxa"/>
            <w:bottom w:w="0" w:type="dxa"/>
            <w:right w:w="0" w:type="dxa"/>
          </w:tblCellMar>
        </w:tblPrEx>
        <w:trPr>
          <w:trHeight w:val="572" w:hRule="exact"/>
          <w:jc w:val="center"/>
        </w:trPr>
        <w:tc>
          <w:tcPr>
            <w:tcW w:w="1359" w:type="dxa"/>
            <w:vMerge w:val="continue"/>
            <w:tcBorders>
              <w:top w:val="single" w:color="000000" w:sz="4" w:space="0"/>
              <w:left w:val="single" w:color="000000" w:sz="4" w:space="0"/>
              <w:bottom w:val="single" w:color="000000" w:sz="4" w:space="0"/>
              <w:right w:val="single" w:color="000000" w:sz="4" w:space="0"/>
            </w:tcBorders>
            <w:vAlign w:val="top"/>
          </w:tcPr>
          <w:p>
            <w:pPr>
              <w:pStyle w:val="20"/>
              <w:tabs>
                <w:tab w:val="left" w:pos="479"/>
              </w:tabs>
              <w:kinsoku w:val="0"/>
              <w:overflowPunct w:val="0"/>
              <w:spacing w:before="145"/>
              <w:ind w:right="1"/>
              <w:jc w:val="center"/>
              <w:rPr>
                <w:rFonts w:hint="eastAsia" w:ascii="仿宋" w:hAnsi="仿宋" w:eastAsia="仿宋" w:cs="仿宋"/>
              </w:rPr>
            </w:pPr>
          </w:p>
        </w:tc>
        <w:tc>
          <w:tcPr>
            <w:tcW w:w="1581"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c>
          <w:tcPr>
            <w:tcW w:w="218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c>
          <w:tcPr>
            <w:tcW w:w="16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c>
          <w:tcPr>
            <w:tcW w:w="2757" w:type="dxa"/>
            <w:gridSpan w:val="2"/>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r>
      <w:tr>
        <w:trPr>
          <w:trHeight w:val="596" w:hRule="exact"/>
          <w:jc w:val="center"/>
        </w:trPr>
        <w:tc>
          <w:tcPr>
            <w:tcW w:w="1359" w:type="dxa"/>
            <w:vMerge w:val="continue"/>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c>
          <w:tcPr>
            <w:tcW w:w="1581"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c>
          <w:tcPr>
            <w:tcW w:w="218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c>
          <w:tcPr>
            <w:tcW w:w="16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c>
          <w:tcPr>
            <w:tcW w:w="2757" w:type="dxa"/>
            <w:gridSpan w:val="2"/>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r>
      <w:tr>
        <w:tblPrEx>
          <w:tblCellMar>
            <w:top w:w="0" w:type="dxa"/>
            <w:left w:w="0" w:type="dxa"/>
            <w:bottom w:w="0" w:type="dxa"/>
            <w:right w:w="0" w:type="dxa"/>
          </w:tblCellMar>
        </w:tblPrEx>
        <w:trPr>
          <w:trHeight w:val="570" w:hRule="exact"/>
          <w:jc w:val="center"/>
        </w:trPr>
        <w:tc>
          <w:tcPr>
            <w:tcW w:w="1359" w:type="dxa"/>
            <w:vMerge w:val="continue"/>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c>
          <w:tcPr>
            <w:tcW w:w="1581"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c>
          <w:tcPr>
            <w:tcW w:w="218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c>
          <w:tcPr>
            <w:tcW w:w="16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c>
          <w:tcPr>
            <w:tcW w:w="2757" w:type="dxa"/>
            <w:gridSpan w:val="2"/>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r>
      <w:tr>
        <w:tblPrEx>
          <w:tblCellMar>
            <w:top w:w="0" w:type="dxa"/>
            <w:left w:w="0" w:type="dxa"/>
            <w:bottom w:w="0" w:type="dxa"/>
            <w:right w:w="0" w:type="dxa"/>
          </w:tblCellMar>
        </w:tblPrEx>
        <w:trPr>
          <w:trHeight w:val="2594" w:hRule="exact"/>
          <w:jc w:val="center"/>
        </w:trPr>
        <w:tc>
          <w:tcPr>
            <w:tcW w:w="1359" w:type="dxa"/>
            <w:tcBorders>
              <w:top w:val="single" w:color="000000" w:sz="4" w:space="0"/>
              <w:left w:val="single" w:color="000000" w:sz="4" w:space="0"/>
              <w:bottom w:val="single" w:color="000000" w:sz="4" w:space="0"/>
              <w:right w:val="single" w:color="000000" w:sz="4" w:space="0"/>
            </w:tcBorders>
            <w:vAlign w:val="top"/>
          </w:tcPr>
          <w:p>
            <w:pPr>
              <w:pStyle w:val="20"/>
              <w:kinsoku w:val="0"/>
              <w:overflowPunct w:val="0"/>
              <w:rPr>
                <w:rFonts w:hint="eastAsia" w:ascii="仿宋" w:hAnsi="仿宋" w:eastAsia="仿宋" w:cs="仿宋"/>
                <w:b/>
                <w:bCs/>
              </w:rPr>
            </w:pPr>
          </w:p>
          <w:p>
            <w:pPr>
              <w:pStyle w:val="20"/>
              <w:kinsoku w:val="0"/>
              <w:overflowPunct w:val="0"/>
              <w:spacing w:before="1"/>
              <w:rPr>
                <w:rFonts w:hint="eastAsia" w:ascii="仿宋" w:hAnsi="仿宋" w:eastAsia="仿宋" w:cs="仿宋"/>
                <w:b/>
                <w:bCs/>
                <w:sz w:val="23"/>
                <w:szCs w:val="23"/>
              </w:rPr>
            </w:pPr>
          </w:p>
          <w:p>
            <w:pPr>
              <w:pStyle w:val="20"/>
              <w:kinsoku w:val="0"/>
              <w:overflowPunct w:val="0"/>
              <w:spacing w:line="237" w:lineRule="auto"/>
              <w:ind w:left="497" w:right="493"/>
              <w:jc w:val="both"/>
              <w:rPr>
                <w:rFonts w:hint="eastAsia" w:ascii="仿宋" w:hAnsi="仿宋" w:eastAsia="仿宋" w:cs="仿宋"/>
              </w:rPr>
            </w:pPr>
            <w:r>
              <w:rPr>
                <w:rFonts w:hint="eastAsia" w:ascii="仿宋" w:hAnsi="仿宋" w:eastAsia="仿宋" w:cs="仿宋"/>
              </w:rPr>
              <w:t>单 位 概 况</w:t>
            </w:r>
          </w:p>
        </w:tc>
        <w:tc>
          <w:tcPr>
            <w:tcW w:w="8180" w:type="dxa"/>
            <w:gridSpan w:val="9"/>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rPr>
            </w:pPr>
          </w:p>
        </w:tc>
      </w:tr>
    </w:tbl>
    <w:p>
      <w:pPr>
        <w:pStyle w:val="9"/>
        <w:kinsoku w:val="0"/>
        <w:overflowPunct w:val="0"/>
        <w:spacing w:before="26" w:line="320" w:lineRule="auto"/>
        <w:ind w:left="1772" w:hanging="1640"/>
        <w:rPr>
          <w:rFonts w:hint="eastAsia" w:ascii="仿宋" w:hAnsi="仿宋" w:eastAsia="仿宋" w:cs="仿宋"/>
          <w:b/>
          <w:bCs/>
          <w:w w:val="95"/>
        </w:rPr>
      </w:pPr>
    </w:p>
    <w:p>
      <w:pPr>
        <w:pStyle w:val="9"/>
        <w:kinsoku w:val="0"/>
        <w:overflowPunct w:val="0"/>
        <w:spacing w:before="26" w:line="320" w:lineRule="auto"/>
        <w:ind w:left="0"/>
        <w:jc w:val="center"/>
        <w:rPr>
          <w:rFonts w:hint="eastAsia" w:ascii="仿宋" w:hAnsi="仿宋" w:eastAsia="仿宋" w:cs="仿宋"/>
        </w:rPr>
      </w:pPr>
      <w:r>
        <w:rPr>
          <w:rFonts w:hint="eastAsia" w:ascii="仿宋" w:hAnsi="仿宋" w:eastAsia="仿宋" w:cs="仿宋"/>
          <w:b/>
          <w:bCs/>
          <w:w w:val="95"/>
        </w:rPr>
        <w:br w:type="page"/>
      </w:r>
      <w:r>
        <w:rPr>
          <w:rFonts w:hint="eastAsia" w:ascii="仿宋" w:hAnsi="仿宋" w:eastAsia="仿宋" w:cs="仿宋"/>
          <w:b/>
          <w:bCs/>
          <w:w w:val="95"/>
        </w:rPr>
        <w:t>（二</w:t>
      </w:r>
      <w:r>
        <w:rPr>
          <w:rFonts w:hint="eastAsia" w:ascii="仿宋" w:hAnsi="仿宋" w:eastAsia="仿宋" w:cs="仿宋"/>
          <w:b/>
          <w:bCs/>
          <w:spacing w:val="-15"/>
          <w:w w:val="95"/>
        </w:rPr>
        <w:t>）</w:t>
      </w:r>
      <w:r>
        <w:rPr>
          <w:rFonts w:hint="eastAsia" w:ascii="仿宋" w:hAnsi="仿宋" w:eastAsia="仿宋" w:cs="仿宋"/>
          <w:b/>
          <w:bCs/>
          <w:w w:val="95"/>
        </w:rPr>
        <w:t>营</w:t>
      </w:r>
      <w:r>
        <w:rPr>
          <w:rFonts w:hint="eastAsia" w:ascii="仿宋" w:hAnsi="仿宋" w:eastAsia="仿宋" w:cs="仿宋"/>
          <w:b/>
          <w:bCs/>
          <w:spacing w:val="1"/>
          <w:w w:val="95"/>
        </w:rPr>
        <w:t>业</w:t>
      </w:r>
      <w:r>
        <w:rPr>
          <w:rFonts w:hint="eastAsia" w:ascii="仿宋" w:hAnsi="仿宋" w:eastAsia="仿宋" w:cs="仿宋"/>
          <w:b/>
          <w:bCs/>
          <w:w w:val="95"/>
        </w:rPr>
        <w:t>执</w:t>
      </w:r>
      <w:r>
        <w:rPr>
          <w:rFonts w:hint="eastAsia" w:ascii="仿宋" w:hAnsi="仿宋" w:eastAsia="仿宋" w:cs="仿宋"/>
          <w:b/>
          <w:bCs/>
          <w:spacing w:val="1"/>
          <w:w w:val="95"/>
        </w:rPr>
        <w:t>照</w:t>
      </w:r>
      <w:r>
        <w:rPr>
          <w:rFonts w:hint="eastAsia" w:ascii="仿宋" w:hAnsi="仿宋" w:eastAsia="仿宋" w:cs="仿宋"/>
          <w:b/>
          <w:bCs/>
          <w:w w:val="95"/>
        </w:rPr>
        <w:t>副本</w:t>
      </w:r>
      <w:r>
        <w:rPr>
          <w:rFonts w:hint="eastAsia" w:ascii="仿宋" w:hAnsi="仿宋" w:eastAsia="仿宋" w:cs="仿宋"/>
          <w:b/>
          <w:bCs/>
          <w:spacing w:val="-15"/>
          <w:w w:val="95"/>
        </w:rPr>
        <w:t>、</w:t>
      </w:r>
      <w:r>
        <w:rPr>
          <w:rFonts w:hint="eastAsia" w:ascii="仿宋" w:hAnsi="仿宋" w:eastAsia="仿宋" w:cs="仿宋"/>
          <w:b/>
          <w:bCs/>
          <w:w w:val="95"/>
        </w:rPr>
        <w:t>税</w:t>
      </w:r>
      <w:r>
        <w:rPr>
          <w:rFonts w:hint="eastAsia" w:ascii="仿宋" w:hAnsi="仿宋" w:eastAsia="仿宋" w:cs="仿宋"/>
          <w:b/>
          <w:bCs/>
          <w:spacing w:val="1"/>
          <w:w w:val="95"/>
        </w:rPr>
        <w:t>务</w:t>
      </w:r>
      <w:r>
        <w:rPr>
          <w:rFonts w:hint="eastAsia" w:ascii="仿宋" w:hAnsi="仿宋" w:eastAsia="仿宋" w:cs="仿宋"/>
          <w:b/>
          <w:bCs/>
          <w:w w:val="95"/>
        </w:rPr>
        <w:t>登</w:t>
      </w:r>
      <w:r>
        <w:rPr>
          <w:rFonts w:hint="eastAsia" w:ascii="仿宋" w:hAnsi="仿宋" w:eastAsia="仿宋" w:cs="仿宋"/>
          <w:b/>
          <w:bCs/>
          <w:spacing w:val="1"/>
          <w:w w:val="95"/>
        </w:rPr>
        <w:t>记</w:t>
      </w:r>
      <w:r>
        <w:rPr>
          <w:rFonts w:hint="eastAsia" w:ascii="仿宋" w:hAnsi="仿宋" w:eastAsia="仿宋" w:cs="仿宋"/>
          <w:b/>
          <w:bCs/>
          <w:w w:val="95"/>
        </w:rPr>
        <w:t>证</w:t>
      </w:r>
      <w:r>
        <w:rPr>
          <w:rFonts w:hint="eastAsia" w:ascii="仿宋" w:hAnsi="仿宋" w:eastAsia="仿宋" w:cs="仿宋"/>
          <w:b/>
          <w:bCs/>
          <w:spacing w:val="-17"/>
          <w:w w:val="95"/>
        </w:rPr>
        <w:t>、</w:t>
      </w:r>
      <w:r>
        <w:rPr>
          <w:rFonts w:hint="eastAsia" w:ascii="仿宋" w:hAnsi="仿宋" w:eastAsia="仿宋" w:cs="仿宋"/>
          <w:b/>
          <w:bCs/>
          <w:w w:val="95"/>
        </w:rPr>
        <w:t>组</w:t>
      </w:r>
      <w:r>
        <w:rPr>
          <w:rFonts w:hint="eastAsia" w:ascii="仿宋" w:hAnsi="仿宋" w:eastAsia="仿宋" w:cs="仿宋"/>
          <w:b/>
          <w:bCs/>
          <w:spacing w:val="1"/>
          <w:w w:val="95"/>
        </w:rPr>
        <w:t>织</w:t>
      </w:r>
      <w:r>
        <w:rPr>
          <w:rFonts w:hint="eastAsia" w:ascii="仿宋" w:hAnsi="仿宋" w:eastAsia="仿宋" w:cs="仿宋"/>
          <w:b/>
          <w:bCs/>
          <w:w w:val="95"/>
        </w:rPr>
        <w:t>机</w:t>
      </w:r>
      <w:r>
        <w:rPr>
          <w:rFonts w:hint="eastAsia" w:ascii="仿宋" w:hAnsi="仿宋" w:eastAsia="仿宋" w:cs="仿宋"/>
          <w:b/>
          <w:bCs/>
          <w:spacing w:val="1"/>
          <w:w w:val="95"/>
        </w:rPr>
        <w:t>构</w:t>
      </w:r>
      <w:r>
        <w:rPr>
          <w:rFonts w:hint="eastAsia" w:ascii="仿宋" w:hAnsi="仿宋" w:eastAsia="仿宋" w:cs="仿宋"/>
          <w:b/>
          <w:bCs/>
          <w:w w:val="95"/>
        </w:rPr>
        <w:t>代码</w:t>
      </w:r>
      <w:r>
        <w:rPr>
          <w:rFonts w:hint="eastAsia" w:ascii="仿宋" w:hAnsi="仿宋" w:eastAsia="仿宋" w:cs="仿宋"/>
          <w:b/>
          <w:bCs/>
          <w:spacing w:val="1"/>
          <w:w w:val="95"/>
        </w:rPr>
        <w:t>证</w:t>
      </w:r>
      <w:r>
        <w:rPr>
          <w:rFonts w:hint="eastAsia" w:ascii="仿宋" w:hAnsi="仿宋" w:eastAsia="仿宋" w:cs="仿宋"/>
          <w:b/>
          <w:bCs/>
          <w:spacing w:val="-33"/>
          <w:w w:val="95"/>
        </w:rPr>
        <w:t>、</w:t>
      </w:r>
      <w:r>
        <w:rPr>
          <w:rFonts w:hint="eastAsia" w:ascii="仿宋" w:hAnsi="仿宋" w:eastAsia="仿宋" w:cs="仿宋"/>
          <w:b/>
          <w:bCs/>
          <w:w w:val="95"/>
        </w:rPr>
        <w:t>（三</w:t>
      </w:r>
      <w:r>
        <w:rPr>
          <w:rFonts w:hint="eastAsia" w:ascii="仿宋" w:hAnsi="仿宋" w:eastAsia="仿宋" w:cs="仿宋"/>
          <w:b/>
          <w:bCs/>
          <w:spacing w:val="1"/>
          <w:w w:val="95"/>
        </w:rPr>
        <w:t>证</w:t>
      </w:r>
      <w:r>
        <w:rPr>
          <w:rFonts w:hint="eastAsia" w:ascii="仿宋" w:hAnsi="仿宋" w:eastAsia="仿宋" w:cs="仿宋"/>
          <w:b/>
          <w:bCs/>
          <w:w w:val="95"/>
        </w:rPr>
        <w:t>合</w:t>
      </w:r>
      <w:r>
        <w:rPr>
          <w:rFonts w:hint="eastAsia" w:ascii="仿宋" w:hAnsi="仿宋" w:eastAsia="仿宋" w:cs="仿宋"/>
          <w:b/>
          <w:bCs/>
          <w:spacing w:val="1"/>
          <w:w w:val="95"/>
        </w:rPr>
        <w:t>一</w:t>
      </w:r>
      <w:r>
        <w:rPr>
          <w:rFonts w:hint="eastAsia" w:ascii="仿宋" w:hAnsi="仿宋" w:eastAsia="仿宋" w:cs="仿宋"/>
          <w:b/>
          <w:bCs/>
          <w:w w:val="95"/>
        </w:rPr>
        <w:t>的提</w:t>
      </w:r>
      <w:r>
        <w:rPr>
          <w:rFonts w:hint="eastAsia" w:ascii="仿宋" w:hAnsi="仿宋" w:eastAsia="仿宋" w:cs="仿宋"/>
          <w:b/>
          <w:bCs/>
          <w:spacing w:val="1"/>
          <w:w w:val="95"/>
        </w:rPr>
        <w:t>供</w:t>
      </w:r>
      <w:r>
        <w:rPr>
          <w:rFonts w:hint="eastAsia" w:ascii="仿宋" w:hAnsi="仿宋" w:eastAsia="仿宋" w:cs="仿宋"/>
          <w:b/>
          <w:bCs/>
          <w:w w:val="95"/>
        </w:rPr>
        <w:t>统</w:t>
      </w:r>
      <w:r>
        <w:rPr>
          <w:rFonts w:hint="eastAsia" w:ascii="仿宋" w:hAnsi="仿宋" w:eastAsia="仿宋" w:cs="仿宋"/>
          <w:b/>
          <w:bCs/>
          <w:spacing w:val="1"/>
          <w:w w:val="95"/>
        </w:rPr>
        <w:t>一</w:t>
      </w:r>
      <w:r>
        <w:rPr>
          <w:rFonts w:hint="eastAsia" w:ascii="仿宋" w:hAnsi="仿宋" w:eastAsia="仿宋" w:cs="仿宋"/>
          <w:b/>
          <w:bCs/>
          <w:w w:val="95"/>
        </w:rPr>
        <w:t>社会</w:t>
      </w:r>
      <w:r>
        <w:rPr>
          <w:rFonts w:hint="eastAsia" w:ascii="仿宋" w:hAnsi="仿宋" w:eastAsia="仿宋" w:cs="仿宋"/>
          <w:b/>
          <w:bCs/>
          <w:spacing w:val="1"/>
          <w:w w:val="95"/>
        </w:rPr>
        <w:t>信</w:t>
      </w:r>
      <w:r>
        <w:rPr>
          <w:rFonts w:hint="eastAsia" w:ascii="仿宋" w:hAnsi="仿宋" w:eastAsia="仿宋" w:cs="仿宋"/>
          <w:b/>
          <w:bCs/>
          <w:w w:val="95"/>
        </w:rPr>
        <w:t>用</w:t>
      </w:r>
      <w:r>
        <w:rPr>
          <w:rFonts w:hint="eastAsia" w:ascii="仿宋" w:hAnsi="仿宋" w:eastAsia="仿宋" w:cs="仿宋"/>
          <w:b/>
          <w:bCs/>
        </w:rPr>
        <w:t>代码的营业执照）、资质证书</w:t>
      </w:r>
    </w:p>
    <w:p>
      <w:pPr>
        <w:pStyle w:val="9"/>
        <w:kinsoku w:val="0"/>
        <w:overflowPunct w:val="0"/>
        <w:spacing w:before="26"/>
        <w:ind w:left="1051" w:right="118"/>
        <w:jc w:val="center"/>
        <w:rPr>
          <w:rFonts w:hint="eastAsia" w:ascii="仿宋" w:hAnsi="仿宋" w:eastAsia="仿宋" w:cs="仿宋"/>
        </w:rPr>
      </w:pPr>
      <w:r>
        <w:rPr>
          <w:rFonts w:hint="eastAsia" w:ascii="仿宋" w:hAnsi="仿宋" w:eastAsia="仿宋" w:cs="仿宋"/>
        </w:rPr>
        <w:t>如项目所在地有分支机构需提供分支机构营业执照</w:t>
      </w:r>
      <w:r>
        <w:rPr>
          <w:rFonts w:hint="eastAsia" w:ascii="仿宋" w:hAnsi="仿宋" w:eastAsia="仿宋" w:cs="仿宋"/>
        </w:rPr>
        <w:br w:type="page"/>
      </w:r>
      <w:r>
        <w:rPr>
          <w:rFonts w:hint="eastAsia" w:ascii="仿宋" w:hAnsi="仿宋" w:eastAsia="仿宋" w:cs="仿宋"/>
          <w:b/>
          <w:bCs/>
        </w:rPr>
        <w:t>（三）近一年财务状况报告相关材料（复印件加盖单位公章）</w:t>
      </w:r>
    </w:p>
    <w:p>
      <w:pPr>
        <w:pStyle w:val="9"/>
        <w:kinsoku w:val="0"/>
        <w:overflowPunct w:val="0"/>
        <w:spacing w:before="26"/>
        <w:ind w:left="931" w:right="118"/>
        <w:jc w:val="center"/>
        <w:rPr>
          <w:rFonts w:hint="eastAsia" w:ascii="仿宋" w:hAnsi="仿宋" w:eastAsia="仿宋" w:cs="仿宋"/>
        </w:rPr>
      </w:pPr>
      <w:r>
        <w:rPr>
          <w:rFonts w:hint="eastAsia" w:ascii="仿宋" w:hAnsi="仿宋" w:eastAsia="仿宋" w:cs="仿宋"/>
        </w:rPr>
        <w:br w:type="page"/>
      </w:r>
      <w:r>
        <w:rPr>
          <w:rFonts w:hint="eastAsia" w:ascii="仿宋" w:hAnsi="仿宋" w:eastAsia="仿宋" w:cs="仿宋"/>
          <w:b/>
          <w:bCs/>
        </w:rPr>
        <w:t>（四）</w:t>
      </w:r>
      <w:r>
        <w:rPr>
          <w:rFonts w:hint="eastAsia" w:ascii="仿宋" w:hAnsi="仿宋" w:eastAsia="仿宋" w:cs="仿宋"/>
          <w:b/>
          <w:bCs/>
          <w:lang w:eastAsia="zh-CN"/>
        </w:rPr>
        <w:t>近</w:t>
      </w:r>
      <w:r>
        <w:rPr>
          <w:rFonts w:hint="eastAsia" w:hAnsi="仿宋" w:cs="仿宋"/>
          <w:b/>
          <w:bCs/>
          <w:lang w:val="en-US" w:eastAsia="zh-CN"/>
        </w:rPr>
        <w:t>三</w:t>
      </w:r>
      <w:r>
        <w:rPr>
          <w:rFonts w:hint="eastAsia" w:ascii="仿宋" w:hAnsi="仿宋" w:eastAsia="仿宋" w:cs="仿宋"/>
          <w:b/>
          <w:bCs/>
          <w:lang w:eastAsia="zh-CN"/>
        </w:rPr>
        <w:t>个月</w:t>
      </w:r>
      <w:r>
        <w:rPr>
          <w:rFonts w:hint="eastAsia" w:ascii="仿宋" w:hAnsi="仿宋" w:eastAsia="仿宋" w:cs="仿宋"/>
          <w:b/>
          <w:bCs/>
        </w:rPr>
        <w:t>单位社会保障缴费证</w:t>
      </w:r>
      <w:bookmarkStart w:id="31" w:name="_GoBack"/>
      <w:bookmarkEnd w:id="31"/>
      <w:r>
        <w:rPr>
          <w:rFonts w:hint="eastAsia" w:ascii="仿宋" w:hAnsi="仿宋" w:eastAsia="仿宋" w:cs="仿宋"/>
          <w:b/>
          <w:bCs/>
        </w:rPr>
        <w:t>明（复印件加盖公章）</w:t>
      </w:r>
    </w:p>
    <w:p>
      <w:pPr>
        <w:spacing w:line="420" w:lineRule="exact"/>
        <w:rPr>
          <w:rFonts w:hint="eastAsia" w:ascii="仿宋" w:hAnsi="仿宋" w:eastAsia="仿宋" w:cs="仿宋"/>
          <w:kern w:val="0"/>
          <w:sz w:val="24"/>
          <w:szCs w:val="24"/>
        </w:rPr>
      </w:pPr>
    </w:p>
    <w:p>
      <w:pPr>
        <w:jc w:val="center"/>
        <w:rPr>
          <w:rFonts w:hint="eastAsia" w:ascii="仿宋" w:hAnsi="仿宋" w:eastAsia="仿宋" w:cs="仿宋"/>
          <w:b/>
          <w:szCs w:val="21"/>
        </w:rPr>
      </w:pPr>
      <w:r>
        <w:rPr>
          <w:rFonts w:hint="eastAsia" w:ascii="仿宋" w:hAnsi="仿宋" w:eastAsia="仿宋" w:cs="仿宋"/>
        </w:rPr>
        <w:br w:type="page"/>
      </w:r>
      <w:r>
        <w:rPr>
          <w:rFonts w:hint="eastAsia" w:ascii="仿宋" w:hAnsi="仿宋" w:eastAsia="仿宋" w:cs="仿宋"/>
          <w:b/>
          <w:bCs/>
          <w:sz w:val="36"/>
          <w:szCs w:val="36"/>
          <w:highlight w:val="none"/>
          <w:lang w:eastAsia="zh-CN"/>
        </w:rPr>
        <w:t>七</w:t>
      </w:r>
      <w:r>
        <w:rPr>
          <w:rFonts w:hint="eastAsia" w:ascii="仿宋" w:hAnsi="仿宋" w:eastAsia="仿宋" w:cs="仿宋"/>
          <w:b/>
          <w:bCs/>
          <w:sz w:val="36"/>
          <w:szCs w:val="36"/>
          <w:highlight w:val="none"/>
        </w:rPr>
        <w:t>、一般商务条款偏离表</w:t>
      </w:r>
    </w:p>
    <w:p>
      <w:pPr>
        <w:rPr>
          <w:rFonts w:hint="eastAsia" w:ascii="仿宋" w:hAnsi="仿宋" w:eastAsia="仿宋" w:cs="仿宋"/>
        </w:rPr>
      </w:pPr>
    </w:p>
    <w:tbl>
      <w:tblPr>
        <w:tblStyle w:val="15"/>
        <w:tblW w:w="7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218"/>
        <w:gridCol w:w="157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序号</w:t>
            </w:r>
          </w:p>
        </w:tc>
        <w:tc>
          <w:tcPr>
            <w:tcW w:w="3218"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z w:val="24"/>
              </w:rPr>
              <w:t>招标文件的商务条款</w:t>
            </w:r>
          </w:p>
        </w:tc>
        <w:tc>
          <w:tcPr>
            <w:tcW w:w="1570"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是否响应</w:t>
            </w:r>
          </w:p>
        </w:tc>
        <w:tc>
          <w:tcPr>
            <w:tcW w:w="2222"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1</w:t>
            </w:r>
          </w:p>
        </w:tc>
        <w:tc>
          <w:tcPr>
            <w:tcW w:w="3218" w:type="dxa"/>
            <w:vAlign w:val="center"/>
          </w:tcPr>
          <w:p>
            <w:pPr>
              <w:rPr>
                <w:rFonts w:hint="eastAsia" w:ascii="仿宋" w:hAnsi="仿宋" w:eastAsia="仿宋" w:cs="仿宋"/>
                <w:spacing w:val="-1"/>
                <w:kern w:val="0"/>
                <w:sz w:val="24"/>
                <w:szCs w:val="24"/>
                <w:highlight w:val="none"/>
              </w:rPr>
            </w:pPr>
            <w:r>
              <w:rPr>
                <w:rFonts w:hint="eastAsia" w:ascii="仿宋" w:hAnsi="仿宋" w:eastAsia="仿宋" w:cs="仿宋"/>
                <w:sz w:val="24"/>
                <w:highlight w:val="none"/>
                <w:lang w:val="en-US" w:eastAsia="zh-CN"/>
              </w:rPr>
              <w:t>工期:</w:t>
            </w:r>
          </w:p>
        </w:tc>
        <w:tc>
          <w:tcPr>
            <w:tcW w:w="1570" w:type="dxa"/>
            <w:vAlign w:val="center"/>
          </w:tcPr>
          <w:p>
            <w:pPr>
              <w:rPr>
                <w:rFonts w:hint="eastAsia" w:ascii="仿宋" w:hAnsi="仿宋" w:eastAsia="仿宋" w:cs="仿宋"/>
                <w:spacing w:val="-1"/>
                <w:kern w:val="0"/>
                <w:sz w:val="24"/>
                <w:szCs w:val="24"/>
              </w:rPr>
            </w:pPr>
          </w:p>
        </w:tc>
        <w:tc>
          <w:tcPr>
            <w:tcW w:w="2222" w:type="dxa"/>
            <w:vAlign w:val="center"/>
          </w:tcPr>
          <w:p>
            <w:pPr>
              <w:rPr>
                <w:rFonts w:hint="eastAsia" w:ascii="仿宋" w:hAnsi="仿宋" w:eastAsia="仿宋" w:cs="仿宋"/>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2</w:t>
            </w:r>
          </w:p>
        </w:tc>
        <w:tc>
          <w:tcPr>
            <w:tcW w:w="3218" w:type="dxa"/>
            <w:vAlign w:val="center"/>
          </w:tcPr>
          <w:p>
            <w:pPr>
              <w:rPr>
                <w:rFonts w:hint="eastAsia" w:ascii="仿宋" w:hAnsi="仿宋" w:eastAsia="仿宋" w:cs="仿宋"/>
                <w:spacing w:val="-1"/>
                <w:kern w:val="0"/>
                <w:sz w:val="24"/>
                <w:szCs w:val="24"/>
                <w:highlight w:val="none"/>
              </w:rPr>
            </w:pPr>
            <w:r>
              <w:rPr>
                <w:rFonts w:hint="eastAsia" w:ascii="仿宋" w:hAnsi="仿宋" w:eastAsia="仿宋" w:cs="仿宋"/>
                <w:sz w:val="24"/>
                <w:lang w:val="en-US" w:eastAsia="zh-CN"/>
              </w:rPr>
              <w:t>投标有效期:60天</w:t>
            </w:r>
          </w:p>
        </w:tc>
        <w:tc>
          <w:tcPr>
            <w:tcW w:w="1570" w:type="dxa"/>
            <w:vAlign w:val="center"/>
          </w:tcPr>
          <w:p>
            <w:pPr>
              <w:rPr>
                <w:rFonts w:hint="eastAsia" w:ascii="仿宋" w:hAnsi="仿宋" w:eastAsia="仿宋" w:cs="仿宋"/>
                <w:spacing w:val="-1"/>
                <w:kern w:val="0"/>
                <w:sz w:val="24"/>
                <w:szCs w:val="24"/>
              </w:rPr>
            </w:pPr>
          </w:p>
        </w:tc>
        <w:tc>
          <w:tcPr>
            <w:tcW w:w="2222" w:type="dxa"/>
            <w:vAlign w:val="center"/>
          </w:tcPr>
          <w:p>
            <w:pPr>
              <w:rPr>
                <w:rFonts w:hint="eastAsia" w:ascii="仿宋" w:hAnsi="仿宋" w:eastAsia="仿宋" w:cs="仿宋"/>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3</w:t>
            </w:r>
          </w:p>
        </w:tc>
        <w:tc>
          <w:tcPr>
            <w:tcW w:w="3218" w:type="dxa"/>
            <w:vAlign w:val="center"/>
          </w:tcPr>
          <w:p>
            <w:pPr>
              <w:rPr>
                <w:rFonts w:hint="eastAsia" w:ascii="仿宋" w:hAnsi="仿宋" w:eastAsia="仿宋" w:cs="仿宋"/>
                <w:spacing w:val="-1"/>
                <w:kern w:val="0"/>
                <w:sz w:val="24"/>
                <w:szCs w:val="24"/>
              </w:rPr>
            </w:pPr>
          </w:p>
        </w:tc>
        <w:tc>
          <w:tcPr>
            <w:tcW w:w="1570" w:type="dxa"/>
            <w:vAlign w:val="center"/>
          </w:tcPr>
          <w:p>
            <w:pPr>
              <w:rPr>
                <w:rFonts w:hint="eastAsia" w:ascii="仿宋" w:hAnsi="仿宋" w:eastAsia="仿宋" w:cs="仿宋"/>
                <w:spacing w:val="-1"/>
                <w:kern w:val="0"/>
                <w:sz w:val="24"/>
                <w:szCs w:val="24"/>
              </w:rPr>
            </w:pPr>
          </w:p>
        </w:tc>
        <w:tc>
          <w:tcPr>
            <w:tcW w:w="2222" w:type="dxa"/>
            <w:vAlign w:val="center"/>
          </w:tcPr>
          <w:p>
            <w:pPr>
              <w:rPr>
                <w:rFonts w:hint="eastAsia" w:ascii="仿宋" w:hAnsi="仿宋" w:eastAsia="仿宋" w:cs="仿宋"/>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4</w:t>
            </w:r>
          </w:p>
        </w:tc>
        <w:tc>
          <w:tcPr>
            <w:tcW w:w="3218" w:type="dxa"/>
            <w:vAlign w:val="center"/>
          </w:tcPr>
          <w:p>
            <w:pPr>
              <w:rPr>
                <w:rFonts w:hint="eastAsia" w:ascii="仿宋" w:hAnsi="仿宋" w:eastAsia="仿宋" w:cs="仿宋"/>
                <w:spacing w:val="-1"/>
                <w:kern w:val="0"/>
                <w:sz w:val="24"/>
                <w:szCs w:val="24"/>
              </w:rPr>
            </w:pPr>
          </w:p>
        </w:tc>
        <w:tc>
          <w:tcPr>
            <w:tcW w:w="1570" w:type="dxa"/>
            <w:vAlign w:val="center"/>
          </w:tcPr>
          <w:p>
            <w:pPr>
              <w:rPr>
                <w:rFonts w:hint="eastAsia" w:ascii="仿宋" w:hAnsi="仿宋" w:eastAsia="仿宋" w:cs="仿宋"/>
                <w:spacing w:val="-1"/>
                <w:kern w:val="0"/>
                <w:sz w:val="24"/>
                <w:szCs w:val="24"/>
              </w:rPr>
            </w:pPr>
          </w:p>
        </w:tc>
        <w:tc>
          <w:tcPr>
            <w:tcW w:w="2222" w:type="dxa"/>
            <w:vAlign w:val="center"/>
          </w:tcPr>
          <w:p>
            <w:pPr>
              <w:rPr>
                <w:rFonts w:hint="eastAsia" w:ascii="仿宋" w:hAnsi="仿宋" w:eastAsia="仿宋" w:cs="仿宋"/>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5</w:t>
            </w:r>
          </w:p>
        </w:tc>
        <w:tc>
          <w:tcPr>
            <w:tcW w:w="3218" w:type="dxa"/>
            <w:vAlign w:val="center"/>
          </w:tcPr>
          <w:p>
            <w:pPr>
              <w:rPr>
                <w:rFonts w:hint="eastAsia" w:ascii="仿宋" w:hAnsi="仿宋" w:eastAsia="仿宋" w:cs="仿宋"/>
                <w:spacing w:val="-1"/>
                <w:kern w:val="0"/>
                <w:sz w:val="24"/>
                <w:szCs w:val="24"/>
              </w:rPr>
            </w:pPr>
          </w:p>
        </w:tc>
        <w:tc>
          <w:tcPr>
            <w:tcW w:w="1570" w:type="dxa"/>
            <w:vAlign w:val="center"/>
          </w:tcPr>
          <w:p>
            <w:pPr>
              <w:rPr>
                <w:rFonts w:hint="eastAsia" w:ascii="仿宋" w:hAnsi="仿宋" w:eastAsia="仿宋" w:cs="仿宋"/>
                <w:spacing w:val="-1"/>
                <w:kern w:val="0"/>
                <w:sz w:val="24"/>
                <w:szCs w:val="24"/>
              </w:rPr>
            </w:pPr>
          </w:p>
        </w:tc>
        <w:tc>
          <w:tcPr>
            <w:tcW w:w="2222" w:type="dxa"/>
            <w:vAlign w:val="center"/>
          </w:tcPr>
          <w:p>
            <w:pPr>
              <w:rPr>
                <w:rFonts w:hint="eastAsia" w:ascii="仿宋" w:hAnsi="仿宋" w:eastAsia="仿宋" w:cs="仿宋"/>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6</w:t>
            </w:r>
          </w:p>
        </w:tc>
        <w:tc>
          <w:tcPr>
            <w:tcW w:w="3218" w:type="dxa"/>
            <w:vAlign w:val="center"/>
          </w:tcPr>
          <w:p>
            <w:pPr>
              <w:rPr>
                <w:rFonts w:hint="eastAsia" w:ascii="仿宋" w:hAnsi="仿宋" w:eastAsia="仿宋" w:cs="仿宋"/>
                <w:spacing w:val="-1"/>
                <w:kern w:val="0"/>
                <w:sz w:val="24"/>
                <w:szCs w:val="24"/>
              </w:rPr>
            </w:pPr>
          </w:p>
        </w:tc>
        <w:tc>
          <w:tcPr>
            <w:tcW w:w="1570" w:type="dxa"/>
            <w:vAlign w:val="center"/>
          </w:tcPr>
          <w:p>
            <w:pPr>
              <w:rPr>
                <w:rFonts w:hint="eastAsia" w:ascii="仿宋" w:hAnsi="仿宋" w:eastAsia="仿宋" w:cs="仿宋"/>
                <w:spacing w:val="-1"/>
                <w:kern w:val="0"/>
                <w:sz w:val="24"/>
                <w:szCs w:val="24"/>
              </w:rPr>
            </w:pPr>
          </w:p>
        </w:tc>
        <w:tc>
          <w:tcPr>
            <w:tcW w:w="2222" w:type="dxa"/>
            <w:vAlign w:val="center"/>
          </w:tcPr>
          <w:p>
            <w:pPr>
              <w:rPr>
                <w:rFonts w:hint="eastAsia" w:ascii="仿宋" w:hAnsi="仿宋" w:eastAsia="仿宋" w:cs="仿宋"/>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7</w:t>
            </w:r>
          </w:p>
        </w:tc>
        <w:tc>
          <w:tcPr>
            <w:tcW w:w="3218" w:type="dxa"/>
            <w:vAlign w:val="center"/>
          </w:tcPr>
          <w:p>
            <w:pPr>
              <w:rPr>
                <w:rFonts w:hint="eastAsia" w:ascii="仿宋" w:hAnsi="仿宋" w:eastAsia="仿宋" w:cs="仿宋"/>
                <w:spacing w:val="-1"/>
                <w:kern w:val="0"/>
                <w:sz w:val="24"/>
                <w:szCs w:val="24"/>
              </w:rPr>
            </w:pPr>
          </w:p>
        </w:tc>
        <w:tc>
          <w:tcPr>
            <w:tcW w:w="1570" w:type="dxa"/>
            <w:vAlign w:val="center"/>
          </w:tcPr>
          <w:p>
            <w:pPr>
              <w:rPr>
                <w:rFonts w:hint="eastAsia" w:ascii="仿宋" w:hAnsi="仿宋" w:eastAsia="仿宋" w:cs="仿宋"/>
                <w:spacing w:val="-1"/>
                <w:kern w:val="0"/>
                <w:sz w:val="24"/>
                <w:szCs w:val="24"/>
              </w:rPr>
            </w:pPr>
          </w:p>
        </w:tc>
        <w:tc>
          <w:tcPr>
            <w:tcW w:w="2222" w:type="dxa"/>
            <w:vAlign w:val="center"/>
          </w:tcPr>
          <w:p>
            <w:pPr>
              <w:rPr>
                <w:rFonts w:hint="eastAsia" w:ascii="仿宋" w:hAnsi="仿宋" w:eastAsia="仿宋" w:cs="仿宋"/>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8</w:t>
            </w:r>
          </w:p>
        </w:tc>
        <w:tc>
          <w:tcPr>
            <w:tcW w:w="3218" w:type="dxa"/>
            <w:vAlign w:val="center"/>
          </w:tcPr>
          <w:p>
            <w:pPr>
              <w:rPr>
                <w:rFonts w:hint="eastAsia" w:ascii="仿宋" w:hAnsi="仿宋" w:eastAsia="仿宋" w:cs="仿宋"/>
                <w:spacing w:val="-1"/>
                <w:kern w:val="0"/>
                <w:sz w:val="24"/>
                <w:szCs w:val="24"/>
              </w:rPr>
            </w:pPr>
          </w:p>
        </w:tc>
        <w:tc>
          <w:tcPr>
            <w:tcW w:w="1570" w:type="dxa"/>
            <w:vAlign w:val="center"/>
          </w:tcPr>
          <w:p>
            <w:pPr>
              <w:rPr>
                <w:rFonts w:hint="eastAsia" w:ascii="仿宋" w:hAnsi="仿宋" w:eastAsia="仿宋" w:cs="仿宋"/>
                <w:spacing w:val="-1"/>
                <w:kern w:val="0"/>
                <w:sz w:val="24"/>
                <w:szCs w:val="24"/>
              </w:rPr>
            </w:pPr>
          </w:p>
        </w:tc>
        <w:tc>
          <w:tcPr>
            <w:tcW w:w="2222" w:type="dxa"/>
            <w:vAlign w:val="center"/>
          </w:tcPr>
          <w:p>
            <w:pPr>
              <w:rPr>
                <w:rFonts w:hint="eastAsia" w:ascii="仿宋" w:hAnsi="仿宋" w:eastAsia="仿宋" w:cs="仿宋"/>
                <w:spacing w:val="-1"/>
                <w:kern w:val="0"/>
                <w:sz w:val="24"/>
                <w:szCs w:val="24"/>
              </w:rPr>
            </w:pPr>
          </w:p>
        </w:tc>
      </w:tr>
    </w:tbl>
    <w:p>
      <w:pPr>
        <w:rPr>
          <w:rFonts w:hint="eastAsia" w:ascii="仿宋" w:hAnsi="仿宋" w:eastAsia="仿宋" w:cs="仿宋"/>
          <w:spacing w:val="-1"/>
          <w:kern w:val="0"/>
          <w:sz w:val="24"/>
          <w:szCs w:val="24"/>
        </w:rPr>
      </w:pPr>
    </w:p>
    <w:p>
      <w:pPr>
        <w:rPr>
          <w:rFonts w:hint="eastAsia" w:ascii="仿宋" w:hAnsi="仿宋" w:eastAsia="仿宋" w:cs="仿宋"/>
          <w:spacing w:val="-1"/>
          <w:kern w:val="0"/>
          <w:sz w:val="24"/>
          <w:szCs w:val="24"/>
        </w:rPr>
      </w:pPr>
    </w:p>
    <w:p>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注：请在“偏离说明”栏内扼要说明偏离情况，如无偏离则不需列明。</w:t>
      </w:r>
    </w:p>
    <w:p>
      <w:pPr>
        <w:rPr>
          <w:rFonts w:hint="eastAsia" w:ascii="仿宋" w:hAnsi="仿宋" w:eastAsia="仿宋" w:cs="仿宋"/>
          <w:szCs w:val="21"/>
        </w:rPr>
      </w:pPr>
    </w:p>
    <w:p>
      <w:pPr>
        <w:pStyle w:val="9"/>
        <w:kinsoku w:val="0"/>
        <w:overflowPunct w:val="0"/>
        <w:spacing w:before="34" w:line="357" w:lineRule="auto"/>
        <w:ind w:right="126" w:firstLine="480"/>
        <w:jc w:val="center"/>
        <w:rPr>
          <w:rFonts w:hint="eastAsia" w:ascii="仿宋" w:hAnsi="仿宋" w:eastAsia="仿宋" w:cs="仿宋"/>
          <w:sz w:val="18"/>
          <w:szCs w:val="18"/>
        </w:rPr>
      </w:pPr>
    </w:p>
    <w:p>
      <w:pPr>
        <w:pStyle w:val="9"/>
        <w:tabs>
          <w:tab w:val="left" w:pos="6736"/>
        </w:tabs>
        <w:kinsoku w:val="0"/>
        <w:overflowPunct w:val="0"/>
        <w:spacing w:before="26" w:line="337" w:lineRule="auto"/>
        <w:ind w:right="1526" w:firstLine="3927" w:firstLineChars="1650"/>
        <w:jc w:val="right"/>
        <w:rPr>
          <w:rFonts w:hint="eastAsia" w:ascii="仿宋" w:hAnsi="仿宋" w:eastAsia="仿宋" w:cs="仿宋"/>
          <w:spacing w:val="23"/>
        </w:rPr>
      </w:pPr>
      <w:r>
        <w:rPr>
          <w:rFonts w:hint="eastAsia" w:ascii="仿宋" w:hAnsi="仿宋" w:eastAsia="仿宋" w:cs="仿宋"/>
          <w:spacing w:val="-1"/>
        </w:rPr>
        <w:t>供应商：</w:t>
      </w:r>
      <w:r>
        <w:rPr>
          <w:rFonts w:hint="eastAsia" w:ascii="仿宋" w:hAnsi="仿宋" w:eastAsia="仿宋" w:cs="仿宋"/>
          <w:spacing w:val="-1"/>
          <w:u w:val="single"/>
        </w:rPr>
        <w:t xml:space="preserve">               </w:t>
      </w:r>
      <w:r>
        <w:rPr>
          <w:rFonts w:hint="eastAsia" w:ascii="仿宋" w:hAnsi="仿宋" w:eastAsia="仿宋" w:cs="仿宋"/>
          <w:u w:val="single"/>
        </w:rPr>
        <w:t>（公章）</w:t>
      </w:r>
      <w:r>
        <w:rPr>
          <w:rFonts w:hint="eastAsia" w:ascii="仿宋" w:hAnsi="仿宋" w:eastAsia="仿宋" w:cs="仿宋"/>
          <w:spacing w:val="23"/>
        </w:rPr>
        <w:t xml:space="preserve"> </w:t>
      </w:r>
    </w:p>
    <w:p>
      <w:pPr>
        <w:pStyle w:val="9"/>
        <w:tabs>
          <w:tab w:val="left" w:pos="6736"/>
        </w:tabs>
        <w:kinsoku w:val="0"/>
        <w:overflowPunct w:val="0"/>
        <w:spacing w:before="26" w:line="337" w:lineRule="auto"/>
        <w:ind w:right="1526" w:firstLine="2499" w:firstLineChars="1050"/>
        <w:jc w:val="right"/>
        <w:rPr>
          <w:rFonts w:hint="eastAsia" w:ascii="仿宋" w:hAnsi="仿宋" w:eastAsia="仿宋" w:cs="仿宋"/>
        </w:rPr>
      </w:pPr>
      <w:r>
        <w:rPr>
          <w:rFonts w:hint="eastAsia" w:ascii="仿宋" w:hAnsi="仿宋" w:eastAsia="仿宋" w:cs="仿宋"/>
          <w:spacing w:val="-1"/>
        </w:rPr>
        <w:t>法定代表人或委托人：</w:t>
      </w:r>
      <w:r>
        <w:rPr>
          <w:rFonts w:hint="eastAsia" w:ascii="仿宋" w:hAnsi="仿宋" w:eastAsia="仿宋" w:cs="仿宋"/>
          <w:spacing w:val="-1"/>
          <w:u w:val="single"/>
        </w:rPr>
        <w:t xml:space="preserve">               </w:t>
      </w:r>
      <w:r>
        <w:rPr>
          <w:rFonts w:hint="eastAsia" w:ascii="仿宋" w:hAnsi="仿宋" w:eastAsia="仿宋" w:cs="仿宋"/>
          <w:u w:val="single"/>
        </w:rPr>
        <w:t>（签字）</w:t>
      </w:r>
    </w:p>
    <w:p>
      <w:pPr>
        <w:pStyle w:val="9"/>
        <w:kinsoku w:val="0"/>
        <w:overflowPunct w:val="0"/>
        <w:spacing w:before="11"/>
        <w:ind w:left="0"/>
        <w:jc w:val="right"/>
        <w:rPr>
          <w:rFonts w:hint="eastAsia" w:ascii="仿宋" w:hAnsi="仿宋" w:eastAsia="仿宋" w:cs="仿宋"/>
          <w:sz w:val="9"/>
          <w:szCs w:val="9"/>
        </w:rPr>
      </w:pPr>
    </w:p>
    <w:p>
      <w:pPr>
        <w:pStyle w:val="9"/>
        <w:tabs>
          <w:tab w:val="left" w:pos="5418"/>
          <w:tab w:val="left" w:pos="6258"/>
          <w:tab w:val="left" w:pos="7098"/>
        </w:tabs>
        <w:kinsoku w:val="0"/>
        <w:overflowPunct w:val="0"/>
        <w:spacing w:before="26"/>
        <w:ind w:left="4697" w:firstLine="240" w:firstLineChars="100"/>
        <w:jc w:val="both"/>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rPr>
        <w:t>年</w:t>
      </w:r>
      <w:r>
        <w:rPr>
          <w:rFonts w:hint="eastAsia" w:ascii="仿宋" w:hAnsi="仿宋" w:eastAsia="仿宋" w:cs="仿宋"/>
          <w:spacing w:val="-1"/>
          <w:u w:val="single"/>
        </w:rPr>
        <w:tab/>
      </w:r>
      <w:r>
        <w:rPr>
          <w:rFonts w:hint="eastAsia" w:ascii="仿宋" w:hAnsi="仿宋" w:eastAsia="仿宋" w:cs="仿宋"/>
          <w:spacing w:val="-1"/>
        </w:rPr>
        <w:t>月</w:t>
      </w:r>
      <w:r>
        <w:rPr>
          <w:rFonts w:hint="eastAsia" w:ascii="仿宋" w:hAnsi="仿宋" w:eastAsia="仿宋" w:cs="仿宋"/>
          <w:spacing w:val="-1"/>
          <w:u w:val="single"/>
        </w:rPr>
        <w:tab/>
      </w:r>
      <w:r>
        <w:rPr>
          <w:rFonts w:hint="eastAsia" w:ascii="仿宋" w:hAnsi="仿宋" w:eastAsia="仿宋" w:cs="仿宋"/>
        </w:rPr>
        <w:t>日</w:t>
      </w:r>
    </w:p>
    <w:p>
      <w:pPr>
        <w:pStyle w:val="9"/>
        <w:kinsoku w:val="0"/>
        <w:overflowPunct w:val="0"/>
        <w:spacing w:before="34" w:line="357" w:lineRule="auto"/>
        <w:ind w:right="126" w:firstLine="480"/>
        <w:jc w:val="center"/>
        <w:rPr>
          <w:rFonts w:hint="eastAsia" w:ascii="仿宋" w:hAnsi="仿宋" w:eastAsia="仿宋" w:cs="仿宋"/>
          <w:b/>
          <w:bCs/>
        </w:rPr>
      </w:pPr>
      <w:r>
        <w:rPr>
          <w:rFonts w:hint="eastAsia" w:ascii="仿宋" w:hAnsi="仿宋" w:eastAsia="仿宋" w:cs="仿宋"/>
        </w:rPr>
        <w:br w:type="page"/>
      </w:r>
      <w:r>
        <w:rPr>
          <w:rFonts w:hint="eastAsia" w:ascii="仿宋" w:hAnsi="仿宋" w:eastAsia="仿宋" w:cs="仿宋"/>
          <w:b/>
          <w:bCs/>
          <w:sz w:val="36"/>
          <w:szCs w:val="36"/>
          <w:lang w:eastAsia="zh-CN"/>
        </w:rPr>
        <w:t>八</w:t>
      </w:r>
      <w:r>
        <w:rPr>
          <w:rFonts w:hint="eastAsia" w:ascii="仿宋" w:hAnsi="仿宋" w:eastAsia="仿宋" w:cs="仿宋"/>
          <w:b/>
          <w:bCs/>
          <w:sz w:val="36"/>
          <w:szCs w:val="36"/>
        </w:rPr>
        <w:t>、</w:t>
      </w:r>
      <w:r>
        <w:rPr>
          <w:rFonts w:hint="eastAsia" w:ascii="仿宋" w:hAnsi="仿宋" w:eastAsia="仿宋" w:cs="仿宋"/>
          <w:b/>
          <w:bCs/>
          <w:sz w:val="36"/>
          <w:szCs w:val="36"/>
          <w:lang w:eastAsia="zh-CN"/>
        </w:rPr>
        <w:t>近三年</w:t>
      </w:r>
      <w:r>
        <w:rPr>
          <w:rFonts w:hint="eastAsia" w:ascii="仿宋" w:hAnsi="仿宋" w:eastAsia="仿宋" w:cs="仿宋"/>
          <w:b/>
          <w:bCs/>
          <w:sz w:val="36"/>
          <w:szCs w:val="36"/>
        </w:rPr>
        <w:t>同类项目业绩介绍</w:t>
      </w:r>
    </w:p>
    <w:p>
      <w:pPr>
        <w:pStyle w:val="9"/>
        <w:kinsoku w:val="0"/>
        <w:overflowPunct w:val="0"/>
        <w:spacing w:before="0"/>
        <w:ind w:left="0"/>
        <w:rPr>
          <w:rFonts w:hint="eastAsia" w:ascii="仿宋" w:hAnsi="仿宋" w:eastAsia="仿宋" w:cs="仿宋"/>
          <w:b/>
          <w:bCs/>
          <w:sz w:val="20"/>
          <w:szCs w:val="20"/>
        </w:rPr>
      </w:pPr>
    </w:p>
    <w:tbl>
      <w:tblPr>
        <w:tblStyle w:val="15"/>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673"/>
        <w:gridCol w:w="3375"/>
        <w:gridCol w:w="1315"/>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序号</w:t>
            </w:r>
          </w:p>
        </w:tc>
        <w:tc>
          <w:tcPr>
            <w:tcW w:w="1673"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客户名称</w:t>
            </w:r>
          </w:p>
        </w:tc>
        <w:tc>
          <w:tcPr>
            <w:tcW w:w="3375"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项目名称及合同金额（万元）</w:t>
            </w:r>
          </w:p>
        </w:tc>
        <w:tc>
          <w:tcPr>
            <w:tcW w:w="1315"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实施时间</w:t>
            </w:r>
          </w:p>
        </w:tc>
        <w:tc>
          <w:tcPr>
            <w:tcW w:w="1808"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1</w:t>
            </w:r>
          </w:p>
        </w:tc>
        <w:tc>
          <w:tcPr>
            <w:tcW w:w="1673" w:type="dxa"/>
            <w:vAlign w:val="center"/>
          </w:tcPr>
          <w:p>
            <w:pPr>
              <w:jc w:val="center"/>
              <w:rPr>
                <w:rFonts w:hint="eastAsia" w:ascii="仿宋" w:hAnsi="仿宋" w:eastAsia="仿宋" w:cs="仿宋"/>
                <w:spacing w:val="-1"/>
                <w:kern w:val="0"/>
                <w:sz w:val="24"/>
                <w:szCs w:val="24"/>
              </w:rPr>
            </w:pPr>
          </w:p>
        </w:tc>
        <w:tc>
          <w:tcPr>
            <w:tcW w:w="3375" w:type="dxa"/>
            <w:vAlign w:val="center"/>
          </w:tcPr>
          <w:p>
            <w:pPr>
              <w:jc w:val="center"/>
              <w:rPr>
                <w:rFonts w:hint="eastAsia" w:ascii="仿宋" w:hAnsi="仿宋" w:eastAsia="仿宋" w:cs="仿宋"/>
                <w:spacing w:val="-1"/>
                <w:kern w:val="0"/>
                <w:sz w:val="24"/>
                <w:szCs w:val="24"/>
              </w:rPr>
            </w:pPr>
          </w:p>
        </w:tc>
        <w:tc>
          <w:tcPr>
            <w:tcW w:w="1315" w:type="dxa"/>
            <w:vAlign w:val="center"/>
          </w:tcPr>
          <w:p>
            <w:pPr>
              <w:jc w:val="center"/>
              <w:rPr>
                <w:rFonts w:hint="eastAsia" w:ascii="仿宋" w:hAnsi="仿宋" w:eastAsia="仿宋" w:cs="仿宋"/>
                <w:spacing w:val="-1"/>
                <w:kern w:val="0"/>
                <w:sz w:val="24"/>
                <w:szCs w:val="24"/>
              </w:rPr>
            </w:pPr>
          </w:p>
        </w:tc>
        <w:tc>
          <w:tcPr>
            <w:tcW w:w="1808" w:type="dxa"/>
            <w:vAlign w:val="center"/>
          </w:tcPr>
          <w:p>
            <w:pPr>
              <w:jc w:val="center"/>
              <w:rPr>
                <w:rFonts w:hint="eastAsia" w:ascii="仿宋" w:hAnsi="仿宋" w:eastAsia="仿宋" w:cs="仿宋"/>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2</w:t>
            </w:r>
          </w:p>
        </w:tc>
        <w:tc>
          <w:tcPr>
            <w:tcW w:w="1673" w:type="dxa"/>
            <w:vAlign w:val="center"/>
          </w:tcPr>
          <w:p>
            <w:pPr>
              <w:jc w:val="center"/>
              <w:rPr>
                <w:rFonts w:hint="eastAsia" w:ascii="仿宋" w:hAnsi="仿宋" w:eastAsia="仿宋" w:cs="仿宋"/>
                <w:spacing w:val="-1"/>
                <w:kern w:val="0"/>
                <w:sz w:val="24"/>
                <w:szCs w:val="24"/>
              </w:rPr>
            </w:pPr>
          </w:p>
        </w:tc>
        <w:tc>
          <w:tcPr>
            <w:tcW w:w="3375" w:type="dxa"/>
            <w:vAlign w:val="center"/>
          </w:tcPr>
          <w:p>
            <w:pPr>
              <w:jc w:val="center"/>
              <w:rPr>
                <w:rFonts w:hint="eastAsia" w:ascii="仿宋" w:hAnsi="仿宋" w:eastAsia="仿宋" w:cs="仿宋"/>
                <w:spacing w:val="-1"/>
                <w:kern w:val="0"/>
                <w:sz w:val="24"/>
                <w:szCs w:val="24"/>
              </w:rPr>
            </w:pPr>
          </w:p>
        </w:tc>
        <w:tc>
          <w:tcPr>
            <w:tcW w:w="1315" w:type="dxa"/>
            <w:vAlign w:val="center"/>
          </w:tcPr>
          <w:p>
            <w:pPr>
              <w:jc w:val="center"/>
              <w:rPr>
                <w:rFonts w:hint="eastAsia" w:ascii="仿宋" w:hAnsi="仿宋" w:eastAsia="仿宋" w:cs="仿宋"/>
                <w:spacing w:val="-1"/>
                <w:kern w:val="0"/>
                <w:sz w:val="24"/>
                <w:szCs w:val="24"/>
              </w:rPr>
            </w:pPr>
          </w:p>
        </w:tc>
        <w:tc>
          <w:tcPr>
            <w:tcW w:w="1808" w:type="dxa"/>
            <w:vAlign w:val="center"/>
          </w:tcPr>
          <w:p>
            <w:pPr>
              <w:jc w:val="center"/>
              <w:rPr>
                <w:rFonts w:hint="eastAsia" w:ascii="仿宋" w:hAnsi="仿宋" w:eastAsia="仿宋" w:cs="仿宋"/>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3</w:t>
            </w:r>
          </w:p>
        </w:tc>
        <w:tc>
          <w:tcPr>
            <w:tcW w:w="1673" w:type="dxa"/>
            <w:vAlign w:val="center"/>
          </w:tcPr>
          <w:p>
            <w:pPr>
              <w:jc w:val="center"/>
              <w:rPr>
                <w:rFonts w:hint="eastAsia" w:ascii="仿宋" w:hAnsi="仿宋" w:eastAsia="仿宋" w:cs="仿宋"/>
                <w:spacing w:val="-1"/>
                <w:kern w:val="0"/>
                <w:sz w:val="24"/>
                <w:szCs w:val="24"/>
              </w:rPr>
            </w:pPr>
          </w:p>
        </w:tc>
        <w:tc>
          <w:tcPr>
            <w:tcW w:w="3375" w:type="dxa"/>
            <w:vAlign w:val="center"/>
          </w:tcPr>
          <w:p>
            <w:pPr>
              <w:jc w:val="center"/>
              <w:rPr>
                <w:rFonts w:hint="eastAsia" w:ascii="仿宋" w:hAnsi="仿宋" w:eastAsia="仿宋" w:cs="仿宋"/>
                <w:spacing w:val="-1"/>
                <w:kern w:val="0"/>
                <w:sz w:val="24"/>
                <w:szCs w:val="24"/>
              </w:rPr>
            </w:pPr>
          </w:p>
        </w:tc>
        <w:tc>
          <w:tcPr>
            <w:tcW w:w="1315" w:type="dxa"/>
            <w:vAlign w:val="center"/>
          </w:tcPr>
          <w:p>
            <w:pPr>
              <w:jc w:val="center"/>
              <w:rPr>
                <w:rFonts w:hint="eastAsia" w:ascii="仿宋" w:hAnsi="仿宋" w:eastAsia="仿宋" w:cs="仿宋"/>
                <w:spacing w:val="-1"/>
                <w:kern w:val="0"/>
                <w:sz w:val="24"/>
                <w:szCs w:val="24"/>
              </w:rPr>
            </w:pPr>
          </w:p>
        </w:tc>
        <w:tc>
          <w:tcPr>
            <w:tcW w:w="1808" w:type="dxa"/>
            <w:vAlign w:val="center"/>
          </w:tcPr>
          <w:p>
            <w:pPr>
              <w:jc w:val="center"/>
              <w:rPr>
                <w:rFonts w:hint="eastAsia" w:ascii="仿宋" w:hAnsi="仿宋" w:eastAsia="仿宋" w:cs="仿宋"/>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w:t>
            </w:r>
          </w:p>
        </w:tc>
        <w:tc>
          <w:tcPr>
            <w:tcW w:w="1673" w:type="dxa"/>
            <w:vAlign w:val="center"/>
          </w:tcPr>
          <w:p>
            <w:pPr>
              <w:jc w:val="center"/>
              <w:rPr>
                <w:rFonts w:hint="eastAsia" w:ascii="仿宋" w:hAnsi="仿宋" w:eastAsia="仿宋" w:cs="仿宋"/>
                <w:spacing w:val="-1"/>
                <w:kern w:val="0"/>
                <w:sz w:val="24"/>
                <w:szCs w:val="24"/>
              </w:rPr>
            </w:pPr>
          </w:p>
        </w:tc>
        <w:tc>
          <w:tcPr>
            <w:tcW w:w="3375" w:type="dxa"/>
            <w:vAlign w:val="center"/>
          </w:tcPr>
          <w:p>
            <w:pPr>
              <w:jc w:val="center"/>
              <w:rPr>
                <w:rFonts w:hint="eastAsia" w:ascii="仿宋" w:hAnsi="仿宋" w:eastAsia="仿宋" w:cs="仿宋"/>
                <w:spacing w:val="-1"/>
                <w:kern w:val="0"/>
                <w:sz w:val="24"/>
                <w:szCs w:val="24"/>
              </w:rPr>
            </w:pPr>
          </w:p>
        </w:tc>
        <w:tc>
          <w:tcPr>
            <w:tcW w:w="1315" w:type="dxa"/>
            <w:vAlign w:val="center"/>
          </w:tcPr>
          <w:p>
            <w:pPr>
              <w:jc w:val="center"/>
              <w:rPr>
                <w:rFonts w:hint="eastAsia" w:ascii="仿宋" w:hAnsi="仿宋" w:eastAsia="仿宋" w:cs="仿宋"/>
                <w:spacing w:val="-1"/>
                <w:kern w:val="0"/>
                <w:sz w:val="24"/>
                <w:szCs w:val="24"/>
              </w:rPr>
            </w:pPr>
          </w:p>
        </w:tc>
        <w:tc>
          <w:tcPr>
            <w:tcW w:w="1808" w:type="dxa"/>
            <w:vAlign w:val="center"/>
          </w:tcPr>
          <w:p>
            <w:pPr>
              <w:jc w:val="center"/>
              <w:rPr>
                <w:rFonts w:hint="eastAsia" w:ascii="仿宋" w:hAnsi="仿宋" w:eastAsia="仿宋" w:cs="仿宋"/>
                <w:spacing w:val="-1"/>
                <w:kern w:val="0"/>
                <w:sz w:val="24"/>
                <w:szCs w:val="24"/>
              </w:rPr>
            </w:pPr>
          </w:p>
        </w:tc>
      </w:tr>
    </w:tbl>
    <w:p>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注：根据评审表的要求提交相应资料。</w:t>
      </w:r>
    </w:p>
    <w:p>
      <w:pPr>
        <w:pStyle w:val="9"/>
        <w:kinsoku w:val="0"/>
        <w:overflowPunct w:val="0"/>
        <w:spacing w:before="0"/>
        <w:ind w:left="0"/>
        <w:rPr>
          <w:rFonts w:hint="eastAsia" w:ascii="仿宋" w:hAnsi="仿宋" w:eastAsia="仿宋" w:cs="仿宋"/>
        </w:rPr>
      </w:pPr>
    </w:p>
    <w:p>
      <w:pPr>
        <w:pStyle w:val="9"/>
        <w:kinsoku w:val="0"/>
        <w:overflowPunct w:val="0"/>
        <w:spacing w:before="10"/>
        <w:ind w:left="0"/>
        <w:rPr>
          <w:rFonts w:hint="eastAsia" w:ascii="仿宋" w:hAnsi="仿宋" w:eastAsia="仿宋" w:cs="仿宋"/>
          <w:sz w:val="29"/>
          <w:szCs w:val="29"/>
        </w:rPr>
      </w:pPr>
    </w:p>
    <w:p>
      <w:pPr>
        <w:pStyle w:val="9"/>
        <w:tabs>
          <w:tab w:val="left" w:pos="7078"/>
        </w:tabs>
        <w:kinsoku w:val="0"/>
        <w:overflowPunct w:val="0"/>
        <w:spacing w:before="0" w:line="337" w:lineRule="auto"/>
        <w:ind w:left="3598" w:right="1266"/>
        <w:rPr>
          <w:rFonts w:hint="eastAsia" w:ascii="仿宋" w:hAnsi="仿宋" w:eastAsia="仿宋" w:cs="仿宋"/>
          <w:spacing w:val="23"/>
        </w:rPr>
      </w:pPr>
      <w:r>
        <w:rPr>
          <w:rFonts w:hint="eastAsia" w:ascii="仿宋" w:hAnsi="仿宋" w:eastAsia="仿宋" w:cs="仿宋"/>
          <w:spacing w:val="-1"/>
        </w:rPr>
        <w:t>供应商：</w:t>
      </w:r>
      <w:r>
        <w:rPr>
          <w:rFonts w:hint="eastAsia" w:ascii="仿宋" w:hAnsi="仿宋" w:eastAsia="仿宋" w:cs="仿宋"/>
          <w:spacing w:val="-1"/>
          <w:u w:val="single"/>
        </w:rPr>
        <w:tab/>
      </w:r>
      <w:r>
        <w:rPr>
          <w:rFonts w:hint="eastAsia" w:ascii="仿宋" w:hAnsi="仿宋" w:eastAsia="仿宋" w:cs="仿宋"/>
          <w:u w:val="single"/>
        </w:rPr>
        <w:t>（公章）</w:t>
      </w:r>
      <w:r>
        <w:rPr>
          <w:rFonts w:hint="eastAsia" w:ascii="仿宋" w:hAnsi="仿宋" w:eastAsia="仿宋" w:cs="仿宋"/>
          <w:spacing w:val="23"/>
        </w:rPr>
        <w:t xml:space="preserve"> </w:t>
      </w:r>
    </w:p>
    <w:p>
      <w:pPr>
        <w:pStyle w:val="9"/>
        <w:tabs>
          <w:tab w:val="left" w:pos="7078"/>
        </w:tabs>
        <w:kinsoku w:val="0"/>
        <w:overflowPunct w:val="0"/>
        <w:spacing w:before="0" w:line="337" w:lineRule="auto"/>
        <w:ind w:left="3598" w:right="1266"/>
        <w:rPr>
          <w:rFonts w:hint="eastAsia" w:ascii="仿宋" w:hAnsi="仿宋" w:eastAsia="仿宋" w:cs="仿宋"/>
        </w:rPr>
      </w:pPr>
      <w:r>
        <w:rPr>
          <w:rFonts w:hint="eastAsia" w:ascii="仿宋" w:hAnsi="仿宋" w:eastAsia="仿宋" w:cs="仿宋"/>
          <w:spacing w:val="-1"/>
        </w:rPr>
        <w:t>法定代表人或委托人：</w:t>
      </w:r>
      <w:r>
        <w:rPr>
          <w:rFonts w:hint="eastAsia" w:ascii="仿宋" w:hAnsi="仿宋" w:eastAsia="仿宋" w:cs="仿宋"/>
          <w:spacing w:val="-1"/>
          <w:u w:val="single"/>
        </w:rPr>
        <w:tab/>
      </w:r>
      <w:r>
        <w:rPr>
          <w:rFonts w:hint="eastAsia" w:ascii="仿宋" w:hAnsi="仿宋" w:eastAsia="仿宋" w:cs="仿宋"/>
          <w:u w:val="single"/>
        </w:rPr>
        <w:t>（签字）</w:t>
      </w:r>
    </w:p>
    <w:p>
      <w:pPr>
        <w:pStyle w:val="9"/>
        <w:kinsoku w:val="0"/>
        <w:overflowPunct w:val="0"/>
        <w:spacing w:before="11"/>
        <w:ind w:left="0"/>
        <w:rPr>
          <w:rFonts w:hint="eastAsia" w:ascii="仿宋" w:hAnsi="仿宋" w:eastAsia="仿宋" w:cs="仿宋"/>
          <w:sz w:val="9"/>
          <w:szCs w:val="9"/>
        </w:rPr>
      </w:pPr>
    </w:p>
    <w:p>
      <w:pPr>
        <w:pStyle w:val="9"/>
        <w:tabs>
          <w:tab w:val="left" w:pos="5158"/>
          <w:tab w:val="left" w:pos="5998"/>
          <w:tab w:val="left" w:pos="6838"/>
        </w:tabs>
        <w:kinsoku w:val="0"/>
        <w:overflowPunct w:val="0"/>
        <w:spacing w:before="26"/>
        <w:ind w:left="4437" w:right="118"/>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rPr>
        <w:t>年</w:t>
      </w:r>
      <w:r>
        <w:rPr>
          <w:rFonts w:hint="eastAsia" w:ascii="仿宋" w:hAnsi="仿宋" w:eastAsia="仿宋" w:cs="仿宋"/>
          <w:spacing w:val="-1"/>
          <w:u w:val="single"/>
        </w:rPr>
        <w:tab/>
      </w:r>
      <w:r>
        <w:rPr>
          <w:rFonts w:hint="eastAsia" w:ascii="仿宋" w:hAnsi="仿宋" w:eastAsia="仿宋" w:cs="仿宋"/>
          <w:spacing w:val="-1"/>
        </w:rPr>
        <w:t>月</w:t>
      </w:r>
      <w:r>
        <w:rPr>
          <w:rFonts w:hint="eastAsia" w:ascii="仿宋" w:hAnsi="仿宋" w:eastAsia="仿宋" w:cs="仿宋"/>
          <w:spacing w:val="-1"/>
          <w:u w:val="single"/>
        </w:rPr>
        <w:tab/>
      </w:r>
      <w:r>
        <w:rPr>
          <w:rFonts w:hint="eastAsia" w:ascii="仿宋" w:hAnsi="仿宋" w:eastAsia="仿宋" w:cs="仿宋"/>
        </w:rPr>
        <w:t>日</w:t>
      </w:r>
    </w:p>
    <w:p>
      <w:pPr>
        <w:pStyle w:val="9"/>
        <w:kinsoku w:val="0"/>
        <w:overflowPunct w:val="0"/>
        <w:spacing w:before="34" w:line="357" w:lineRule="auto"/>
        <w:ind w:right="126" w:firstLine="480"/>
        <w:jc w:val="center"/>
        <w:rPr>
          <w:rFonts w:hint="eastAsia" w:ascii="仿宋" w:hAnsi="仿宋" w:eastAsia="仿宋" w:cs="仿宋"/>
          <w:b/>
          <w:bCs/>
        </w:rPr>
      </w:pPr>
      <w:r>
        <w:rPr>
          <w:rFonts w:hint="eastAsia" w:ascii="仿宋" w:hAnsi="仿宋" w:eastAsia="仿宋" w:cs="仿宋"/>
        </w:rPr>
        <w:br w:type="page"/>
      </w:r>
      <w:r>
        <w:rPr>
          <w:rFonts w:hint="eastAsia" w:ascii="仿宋" w:hAnsi="仿宋" w:eastAsia="仿宋" w:cs="仿宋"/>
          <w:b/>
          <w:bCs/>
          <w:sz w:val="36"/>
          <w:szCs w:val="36"/>
          <w:lang w:eastAsia="zh-CN"/>
        </w:rPr>
        <w:t>九</w:t>
      </w:r>
      <w:r>
        <w:rPr>
          <w:rFonts w:hint="eastAsia" w:ascii="仿宋" w:hAnsi="仿宋" w:eastAsia="仿宋" w:cs="仿宋"/>
          <w:b/>
          <w:bCs/>
          <w:sz w:val="36"/>
          <w:szCs w:val="36"/>
        </w:rPr>
        <w:t>、中小企业声明函（符合本声明函填写）</w:t>
      </w:r>
    </w:p>
    <w:p>
      <w:pPr>
        <w:pStyle w:val="9"/>
        <w:kinsoku w:val="0"/>
        <w:overflowPunct w:val="0"/>
        <w:spacing w:before="0"/>
        <w:ind w:left="0"/>
        <w:rPr>
          <w:rFonts w:hint="eastAsia" w:ascii="仿宋" w:hAnsi="仿宋" w:eastAsia="仿宋" w:cs="仿宋"/>
          <w:b/>
          <w:bCs/>
          <w:sz w:val="32"/>
          <w:szCs w:val="32"/>
        </w:rPr>
      </w:pPr>
    </w:p>
    <w:p>
      <w:pPr>
        <w:pStyle w:val="9"/>
        <w:tabs>
          <w:tab w:val="left" w:pos="3943"/>
        </w:tabs>
        <w:kinsoku w:val="0"/>
        <w:overflowPunct w:val="0"/>
        <w:spacing w:before="0" w:line="475" w:lineRule="auto"/>
        <w:ind w:right="232" w:firstLine="480"/>
        <w:jc w:val="both"/>
        <w:rPr>
          <w:rFonts w:hint="eastAsia" w:ascii="仿宋" w:hAnsi="仿宋" w:eastAsia="仿宋" w:cs="仿宋"/>
        </w:rPr>
      </w:pPr>
      <w:r>
        <w:rPr>
          <w:rFonts w:hint="eastAsia" w:ascii="仿宋" w:hAnsi="仿宋" w:eastAsia="仿宋" w:cs="仿宋"/>
          <w:spacing w:val="1"/>
        </w:rPr>
        <w:t>本公司郑重声明，根据《政府采购促进中小企业发展暂行办法》（财库[2011]181</w:t>
      </w:r>
      <w:r>
        <w:rPr>
          <w:rFonts w:hint="eastAsia" w:ascii="仿宋" w:hAnsi="仿宋" w:eastAsia="仿宋" w:cs="仿宋"/>
          <w:spacing w:val="36"/>
        </w:rPr>
        <w:t xml:space="preserve"> </w:t>
      </w:r>
      <w:r>
        <w:rPr>
          <w:rFonts w:hint="eastAsia" w:ascii="仿宋" w:hAnsi="仿宋" w:eastAsia="仿宋" w:cs="仿宋"/>
          <w:spacing w:val="-2"/>
        </w:rPr>
        <w:t>号）的规定，本公司为</w:t>
      </w:r>
      <w:r>
        <w:rPr>
          <w:rFonts w:hint="eastAsia" w:ascii="仿宋" w:hAnsi="仿宋" w:eastAsia="仿宋" w:cs="仿宋"/>
          <w:spacing w:val="-2"/>
          <w:u w:val="single"/>
        </w:rPr>
        <w:tab/>
      </w:r>
      <w:r>
        <w:rPr>
          <w:rFonts w:hint="eastAsia" w:ascii="仿宋" w:hAnsi="仿宋" w:eastAsia="仿宋" w:cs="仿宋"/>
          <w:spacing w:val="-2"/>
        </w:rPr>
        <w:t>（请填写：中型、小型、微型）企业。即，本公司</w:t>
      </w:r>
      <w:r>
        <w:rPr>
          <w:rFonts w:hint="eastAsia" w:ascii="仿宋" w:hAnsi="仿宋" w:eastAsia="仿宋" w:cs="仿宋"/>
          <w:spacing w:val="35"/>
        </w:rPr>
        <w:t xml:space="preserve"> </w:t>
      </w:r>
      <w:r>
        <w:rPr>
          <w:rFonts w:hint="eastAsia" w:ascii="仿宋" w:hAnsi="仿宋" w:eastAsia="仿宋" w:cs="仿宋"/>
        </w:rPr>
        <w:t>同时满足以下条件：</w:t>
      </w:r>
    </w:p>
    <w:p>
      <w:pPr>
        <w:pStyle w:val="9"/>
        <w:tabs>
          <w:tab w:val="left" w:pos="1558"/>
        </w:tabs>
        <w:kinsoku w:val="0"/>
        <w:overflowPunct w:val="0"/>
        <w:spacing w:before="71" w:line="475" w:lineRule="auto"/>
        <w:ind w:right="234" w:firstLine="480"/>
        <w:jc w:val="both"/>
        <w:rPr>
          <w:rFonts w:hint="eastAsia" w:ascii="仿宋" w:hAnsi="仿宋" w:eastAsia="仿宋" w:cs="仿宋"/>
        </w:rPr>
      </w:pPr>
      <w:r>
        <w:rPr>
          <w:rFonts w:hint="eastAsia" w:ascii="仿宋" w:hAnsi="仿宋" w:eastAsia="仿宋" w:cs="仿宋"/>
          <w:spacing w:val="-2"/>
        </w:rPr>
        <w:t>1.根据《工业和信息化部、国家统计局、国家发展和改革委员会、财政部关于印发</w:t>
      </w:r>
      <w:r>
        <w:rPr>
          <w:rFonts w:hint="eastAsia" w:ascii="仿宋" w:hAnsi="仿宋" w:eastAsia="仿宋" w:cs="仿宋"/>
          <w:spacing w:val="53"/>
        </w:rPr>
        <w:t xml:space="preserve"> </w:t>
      </w:r>
      <w:r>
        <w:rPr>
          <w:rFonts w:hint="eastAsia" w:ascii="仿宋" w:hAnsi="仿宋" w:eastAsia="仿宋" w:cs="仿宋"/>
        </w:rPr>
        <w:t>中小企业划型标准规定的通知》（工信部联企业[2011]300</w:t>
      </w:r>
      <w:r>
        <w:rPr>
          <w:rFonts w:hint="eastAsia" w:ascii="仿宋" w:hAnsi="仿宋" w:eastAsia="仿宋" w:cs="仿宋"/>
          <w:spacing w:val="-60"/>
        </w:rPr>
        <w:t xml:space="preserve"> </w:t>
      </w:r>
      <w:r>
        <w:rPr>
          <w:rFonts w:hint="eastAsia" w:ascii="仿宋" w:hAnsi="仿宋" w:eastAsia="仿宋" w:cs="仿宋"/>
        </w:rPr>
        <w:t>号）规定的划分标准，本公</w:t>
      </w:r>
      <w:r>
        <w:rPr>
          <w:rFonts w:hint="eastAsia" w:ascii="仿宋" w:hAnsi="仿宋" w:eastAsia="仿宋" w:cs="仿宋"/>
          <w:spacing w:val="30"/>
        </w:rPr>
        <w:t xml:space="preserve"> </w:t>
      </w:r>
      <w:r>
        <w:rPr>
          <w:rFonts w:hint="eastAsia" w:ascii="仿宋" w:hAnsi="仿宋" w:eastAsia="仿宋" w:cs="仿宋"/>
          <w:spacing w:val="-1"/>
        </w:rPr>
        <w:t>司为</w:t>
      </w:r>
      <w:r>
        <w:rPr>
          <w:rFonts w:hint="eastAsia" w:ascii="仿宋" w:hAnsi="仿宋" w:eastAsia="仿宋" w:cs="仿宋"/>
          <w:spacing w:val="-1"/>
          <w:u w:val="single"/>
        </w:rPr>
        <w:tab/>
      </w:r>
      <w:r>
        <w:rPr>
          <w:rFonts w:hint="eastAsia" w:ascii="仿宋" w:hAnsi="仿宋" w:eastAsia="仿宋" w:cs="仿宋"/>
        </w:rPr>
        <w:t>（请填写：中型、小型、微型）企业。</w:t>
      </w:r>
    </w:p>
    <w:p>
      <w:pPr>
        <w:pStyle w:val="9"/>
        <w:tabs>
          <w:tab w:val="left" w:pos="3919"/>
          <w:tab w:val="left" w:pos="6264"/>
          <w:tab w:val="left" w:pos="7399"/>
        </w:tabs>
        <w:kinsoku w:val="0"/>
        <w:overflowPunct w:val="0"/>
        <w:spacing w:before="71" w:line="475" w:lineRule="auto"/>
        <w:ind w:right="114" w:firstLine="480"/>
        <w:rPr>
          <w:rFonts w:hint="eastAsia" w:ascii="仿宋" w:hAnsi="仿宋" w:eastAsia="仿宋" w:cs="仿宋"/>
        </w:rPr>
      </w:pPr>
      <w:r>
        <w:rPr>
          <w:rFonts w:hint="eastAsia" w:ascii="仿宋" w:hAnsi="仿宋" w:eastAsia="仿宋" w:cs="仿宋"/>
          <w:spacing w:val="2"/>
        </w:rPr>
        <w:t>2.本公司参加</w:t>
      </w:r>
      <w:r>
        <w:rPr>
          <w:rFonts w:hint="eastAsia" w:ascii="仿宋" w:hAnsi="仿宋" w:eastAsia="仿宋" w:cs="仿宋"/>
          <w:spacing w:val="2"/>
          <w:u w:val="single"/>
        </w:rPr>
        <w:tab/>
      </w:r>
      <w:r>
        <w:rPr>
          <w:rFonts w:hint="eastAsia" w:ascii="仿宋" w:hAnsi="仿宋" w:eastAsia="仿宋" w:cs="仿宋"/>
          <w:spacing w:val="3"/>
        </w:rPr>
        <w:t>单位的</w:t>
      </w:r>
      <w:r>
        <w:rPr>
          <w:rFonts w:hint="eastAsia" w:ascii="仿宋" w:hAnsi="仿宋" w:eastAsia="仿宋" w:cs="仿宋"/>
          <w:spacing w:val="3"/>
          <w:u w:val="single"/>
        </w:rPr>
        <w:tab/>
      </w:r>
      <w:r>
        <w:rPr>
          <w:rFonts w:hint="eastAsia" w:ascii="仿宋" w:hAnsi="仿宋" w:eastAsia="仿宋" w:cs="仿宋"/>
          <w:spacing w:val="3"/>
        </w:rPr>
        <w:t>项目采购活动提供本企业制</w:t>
      </w:r>
      <w:r>
        <w:rPr>
          <w:rFonts w:hint="eastAsia" w:ascii="仿宋" w:hAnsi="仿宋" w:eastAsia="仿宋" w:cs="仿宋"/>
          <w:spacing w:val="25"/>
        </w:rPr>
        <w:t xml:space="preserve"> </w:t>
      </w:r>
      <w:r>
        <w:rPr>
          <w:rFonts w:hint="eastAsia" w:ascii="仿宋" w:hAnsi="仿宋" w:eastAsia="仿宋" w:cs="仿宋"/>
          <w:spacing w:val="-2"/>
        </w:rPr>
        <w:t>造的货物，由本企业承担工程、提供服务，或者提供其他</w:t>
      </w:r>
      <w:r>
        <w:rPr>
          <w:rFonts w:hint="eastAsia" w:ascii="仿宋" w:hAnsi="仿宋" w:eastAsia="仿宋" w:cs="仿宋"/>
          <w:spacing w:val="-2"/>
          <w:u w:val="single"/>
        </w:rPr>
        <w:tab/>
      </w:r>
      <w:r>
        <w:rPr>
          <w:rFonts w:hint="eastAsia" w:ascii="仿宋" w:hAnsi="仿宋" w:eastAsia="仿宋" w:cs="仿宋"/>
          <w:spacing w:val="-2"/>
          <w:u w:val="single"/>
        </w:rPr>
        <w:tab/>
      </w:r>
      <w:r>
        <w:rPr>
          <w:rFonts w:hint="eastAsia" w:ascii="仿宋" w:hAnsi="仿宋" w:eastAsia="仿宋" w:cs="仿宋"/>
          <w:spacing w:val="-2"/>
        </w:rPr>
        <w:t>（请填写：中型、</w:t>
      </w:r>
      <w:r>
        <w:rPr>
          <w:rFonts w:hint="eastAsia" w:ascii="仿宋" w:hAnsi="仿宋" w:eastAsia="仿宋" w:cs="仿宋"/>
          <w:spacing w:val="51"/>
        </w:rPr>
        <w:t xml:space="preserve"> </w:t>
      </w:r>
      <w:r>
        <w:rPr>
          <w:rFonts w:hint="eastAsia" w:ascii="仿宋" w:hAnsi="仿宋" w:eastAsia="仿宋" w:cs="仿宋"/>
        </w:rPr>
        <w:t>小型、微型）企业制造的货物。本条所称货物不包括使用大型企业注册商标的货物。</w:t>
      </w:r>
    </w:p>
    <w:p>
      <w:pPr>
        <w:pStyle w:val="9"/>
        <w:kinsoku w:val="0"/>
        <w:overflowPunct w:val="0"/>
        <w:spacing w:before="71" w:line="475" w:lineRule="auto"/>
        <w:ind w:right="234" w:firstLine="480"/>
        <w:jc w:val="both"/>
        <w:rPr>
          <w:rFonts w:hint="eastAsia" w:ascii="仿宋" w:hAnsi="仿宋" w:eastAsia="仿宋" w:cs="仿宋"/>
        </w:rPr>
      </w:pPr>
      <w:r>
        <w:rPr>
          <w:rFonts w:hint="eastAsia" w:ascii="仿宋" w:hAnsi="仿宋" w:eastAsia="仿宋" w:cs="仿宋"/>
          <w:spacing w:val="4"/>
        </w:rPr>
        <w:t>3.提交本声明函的投标人必须在</w:t>
      </w:r>
      <w:r>
        <w:rPr>
          <w:rFonts w:hint="eastAsia" w:ascii="仿宋" w:hAnsi="仿宋" w:eastAsia="仿宋" w:cs="仿宋"/>
          <w:spacing w:val="4"/>
          <w:lang w:eastAsia="zh-CN"/>
        </w:rPr>
        <w:t>磋商</w:t>
      </w:r>
      <w:r>
        <w:rPr>
          <w:rFonts w:hint="eastAsia" w:ascii="仿宋" w:hAnsi="仿宋" w:eastAsia="仿宋" w:cs="仿宋"/>
          <w:spacing w:val="4"/>
        </w:rPr>
        <w:t>响应性文件中提供相应的证明材料并对材料</w:t>
      </w:r>
      <w:r>
        <w:rPr>
          <w:rFonts w:hint="eastAsia" w:ascii="仿宋" w:hAnsi="仿宋" w:eastAsia="仿宋" w:cs="仿宋"/>
          <w:spacing w:val="50"/>
        </w:rPr>
        <w:t xml:space="preserve"> </w:t>
      </w:r>
      <w:r>
        <w:rPr>
          <w:rFonts w:hint="eastAsia" w:ascii="仿宋" w:hAnsi="仿宋" w:eastAsia="仿宋" w:cs="仿宋"/>
          <w:spacing w:val="-2"/>
        </w:rPr>
        <w:t>的真实性负法律责任。证明材料包括：上一年度及上一月的财务报表；从业人员名单及</w:t>
      </w:r>
      <w:r>
        <w:rPr>
          <w:rFonts w:hint="eastAsia" w:ascii="仿宋" w:hAnsi="仿宋" w:eastAsia="仿宋" w:cs="仿宋"/>
          <w:spacing w:val="55"/>
        </w:rPr>
        <w:t xml:space="preserve"> </w:t>
      </w:r>
      <w:r>
        <w:rPr>
          <w:rFonts w:hint="eastAsia" w:ascii="仿宋" w:hAnsi="仿宋" w:eastAsia="仿宋" w:cs="仿宋"/>
        </w:rPr>
        <w:t>工资发放明细表。</w:t>
      </w:r>
    </w:p>
    <w:p>
      <w:pPr>
        <w:pStyle w:val="9"/>
        <w:kinsoku w:val="0"/>
        <w:overflowPunct w:val="0"/>
        <w:spacing w:before="71"/>
        <w:ind w:left="598"/>
        <w:rPr>
          <w:rFonts w:hint="eastAsia" w:ascii="仿宋" w:hAnsi="仿宋" w:eastAsia="仿宋" w:cs="仿宋"/>
        </w:rPr>
      </w:pPr>
      <w:r>
        <w:rPr>
          <w:rFonts w:hint="eastAsia" w:ascii="仿宋" w:hAnsi="仿宋" w:eastAsia="仿宋" w:cs="仿宋"/>
        </w:rPr>
        <w:t>本公司对上述声明的真实性负责。如有虚假，将依法承担相应责任。</w:t>
      </w:r>
    </w:p>
    <w:p>
      <w:pPr>
        <w:pStyle w:val="9"/>
        <w:kinsoku w:val="0"/>
        <w:overflowPunct w:val="0"/>
        <w:spacing w:before="0"/>
        <w:ind w:left="0"/>
        <w:rPr>
          <w:rFonts w:hint="eastAsia" w:ascii="仿宋" w:hAnsi="仿宋" w:eastAsia="仿宋" w:cs="仿宋"/>
        </w:rPr>
      </w:pPr>
    </w:p>
    <w:p>
      <w:pPr>
        <w:pStyle w:val="9"/>
        <w:kinsoku w:val="0"/>
        <w:overflowPunct w:val="0"/>
        <w:spacing w:before="0"/>
        <w:ind w:left="0"/>
        <w:rPr>
          <w:rFonts w:hint="eastAsia" w:ascii="仿宋" w:hAnsi="仿宋" w:eastAsia="仿宋" w:cs="仿宋"/>
        </w:rPr>
      </w:pPr>
    </w:p>
    <w:p>
      <w:pPr>
        <w:pStyle w:val="9"/>
        <w:kinsoku w:val="0"/>
        <w:overflowPunct w:val="0"/>
        <w:spacing w:before="9"/>
        <w:ind w:left="0"/>
        <w:rPr>
          <w:rFonts w:hint="eastAsia" w:ascii="仿宋" w:hAnsi="仿宋" w:eastAsia="仿宋" w:cs="仿宋"/>
          <w:sz w:val="19"/>
          <w:szCs w:val="19"/>
        </w:rPr>
      </w:pPr>
    </w:p>
    <w:p>
      <w:pPr>
        <w:pStyle w:val="9"/>
        <w:tabs>
          <w:tab w:val="left" w:pos="8107"/>
          <w:tab w:val="left" w:pos="8227"/>
        </w:tabs>
        <w:kinsoku w:val="0"/>
        <w:overflowPunct w:val="0"/>
        <w:spacing w:before="0" w:line="381" w:lineRule="auto"/>
        <w:ind w:left="4027" w:right="118"/>
        <w:rPr>
          <w:rFonts w:hint="eastAsia" w:ascii="仿宋" w:hAnsi="仿宋" w:eastAsia="仿宋" w:cs="仿宋"/>
        </w:rPr>
      </w:pPr>
      <w:r>
        <w:rPr>
          <w:rFonts w:hint="eastAsia" w:ascii="仿宋" w:hAnsi="仿宋" w:eastAsia="仿宋" w:cs="仿宋"/>
        </w:rPr>
        <w:t>投标单位：</w:t>
      </w:r>
      <w:r>
        <w:rPr>
          <w:rFonts w:hint="eastAsia" w:ascii="仿宋" w:hAnsi="仿宋" w:eastAsia="仿宋" w:cs="仿宋"/>
          <w:u w:val="single"/>
        </w:rPr>
        <w:tab/>
      </w:r>
      <w:r>
        <w:rPr>
          <w:rFonts w:hint="eastAsia" w:ascii="仿宋" w:hAnsi="仿宋" w:eastAsia="仿宋" w:cs="仿宋"/>
        </w:rPr>
        <w:t xml:space="preserve">（盖章） </w:t>
      </w:r>
    </w:p>
    <w:p>
      <w:pPr>
        <w:pStyle w:val="9"/>
        <w:tabs>
          <w:tab w:val="left" w:pos="8107"/>
          <w:tab w:val="left" w:pos="8227"/>
        </w:tabs>
        <w:kinsoku w:val="0"/>
        <w:overflowPunct w:val="0"/>
        <w:spacing w:before="0" w:line="381" w:lineRule="auto"/>
        <w:ind w:left="4027" w:right="118"/>
        <w:rPr>
          <w:rFonts w:hint="eastAsia" w:ascii="仿宋" w:hAnsi="仿宋" w:eastAsia="仿宋" w:cs="仿宋"/>
          <w:w w:val="95"/>
        </w:rPr>
      </w:pPr>
      <w:r>
        <w:rPr>
          <w:rFonts w:hint="eastAsia" w:ascii="仿宋" w:hAnsi="仿宋" w:eastAsia="仿宋" w:cs="仿宋"/>
        </w:rPr>
        <w:t>法定代表人或被授权人：</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w w:val="95"/>
        </w:rPr>
        <w:t>（签字）</w:t>
      </w:r>
    </w:p>
    <w:p>
      <w:pPr>
        <w:pStyle w:val="9"/>
        <w:tabs>
          <w:tab w:val="left" w:pos="6187"/>
          <w:tab w:val="left" w:pos="7147"/>
          <w:tab w:val="left" w:pos="7747"/>
          <w:tab w:val="left" w:pos="8347"/>
        </w:tabs>
        <w:kinsoku w:val="0"/>
        <w:overflowPunct w:val="0"/>
        <w:spacing w:before="46"/>
        <w:ind w:left="5468"/>
        <w:rPr>
          <w:rFonts w:hint="eastAsia" w:ascii="仿宋" w:hAnsi="仿宋" w:eastAsia="仿宋" w:cs="仿宋"/>
        </w:rPr>
      </w:pPr>
      <w:r>
        <w:rPr>
          <w:rFonts w:hint="eastAsia" w:ascii="仿宋" w:hAnsi="仿宋" w:eastAsia="仿宋" w:cs="仿宋"/>
        </w:rPr>
        <w:t>日</w:t>
      </w:r>
      <w:r>
        <w:rPr>
          <w:rFonts w:hint="eastAsia" w:ascii="仿宋" w:hAnsi="仿宋" w:eastAsia="仿宋" w:cs="仿宋"/>
        </w:rPr>
        <w:tab/>
      </w:r>
      <w:r>
        <w:rPr>
          <w:rFonts w:hint="eastAsia" w:ascii="仿宋" w:hAnsi="仿宋" w:eastAsia="仿宋" w:cs="仿宋"/>
        </w:rPr>
        <w:t>期：</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ab/>
      </w:r>
      <w:r>
        <w:rPr>
          <w:rFonts w:hint="eastAsia" w:ascii="仿宋" w:hAnsi="仿宋" w:eastAsia="仿宋" w:cs="仿宋"/>
        </w:rPr>
        <w:t>日</w:t>
      </w:r>
    </w:p>
    <w:p>
      <w:pPr>
        <w:pStyle w:val="9"/>
        <w:kinsoku w:val="0"/>
        <w:overflowPunct w:val="0"/>
        <w:spacing w:before="11"/>
        <w:ind w:left="0"/>
        <w:rPr>
          <w:rFonts w:hint="eastAsia" w:ascii="仿宋" w:hAnsi="仿宋" w:eastAsia="仿宋" w:cs="仿宋"/>
          <w:sz w:val="9"/>
          <w:szCs w:val="9"/>
        </w:rPr>
      </w:pPr>
    </w:p>
    <w:p>
      <w:pPr>
        <w:pStyle w:val="9"/>
        <w:kinsoku w:val="0"/>
        <w:overflowPunct w:val="0"/>
        <w:spacing w:before="0"/>
        <w:rPr>
          <w:rFonts w:hint="eastAsia" w:ascii="仿宋" w:hAnsi="仿宋" w:eastAsia="仿宋" w:cs="仿宋"/>
          <w:sz w:val="21"/>
          <w:szCs w:val="21"/>
        </w:rPr>
      </w:pPr>
      <w:r>
        <w:rPr>
          <w:rFonts w:hint="eastAsia" w:ascii="仿宋" w:hAnsi="仿宋" w:eastAsia="仿宋" w:cs="仿宋"/>
          <w:sz w:val="21"/>
          <w:szCs w:val="21"/>
        </w:rPr>
        <w:t>说明：</w:t>
      </w:r>
    </w:p>
    <w:p>
      <w:pPr>
        <w:pStyle w:val="9"/>
        <w:kinsoku w:val="0"/>
        <w:overflowPunct w:val="0"/>
        <w:spacing w:before="0" w:line="240" w:lineRule="auto"/>
        <w:ind w:left="0" w:right="0" w:firstLine="0"/>
        <w:jc w:val="both"/>
        <w:rPr>
          <w:rFonts w:hint="eastAsia" w:ascii="仿宋" w:hAnsi="仿宋" w:eastAsia="仿宋" w:cs="仿宋"/>
          <w:w w:val="95"/>
          <w:sz w:val="21"/>
          <w:szCs w:val="21"/>
        </w:rPr>
      </w:pPr>
      <w:r>
        <w:rPr>
          <w:rFonts w:hint="eastAsia" w:ascii="仿宋" w:hAnsi="仿宋" w:eastAsia="仿宋" w:cs="仿宋"/>
          <w:spacing w:val="8"/>
          <w:w w:val="95"/>
          <w:sz w:val="21"/>
          <w:szCs w:val="21"/>
        </w:rPr>
        <w:t>1、填写前请认真阅读《工业和信息化部、国家统计局、国家发展和改革委员会、财政部关</w:t>
      </w:r>
      <w:r>
        <w:rPr>
          <w:rFonts w:hint="eastAsia" w:ascii="仿宋" w:hAnsi="仿宋" w:eastAsia="仿宋" w:cs="仿宋"/>
          <w:spacing w:val="10"/>
          <w:sz w:val="21"/>
          <w:szCs w:val="21"/>
        </w:rPr>
        <w:t>于印发中小企业划型标准规定的通知》（工信部联企业[2011]300</w:t>
      </w:r>
      <w:r>
        <w:rPr>
          <w:rFonts w:hint="eastAsia" w:ascii="仿宋" w:hAnsi="仿宋" w:eastAsia="仿宋" w:cs="仿宋"/>
          <w:spacing w:val="-73"/>
          <w:sz w:val="21"/>
          <w:szCs w:val="21"/>
        </w:rPr>
        <w:t xml:space="preserve"> </w:t>
      </w:r>
      <w:r>
        <w:rPr>
          <w:rFonts w:hint="eastAsia" w:ascii="仿宋" w:hAnsi="仿宋" w:eastAsia="仿宋" w:cs="仿宋"/>
          <w:spacing w:val="12"/>
          <w:sz w:val="21"/>
          <w:szCs w:val="21"/>
        </w:rPr>
        <w:t>号）和《财政部工业和信息</w:t>
      </w:r>
      <w:r>
        <w:rPr>
          <w:rFonts w:hint="eastAsia" w:ascii="仿宋" w:hAnsi="仿宋" w:eastAsia="仿宋" w:cs="仿宋"/>
          <w:w w:val="95"/>
          <w:sz w:val="21"/>
          <w:szCs w:val="21"/>
        </w:rPr>
        <w:t>化部关于印发＜政府采购促进中小企业发展暂行办法＞的通知》(财库[2011]181号)相关规定。</w:t>
      </w:r>
    </w:p>
    <w:p>
      <w:pPr>
        <w:pStyle w:val="9"/>
        <w:kinsoku w:val="0"/>
        <w:overflowPunct w:val="0"/>
        <w:spacing w:before="0" w:line="240" w:lineRule="auto"/>
        <w:ind w:left="0" w:right="0" w:firstLine="0"/>
        <w:jc w:val="both"/>
        <w:rPr>
          <w:rFonts w:hint="eastAsia" w:ascii="仿宋" w:hAnsi="仿宋" w:eastAsia="仿宋" w:cs="仿宋"/>
          <w:w w:val="95"/>
          <w:sz w:val="21"/>
          <w:szCs w:val="21"/>
        </w:rPr>
      </w:pPr>
      <w:r>
        <w:rPr>
          <w:rFonts w:hint="eastAsia" w:ascii="仿宋" w:hAnsi="仿宋" w:eastAsia="仿宋" w:cs="仿宋"/>
          <w:w w:val="95"/>
          <w:sz w:val="21"/>
          <w:szCs w:val="21"/>
        </w:rPr>
        <w:t>2、中小企业部分提供其他中小企业制造货物的应另附说明，并与开标一览表保持一致。</w:t>
      </w:r>
    </w:p>
    <w:p>
      <w:pPr>
        <w:pStyle w:val="9"/>
        <w:kinsoku w:val="0"/>
        <w:overflowPunct w:val="0"/>
        <w:spacing w:before="0" w:line="240" w:lineRule="auto"/>
        <w:ind w:left="0" w:right="0" w:firstLine="0"/>
        <w:jc w:val="both"/>
        <w:rPr>
          <w:rFonts w:hint="eastAsia" w:ascii="仿宋" w:hAnsi="仿宋" w:eastAsia="仿宋" w:cs="仿宋"/>
          <w:w w:val="95"/>
          <w:sz w:val="21"/>
          <w:szCs w:val="21"/>
          <w:lang w:val="en-US" w:eastAsia="zh-CN"/>
        </w:rPr>
      </w:pPr>
      <w:r>
        <w:rPr>
          <w:rFonts w:hint="eastAsia" w:ascii="仿宋" w:hAnsi="仿宋" w:eastAsia="仿宋" w:cs="仿宋"/>
          <w:w w:val="95"/>
          <w:sz w:val="21"/>
          <w:szCs w:val="21"/>
          <w:lang w:val="en-US" w:eastAsia="zh-CN"/>
        </w:rPr>
        <w:t>3、供应商工商行政注册地管理部门出具的小微企业证明材料；</w:t>
      </w:r>
    </w:p>
    <w:p>
      <w:pPr>
        <w:pStyle w:val="9"/>
        <w:kinsoku w:val="0"/>
        <w:overflowPunct w:val="0"/>
        <w:spacing w:before="0" w:line="240" w:lineRule="auto"/>
        <w:ind w:left="0" w:right="0" w:firstLine="0"/>
        <w:jc w:val="both"/>
        <w:rPr>
          <w:rFonts w:hint="eastAsia" w:ascii="仿宋" w:hAnsi="仿宋" w:eastAsia="仿宋" w:cs="仿宋"/>
          <w:w w:val="95"/>
          <w:sz w:val="21"/>
          <w:szCs w:val="21"/>
          <w:lang w:val="en-US" w:eastAsia="zh-CN"/>
        </w:rPr>
      </w:pPr>
      <w:r>
        <w:rPr>
          <w:rFonts w:hint="eastAsia" w:ascii="仿宋" w:hAnsi="仿宋" w:eastAsia="仿宋" w:cs="仿宋"/>
          <w:w w:val="95"/>
          <w:sz w:val="21"/>
          <w:szCs w:val="21"/>
          <w:lang w:val="en-US" w:eastAsia="zh-CN"/>
        </w:rPr>
        <w:t>4、所代理产品生产厂家的属地主管部门出具的小微企业证明材料；</w:t>
      </w:r>
    </w:p>
    <w:p>
      <w:pPr>
        <w:pStyle w:val="9"/>
        <w:kinsoku w:val="0"/>
        <w:overflowPunct w:val="0"/>
        <w:spacing w:before="0" w:line="240" w:lineRule="auto"/>
        <w:ind w:left="0" w:right="0" w:firstLine="0"/>
        <w:jc w:val="both"/>
        <w:rPr>
          <w:rFonts w:hint="eastAsia" w:ascii="仿宋" w:hAnsi="仿宋" w:eastAsia="仿宋" w:cs="仿宋"/>
          <w:w w:val="95"/>
          <w:sz w:val="21"/>
          <w:szCs w:val="21"/>
        </w:rPr>
      </w:pPr>
      <w:r>
        <w:rPr>
          <w:rFonts w:hint="eastAsia" w:ascii="仿宋" w:hAnsi="仿宋" w:eastAsia="仿宋" w:cs="仿宋"/>
          <w:w w:val="95"/>
          <w:sz w:val="21"/>
          <w:szCs w:val="21"/>
          <w:lang w:val="en-US" w:eastAsia="zh-CN"/>
        </w:rPr>
        <w:t>5、证明材料加盖供应商公章。</w:t>
      </w:r>
    </w:p>
    <w:p>
      <w:pPr>
        <w:pStyle w:val="9"/>
        <w:kinsoku w:val="0"/>
        <w:overflowPunct w:val="0"/>
        <w:spacing w:before="0" w:line="240" w:lineRule="auto"/>
        <w:ind w:left="0" w:right="0" w:firstLine="0"/>
        <w:jc w:val="both"/>
        <w:rPr>
          <w:rFonts w:hint="eastAsia" w:ascii="仿宋" w:hAnsi="仿宋" w:eastAsia="仿宋" w:cs="仿宋"/>
          <w:w w:val="95"/>
          <w:sz w:val="21"/>
          <w:szCs w:val="21"/>
        </w:rPr>
      </w:pPr>
      <w:r>
        <w:rPr>
          <w:rFonts w:hint="eastAsia" w:ascii="仿宋" w:hAnsi="仿宋" w:eastAsia="仿宋" w:cs="仿宋"/>
          <w:w w:val="95"/>
          <w:sz w:val="21"/>
          <w:szCs w:val="21"/>
          <w:lang w:val="en-US" w:eastAsia="zh-CN"/>
        </w:rPr>
        <w:t>6</w:t>
      </w:r>
      <w:r>
        <w:rPr>
          <w:rFonts w:hint="eastAsia" w:ascii="仿宋" w:hAnsi="仿宋" w:eastAsia="仿宋" w:cs="仿宋"/>
          <w:w w:val="95"/>
          <w:sz w:val="21"/>
          <w:szCs w:val="21"/>
        </w:rPr>
        <w:t>、未按上述要求提供、填写的，评审时不予以考虑。</w:t>
      </w:r>
    </w:p>
    <w:p>
      <w:pPr>
        <w:pStyle w:val="9"/>
        <w:kinsoku w:val="0"/>
        <w:overflowPunct w:val="0"/>
        <w:spacing w:before="133" w:line="356" w:lineRule="auto"/>
        <w:ind w:right="248" w:firstLine="420"/>
        <w:jc w:val="center"/>
        <w:rPr>
          <w:rFonts w:hint="eastAsia" w:ascii="仿宋" w:hAnsi="仿宋" w:eastAsia="仿宋" w:cs="仿宋"/>
          <w:b/>
          <w:bCs/>
        </w:rPr>
      </w:pPr>
      <w:r>
        <w:rPr>
          <w:rFonts w:hint="eastAsia" w:ascii="仿宋" w:hAnsi="仿宋" w:eastAsia="仿宋" w:cs="仿宋"/>
          <w:w w:val="95"/>
          <w:sz w:val="21"/>
          <w:szCs w:val="21"/>
        </w:rPr>
        <w:br w:type="page"/>
      </w:r>
      <w:r>
        <w:rPr>
          <w:rFonts w:hint="eastAsia" w:ascii="仿宋" w:hAnsi="仿宋" w:eastAsia="仿宋" w:cs="仿宋"/>
          <w:b/>
          <w:bCs/>
          <w:sz w:val="36"/>
          <w:szCs w:val="36"/>
        </w:rPr>
        <w:t>十、残疾人福利性单位声明函（符合本声明函填写）</w:t>
      </w:r>
    </w:p>
    <w:p>
      <w:pPr>
        <w:pStyle w:val="9"/>
        <w:kinsoku w:val="0"/>
        <w:overflowPunct w:val="0"/>
        <w:spacing w:before="0"/>
        <w:ind w:left="0"/>
        <w:rPr>
          <w:rFonts w:hint="eastAsia" w:ascii="仿宋" w:hAnsi="仿宋" w:eastAsia="仿宋" w:cs="仿宋"/>
          <w:b/>
          <w:bCs/>
          <w:sz w:val="32"/>
          <w:szCs w:val="32"/>
        </w:rPr>
      </w:pPr>
    </w:p>
    <w:p>
      <w:pPr>
        <w:pStyle w:val="9"/>
        <w:tabs>
          <w:tab w:val="left" w:pos="3211"/>
          <w:tab w:val="left" w:pos="4651"/>
        </w:tabs>
        <w:kinsoku w:val="0"/>
        <w:overflowPunct w:val="0"/>
        <w:spacing w:before="264" w:line="356" w:lineRule="auto"/>
        <w:ind w:right="118" w:firstLine="480"/>
        <w:rPr>
          <w:rFonts w:hint="eastAsia" w:ascii="仿宋" w:hAnsi="仿宋" w:eastAsia="仿宋" w:cs="仿宋"/>
        </w:rPr>
      </w:pPr>
      <w:r>
        <w:rPr>
          <w:rFonts w:hint="eastAsia" w:ascii="仿宋" w:hAnsi="仿宋" w:eastAsia="仿宋" w:cs="仿宋"/>
        </w:rPr>
        <w:t>本单位郑重声明</w:t>
      </w:r>
      <w:r>
        <w:rPr>
          <w:rFonts w:hint="eastAsia" w:ascii="仿宋" w:hAnsi="仿宋" w:eastAsia="仿宋" w:cs="仿宋"/>
          <w:spacing w:val="-27"/>
        </w:rPr>
        <w:t>，</w:t>
      </w:r>
      <w:r>
        <w:rPr>
          <w:rFonts w:hint="eastAsia" w:ascii="仿宋" w:hAnsi="仿宋" w:eastAsia="仿宋" w:cs="仿宋"/>
        </w:rPr>
        <w:t>根</w:t>
      </w:r>
      <w:r>
        <w:rPr>
          <w:rFonts w:hint="eastAsia" w:ascii="仿宋" w:hAnsi="仿宋" w:eastAsia="仿宋" w:cs="仿宋"/>
          <w:spacing w:val="-24"/>
        </w:rPr>
        <w:t>据</w:t>
      </w:r>
      <w:r>
        <w:rPr>
          <w:rFonts w:hint="eastAsia" w:ascii="仿宋" w:hAnsi="仿宋" w:eastAsia="仿宋" w:cs="仿宋"/>
        </w:rPr>
        <w:t>《财政部 民政部 中国残疾人联合会关于促进残疾人就业政府采购政策的通知》（财库〔2017〕141</w:t>
      </w:r>
      <w:r>
        <w:rPr>
          <w:rFonts w:hint="eastAsia" w:ascii="仿宋" w:hAnsi="仿宋" w:eastAsia="仿宋" w:cs="仿宋"/>
          <w:spacing w:val="-58"/>
        </w:rPr>
        <w:t xml:space="preserve"> </w:t>
      </w:r>
      <w:r>
        <w:rPr>
          <w:rFonts w:hint="eastAsia" w:ascii="仿宋" w:hAnsi="仿宋" w:eastAsia="仿宋" w:cs="仿宋"/>
        </w:rPr>
        <w:t>号）的规定，本单位为符合条件的残疾人福利性单位</w:t>
      </w:r>
      <w:r>
        <w:rPr>
          <w:rFonts w:hint="eastAsia" w:ascii="仿宋" w:hAnsi="仿宋" w:eastAsia="仿宋" w:cs="仿宋"/>
          <w:spacing w:val="-27"/>
        </w:rPr>
        <w:t>，</w:t>
      </w:r>
      <w:r>
        <w:rPr>
          <w:rFonts w:hint="eastAsia" w:ascii="仿宋" w:hAnsi="仿宋" w:eastAsia="仿宋" w:cs="仿宋"/>
        </w:rPr>
        <w:t>且本单位参加</w:t>
      </w:r>
      <w:r>
        <w:rPr>
          <w:rFonts w:hint="eastAsia" w:ascii="仿宋" w:hAnsi="仿宋" w:eastAsia="仿宋" w:cs="仿宋"/>
          <w:u w:val="single"/>
        </w:rPr>
        <w:tab/>
      </w:r>
      <w:r>
        <w:rPr>
          <w:rFonts w:hint="eastAsia" w:ascii="仿宋" w:hAnsi="仿宋" w:eastAsia="仿宋" w:cs="仿宋"/>
        </w:rPr>
        <w:t>单位的</w:t>
      </w:r>
      <w:r>
        <w:rPr>
          <w:rFonts w:hint="eastAsia" w:ascii="仿宋" w:hAnsi="仿宋" w:eastAsia="仿宋" w:cs="仿宋"/>
          <w:u w:val="single"/>
        </w:rPr>
        <w:tab/>
      </w:r>
      <w:r>
        <w:rPr>
          <w:rFonts w:hint="eastAsia" w:ascii="仿宋" w:hAnsi="仿宋" w:eastAsia="仿宋" w:cs="仿宋"/>
        </w:rPr>
        <w:t>项目采购活动提供本单位制造的货</w:t>
      </w:r>
      <w:r>
        <w:rPr>
          <w:rFonts w:hint="eastAsia" w:ascii="仿宋" w:hAnsi="仿宋" w:eastAsia="仿宋" w:cs="仿宋"/>
          <w:spacing w:val="-22"/>
        </w:rPr>
        <w:t>物</w:t>
      </w:r>
      <w:r>
        <w:rPr>
          <w:rFonts w:hint="eastAsia" w:ascii="仿宋" w:hAnsi="仿宋" w:eastAsia="仿宋" w:cs="仿宋"/>
          <w:spacing w:val="-3"/>
        </w:rPr>
        <w:t>（</w:t>
      </w:r>
      <w:r>
        <w:rPr>
          <w:rFonts w:hint="eastAsia" w:ascii="仿宋" w:hAnsi="仿宋" w:eastAsia="仿宋" w:cs="仿宋"/>
        </w:rPr>
        <w:t>由本</w:t>
      </w:r>
      <w:r>
        <w:rPr>
          <w:rFonts w:hint="eastAsia" w:ascii="仿宋" w:hAnsi="仿宋" w:eastAsia="仿宋" w:cs="仿宋"/>
          <w:spacing w:val="1"/>
        </w:rPr>
        <w:t>单位承担工程/提供服务），或者提供其他残疾人福利性单位制造的货物（不包括使用</w:t>
      </w:r>
      <w:r>
        <w:rPr>
          <w:rFonts w:hint="eastAsia" w:ascii="仿宋" w:hAnsi="仿宋" w:eastAsia="仿宋" w:cs="仿宋"/>
        </w:rPr>
        <w:t>非残疾人福利性单位注册商标的货物）。 本单位对上述声明的真实性负责，如有虚假，将依法承担相应责任。</w:t>
      </w:r>
    </w:p>
    <w:p>
      <w:pPr>
        <w:pStyle w:val="9"/>
        <w:kinsoku w:val="0"/>
        <w:overflowPunct w:val="0"/>
        <w:spacing w:before="0"/>
        <w:ind w:left="0"/>
        <w:rPr>
          <w:rFonts w:hint="eastAsia" w:ascii="仿宋" w:hAnsi="仿宋" w:eastAsia="仿宋" w:cs="仿宋"/>
        </w:rPr>
      </w:pPr>
    </w:p>
    <w:p>
      <w:pPr>
        <w:pStyle w:val="9"/>
        <w:kinsoku w:val="0"/>
        <w:overflowPunct w:val="0"/>
        <w:spacing w:before="0"/>
        <w:ind w:left="0"/>
        <w:rPr>
          <w:rFonts w:hint="eastAsia" w:ascii="仿宋" w:hAnsi="仿宋" w:eastAsia="仿宋" w:cs="仿宋"/>
        </w:rPr>
      </w:pPr>
    </w:p>
    <w:p>
      <w:pPr>
        <w:pStyle w:val="9"/>
        <w:kinsoku w:val="0"/>
        <w:overflowPunct w:val="0"/>
        <w:spacing w:before="3"/>
        <w:ind w:left="0"/>
        <w:rPr>
          <w:rFonts w:hint="eastAsia" w:ascii="仿宋" w:hAnsi="仿宋" w:eastAsia="仿宋" w:cs="仿宋"/>
          <w:sz w:val="26"/>
          <w:szCs w:val="26"/>
        </w:rPr>
      </w:pPr>
    </w:p>
    <w:p>
      <w:pPr>
        <w:pStyle w:val="9"/>
        <w:tabs>
          <w:tab w:val="left" w:pos="8107"/>
          <w:tab w:val="left" w:pos="8227"/>
        </w:tabs>
        <w:kinsoku w:val="0"/>
        <w:overflowPunct w:val="0"/>
        <w:spacing w:before="0" w:line="381" w:lineRule="auto"/>
        <w:ind w:left="4027" w:right="118"/>
        <w:rPr>
          <w:rFonts w:hint="eastAsia" w:ascii="仿宋" w:hAnsi="仿宋" w:eastAsia="仿宋" w:cs="仿宋"/>
        </w:rPr>
      </w:pPr>
      <w:r>
        <w:rPr>
          <w:rFonts w:hint="eastAsia" w:ascii="仿宋" w:hAnsi="仿宋" w:eastAsia="仿宋" w:cs="仿宋"/>
        </w:rPr>
        <w:t>投标单位：</w:t>
      </w:r>
      <w:r>
        <w:rPr>
          <w:rFonts w:hint="eastAsia" w:ascii="仿宋" w:hAnsi="仿宋" w:eastAsia="仿宋" w:cs="仿宋"/>
          <w:u w:val="single"/>
        </w:rPr>
        <w:tab/>
      </w:r>
      <w:r>
        <w:rPr>
          <w:rFonts w:hint="eastAsia" w:ascii="仿宋" w:hAnsi="仿宋" w:eastAsia="仿宋" w:cs="仿宋"/>
        </w:rPr>
        <w:t xml:space="preserve">（盖章） </w:t>
      </w:r>
    </w:p>
    <w:p>
      <w:pPr>
        <w:pStyle w:val="9"/>
        <w:tabs>
          <w:tab w:val="left" w:pos="8107"/>
          <w:tab w:val="left" w:pos="8227"/>
        </w:tabs>
        <w:kinsoku w:val="0"/>
        <w:overflowPunct w:val="0"/>
        <w:spacing w:before="0" w:line="381" w:lineRule="auto"/>
        <w:ind w:left="4027" w:right="118"/>
        <w:rPr>
          <w:rFonts w:hint="eastAsia" w:ascii="仿宋" w:hAnsi="仿宋" w:eastAsia="仿宋" w:cs="仿宋"/>
          <w:w w:val="95"/>
        </w:rPr>
      </w:pPr>
      <w:r>
        <w:rPr>
          <w:rFonts w:hint="eastAsia" w:ascii="仿宋" w:hAnsi="仿宋" w:eastAsia="仿宋" w:cs="仿宋"/>
        </w:rPr>
        <w:t>法定代表人或被授权人：</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w w:val="95"/>
        </w:rPr>
        <w:t>（签字）</w:t>
      </w:r>
    </w:p>
    <w:p>
      <w:pPr>
        <w:pStyle w:val="9"/>
        <w:tabs>
          <w:tab w:val="left" w:pos="6187"/>
          <w:tab w:val="left" w:pos="7147"/>
          <w:tab w:val="left" w:pos="7747"/>
          <w:tab w:val="left" w:pos="8347"/>
        </w:tabs>
        <w:kinsoku w:val="0"/>
        <w:overflowPunct w:val="0"/>
        <w:spacing w:before="46"/>
        <w:ind w:left="5468"/>
        <w:rPr>
          <w:rFonts w:hint="eastAsia" w:ascii="仿宋" w:hAnsi="仿宋" w:eastAsia="仿宋" w:cs="仿宋"/>
        </w:rPr>
      </w:pPr>
      <w:r>
        <w:rPr>
          <w:rFonts w:hint="eastAsia" w:ascii="仿宋" w:hAnsi="仿宋" w:eastAsia="仿宋" w:cs="仿宋"/>
        </w:rPr>
        <w:t>日</w:t>
      </w:r>
      <w:r>
        <w:rPr>
          <w:rFonts w:hint="eastAsia" w:ascii="仿宋" w:hAnsi="仿宋" w:eastAsia="仿宋" w:cs="仿宋"/>
        </w:rPr>
        <w:tab/>
      </w:r>
      <w:r>
        <w:rPr>
          <w:rFonts w:hint="eastAsia" w:ascii="仿宋" w:hAnsi="仿宋" w:eastAsia="仿宋" w:cs="仿宋"/>
        </w:rPr>
        <w:t>期：</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ab/>
      </w:r>
      <w:r>
        <w:rPr>
          <w:rFonts w:hint="eastAsia" w:ascii="仿宋" w:hAnsi="仿宋" w:eastAsia="仿宋" w:cs="仿宋"/>
        </w:rPr>
        <w:t>日</w:t>
      </w:r>
    </w:p>
    <w:p>
      <w:pPr>
        <w:pStyle w:val="9"/>
        <w:kinsoku w:val="0"/>
        <w:overflowPunct w:val="0"/>
        <w:spacing w:before="0"/>
        <w:ind w:left="0"/>
        <w:rPr>
          <w:rFonts w:hint="eastAsia" w:ascii="仿宋" w:hAnsi="仿宋" w:eastAsia="仿宋" w:cs="仿宋"/>
        </w:rPr>
      </w:pPr>
    </w:p>
    <w:p>
      <w:pPr>
        <w:pStyle w:val="9"/>
        <w:kinsoku w:val="0"/>
        <w:overflowPunct w:val="0"/>
        <w:spacing w:before="0"/>
        <w:ind w:left="0"/>
        <w:rPr>
          <w:rFonts w:hint="eastAsia" w:ascii="仿宋" w:hAnsi="仿宋" w:eastAsia="仿宋" w:cs="仿宋"/>
        </w:rPr>
      </w:pPr>
    </w:p>
    <w:p>
      <w:pPr>
        <w:pStyle w:val="9"/>
        <w:kinsoku w:val="0"/>
        <w:overflowPunct w:val="0"/>
        <w:spacing w:before="3"/>
        <w:ind w:left="0"/>
        <w:rPr>
          <w:rFonts w:hint="eastAsia" w:ascii="仿宋" w:hAnsi="仿宋" w:eastAsia="仿宋" w:cs="仿宋"/>
          <w:sz w:val="26"/>
          <w:szCs w:val="26"/>
        </w:rPr>
      </w:pPr>
    </w:p>
    <w:p>
      <w:pPr>
        <w:pStyle w:val="9"/>
        <w:kinsoku w:val="0"/>
        <w:overflowPunct w:val="0"/>
        <w:spacing w:before="0" w:line="313" w:lineRule="exact"/>
        <w:rPr>
          <w:rFonts w:hint="eastAsia" w:ascii="仿宋" w:hAnsi="仿宋" w:eastAsia="仿宋" w:cs="仿宋"/>
        </w:rPr>
      </w:pPr>
      <w:r>
        <w:rPr>
          <w:rFonts w:hint="eastAsia" w:ascii="仿宋" w:hAnsi="仿宋" w:eastAsia="仿宋" w:cs="仿宋"/>
        </w:rPr>
        <w:t>说明：</w:t>
      </w:r>
    </w:p>
    <w:p>
      <w:pPr>
        <w:pStyle w:val="9"/>
        <w:numPr>
          <w:ilvl w:val="0"/>
          <w:numId w:val="0"/>
        </w:numPr>
        <w:kinsoku w:val="0"/>
        <w:overflowPunct w:val="0"/>
        <w:spacing w:before="1" w:line="237" w:lineRule="auto"/>
        <w:ind w:leftChars="100" w:right="118" w:rightChars="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填写前请认真阅</w:t>
      </w:r>
      <w:r>
        <w:rPr>
          <w:rFonts w:hint="eastAsia" w:ascii="仿宋" w:hAnsi="仿宋" w:eastAsia="仿宋" w:cs="仿宋"/>
          <w:spacing w:val="-51"/>
        </w:rPr>
        <w:t>读</w:t>
      </w:r>
      <w:r>
        <w:rPr>
          <w:rFonts w:hint="eastAsia" w:ascii="仿宋" w:hAnsi="仿宋" w:eastAsia="仿宋" w:cs="仿宋"/>
        </w:rPr>
        <w:t>《财政部 民政部中国残疾人联合会关于促进残疾人就业政府采购政策的通知》（财库〔2017〕141</w:t>
      </w:r>
      <w:r>
        <w:rPr>
          <w:rFonts w:hint="eastAsia" w:ascii="仿宋" w:hAnsi="仿宋" w:eastAsia="仿宋" w:cs="仿宋"/>
          <w:spacing w:val="-60"/>
        </w:rPr>
        <w:t xml:space="preserve"> </w:t>
      </w:r>
      <w:r>
        <w:rPr>
          <w:rFonts w:hint="eastAsia" w:ascii="仿宋" w:hAnsi="仿宋" w:eastAsia="仿宋" w:cs="仿宋"/>
        </w:rPr>
        <w:t xml:space="preserve">号）相关规定。 </w:t>
      </w:r>
    </w:p>
    <w:p>
      <w:pPr>
        <w:pStyle w:val="9"/>
        <w:numPr>
          <w:ilvl w:val="0"/>
          <w:numId w:val="0"/>
        </w:numPr>
        <w:kinsoku w:val="0"/>
        <w:overflowPunct w:val="0"/>
        <w:spacing w:before="1" w:line="237" w:lineRule="auto"/>
        <w:ind w:right="118" w:rightChars="0" w:firstLine="240" w:firstLineChars="100"/>
        <w:rPr>
          <w:rFonts w:hint="eastAsia" w:ascii="仿宋" w:hAnsi="仿宋" w:eastAsia="仿宋" w:cs="仿宋"/>
        </w:rPr>
      </w:pPr>
      <w:r>
        <w:rPr>
          <w:rFonts w:hint="eastAsia" w:ascii="仿宋" w:hAnsi="仿宋" w:eastAsia="仿宋" w:cs="仿宋"/>
        </w:rPr>
        <w:t>2.残疾人福利性单位应在本声明函后提供相关证明材料。</w:t>
      </w:r>
    </w:p>
    <w:p>
      <w:pPr>
        <w:pStyle w:val="9"/>
        <w:kinsoku w:val="0"/>
        <w:overflowPunct w:val="0"/>
        <w:spacing w:before="0" w:line="240" w:lineRule="auto"/>
        <w:ind w:left="0" w:firstLine="240" w:firstLineChars="100"/>
        <w:rPr>
          <w:rFonts w:hint="eastAsia" w:ascii="仿宋" w:hAnsi="仿宋" w:eastAsia="仿宋" w:cs="仿宋"/>
        </w:rPr>
      </w:pPr>
      <w:r>
        <w:rPr>
          <w:rFonts w:hint="eastAsia" w:ascii="仿宋" w:hAnsi="仿宋" w:eastAsia="仿宋" w:cs="仿宋"/>
        </w:rPr>
        <w:t>3.未按上述要求提供、填写的，评审时不予以考虑。</w:t>
      </w:r>
    </w:p>
    <w:p>
      <w:pPr>
        <w:pStyle w:val="9"/>
        <w:kinsoku w:val="0"/>
        <w:overflowPunct w:val="0"/>
        <w:spacing w:before="34" w:line="357" w:lineRule="auto"/>
        <w:ind w:right="126" w:firstLine="480"/>
        <w:jc w:val="center"/>
        <w:rPr>
          <w:rFonts w:hint="eastAsia" w:ascii="仿宋" w:hAnsi="仿宋" w:eastAsia="仿宋" w:cs="仿宋"/>
          <w:b/>
          <w:bCs/>
        </w:rPr>
      </w:pPr>
      <w:r>
        <w:rPr>
          <w:rFonts w:hint="eastAsia" w:ascii="仿宋" w:hAnsi="仿宋" w:eastAsia="仿宋" w:cs="仿宋"/>
        </w:rPr>
        <w:br w:type="page"/>
      </w:r>
      <w:r>
        <w:rPr>
          <w:rFonts w:hint="eastAsia" w:ascii="仿宋" w:hAnsi="仿宋" w:eastAsia="仿宋" w:cs="仿宋"/>
          <w:b/>
          <w:bCs/>
          <w:sz w:val="36"/>
          <w:szCs w:val="36"/>
        </w:rPr>
        <w:t>十</w:t>
      </w:r>
      <w:r>
        <w:rPr>
          <w:rFonts w:hint="eastAsia" w:ascii="仿宋" w:hAnsi="仿宋" w:eastAsia="仿宋" w:cs="仿宋"/>
          <w:b/>
          <w:bCs/>
          <w:sz w:val="36"/>
          <w:szCs w:val="36"/>
          <w:lang w:eastAsia="zh-CN"/>
        </w:rPr>
        <w:t>一</w:t>
      </w:r>
      <w:r>
        <w:rPr>
          <w:rFonts w:hint="eastAsia" w:ascii="仿宋" w:hAnsi="仿宋" w:eastAsia="仿宋" w:cs="仿宋"/>
          <w:b/>
          <w:bCs/>
          <w:sz w:val="36"/>
          <w:szCs w:val="36"/>
        </w:rPr>
        <w:t>、缴纳招标代理服务费承诺书</w:t>
      </w:r>
    </w:p>
    <w:p>
      <w:pPr>
        <w:pStyle w:val="9"/>
        <w:kinsoku w:val="0"/>
        <w:overflowPunct w:val="0"/>
        <w:spacing w:before="6"/>
        <w:ind w:left="0"/>
        <w:rPr>
          <w:rFonts w:hint="eastAsia" w:ascii="仿宋" w:hAnsi="仿宋" w:eastAsia="仿宋" w:cs="仿宋"/>
          <w:b/>
          <w:bCs/>
          <w:sz w:val="26"/>
          <w:szCs w:val="26"/>
        </w:rPr>
      </w:pPr>
    </w:p>
    <w:p>
      <w:pPr>
        <w:pStyle w:val="26"/>
        <w:kinsoku w:val="0"/>
        <w:overflowPunct w:val="0"/>
        <w:ind w:left="127"/>
        <w:outlineLvl w:val="9"/>
        <w:rPr>
          <w:rFonts w:hint="eastAsia" w:ascii="仿宋" w:hAnsi="仿宋" w:eastAsia="仿宋" w:cs="仿宋"/>
          <w:spacing w:val="1"/>
          <w:sz w:val="22"/>
          <w:szCs w:val="22"/>
          <w:lang w:eastAsia="zh-CN"/>
        </w:rPr>
      </w:pPr>
      <w:r>
        <w:rPr>
          <w:rFonts w:hint="eastAsia" w:ascii="仿宋" w:hAnsi="仿宋" w:eastAsia="仿宋" w:cs="仿宋"/>
          <w:spacing w:val="1"/>
          <w:sz w:val="22"/>
          <w:szCs w:val="22"/>
        </w:rPr>
        <w:t>致：</w:t>
      </w:r>
      <w:r>
        <w:rPr>
          <w:rFonts w:hint="eastAsia" w:ascii="仿宋" w:hAnsi="仿宋" w:eastAsia="仿宋" w:cs="仿宋"/>
          <w:spacing w:val="1"/>
          <w:sz w:val="22"/>
          <w:szCs w:val="22"/>
          <w:lang w:eastAsia="zh-CN"/>
        </w:rPr>
        <w:t>新疆景诺工程咨询有限公司</w:t>
      </w:r>
    </w:p>
    <w:p>
      <w:pPr>
        <w:pStyle w:val="9"/>
        <w:kinsoku w:val="0"/>
        <w:overflowPunct w:val="0"/>
        <w:spacing w:before="10"/>
        <w:ind w:left="0"/>
        <w:rPr>
          <w:rFonts w:hint="eastAsia" w:ascii="仿宋" w:hAnsi="仿宋" w:eastAsia="仿宋" w:cs="仿宋"/>
          <w:b/>
          <w:bCs/>
          <w:sz w:val="14"/>
          <w:szCs w:val="14"/>
        </w:rPr>
      </w:pPr>
    </w:p>
    <w:p>
      <w:pPr>
        <w:pStyle w:val="9"/>
        <w:kinsoku w:val="0"/>
        <w:overflowPunct w:val="0"/>
        <w:spacing w:before="34" w:line="358" w:lineRule="auto"/>
        <w:ind w:left="119" w:right="125" w:firstLine="480" w:firstLineChars="200"/>
        <w:rPr>
          <w:rFonts w:hint="eastAsia" w:ascii="仿宋" w:hAnsi="仿宋" w:eastAsia="仿宋" w:cs="仿宋"/>
        </w:rPr>
      </w:pPr>
      <w:r>
        <w:rPr>
          <w:rFonts w:hint="eastAsia" w:ascii="仿宋" w:hAnsi="仿宋" w:eastAsia="仿宋" w:cs="仿宋"/>
        </w:rPr>
        <w:t>如果我方在贵公司组织的项目名称：</w:t>
      </w:r>
      <w:r>
        <w:rPr>
          <w:rFonts w:hint="eastAsia" w:ascii="仿宋" w:hAnsi="仿宋" w:eastAsia="仿宋" w:cs="仿宋"/>
          <w:u w:val="single"/>
        </w:rPr>
        <w:tab/>
      </w:r>
      <w:r>
        <w:rPr>
          <w:rFonts w:hint="eastAsia" w:ascii="仿宋" w:hAnsi="仿宋" w:eastAsia="仿宋" w:cs="仿宋"/>
          <w:u w:val="single"/>
        </w:rPr>
        <w:t xml:space="preserve">       （项目编号：   </w:t>
      </w:r>
      <w:r>
        <w:rPr>
          <w:rFonts w:hint="eastAsia" w:ascii="仿宋" w:hAnsi="仿宋" w:eastAsia="仿宋" w:cs="仿宋"/>
          <w:u w:val="single"/>
        </w:rPr>
        <w:tab/>
      </w:r>
      <w:r>
        <w:rPr>
          <w:rFonts w:hint="eastAsia" w:ascii="仿宋" w:hAnsi="仿宋" w:eastAsia="仿宋" w:cs="仿宋"/>
          <w:u w:val="single"/>
        </w:rPr>
        <w:t>）</w:t>
      </w:r>
      <w:r>
        <w:rPr>
          <w:rFonts w:hint="eastAsia" w:ascii="仿宋" w:hAnsi="仿宋" w:eastAsia="仿宋" w:cs="仿宋"/>
        </w:rPr>
        <w:t>磋商采购项目中被确定为成交供应商候选人，我方保证在收到《成交通知书》前，按照磋商文件的规定向贵公司</w:t>
      </w:r>
      <w:r>
        <w:rPr>
          <w:rFonts w:hint="eastAsia" w:ascii="仿宋" w:hAnsi="仿宋" w:eastAsia="仿宋" w:cs="仿宋"/>
          <w:spacing w:val="4"/>
        </w:rPr>
        <w:t>缴纳</w:t>
      </w:r>
      <w:r>
        <w:rPr>
          <w:rFonts w:hint="eastAsia" w:ascii="仿宋" w:hAnsi="仿宋" w:eastAsia="仿宋" w:cs="仿宋"/>
        </w:rPr>
        <w:t>招标代理服务费。</w:t>
      </w:r>
    </w:p>
    <w:p>
      <w:pPr>
        <w:pStyle w:val="9"/>
        <w:kinsoku w:val="0"/>
        <w:overflowPunct w:val="0"/>
        <w:spacing w:before="34" w:line="358" w:lineRule="auto"/>
        <w:ind w:left="119" w:right="125" w:firstLine="480" w:firstLineChars="200"/>
        <w:rPr>
          <w:rFonts w:hint="eastAsia" w:ascii="仿宋" w:hAnsi="仿宋" w:eastAsia="仿宋" w:cs="仿宋"/>
        </w:rPr>
      </w:pPr>
      <w:r>
        <w:rPr>
          <w:rFonts w:hint="eastAsia" w:ascii="仿宋" w:hAnsi="仿宋" w:eastAsia="仿宋" w:cs="仿宋"/>
        </w:rPr>
        <w:t>我方如违约，愿凭贵公司开出的违约通知，按上述承诺金额的200％在采购人与我方签订的采购合同款项中扣付，并在此同意和要求采购人（应</w:t>
      </w:r>
      <w:r>
        <w:rPr>
          <w:rFonts w:hint="eastAsia" w:ascii="仿宋" w:hAnsi="仿宋" w:eastAsia="仿宋" w:cs="仿宋"/>
          <w:lang w:eastAsia="zh-CN"/>
        </w:rPr>
        <w:t>新疆景诺工程咨询有限公司</w:t>
      </w:r>
      <w:r>
        <w:rPr>
          <w:rFonts w:hint="eastAsia" w:ascii="仿宋" w:hAnsi="仿宋" w:eastAsia="仿宋" w:cs="仿宋"/>
        </w:rPr>
        <w:t>的要求）办理支付手续。</w:t>
      </w:r>
    </w:p>
    <w:p>
      <w:pPr>
        <w:pStyle w:val="9"/>
        <w:kinsoku w:val="0"/>
        <w:overflowPunct w:val="0"/>
        <w:spacing w:before="34" w:line="358" w:lineRule="auto"/>
        <w:ind w:left="119" w:right="125" w:firstLine="480" w:firstLineChars="200"/>
        <w:rPr>
          <w:rFonts w:hint="eastAsia" w:ascii="仿宋" w:hAnsi="仿宋" w:eastAsia="仿宋" w:cs="仿宋"/>
          <w:spacing w:val="-1"/>
          <w:w w:val="95"/>
        </w:rPr>
      </w:pPr>
      <w:r>
        <w:rPr>
          <w:rFonts w:hint="eastAsia" w:ascii="仿宋" w:hAnsi="仿宋" w:eastAsia="仿宋" w:cs="仿宋"/>
        </w:rPr>
        <w:t>特此承诺！</w:t>
      </w:r>
    </w:p>
    <w:p>
      <w:pPr>
        <w:pStyle w:val="9"/>
        <w:tabs>
          <w:tab w:val="left" w:pos="8107"/>
          <w:tab w:val="left" w:pos="8227"/>
        </w:tabs>
        <w:kinsoku w:val="0"/>
        <w:overflowPunct w:val="0"/>
        <w:spacing w:before="0" w:line="381" w:lineRule="auto"/>
        <w:ind w:left="4027" w:right="118"/>
        <w:rPr>
          <w:rFonts w:hint="eastAsia" w:ascii="仿宋" w:hAnsi="仿宋" w:eastAsia="仿宋" w:cs="仿宋"/>
        </w:rPr>
      </w:pPr>
      <w:r>
        <w:rPr>
          <w:rFonts w:hint="eastAsia" w:ascii="仿宋" w:hAnsi="仿宋" w:eastAsia="仿宋" w:cs="仿宋"/>
        </w:rPr>
        <w:t>投标单位：</w:t>
      </w:r>
      <w:r>
        <w:rPr>
          <w:rFonts w:hint="eastAsia" w:ascii="仿宋" w:hAnsi="仿宋" w:eastAsia="仿宋" w:cs="仿宋"/>
          <w:u w:val="single"/>
        </w:rPr>
        <w:tab/>
      </w:r>
      <w:r>
        <w:rPr>
          <w:rFonts w:hint="eastAsia" w:ascii="仿宋" w:hAnsi="仿宋" w:eastAsia="仿宋" w:cs="仿宋"/>
        </w:rPr>
        <w:t xml:space="preserve">（盖章） </w:t>
      </w:r>
    </w:p>
    <w:p>
      <w:pPr>
        <w:pStyle w:val="9"/>
        <w:tabs>
          <w:tab w:val="left" w:pos="8107"/>
          <w:tab w:val="left" w:pos="8227"/>
        </w:tabs>
        <w:kinsoku w:val="0"/>
        <w:overflowPunct w:val="0"/>
        <w:spacing w:before="0" w:line="381" w:lineRule="auto"/>
        <w:ind w:left="4027" w:right="118"/>
        <w:rPr>
          <w:rFonts w:hint="eastAsia" w:ascii="仿宋" w:hAnsi="仿宋" w:eastAsia="仿宋" w:cs="仿宋"/>
          <w:w w:val="95"/>
        </w:rPr>
      </w:pPr>
      <w:r>
        <w:rPr>
          <w:rFonts w:hint="eastAsia" w:ascii="仿宋" w:hAnsi="仿宋" w:eastAsia="仿宋" w:cs="仿宋"/>
        </w:rPr>
        <w:t>法定代表人：</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w w:val="95"/>
        </w:rPr>
        <w:t>（签字）</w:t>
      </w:r>
    </w:p>
    <w:p>
      <w:pPr>
        <w:pStyle w:val="9"/>
        <w:kinsoku w:val="0"/>
        <w:wordWrap w:val="0"/>
        <w:overflowPunct w:val="0"/>
        <w:spacing w:before="34" w:line="358" w:lineRule="auto"/>
        <w:ind w:left="119" w:right="125" w:firstLine="480" w:firstLineChars="200"/>
        <w:jc w:val="right"/>
        <w:rPr>
          <w:rFonts w:hint="eastAsia" w:ascii="仿宋" w:hAnsi="仿宋" w:eastAsia="仿宋" w:cs="仿宋"/>
        </w:rPr>
      </w:pPr>
      <w:r>
        <w:rPr>
          <w:rFonts w:hint="eastAsia" w:ascii="仿宋" w:hAnsi="仿宋" w:eastAsia="仿宋" w:cs="仿宋"/>
        </w:rPr>
        <w:t>日</w:t>
      </w:r>
      <w:r>
        <w:rPr>
          <w:rFonts w:hint="eastAsia" w:ascii="仿宋" w:hAnsi="仿宋" w:eastAsia="仿宋" w:cs="仿宋"/>
        </w:rPr>
        <w:tab/>
      </w:r>
      <w:r>
        <w:rPr>
          <w:rFonts w:hint="eastAsia" w:ascii="仿宋" w:hAnsi="仿宋" w:eastAsia="仿宋" w:cs="仿宋"/>
        </w:rPr>
        <w:t>期：</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ab/>
      </w:r>
      <w:r>
        <w:rPr>
          <w:rFonts w:hint="eastAsia" w:ascii="仿宋" w:hAnsi="仿宋" w:eastAsia="仿宋" w:cs="仿宋"/>
        </w:rPr>
        <w:t xml:space="preserve">日   </w:t>
      </w:r>
    </w:p>
    <w:p>
      <w:pPr>
        <w:pStyle w:val="9"/>
        <w:kinsoku w:val="0"/>
        <w:wordWrap w:val="0"/>
        <w:overflowPunct w:val="0"/>
        <w:spacing w:before="34" w:line="358" w:lineRule="auto"/>
        <w:ind w:left="0" w:leftChars="0" w:right="125" w:firstLine="0" w:firstLineChars="0"/>
        <w:jc w:val="both"/>
        <w:rPr>
          <w:rFonts w:hint="eastAsia" w:ascii="仿宋" w:hAnsi="仿宋" w:eastAsia="仿宋" w:cs="仿宋"/>
        </w:rPr>
      </w:pPr>
    </w:p>
    <w:p>
      <w:pPr>
        <w:pStyle w:val="27"/>
        <w:tabs>
          <w:tab w:val="left" w:pos="2763"/>
        </w:tabs>
        <w:kinsoku w:val="0"/>
        <w:overflowPunct w:val="0"/>
        <w:spacing w:before="143"/>
        <w:jc w:val="center"/>
        <w:outlineLvl w:val="9"/>
        <w:rPr>
          <w:rFonts w:hint="eastAsia" w:ascii="仿宋" w:hAnsi="仿宋" w:eastAsia="仿宋" w:cs="仿宋"/>
          <w:b w:val="0"/>
          <w:bCs w:val="0"/>
        </w:rPr>
      </w:pPr>
    </w:p>
    <w:p>
      <w:pPr>
        <w:pStyle w:val="9"/>
        <w:kinsoku w:val="0"/>
        <w:overflowPunct w:val="0"/>
        <w:spacing w:before="34" w:line="358" w:lineRule="auto"/>
        <w:ind w:left="119" w:right="125" w:firstLine="480" w:firstLineChars="200"/>
        <w:jc w:val="right"/>
        <w:rPr>
          <w:rFonts w:hint="eastAsia" w:ascii="仿宋" w:hAnsi="仿宋" w:eastAsia="仿宋" w:cs="仿宋"/>
          <w:b/>
          <w:bCs/>
          <w:sz w:val="36"/>
          <w:szCs w:val="36"/>
        </w:rPr>
      </w:pPr>
      <w:r>
        <w:rPr>
          <w:rFonts w:hint="eastAsia" w:ascii="仿宋" w:hAnsi="仿宋" w:eastAsia="仿宋" w:cs="仿宋"/>
        </w:rPr>
        <w:t xml:space="preserve">        </w:t>
      </w:r>
      <w:r>
        <w:rPr>
          <w:rFonts w:hint="eastAsia" w:ascii="仿宋" w:hAnsi="仿宋" w:eastAsia="仿宋" w:cs="仿宋"/>
          <w:spacing w:val="-1"/>
          <w:w w:val="95"/>
        </w:rPr>
        <w:br w:type="page"/>
      </w:r>
    </w:p>
    <w:p>
      <w:pPr>
        <w:pStyle w:val="9"/>
        <w:kinsoku w:val="0"/>
        <w:overflowPunct w:val="0"/>
        <w:spacing w:before="34" w:line="357" w:lineRule="auto"/>
        <w:ind w:right="126" w:firstLine="480"/>
        <w:jc w:val="center"/>
        <w:rPr>
          <w:rFonts w:hint="eastAsia" w:ascii="仿宋" w:hAnsi="仿宋" w:eastAsia="仿宋" w:cs="仿宋"/>
          <w:b/>
          <w:bCs/>
          <w:sz w:val="36"/>
          <w:szCs w:val="36"/>
        </w:rPr>
      </w:pPr>
      <w:r>
        <w:rPr>
          <w:rFonts w:hint="eastAsia" w:ascii="仿宋" w:hAnsi="仿宋" w:eastAsia="仿宋" w:cs="仿宋"/>
          <w:b/>
          <w:bCs/>
          <w:sz w:val="36"/>
          <w:szCs w:val="36"/>
        </w:rPr>
        <w:t>十</w:t>
      </w:r>
      <w:r>
        <w:rPr>
          <w:rFonts w:hint="eastAsia" w:ascii="仿宋" w:hAnsi="仿宋" w:eastAsia="仿宋" w:cs="仿宋"/>
          <w:b/>
          <w:bCs/>
          <w:sz w:val="36"/>
          <w:szCs w:val="36"/>
          <w:lang w:eastAsia="zh-CN"/>
        </w:rPr>
        <w:t>二</w:t>
      </w:r>
      <w:r>
        <w:rPr>
          <w:rFonts w:hint="eastAsia" w:ascii="仿宋" w:hAnsi="仿宋" w:eastAsia="仿宋" w:cs="仿宋"/>
          <w:b/>
          <w:bCs/>
          <w:sz w:val="36"/>
          <w:szCs w:val="36"/>
        </w:rPr>
        <w:t>、其他商务资格证明资料</w:t>
      </w:r>
    </w:p>
    <w:p>
      <w:pPr>
        <w:pStyle w:val="9"/>
        <w:kinsoku w:val="0"/>
        <w:overflowPunct w:val="0"/>
        <w:spacing w:before="0" w:line="940" w:lineRule="exact"/>
        <w:ind w:left="0"/>
        <w:jc w:val="center"/>
        <w:rPr>
          <w:rFonts w:hint="eastAsia" w:ascii="仿宋" w:hAnsi="仿宋" w:eastAsia="仿宋" w:cs="仿宋"/>
        </w:rPr>
      </w:pPr>
      <w:r>
        <w:rPr>
          <w:rFonts w:hint="eastAsia" w:ascii="仿宋" w:hAnsi="仿宋" w:eastAsia="仿宋" w:cs="仿宋"/>
        </w:rPr>
        <w:br w:type="page"/>
      </w:r>
    </w:p>
    <w:p>
      <w:pPr>
        <w:pStyle w:val="9"/>
        <w:kinsoku w:val="0"/>
        <w:overflowPunct w:val="0"/>
        <w:spacing w:before="0" w:line="940" w:lineRule="exact"/>
        <w:ind w:left="0"/>
        <w:jc w:val="center"/>
        <w:rPr>
          <w:rFonts w:hint="eastAsia" w:ascii="仿宋" w:hAnsi="仿宋" w:eastAsia="仿宋" w:cs="仿宋"/>
        </w:rPr>
      </w:pPr>
    </w:p>
    <w:p>
      <w:pPr>
        <w:pStyle w:val="9"/>
        <w:kinsoku w:val="0"/>
        <w:overflowPunct w:val="0"/>
        <w:spacing w:before="0" w:line="940" w:lineRule="exact"/>
        <w:ind w:left="0"/>
        <w:jc w:val="center"/>
        <w:rPr>
          <w:rFonts w:hint="eastAsia" w:ascii="仿宋" w:hAnsi="仿宋" w:eastAsia="仿宋" w:cs="仿宋"/>
        </w:rPr>
      </w:pPr>
    </w:p>
    <w:p>
      <w:pPr>
        <w:pStyle w:val="9"/>
        <w:kinsoku w:val="0"/>
        <w:overflowPunct w:val="0"/>
        <w:spacing w:before="0" w:line="940" w:lineRule="exact"/>
        <w:ind w:left="0"/>
        <w:jc w:val="center"/>
        <w:rPr>
          <w:rFonts w:hint="eastAsia" w:ascii="仿宋" w:hAnsi="仿宋" w:eastAsia="仿宋" w:cs="仿宋"/>
        </w:rPr>
      </w:pPr>
    </w:p>
    <w:p>
      <w:pPr>
        <w:pStyle w:val="9"/>
        <w:kinsoku w:val="0"/>
        <w:overflowPunct w:val="0"/>
        <w:spacing w:before="0" w:line="940" w:lineRule="exact"/>
        <w:ind w:left="0"/>
        <w:jc w:val="center"/>
        <w:rPr>
          <w:rFonts w:hint="eastAsia" w:ascii="仿宋" w:hAnsi="仿宋" w:eastAsia="仿宋" w:cs="仿宋"/>
        </w:rPr>
      </w:pPr>
    </w:p>
    <w:p>
      <w:pPr>
        <w:pStyle w:val="9"/>
        <w:kinsoku w:val="0"/>
        <w:overflowPunct w:val="0"/>
        <w:spacing w:before="0" w:line="940" w:lineRule="exact"/>
        <w:ind w:left="0"/>
        <w:jc w:val="center"/>
        <w:rPr>
          <w:rFonts w:hint="eastAsia" w:ascii="仿宋" w:hAnsi="仿宋" w:eastAsia="仿宋" w:cs="仿宋"/>
        </w:rPr>
      </w:pPr>
    </w:p>
    <w:p>
      <w:pPr>
        <w:pStyle w:val="9"/>
        <w:kinsoku w:val="0"/>
        <w:overflowPunct w:val="0"/>
        <w:spacing w:before="0" w:line="940" w:lineRule="exact"/>
        <w:ind w:left="0"/>
        <w:jc w:val="center"/>
        <w:rPr>
          <w:rFonts w:hint="eastAsia" w:ascii="仿宋" w:hAnsi="仿宋" w:eastAsia="仿宋" w:cs="仿宋"/>
        </w:rPr>
      </w:pPr>
    </w:p>
    <w:p>
      <w:pPr>
        <w:pStyle w:val="9"/>
        <w:kinsoku w:val="0"/>
        <w:overflowPunct w:val="0"/>
        <w:spacing w:before="0" w:line="940" w:lineRule="exact"/>
        <w:ind w:left="0"/>
        <w:jc w:val="center"/>
        <w:rPr>
          <w:rFonts w:hint="eastAsia" w:ascii="仿宋" w:hAnsi="仿宋" w:eastAsia="仿宋" w:cs="仿宋"/>
          <w:sz w:val="96"/>
          <w:szCs w:val="84"/>
        </w:rPr>
      </w:pPr>
      <w:r>
        <w:rPr>
          <w:rFonts w:hint="eastAsia" w:ascii="仿宋" w:hAnsi="仿宋" w:eastAsia="仿宋" w:cs="仿宋"/>
          <w:b/>
          <w:bCs/>
          <w:spacing w:val="2"/>
          <w:sz w:val="96"/>
          <w:szCs w:val="84"/>
        </w:rPr>
        <w:t>（二）技术部分</w:t>
      </w:r>
    </w:p>
    <w:p>
      <w:pPr>
        <w:pStyle w:val="9"/>
        <w:kinsoku w:val="0"/>
        <w:overflowPunct w:val="0"/>
        <w:spacing w:before="34" w:line="357" w:lineRule="auto"/>
        <w:ind w:right="126" w:firstLine="480"/>
        <w:jc w:val="center"/>
        <w:rPr>
          <w:rFonts w:hint="eastAsia" w:ascii="仿宋" w:hAnsi="仿宋" w:eastAsia="仿宋" w:cs="仿宋"/>
          <w:b/>
          <w:bCs/>
          <w:sz w:val="36"/>
          <w:szCs w:val="36"/>
        </w:rPr>
      </w:pPr>
      <w:r>
        <w:rPr>
          <w:rFonts w:hint="eastAsia" w:ascii="仿宋" w:hAnsi="仿宋" w:eastAsia="仿宋" w:cs="仿宋"/>
        </w:rPr>
        <w:br w:type="page"/>
      </w:r>
      <w:r>
        <w:rPr>
          <w:rFonts w:hint="eastAsia" w:ascii="仿宋" w:hAnsi="仿宋" w:eastAsia="仿宋" w:cs="仿宋"/>
          <w:b/>
          <w:bCs/>
          <w:sz w:val="36"/>
          <w:szCs w:val="36"/>
        </w:rPr>
        <w:t>十</w:t>
      </w:r>
      <w:r>
        <w:rPr>
          <w:rFonts w:hint="eastAsia" w:ascii="仿宋" w:hAnsi="仿宋" w:eastAsia="仿宋" w:cs="仿宋"/>
          <w:b/>
          <w:bCs/>
          <w:sz w:val="36"/>
          <w:szCs w:val="36"/>
          <w:lang w:eastAsia="zh-CN"/>
        </w:rPr>
        <w:t>三</w:t>
      </w:r>
      <w:r>
        <w:rPr>
          <w:rFonts w:hint="eastAsia" w:ascii="仿宋" w:hAnsi="仿宋" w:eastAsia="仿宋" w:cs="仿宋"/>
          <w:b/>
          <w:bCs/>
          <w:sz w:val="36"/>
          <w:szCs w:val="36"/>
        </w:rPr>
        <w:t>、企业技术、经济及综合实力描述</w:t>
      </w:r>
    </w:p>
    <w:p>
      <w:pPr>
        <w:pStyle w:val="9"/>
        <w:kinsoku w:val="0"/>
        <w:overflowPunct w:val="0"/>
        <w:spacing w:before="34" w:line="357" w:lineRule="auto"/>
        <w:ind w:right="126" w:firstLine="48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格式自拟</w:t>
      </w:r>
    </w:p>
    <w:p>
      <w:pPr>
        <w:pStyle w:val="9"/>
        <w:kinsoku w:val="0"/>
        <w:overflowPunct w:val="0"/>
        <w:spacing w:before="34" w:line="357" w:lineRule="auto"/>
        <w:ind w:right="126" w:firstLine="480"/>
        <w:jc w:val="center"/>
        <w:rPr>
          <w:rFonts w:hint="eastAsia" w:ascii="仿宋" w:hAnsi="仿宋" w:eastAsia="仿宋" w:cs="仿宋"/>
          <w:b/>
          <w:bCs/>
          <w:sz w:val="36"/>
          <w:szCs w:val="36"/>
          <w:lang w:eastAsia="zh-CN"/>
        </w:rPr>
      </w:pPr>
    </w:p>
    <w:p>
      <w:pPr>
        <w:pStyle w:val="9"/>
        <w:kinsoku w:val="0"/>
        <w:overflowPunct w:val="0"/>
        <w:spacing w:before="34" w:line="357" w:lineRule="auto"/>
        <w:ind w:right="126" w:firstLine="480"/>
        <w:jc w:val="center"/>
        <w:rPr>
          <w:rFonts w:hint="eastAsia" w:ascii="仿宋" w:hAnsi="仿宋" w:eastAsia="仿宋" w:cs="仿宋"/>
          <w:b/>
          <w:bCs/>
          <w:sz w:val="36"/>
          <w:szCs w:val="36"/>
          <w:lang w:eastAsia="zh-CN"/>
        </w:rPr>
      </w:pPr>
    </w:p>
    <w:p>
      <w:pPr>
        <w:pStyle w:val="9"/>
        <w:kinsoku w:val="0"/>
        <w:overflowPunct w:val="0"/>
        <w:spacing w:before="34" w:line="357" w:lineRule="auto"/>
        <w:ind w:right="126" w:firstLine="480"/>
        <w:jc w:val="center"/>
        <w:rPr>
          <w:rFonts w:hint="eastAsia" w:ascii="仿宋" w:hAnsi="仿宋" w:eastAsia="仿宋" w:cs="仿宋"/>
          <w:b/>
          <w:bCs/>
          <w:sz w:val="36"/>
          <w:szCs w:val="36"/>
          <w:lang w:eastAsia="zh-CN"/>
        </w:rPr>
      </w:pPr>
    </w:p>
    <w:p>
      <w:pPr>
        <w:pStyle w:val="9"/>
        <w:numPr>
          <w:ilvl w:val="0"/>
          <w:numId w:val="8"/>
        </w:numPr>
        <w:kinsoku w:val="0"/>
        <w:overflowPunct w:val="0"/>
        <w:spacing w:before="34" w:line="357" w:lineRule="auto"/>
        <w:ind w:right="126" w:firstLine="480"/>
        <w:jc w:val="center"/>
        <w:rPr>
          <w:rFonts w:hint="eastAsia" w:ascii="仿宋" w:hAnsi="仿宋" w:eastAsia="仿宋" w:cs="仿宋"/>
          <w:b/>
          <w:bCs/>
          <w:sz w:val="36"/>
          <w:szCs w:val="36"/>
          <w:lang w:val="en-US" w:eastAsia="zh-CN"/>
        </w:rPr>
      </w:pPr>
      <w:r>
        <w:rPr>
          <w:rFonts w:hint="eastAsia" w:hAnsi="仿宋" w:cs="仿宋"/>
          <w:b/>
          <w:bCs/>
          <w:sz w:val="36"/>
          <w:szCs w:val="36"/>
          <w:lang w:val="en-US" w:eastAsia="zh-CN"/>
        </w:rPr>
        <w:t>项目负责人及团队配备</w:t>
      </w:r>
    </w:p>
    <w:p>
      <w:pPr>
        <w:pStyle w:val="9"/>
        <w:numPr>
          <w:ilvl w:val="0"/>
          <w:numId w:val="0"/>
        </w:numPr>
        <w:kinsoku w:val="0"/>
        <w:overflowPunct w:val="0"/>
        <w:spacing w:before="34" w:line="357" w:lineRule="auto"/>
        <w:ind w:left="598" w:leftChars="0" w:right="126" w:rightChars="0" w:firstLine="3600" w:firstLineChars="150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格式自拟</w:t>
      </w:r>
    </w:p>
    <w:p>
      <w:pPr>
        <w:pStyle w:val="9"/>
        <w:numPr>
          <w:ilvl w:val="0"/>
          <w:numId w:val="0"/>
        </w:numPr>
        <w:kinsoku w:val="0"/>
        <w:overflowPunct w:val="0"/>
        <w:spacing w:before="34" w:line="357" w:lineRule="auto"/>
        <w:ind w:left="598" w:leftChars="0" w:right="126" w:rightChars="0"/>
        <w:jc w:val="both"/>
        <w:rPr>
          <w:rFonts w:hint="eastAsia" w:ascii="仿宋" w:hAnsi="仿宋" w:eastAsia="仿宋" w:cs="仿宋"/>
          <w:b/>
          <w:bCs/>
          <w:sz w:val="36"/>
          <w:szCs w:val="36"/>
        </w:rPr>
      </w:pPr>
    </w:p>
    <w:p>
      <w:pPr>
        <w:pStyle w:val="9"/>
        <w:numPr>
          <w:ilvl w:val="0"/>
          <w:numId w:val="0"/>
        </w:numPr>
        <w:kinsoku w:val="0"/>
        <w:overflowPunct w:val="0"/>
        <w:spacing w:before="34" w:line="357" w:lineRule="auto"/>
        <w:ind w:left="598" w:leftChars="0" w:right="126" w:rightChars="0"/>
        <w:jc w:val="both"/>
        <w:rPr>
          <w:rFonts w:hint="eastAsia" w:ascii="仿宋" w:hAnsi="仿宋" w:eastAsia="仿宋" w:cs="仿宋"/>
          <w:b/>
          <w:bCs/>
          <w:sz w:val="36"/>
          <w:szCs w:val="36"/>
        </w:rPr>
      </w:pPr>
    </w:p>
    <w:p>
      <w:pPr>
        <w:pStyle w:val="9"/>
        <w:numPr>
          <w:ilvl w:val="0"/>
          <w:numId w:val="0"/>
        </w:numPr>
        <w:kinsoku w:val="0"/>
        <w:overflowPunct w:val="0"/>
        <w:spacing w:before="34" w:line="357" w:lineRule="auto"/>
        <w:ind w:left="598" w:leftChars="0" w:right="126" w:rightChars="0"/>
        <w:jc w:val="both"/>
        <w:rPr>
          <w:rFonts w:hint="eastAsia" w:ascii="仿宋" w:hAnsi="仿宋" w:eastAsia="仿宋" w:cs="仿宋"/>
          <w:b/>
          <w:bCs/>
          <w:sz w:val="36"/>
          <w:szCs w:val="36"/>
        </w:rPr>
      </w:pPr>
    </w:p>
    <w:p>
      <w:pPr>
        <w:pStyle w:val="9"/>
        <w:numPr>
          <w:ilvl w:val="0"/>
          <w:numId w:val="0"/>
        </w:numPr>
        <w:kinsoku w:val="0"/>
        <w:overflowPunct w:val="0"/>
        <w:spacing w:before="34" w:line="357" w:lineRule="auto"/>
        <w:ind w:left="598" w:leftChars="0" w:right="126" w:rightChars="0"/>
        <w:jc w:val="both"/>
        <w:rPr>
          <w:rFonts w:hint="eastAsia" w:ascii="仿宋" w:hAnsi="仿宋" w:eastAsia="仿宋" w:cs="仿宋"/>
          <w:b/>
          <w:bCs/>
          <w:sz w:val="36"/>
          <w:szCs w:val="36"/>
        </w:rPr>
      </w:pPr>
    </w:p>
    <w:p>
      <w:pPr>
        <w:pStyle w:val="9"/>
        <w:numPr>
          <w:ilvl w:val="0"/>
          <w:numId w:val="0"/>
        </w:numPr>
        <w:kinsoku w:val="0"/>
        <w:overflowPunct w:val="0"/>
        <w:spacing w:before="34" w:line="357" w:lineRule="auto"/>
        <w:ind w:left="598" w:leftChars="0" w:right="126" w:rightChars="0"/>
        <w:jc w:val="both"/>
        <w:rPr>
          <w:rFonts w:hint="eastAsia" w:ascii="仿宋" w:hAnsi="仿宋" w:eastAsia="仿宋" w:cs="仿宋"/>
          <w:b/>
          <w:bCs/>
          <w:sz w:val="36"/>
          <w:szCs w:val="36"/>
        </w:rPr>
      </w:pPr>
    </w:p>
    <w:p>
      <w:pPr>
        <w:pStyle w:val="9"/>
        <w:numPr>
          <w:ilvl w:val="0"/>
          <w:numId w:val="0"/>
        </w:numPr>
        <w:kinsoku w:val="0"/>
        <w:overflowPunct w:val="0"/>
        <w:spacing w:before="34" w:line="357" w:lineRule="auto"/>
        <w:ind w:left="598" w:leftChars="0" w:right="126" w:rightChars="0"/>
        <w:jc w:val="both"/>
        <w:rPr>
          <w:rFonts w:hint="eastAsia" w:ascii="仿宋" w:hAnsi="仿宋" w:eastAsia="仿宋" w:cs="仿宋"/>
          <w:b/>
          <w:bCs/>
          <w:sz w:val="36"/>
          <w:szCs w:val="36"/>
        </w:rPr>
      </w:pPr>
    </w:p>
    <w:p>
      <w:pPr>
        <w:pStyle w:val="9"/>
        <w:numPr>
          <w:ilvl w:val="0"/>
          <w:numId w:val="0"/>
        </w:numPr>
        <w:kinsoku w:val="0"/>
        <w:overflowPunct w:val="0"/>
        <w:spacing w:before="34" w:line="357" w:lineRule="auto"/>
        <w:ind w:left="598" w:leftChars="0" w:right="126" w:rightChars="0"/>
        <w:jc w:val="both"/>
        <w:rPr>
          <w:rFonts w:hint="eastAsia" w:ascii="仿宋" w:hAnsi="仿宋" w:eastAsia="仿宋" w:cs="仿宋"/>
          <w:b/>
          <w:bCs/>
          <w:sz w:val="36"/>
          <w:szCs w:val="36"/>
        </w:rPr>
      </w:pPr>
    </w:p>
    <w:p>
      <w:pPr>
        <w:pStyle w:val="9"/>
        <w:numPr>
          <w:ilvl w:val="0"/>
          <w:numId w:val="0"/>
        </w:numPr>
        <w:kinsoku w:val="0"/>
        <w:overflowPunct w:val="0"/>
        <w:spacing w:before="34" w:line="357" w:lineRule="auto"/>
        <w:ind w:left="598" w:leftChars="0" w:right="126" w:rightChars="0"/>
        <w:jc w:val="both"/>
        <w:rPr>
          <w:rFonts w:hint="eastAsia" w:ascii="仿宋" w:hAnsi="仿宋" w:eastAsia="仿宋" w:cs="仿宋"/>
          <w:b/>
          <w:bCs/>
          <w:sz w:val="36"/>
          <w:szCs w:val="36"/>
        </w:rPr>
      </w:pPr>
    </w:p>
    <w:p>
      <w:pPr>
        <w:pStyle w:val="9"/>
        <w:numPr>
          <w:ilvl w:val="0"/>
          <w:numId w:val="0"/>
        </w:numPr>
        <w:kinsoku w:val="0"/>
        <w:overflowPunct w:val="0"/>
        <w:spacing w:before="34" w:line="357" w:lineRule="auto"/>
        <w:ind w:left="598" w:leftChars="0" w:right="126" w:rightChars="0"/>
        <w:jc w:val="both"/>
        <w:rPr>
          <w:rFonts w:hint="eastAsia" w:ascii="仿宋" w:hAnsi="仿宋" w:eastAsia="仿宋" w:cs="仿宋"/>
          <w:b/>
          <w:bCs/>
          <w:sz w:val="36"/>
          <w:szCs w:val="36"/>
        </w:rPr>
      </w:pPr>
    </w:p>
    <w:p>
      <w:pPr>
        <w:pStyle w:val="9"/>
        <w:numPr>
          <w:ilvl w:val="0"/>
          <w:numId w:val="0"/>
        </w:numPr>
        <w:kinsoku w:val="0"/>
        <w:overflowPunct w:val="0"/>
        <w:spacing w:before="34" w:line="357" w:lineRule="auto"/>
        <w:ind w:left="598" w:leftChars="0" w:right="126" w:rightChars="0"/>
        <w:jc w:val="both"/>
        <w:rPr>
          <w:rFonts w:hint="eastAsia" w:ascii="仿宋" w:hAnsi="仿宋" w:eastAsia="仿宋" w:cs="仿宋"/>
          <w:b/>
          <w:bCs/>
          <w:sz w:val="36"/>
          <w:szCs w:val="36"/>
        </w:rPr>
      </w:pPr>
    </w:p>
    <w:p>
      <w:pPr>
        <w:pStyle w:val="9"/>
        <w:numPr>
          <w:ilvl w:val="0"/>
          <w:numId w:val="0"/>
        </w:numPr>
        <w:kinsoku w:val="0"/>
        <w:overflowPunct w:val="0"/>
        <w:spacing w:before="34" w:line="357" w:lineRule="auto"/>
        <w:ind w:left="598" w:leftChars="0" w:right="126" w:rightChars="0"/>
        <w:jc w:val="both"/>
        <w:rPr>
          <w:rFonts w:hint="eastAsia" w:ascii="仿宋" w:hAnsi="仿宋" w:eastAsia="仿宋" w:cs="仿宋"/>
          <w:b/>
          <w:bCs/>
          <w:sz w:val="36"/>
          <w:szCs w:val="36"/>
        </w:rPr>
      </w:pPr>
    </w:p>
    <w:p>
      <w:pPr>
        <w:pStyle w:val="9"/>
        <w:numPr>
          <w:ilvl w:val="0"/>
          <w:numId w:val="0"/>
        </w:numPr>
        <w:kinsoku w:val="0"/>
        <w:overflowPunct w:val="0"/>
        <w:spacing w:before="34" w:line="357" w:lineRule="auto"/>
        <w:ind w:left="598" w:leftChars="0" w:right="126" w:rightChars="0"/>
        <w:jc w:val="both"/>
        <w:rPr>
          <w:rFonts w:hint="eastAsia" w:ascii="仿宋" w:hAnsi="仿宋" w:eastAsia="仿宋" w:cs="仿宋"/>
          <w:b/>
          <w:bCs/>
          <w:sz w:val="36"/>
          <w:szCs w:val="36"/>
        </w:rPr>
      </w:pPr>
    </w:p>
    <w:p>
      <w:pPr>
        <w:pStyle w:val="9"/>
        <w:numPr>
          <w:ilvl w:val="0"/>
          <w:numId w:val="0"/>
        </w:numPr>
        <w:kinsoku w:val="0"/>
        <w:overflowPunct w:val="0"/>
        <w:spacing w:before="34" w:line="357" w:lineRule="auto"/>
        <w:ind w:left="598" w:leftChars="0" w:right="126" w:rightChars="0"/>
        <w:jc w:val="both"/>
        <w:rPr>
          <w:rFonts w:hint="eastAsia" w:ascii="仿宋" w:hAnsi="仿宋" w:eastAsia="仿宋" w:cs="仿宋"/>
          <w:b/>
          <w:bCs/>
          <w:sz w:val="36"/>
          <w:szCs w:val="36"/>
        </w:rPr>
      </w:pPr>
    </w:p>
    <w:p>
      <w:pPr>
        <w:pStyle w:val="9"/>
        <w:numPr>
          <w:ilvl w:val="0"/>
          <w:numId w:val="0"/>
        </w:numPr>
        <w:kinsoku w:val="0"/>
        <w:overflowPunct w:val="0"/>
        <w:spacing w:before="34" w:line="357" w:lineRule="auto"/>
        <w:ind w:left="598" w:leftChars="0" w:right="126" w:rightChars="0"/>
        <w:jc w:val="both"/>
        <w:rPr>
          <w:rFonts w:hint="eastAsia" w:ascii="仿宋" w:hAnsi="仿宋" w:eastAsia="仿宋" w:cs="仿宋"/>
          <w:b/>
          <w:bCs/>
          <w:sz w:val="36"/>
          <w:szCs w:val="36"/>
        </w:rPr>
      </w:pPr>
    </w:p>
    <w:p>
      <w:pPr>
        <w:pStyle w:val="9"/>
        <w:kinsoku w:val="0"/>
        <w:overflowPunct w:val="0"/>
        <w:spacing w:before="34" w:line="357" w:lineRule="auto"/>
        <w:ind w:right="126" w:firstLine="480"/>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十五、</w:t>
      </w:r>
      <w:r>
        <w:rPr>
          <w:rFonts w:hint="eastAsia" w:ascii="仿宋" w:hAnsi="仿宋" w:eastAsia="仿宋" w:cs="仿宋"/>
          <w:b/>
          <w:bCs/>
          <w:sz w:val="36"/>
          <w:szCs w:val="36"/>
        </w:rPr>
        <w:t>一般</w:t>
      </w:r>
      <w:r>
        <w:rPr>
          <w:rFonts w:hint="eastAsia" w:ascii="仿宋" w:hAnsi="仿宋" w:eastAsia="仿宋" w:cs="仿宋"/>
          <w:b/>
          <w:bCs/>
          <w:sz w:val="36"/>
          <w:szCs w:val="36"/>
          <w:lang w:eastAsia="zh-CN"/>
        </w:rPr>
        <w:t>技术</w:t>
      </w:r>
      <w:r>
        <w:rPr>
          <w:rFonts w:hint="eastAsia" w:ascii="仿宋" w:hAnsi="仿宋" w:eastAsia="仿宋" w:cs="仿宋"/>
          <w:b/>
          <w:bCs/>
          <w:sz w:val="36"/>
          <w:szCs w:val="36"/>
        </w:rPr>
        <w:t>条款偏离表</w:t>
      </w:r>
    </w:p>
    <w:tbl>
      <w:tblPr>
        <w:tblStyle w:val="15"/>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87"/>
        <w:gridCol w:w="3716"/>
        <w:gridCol w:w="2019"/>
        <w:gridCol w:w="72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787" w:type="dxa"/>
            <w:vAlign w:val="center"/>
          </w:tcPr>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规格/要求</w:t>
            </w:r>
          </w:p>
        </w:tc>
        <w:tc>
          <w:tcPr>
            <w:tcW w:w="3716" w:type="dxa"/>
            <w:vAlign w:val="center"/>
          </w:tcPr>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投标/响应实际参数</w:t>
            </w:r>
          </w:p>
          <w:p>
            <w:pPr>
              <w:rPr>
                <w:rFonts w:hint="eastAsia" w:ascii="仿宋" w:hAnsi="仿宋" w:eastAsia="仿宋" w:cs="仿宋"/>
                <w:kern w:val="0"/>
                <w:sz w:val="24"/>
                <w:szCs w:val="24"/>
                <w:highlight w:val="none"/>
              </w:rPr>
            </w:pPr>
          </w:p>
        </w:tc>
        <w:tc>
          <w:tcPr>
            <w:tcW w:w="2019" w:type="dxa"/>
            <w:vAlign w:val="center"/>
          </w:tcPr>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是否偏离（无偏离/正偏离/负偏离）</w:t>
            </w:r>
          </w:p>
        </w:tc>
        <w:tc>
          <w:tcPr>
            <w:tcW w:w="727" w:type="dxa"/>
            <w:vAlign w:val="center"/>
          </w:tcPr>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偏离简述</w:t>
            </w:r>
          </w:p>
        </w:tc>
        <w:tc>
          <w:tcPr>
            <w:tcW w:w="1260" w:type="dxa"/>
            <w:vAlign w:val="center"/>
          </w:tcPr>
          <w:p>
            <w:pP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787" w:type="dxa"/>
            <w:vAlign w:val="center"/>
          </w:tcPr>
          <w:p>
            <w:pPr>
              <w:rPr>
                <w:rFonts w:hint="eastAsia" w:ascii="仿宋" w:hAnsi="仿宋" w:eastAsia="仿宋" w:cs="仿宋"/>
                <w:kern w:val="0"/>
                <w:sz w:val="24"/>
                <w:szCs w:val="24"/>
                <w:highlight w:val="none"/>
              </w:rPr>
            </w:pPr>
          </w:p>
        </w:tc>
        <w:tc>
          <w:tcPr>
            <w:tcW w:w="3716" w:type="dxa"/>
            <w:vAlign w:val="center"/>
          </w:tcPr>
          <w:p>
            <w:pPr>
              <w:rPr>
                <w:rFonts w:hint="eastAsia" w:ascii="仿宋" w:hAnsi="仿宋" w:eastAsia="仿宋" w:cs="仿宋"/>
                <w:kern w:val="0"/>
                <w:sz w:val="24"/>
                <w:szCs w:val="24"/>
                <w:highlight w:val="none"/>
              </w:rPr>
            </w:pPr>
          </w:p>
        </w:tc>
        <w:tc>
          <w:tcPr>
            <w:tcW w:w="2019" w:type="dxa"/>
            <w:vAlign w:val="center"/>
          </w:tcPr>
          <w:p>
            <w:pPr>
              <w:rPr>
                <w:rFonts w:hint="eastAsia" w:ascii="仿宋" w:hAnsi="仿宋" w:eastAsia="仿宋" w:cs="仿宋"/>
                <w:kern w:val="0"/>
                <w:sz w:val="24"/>
                <w:szCs w:val="24"/>
                <w:highlight w:val="none"/>
              </w:rPr>
            </w:pPr>
          </w:p>
        </w:tc>
        <w:tc>
          <w:tcPr>
            <w:tcW w:w="727" w:type="dxa"/>
            <w:vAlign w:val="center"/>
          </w:tcPr>
          <w:p>
            <w:pPr>
              <w:rPr>
                <w:rFonts w:hint="eastAsia" w:ascii="仿宋" w:hAnsi="仿宋" w:eastAsia="仿宋" w:cs="仿宋"/>
                <w:kern w:val="0"/>
                <w:sz w:val="24"/>
                <w:szCs w:val="24"/>
                <w:highlight w:val="none"/>
              </w:rPr>
            </w:pPr>
          </w:p>
        </w:tc>
        <w:tc>
          <w:tcPr>
            <w:tcW w:w="1260" w:type="dxa"/>
            <w:vAlign w:val="top"/>
          </w:tcPr>
          <w:p>
            <w:pP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787" w:type="dxa"/>
            <w:vAlign w:val="center"/>
          </w:tcPr>
          <w:p>
            <w:pPr>
              <w:rPr>
                <w:rFonts w:hint="eastAsia" w:ascii="仿宋" w:hAnsi="仿宋" w:eastAsia="仿宋" w:cs="仿宋"/>
                <w:kern w:val="0"/>
                <w:sz w:val="24"/>
                <w:szCs w:val="24"/>
                <w:highlight w:val="none"/>
              </w:rPr>
            </w:pPr>
          </w:p>
        </w:tc>
        <w:tc>
          <w:tcPr>
            <w:tcW w:w="3716" w:type="dxa"/>
            <w:vAlign w:val="center"/>
          </w:tcPr>
          <w:p>
            <w:pPr>
              <w:rPr>
                <w:rFonts w:hint="eastAsia" w:ascii="仿宋" w:hAnsi="仿宋" w:eastAsia="仿宋" w:cs="仿宋"/>
                <w:kern w:val="0"/>
                <w:sz w:val="24"/>
                <w:szCs w:val="24"/>
                <w:highlight w:val="none"/>
              </w:rPr>
            </w:pPr>
          </w:p>
        </w:tc>
        <w:tc>
          <w:tcPr>
            <w:tcW w:w="2019" w:type="dxa"/>
            <w:vAlign w:val="center"/>
          </w:tcPr>
          <w:p>
            <w:pPr>
              <w:rPr>
                <w:rFonts w:hint="eastAsia" w:ascii="仿宋" w:hAnsi="仿宋" w:eastAsia="仿宋" w:cs="仿宋"/>
                <w:kern w:val="0"/>
                <w:sz w:val="24"/>
                <w:szCs w:val="24"/>
                <w:highlight w:val="none"/>
              </w:rPr>
            </w:pPr>
          </w:p>
        </w:tc>
        <w:tc>
          <w:tcPr>
            <w:tcW w:w="727" w:type="dxa"/>
            <w:vAlign w:val="center"/>
          </w:tcPr>
          <w:p>
            <w:pPr>
              <w:rPr>
                <w:rFonts w:hint="eastAsia" w:ascii="仿宋" w:hAnsi="仿宋" w:eastAsia="仿宋" w:cs="仿宋"/>
                <w:kern w:val="0"/>
                <w:sz w:val="24"/>
                <w:szCs w:val="24"/>
                <w:highlight w:val="none"/>
              </w:rPr>
            </w:pPr>
          </w:p>
        </w:tc>
        <w:tc>
          <w:tcPr>
            <w:tcW w:w="1260" w:type="dxa"/>
            <w:vAlign w:val="top"/>
          </w:tcPr>
          <w:p>
            <w:pP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787" w:type="dxa"/>
            <w:vAlign w:val="center"/>
          </w:tcPr>
          <w:p>
            <w:pPr>
              <w:rPr>
                <w:rFonts w:hint="eastAsia" w:ascii="仿宋" w:hAnsi="仿宋" w:eastAsia="仿宋" w:cs="仿宋"/>
                <w:kern w:val="0"/>
                <w:sz w:val="24"/>
                <w:szCs w:val="24"/>
                <w:highlight w:val="none"/>
              </w:rPr>
            </w:pPr>
          </w:p>
        </w:tc>
        <w:tc>
          <w:tcPr>
            <w:tcW w:w="3716" w:type="dxa"/>
            <w:vAlign w:val="center"/>
          </w:tcPr>
          <w:p>
            <w:pPr>
              <w:rPr>
                <w:rFonts w:hint="eastAsia" w:ascii="仿宋" w:hAnsi="仿宋" w:eastAsia="仿宋" w:cs="仿宋"/>
                <w:kern w:val="0"/>
                <w:sz w:val="24"/>
                <w:szCs w:val="24"/>
                <w:highlight w:val="none"/>
              </w:rPr>
            </w:pPr>
          </w:p>
        </w:tc>
        <w:tc>
          <w:tcPr>
            <w:tcW w:w="2019" w:type="dxa"/>
            <w:vAlign w:val="center"/>
          </w:tcPr>
          <w:p>
            <w:pPr>
              <w:rPr>
                <w:rFonts w:hint="eastAsia" w:ascii="仿宋" w:hAnsi="仿宋" w:eastAsia="仿宋" w:cs="仿宋"/>
                <w:kern w:val="0"/>
                <w:sz w:val="24"/>
                <w:szCs w:val="24"/>
                <w:highlight w:val="none"/>
              </w:rPr>
            </w:pPr>
          </w:p>
        </w:tc>
        <w:tc>
          <w:tcPr>
            <w:tcW w:w="727" w:type="dxa"/>
            <w:vAlign w:val="center"/>
          </w:tcPr>
          <w:p>
            <w:pPr>
              <w:rPr>
                <w:rFonts w:hint="eastAsia" w:ascii="仿宋" w:hAnsi="仿宋" w:eastAsia="仿宋" w:cs="仿宋"/>
                <w:kern w:val="0"/>
                <w:sz w:val="24"/>
                <w:szCs w:val="24"/>
                <w:highlight w:val="none"/>
              </w:rPr>
            </w:pPr>
          </w:p>
        </w:tc>
        <w:tc>
          <w:tcPr>
            <w:tcW w:w="1260" w:type="dxa"/>
            <w:vAlign w:val="top"/>
          </w:tcPr>
          <w:p>
            <w:pP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787" w:type="dxa"/>
            <w:vAlign w:val="center"/>
          </w:tcPr>
          <w:p>
            <w:pPr>
              <w:rPr>
                <w:rFonts w:hint="eastAsia" w:ascii="仿宋" w:hAnsi="仿宋" w:eastAsia="仿宋" w:cs="仿宋"/>
                <w:kern w:val="0"/>
                <w:sz w:val="24"/>
                <w:szCs w:val="24"/>
                <w:highlight w:val="none"/>
              </w:rPr>
            </w:pPr>
          </w:p>
        </w:tc>
        <w:tc>
          <w:tcPr>
            <w:tcW w:w="3716" w:type="dxa"/>
            <w:vAlign w:val="center"/>
          </w:tcPr>
          <w:p>
            <w:pPr>
              <w:rPr>
                <w:rFonts w:hint="eastAsia" w:ascii="仿宋" w:hAnsi="仿宋" w:eastAsia="仿宋" w:cs="仿宋"/>
                <w:kern w:val="0"/>
                <w:sz w:val="24"/>
                <w:szCs w:val="24"/>
                <w:highlight w:val="none"/>
              </w:rPr>
            </w:pPr>
          </w:p>
        </w:tc>
        <w:tc>
          <w:tcPr>
            <w:tcW w:w="2019" w:type="dxa"/>
            <w:vAlign w:val="center"/>
          </w:tcPr>
          <w:p>
            <w:pPr>
              <w:rPr>
                <w:rFonts w:hint="eastAsia" w:ascii="仿宋" w:hAnsi="仿宋" w:eastAsia="仿宋" w:cs="仿宋"/>
                <w:kern w:val="0"/>
                <w:sz w:val="24"/>
                <w:szCs w:val="24"/>
                <w:highlight w:val="none"/>
              </w:rPr>
            </w:pPr>
          </w:p>
        </w:tc>
        <w:tc>
          <w:tcPr>
            <w:tcW w:w="727" w:type="dxa"/>
            <w:vAlign w:val="center"/>
          </w:tcPr>
          <w:p>
            <w:pPr>
              <w:rPr>
                <w:rFonts w:hint="eastAsia" w:ascii="仿宋" w:hAnsi="仿宋" w:eastAsia="仿宋" w:cs="仿宋"/>
                <w:kern w:val="0"/>
                <w:sz w:val="24"/>
                <w:szCs w:val="24"/>
                <w:highlight w:val="none"/>
              </w:rPr>
            </w:pPr>
          </w:p>
        </w:tc>
        <w:tc>
          <w:tcPr>
            <w:tcW w:w="1260" w:type="dxa"/>
            <w:vAlign w:val="top"/>
          </w:tcPr>
          <w:p>
            <w:pP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p>
        </w:tc>
        <w:tc>
          <w:tcPr>
            <w:tcW w:w="787" w:type="dxa"/>
            <w:vAlign w:val="center"/>
          </w:tcPr>
          <w:p>
            <w:pPr>
              <w:rPr>
                <w:rFonts w:hint="eastAsia" w:ascii="仿宋" w:hAnsi="仿宋" w:eastAsia="仿宋" w:cs="仿宋"/>
                <w:kern w:val="0"/>
                <w:sz w:val="24"/>
                <w:szCs w:val="24"/>
                <w:highlight w:val="none"/>
              </w:rPr>
            </w:pPr>
          </w:p>
        </w:tc>
        <w:tc>
          <w:tcPr>
            <w:tcW w:w="3716" w:type="dxa"/>
            <w:vAlign w:val="center"/>
          </w:tcPr>
          <w:p>
            <w:pPr>
              <w:rPr>
                <w:rFonts w:hint="eastAsia" w:ascii="仿宋" w:hAnsi="仿宋" w:eastAsia="仿宋" w:cs="仿宋"/>
                <w:kern w:val="0"/>
                <w:sz w:val="24"/>
                <w:szCs w:val="24"/>
                <w:highlight w:val="none"/>
              </w:rPr>
            </w:pPr>
          </w:p>
        </w:tc>
        <w:tc>
          <w:tcPr>
            <w:tcW w:w="2019" w:type="dxa"/>
            <w:vAlign w:val="center"/>
          </w:tcPr>
          <w:p>
            <w:pPr>
              <w:rPr>
                <w:rFonts w:hint="eastAsia" w:ascii="仿宋" w:hAnsi="仿宋" w:eastAsia="仿宋" w:cs="仿宋"/>
                <w:kern w:val="0"/>
                <w:sz w:val="24"/>
                <w:szCs w:val="24"/>
                <w:highlight w:val="none"/>
              </w:rPr>
            </w:pPr>
          </w:p>
        </w:tc>
        <w:tc>
          <w:tcPr>
            <w:tcW w:w="727" w:type="dxa"/>
            <w:vAlign w:val="center"/>
          </w:tcPr>
          <w:p>
            <w:pPr>
              <w:rPr>
                <w:rFonts w:hint="eastAsia" w:ascii="仿宋" w:hAnsi="仿宋" w:eastAsia="仿宋" w:cs="仿宋"/>
                <w:kern w:val="0"/>
                <w:sz w:val="24"/>
                <w:szCs w:val="24"/>
                <w:highlight w:val="none"/>
              </w:rPr>
            </w:pPr>
          </w:p>
        </w:tc>
        <w:tc>
          <w:tcPr>
            <w:tcW w:w="1260" w:type="dxa"/>
            <w:vAlign w:val="top"/>
          </w:tcPr>
          <w:p>
            <w:pP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w:t>
            </w:r>
          </w:p>
        </w:tc>
        <w:tc>
          <w:tcPr>
            <w:tcW w:w="787" w:type="dxa"/>
            <w:vAlign w:val="center"/>
          </w:tcPr>
          <w:p>
            <w:pPr>
              <w:rPr>
                <w:rFonts w:hint="eastAsia" w:ascii="仿宋" w:hAnsi="仿宋" w:eastAsia="仿宋" w:cs="仿宋"/>
                <w:kern w:val="0"/>
                <w:sz w:val="24"/>
                <w:szCs w:val="24"/>
                <w:highlight w:val="none"/>
              </w:rPr>
            </w:pPr>
          </w:p>
        </w:tc>
        <w:tc>
          <w:tcPr>
            <w:tcW w:w="3716" w:type="dxa"/>
            <w:vAlign w:val="center"/>
          </w:tcPr>
          <w:p>
            <w:pPr>
              <w:rPr>
                <w:rFonts w:hint="eastAsia" w:ascii="仿宋" w:hAnsi="仿宋" w:eastAsia="仿宋" w:cs="仿宋"/>
                <w:kern w:val="0"/>
                <w:sz w:val="24"/>
                <w:szCs w:val="24"/>
                <w:highlight w:val="none"/>
              </w:rPr>
            </w:pPr>
          </w:p>
        </w:tc>
        <w:tc>
          <w:tcPr>
            <w:tcW w:w="2019" w:type="dxa"/>
            <w:vAlign w:val="center"/>
          </w:tcPr>
          <w:p>
            <w:pPr>
              <w:rPr>
                <w:rFonts w:hint="eastAsia" w:ascii="仿宋" w:hAnsi="仿宋" w:eastAsia="仿宋" w:cs="仿宋"/>
                <w:kern w:val="0"/>
                <w:sz w:val="24"/>
                <w:szCs w:val="24"/>
                <w:highlight w:val="none"/>
              </w:rPr>
            </w:pPr>
          </w:p>
        </w:tc>
        <w:tc>
          <w:tcPr>
            <w:tcW w:w="727" w:type="dxa"/>
            <w:vAlign w:val="center"/>
          </w:tcPr>
          <w:p>
            <w:pPr>
              <w:rPr>
                <w:rFonts w:hint="eastAsia" w:ascii="仿宋" w:hAnsi="仿宋" w:eastAsia="仿宋" w:cs="仿宋"/>
                <w:kern w:val="0"/>
                <w:sz w:val="24"/>
                <w:szCs w:val="24"/>
                <w:highlight w:val="none"/>
              </w:rPr>
            </w:pPr>
          </w:p>
        </w:tc>
        <w:tc>
          <w:tcPr>
            <w:tcW w:w="1260" w:type="dxa"/>
            <w:vAlign w:val="top"/>
          </w:tcPr>
          <w:p>
            <w:pP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w:t>
            </w:r>
          </w:p>
        </w:tc>
        <w:tc>
          <w:tcPr>
            <w:tcW w:w="787" w:type="dxa"/>
            <w:vAlign w:val="center"/>
          </w:tcPr>
          <w:p>
            <w:pPr>
              <w:rPr>
                <w:rFonts w:hint="eastAsia" w:ascii="仿宋" w:hAnsi="仿宋" w:eastAsia="仿宋" w:cs="仿宋"/>
                <w:kern w:val="0"/>
                <w:sz w:val="24"/>
                <w:szCs w:val="24"/>
                <w:highlight w:val="none"/>
              </w:rPr>
            </w:pPr>
          </w:p>
        </w:tc>
        <w:tc>
          <w:tcPr>
            <w:tcW w:w="3716" w:type="dxa"/>
            <w:vAlign w:val="center"/>
          </w:tcPr>
          <w:p>
            <w:pPr>
              <w:rPr>
                <w:rFonts w:hint="eastAsia" w:ascii="仿宋" w:hAnsi="仿宋" w:eastAsia="仿宋" w:cs="仿宋"/>
                <w:kern w:val="0"/>
                <w:sz w:val="24"/>
                <w:szCs w:val="24"/>
                <w:highlight w:val="none"/>
              </w:rPr>
            </w:pPr>
          </w:p>
        </w:tc>
        <w:tc>
          <w:tcPr>
            <w:tcW w:w="2019" w:type="dxa"/>
            <w:vAlign w:val="center"/>
          </w:tcPr>
          <w:p>
            <w:pPr>
              <w:rPr>
                <w:rFonts w:hint="eastAsia" w:ascii="仿宋" w:hAnsi="仿宋" w:eastAsia="仿宋" w:cs="仿宋"/>
                <w:kern w:val="0"/>
                <w:sz w:val="24"/>
                <w:szCs w:val="24"/>
                <w:highlight w:val="none"/>
              </w:rPr>
            </w:pPr>
          </w:p>
        </w:tc>
        <w:tc>
          <w:tcPr>
            <w:tcW w:w="727" w:type="dxa"/>
            <w:vAlign w:val="center"/>
          </w:tcPr>
          <w:p>
            <w:pPr>
              <w:rPr>
                <w:rFonts w:hint="eastAsia" w:ascii="仿宋" w:hAnsi="仿宋" w:eastAsia="仿宋" w:cs="仿宋"/>
                <w:kern w:val="0"/>
                <w:sz w:val="24"/>
                <w:szCs w:val="24"/>
                <w:highlight w:val="none"/>
              </w:rPr>
            </w:pPr>
          </w:p>
        </w:tc>
        <w:tc>
          <w:tcPr>
            <w:tcW w:w="1260" w:type="dxa"/>
            <w:vAlign w:val="top"/>
          </w:tcPr>
          <w:p>
            <w:pP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w:t>
            </w:r>
          </w:p>
        </w:tc>
        <w:tc>
          <w:tcPr>
            <w:tcW w:w="787" w:type="dxa"/>
            <w:vAlign w:val="center"/>
          </w:tcPr>
          <w:p>
            <w:pPr>
              <w:rPr>
                <w:rFonts w:hint="eastAsia" w:ascii="仿宋" w:hAnsi="仿宋" w:eastAsia="仿宋" w:cs="仿宋"/>
                <w:kern w:val="0"/>
                <w:sz w:val="24"/>
                <w:szCs w:val="24"/>
                <w:highlight w:val="none"/>
              </w:rPr>
            </w:pPr>
          </w:p>
        </w:tc>
        <w:tc>
          <w:tcPr>
            <w:tcW w:w="3716" w:type="dxa"/>
            <w:vAlign w:val="center"/>
          </w:tcPr>
          <w:p>
            <w:pPr>
              <w:rPr>
                <w:rFonts w:hint="eastAsia" w:ascii="仿宋" w:hAnsi="仿宋" w:eastAsia="仿宋" w:cs="仿宋"/>
                <w:kern w:val="0"/>
                <w:sz w:val="24"/>
                <w:szCs w:val="24"/>
                <w:highlight w:val="none"/>
              </w:rPr>
            </w:pPr>
          </w:p>
        </w:tc>
        <w:tc>
          <w:tcPr>
            <w:tcW w:w="2019" w:type="dxa"/>
            <w:vAlign w:val="center"/>
          </w:tcPr>
          <w:p>
            <w:pPr>
              <w:rPr>
                <w:rFonts w:hint="eastAsia" w:ascii="仿宋" w:hAnsi="仿宋" w:eastAsia="仿宋" w:cs="仿宋"/>
                <w:kern w:val="0"/>
                <w:sz w:val="24"/>
                <w:szCs w:val="24"/>
                <w:highlight w:val="none"/>
              </w:rPr>
            </w:pPr>
          </w:p>
        </w:tc>
        <w:tc>
          <w:tcPr>
            <w:tcW w:w="727" w:type="dxa"/>
            <w:vAlign w:val="center"/>
          </w:tcPr>
          <w:p>
            <w:pPr>
              <w:rPr>
                <w:rFonts w:hint="eastAsia" w:ascii="仿宋" w:hAnsi="仿宋" w:eastAsia="仿宋" w:cs="仿宋"/>
                <w:kern w:val="0"/>
                <w:sz w:val="24"/>
                <w:szCs w:val="24"/>
                <w:highlight w:val="none"/>
              </w:rPr>
            </w:pPr>
          </w:p>
        </w:tc>
        <w:tc>
          <w:tcPr>
            <w:tcW w:w="1260" w:type="dxa"/>
            <w:vAlign w:val="top"/>
          </w:tcPr>
          <w:p>
            <w:pP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tc>
        <w:tc>
          <w:tcPr>
            <w:tcW w:w="787" w:type="dxa"/>
            <w:vAlign w:val="center"/>
          </w:tcPr>
          <w:p>
            <w:pPr>
              <w:rPr>
                <w:rFonts w:hint="eastAsia" w:ascii="仿宋" w:hAnsi="仿宋" w:eastAsia="仿宋" w:cs="仿宋"/>
                <w:kern w:val="0"/>
                <w:sz w:val="24"/>
                <w:szCs w:val="24"/>
                <w:highlight w:val="none"/>
              </w:rPr>
            </w:pPr>
          </w:p>
        </w:tc>
        <w:tc>
          <w:tcPr>
            <w:tcW w:w="3716" w:type="dxa"/>
            <w:vAlign w:val="center"/>
          </w:tcPr>
          <w:p>
            <w:pPr>
              <w:rPr>
                <w:rFonts w:hint="eastAsia" w:ascii="仿宋" w:hAnsi="仿宋" w:eastAsia="仿宋" w:cs="仿宋"/>
                <w:kern w:val="0"/>
                <w:sz w:val="24"/>
                <w:szCs w:val="24"/>
                <w:highlight w:val="none"/>
              </w:rPr>
            </w:pPr>
          </w:p>
        </w:tc>
        <w:tc>
          <w:tcPr>
            <w:tcW w:w="2019" w:type="dxa"/>
            <w:vAlign w:val="center"/>
          </w:tcPr>
          <w:p>
            <w:pPr>
              <w:rPr>
                <w:rFonts w:hint="eastAsia" w:ascii="仿宋" w:hAnsi="仿宋" w:eastAsia="仿宋" w:cs="仿宋"/>
                <w:kern w:val="0"/>
                <w:sz w:val="24"/>
                <w:szCs w:val="24"/>
                <w:highlight w:val="none"/>
              </w:rPr>
            </w:pPr>
          </w:p>
        </w:tc>
        <w:tc>
          <w:tcPr>
            <w:tcW w:w="727" w:type="dxa"/>
            <w:vAlign w:val="center"/>
          </w:tcPr>
          <w:p>
            <w:pPr>
              <w:rPr>
                <w:rFonts w:hint="eastAsia" w:ascii="仿宋" w:hAnsi="仿宋" w:eastAsia="仿宋" w:cs="仿宋"/>
                <w:kern w:val="0"/>
                <w:sz w:val="24"/>
                <w:szCs w:val="24"/>
                <w:highlight w:val="none"/>
              </w:rPr>
            </w:pPr>
          </w:p>
        </w:tc>
        <w:tc>
          <w:tcPr>
            <w:tcW w:w="1260" w:type="dxa"/>
            <w:vAlign w:val="top"/>
          </w:tcPr>
          <w:p>
            <w:pPr>
              <w:rPr>
                <w:rFonts w:hint="eastAsia" w:ascii="仿宋" w:hAnsi="仿宋" w:eastAsia="仿宋" w:cs="仿宋"/>
                <w:kern w:val="0"/>
                <w:sz w:val="24"/>
                <w:szCs w:val="24"/>
                <w:highlight w:val="none"/>
              </w:rPr>
            </w:pPr>
          </w:p>
        </w:tc>
      </w:tr>
    </w:tbl>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w:t>
      </w:r>
    </w:p>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1.投标供应商必须对应《磋商内容》的内容逐条响应。货物清单必须与《报价明细表》一致。</w:t>
      </w:r>
    </w:p>
    <w:p>
      <w:pPr>
        <w:rPr>
          <w:rFonts w:hint="eastAsia" w:ascii="仿宋" w:hAnsi="仿宋" w:eastAsia="仿宋" w:cs="仿宋"/>
          <w:kern w:val="0"/>
          <w:sz w:val="24"/>
          <w:szCs w:val="24"/>
          <w:highlight w:val="none"/>
          <w:lang w:val="en-GB"/>
        </w:rPr>
      </w:pPr>
      <w:r>
        <w:rPr>
          <w:rFonts w:hint="eastAsia" w:ascii="仿宋" w:hAnsi="仿宋" w:eastAsia="仿宋" w:cs="仿宋"/>
          <w:kern w:val="0"/>
          <w:sz w:val="24"/>
          <w:szCs w:val="24"/>
          <w:highlight w:val="none"/>
        </w:rPr>
        <w:t>2.投标供应商响应招标需求应具体、明确，含糊不清、不确切或伪造、变造证明材料的，按照不完全响应或者完全不响应处理。构成提供虚假材料的，移送监管部门查处。</w:t>
      </w:r>
    </w:p>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rPr>
        <w:t>包括但不限于产品检测报告、产品专利证书、制造商情况等</w:t>
      </w:r>
    </w:p>
    <w:p>
      <w:pPr>
        <w:jc w:val="center"/>
        <w:rPr>
          <w:rFonts w:hint="eastAsia" w:ascii="仿宋" w:hAnsi="仿宋" w:eastAsia="仿宋" w:cs="仿宋"/>
          <w:b/>
          <w:bCs/>
          <w:kern w:val="0"/>
          <w:sz w:val="36"/>
          <w:szCs w:val="36"/>
          <w:lang w:val="en-GB" w:eastAsia="zh-CN" w:bidi="ar-SA"/>
        </w:rPr>
      </w:pPr>
    </w:p>
    <w:p>
      <w:pPr>
        <w:numPr>
          <w:ilvl w:val="0"/>
          <w:numId w:val="9"/>
        </w:numPr>
        <w:jc w:val="center"/>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bidi="ar-SA"/>
        </w:rPr>
        <w:t>售后服务方案</w:t>
      </w:r>
    </w:p>
    <w:p>
      <w:pPr>
        <w:pStyle w:val="9"/>
        <w:kinsoku w:val="0"/>
        <w:overflowPunct w:val="0"/>
        <w:spacing w:before="34" w:line="357" w:lineRule="auto"/>
        <w:ind w:left="0" w:leftChars="0" w:right="126" w:firstLine="0" w:firstLineChars="0"/>
        <w:jc w:val="both"/>
        <w:rPr>
          <w:rFonts w:hint="eastAsia" w:ascii="仿宋" w:hAnsi="仿宋" w:eastAsia="仿宋" w:cs="仿宋"/>
          <w:kern w:val="0"/>
          <w:sz w:val="24"/>
          <w:szCs w:val="24"/>
          <w:highlight w:val="none"/>
          <w:lang w:val="en-US" w:eastAsia="zh-CN" w:bidi="ar-SA"/>
        </w:rPr>
      </w:pPr>
    </w:p>
    <w:p>
      <w:pPr>
        <w:pStyle w:val="9"/>
        <w:kinsoku w:val="0"/>
        <w:overflowPunct w:val="0"/>
        <w:spacing w:before="34" w:line="357" w:lineRule="auto"/>
        <w:ind w:right="126" w:firstLine="48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格式自拟</w:t>
      </w:r>
    </w:p>
    <w:p>
      <w:pPr>
        <w:pStyle w:val="6"/>
        <w:rPr>
          <w:rFonts w:hint="eastAsia" w:ascii="仿宋" w:hAnsi="仿宋" w:eastAsia="仿宋" w:cs="仿宋"/>
          <w:lang w:val="en-US" w:eastAsia="zh-CN"/>
        </w:rPr>
      </w:pPr>
    </w:p>
    <w:p>
      <w:pPr>
        <w:pStyle w:val="6"/>
        <w:rPr>
          <w:rFonts w:hint="eastAsia" w:ascii="仿宋" w:hAnsi="仿宋" w:eastAsia="仿宋" w:cs="仿宋"/>
          <w:lang w:val="en-US" w:eastAsia="zh-CN"/>
        </w:rPr>
      </w:pPr>
    </w:p>
    <w:p>
      <w:pPr>
        <w:pStyle w:val="6"/>
        <w:numPr>
          <w:ilvl w:val="0"/>
          <w:numId w:val="9"/>
        </w:numPr>
        <w:jc w:val="center"/>
        <w:rPr>
          <w:rFonts w:hint="eastAsia" w:ascii="仿宋" w:hAnsi="仿宋" w:eastAsia="仿宋" w:cs="仿宋"/>
          <w:b/>
          <w:bCs/>
          <w:kern w:val="0"/>
          <w:sz w:val="36"/>
          <w:szCs w:val="36"/>
          <w:lang w:val="en-GB" w:eastAsia="zh-CN" w:bidi="ar-SA"/>
        </w:rPr>
      </w:pPr>
      <w:r>
        <w:rPr>
          <w:rFonts w:hint="eastAsia" w:ascii="仿宋" w:hAnsi="仿宋" w:eastAsia="仿宋" w:cs="仿宋"/>
          <w:b/>
          <w:bCs/>
          <w:kern w:val="0"/>
          <w:sz w:val="36"/>
          <w:szCs w:val="36"/>
          <w:lang w:val="en-US" w:eastAsia="zh-CN" w:bidi="ar-SA"/>
        </w:rPr>
        <w:t>理解及合理化建议</w:t>
      </w:r>
    </w:p>
    <w:p>
      <w:pPr>
        <w:pStyle w:val="6"/>
        <w:numPr>
          <w:ilvl w:val="0"/>
          <w:numId w:val="0"/>
        </w:numPr>
        <w:jc w:val="both"/>
        <w:rPr>
          <w:rFonts w:hint="eastAsia" w:ascii="仿宋" w:hAnsi="仿宋" w:eastAsia="仿宋" w:cs="仿宋"/>
          <w:b/>
          <w:bCs/>
          <w:kern w:val="0"/>
          <w:sz w:val="36"/>
          <w:szCs w:val="36"/>
          <w:lang w:val="en-GB" w:eastAsia="zh-CN" w:bidi="ar-SA"/>
        </w:rPr>
      </w:pPr>
    </w:p>
    <w:p>
      <w:pPr>
        <w:pStyle w:val="9"/>
        <w:kinsoku w:val="0"/>
        <w:overflowPunct w:val="0"/>
        <w:spacing w:before="34" w:line="357" w:lineRule="auto"/>
        <w:ind w:right="126" w:firstLine="48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格式自拟</w:t>
      </w:r>
    </w:p>
    <w:p>
      <w:pPr>
        <w:pStyle w:val="6"/>
        <w:numPr>
          <w:ilvl w:val="0"/>
          <w:numId w:val="0"/>
        </w:numPr>
        <w:jc w:val="both"/>
        <w:rPr>
          <w:rFonts w:hint="eastAsia" w:ascii="仿宋" w:hAnsi="仿宋" w:eastAsia="仿宋" w:cs="仿宋"/>
          <w:b/>
          <w:bCs/>
          <w:kern w:val="0"/>
          <w:sz w:val="36"/>
          <w:szCs w:val="36"/>
          <w:lang w:val="en-GB" w:eastAsia="zh-CN" w:bidi="ar-SA"/>
        </w:rPr>
      </w:pPr>
    </w:p>
    <w:p>
      <w:pPr>
        <w:pStyle w:val="6"/>
        <w:numPr>
          <w:ilvl w:val="0"/>
          <w:numId w:val="9"/>
        </w:numPr>
        <w:jc w:val="center"/>
        <w:rPr>
          <w:rFonts w:hint="eastAsia" w:ascii="仿宋" w:hAnsi="仿宋" w:eastAsia="仿宋" w:cs="仿宋"/>
          <w:b/>
          <w:bCs/>
          <w:kern w:val="0"/>
          <w:sz w:val="36"/>
          <w:szCs w:val="36"/>
          <w:lang w:val="en-GB" w:eastAsia="zh-CN" w:bidi="ar-SA"/>
        </w:rPr>
      </w:pPr>
      <w:r>
        <w:rPr>
          <w:rFonts w:hint="eastAsia" w:ascii="仿宋" w:hAnsi="仿宋" w:eastAsia="仿宋" w:cs="仿宋"/>
          <w:b/>
          <w:bCs/>
          <w:kern w:val="0"/>
          <w:sz w:val="36"/>
          <w:szCs w:val="36"/>
          <w:lang w:val="en-US" w:eastAsia="zh-CN" w:bidi="ar-SA"/>
        </w:rPr>
        <w:t>实施</w:t>
      </w:r>
      <w:r>
        <w:rPr>
          <w:rFonts w:hint="eastAsia" w:ascii="仿宋" w:hAnsi="仿宋" w:eastAsia="仿宋" w:cs="仿宋"/>
          <w:b/>
          <w:bCs/>
          <w:kern w:val="0"/>
          <w:sz w:val="36"/>
          <w:szCs w:val="36"/>
          <w:lang w:val="en-GB" w:eastAsia="zh-CN" w:bidi="ar-SA"/>
        </w:rPr>
        <w:t>方案</w:t>
      </w:r>
    </w:p>
    <w:p>
      <w:pPr>
        <w:pStyle w:val="9"/>
        <w:kinsoku w:val="0"/>
        <w:overflowPunct w:val="0"/>
        <w:spacing w:before="34" w:line="357" w:lineRule="auto"/>
        <w:ind w:right="126" w:firstLine="48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格式自拟</w:t>
      </w:r>
    </w:p>
    <w:p>
      <w:pPr>
        <w:pStyle w:val="6"/>
        <w:numPr>
          <w:ilvl w:val="0"/>
          <w:numId w:val="0"/>
        </w:numPr>
        <w:jc w:val="both"/>
        <w:rPr>
          <w:rFonts w:hint="eastAsia" w:ascii="仿宋" w:hAnsi="仿宋" w:eastAsia="仿宋" w:cs="仿宋"/>
          <w:b/>
          <w:bCs/>
          <w:kern w:val="0"/>
          <w:sz w:val="36"/>
          <w:szCs w:val="36"/>
          <w:lang w:val="en-GB" w:eastAsia="zh-CN" w:bidi="ar-SA"/>
        </w:rPr>
      </w:pPr>
    </w:p>
    <w:p>
      <w:pPr>
        <w:pStyle w:val="6"/>
        <w:numPr>
          <w:ilvl w:val="0"/>
          <w:numId w:val="0"/>
        </w:numPr>
        <w:jc w:val="both"/>
        <w:rPr>
          <w:rFonts w:hint="eastAsia" w:ascii="仿宋" w:hAnsi="仿宋" w:eastAsia="仿宋" w:cs="仿宋"/>
          <w:b/>
          <w:bCs/>
          <w:kern w:val="0"/>
          <w:sz w:val="36"/>
          <w:szCs w:val="36"/>
          <w:lang w:val="en-GB" w:eastAsia="zh-CN" w:bidi="ar-SA"/>
        </w:rPr>
      </w:pPr>
    </w:p>
    <w:p>
      <w:pPr>
        <w:pStyle w:val="6"/>
        <w:numPr>
          <w:ilvl w:val="0"/>
          <w:numId w:val="9"/>
        </w:numPr>
        <w:jc w:val="center"/>
        <w:rPr>
          <w:rFonts w:hint="eastAsia" w:ascii="仿宋" w:hAnsi="仿宋" w:eastAsia="仿宋" w:cs="仿宋"/>
          <w:b/>
          <w:bCs/>
          <w:kern w:val="0"/>
          <w:sz w:val="36"/>
          <w:szCs w:val="36"/>
          <w:lang w:val="en-GB" w:eastAsia="zh-CN" w:bidi="ar-SA"/>
        </w:rPr>
      </w:pPr>
      <w:r>
        <w:rPr>
          <w:rFonts w:hint="eastAsia" w:ascii="仿宋" w:hAnsi="仿宋" w:eastAsia="仿宋" w:cs="仿宋"/>
          <w:b/>
          <w:bCs/>
          <w:kern w:val="0"/>
          <w:sz w:val="36"/>
          <w:szCs w:val="36"/>
          <w:lang w:val="en-US" w:eastAsia="zh-CN" w:bidi="ar-SA"/>
        </w:rPr>
        <w:t>管理措施</w:t>
      </w:r>
    </w:p>
    <w:p>
      <w:pPr>
        <w:pStyle w:val="6"/>
        <w:numPr>
          <w:ilvl w:val="0"/>
          <w:numId w:val="0"/>
        </w:numPr>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b/>
          <w:bCs/>
          <w:kern w:val="0"/>
          <w:sz w:val="36"/>
          <w:szCs w:val="36"/>
          <w:lang w:val="en-US" w:eastAsia="zh-CN" w:bidi="ar-SA"/>
        </w:rPr>
        <w:t xml:space="preserve"> </w:t>
      </w:r>
    </w:p>
    <w:p>
      <w:pPr>
        <w:pStyle w:val="9"/>
        <w:kinsoku w:val="0"/>
        <w:overflowPunct w:val="0"/>
        <w:spacing w:before="34" w:line="357" w:lineRule="auto"/>
        <w:ind w:right="126" w:firstLine="480"/>
        <w:jc w:val="center"/>
        <w:rPr>
          <w:rFonts w:hint="eastAsia" w:ascii="仿宋" w:hAnsi="仿宋" w:eastAsia="仿宋" w:cs="仿宋"/>
          <w:szCs w:val="21"/>
          <w:lang w:val="en-GB"/>
        </w:rPr>
      </w:pPr>
      <w:r>
        <w:rPr>
          <w:rFonts w:hint="eastAsia" w:ascii="仿宋" w:hAnsi="仿宋" w:eastAsia="仿宋" w:cs="仿宋"/>
          <w:kern w:val="0"/>
          <w:sz w:val="24"/>
          <w:szCs w:val="24"/>
          <w:highlight w:val="none"/>
          <w:lang w:val="en-US" w:eastAsia="zh-CN" w:bidi="ar-SA"/>
        </w:rPr>
        <w:t>格式自拟</w:t>
      </w:r>
    </w:p>
    <w:p>
      <w:pPr>
        <w:rPr>
          <w:rFonts w:hint="eastAsia" w:ascii="仿宋" w:hAnsi="仿宋" w:eastAsia="仿宋" w:cs="仿宋"/>
          <w:szCs w:val="21"/>
          <w:lang w:val="en-GB"/>
        </w:rPr>
      </w:pPr>
    </w:p>
    <w:p>
      <w:pPr>
        <w:rPr>
          <w:rFonts w:hint="eastAsia" w:ascii="仿宋" w:hAnsi="仿宋" w:eastAsia="仿宋" w:cs="仿宋"/>
          <w:szCs w:val="21"/>
        </w:rPr>
      </w:pPr>
    </w:p>
    <w:p>
      <w:pPr>
        <w:rPr>
          <w:rFonts w:hint="eastAsia" w:ascii="仿宋" w:hAnsi="仿宋" w:eastAsia="仿宋" w:cs="仿宋"/>
          <w:b/>
          <w:bCs/>
          <w:kern w:val="0"/>
          <w:sz w:val="24"/>
          <w:szCs w:val="24"/>
          <w:highlight w:val="yellow"/>
        </w:rPr>
      </w:pPr>
    </w:p>
    <w:p>
      <w:pPr>
        <w:pStyle w:val="9"/>
        <w:numPr>
          <w:ilvl w:val="0"/>
          <w:numId w:val="9"/>
        </w:numPr>
        <w:kinsoku w:val="0"/>
        <w:overflowPunct w:val="0"/>
        <w:spacing w:before="34" w:line="357" w:lineRule="auto"/>
        <w:ind w:left="0" w:leftChars="0" w:right="126" w:firstLine="0" w:firstLineChars="0"/>
        <w:jc w:val="center"/>
        <w:rPr>
          <w:rFonts w:hint="eastAsia" w:ascii="仿宋" w:hAnsi="仿宋" w:eastAsia="仿宋" w:cs="仿宋"/>
          <w:sz w:val="36"/>
          <w:szCs w:val="36"/>
        </w:rPr>
      </w:pPr>
      <w:r>
        <w:rPr>
          <w:rFonts w:hint="eastAsia" w:ascii="仿宋" w:hAnsi="仿宋" w:eastAsia="仿宋" w:cs="仿宋"/>
          <w:b/>
          <w:bCs/>
          <w:sz w:val="36"/>
          <w:szCs w:val="36"/>
        </w:rPr>
        <w:t>供应商认为需要提交的技术资料</w:t>
      </w: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ind w:left="0" w:leftChars="0" w:firstLine="0" w:firstLineChars="0"/>
        <w:rPr>
          <w:rFonts w:hint="eastAsia" w:ascii="仿宋" w:hAnsi="仿宋" w:eastAsia="仿宋" w:cs="仿宋"/>
        </w:rPr>
      </w:pPr>
    </w:p>
    <w:sectPr>
      <w:headerReference r:id="rId11" w:type="default"/>
      <w:footerReference r:id="rId12" w:type="default"/>
      <w:pgSz w:w="11910" w:h="16840"/>
      <w:pgMar w:top="1040" w:right="1137" w:bottom="960" w:left="1080" w:header="763" w:footer="766" w:gutter="0"/>
      <w:pgBorders>
        <w:top w:val="none" w:sz="0" w:space="0"/>
        <w:left w:val="none" w:sz="0" w:space="0"/>
        <w:bottom w:val="none" w:sz="0" w:space="0"/>
        <w:right w:val="none" w:sz="0" w:space="0"/>
      </w:pgBorders>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4"/>
        <w:szCs w:val="24"/>
      </w:rP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2371"/>
        <w:tab w:val="clear" w:pos="4153"/>
      </w:tabs>
      <w:jc w:val="both"/>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2371"/>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- 3 -</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2371"/>
        <w:tab w:val="clear" w:pos="4153"/>
      </w:tabs>
      <w:jc w:val="both"/>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42875"/>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42875"/>
                      </a:xfrm>
                      <a:prstGeom prst="rect">
                        <a:avLst/>
                      </a:prstGeom>
                      <a:noFill/>
                      <a:ln>
                        <a:noFill/>
                      </a:ln>
                    </wps:spPr>
                    <wps:txbx>
                      <w:txbxContent>
                        <w:p>
                          <w:pPr>
                            <w:pStyle w:val="11"/>
                            <w:jc w:val="center"/>
                            <w:rPr>
                              <w:sz w:val="13"/>
                              <w:szCs w:val="13"/>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40 -</w:t>
                          </w:r>
                          <w:r>
                            <w:rPr>
                              <w:sz w:val="24"/>
                              <w:szCs w:val="24"/>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0pt;height:11.25pt;width:144pt;mso-position-horizontal:right;mso-position-horizontal-relative:margin;mso-wrap-style:none;z-index:251662336;mso-width-relative:page;mso-height-relative:page;" filled="f" stroked="f" coordsize="21600,21600" o:gfxdata="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8qzh9EAAAAEAQAADwAAAAAAAAABACAAAAAiAAAAZHJzL2Rvd25yZXYueG1sUEsB&#10;AhQAFAAAAAgAh07iQOq/O4zDAQAAggMAAA4AAAAAAAAAAQAgAAAAIAEAAGRycy9lMm9Eb2MueG1s&#10;UEsFBgAAAAAGAAYAWQEAAFUFAAAAAA==&#10;">
              <v:fill on="f" focussize="0,0"/>
              <v:stroke on="f"/>
              <v:imagedata o:title=""/>
              <o:lock v:ext="edit" aspectratio="f"/>
              <v:textbox inset="0mm,0mm,0mm,0mm">
                <w:txbxContent>
                  <w:p>
                    <w:pPr>
                      <w:pStyle w:val="11"/>
                      <w:jc w:val="center"/>
                      <w:rPr>
                        <w:sz w:val="13"/>
                        <w:szCs w:val="13"/>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40 -</w:t>
                    </w:r>
                    <w:r>
                      <w:rPr>
                        <w:sz w:val="24"/>
                        <w:szCs w:val="24"/>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b/>
        <w:bCs/>
      </w:rPr>
    </w:pPr>
    <w:r>
      <w:rPr>
        <w:rFonts w:hint="eastAsia"/>
        <w:b/>
        <w:bCs/>
        <w:lang w:eastAsia="zh-CN"/>
      </w:rPr>
      <w:t>新疆景诺工程咨询有限公司</w:t>
    </w:r>
    <w:r>
      <w:rPr>
        <w:rFonts w:hint="eastAsia"/>
        <w:b/>
        <w:bCs/>
      </w:rPr>
      <w:t>竞争性磋商文件</w:t>
    </w:r>
  </w:p>
  <w:p>
    <w:pPr>
      <w:pStyle w:val="9"/>
      <w:kinsoku w:val="0"/>
      <w:overflowPunct w:val="0"/>
      <w:spacing w:before="0" w:line="14" w:lineRule="auto"/>
      <w:ind w:left="0"/>
      <w:rPr>
        <w:rFonts w:ascii="Times New Roman" w:eastAsia="宋体" w:cs="Times New Roman"/>
        <w:sz w:val="20"/>
        <w:szCs w:val="20"/>
      </w:rPr>
    </w:pPr>
    <w:r>
      <mc:AlternateContent>
        <mc:Choice Requires="wps">
          <w:drawing>
            <wp:anchor distT="0" distB="0" distL="114300" distR="114300" simplePos="0" relativeHeight="251660288" behindDoc="1" locked="0" layoutInCell="0" allowOverlap="1">
              <wp:simplePos x="0" y="0"/>
              <wp:positionH relativeFrom="page">
                <wp:posOffset>900430</wp:posOffset>
              </wp:positionH>
              <wp:positionV relativeFrom="page">
                <wp:posOffset>675640</wp:posOffset>
              </wp:positionV>
              <wp:extent cx="5760085" cy="12700"/>
              <wp:effectExtent l="0" t="0" r="0" b="0"/>
              <wp:wrapNone/>
              <wp:docPr id="121" name="任意多边形 121"/>
              <wp:cNvGraphicFramePr/>
              <a:graphic xmlns:a="http://schemas.openxmlformats.org/drawingml/2006/main">
                <a:graphicData uri="http://schemas.microsoft.com/office/word/2010/wordprocessingShape">
                  <wps:wsp>
                    <wps:cNvSpPr/>
                    <wps:spPr>
                      <a:xfrm>
                        <a:off x="0" y="0"/>
                        <a:ext cx="5760085" cy="12700"/>
                      </a:xfrm>
                      <a:custGeom>
                        <a:avLst/>
                        <a:gdLst/>
                        <a:ahLst/>
                        <a:cxnLst/>
                        <a:pathLst>
                          <a:path w="9071" h="20">
                            <a:moveTo>
                              <a:pt x="0" y="0"/>
                            </a:moveTo>
                            <a:lnTo>
                              <a:pt x="9071" y="0"/>
                            </a:lnTo>
                          </a:path>
                        </a:pathLst>
                      </a:custGeom>
                      <a:noFill/>
                      <a:ln w="1041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9pt;margin-top:53.2pt;height:1pt;width:453.55pt;mso-position-horizontal-relative:page;mso-position-vertical-relative:page;z-index:-251656192;mso-width-relative:page;mso-height-relative:page;" filled="f" stroked="t" coordsize="9071,20" o:allowincell="f" o:gfxdata="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L2iy2gAAAAwBAAAPAAAAAAAAAAEAIAAAACIAAABkcnMvZG93&#10;bnJldi54bWxQSwECFAAUAAAACACHTuJAMWMQuTcCAACSBAAADgAAAAAAAAABACAAAAApAQAAZHJz&#10;L2Uyb0RvYy54bWxQSwUGAAAAAAYABgBZAQAA0gUAAAAA&#10;" path="m0,0l9071,0e">
              <v:fill on="f" focussize="0,0"/>
              <v:stroke weight="0.82pt"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b/>
        <w:bCs/>
      </w:rPr>
    </w:pPr>
    <w:r>
      <w:rPr>
        <w:rFonts w:hint="eastAsia"/>
        <w:b/>
        <w:bCs/>
        <w:lang w:eastAsia="zh-CN"/>
      </w:rPr>
      <w:t>新疆景诺工程咨询有限公司</w:t>
    </w:r>
    <w:r>
      <w:rPr>
        <w:rFonts w:hint="eastAsia"/>
        <w:b/>
        <w:bCs/>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b/>
        <w:bCs/>
      </w:rPr>
    </w:pPr>
    <w:r>
      <w:rPr>
        <w:rFonts w:hint="eastAsia"/>
        <w:b/>
        <w:bCs/>
        <w:lang w:eastAsia="zh-CN"/>
      </w:rPr>
      <w:t>新疆景诺工程咨询有限公司</w:t>
    </w:r>
    <w:r>
      <w:rPr>
        <w:rFonts w:hint="eastAsia"/>
        <w:b/>
        <w:bCs/>
      </w:rPr>
      <w:t>竞争性磋商文件</w:t>
    </w:r>
  </w:p>
  <w:p>
    <w:pPr>
      <w:pStyle w:val="9"/>
      <w:kinsoku w:val="0"/>
      <w:overflowPunct w:val="0"/>
      <w:spacing w:before="0" w:line="14" w:lineRule="auto"/>
      <w:ind w:left="0"/>
      <w:rPr>
        <w:rFonts w:ascii="Times New Roman" w:eastAsia="宋体" w:cs="Times New Roman"/>
        <w:sz w:val="20"/>
        <w:szCs w:val="20"/>
      </w:rPr>
    </w:pPr>
    <w:r>
      <mc:AlternateContent>
        <mc:Choice Requires="wps">
          <w:drawing>
            <wp:anchor distT="0" distB="0" distL="114300" distR="114300" simplePos="0" relativeHeight="251661312" behindDoc="1" locked="0" layoutInCell="0" allowOverlap="1">
              <wp:simplePos x="0" y="0"/>
              <wp:positionH relativeFrom="page">
                <wp:posOffset>900430</wp:posOffset>
              </wp:positionH>
              <wp:positionV relativeFrom="page">
                <wp:posOffset>675640</wp:posOffset>
              </wp:positionV>
              <wp:extent cx="5760085" cy="12700"/>
              <wp:effectExtent l="0" t="0" r="0" b="0"/>
              <wp:wrapNone/>
              <wp:docPr id="126" name="任意多边形 126"/>
              <wp:cNvGraphicFramePr/>
              <a:graphic xmlns:a="http://schemas.openxmlformats.org/drawingml/2006/main">
                <a:graphicData uri="http://schemas.microsoft.com/office/word/2010/wordprocessingShape">
                  <wps:wsp>
                    <wps:cNvSpPr/>
                    <wps:spPr>
                      <a:xfrm>
                        <a:off x="0" y="0"/>
                        <a:ext cx="5760085" cy="12700"/>
                      </a:xfrm>
                      <a:custGeom>
                        <a:avLst/>
                        <a:gdLst/>
                        <a:ahLst/>
                        <a:cxnLst/>
                        <a:pathLst>
                          <a:path w="9071" h="20">
                            <a:moveTo>
                              <a:pt x="0" y="0"/>
                            </a:moveTo>
                            <a:lnTo>
                              <a:pt x="9071" y="0"/>
                            </a:lnTo>
                          </a:path>
                        </a:pathLst>
                      </a:custGeom>
                      <a:noFill/>
                      <a:ln w="1041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9pt;margin-top:53.2pt;height:1pt;width:453.55pt;mso-position-horizontal-relative:page;mso-position-vertical-relative:page;z-index:-251655168;mso-width-relative:page;mso-height-relative:page;" filled="f" stroked="t" coordsize="9071,20" o:allowincell="f" o:gfxdata="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L2iy2gAAAAwBAAAPAAAAAAAAAAEAIAAAACIAAABkcnMvZG93&#10;bnJldi54bWxQSwECFAAUAAAACACHTuJAwyzSoDcCAACSBAAADgAAAAAAAAABACAAAAApAQAAZHJz&#10;L2Uyb0RvYy54bWxQSwUGAAAAAAYABgBZAQAA0gUAAAAA&#10;" path="m0,0l9071,0e">
              <v:fill on="f" focussize="0,0"/>
              <v:stroke weight="0.82pt"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B77C0"/>
    <w:multiLevelType w:val="singleLevel"/>
    <w:tmpl w:val="BF9B77C0"/>
    <w:lvl w:ilvl="0" w:tentative="0">
      <w:start w:val="1"/>
      <w:numFmt w:val="decimal"/>
      <w:suff w:val="nothing"/>
      <w:lvlText w:val="（%1）"/>
      <w:lvlJc w:val="left"/>
    </w:lvl>
  </w:abstractNum>
  <w:abstractNum w:abstractNumId="1">
    <w:nsid w:val="CE302FEE"/>
    <w:multiLevelType w:val="singleLevel"/>
    <w:tmpl w:val="CE302FEE"/>
    <w:lvl w:ilvl="0" w:tentative="0">
      <w:start w:val="4"/>
      <w:numFmt w:val="chineseCounting"/>
      <w:suff w:val="space"/>
      <w:lvlText w:val="第%1章"/>
      <w:lvlJc w:val="left"/>
      <w:rPr>
        <w:rFonts w:hint="eastAsia"/>
      </w:rPr>
    </w:lvl>
  </w:abstractNum>
  <w:abstractNum w:abstractNumId="2">
    <w:nsid w:val="E8C4A6A0"/>
    <w:multiLevelType w:val="singleLevel"/>
    <w:tmpl w:val="E8C4A6A0"/>
    <w:lvl w:ilvl="0" w:tentative="0">
      <w:start w:val="14"/>
      <w:numFmt w:val="chineseCounting"/>
      <w:suff w:val="nothing"/>
      <w:lvlText w:val="%1、"/>
      <w:lvlJc w:val="left"/>
      <w:rPr>
        <w:rFonts w:hint="eastAsia"/>
      </w:rPr>
    </w:lvl>
  </w:abstractNum>
  <w:abstractNum w:abstractNumId="3">
    <w:nsid w:val="EDBE23BB"/>
    <w:multiLevelType w:val="singleLevel"/>
    <w:tmpl w:val="EDBE23BB"/>
    <w:lvl w:ilvl="0" w:tentative="0">
      <w:start w:val="3"/>
      <w:numFmt w:val="decimal"/>
      <w:suff w:val="space"/>
      <w:lvlText w:val="%1."/>
      <w:lvlJc w:val="left"/>
    </w:lvl>
  </w:abstractNum>
  <w:abstractNum w:abstractNumId="4">
    <w:nsid w:val="26F620A5"/>
    <w:multiLevelType w:val="singleLevel"/>
    <w:tmpl w:val="26F620A5"/>
    <w:lvl w:ilvl="0" w:tentative="0">
      <w:start w:val="16"/>
      <w:numFmt w:val="chineseCounting"/>
      <w:suff w:val="nothing"/>
      <w:lvlText w:val="%1、"/>
      <w:lvlJc w:val="left"/>
      <w:rPr>
        <w:rFonts w:hint="eastAsia"/>
      </w:rPr>
    </w:lvl>
  </w:abstractNum>
  <w:abstractNum w:abstractNumId="5">
    <w:nsid w:val="3D5CF182"/>
    <w:multiLevelType w:val="singleLevel"/>
    <w:tmpl w:val="3D5CF182"/>
    <w:lvl w:ilvl="0" w:tentative="0">
      <w:start w:val="1"/>
      <w:numFmt w:val="decimal"/>
      <w:suff w:val="nothing"/>
      <w:lvlText w:val="（%1）"/>
      <w:lvlJc w:val="left"/>
    </w:lvl>
  </w:abstractNum>
  <w:abstractNum w:abstractNumId="6">
    <w:nsid w:val="54B689F8"/>
    <w:multiLevelType w:val="singleLevel"/>
    <w:tmpl w:val="54B689F8"/>
    <w:lvl w:ilvl="0" w:tentative="0">
      <w:start w:val="2"/>
      <w:numFmt w:val="decimal"/>
      <w:suff w:val="nothing"/>
      <w:lvlText w:val="%1、"/>
      <w:lvlJc w:val="left"/>
    </w:lvl>
  </w:abstractNum>
  <w:abstractNum w:abstractNumId="7">
    <w:nsid w:val="68E2FA43"/>
    <w:multiLevelType w:val="singleLevel"/>
    <w:tmpl w:val="68E2FA43"/>
    <w:lvl w:ilvl="0" w:tentative="0">
      <w:start w:val="1"/>
      <w:numFmt w:val="decimal"/>
      <w:suff w:val="nothing"/>
      <w:lvlText w:val="%1、"/>
      <w:lvlJc w:val="left"/>
    </w:lvl>
  </w:abstractNum>
  <w:abstractNum w:abstractNumId="8">
    <w:nsid w:val="7C9C96EF"/>
    <w:multiLevelType w:val="singleLevel"/>
    <w:tmpl w:val="7C9C96EF"/>
    <w:lvl w:ilvl="0" w:tentative="0">
      <w:start w:val="1"/>
      <w:numFmt w:val="decimal"/>
      <w:suff w:val="nothing"/>
      <w:lvlText w:val="（%1）"/>
      <w:lvlJc w:val="left"/>
    </w:lvl>
  </w:abstractNum>
  <w:num w:numId="1">
    <w:abstractNumId w:val="6"/>
  </w:num>
  <w:num w:numId="2">
    <w:abstractNumId w:val="8"/>
  </w:num>
  <w:num w:numId="3">
    <w:abstractNumId w:val="7"/>
  </w:num>
  <w:num w:numId="4">
    <w:abstractNumId w:val="5"/>
  </w:num>
  <w:num w:numId="5">
    <w:abstractNumId w:val="3"/>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C066D"/>
    <w:rsid w:val="0041537F"/>
    <w:rsid w:val="010A3AF4"/>
    <w:rsid w:val="014E6C8E"/>
    <w:rsid w:val="01806070"/>
    <w:rsid w:val="028C589A"/>
    <w:rsid w:val="038028A7"/>
    <w:rsid w:val="03E947F3"/>
    <w:rsid w:val="042755AA"/>
    <w:rsid w:val="047435B9"/>
    <w:rsid w:val="0474562B"/>
    <w:rsid w:val="04982D3E"/>
    <w:rsid w:val="04A44382"/>
    <w:rsid w:val="04F064DA"/>
    <w:rsid w:val="054E1DA7"/>
    <w:rsid w:val="06610439"/>
    <w:rsid w:val="06B66C73"/>
    <w:rsid w:val="07462403"/>
    <w:rsid w:val="077E760D"/>
    <w:rsid w:val="08325593"/>
    <w:rsid w:val="08B30F82"/>
    <w:rsid w:val="08D00124"/>
    <w:rsid w:val="08FE0374"/>
    <w:rsid w:val="0900121E"/>
    <w:rsid w:val="09A069F2"/>
    <w:rsid w:val="0A0341A2"/>
    <w:rsid w:val="0AA51C71"/>
    <w:rsid w:val="0AB401AC"/>
    <w:rsid w:val="0B2E47F4"/>
    <w:rsid w:val="0B6E33BE"/>
    <w:rsid w:val="0B820B86"/>
    <w:rsid w:val="0B8C4971"/>
    <w:rsid w:val="0B941E3E"/>
    <w:rsid w:val="0BCA6B0A"/>
    <w:rsid w:val="0C2573BD"/>
    <w:rsid w:val="0C8B50F0"/>
    <w:rsid w:val="0CBB5D0C"/>
    <w:rsid w:val="0D6A39AC"/>
    <w:rsid w:val="0D727020"/>
    <w:rsid w:val="0F2B5BCD"/>
    <w:rsid w:val="10245588"/>
    <w:rsid w:val="10B57C61"/>
    <w:rsid w:val="10BA453E"/>
    <w:rsid w:val="13FA6EE1"/>
    <w:rsid w:val="1465338E"/>
    <w:rsid w:val="14E6757C"/>
    <w:rsid w:val="14EB0017"/>
    <w:rsid w:val="16445C80"/>
    <w:rsid w:val="168F3BFB"/>
    <w:rsid w:val="17790A1B"/>
    <w:rsid w:val="19AB43F6"/>
    <w:rsid w:val="19C40335"/>
    <w:rsid w:val="19D900F7"/>
    <w:rsid w:val="1A434A96"/>
    <w:rsid w:val="1A7838D3"/>
    <w:rsid w:val="1B286EAE"/>
    <w:rsid w:val="1C0D4968"/>
    <w:rsid w:val="1C4E328A"/>
    <w:rsid w:val="1CC01684"/>
    <w:rsid w:val="1CDE7646"/>
    <w:rsid w:val="1CF82314"/>
    <w:rsid w:val="1D7F66DC"/>
    <w:rsid w:val="1DC314B0"/>
    <w:rsid w:val="1DDC1029"/>
    <w:rsid w:val="1E3659BC"/>
    <w:rsid w:val="1E39387B"/>
    <w:rsid w:val="1E4627E5"/>
    <w:rsid w:val="1EB84E49"/>
    <w:rsid w:val="20D313BD"/>
    <w:rsid w:val="215120DD"/>
    <w:rsid w:val="21606A69"/>
    <w:rsid w:val="21F22887"/>
    <w:rsid w:val="23E8034A"/>
    <w:rsid w:val="23EB091B"/>
    <w:rsid w:val="23F84016"/>
    <w:rsid w:val="23FB6279"/>
    <w:rsid w:val="245A09D1"/>
    <w:rsid w:val="24D046CD"/>
    <w:rsid w:val="24D51308"/>
    <w:rsid w:val="25AA68BE"/>
    <w:rsid w:val="25CE7C86"/>
    <w:rsid w:val="261079F9"/>
    <w:rsid w:val="27553905"/>
    <w:rsid w:val="27AD4DC7"/>
    <w:rsid w:val="28BD59C5"/>
    <w:rsid w:val="28EC0A44"/>
    <w:rsid w:val="2A2B5682"/>
    <w:rsid w:val="2A8C4661"/>
    <w:rsid w:val="2A8D337D"/>
    <w:rsid w:val="2B1E7B54"/>
    <w:rsid w:val="2B615B59"/>
    <w:rsid w:val="2BA85583"/>
    <w:rsid w:val="2C81561B"/>
    <w:rsid w:val="2CAE7C7C"/>
    <w:rsid w:val="2CE93638"/>
    <w:rsid w:val="2CFD402B"/>
    <w:rsid w:val="2DA11636"/>
    <w:rsid w:val="2DBB3D1E"/>
    <w:rsid w:val="2DFA16AB"/>
    <w:rsid w:val="2E927D15"/>
    <w:rsid w:val="2F0830F5"/>
    <w:rsid w:val="2F177E2E"/>
    <w:rsid w:val="301F53F1"/>
    <w:rsid w:val="31AE5CCF"/>
    <w:rsid w:val="31BA179F"/>
    <w:rsid w:val="32A1255B"/>
    <w:rsid w:val="346D2D16"/>
    <w:rsid w:val="352F39FB"/>
    <w:rsid w:val="355C066D"/>
    <w:rsid w:val="358316D5"/>
    <w:rsid w:val="37194BA9"/>
    <w:rsid w:val="37210743"/>
    <w:rsid w:val="373B1763"/>
    <w:rsid w:val="37D9218E"/>
    <w:rsid w:val="38021CF9"/>
    <w:rsid w:val="38122D85"/>
    <w:rsid w:val="38F44392"/>
    <w:rsid w:val="39297FB6"/>
    <w:rsid w:val="3968236D"/>
    <w:rsid w:val="39E87880"/>
    <w:rsid w:val="3B6810D5"/>
    <w:rsid w:val="3B6D6BE8"/>
    <w:rsid w:val="3BB17B19"/>
    <w:rsid w:val="3BDF4FD3"/>
    <w:rsid w:val="3C7D4A0C"/>
    <w:rsid w:val="3CCA0971"/>
    <w:rsid w:val="3D552DD2"/>
    <w:rsid w:val="3DF45C4B"/>
    <w:rsid w:val="3E077B36"/>
    <w:rsid w:val="3E367C7A"/>
    <w:rsid w:val="3EA30BCE"/>
    <w:rsid w:val="3F456668"/>
    <w:rsid w:val="402B48A4"/>
    <w:rsid w:val="42D702A8"/>
    <w:rsid w:val="43342805"/>
    <w:rsid w:val="44422CFB"/>
    <w:rsid w:val="44BE6A50"/>
    <w:rsid w:val="456879AF"/>
    <w:rsid w:val="45D12403"/>
    <w:rsid w:val="45EE61D7"/>
    <w:rsid w:val="475C088E"/>
    <w:rsid w:val="48142163"/>
    <w:rsid w:val="485617A4"/>
    <w:rsid w:val="48B23FC7"/>
    <w:rsid w:val="49100D78"/>
    <w:rsid w:val="49360018"/>
    <w:rsid w:val="494D5BBE"/>
    <w:rsid w:val="499B0E47"/>
    <w:rsid w:val="49B14E7E"/>
    <w:rsid w:val="4A934881"/>
    <w:rsid w:val="4B5B4256"/>
    <w:rsid w:val="4B7B7BC8"/>
    <w:rsid w:val="4B7E652F"/>
    <w:rsid w:val="4C352A65"/>
    <w:rsid w:val="4C551D94"/>
    <w:rsid w:val="4C887543"/>
    <w:rsid w:val="4C9739CE"/>
    <w:rsid w:val="4CBC2FB8"/>
    <w:rsid w:val="4CEF3A76"/>
    <w:rsid w:val="4D8F75D3"/>
    <w:rsid w:val="4DFD6AC0"/>
    <w:rsid w:val="4F512ED2"/>
    <w:rsid w:val="522250A2"/>
    <w:rsid w:val="566833F1"/>
    <w:rsid w:val="57295E94"/>
    <w:rsid w:val="57555561"/>
    <w:rsid w:val="58BF0226"/>
    <w:rsid w:val="59D766D1"/>
    <w:rsid w:val="59FA78BB"/>
    <w:rsid w:val="5A540E80"/>
    <w:rsid w:val="5ABB7446"/>
    <w:rsid w:val="5B6D0A03"/>
    <w:rsid w:val="5B7C0932"/>
    <w:rsid w:val="5C1D175D"/>
    <w:rsid w:val="5C465A72"/>
    <w:rsid w:val="5DA352FC"/>
    <w:rsid w:val="5E297F77"/>
    <w:rsid w:val="5E387152"/>
    <w:rsid w:val="5E8B7977"/>
    <w:rsid w:val="5F534F57"/>
    <w:rsid w:val="60534A6D"/>
    <w:rsid w:val="60877D82"/>
    <w:rsid w:val="60D75F8E"/>
    <w:rsid w:val="60EC6F41"/>
    <w:rsid w:val="612047C3"/>
    <w:rsid w:val="616A3988"/>
    <w:rsid w:val="631F2DE4"/>
    <w:rsid w:val="63E518BA"/>
    <w:rsid w:val="64655004"/>
    <w:rsid w:val="66856FD6"/>
    <w:rsid w:val="66B022E3"/>
    <w:rsid w:val="692A285D"/>
    <w:rsid w:val="69ED405A"/>
    <w:rsid w:val="6A075321"/>
    <w:rsid w:val="6A2D4ABE"/>
    <w:rsid w:val="6AD140AD"/>
    <w:rsid w:val="6C994ABE"/>
    <w:rsid w:val="6CAE09F0"/>
    <w:rsid w:val="6CC779DD"/>
    <w:rsid w:val="6D0E4606"/>
    <w:rsid w:val="6D6106A9"/>
    <w:rsid w:val="6DB24061"/>
    <w:rsid w:val="6E810080"/>
    <w:rsid w:val="6EA31E53"/>
    <w:rsid w:val="6F4E4AA5"/>
    <w:rsid w:val="701C73E0"/>
    <w:rsid w:val="71403AE9"/>
    <w:rsid w:val="718023F4"/>
    <w:rsid w:val="71C23B5A"/>
    <w:rsid w:val="72801A5D"/>
    <w:rsid w:val="72AF5897"/>
    <w:rsid w:val="72C974C5"/>
    <w:rsid w:val="73044DC0"/>
    <w:rsid w:val="74065ABE"/>
    <w:rsid w:val="74092CBB"/>
    <w:rsid w:val="749F6F46"/>
    <w:rsid w:val="74F04BFE"/>
    <w:rsid w:val="75926F29"/>
    <w:rsid w:val="75D3001E"/>
    <w:rsid w:val="77021534"/>
    <w:rsid w:val="777D22E1"/>
    <w:rsid w:val="78BB19C1"/>
    <w:rsid w:val="7A1542A8"/>
    <w:rsid w:val="7A4F1D1B"/>
    <w:rsid w:val="7AC46396"/>
    <w:rsid w:val="7D4858FC"/>
    <w:rsid w:val="7E650901"/>
    <w:rsid w:val="7ED53DD1"/>
    <w:rsid w:val="7F4458AF"/>
    <w:rsid w:val="7F8E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line="800" w:lineRule="exact"/>
      <w:jc w:val="center"/>
      <w:outlineLvl w:val="0"/>
    </w:pPr>
    <w:rPr>
      <w:rFonts w:eastAsia="仿宋"/>
      <w:b/>
      <w:bCs/>
      <w:kern w:val="44"/>
      <w:sz w:val="32"/>
      <w:szCs w:val="44"/>
    </w:rPr>
  </w:style>
  <w:style w:type="paragraph" w:styleId="4">
    <w:name w:val="heading 2"/>
    <w:basedOn w:val="1"/>
    <w:next w:val="1"/>
    <w:qFormat/>
    <w:uiPriority w:val="9"/>
    <w:pPr>
      <w:keepNext/>
      <w:keepLines/>
      <w:spacing w:line="416" w:lineRule="auto"/>
      <w:jc w:val="center"/>
      <w:outlineLvl w:val="1"/>
    </w:pPr>
    <w:rPr>
      <w:rFonts w:ascii="Cambria" w:hAnsi="Cambria" w:eastAsia="仿宋" w:cs="Times New Roman"/>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5">
    <w:name w:val="index 8"/>
    <w:basedOn w:val="1"/>
    <w:next w:val="1"/>
    <w:qFormat/>
    <w:uiPriority w:val="0"/>
    <w:pPr>
      <w:ind w:left="3920" w:leftChars="1400"/>
    </w:pPr>
  </w:style>
  <w:style w:type="paragraph" w:styleId="6">
    <w:name w:val="Document Map"/>
    <w:basedOn w:val="1"/>
    <w:unhideWhenUsed/>
    <w:qFormat/>
    <w:uiPriority w:val="99"/>
    <w:rPr>
      <w:rFonts w:ascii="宋体"/>
      <w:sz w:val="18"/>
      <w:szCs w:val="18"/>
    </w:rPr>
  </w:style>
  <w:style w:type="paragraph" w:styleId="7">
    <w:name w:val="toa heading"/>
    <w:basedOn w:val="1"/>
    <w:next w:val="1"/>
    <w:semiHidden/>
    <w:qFormat/>
    <w:uiPriority w:val="0"/>
    <w:pPr>
      <w:spacing w:before="120"/>
    </w:pPr>
    <w:rPr>
      <w:rFonts w:ascii="Arial" w:hAnsi="Arial" w:cs="Arial"/>
      <w:sz w:val="24"/>
    </w:rPr>
  </w:style>
  <w:style w:type="paragraph" w:styleId="8">
    <w:name w:val="index 6"/>
    <w:basedOn w:val="1"/>
    <w:next w:val="1"/>
    <w:qFormat/>
    <w:uiPriority w:val="99"/>
    <w:pPr>
      <w:ind w:left="2100"/>
    </w:pPr>
  </w:style>
  <w:style w:type="paragraph" w:styleId="9">
    <w:name w:val="Body Text"/>
    <w:basedOn w:val="1"/>
    <w:qFormat/>
    <w:uiPriority w:val="1"/>
    <w:pPr>
      <w:autoSpaceDE w:val="0"/>
      <w:autoSpaceDN w:val="0"/>
      <w:adjustRightInd w:val="0"/>
      <w:spacing w:before="154"/>
      <w:ind w:left="118"/>
      <w:jc w:val="left"/>
    </w:pPr>
    <w:rPr>
      <w:rFonts w:ascii="仿宋" w:hAnsi="Times New Roman" w:eastAsia="仿宋" w:cs="仿宋"/>
      <w:kern w:val="0"/>
      <w:sz w:val="24"/>
      <w:szCs w:val="24"/>
    </w:rPr>
  </w:style>
  <w:style w:type="paragraph" w:styleId="10">
    <w:name w:val="Plain Text"/>
    <w:basedOn w:val="1"/>
    <w:qFormat/>
    <w:uiPriority w:val="99"/>
    <w:rPr>
      <w:rFonts w:ascii="宋体" w:hAnsi="Courier New"/>
      <w:szCs w:val="21"/>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9400"/>
      </w:tabs>
      <w:spacing w:line="520" w:lineRule="exact"/>
      <w:jc w:val="left"/>
    </w:pPr>
  </w:style>
  <w:style w:type="paragraph" w:styleId="14">
    <w:name w:val="toc 2"/>
    <w:basedOn w:val="1"/>
    <w:next w:val="1"/>
    <w:unhideWhenUsed/>
    <w:qFormat/>
    <w:uiPriority w:val="39"/>
    <w:pPr>
      <w:ind w:left="420" w:left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u w:val="single"/>
    </w:rPr>
  </w:style>
  <w:style w:type="paragraph" w:customStyle="1" w:styleId="19">
    <w:name w:val="缺省文本"/>
    <w:qFormat/>
    <w:uiPriority w:val="99"/>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
    <w:name w:val="Table Paragraph"/>
    <w:basedOn w:val="1"/>
    <w:qFormat/>
    <w:uiPriority w:val="1"/>
    <w:pPr>
      <w:autoSpaceDE w:val="0"/>
      <w:autoSpaceDN w:val="0"/>
      <w:adjustRightInd w:val="0"/>
      <w:jc w:val="left"/>
    </w:pPr>
    <w:rPr>
      <w:rFonts w:ascii="Times New Roman" w:hAnsi="Times New Roman" w:eastAsia="宋体"/>
      <w:kern w:val="0"/>
      <w:sz w:val="24"/>
      <w:szCs w:val="24"/>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正文_4"/>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3">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24">
    <w:name w:val="Heading 6"/>
    <w:basedOn w:val="1"/>
    <w:qFormat/>
    <w:uiPriority w:val="1"/>
    <w:pPr>
      <w:autoSpaceDE w:val="0"/>
      <w:autoSpaceDN w:val="0"/>
      <w:adjustRightInd w:val="0"/>
      <w:ind w:left="1448"/>
      <w:jc w:val="left"/>
      <w:outlineLvl w:val="5"/>
    </w:pPr>
    <w:rPr>
      <w:rFonts w:ascii="仿宋" w:hAnsi="Times New Roman" w:eastAsia="仿宋" w:cs="仿宋"/>
      <w:b/>
      <w:bCs/>
      <w:kern w:val="0"/>
      <w:sz w:val="32"/>
      <w:szCs w:val="32"/>
    </w:rPr>
  </w:style>
  <w:style w:type="paragraph" w:customStyle="1" w:styleId="25">
    <w:name w:val="Heading 1"/>
    <w:basedOn w:val="1"/>
    <w:qFormat/>
    <w:uiPriority w:val="1"/>
    <w:pPr>
      <w:autoSpaceDE w:val="0"/>
      <w:autoSpaceDN w:val="0"/>
      <w:adjustRightInd w:val="0"/>
      <w:ind w:left="82"/>
      <w:jc w:val="left"/>
      <w:outlineLvl w:val="0"/>
    </w:pPr>
    <w:rPr>
      <w:rFonts w:ascii="宋体" w:hAnsi="Times New Roman" w:cs="宋体"/>
      <w:b/>
      <w:bCs/>
      <w:kern w:val="0"/>
      <w:sz w:val="32"/>
      <w:szCs w:val="32"/>
    </w:rPr>
  </w:style>
  <w:style w:type="paragraph" w:customStyle="1" w:styleId="26">
    <w:name w:val="Heading 4"/>
    <w:basedOn w:val="1"/>
    <w:qFormat/>
    <w:uiPriority w:val="1"/>
    <w:pPr>
      <w:autoSpaceDE w:val="0"/>
      <w:autoSpaceDN w:val="0"/>
      <w:adjustRightInd w:val="0"/>
      <w:ind w:left="120"/>
      <w:jc w:val="left"/>
      <w:outlineLvl w:val="3"/>
    </w:pPr>
    <w:rPr>
      <w:rFonts w:ascii="宋体" w:hAnsi="Times New Roman" w:cs="宋体"/>
      <w:b/>
      <w:bCs/>
      <w:kern w:val="0"/>
      <w:szCs w:val="21"/>
    </w:rPr>
  </w:style>
  <w:style w:type="paragraph" w:customStyle="1" w:styleId="27">
    <w:name w:val="Heading 2"/>
    <w:basedOn w:val="1"/>
    <w:qFormat/>
    <w:uiPriority w:val="1"/>
    <w:pPr>
      <w:autoSpaceDE w:val="0"/>
      <w:autoSpaceDN w:val="0"/>
      <w:adjustRightInd w:val="0"/>
      <w:jc w:val="left"/>
      <w:outlineLvl w:val="1"/>
    </w:pPr>
    <w:rPr>
      <w:rFonts w:ascii="仿宋" w:hAnsi="Times New Roman" w:eastAsia="仿宋" w:cs="仿宋"/>
      <w:b/>
      <w:bCs/>
      <w:kern w:val="0"/>
      <w:sz w:val="72"/>
      <w:szCs w:val="72"/>
    </w:rPr>
  </w:style>
  <w:style w:type="paragraph" w:customStyle="1" w:styleId="28">
    <w:name w:val="List Paragraph"/>
    <w:basedOn w:val="1"/>
    <w:qFormat/>
    <w:uiPriority w:val="1"/>
    <w:pPr>
      <w:autoSpaceDE w:val="0"/>
      <w:autoSpaceDN w:val="0"/>
      <w:adjustRightInd w:val="0"/>
      <w:jc w:val="left"/>
    </w:pPr>
    <w:rPr>
      <w:rFonts w:ascii="Times New Roman" w:hAnsi="Times New Roman"/>
      <w:kern w:val="0"/>
      <w:sz w:val="24"/>
      <w:szCs w:val="24"/>
    </w:rPr>
  </w:style>
  <w:style w:type="character" w:customStyle="1" w:styleId="29">
    <w:name w:val="font21"/>
    <w:basedOn w:val="17"/>
    <w:qFormat/>
    <w:uiPriority w:val="0"/>
    <w:rPr>
      <w:rFonts w:hint="eastAsia" w:ascii="宋体" w:hAnsi="宋体" w:eastAsia="宋体" w:cs="宋体"/>
      <w:color w:val="000000"/>
      <w:sz w:val="21"/>
      <w:szCs w:val="21"/>
      <w:u w:val="none"/>
    </w:rPr>
  </w:style>
  <w:style w:type="character" w:customStyle="1" w:styleId="30">
    <w:name w:val="font11"/>
    <w:basedOn w:val="17"/>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2020-10-09T08:38:00Z</dcterms:created>
  <dc:creator> 　　</dc:creator>
  <cp:lastModifiedBy>MyPC</cp:lastModifiedBy>
  <dcterms:modified xsi:type="dcterms:W3CDTF">2021-06-08T04:33:34Z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5A98C4625980462F9AAD917EE1922A95</vt:lpwstr>
  </property>
</Properties>
</file>