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AC686">
      <w:pPr>
        <w:jc w:val="center"/>
        <w:rPr>
          <w:rFonts w:hint="eastAsia" w:asciiTheme="minorEastAsia" w:hAnsiTheme="minorEastAsia" w:eastAsiaTheme="minorEastAsia" w:cstheme="minorEastAsia"/>
          <w:b/>
          <w:bCs/>
          <w:sz w:val="52"/>
          <w:szCs w:val="52"/>
          <w:highlight w:val="none"/>
          <w:lang w:val="zh-CN"/>
        </w:rPr>
      </w:pPr>
    </w:p>
    <w:p w14:paraId="416710DC">
      <w:pPr>
        <w:jc w:val="center"/>
        <w:rPr>
          <w:rFonts w:hint="eastAsia" w:asciiTheme="minorEastAsia" w:hAnsiTheme="minorEastAsia" w:eastAsiaTheme="minorEastAsia" w:cstheme="minorEastAsia"/>
          <w:b/>
          <w:bCs/>
          <w:sz w:val="52"/>
          <w:szCs w:val="52"/>
          <w:highlight w:val="none"/>
          <w:lang w:val="zh-CN"/>
        </w:rPr>
      </w:pPr>
    </w:p>
    <w:p w14:paraId="59AD16A1">
      <w:pPr>
        <w:ind w:right="420" w:rightChars="200"/>
        <w:jc w:val="center"/>
        <w:rPr>
          <w:rFonts w:hint="eastAsia" w:asciiTheme="minorEastAsia" w:hAnsiTheme="minorEastAsia" w:eastAsiaTheme="minorEastAsia" w:cstheme="minorEastAsia"/>
          <w:b/>
          <w:sz w:val="36"/>
          <w:highlight w:val="none"/>
        </w:rPr>
      </w:pPr>
      <w:r>
        <w:rPr>
          <w:rFonts w:hint="eastAsia" w:asciiTheme="minorEastAsia" w:hAnsiTheme="minorEastAsia" w:eastAsiaTheme="minorEastAsia" w:cstheme="minorEastAsia"/>
          <w:b/>
          <w:bCs/>
          <w:sz w:val="52"/>
          <w:szCs w:val="52"/>
          <w:highlight w:val="none"/>
          <w:lang w:val="zh-CN"/>
        </w:rPr>
        <w:t>新疆介石项目管理有限公司</w:t>
      </w:r>
    </w:p>
    <w:p w14:paraId="268D6A52">
      <w:pPr>
        <w:jc w:val="center"/>
        <w:rPr>
          <w:rFonts w:hint="eastAsia" w:asciiTheme="minorEastAsia" w:hAnsiTheme="minorEastAsia" w:eastAsiaTheme="minorEastAsia" w:cstheme="minorEastAsia"/>
          <w:b/>
          <w:sz w:val="36"/>
          <w:highlight w:val="none"/>
        </w:rPr>
      </w:pPr>
    </w:p>
    <w:p w14:paraId="357250AD">
      <w:pPr>
        <w:rPr>
          <w:rFonts w:hint="eastAsia" w:asciiTheme="minorEastAsia" w:hAnsiTheme="minorEastAsia" w:eastAsiaTheme="minorEastAsia" w:cstheme="minorEastAsia"/>
          <w:b/>
          <w:sz w:val="28"/>
          <w:szCs w:val="24"/>
          <w:highlight w:val="none"/>
        </w:rPr>
      </w:pPr>
    </w:p>
    <w:p w14:paraId="474A18B3">
      <w:pPr>
        <w:rPr>
          <w:rFonts w:hint="eastAsia" w:asciiTheme="minorEastAsia" w:hAnsiTheme="minorEastAsia" w:eastAsiaTheme="minorEastAsia" w:cstheme="minorEastAsia"/>
          <w:b/>
          <w:sz w:val="28"/>
          <w:szCs w:val="24"/>
          <w:highlight w:val="none"/>
        </w:rPr>
      </w:pPr>
    </w:p>
    <w:p w14:paraId="179509C4">
      <w:pPr>
        <w:rPr>
          <w:rFonts w:hint="eastAsia" w:asciiTheme="minorEastAsia" w:hAnsiTheme="minorEastAsia" w:eastAsiaTheme="minorEastAsia" w:cstheme="minorEastAsia"/>
          <w:b/>
          <w:sz w:val="28"/>
          <w:szCs w:val="24"/>
          <w:highlight w:val="none"/>
        </w:rPr>
      </w:pPr>
    </w:p>
    <w:p w14:paraId="174A82BE">
      <w:pPr>
        <w:pStyle w:val="20"/>
        <w:spacing w:line="300" w:lineRule="auto"/>
        <w:jc w:val="both"/>
        <w:rPr>
          <w:rFonts w:hint="eastAsia" w:asciiTheme="minorEastAsia" w:hAnsiTheme="minorEastAsia" w:eastAsiaTheme="minorEastAsia" w:cstheme="minorEastAsia"/>
          <w:sz w:val="48"/>
          <w:szCs w:val="48"/>
          <w:highlight w:val="none"/>
        </w:rPr>
      </w:pPr>
    </w:p>
    <w:p w14:paraId="6D9CB527">
      <w:pPr>
        <w:jc w:val="center"/>
        <w:rPr>
          <w:rFonts w:hint="eastAsia" w:asciiTheme="minorEastAsia" w:hAnsiTheme="minorEastAsia" w:eastAsiaTheme="minorEastAsia" w:cstheme="minorEastAsia"/>
          <w:b/>
          <w:sz w:val="96"/>
          <w:szCs w:val="21"/>
          <w:highlight w:val="none"/>
        </w:rPr>
      </w:pPr>
      <w:r>
        <w:rPr>
          <w:rFonts w:hint="eastAsia" w:asciiTheme="minorEastAsia" w:hAnsiTheme="minorEastAsia" w:eastAsiaTheme="minorEastAsia" w:cstheme="minorEastAsia"/>
          <w:b/>
          <w:sz w:val="96"/>
          <w:szCs w:val="21"/>
          <w:highlight w:val="none"/>
        </w:rPr>
        <w:t>竞争性磋商文件</w:t>
      </w:r>
    </w:p>
    <w:p w14:paraId="3927E1EB">
      <w:pPr>
        <w:tabs>
          <w:tab w:val="left" w:pos="1620"/>
          <w:tab w:val="left" w:pos="1800"/>
          <w:tab w:val="left" w:pos="1980"/>
        </w:tabs>
        <w:spacing w:line="720" w:lineRule="auto"/>
        <w:jc w:val="center"/>
        <w:rPr>
          <w:rFonts w:hint="default" w:asciiTheme="minorEastAsia" w:hAnsiTheme="minorEastAsia" w:eastAsiaTheme="minorEastAsia" w:cstheme="minorEastAsia"/>
          <w:sz w:val="33"/>
          <w:highlight w:val="none"/>
          <w:lang w:val="en-US" w:eastAsia="zh-CN"/>
        </w:rPr>
      </w:pPr>
      <w:r>
        <w:rPr>
          <w:rFonts w:hint="eastAsia" w:asciiTheme="minorEastAsia" w:hAnsiTheme="minorEastAsia" w:eastAsiaTheme="minorEastAsia" w:cstheme="minorEastAsia"/>
          <w:sz w:val="33"/>
          <w:highlight w:val="none"/>
        </w:rPr>
        <w:t>项目编号：</w:t>
      </w:r>
      <w:r>
        <w:rPr>
          <w:rFonts w:hint="eastAsia" w:asciiTheme="minorEastAsia" w:hAnsiTheme="minorEastAsia" w:eastAsiaTheme="minorEastAsia" w:cstheme="minorEastAsia"/>
          <w:sz w:val="33"/>
          <w:highlight w:val="none"/>
          <w:lang w:val="en-US" w:eastAsia="zh-CN"/>
        </w:rPr>
        <w:t>XJJSZC（JZXCS）2025-015</w:t>
      </w:r>
    </w:p>
    <w:p w14:paraId="6D0B60E4">
      <w:pPr>
        <w:jc w:val="center"/>
        <w:rPr>
          <w:rFonts w:hint="eastAsia" w:asciiTheme="minorEastAsia" w:hAnsiTheme="minorEastAsia" w:eastAsiaTheme="minorEastAsia" w:cstheme="minorEastAsia"/>
          <w:sz w:val="33"/>
          <w:highlight w:val="none"/>
        </w:rPr>
      </w:pPr>
    </w:p>
    <w:p w14:paraId="0461859F">
      <w:pPr>
        <w:pStyle w:val="8"/>
        <w:ind w:firstLine="660"/>
        <w:rPr>
          <w:rFonts w:hint="eastAsia" w:asciiTheme="minorEastAsia" w:hAnsiTheme="minorEastAsia" w:eastAsiaTheme="minorEastAsia" w:cstheme="minorEastAsia"/>
          <w:sz w:val="33"/>
          <w:highlight w:val="none"/>
        </w:rPr>
      </w:pPr>
    </w:p>
    <w:p w14:paraId="4DD36F22">
      <w:pPr>
        <w:rPr>
          <w:rFonts w:hint="eastAsia" w:asciiTheme="minorEastAsia" w:hAnsiTheme="minorEastAsia" w:eastAsiaTheme="minorEastAsia" w:cstheme="minorEastAsia"/>
          <w:sz w:val="33"/>
          <w:highlight w:val="none"/>
        </w:rPr>
      </w:pPr>
    </w:p>
    <w:p w14:paraId="248092F5">
      <w:pPr>
        <w:pStyle w:val="3"/>
        <w:rPr>
          <w:rFonts w:hint="eastAsia" w:asciiTheme="minorEastAsia" w:hAnsiTheme="minorEastAsia" w:eastAsiaTheme="minorEastAsia" w:cstheme="minorEastAsia"/>
          <w:sz w:val="33"/>
          <w:highlight w:val="none"/>
        </w:rPr>
      </w:pPr>
    </w:p>
    <w:p w14:paraId="2D3E5E72">
      <w:pPr>
        <w:rPr>
          <w:rFonts w:hint="eastAsia"/>
        </w:rPr>
      </w:pPr>
    </w:p>
    <w:p w14:paraId="38AC28AD">
      <w:pPr>
        <w:pStyle w:val="45"/>
        <w:spacing w:line="360" w:lineRule="auto"/>
        <w:ind w:firstLine="1928" w:firstLineChars="600"/>
        <w:rPr>
          <w:rFonts w:hint="eastAsia" w:asciiTheme="minorEastAsia" w:hAnsiTheme="minorEastAsia" w:eastAsiaTheme="minorEastAsia" w:cstheme="minorEastAsia"/>
          <w:b/>
          <w:color w:val="auto"/>
          <w:kern w:val="0"/>
          <w:sz w:val="32"/>
          <w:szCs w:val="32"/>
          <w:highlight w:val="none"/>
          <w:lang w:val="zh-CN" w:eastAsia="zh-CN" w:bidi="ar-SA"/>
        </w:rPr>
      </w:pPr>
      <w:r>
        <w:rPr>
          <w:rFonts w:hint="eastAsia" w:asciiTheme="minorEastAsia" w:hAnsiTheme="minorEastAsia" w:eastAsiaTheme="minorEastAsia" w:cstheme="minorEastAsia"/>
          <w:b/>
          <w:color w:val="auto"/>
          <w:sz w:val="32"/>
          <w:szCs w:val="32"/>
          <w:highlight w:val="none"/>
          <w:lang w:eastAsia="zh-CN"/>
        </w:rPr>
        <w:t>项目名称：</w:t>
      </w:r>
      <w:r>
        <w:rPr>
          <w:rFonts w:hint="eastAsia" w:asciiTheme="minorEastAsia" w:hAnsiTheme="minorEastAsia" w:eastAsiaTheme="minorEastAsia" w:cstheme="minorEastAsia"/>
          <w:b/>
          <w:color w:val="auto"/>
          <w:kern w:val="0"/>
          <w:sz w:val="32"/>
          <w:szCs w:val="32"/>
          <w:highlight w:val="none"/>
          <w:lang w:val="en-US" w:eastAsia="zh-CN" w:bidi="ar-SA"/>
        </w:rPr>
        <w:t>轮台县X237线塔尔拉克乡政府段改建项目</w:t>
      </w:r>
    </w:p>
    <w:p w14:paraId="2C276A52">
      <w:pPr>
        <w:pStyle w:val="45"/>
        <w:spacing w:line="360" w:lineRule="auto"/>
        <w:ind w:firstLine="643" w:firstLineChars="200"/>
        <w:rPr>
          <w:rFonts w:hint="eastAsia" w:asciiTheme="minorEastAsia" w:hAnsiTheme="minorEastAsia" w:eastAsiaTheme="minorEastAsia" w:cstheme="minorEastAsia"/>
          <w:b/>
          <w:color w:val="auto"/>
          <w:sz w:val="32"/>
          <w:szCs w:val="32"/>
          <w:highlight w:val="none"/>
        </w:rPr>
      </w:pPr>
    </w:p>
    <w:p w14:paraId="2B9FEA6B">
      <w:pPr>
        <w:pStyle w:val="45"/>
        <w:spacing w:line="360" w:lineRule="auto"/>
        <w:ind w:firstLine="1928" w:firstLineChars="600"/>
        <w:rPr>
          <w:rFonts w:hint="default" w:asciiTheme="minorEastAsia" w:hAnsiTheme="minorEastAsia" w:eastAsiaTheme="minorEastAsia" w:cstheme="minorEastAsia"/>
          <w:b/>
          <w:color w:val="auto"/>
          <w:sz w:val="32"/>
          <w:szCs w:val="32"/>
          <w:highlight w:val="none"/>
          <w:lang w:val="en-US"/>
        </w:rPr>
      </w:pPr>
      <w:r>
        <w:rPr>
          <w:rFonts w:hint="eastAsia" w:asciiTheme="minorEastAsia" w:hAnsiTheme="minorEastAsia" w:eastAsiaTheme="minorEastAsia" w:cstheme="minorEastAsia"/>
          <w:b/>
          <w:color w:val="auto"/>
          <w:sz w:val="32"/>
          <w:szCs w:val="32"/>
          <w:highlight w:val="none"/>
        </w:rPr>
        <w:t>采 购 单 位：</w:t>
      </w:r>
      <w:r>
        <w:rPr>
          <w:rFonts w:hint="eastAsia" w:asciiTheme="minorEastAsia" w:hAnsiTheme="minorEastAsia" w:eastAsiaTheme="minorEastAsia" w:cstheme="minorEastAsia"/>
          <w:b/>
          <w:color w:val="auto"/>
          <w:kern w:val="0"/>
          <w:sz w:val="32"/>
          <w:szCs w:val="32"/>
          <w:highlight w:val="none"/>
          <w:lang w:val="en-US" w:eastAsia="zh-CN" w:bidi="ar-SA"/>
        </w:rPr>
        <w:t>轮台县交通运输局</w:t>
      </w:r>
    </w:p>
    <w:p w14:paraId="31A2AA95">
      <w:pPr>
        <w:pStyle w:val="45"/>
        <w:spacing w:line="360" w:lineRule="auto"/>
        <w:ind w:firstLine="948" w:firstLineChars="295"/>
        <w:rPr>
          <w:rFonts w:hint="eastAsia" w:asciiTheme="minorEastAsia" w:hAnsiTheme="minorEastAsia" w:eastAsiaTheme="minorEastAsia" w:cstheme="minorEastAsia"/>
          <w:b/>
          <w:color w:val="FF0000"/>
          <w:sz w:val="32"/>
          <w:szCs w:val="32"/>
          <w:highlight w:val="none"/>
        </w:rPr>
      </w:pPr>
    </w:p>
    <w:p w14:paraId="0D47D7F3">
      <w:pPr>
        <w:pStyle w:val="2"/>
        <w:keepNext w:val="0"/>
        <w:widowControl/>
        <w:spacing w:line="450" w:lineRule="atLeast"/>
        <w:ind w:firstLine="1928" w:firstLineChars="600"/>
        <w:jc w:val="both"/>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t>采购代理机构：</w:t>
      </w:r>
      <w:r>
        <w:rPr>
          <w:rFonts w:hint="eastAsia" w:asciiTheme="minorEastAsia" w:hAnsiTheme="minorEastAsia" w:eastAsiaTheme="minorEastAsia" w:cstheme="minorEastAsia"/>
          <w:b/>
          <w:kern w:val="0"/>
          <w:sz w:val="32"/>
          <w:szCs w:val="32"/>
          <w:highlight w:val="none"/>
          <w:lang w:val="zh-CN"/>
        </w:rPr>
        <w:t>新疆介石项目管理有限公司</w:t>
      </w:r>
    </w:p>
    <w:p w14:paraId="457F59E9">
      <w:pPr>
        <w:pStyle w:val="2"/>
        <w:keepNext w:val="0"/>
        <w:widowControl/>
        <w:spacing w:line="450" w:lineRule="atLeast"/>
        <w:jc w:val="both"/>
        <w:rPr>
          <w:rFonts w:hint="eastAsia" w:asciiTheme="minorEastAsia" w:hAnsiTheme="minorEastAsia" w:eastAsiaTheme="minorEastAsia" w:cstheme="minorEastAsia"/>
          <w:sz w:val="36"/>
          <w:szCs w:val="36"/>
          <w:highlight w:val="none"/>
        </w:rPr>
      </w:pPr>
    </w:p>
    <w:p w14:paraId="2B760C2D">
      <w:pPr>
        <w:pStyle w:val="2"/>
        <w:keepNext w:val="0"/>
        <w:widowControl/>
        <w:spacing w:line="450" w:lineRule="atLeast"/>
        <w:jc w:val="both"/>
        <w:rPr>
          <w:rFonts w:hint="eastAsia" w:asciiTheme="minorEastAsia" w:hAnsiTheme="minorEastAsia" w:eastAsiaTheme="minorEastAsia" w:cstheme="minorEastAsia"/>
          <w:sz w:val="36"/>
          <w:szCs w:val="36"/>
          <w:highlight w:val="none"/>
        </w:rPr>
      </w:pPr>
    </w:p>
    <w:p w14:paraId="191DAE45">
      <w:pPr>
        <w:pStyle w:val="3"/>
        <w:rPr>
          <w:rFonts w:hint="eastAsia" w:asciiTheme="minorEastAsia" w:hAnsiTheme="minorEastAsia" w:eastAsiaTheme="minorEastAsia" w:cstheme="minorEastAsia"/>
          <w:sz w:val="36"/>
          <w:szCs w:val="36"/>
          <w:highlight w:val="none"/>
        </w:rPr>
      </w:pPr>
    </w:p>
    <w:p w14:paraId="61A6571C">
      <w:pPr>
        <w:rPr>
          <w:rFonts w:hint="eastAsia"/>
          <w:highlight w:val="none"/>
        </w:rPr>
      </w:pPr>
    </w:p>
    <w:p w14:paraId="38485110">
      <w:pPr>
        <w:jc w:val="center"/>
        <w:rPr>
          <w:rFonts w:hint="eastAsia"/>
          <w:b/>
          <w:bCs/>
          <w:color w:val="auto"/>
          <w:sz w:val="52"/>
          <w:szCs w:val="52"/>
          <w:highlight w:val="none"/>
          <w:lang w:eastAsia="zh-CN"/>
        </w:rPr>
      </w:pPr>
      <w:r>
        <w:rPr>
          <w:rFonts w:hint="eastAsia"/>
          <w:b/>
          <w:bCs/>
          <w:color w:val="auto"/>
          <w:sz w:val="52"/>
          <w:szCs w:val="52"/>
          <w:highlight w:val="none"/>
        </w:rPr>
        <w:t>目  录</w:t>
      </w:r>
    </w:p>
    <w:p w14:paraId="17B84839">
      <w:pPr>
        <w:jc w:val="center"/>
        <w:rPr>
          <w:rFonts w:hint="eastAsia"/>
          <w:b/>
          <w:bCs/>
          <w:color w:val="auto"/>
          <w:sz w:val="52"/>
          <w:szCs w:val="52"/>
          <w:highlight w:val="none"/>
          <w:lang w:eastAsia="zh-CN"/>
        </w:rPr>
      </w:pPr>
    </w:p>
    <w:p w14:paraId="2D2E9DCF">
      <w:pPr>
        <w:pStyle w:val="72"/>
        <w:tabs>
          <w:tab w:val="right" w:leader="dot" w:pos="9070"/>
        </w:tabs>
        <w:spacing w:line="48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HYPERLINK  \l "_Toc13129_WPSOffice_Level1"</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第一章  竞争性磋商公告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p>
    <w:p w14:paraId="4FE2DBA0">
      <w:pPr>
        <w:pStyle w:val="72"/>
        <w:tabs>
          <w:tab w:val="right" w:leader="dot" w:pos="9070"/>
        </w:tabs>
        <w:spacing w:line="48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HYPERLINK  \l "_Toc32258_WPSOffice_Level1"</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第二章  磋商供应商须知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p>
    <w:p w14:paraId="47B356BA">
      <w:pPr>
        <w:pStyle w:val="72"/>
        <w:tabs>
          <w:tab w:val="right" w:leader="dot" w:pos="9070"/>
        </w:tabs>
        <w:spacing w:line="480" w:lineRule="auto"/>
        <w:ind w:firstLine="560" w:firstLineChars="200"/>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HYPERLINK  \l "_Toc3717_WPSOffice_Level1"</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第三章  磋商响应文件的编制、递交</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p>
    <w:p w14:paraId="68AB45A7">
      <w:pPr>
        <w:pStyle w:val="72"/>
        <w:tabs>
          <w:tab w:val="right" w:leader="dot" w:pos="9070"/>
        </w:tabs>
        <w:spacing w:line="480" w:lineRule="auto"/>
        <w:ind w:firstLine="560" w:firstLineChars="200"/>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HYPERLINK  \l "_Toc12453_WPSOffice_Level1"</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第四章  磋商、评审、确定成交供应商</w:t>
      </w:r>
      <w:r>
        <w:rPr>
          <w:rFonts w:hint="eastAsia" w:ascii="宋体" w:hAnsi="宋体" w:cs="宋体"/>
          <w:color w:val="auto"/>
          <w:sz w:val="28"/>
          <w:szCs w:val="28"/>
          <w:highlight w:val="none"/>
        </w:rPr>
        <w:tab/>
      </w:r>
    </w:p>
    <w:p w14:paraId="42ED326B">
      <w:pPr>
        <w:pStyle w:val="72"/>
        <w:tabs>
          <w:tab w:val="right" w:leader="dot" w:pos="9070"/>
        </w:tabs>
        <w:spacing w:line="480" w:lineRule="auto"/>
        <w:ind w:firstLine="560" w:firstLineChars="2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rPr>
        <w:t>第五章  评定成交方式和标准</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p>
    <w:p w14:paraId="7344B667">
      <w:pPr>
        <w:pStyle w:val="72"/>
        <w:tabs>
          <w:tab w:val="right" w:leader="dot" w:pos="9070"/>
        </w:tabs>
        <w:spacing w:line="480" w:lineRule="auto"/>
        <w:ind w:firstLine="560" w:firstLineChars="200"/>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 xml:space="preserve">第六章  </w:t>
      </w:r>
      <w:r>
        <w:rPr>
          <w:rFonts w:hint="eastAsia" w:ascii="宋体" w:hAnsi="宋体" w:cs="宋体"/>
          <w:color w:val="auto"/>
          <w:sz w:val="28"/>
          <w:szCs w:val="28"/>
          <w:highlight w:val="none"/>
        </w:rPr>
        <w:t>合同格式及合同条款</w:t>
      </w:r>
      <w:r>
        <w:rPr>
          <w:rFonts w:hint="eastAsia" w:ascii="宋体" w:hAnsi="宋体" w:cs="宋体"/>
          <w:color w:val="auto"/>
          <w:sz w:val="28"/>
          <w:szCs w:val="28"/>
          <w:highlight w:val="none"/>
        </w:rPr>
        <w:tab/>
      </w:r>
    </w:p>
    <w:p w14:paraId="6D855771">
      <w:pPr>
        <w:pStyle w:val="72"/>
        <w:tabs>
          <w:tab w:val="right" w:leader="dot" w:pos="9070"/>
        </w:tabs>
        <w:spacing w:line="480" w:lineRule="auto"/>
        <w:ind w:firstLine="560" w:firstLineChars="2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HYPERLINK  \l "_Toc7744_WPSOffice_Level1"</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w:t>
      </w:r>
      <w:r>
        <w:rPr>
          <w:rFonts w:hint="eastAsia" w:ascii="宋体" w:hAnsi="宋体" w:cs="宋体"/>
          <w:color w:val="auto"/>
          <w:sz w:val="28"/>
          <w:szCs w:val="28"/>
          <w:highlight w:val="none"/>
          <w:lang w:val="en-US" w:eastAsia="zh-CN"/>
        </w:rPr>
        <w:t>七</w:t>
      </w:r>
      <w:r>
        <w:rPr>
          <w:rFonts w:hint="eastAsia" w:ascii="宋体" w:hAnsi="宋体" w:cs="宋体"/>
          <w:color w:val="auto"/>
          <w:sz w:val="28"/>
          <w:szCs w:val="28"/>
          <w:highlight w:val="none"/>
        </w:rPr>
        <w:t xml:space="preserve">章  </w:t>
      </w:r>
      <w:r>
        <w:rPr>
          <w:rFonts w:hint="eastAsia" w:ascii="宋体" w:hAnsi="宋体" w:cs="宋体"/>
          <w:color w:val="auto"/>
          <w:sz w:val="28"/>
          <w:szCs w:val="28"/>
          <w:highlight w:val="none"/>
          <w:lang w:val="en-US" w:eastAsia="zh-CN"/>
        </w:rPr>
        <w:t>工程量清单（另附）</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p>
    <w:p w14:paraId="3C157175">
      <w:pPr>
        <w:pStyle w:val="72"/>
        <w:numPr>
          <w:ilvl w:val="0"/>
          <w:numId w:val="0"/>
        </w:numPr>
        <w:tabs>
          <w:tab w:val="right" w:leader="dot" w:pos="9070"/>
        </w:tabs>
        <w:spacing w:line="48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第八章  图纸（如有另附）</w:t>
      </w:r>
      <w:r>
        <w:rPr>
          <w:rFonts w:hint="eastAsia" w:ascii="宋体" w:hAnsi="宋体" w:cs="宋体"/>
          <w:color w:val="auto"/>
          <w:sz w:val="28"/>
          <w:szCs w:val="28"/>
          <w:highlight w:val="none"/>
        </w:rPr>
        <w:tab/>
      </w:r>
    </w:p>
    <w:p w14:paraId="1C0BD6C8">
      <w:pPr>
        <w:pStyle w:val="72"/>
        <w:numPr>
          <w:ilvl w:val="0"/>
          <w:numId w:val="0"/>
        </w:numPr>
        <w:tabs>
          <w:tab w:val="right" w:leader="dot" w:pos="9070"/>
        </w:tabs>
        <w:spacing w:line="480" w:lineRule="auto"/>
        <w:ind w:firstLine="560" w:firstLineChars="200"/>
        <w:rPr>
          <w:highlight w:val="none"/>
        </w:rPr>
      </w:pPr>
      <w:r>
        <w:rPr>
          <w:rFonts w:hint="eastAsia" w:ascii="宋体" w:hAnsi="宋体" w:cs="宋体"/>
          <w:color w:val="auto"/>
          <w:sz w:val="28"/>
          <w:szCs w:val="28"/>
          <w:highlight w:val="none"/>
          <w:lang w:val="en-US" w:eastAsia="zh-CN"/>
        </w:rPr>
        <w:t>第九章  技术规范</w:t>
      </w:r>
      <w:r>
        <w:rPr>
          <w:rFonts w:hint="eastAsia" w:ascii="宋体" w:hAnsi="宋体" w:cs="宋体"/>
          <w:color w:val="auto"/>
          <w:sz w:val="28"/>
          <w:szCs w:val="28"/>
          <w:highlight w:val="none"/>
        </w:rPr>
        <w:tab/>
      </w:r>
    </w:p>
    <w:p w14:paraId="3C893ADE">
      <w:pPr>
        <w:pStyle w:val="72"/>
        <w:numPr>
          <w:ilvl w:val="0"/>
          <w:numId w:val="0"/>
        </w:numPr>
        <w:tabs>
          <w:tab w:val="right" w:leader="dot" w:pos="9070"/>
        </w:tabs>
        <w:spacing w:line="480" w:lineRule="auto"/>
        <w:ind w:firstLine="560" w:firstLineChars="200"/>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第十章  工程量清单计量规则</w:t>
      </w:r>
      <w:r>
        <w:rPr>
          <w:rFonts w:hint="eastAsia" w:ascii="宋体" w:hAnsi="宋体" w:cs="宋体"/>
          <w:color w:val="auto"/>
          <w:sz w:val="28"/>
          <w:szCs w:val="28"/>
          <w:highlight w:val="none"/>
        </w:rPr>
        <w:tab/>
      </w:r>
    </w:p>
    <w:p w14:paraId="72186F92">
      <w:pPr>
        <w:pStyle w:val="72"/>
        <w:tabs>
          <w:tab w:val="right" w:leader="dot" w:pos="9070"/>
        </w:tabs>
        <w:spacing w:line="480" w:lineRule="auto"/>
        <w:ind w:firstLine="560" w:firstLineChars="200"/>
        <w:rPr>
          <w:rFonts w:hint="default" w:ascii="宋体" w:hAnsi="宋体" w:eastAsia="宋体" w:cs="宋体"/>
          <w:color w:val="auto"/>
          <w:sz w:val="28"/>
          <w:szCs w:val="28"/>
          <w:highlight w:val="yellow"/>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HYPERLINK  \l "_Toc11362_WPSOffice_Level1"</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w:t>
      </w:r>
      <w:r>
        <w:rPr>
          <w:rFonts w:hint="eastAsia" w:ascii="宋体" w:hAnsi="宋体" w:cs="宋体"/>
          <w:color w:val="auto"/>
          <w:sz w:val="28"/>
          <w:szCs w:val="28"/>
          <w:highlight w:val="none"/>
          <w:lang w:val="en-US" w:eastAsia="zh-CN"/>
        </w:rPr>
        <w:t>十一</w:t>
      </w:r>
      <w:r>
        <w:rPr>
          <w:rFonts w:hint="eastAsia" w:ascii="宋体" w:hAnsi="宋体" w:cs="宋体"/>
          <w:color w:val="auto"/>
          <w:sz w:val="28"/>
          <w:szCs w:val="28"/>
          <w:highlight w:val="none"/>
        </w:rPr>
        <w:t>章  磋商响应文件格式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p>
    <w:p w14:paraId="42761A26">
      <w:pPr>
        <w:spacing w:line="360" w:lineRule="auto"/>
        <w:rPr>
          <w:color w:val="auto"/>
          <w:highlight w:val="none"/>
        </w:rPr>
      </w:pPr>
      <w:r>
        <w:rPr>
          <w:rFonts w:hint="eastAsia" w:ascii="宋体" w:hAnsi="宋体" w:cs="宋体"/>
          <w:color w:val="auto"/>
          <w:sz w:val="28"/>
          <w:szCs w:val="28"/>
          <w:highlight w:val="none"/>
        </w:rPr>
        <w:tab/>
      </w:r>
      <w:r>
        <w:rPr>
          <w:rFonts w:hint="eastAsia" w:ascii="宋体" w:hAnsi="宋体" w:cs="宋体"/>
          <w:color w:val="auto"/>
          <w:sz w:val="28"/>
          <w:szCs w:val="28"/>
          <w:highlight w:val="none"/>
        </w:rPr>
        <w:tab/>
      </w:r>
    </w:p>
    <w:p w14:paraId="042028EC">
      <w:pPr>
        <w:pStyle w:val="3"/>
        <w:rPr>
          <w:rFonts w:hint="eastAsia"/>
        </w:rPr>
      </w:pPr>
    </w:p>
    <w:p w14:paraId="630DB6D2">
      <w:pPr>
        <w:rPr>
          <w:rFonts w:hint="eastAsia"/>
        </w:rPr>
      </w:pPr>
    </w:p>
    <w:p w14:paraId="6CB97A12">
      <w:pPr>
        <w:rPr>
          <w:rFonts w:hint="eastAsia"/>
        </w:rPr>
      </w:pPr>
    </w:p>
    <w:p w14:paraId="46BD421D">
      <w:pPr>
        <w:rPr>
          <w:rFonts w:hint="eastAsia"/>
        </w:rPr>
      </w:pPr>
    </w:p>
    <w:p w14:paraId="21266FB3">
      <w:pPr>
        <w:rPr>
          <w:rFonts w:hint="eastAsia"/>
        </w:rPr>
      </w:pPr>
    </w:p>
    <w:p w14:paraId="55138F23">
      <w:pPr>
        <w:rPr>
          <w:rFonts w:hint="eastAsia"/>
        </w:rPr>
      </w:pPr>
    </w:p>
    <w:p w14:paraId="0801B4E1">
      <w:pPr>
        <w:rPr>
          <w:rFonts w:hint="eastAsia"/>
        </w:rPr>
      </w:pPr>
    </w:p>
    <w:p w14:paraId="5F4A7046">
      <w:pPr>
        <w:rPr>
          <w:rFonts w:hint="eastAsia"/>
        </w:rPr>
      </w:pPr>
    </w:p>
    <w:p w14:paraId="60DA4641">
      <w:pPr>
        <w:rPr>
          <w:rFonts w:hint="eastAsia"/>
        </w:rPr>
      </w:pPr>
    </w:p>
    <w:p w14:paraId="5F2B9F21">
      <w:pPr>
        <w:rPr>
          <w:rFonts w:hint="eastAsia"/>
        </w:rPr>
      </w:pPr>
    </w:p>
    <w:p w14:paraId="6710F3B4">
      <w:pPr>
        <w:rPr>
          <w:rFonts w:hint="eastAsia"/>
        </w:rPr>
      </w:pPr>
    </w:p>
    <w:p w14:paraId="5D6119A8">
      <w:pPr>
        <w:rPr>
          <w:rFonts w:hint="eastAsia"/>
        </w:rPr>
      </w:pPr>
    </w:p>
    <w:p w14:paraId="11C26960">
      <w:pPr>
        <w:rPr>
          <w:rFonts w:hint="eastAsia"/>
        </w:rPr>
      </w:pPr>
    </w:p>
    <w:p w14:paraId="62005012">
      <w:pPr>
        <w:rPr>
          <w:rFonts w:hint="eastAsia"/>
        </w:rPr>
      </w:pPr>
    </w:p>
    <w:p w14:paraId="45DD1BB8">
      <w:pPr>
        <w:rPr>
          <w:rFonts w:hint="eastAsia"/>
        </w:rPr>
      </w:pPr>
    </w:p>
    <w:p w14:paraId="6D566F0E">
      <w:pPr>
        <w:rPr>
          <w:rFonts w:hint="eastAsia"/>
        </w:rPr>
      </w:pPr>
    </w:p>
    <w:p w14:paraId="0B439D84">
      <w:pPr>
        <w:rPr>
          <w:rFonts w:hint="eastAsia"/>
        </w:rPr>
      </w:pPr>
    </w:p>
    <w:p w14:paraId="7FB2B787">
      <w:pPr>
        <w:pStyle w:val="2"/>
        <w:keepNext w:val="0"/>
        <w:widowControl/>
        <w:spacing w:line="450" w:lineRule="atLeast"/>
        <w:jc w:val="center"/>
        <w:rPr>
          <w:rFonts w:hint="default" w:asciiTheme="minorEastAsia" w:hAnsiTheme="minorEastAsia" w:eastAsiaTheme="minorEastAsia" w:cstheme="minorEastAsia"/>
          <w:sz w:val="36"/>
          <w:szCs w:val="36"/>
          <w:highlight w:val="none"/>
          <w:lang w:val="en-US" w:eastAsia="zh-CN"/>
        </w:rPr>
      </w:pPr>
      <w:r>
        <w:rPr>
          <w:rFonts w:hint="eastAsia" w:asciiTheme="minorEastAsia" w:hAnsiTheme="minorEastAsia" w:eastAsiaTheme="minorEastAsia" w:cstheme="minorEastAsia"/>
          <w:sz w:val="36"/>
          <w:szCs w:val="36"/>
          <w:highlight w:val="none"/>
          <w:lang w:val="en-US" w:eastAsia="zh-CN"/>
        </w:rPr>
        <w:t>第一章 竞争性磋商公告</w:t>
      </w:r>
    </w:p>
    <w:p w14:paraId="51D85BFE">
      <w:pPr>
        <w:pStyle w:val="2"/>
        <w:keepNext w:val="0"/>
        <w:widowControl/>
        <w:spacing w:line="450" w:lineRule="atLeast"/>
        <w:jc w:val="center"/>
        <w:rPr>
          <w:rFonts w:hint="eastAsia" w:asciiTheme="minorEastAsia" w:hAnsiTheme="minorEastAsia" w:eastAsiaTheme="minorEastAsia" w:cstheme="minorEastAsia"/>
          <w:sz w:val="26"/>
          <w:szCs w:val="26"/>
          <w:highlight w:val="none"/>
          <w:lang w:val="zh-CN"/>
        </w:rPr>
      </w:pPr>
    </w:p>
    <w:p w14:paraId="00FE6A46">
      <w:pPr>
        <w:pStyle w:val="2"/>
        <w:keepNext w:val="0"/>
        <w:widowControl/>
        <w:spacing w:line="450" w:lineRule="atLeast"/>
        <w:jc w:val="center"/>
        <w:rPr>
          <w:rFonts w:hint="eastAsia" w:asciiTheme="minorEastAsia" w:hAnsiTheme="minorEastAsia" w:eastAsiaTheme="minorEastAsia" w:cstheme="minorEastAsia"/>
          <w:sz w:val="26"/>
          <w:szCs w:val="26"/>
          <w:highlight w:val="none"/>
          <w:lang w:val="en-US"/>
        </w:rPr>
      </w:pPr>
      <w:r>
        <w:rPr>
          <w:rFonts w:hint="eastAsia" w:asciiTheme="minorEastAsia" w:hAnsiTheme="minorEastAsia" w:eastAsiaTheme="minorEastAsia" w:cstheme="minorEastAsia"/>
          <w:sz w:val="26"/>
          <w:szCs w:val="26"/>
          <w:highlight w:val="none"/>
          <w:lang w:val="zh-CN"/>
        </w:rPr>
        <w:t>新疆介石项目管理有限公司</w:t>
      </w:r>
      <w:r>
        <w:rPr>
          <w:rFonts w:hint="eastAsia" w:asciiTheme="minorEastAsia" w:hAnsiTheme="minorEastAsia" w:eastAsiaTheme="minorEastAsia" w:cstheme="minorEastAsia"/>
          <w:sz w:val="26"/>
          <w:szCs w:val="26"/>
          <w:highlight w:val="none"/>
        </w:rPr>
        <w:t>关于</w:t>
      </w:r>
      <w:r>
        <w:rPr>
          <w:rFonts w:hint="eastAsia" w:asciiTheme="minorEastAsia" w:hAnsiTheme="minorEastAsia" w:eastAsiaTheme="minorEastAsia" w:cstheme="minorEastAsia"/>
          <w:color w:val="auto"/>
          <w:sz w:val="26"/>
          <w:szCs w:val="26"/>
          <w:highlight w:val="none"/>
          <w:lang w:val="en-US" w:eastAsia="zh-CN"/>
        </w:rPr>
        <w:t>轮台县X237线塔尔拉克乡政府段改建项目</w:t>
      </w:r>
    </w:p>
    <w:p w14:paraId="6478748E">
      <w:pPr>
        <w:pStyle w:val="2"/>
        <w:keepNext w:val="0"/>
        <w:widowControl/>
        <w:spacing w:line="450" w:lineRule="atLeast"/>
        <w:jc w:val="center"/>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26"/>
          <w:szCs w:val="26"/>
          <w:highlight w:val="none"/>
        </w:rPr>
        <w:t>竞争性磋商公告</w:t>
      </w:r>
    </w:p>
    <w:p w14:paraId="1288BE46">
      <w:pPr>
        <w:pStyle w:val="2"/>
        <w:keepNext w:val="0"/>
        <w:widowControl/>
        <w:spacing w:line="450" w:lineRule="atLeast"/>
        <w:rPr>
          <w:rFonts w:hint="eastAsia" w:asciiTheme="minorEastAsia" w:hAnsiTheme="minorEastAsia" w:eastAsiaTheme="minorEastAsia" w:cstheme="minorEastAsia"/>
          <w:sz w:val="27"/>
          <w:szCs w:val="27"/>
          <w:highlight w:val="none"/>
        </w:rPr>
      </w:pPr>
      <w:r>
        <w:rPr>
          <w:rFonts w:hint="eastAsia" w:asciiTheme="minorEastAsia" w:hAnsiTheme="minorEastAsia" w:eastAsiaTheme="minorEastAsia" w:cstheme="minorEastAsia"/>
          <w:sz w:val="27"/>
          <w:highlight w:val="none"/>
        </w:rPr>
        <mc:AlternateContent>
          <mc:Choice Requires="wps">
            <w:drawing>
              <wp:anchor distT="0" distB="0" distL="114300" distR="114300" simplePos="0" relativeHeight="251660288" behindDoc="0" locked="0" layoutInCell="1" allowOverlap="1">
                <wp:simplePos x="0" y="0"/>
                <wp:positionH relativeFrom="column">
                  <wp:posOffset>339725</wp:posOffset>
                </wp:positionH>
                <wp:positionV relativeFrom="paragraph">
                  <wp:posOffset>158115</wp:posOffset>
                </wp:positionV>
                <wp:extent cx="5629275" cy="1609725"/>
                <wp:effectExtent l="7620" t="7620" r="20955" b="20955"/>
                <wp:wrapNone/>
                <wp:docPr id="20" name="矩形 20"/>
                <wp:cNvGraphicFramePr/>
                <a:graphic xmlns:a="http://schemas.openxmlformats.org/drawingml/2006/main">
                  <a:graphicData uri="http://schemas.microsoft.com/office/word/2010/wordprocessingShape">
                    <wps:wsp>
                      <wps:cNvSpPr/>
                      <wps:spPr>
                        <a:xfrm>
                          <a:off x="0" y="0"/>
                          <a:ext cx="5629275" cy="160972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14:paraId="42C86752">
                            <w:pPr>
                              <w:pStyle w:val="2"/>
                              <w:keepNext w:val="0"/>
                              <w:widowControl/>
                              <w:spacing w:line="450" w:lineRule="atLeast"/>
                              <w:ind w:left="-420" w:leftChars="-200" w:firstLine="0" w:firstLineChars="0"/>
                              <w:rPr>
                                <w:rFonts w:hint="eastAsia" w:eastAsia="宋体"/>
                                <w:sz w:val="27"/>
                                <w:szCs w:val="27"/>
                                <w:lang w:eastAsia="zh-CN"/>
                              </w:rPr>
                            </w:pPr>
                            <w:r>
                              <w:rPr>
                                <w:rFonts w:hint="eastAsia"/>
                                <w:sz w:val="27"/>
                                <w:szCs w:val="27"/>
                              </w:rPr>
                              <w:t>项</w:t>
                            </w:r>
                            <w:r>
                              <w:rPr>
                                <w:rFonts w:hint="eastAsia"/>
                                <w:sz w:val="27"/>
                                <w:szCs w:val="27"/>
                                <w:lang w:val="en-US" w:eastAsia="zh-CN"/>
                              </w:rPr>
                              <w:t>项目</w:t>
                            </w:r>
                            <w:r>
                              <w:rPr>
                                <w:rFonts w:hint="eastAsia"/>
                                <w:sz w:val="27"/>
                                <w:szCs w:val="27"/>
                              </w:rPr>
                              <w:t>概况</w:t>
                            </w:r>
                            <w:r>
                              <w:rPr>
                                <w:rFonts w:hint="eastAsia"/>
                                <w:sz w:val="27"/>
                                <w:szCs w:val="27"/>
                                <w:lang w:eastAsia="zh-CN"/>
                              </w:rPr>
                              <w:t>：</w:t>
                            </w:r>
                          </w:p>
                          <w:p w14:paraId="374853CF"/>
                          <w:p w14:paraId="7DA50156">
                            <w:pPr>
                              <w:ind w:firstLine="54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 w:val="27"/>
                                <w:szCs w:val="27"/>
                                <w:highlight w:val="none"/>
                                <w:lang w:val="en-US" w:eastAsia="zh-CN"/>
                              </w:rPr>
                              <w:t>轮台县X237线塔尔拉克乡政府段改建项目</w:t>
                            </w:r>
                            <w:r>
                              <w:rPr>
                                <w:rFonts w:hint="eastAsia" w:asciiTheme="minorEastAsia" w:hAnsiTheme="minorEastAsia" w:eastAsiaTheme="minorEastAsia" w:cstheme="minorEastAsia"/>
                                <w:color w:val="000000"/>
                                <w:sz w:val="27"/>
                                <w:szCs w:val="27"/>
                                <w:highlight w:val="none"/>
                              </w:rPr>
                              <w:t>的潜在供应商应登陆政采云平台在线申请获取采购文件（进入“项目采购”应用，在获取采购文件菜单中选择项目，申请获取采购文件），并</w:t>
                            </w:r>
                            <w:r>
                              <w:rPr>
                                <w:rFonts w:hint="eastAsia" w:asciiTheme="minorEastAsia" w:hAnsiTheme="minorEastAsia" w:eastAsiaTheme="minorEastAsia" w:cstheme="minorEastAsia"/>
                                <w:color w:val="auto"/>
                                <w:sz w:val="27"/>
                                <w:szCs w:val="27"/>
                                <w:highlight w:val="none"/>
                              </w:rPr>
                              <w:t>于202</w:t>
                            </w:r>
                            <w:r>
                              <w:rPr>
                                <w:rFonts w:hint="eastAsia" w:asciiTheme="minorEastAsia" w:hAnsiTheme="minorEastAsia" w:eastAsiaTheme="minorEastAsia" w:cstheme="minorEastAsia"/>
                                <w:color w:val="auto"/>
                                <w:sz w:val="27"/>
                                <w:szCs w:val="27"/>
                                <w:highlight w:val="none"/>
                                <w:lang w:val="en-US" w:eastAsia="zh-CN"/>
                              </w:rPr>
                              <w:t>5</w:t>
                            </w:r>
                            <w:r>
                              <w:rPr>
                                <w:rFonts w:hint="eastAsia" w:asciiTheme="minorEastAsia" w:hAnsiTheme="minorEastAsia" w:eastAsiaTheme="minorEastAsia" w:cstheme="minorEastAsia"/>
                                <w:color w:val="auto"/>
                                <w:sz w:val="27"/>
                                <w:szCs w:val="27"/>
                                <w:highlight w:val="none"/>
                              </w:rPr>
                              <w:t>年</w:t>
                            </w:r>
                            <w:r>
                              <w:rPr>
                                <w:rFonts w:hint="eastAsia" w:asciiTheme="minorEastAsia" w:hAnsiTheme="minorEastAsia" w:eastAsiaTheme="minorEastAsia" w:cstheme="minorEastAsia"/>
                                <w:color w:val="auto"/>
                                <w:sz w:val="27"/>
                                <w:szCs w:val="27"/>
                                <w:highlight w:val="none"/>
                                <w:lang w:val="en-US" w:eastAsia="zh-CN"/>
                              </w:rPr>
                              <w:t>7月3</w:t>
                            </w:r>
                            <w:r>
                              <w:rPr>
                                <w:rFonts w:hint="eastAsia" w:asciiTheme="minorEastAsia" w:hAnsiTheme="minorEastAsia" w:eastAsiaTheme="minorEastAsia" w:cstheme="minorEastAsia"/>
                                <w:color w:val="auto"/>
                                <w:sz w:val="27"/>
                                <w:szCs w:val="27"/>
                                <w:highlight w:val="none"/>
                              </w:rPr>
                              <w:t>日1</w:t>
                            </w:r>
                            <w:r>
                              <w:rPr>
                                <w:rFonts w:hint="eastAsia" w:asciiTheme="minorEastAsia" w:hAnsiTheme="minorEastAsia" w:eastAsiaTheme="minorEastAsia" w:cstheme="minorEastAsia"/>
                                <w:color w:val="auto"/>
                                <w:sz w:val="27"/>
                                <w:szCs w:val="27"/>
                                <w:highlight w:val="none"/>
                                <w:lang w:val="en-US" w:eastAsia="zh-CN"/>
                              </w:rPr>
                              <w:t>0：3</w:t>
                            </w:r>
                            <w:r>
                              <w:rPr>
                                <w:rFonts w:hint="eastAsia" w:asciiTheme="minorEastAsia" w:hAnsiTheme="minorEastAsia" w:eastAsiaTheme="minorEastAsia" w:cstheme="minorEastAsia"/>
                                <w:color w:val="auto"/>
                                <w:sz w:val="27"/>
                                <w:szCs w:val="27"/>
                                <w:highlight w:val="none"/>
                              </w:rPr>
                              <w:t>0（</w:t>
                            </w:r>
                            <w:r>
                              <w:rPr>
                                <w:rFonts w:hint="eastAsia" w:asciiTheme="minorEastAsia" w:hAnsiTheme="minorEastAsia" w:eastAsiaTheme="minorEastAsia" w:cstheme="minorEastAsia"/>
                                <w:color w:val="000000"/>
                                <w:sz w:val="27"/>
                                <w:szCs w:val="27"/>
                                <w:highlight w:val="none"/>
                              </w:rPr>
                              <w:t>北京时间）前提交响应文件。</w:t>
                            </w:r>
                          </w:p>
                        </w:txbxContent>
                      </wps:txbx>
                      <wps:bodyPr upright="1"/>
                    </wps:wsp>
                  </a:graphicData>
                </a:graphic>
              </wp:anchor>
            </w:drawing>
          </mc:Choice>
          <mc:Fallback>
            <w:pict>
              <v:rect id="_x0000_s1026" o:spid="_x0000_s1026" o:spt="1" style="position:absolute;left:0pt;margin-left:26.75pt;margin-top:12.45pt;height:126.75pt;width:443.25pt;z-index:251660288;mso-width-relative:page;mso-height-relative:page;" fillcolor="#FFFFFF" filled="t" stroked="t" coordsize="21600,21600" o:gfxdata="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sgOfNgAAAAJAQAADwAAAAAAAAABACAAAAAi&#10;AAAAZHJzL2Rvd25yZXYueG1sUEsBAhQAFAAAAAgAh07iQGN4qJRDAgAAwgQAAA4AAAAAAAAAAQAg&#10;AAAAJwEAAGRycy9lMm9Eb2MueG1sUEsFBgAAAAAGAAYAWQEAANwFAAAAAA==&#10;">
                <v:fill type="gradient" on="t" color2="#FFFFFF" angle="90" focus="100%" focussize="0,0">
                  <o:fill type="gradientUnscaled" v:ext="backwardCompatible"/>
                </v:fill>
                <v:stroke weight="1.25pt" color="#000000" joinstyle="miter"/>
                <v:imagedata o:title=""/>
                <o:lock v:ext="edit" aspectratio="f"/>
                <v:textbox>
                  <w:txbxContent>
                    <w:p w14:paraId="42C86752">
                      <w:pPr>
                        <w:pStyle w:val="2"/>
                        <w:keepNext w:val="0"/>
                        <w:widowControl/>
                        <w:spacing w:line="450" w:lineRule="atLeast"/>
                        <w:ind w:left="-420" w:leftChars="-200" w:firstLine="0" w:firstLineChars="0"/>
                        <w:rPr>
                          <w:rFonts w:hint="eastAsia" w:eastAsia="宋体"/>
                          <w:sz w:val="27"/>
                          <w:szCs w:val="27"/>
                          <w:lang w:eastAsia="zh-CN"/>
                        </w:rPr>
                      </w:pPr>
                      <w:r>
                        <w:rPr>
                          <w:rFonts w:hint="eastAsia"/>
                          <w:sz w:val="27"/>
                          <w:szCs w:val="27"/>
                        </w:rPr>
                        <w:t>项</w:t>
                      </w:r>
                      <w:r>
                        <w:rPr>
                          <w:rFonts w:hint="eastAsia"/>
                          <w:sz w:val="27"/>
                          <w:szCs w:val="27"/>
                          <w:lang w:val="en-US" w:eastAsia="zh-CN"/>
                        </w:rPr>
                        <w:t>项目</w:t>
                      </w:r>
                      <w:r>
                        <w:rPr>
                          <w:rFonts w:hint="eastAsia"/>
                          <w:sz w:val="27"/>
                          <w:szCs w:val="27"/>
                        </w:rPr>
                        <w:t>概况</w:t>
                      </w:r>
                      <w:r>
                        <w:rPr>
                          <w:rFonts w:hint="eastAsia"/>
                          <w:sz w:val="27"/>
                          <w:szCs w:val="27"/>
                          <w:lang w:eastAsia="zh-CN"/>
                        </w:rPr>
                        <w:t>：</w:t>
                      </w:r>
                    </w:p>
                    <w:p w14:paraId="374853CF"/>
                    <w:p w14:paraId="7DA50156">
                      <w:pPr>
                        <w:ind w:firstLine="54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 w:val="27"/>
                          <w:szCs w:val="27"/>
                          <w:highlight w:val="none"/>
                          <w:lang w:val="en-US" w:eastAsia="zh-CN"/>
                        </w:rPr>
                        <w:t>轮台县X237线塔尔拉克乡政府段改建项目</w:t>
                      </w:r>
                      <w:r>
                        <w:rPr>
                          <w:rFonts w:hint="eastAsia" w:asciiTheme="minorEastAsia" w:hAnsiTheme="minorEastAsia" w:eastAsiaTheme="minorEastAsia" w:cstheme="minorEastAsia"/>
                          <w:color w:val="000000"/>
                          <w:sz w:val="27"/>
                          <w:szCs w:val="27"/>
                          <w:highlight w:val="none"/>
                        </w:rPr>
                        <w:t>的潜在供应商应登陆政采云平台在线申请获取采购文件（进入“项目采购”应用，在获取采购文件菜单中选择项目，申请获取采购文件），并</w:t>
                      </w:r>
                      <w:r>
                        <w:rPr>
                          <w:rFonts w:hint="eastAsia" w:asciiTheme="minorEastAsia" w:hAnsiTheme="minorEastAsia" w:eastAsiaTheme="minorEastAsia" w:cstheme="minorEastAsia"/>
                          <w:color w:val="auto"/>
                          <w:sz w:val="27"/>
                          <w:szCs w:val="27"/>
                          <w:highlight w:val="none"/>
                        </w:rPr>
                        <w:t>于202</w:t>
                      </w:r>
                      <w:r>
                        <w:rPr>
                          <w:rFonts w:hint="eastAsia" w:asciiTheme="minorEastAsia" w:hAnsiTheme="minorEastAsia" w:eastAsiaTheme="minorEastAsia" w:cstheme="minorEastAsia"/>
                          <w:color w:val="auto"/>
                          <w:sz w:val="27"/>
                          <w:szCs w:val="27"/>
                          <w:highlight w:val="none"/>
                          <w:lang w:val="en-US" w:eastAsia="zh-CN"/>
                        </w:rPr>
                        <w:t>5</w:t>
                      </w:r>
                      <w:r>
                        <w:rPr>
                          <w:rFonts w:hint="eastAsia" w:asciiTheme="minorEastAsia" w:hAnsiTheme="minorEastAsia" w:eastAsiaTheme="minorEastAsia" w:cstheme="minorEastAsia"/>
                          <w:color w:val="auto"/>
                          <w:sz w:val="27"/>
                          <w:szCs w:val="27"/>
                          <w:highlight w:val="none"/>
                        </w:rPr>
                        <w:t>年</w:t>
                      </w:r>
                      <w:r>
                        <w:rPr>
                          <w:rFonts w:hint="eastAsia" w:asciiTheme="minorEastAsia" w:hAnsiTheme="minorEastAsia" w:eastAsiaTheme="minorEastAsia" w:cstheme="minorEastAsia"/>
                          <w:color w:val="auto"/>
                          <w:sz w:val="27"/>
                          <w:szCs w:val="27"/>
                          <w:highlight w:val="none"/>
                          <w:lang w:val="en-US" w:eastAsia="zh-CN"/>
                        </w:rPr>
                        <w:t>7月3</w:t>
                      </w:r>
                      <w:r>
                        <w:rPr>
                          <w:rFonts w:hint="eastAsia" w:asciiTheme="minorEastAsia" w:hAnsiTheme="minorEastAsia" w:eastAsiaTheme="minorEastAsia" w:cstheme="minorEastAsia"/>
                          <w:color w:val="auto"/>
                          <w:sz w:val="27"/>
                          <w:szCs w:val="27"/>
                          <w:highlight w:val="none"/>
                        </w:rPr>
                        <w:t>日1</w:t>
                      </w:r>
                      <w:r>
                        <w:rPr>
                          <w:rFonts w:hint="eastAsia" w:asciiTheme="minorEastAsia" w:hAnsiTheme="minorEastAsia" w:eastAsiaTheme="minorEastAsia" w:cstheme="minorEastAsia"/>
                          <w:color w:val="auto"/>
                          <w:sz w:val="27"/>
                          <w:szCs w:val="27"/>
                          <w:highlight w:val="none"/>
                          <w:lang w:val="en-US" w:eastAsia="zh-CN"/>
                        </w:rPr>
                        <w:t>0：3</w:t>
                      </w:r>
                      <w:r>
                        <w:rPr>
                          <w:rFonts w:hint="eastAsia" w:asciiTheme="minorEastAsia" w:hAnsiTheme="minorEastAsia" w:eastAsiaTheme="minorEastAsia" w:cstheme="minorEastAsia"/>
                          <w:color w:val="auto"/>
                          <w:sz w:val="27"/>
                          <w:szCs w:val="27"/>
                          <w:highlight w:val="none"/>
                        </w:rPr>
                        <w:t>0（</w:t>
                      </w:r>
                      <w:r>
                        <w:rPr>
                          <w:rFonts w:hint="eastAsia" w:asciiTheme="minorEastAsia" w:hAnsiTheme="minorEastAsia" w:eastAsiaTheme="minorEastAsia" w:cstheme="minorEastAsia"/>
                          <w:color w:val="000000"/>
                          <w:sz w:val="27"/>
                          <w:szCs w:val="27"/>
                          <w:highlight w:val="none"/>
                        </w:rPr>
                        <w:t>北京时间）前提交响应文件。</w:t>
                      </w:r>
                    </w:p>
                  </w:txbxContent>
                </v:textbox>
              </v:rect>
            </w:pict>
          </mc:Fallback>
        </mc:AlternateContent>
      </w:r>
    </w:p>
    <w:p w14:paraId="5995923B">
      <w:pPr>
        <w:pStyle w:val="2"/>
        <w:keepNext w:val="0"/>
        <w:widowControl/>
        <w:spacing w:line="450" w:lineRule="atLeast"/>
        <w:rPr>
          <w:rFonts w:hint="eastAsia" w:asciiTheme="minorEastAsia" w:hAnsiTheme="minorEastAsia" w:eastAsiaTheme="minorEastAsia" w:cstheme="minorEastAsia"/>
          <w:sz w:val="27"/>
          <w:szCs w:val="27"/>
          <w:highlight w:val="none"/>
        </w:rPr>
      </w:pPr>
    </w:p>
    <w:p w14:paraId="362730E6">
      <w:pPr>
        <w:pStyle w:val="2"/>
        <w:keepNext w:val="0"/>
        <w:widowControl/>
        <w:spacing w:line="450" w:lineRule="atLeast"/>
        <w:rPr>
          <w:rFonts w:hint="eastAsia" w:asciiTheme="minorEastAsia" w:hAnsiTheme="minorEastAsia" w:eastAsiaTheme="minorEastAsia" w:cstheme="minorEastAsia"/>
          <w:sz w:val="27"/>
          <w:szCs w:val="27"/>
          <w:highlight w:val="none"/>
        </w:rPr>
      </w:pPr>
    </w:p>
    <w:p w14:paraId="1D48CA10">
      <w:pPr>
        <w:pStyle w:val="2"/>
        <w:keepNext w:val="0"/>
        <w:widowControl/>
        <w:spacing w:line="450" w:lineRule="atLeast"/>
        <w:rPr>
          <w:rFonts w:hint="eastAsia" w:asciiTheme="minorEastAsia" w:hAnsiTheme="minorEastAsia" w:eastAsiaTheme="minorEastAsia" w:cstheme="minorEastAsia"/>
          <w:sz w:val="27"/>
          <w:szCs w:val="27"/>
          <w:highlight w:val="none"/>
        </w:rPr>
      </w:pPr>
    </w:p>
    <w:p w14:paraId="213CD2B9">
      <w:pPr>
        <w:pStyle w:val="2"/>
        <w:keepNext w:val="0"/>
        <w:widowControl/>
        <w:spacing w:line="450" w:lineRule="atLeast"/>
        <w:rPr>
          <w:rFonts w:hint="eastAsia" w:asciiTheme="minorEastAsia" w:hAnsiTheme="minorEastAsia" w:eastAsiaTheme="minorEastAsia" w:cstheme="minorEastAsia"/>
          <w:sz w:val="27"/>
          <w:szCs w:val="27"/>
          <w:highlight w:val="none"/>
        </w:rPr>
      </w:pPr>
    </w:p>
    <w:p w14:paraId="39D0F607">
      <w:pPr>
        <w:spacing w:line="360" w:lineRule="auto"/>
        <w:rPr>
          <w:rStyle w:val="33"/>
          <w:rFonts w:hint="eastAsia" w:asciiTheme="minorEastAsia" w:hAnsiTheme="minorEastAsia" w:eastAsiaTheme="minorEastAsia" w:cstheme="minorEastAsia"/>
          <w:kern w:val="0"/>
          <w:sz w:val="27"/>
          <w:szCs w:val="27"/>
          <w:highlight w:val="none"/>
          <w:lang w:val="en-US" w:eastAsia="zh-CN" w:bidi="ar-SA"/>
        </w:rPr>
      </w:pPr>
    </w:p>
    <w:p w14:paraId="51E6008A">
      <w:pPr>
        <w:spacing w:line="360" w:lineRule="auto"/>
        <w:ind w:firstLine="542" w:firstLineChars="200"/>
        <w:rPr>
          <w:rStyle w:val="33"/>
          <w:rFonts w:hint="eastAsia" w:asciiTheme="minorEastAsia" w:hAnsiTheme="minorEastAsia" w:eastAsiaTheme="minorEastAsia" w:cstheme="minorEastAsia"/>
          <w:kern w:val="0"/>
          <w:sz w:val="27"/>
          <w:szCs w:val="27"/>
          <w:highlight w:val="none"/>
          <w:lang w:val="en-US" w:eastAsia="zh-CN" w:bidi="ar-SA"/>
        </w:rPr>
      </w:pPr>
      <w:r>
        <w:rPr>
          <w:rStyle w:val="33"/>
          <w:rFonts w:hint="eastAsia" w:asciiTheme="minorEastAsia" w:hAnsiTheme="minorEastAsia" w:eastAsiaTheme="minorEastAsia" w:cstheme="minorEastAsia"/>
          <w:kern w:val="0"/>
          <w:sz w:val="27"/>
          <w:szCs w:val="27"/>
          <w:highlight w:val="none"/>
          <w:lang w:val="en-US" w:eastAsia="zh-CN" w:bidi="ar-SA"/>
        </w:rPr>
        <w:t>一、项目基本情况</w:t>
      </w:r>
    </w:p>
    <w:p w14:paraId="5DCA8BA5">
      <w:pPr>
        <w:spacing w:line="360" w:lineRule="auto"/>
        <w:ind w:firstLine="720" w:firstLineChars="300"/>
        <w:rPr>
          <w:rFonts w:hint="eastAsia" w:asciiTheme="minorEastAsia" w:hAnsiTheme="minorEastAsia" w:eastAsiaTheme="minorEastAsia" w:cstheme="minorEastAsia"/>
          <w:color w:val="FF0000"/>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项目名称：</w:t>
      </w:r>
      <w:r>
        <w:rPr>
          <w:rFonts w:hint="eastAsia" w:asciiTheme="minorEastAsia" w:hAnsiTheme="minorEastAsia" w:eastAsiaTheme="minorEastAsia" w:cstheme="minorEastAsia"/>
          <w:color w:val="auto"/>
          <w:sz w:val="24"/>
          <w:szCs w:val="24"/>
          <w:highlight w:val="none"/>
          <w:lang w:val="en-US" w:eastAsia="zh-CN"/>
        </w:rPr>
        <w:t>轮台县X237线塔尔拉克乡政府段改建项目</w:t>
      </w:r>
    </w:p>
    <w:p w14:paraId="1B5174C2">
      <w:pPr>
        <w:spacing w:line="360" w:lineRule="auto"/>
        <w:ind w:firstLine="720" w:firstLineChars="30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项目编号：XJJSZC（JZXCS）2025-015</w:t>
      </w:r>
    </w:p>
    <w:p w14:paraId="7C25CED2">
      <w:pPr>
        <w:spacing w:line="360" w:lineRule="auto"/>
        <w:ind w:firstLine="720" w:firstLineChars="3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采购方式：竞争性磋商</w:t>
      </w:r>
    </w:p>
    <w:p w14:paraId="70901EED">
      <w:pPr>
        <w:spacing w:line="360" w:lineRule="auto"/>
        <w:ind w:firstLine="720" w:firstLineChars="3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预算金额（元）：1433700.00元</w:t>
      </w:r>
    </w:p>
    <w:p w14:paraId="4D37E959">
      <w:pPr>
        <w:spacing w:line="360" w:lineRule="auto"/>
        <w:ind w:firstLine="720" w:firstLineChars="3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最高限价（元）：1431673.42元</w:t>
      </w:r>
    </w:p>
    <w:p w14:paraId="656DEAD5">
      <w:pPr>
        <w:spacing w:line="360" w:lineRule="auto"/>
        <w:ind w:firstLine="720" w:firstLineChars="300"/>
        <w:rPr>
          <w:rFonts w:hint="default" w:asciiTheme="minorEastAsia" w:hAnsiTheme="minorEastAsia" w:eastAsiaTheme="minorEastAsia" w:cstheme="minorEastAsia"/>
          <w:sz w:val="24"/>
          <w:szCs w:val="24"/>
          <w:highlight w:val="yellow"/>
          <w:lang w:val="en-US" w:eastAsia="zh-CN"/>
        </w:rPr>
      </w:pPr>
      <w:r>
        <w:rPr>
          <w:rFonts w:hint="eastAsia" w:asciiTheme="minorEastAsia" w:hAnsiTheme="minorEastAsia" w:eastAsiaTheme="minorEastAsia" w:cstheme="minorEastAsia"/>
          <w:sz w:val="24"/>
          <w:szCs w:val="24"/>
          <w:highlight w:val="none"/>
          <w:lang w:val="en-US" w:eastAsia="zh-CN"/>
        </w:rPr>
        <w:t>项目简要描述：</w:t>
      </w:r>
      <w:r>
        <w:rPr>
          <w:rFonts w:hint="default" w:asciiTheme="minorEastAsia" w:hAnsiTheme="minorEastAsia" w:eastAsiaTheme="minorEastAsia" w:cstheme="minorEastAsia"/>
          <w:sz w:val="24"/>
          <w:szCs w:val="24"/>
          <w:highlight w:val="none"/>
          <w:lang w:val="en-US" w:eastAsia="zh-CN"/>
        </w:rPr>
        <w:t>计划对X237线K16+077-K18+764段（塔尔拉克乡政府路段）实施改建，同时对该线路铁路桥下方严重受损部分修复，建设里程共2.687公里，三级公路标准，主要建设道路及附属设施。该项目主要为道路改建，均利用既有用地，不涉及突破原有征地边界</w:t>
      </w:r>
      <w:r>
        <w:rPr>
          <w:rFonts w:hint="eastAsia" w:asciiTheme="minorEastAsia" w:hAnsiTheme="minorEastAsia" w:eastAsiaTheme="minorEastAsia" w:cstheme="minorEastAsia"/>
          <w:sz w:val="24"/>
          <w:szCs w:val="24"/>
          <w:highlight w:val="none"/>
          <w:lang w:val="en-US" w:eastAsia="zh-CN"/>
        </w:rPr>
        <w:t>。</w:t>
      </w:r>
    </w:p>
    <w:p w14:paraId="2F4D952D">
      <w:pPr>
        <w:spacing w:line="360" w:lineRule="auto"/>
        <w:ind w:firstLine="720" w:firstLineChars="3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工期：</w:t>
      </w:r>
      <w:r>
        <w:rPr>
          <w:rFonts w:hint="eastAsia" w:asciiTheme="minorEastAsia" w:hAnsiTheme="minorEastAsia" w:eastAsiaTheme="minorEastAsia" w:cstheme="minorEastAsia"/>
          <w:color w:val="auto"/>
          <w:sz w:val="24"/>
          <w:szCs w:val="24"/>
          <w:highlight w:val="none"/>
          <w:u w:val="single"/>
          <w:lang w:val="en-US" w:eastAsia="zh-CN"/>
        </w:rPr>
        <w:t xml:space="preserve"> 70 </w:t>
      </w:r>
      <w:r>
        <w:rPr>
          <w:rFonts w:hint="eastAsia" w:asciiTheme="minorEastAsia" w:hAnsiTheme="minorEastAsia" w:eastAsiaTheme="minorEastAsia" w:cstheme="minorEastAsia"/>
          <w:color w:val="auto"/>
          <w:sz w:val="24"/>
          <w:szCs w:val="24"/>
          <w:highlight w:val="none"/>
          <w:lang w:val="en-US" w:eastAsia="zh-CN"/>
        </w:rPr>
        <w:t>日历天，计划开工日期</w:t>
      </w:r>
      <w:r>
        <w:rPr>
          <w:rFonts w:hint="eastAsia" w:asciiTheme="minorEastAsia" w:hAnsiTheme="minorEastAsia" w:eastAsiaTheme="minorEastAsia" w:cstheme="minorEastAsia"/>
          <w:color w:val="auto"/>
          <w:sz w:val="24"/>
          <w:szCs w:val="24"/>
          <w:highlight w:val="none"/>
          <w:u w:val="single"/>
          <w:lang w:val="en-US" w:eastAsia="zh-CN"/>
        </w:rPr>
        <w:t xml:space="preserve"> 2025</w:t>
      </w:r>
      <w:r>
        <w:rPr>
          <w:rFonts w:hint="eastAsia" w:asciiTheme="minorEastAsia" w:hAnsiTheme="minorEastAsia" w:eastAsiaTheme="minorEastAsia" w:cstheme="minorEastAsia"/>
          <w:color w:val="auto"/>
          <w:sz w:val="24"/>
          <w:szCs w:val="24"/>
          <w:highlight w:val="none"/>
          <w:lang w:val="en-US" w:eastAsia="zh-CN"/>
        </w:rPr>
        <w:t>年</w:t>
      </w:r>
      <w:r>
        <w:rPr>
          <w:rFonts w:hint="eastAsia" w:asciiTheme="minorEastAsia" w:hAnsiTheme="minorEastAsia" w:eastAsiaTheme="minorEastAsia" w:cstheme="minorEastAsia"/>
          <w:color w:val="auto"/>
          <w:sz w:val="24"/>
          <w:szCs w:val="24"/>
          <w:highlight w:val="none"/>
          <w:u w:val="single"/>
          <w:lang w:val="en-US" w:eastAsia="zh-CN"/>
        </w:rPr>
        <w:t xml:space="preserve"> 7 </w:t>
      </w:r>
      <w:r>
        <w:rPr>
          <w:rFonts w:hint="eastAsia" w:asciiTheme="minorEastAsia" w:hAnsiTheme="minorEastAsia" w:eastAsiaTheme="minorEastAsia" w:cstheme="minorEastAsia"/>
          <w:color w:val="auto"/>
          <w:sz w:val="24"/>
          <w:szCs w:val="24"/>
          <w:highlight w:val="none"/>
          <w:lang w:val="en-US" w:eastAsia="zh-CN"/>
        </w:rPr>
        <w:t>月</w:t>
      </w:r>
      <w:r>
        <w:rPr>
          <w:rFonts w:hint="eastAsia" w:asciiTheme="minorEastAsia" w:hAnsiTheme="minorEastAsia" w:eastAsiaTheme="minorEastAsia" w:cstheme="minorEastAsia"/>
          <w:color w:val="auto"/>
          <w:sz w:val="24"/>
          <w:szCs w:val="24"/>
          <w:highlight w:val="none"/>
          <w:u w:val="single"/>
          <w:lang w:val="en-US" w:eastAsia="zh-CN"/>
        </w:rPr>
        <w:t xml:space="preserve"> 7 </w:t>
      </w:r>
      <w:r>
        <w:rPr>
          <w:rFonts w:hint="eastAsia" w:asciiTheme="minorEastAsia" w:hAnsiTheme="minorEastAsia" w:eastAsiaTheme="minorEastAsia" w:cstheme="minorEastAsia"/>
          <w:color w:val="auto"/>
          <w:sz w:val="24"/>
          <w:szCs w:val="24"/>
          <w:highlight w:val="none"/>
          <w:lang w:val="en-US" w:eastAsia="zh-CN"/>
        </w:rPr>
        <w:t>日，计划竣工日期</w:t>
      </w:r>
      <w:r>
        <w:rPr>
          <w:rFonts w:hint="eastAsia" w:asciiTheme="minorEastAsia" w:hAnsiTheme="minorEastAsia" w:eastAsiaTheme="minorEastAsia" w:cstheme="minorEastAsia"/>
          <w:color w:val="auto"/>
          <w:sz w:val="24"/>
          <w:szCs w:val="24"/>
          <w:highlight w:val="none"/>
          <w:u w:val="single"/>
          <w:lang w:val="en-US" w:eastAsia="zh-CN"/>
        </w:rPr>
        <w:t xml:space="preserve"> 2025 </w:t>
      </w:r>
      <w:r>
        <w:rPr>
          <w:rFonts w:hint="eastAsia" w:asciiTheme="minorEastAsia" w:hAnsiTheme="minorEastAsia" w:eastAsiaTheme="minorEastAsia" w:cstheme="minorEastAsia"/>
          <w:color w:val="auto"/>
          <w:sz w:val="24"/>
          <w:szCs w:val="24"/>
          <w:highlight w:val="none"/>
          <w:lang w:val="en-US" w:eastAsia="zh-CN"/>
        </w:rPr>
        <w:t>年</w:t>
      </w:r>
      <w:r>
        <w:rPr>
          <w:rFonts w:hint="eastAsia" w:asciiTheme="minorEastAsia" w:hAnsiTheme="minorEastAsia" w:eastAsiaTheme="minorEastAsia" w:cstheme="minorEastAsia"/>
          <w:color w:val="auto"/>
          <w:sz w:val="24"/>
          <w:szCs w:val="24"/>
          <w:highlight w:val="none"/>
          <w:u w:val="single"/>
          <w:lang w:val="en-US" w:eastAsia="zh-CN"/>
        </w:rPr>
        <w:t xml:space="preserve"> 9 </w:t>
      </w:r>
      <w:r>
        <w:rPr>
          <w:rFonts w:hint="eastAsia" w:asciiTheme="minorEastAsia" w:hAnsiTheme="minorEastAsia" w:eastAsiaTheme="minorEastAsia" w:cstheme="minorEastAsia"/>
          <w:color w:val="auto"/>
          <w:sz w:val="24"/>
          <w:szCs w:val="24"/>
          <w:highlight w:val="none"/>
          <w:lang w:val="en-US" w:eastAsia="zh-CN"/>
        </w:rPr>
        <w:t>月</w:t>
      </w:r>
      <w:r>
        <w:rPr>
          <w:rFonts w:hint="eastAsia" w:asciiTheme="minorEastAsia" w:hAnsiTheme="minorEastAsia" w:eastAsiaTheme="minorEastAsia" w:cstheme="minorEastAsia"/>
          <w:color w:val="auto"/>
          <w:sz w:val="24"/>
          <w:szCs w:val="24"/>
          <w:highlight w:val="none"/>
          <w:u w:val="single"/>
          <w:lang w:val="en-US" w:eastAsia="zh-CN"/>
        </w:rPr>
        <w:t xml:space="preserve"> 14 </w:t>
      </w:r>
      <w:r>
        <w:rPr>
          <w:rFonts w:hint="eastAsia" w:asciiTheme="minorEastAsia" w:hAnsiTheme="minorEastAsia" w:eastAsiaTheme="minorEastAsia" w:cstheme="minorEastAsia"/>
          <w:color w:val="auto"/>
          <w:sz w:val="24"/>
          <w:szCs w:val="24"/>
          <w:highlight w:val="none"/>
          <w:lang w:val="en-US" w:eastAsia="zh-CN"/>
        </w:rPr>
        <w:t>日；</w:t>
      </w:r>
    </w:p>
    <w:p w14:paraId="5CD0D8F6">
      <w:pPr>
        <w:spacing w:line="360" w:lineRule="auto"/>
        <w:ind w:firstLine="720" w:firstLineChars="30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建设地点：塔尔拉克乡</w:t>
      </w:r>
    </w:p>
    <w:p w14:paraId="2710199A">
      <w:pPr>
        <w:spacing w:line="360" w:lineRule="auto"/>
        <w:ind w:firstLine="720" w:firstLineChars="3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本项目（否）接受联合体投标。</w:t>
      </w:r>
    </w:p>
    <w:p w14:paraId="4B9F84BB">
      <w:pPr>
        <w:spacing w:line="360" w:lineRule="auto"/>
        <w:ind w:firstLine="542" w:firstLineChars="200"/>
        <w:rPr>
          <w:rStyle w:val="33"/>
          <w:rFonts w:hint="eastAsia" w:asciiTheme="minorEastAsia" w:hAnsiTheme="minorEastAsia" w:eastAsiaTheme="minorEastAsia" w:cstheme="minorEastAsia"/>
          <w:kern w:val="0"/>
          <w:sz w:val="27"/>
          <w:szCs w:val="27"/>
          <w:highlight w:val="none"/>
          <w:lang w:val="en-US" w:eastAsia="zh-CN" w:bidi="ar-SA"/>
        </w:rPr>
      </w:pPr>
      <w:r>
        <w:rPr>
          <w:rStyle w:val="33"/>
          <w:rFonts w:hint="eastAsia" w:asciiTheme="minorEastAsia" w:hAnsiTheme="minorEastAsia" w:eastAsiaTheme="minorEastAsia" w:cstheme="minorEastAsia"/>
          <w:kern w:val="0"/>
          <w:sz w:val="27"/>
          <w:szCs w:val="27"/>
          <w:highlight w:val="none"/>
          <w:lang w:val="en-US" w:eastAsia="zh-CN" w:bidi="ar-SA"/>
        </w:rPr>
        <w:t>二、申请人的资格要求：</w:t>
      </w:r>
    </w:p>
    <w:p w14:paraId="1BA9CC57">
      <w:pPr>
        <w:spacing w:line="360" w:lineRule="auto"/>
        <w:ind w:firstLine="723" w:firstLineChars="3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1、本项目基本资格要求：</w:t>
      </w:r>
    </w:p>
    <w:p w14:paraId="0C5D1DFF">
      <w:pPr>
        <w:spacing w:line="360" w:lineRule="auto"/>
        <w:ind w:firstLine="720" w:firstLineChars="3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（1）满足《中华人民共和国政府采购法》第二十二条规定；</w:t>
      </w:r>
    </w:p>
    <w:p w14:paraId="2069BCCB">
      <w:pPr>
        <w:spacing w:line="360" w:lineRule="auto"/>
        <w:ind w:left="479" w:leftChars="228" w:right="218" w:rightChars="104" w:firstLine="240" w:firstLineChars="1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r>
        <w:rPr>
          <w:rFonts w:hint="default" w:ascii="宋体" w:hAnsi="宋体" w:eastAsia="宋体" w:cs="宋体"/>
          <w:color w:val="auto"/>
          <w:kern w:val="0"/>
          <w:sz w:val="24"/>
          <w:szCs w:val="24"/>
          <w:highlight w:val="none"/>
          <w:lang w:val="en-US" w:eastAsia="zh-CN"/>
        </w:rPr>
        <w:t>单位负责人为同一人或者存在直接控股、管理关系的不同供应商，不得参加同一合同项下的政府采购活动。除单一来源采购项目外，</w:t>
      </w:r>
      <w:r>
        <w:rPr>
          <w:rFonts w:hint="eastAsia" w:ascii="宋体" w:hAnsi="宋体" w:eastAsia="宋体" w:cs="宋体"/>
          <w:color w:val="auto"/>
          <w:kern w:val="0"/>
          <w:sz w:val="24"/>
          <w:szCs w:val="24"/>
          <w:highlight w:val="none"/>
          <w:lang w:val="en-US" w:eastAsia="zh-CN"/>
        </w:rPr>
        <w:t>为采购项目提供整体设计、规范编制或者项目管理、监理、检测等服务的供应商，不得再参加该采购项目的其他采购活动</w:t>
      </w:r>
      <w:r>
        <w:rPr>
          <w:rFonts w:hint="eastAsia" w:ascii="宋体" w:hAnsi="宋体" w:cs="宋体"/>
          <w:color w:val="auto"/>
          <w:kern w:val="0"/>
          <w:sz w:val="24"/>
          <w:szCs w:val="24"/>
          <w:highlight w:val="none"/>
          <w:lang w:val="en-US" w:eastAsia="zh-CN"/>
        </w:rPr>
        <w:t>；</w:t>
      </w:r>
    </w:p>
    <w:p w14:paraId="62CA4D5F">
      <w:pPr>
        <w:numPr>
          <w:ilvl w:val="0"/>
          <w:numId w:val="0"/>
        </w:numPr>
        <w:spacing w:line="360" w:lineRule="auto"/>
        <w:ind w:left="479" w:leftChars="228" w:right="218" w:rightChars="104" w:firstLine="240" w:firstLineChars="1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eastAsia="zh-CN"/>
        </w:rPr>
        <w:t>经 信 用 中 国 （ www.creditchina.gov.cn ） 、 中 国 政 府 采 购 网（www.ccgp.gov.cn）等渠道查询后，列入失信被执行人、重大税收违法案件当事人名单、政府采购严重违法失信行为记录名单的，取消投标资格（提供网站无任何不良记录的查询截图并加盖公章，时间为自招标公告发布日期起至开标日期止；</w:t>
      </w:r>
      <w:r>
        <w:rPr>
          <w:rFonts w:hint="eastAsia" w:ascii="宋体" w:hAnsi="宋体" w:eastAsia="宋体" w:cs="宋体"/>
          <w:color w:val="auto"/>
          <w:kern w:val="0"/>
          <w:sz w:val="24"/>
          <w:szCs w:val="24"/>
          <w:highlight w:val="none"/>
          <w:lang w:val="en-US" w:eastAsia="zh-CN"/>
        </w:rPr>
        <w:t>开标时，以网上查询记录为准</w:t>
      </w:r>
      <w:r>
        <w:rPr>
          <w:rFonts w:hint="eastAsia" w:ascii="宋体" w:hAnsi="宋体" w:eastAsia="宋体" w:cs="宋体"/>
          <w:color w:val="auto"/>
          <w:kern w:val="0"/>
          <w:sz w:val="24"/>
          <w:szCs w:val="24"/>
          <w:highlight w:val="none"/>
          <w:lang w:val="zh-CN" w:eastAsia="zh-CN"/>
        </w:rPr>
        <w:t>）；</w:t>
      </w:r>
    </w:p>
    <w:p w14:paraId="43300584">
      <w:pPr>
        <w:spacing w:line="360" w:lineRule="auto"/>
        <w:ind w:firstLine="720" w:firstLineChars="300"/>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eastAsia="zh-CN"/>
        </w:rPr>
        <w:t>）</w:t>
      </w:r>
      <w:r>
        <w:rPr>
          <w:rFonts w:hint="eastAsia" w:asciiTheme="minorEastAsia" w:hAnsiTheme="minorEastAsia" w:eastAsiaTheme="minorEastAsia" w:cstheme="minorEastAsia"/>
          <w:sz w:val="24"/>
          <w:szCs w:val="24"/>
          <w:highlight w:val="none"/>
          <w:lang w:val="en-US" w:eastAsia="zh-CN"/>
        </w:rPr>
        <w:t>本项目不接受联合体投标。</w:t>
      </w:r>
    </w:p>
    <w:p w14:paraId="3358D255">
      <w:pPr>
        <w:spacing w:line="360" w:lineRule="auto"/>
        <w:ind w:firstLine="723" w:firstLineChars="300"/>
        <w:rPr>
          <w:rFonts w:hint="eastAsia" w:asciiTheme="minorEastAsia" w:hAnsiTheme="minorEastAsia" w:eastAsiaTheme="minorEastAsia" w:cstheme="minorEastAsia"/>
          <w:b/>
          <w:bCs/>
          <w:color w:val="auto"/>
          <w:sz w:val="24"/>
          <w:szCs w:val="24"/>
          <w:highlight w:val="yellow"/>
        </w:rPr>
      </w:pPr>
      <w:r>
        <w:rPr>
          <w:rFonts w:hint="eastAsia" w:asciiTheme="minorEastAsia" w:hAnsiTheme="minorEastAsia" w:eastAsiaTheme="minorEastAsia" w:cstheme="minorEastAsia"/>
          <w:b/>
          <w:bCs/>
          <w:sz w:val="24"/>
          <w:szCs w:val="24"/>
          <w:highlight w:val="none"/>
        </w:rPr>
        <w:t>2、落实政府采购政策需满足的资格要求：</w:t>
      </w:r>
      <w:r>
        <w:rPr>
          <w:rFonts w:hint="eastAsia" w:ascii="宋体" w:hAnsi="宋体" w:eastAsia="宋体" w:cs="宋体"/>
          <w:color w:val="auto"/>
          <w:kern w:val="0"/>
          <w:sz w:val="24"/>
          <w:szCs w:val="24"/>
          <w:highlight w:val="none"/>
          <w:lang w:val="en-US" w:eastAsia="zh-CN"/>
        </w:rPr>
        <w:t>本项目为</w:t>
      </w:r>
      <w:r>
        <w:rPr>
          <w:rFonts w:hint="eastAsia" w:ascii="宋体" w:hAnsi="宋体" w:cs="宋体"/>
          <w:color w:val="auto"/>
          <w:kern w:val="0"/>
          <w:sz w:val="24"/>
          <w:szCs w:val="24"/>
          <w:highlight w:val="none"/>
          <w:lang w:val="en-US" w:eastAsia="zh-CN"/>
        </w:rPr>
        <w:t>中小</w:t>
      </w:r>
      <w:r>
        <w:rPr>
          <w:rFonts w:hint="eastAsia" w:ascii="宋体" w:hAnsi="宋体" w:eastAsia="宋体" w:cs="宋体"/>
          <w:color w:val="auto"/>
          <w:kern w:val="0"/>
          <w:sz w:val="24"/>
          <w:szCs w:val="24"/>
          <w:highlight w:val="none"/>
          <w:lang w:val="en-US" w:eastAsia="zh-CN"/>
        </w:rPr>
        <w:t>企业预留项目</w:t>
      </w:r>
      <w:r>
        <w:rPr>
          <w:rFonts w:hint="eastAsia" w:ascii="宋体" w:hAnsi="宋体" w:cs="宋体"/>
          <w:color w:val="auto"/>
          <w:kern w:val="0"/>
          <w:sz w:val="24"/>
          <w:szCs w:val="24"/>
          <w:highlight w:val="none"/>
          <w:lang w:val="en-US" w:eastAsia="zh-CN"/>
        </w:rPr>
        <w:t>；</w:t>
      </w:r>
    </w:p>
    <w:p w14:paraId="559C26E2">
      <w:pPr>
        <w:numPr>
          <w:ilvl w:val="0"/>
          <w:numId w:val="0"/>
        </w:numPr>
        <w:spacing w:line="360" w:lineRule="auto"/>
        <w:ind w:leftChars="0" w:firstLine="720" w:firstLineChars="3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）《政府采购促进中小企业发展管理办法》（财库[2020]46号文）；</w:t>
      </w:r>
    </w:p>
    <w:p w14:paraId="52295646">
      <w:pPr>
        <w:numPr>
          <w:ilvl w:val="0"/>
          <w:numId w:val="0"/>
        </w:numPr>
        <w:spacing w:line="360" w:lineRule="auto"/>
        <w:ind w:leftChars="0" w:firstLine="720" w:firstLineChars="300"/>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none"/>
          <w:lang w:val="zh-CN" w:eastAsia="zh-CN"/>
        </w:rPr>
        <w:t>（</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val="zh-CN" w:eastAsia="zh-CN"/>
        </w:rPr>
        <w:t>）</w:t>
      </w:r>
      <w:r>
        <w:rPr>
          <w:rFonts w:hint="eastAsia" w:ascii="宋体" w:hAnsi="宋体" w:eastAsia="宋体" w:cs="宋体"/>
          <w:color w:val="auto"/>
          <w:kern w:val="0"/>
          <w:sz w:val="24"/>
          <w:szCs w:val="24"/>
          <w:highlight w:val="none"/>
          <w:lang w:val="zh-CN" w:eastAsia="zh-CN"/>
        </w:rPr>
        <w:t>《关于落实好政府采购支持中小企业发展的通知》（新财购〔2022〕22号）；</w:t>
      </w:r>
    </w:p>
    <w:p w14:paraId="668D8015">
      <w:pPr>
        <w:numPr>
          <w:ilvl w:val="0"/>
          <w:numId w:val="0"/>
        </w:numPr>
        <w:spacing w:line="360" w:lineRule="auto"/>
        <w:ind w:left="479" w:leftChars="228" w:firstLine="240" w:firstLineChars="100"/>
        <w:rPr>
          <w:rFonts w:hint="eastAsia" w:asciiTheme="minorEastAsia" w:hAnsiTheme="minorEastAsia" w:eastAsiaTheme="minorEastAsia" w:cstheme="minorEastAsia"/>
          <w:sz w:val="24"/>
          <w:szCs w:val="24"/>
          <w:highlight w:val="yellow"/>
        </w:rPr>
      </w:pPr>
      <w:r>
        <w:rPr>
          <w:rFonts w:hint="eastAsia" w:ascii="宋体" w:hAnsi="宋体" w:eastAsia="宋体" w:cs="宋体"/>
          <w:color w:val="auto"/>
          <w:kern w:val="0"/>
          <w:sz w:val="24"/>
          <w:szCs w:val="24"/>
          <w:highlight w:val="none"/>
          <w:lang w:val="zh-CN" w:eastAsia="zh-CN"/>
        </w:rPr>
        <w:t>（</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eastAsia="zh-CN"/>
        </w:rPr>
        <w:t>）财政部关于进一步加大政府采购支持中小企业力度的通知（财库[2022]19号）</w:t>
      </w:r>
      <w:r>
        <w:rPr>
          <w:rFonts w:hint="eastAsia" w:ascii="宋体" w:hAnsi="宋体" w:cs="宋体"/>
          <w:color w:val="auto"/>
          <w:kern w:val="0"/>
          <w:sz w:val="24"/>
          <w:szCs w:val="24"/>
          <w:highlight w:val="none"/>
          <w:lang w:val="zh-CN" w:eastAsia="zh-CN"/>
        </w:rPr>
        <w:t>；</w:t>
      </w:r>
    </w:p>
    <w:p w14:paraId="59706BCB">
      <w:pPr>
        <w:numPr>
          <w:ilvl w:val="0"/>
          <w:numId w:val="0"/>
        </w:numPr>
        <w:spacing w:line="360" w:lineRule="auto"/>
        <w:ind w:left="479" w:leftChars="228" w:firstLine="240" w:firstLineChars="100"/>
        <w:rPr>
          <w:rFonts w:hint="eastAsia" w:ascii="宋体" w:hAnsi="宋体" w:cs="宋体" w:eastAsiaTheme="minorEastAsia"/>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eastAsia="zh-CN"/>
        </w:rPr>
        <w:t>）</w:t>
      </w:r>
      <w:r>
        <w:rPr>
          <w:rFonts w:hint="eastAsia" w:asciiTheme="minorEastAsia" w:hAnsiTheme="minorEastAsia" w:eastAsiaTheme="minorEastAsia" w:cstheme="minorEastAsia"/>
          <w:sz w:val="24"/>
          <w:szCs w:val="24"/>
          <w:highlight w:val="none"/>
        </w:rPr>
        <w:t>财政部、司法部《关于政府采购支持监狱企业发展有关问题的通知》（财库[2014]68号文）</w:t>
      </w:r>
      <w:r>
        <w:rPr>
          <w:rFonts w:hint="eastAsia" w:asciiTheme="minorEastAsia" w:hAnsiTheme="minorEastAsia" w:eastAsiaTheme="minorEastAsia" w:cstheme="minorEastAsia"/>
          <w:sz w:val="24"/>
          <w:szCs w:val="24"/>
          <w:highlight w:val="none"/>
          <w:lang w:eastAsia="zh-CN"/>
        </w:rPr>
        <w:t>；</w:t>
      </w:r>
    </w:p>
    <w:p w14:paraId="75A3F7FD">
      <w:pPr>
        <w:spacing w:line="360" w:lineRule="auto"/>
        <w:ind w:left="477" w:leftChars="227" w:firstLine="240" w:firstLineChars="1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）财政部、民政部、中国残疾人联合会《关于促进残疾人就业政府采购政策的通知》（财库[2017]141号）</w:t>
      </w:r>
      <w:r>
        <w:rPr>
          <w:rFonts w:hint="eastAsia" w:asciiTheme="minorEastAsia" w:hAnsiTheme="minorEastAsia" w:eastAsiaTheme="minorEastAsia" w:cstheme="minorEastAsia"/>
          <w:sz w:val="24"/>
          <w:szCs w:val="24"/>
          <w:highlight w:val="none"/>
          <w:lang w:eastAsia="zh-CN"/>
        </w:rPr>
        <w:t>。</w:t>
      </w:r>
    </w:p>
    <w:p w14:paraId="15A7CE46">
      <w:pPr>
        <w:spacing w:line="360" w:lineRule="auto"/>
        <w:ind w:firstLine="723" w:firstLineChars="3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3、本项目特定资格要求：</w:t>
      </w:r>
    </w:p>
    <w:p w14:paraId="50CE3C63">
      <w:pPr>
        <w:spacing w:line="360" w:lineRule="auto"/>
        <w:ind w:left="239" w:leftChars="114" w:firstLine="240" w:firstLineChars="100"/>
        <w:rPr>
          <w:rFonts w:hint="eastAsia"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val="zh-CN" w:eastAsia="zh-CN"/>
        </w:rPr>
        <w:t>具备公路工程施工总承包叁级及以上资质，</w:t>
      </w:r>
      <w:r>
        <w:rPr>
          <w:rFonts w:hint="eastAsia" w:asciiTheme="minorEastAsia" w:hAnsiTheme="minorEastAsia" w:eastAsiaTheme="minorEastAsia" w:cstheme="minorEastAsia"/>
          <w:sz w:val="24"/>
          <w:szCs w:val="24"/>
          <w:highlight w:val="none"/>
          <w:lang w:val="en-US" w:eastAsia="zh-CN"/>
        </w:rPr>
        <w:t>具有有效的安全生产许可证，</w:t>
      </w:r>
      <w:r>
        <w:rPr>
          <w:rFonts w:hint="eastAsia" w:asciiTheme="minorEastAsia" w:hAnsiTheme="minorEastAsia" w:eastAsiaTheme="minorEastAsia" w:cstheme="minorEastAsia"/>
          <w:sz w:val="24"/>
          <w:szCs w:val="24"/>
          <w:highlight w:val="none"/>
          <w:lang w:val="zh-CN" w:eastAsia="zh-CN"/>
        </w:rPr>
        <w:t>并在人员、设备、资金等方面具有相应的施工能力。</w:t>
      </w:r>
    </w:p>
    <w:p w14:paraId="4FA52AA0">
      <w:pPr>
        <w:spacing w:line="360" w:lineRule="auto"/>
        <w:ind w:left="239" w:leftChars="114" w:firstLine="240" w:firstLineChars="10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zh-CN" w:eastAsia="zh-CN"/>
        </w:rPr>
        <w:t>（</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val="zh-CN" w:eastAsia="zh-CN"/>
        </w:rPr>
        <w:t>）项目经理须具备公路工程</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lang w:val="zh-CN" w:eastAsia="zh-CN"/>
        </w:rPr>
        <w:t>级(含二级)以上注册建造师执业资格，具备有效的交通运输主管部门颁发的安全生产考核合格证书(B类),</w:t>
      </w:r>
      <w:r>
        <w:rPr>
          <w:rFonts w:hint="eastAsia" w:asciiTheme="minorEastAsia" w:hAnsiTheme="minorEastAsia" w:eastAsiaTheme="minorEastAsia" w:cstheme="minorEastAsia"/>
          <w:sz w:val="24"/>
          <w:szCs w:val="24"/>
          <w:highlight w:val="none"/>
          <w:lang w:val="en-US" w:eastAsia="zh-CN"/>
        </w:rPr>
        <w:t>具有</w:t>
      </w:r>
      <w:r>
        <w:rPr>
          <w:rFonts w:hint="eastAsia" w:asciiTheme="minorEastAsia" w:hAnsiTheme="minorEastAsia" w:eastAsiaTheme="minorEastAsia" w:cstheme="minorEastAsia"/>
          <w:sz w:val="24"/>
          <w:szCs w:val="24"/>
          <w:highlight w:val="none"/>
          <w:lang w:val="zh-CN" w:eastAsia="zh-CN"/>
        </w:rPr>
        <w:t>近6个月内任意一个月的有效社保证明,且未担任其他在施建设</w:t>
      </w:r>
      <w:r>
        <w:rPr>
          <w:rFonts w:hint="eastAsia" w:asciiTheme="minorEastAsia" w:hAnsiTheme="minorEastAsia" w:eastAsiaTheme="minorEastAsia" w:cstheme="minorEastAsia"/>
          <w:sz w:val="24"/>
          <w:szCs w:val="24"/>
          <w:highlight w:val="none"/>
          <w:lang w:val="en-US" w:eastAsia="zh-CN"/>
        </w:rPr>
        <w:t>项目的</w:t>
      </w:r>
      <w:r>
        <w:rPr>
          <w:rFonts w:hint="eastAsia" w:asciiTheme="minorEastAsia" w:hAnsiTheme="minorEastAsia" w:eastAsiaTheme="minorEastAsia" w:cstheme="minorEastAsia"/>
          <w:sz w:val="24"/>
          <w:szCs w:val="24"/>
          <w:highlight w:val="none"/>
          <w:lang w:val="zh-CN" w:eastAsia="zh-CN"/>
        </w:rPr>
        <w:t>项目经理。</w:t>
      </w:r>
    </w:p>
    <w:p w14:paraId="5F7B8562">
      <w:pPr>
        <w:spacing w:line="360" w:lineRule="auto"/>
        <w:ind w:firstLine="542" w:firstLineChars="200"/>
        <w:rPr>
          <w:rStyle w:val="33"/>
          <w:rFonts w:hint="eastAsia" w:asciiTheme="minorEastAsia" w:hAnsiTheme="minorEastAsia" w:eastAsiaTheme="minorEastAsia" w:cstheme="minorEastAsia"/>
          <w:kern w:val="0"/>
          <w:sz w:val="27"/>
          <w:szCs w:val="27"/>
          <w:highlight w:val="none"/>
          <w:lang w:val="en-US" w:eastAsia="zh-CN" w:bidi="ar-SA"/>
        </w:rPr>
      </w:pPr>
      <w:r>
        <w:rPr>
          <w:rStyle w:val="33"/>
          <w:rFonts w:hint="eastAsia" w:asciiTheme="minorEastAsia" w:hAnsiTheme="minorEastAsia" w:eastAsiaTheme="minorEastAsia" w:cstheme="minorEastAsia"/>
          <w:kern w:val="0"/>
          <w:sz w:val="27"/>
          <w:szCs w:val="27"/>
          <w:highlight w:val="none"/>
          <w:lang w:val="en-US" w:eastAsia="zh-CN" w:bidi="ar-SA"/>
        </w:rPr>
        <w:t>三、获取采购文件</w:t>
      </w:r>
    </w:p>
    <w:p w14:paraId="13CA4F7B">
      <w:pPr>
        <w:spacing w:line="360" w:lineRule="auto"/>
        <w:ind w:left="239" w:leftChars="114" w:firstLine="240" w:firstLineChars="10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时间：202</w:t>
      </w:r>
      <w:r>
        <w:rPr>
          <w:rFonts w:hint="eastAsia" w:ascii="宋体" w:hAnsi="宋体" w:cs="宋体"/>
          <w:i w:val="0"/>
          <w:iCs w:val="0"/>
          <w:caps w:val="0"/>
          <w:color w:val="auto"/>
          <w:spacing w:val="0"/>
          <w:kern w:val="0"/>
          <w:sz w:val="24"/>
          <w:szCs w:val="24"/>
          <w:highlight w:val="none"/>
          <w:lang w:val="en-US" w:eastAsia="zh-CN" w:bidi="ar-SA"/>
        </w:rPr>
        <w:t>5</w:t>
      </w:r>
      <w:r>
        <w:rPr>
          <w:rFonts w:hint="eastAsia" w:ascii="宋体" w:hAnsi="宋体" w:eastAsia="宋体" w:cs="宋体"/>
          <w:i w:val="0"/>
          <w:iCs w:val="0"/>
          <w:caps w:val="0"/>
          <w:color w:val="auto"/>
          <w:spacing w:val="0"/>
          <w:kern w:val="0"/>
          <w:sz w:val="24"/>
          <w:szCs w:val="24"/>
          <w:highlight w:val="none"/>
          <w:lang w:val="en-US" w:eastAsia="zh-CN" w:bidi="ar-SA"/>
        </w:rPr>
        <w:t>年</w:t>
      </w:r>
      <w:r>
        <w:rPr>
          <w:rFonts w:hint="eastAsia" w:ascii="宋体" w:hAnsi="宋体" w:cs="宋体"/>
          <w:i w:val="0"/>
          <w:iCs w:val="0"/>
          <w:caps w:val="0"/>
          <w:color w:val="auto"/>
          <w:spacing w:val="0"/>
          <w:kern w:val="0"/>
          <w:sz w:val="24"/>
          <w:szCs w:val="24"/>
          <w:highlight w:val="none"/>
          <w:lang w:val="en-US" w:eastAsia="zh-CN" w:bidi="ar-SA"/>
        </w:rPr>
        <w:t>6</w:t>
      </w:r>
      <w:r>
        <w:rPr>
          <w:rFonts w:hint="eastAsia" w:ascii="宋体" w:hAnsi="宋体" w:eastAsia="宋体" w:cs="宋体"/>
          <w:i w:val="0"/>
          <w:iCs w:val="0"/>
          <w:caps w:val="0"/>
          <w:color w:val="auto"/>
          <w:spacing w:val="0"/>
          <w:kern w:val="0"/>
          <w:sz w:val="24"/>
          <w:szCs w:val="24"/>
          <w:highlight w:val="none"/>
          <w:lang w:val="en-US" w:eastAsia="zh-CN" w:bidi="ar-SA"/>
        </w:rPr>
        <w:t>月</w:t>
      </w:r>
      <w:r>
        <w:rPr>
          <w:rFonts w:hint="eastAsia" w:ascii="宋体" w:hAnsi="宋体" w:cs="宋体"/>
          <w:i w:val="0"/>
          <w:iCs w:val="0"/>
          <w:caps w:val="0"/>
          <w:color w:val="auto"/>
          <w:spacing w:val="0"/>
          <w:kern w:val="0"/>
          <w:sz w:val="24"/>
          <w:szCs w:val="24"/>
          <w:highlight w:val="none"/>
          <w:lang w:val="en-US" w:eastAsia="zh-CN" w:bidi="ar-SA"/>
        </w:rPr>
        <w:t>23</w:t>
      </w:r>
      <w:r>
        <w:rPr>
          <w:rFonts w:hint="eastAsia" w:ascii="宋体" w:hAnsi="宋体" w:eastAsia="宋体" w:cs="宋体"/>
          <w:i w:val="0"/>
          <w:iCs w:val="0"/>
          <w:caps w:val="0"/>
          <w:color w:val="auto"/>
          <w:spacing w:val="0"/>
          <w:kern w:val="0"/>
          <w:sz w:val="24"/>
          <w:szCs w:val="24"/>
          <w:highlight w:val="none"/>
          <w:lang w:val="en-US" w:eastAsia="zh-CN" w:bidi="ar-SA"/>
        </w:rPr>
        <w:t>日至202</w:t>
      </w:r>
      <w:r>
        <w:rPr>
          <w:rFonts w:hint="eastAsia" w:ascii="宋体" w:hAnsi="宋体" w:cs="宋体"/>
          <w:i w:val="0"/>
          <w:iCs w:val="0"/>
          <w:caps w:val="0"/>
          <w:color w:val="auto"/>
          <w:spacing w:val="0"/>
          <w:kern w:val="0"/>
          <w:sz w:val="24"/>
          <w:szCs w:val="24"/>
          <w:highlight w:val="none"/>
          <w:lang w:val="en-US" w:eastAsia="zh-CN" w:bidi="ar-SA"/>
        </w:rPr>
        <w:t>5</w:t>
      </w:r>
      <w:r>
        <w:rPr>
          <w:rFonts w:hint="eastAsia" w:ascii="宋体" w:hAnsi="宋体" w:eastAsia="宋体" w:cs="宋体"/>
          <w:i w:val="0"/>
          <w:iCs w:val="0"/>
          <w:caps w:val="0"/>
          <w:color w:val="auto"/>
          <w:spacing w:val="0"/>
          <w:kern w:val="0"/>
          <w:sz w:val="24"/>
          <w:szCs w:val="24"/>
          <w:highlight w:val="none"/>
          <w:lang w:val="en-US" w:eastAsia="zh-CN" w:bidi="ar-SA"/>
        </w:rPr>
        <w:t>年</w:t>
      </w:r>
      <w:r>
        <w:rPr>
          <w:rFonts w:hint="eastAsia" w:ascii="宋体" w:hAnsi="宋体" w:cs="宋体"/>
          <w:i w:val="0"/>
          <w:iCs w:val="0"/>
          <w:caps w:val="0"/>
          <w:color w:val="auto"/>
          <w:spacing w:val="0"/>
          <w:kern w:val="0"/>
          <w:sz w:val="24"/>
          <w:szCs w:val="24"/>
          <w:highlight w:val="none"/>
          <w:lang w:val="en-US" w:eastAsia="zh-CN" w:bidi="ar-SA"/>
        </w:rPr>
        <w:t>6</w:t>
      </w:r>
      <w:r>
        <w:rPr>
          <w:rFonts w:hint="eastAsia" w:ascii="宋体" w:hAnsi="宋体" w:eastAsia="宋体" w:cs="宋体"/>
          <w:i w:val="0"/>
          <w:iCs w:val="0"/>
          <w:caps w:val="0"/>
          <w:color w:val="auto"/>
          <w:spacing w:val="0"/>
          <w:kern w:val="0"/>
          <w:sz w:val="24"/>
          <w:szCs w:val="24"/>
          <w:highlight w:val="none"/>
          <w:lang w:val="en-US" w:eastAsia="zh-CN" w:bidi="ar-SA"/>
        </w:rPr>
        <w:t>月</w:t>
      </w:r>
      <w:r>
        <w:rPr>
          <w:rFonts w:hint="eastAsia" w:ascii="宋体" w:hAnsi="宋体" w:cs="宋体"/>
          <w:i w:val="0"/>
          <w:iCs w:val="0"/>
          <w:caps w:val="0"/>
          <w:color w:val="auto"/>
          <w:spacing w:val="0"/>
          <w:kern w:val="0"/>
          <w:sz w:val="24"/>
          <w:szCs w:val="24"/>
          <w:highlight w:val="none"/>
          <w:lang w:val="en-US" w:eastAsia="zh-CN" w:bidi="ar-SA"/>
        </w:rPr>
        <w:t>30</w:t>
      </w:r>
      <w:r>
        <w:rPr>
          <w:rFonts w:hint="eastAsia" w:ascii="宋体" w:hAnsi="宋体" w:eastAsia="宋体" w:cs="宋体"/>
          <w:i w:val="0"/>
          <w:iCs w:val="0"/>
          <w:caps w:val="0"/>
          <w:color w:val="auto"/>
          <w:spacing w:val="0"/>
          <w:kern w:val="0"/>
          <w:sz w:val="24"/>
          <w:szCs w:val="24"/>
          <w:highlight w:val="none"/>
          <w:lang w:val="en-US" w:eastAsia="zh-CN" w:bidi="ar-SA"/>
        </w:rPr>
        <w:t>日，每天上午</w:t>
      </w:r>
      <w:r>
        <w:rPr>
          <w:rFonts w:hint="eastAsia" w:ascii="宋体" w:hAnsi="宋体" w:cs="宋体"/>
          <w:i w:val="0"/>
          <w:iCs w:val="0"/>
          <w:caps w:val="0"/>
          <w:color w:val="auto"/>
          <w:spacing w:val="0"/>
          <w:kern w:val="0"/>
          <w:sz w:val="24"/>
          <w:szCs w:val="24"/>
          <w:highlight w:val="none"/>
          <w:lang w:val="en-US" w:eastAsia="zh-CN" w:bidi="ar-SA"/>
        </w:rPr>
        <w:t>00</w:t>
      </w:r>
      <w:r>
        <w:rPr>
          <w:rFonts w:hint="eastAsia" w:ascii="宋体" w:hAnsi="宋体" w:eastAsia="宋体" w:cs="宋体"/>
          <w:i w:val="0"/>
          <w:iCs w:val="0"/>
          <w:caps w:val="0"/>
          <w:color w:val="auto"/>
          <w:spacing w:val="0"/>
          <w:kern w:val="0"/>
          <w:sz w:val="24"/>
          <w:szCs w:val="24"/>
          <w:highlight w:val="none"/>
          <w:lang w:val="en-US" w:eastAsia="zh-CN" w:bidi="ar-SA"/>
        </w:rPr>
        <w:t>:00至</w:t>
      </w:r>
      <w:r>
        <w:rPr>
          <w:rFonts w:hint="eastAsia" w:ascii="宋体" w:hAnsi="宋体" w:cs="宋体"/>
          <w:i w:val="0"/>
          <w:iCs w:val="0"/>
          <w:caps w:val="0"/>
          <w:color w:val="auto"/>
          <w:spacing w:val="0"/>
          <w:kern w:val="0"/>
          <w:sz w:val="24"/>
          <w:szCs w:val="24"/>
          <w:highlight w:val="none"/>
          <w:lang w:val="en-US" w:eastAsia="zh-CN" w:bidi="ar-SA"/>
        </w:rPr>
        <w:t>14</w:t>
      </w:r>
      <w:r>
        <w:rPr>
          <w:rFonts w:hint="eastAsia" w:ascii="宋体" w:hAnsi="宋体" w:eastAsia="宋体" w:cs="宋体"/>
          <w:i w:val="0"/>
          <w:iCs w:val="0"/>
          <w:caps w:val="0"/>
          <w:color w:val="auto"/>
          <w:spacing w:val="0"/>
          <w:kern w:val="0"/>
          <w:sz w:val="24"/>
          <w:szCs w:val="24"/>
          <w:highlight w:val="none"/>
          <w:lang w:val="en-US" w:eastAsia="zh-CN" w:bidi="ar-SA"/>
        </w:rPr>
        <w:t>:00，下午</w:t>
      </w:r>
      <w:r>
        <w:rPr>
          <w:rFonts w:hint="eastAsia" w:ascii="宋体" w:hAnsi="宋体" w:cs="宋体"/>
          <w:i w:val="0"/>
          <w:iCs w:val="0"/>
          <w:caps w:val="0"/>
          <w:color w:val="auto"/>
          <w:spacing w:val="0"/>
          <w:kern w:val="0"/>
          <w:sz w:val="24"/>
          <w:szCs w:val="24"/>
          <w:highlight w:val="none"/>
          <w:lang w:val="en-US" w:eastAsia="zh-CN" w:bidi="ar-SA"/>
        </w:rPr>
        <w:t>14</w:t>
      </w:r>
      <w:r>
        <w:rPr>
          <w:rFonts w:hint="eastAsia" w:ascii="宋体" w:hAnsi="宋体" w:eastAsia="宋体" w:cs="宋体"/>
          <w:i w:val="0"/>
          <w:iCs w:val="0"/>
          <w:caps w:val="0"/>
          <w:color w:val="auto"/>
          <w:spacing w:val="0"/>
          <w:kern w:val="0"/>
          <w:sz w:val="24"/>
          <w:szCs w:val="24"/>
          <w:highlight w:val="none"/>
          <w:lang w:val="en-US" w:eastAsia="zh-CN" w:bidi="ar-SA"/>
        </w:rPr>
        <w:t>:00至</w:t>
      </w:r>
      <w:r>
        <w:rPr>
          <w:rFonts w:hint="eastAsia" w:ascii="宋体" w:hAnsi="宋体" w:cs="宋体"/>
          <w:i w:val="0"/>
          <w:iCs w:val="0"/>
          <w:caps w:val="0"/>
          <w:color w:val="auto"/>
          <w:spacing w:val="0"/>
          <w:kern w:val="0"/>
          <w:sz w:val="24"/>
          <w:szCs w:val="24"/>
          <w:highlight w:val="none"/>
          <w:lang w:val="en-US" w:eastAsia="zh-CN" w:bidi="ar-SA"/>
        </w:rPr>
        <w:t>23</w:t>
      </w:r>
      <w:r>
        <w:rPr>
          <w:rFonts w:hint="eastAsia" w:ascii="宋体" w:hAnsi="宋体" w:eastAsia="宋体" w:cs="宋体"/>
          <w:i w:val="0"/>
          <w:iCs w:val="0"/>
          <w:caps w:val="0"/>
          <w:color w:val="auto"/>
          <w:spacing w:val="0"/>
          <w:kern w:val="0"/>
          <w:sz w:val="24"/>
          <w:szCs w:val="24"/>
          <w:highlight w:val="none"/>
          <w:lang w:val="en-US" w:eastAsia="zh-CN" w:bidi="ar-SA"/>
        </w:rPr>
        <w:t>:</w:t>
      </w:r>
      <w:r>
        <w:rPr>
          <w:rFonts w:hint="eastAsia" w:ascii="宋体" w:hAnsi="宋体" w:cs="宋体"/>
          <w:i w:val="0"/>
          <w:iCs w:val="0"/>
          <w:caps w:val="0"/>
          <w:color w:val="auto"/>
          <w:spacing w:val="0"/>
          <w:kern w:val="0"/>
          <w:sz w:val="24"/>
          <w:szCs w:val="24"/>
          <w:highlight w:val="none"/>
          <w:lang w:val="en-US" w:eastAsia="zh-CN" w:bidi="ar-SA"/>
        </w:rPr>
        <w:t>59</w:t>
      </w:r>
      <w:r>
        <w:rPr>
          <w:rFonts w:hint="eastAsia" w:ascii="宋体" w:hAnsi="宋体" w:eastAsia="宋体" w:cs="宋体"/>
          <w:i w:val="0"/>
          <w:iCs w:val="0"/>
          <w:caps w:val="0"/>
          <w:color w:val="auto"/>
          <w:spacing w:val="0"/>
          <w:kern w:val="0"/>
          <w:sz w:val="24"/>
          <w:szCs w:val="24"/>
          <w:highlight w:val="none"/>
          <w:lang w:val="en-US" w:eastAsia="zh-CN" w:bidi="ar-SA"/>
        </w:rPr>
        <w:t>（北京时间，法定节假日除外）</w:t>
      </w:r>
    </w:p>
    <w:p w14:paraId="5FD9CB37">
      <w:pPr>
        <w:spacing w:line="360" w:lineRule="auto"/>
        <w:ind w:left="239" w:leftChars="114" w:firstLine="240" w:firstLineChars="10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地点：政采云平台线上</w:t>
      </w:r>
    </w:p>
    <w:p w14:paraId="67BD8D07">
      <w:pPr>
        <w:spacing w:line="360" w:lineRule="auto"/>
        <w:ind w:left="239" w:leftChars="114" w:firstLine="240" w:firstLineChars="10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1E2FC60F">
      <w:pPr>
        <w:spacing w:line="360" w:lineRule="auto"/>
        <w:ind w:left="239" w:leftChars="114" w:firstLine="240" w:firstLineChars="10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售价（元）：0元</w:t>
      </w:r>
    </w:p>
    <w:p w14:paraId="2DDBDBB1">
      <w:pPr>
        <w:spacing w:line="360" w:lineRule="auto"/>
        <w:ind w:left="239" w:leftChars="114" w:firstLine="271" w:firstLineChars="100"/>
        <w:rPr>
          <w:rStyle w:val="33"/>
          <w:rFonts w:hint="eastAsia" w:asciiTheme="minorEastAsia" w:hAnsiTheme="minorEastAsia" w:eastAsiaTheme="minorEastAsia" w:cstheme="minorEastAsia"/>
          <w:kern w:val="0"/>
          <w:sz w:val="27"/>
          <w:szCs w:val="27"/>
          <w:highlight w:val="none"/>
          <w:lang w:val="en-US" w:eastAsia="zh-CN" w:bidi="ar-SA"/>
        </w:rPr>
      </w:pPr>
      <w:r>
        <w:rPr>
          <w:rStyle w:val="33"/>
          <w:rFonts w:hint="eastAsia" w:asciiTheme="minorEastAsia" w:hAnsiTheme="minorEastAsia" w:eastAsiaTheme="minorEastAsia" w:cstheme="minorEastAsia"/>
          <w:kern w:val="0"/>
          <w:sz w:val="27"/>
          <w:szCs w:val="27"/>
          <w:highlight w:val="none"/>
          <w:lang w:val="en-US" w:eastAsia="zh-CN" w:bidi="ar-SA"/>
        </w:rPr>
        <w:t>四、提交响应文件截止时间、开标时间和地点</w:t>
      </w:r>
    </w:p>
    <w:p w14:paraId="1479688A">
      <w:pPr>
        <w:numPr>
          <w:ilvl w:val="0"/>
          <w:numId w:val="0"/>
        </w:numPr>
        <w:spacing w:line="360" w:lineRule="auto"/>
        <w:ind w:firstLine="480" w:firstLineChars="20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提交响应文件截止时间：202</w:t>
      </w:r>
      <w:r>
        <w:rPr>
          <w:rFonts w:hint="eastAsia" w:ascii="宋体" w:hAnsi="宋体" w:cs="宋体"/>
          <w:i w:val="0"/>
          <w:iCs w:val="0"/>
          <w:caps w:val="0"/>
          <w:color w:val="auto"/>
          <w:spacing w:val="0"/>
          <w:kern w:val="0"/>
          <w:sz w:val="24"/>
          <w:szCs w:val="24"/>
          <w:highlight w:val="none"/>
          <w:lang w:val="en-US" w:eastAsia="zh-CN" w:bidi="ar-SA"/>
        </w:rPr>
        <w:t>5</w:t>
      </w:r>
      <w:r>
        <w:rPr>
          <w:rFonts w:hint="eastAsia" w:ascii="宋体" w:hAnsi="宋体" w:eastAsia="宋体" w:cs="宋体"/>
          <w:i w:val="0"/>
          <w:iCs w:val="0"/>
          <w:caps w:val="0"/>
          <w:color w:val="auto"/>
          <w:spacing w:val="0"/>
          <w:kern w:val="0"/>
          <w:sz w:val="24"/>
          <w:szCs w:val="24"/>
          <w:highlight w:val="none"/>
          <w:lang w:val="en-US" w:eastAsia="zh-CN" w:bidi="ar-SA"/>
        </w:rPr>
        <w:t>年</w:t>
      </w:r>
      <w:r>
        <w:rPr>
          <w:rFonts w:hint="eastAsia" w:ascii="宋体" w:hAnsi="宋体" w:cs="宋体"/>
          <w:i w:val="0"/>
          <w:iCs w:val="0"/>
          <w:caps w:val="0"/>
          <w:color w:val="auto"/>
          <w:spacing w:val="0"/>
          <w:kern w:val="0"/>
          <w:sz w:val="24"/>
          <w:szCs w:val="24"/>
          <w:highlight w:val="none"/>
          <w:lang w:val="en-US" w:eastAsia="zh-CN" w:bidi="ar-SA"/>
        </w:rPr>
        <w:t>7</w:t>
      </w:r>
      <w:r>
        <w:rPr>
          <w:rFonts w:hint="eastAsia" w:ascii="宋体" w:hAnsi="宋体" w:eastAsia="宋体" w:cs="宋体"/>
          <w:i w:val="0"/>
          <w:iCs w:val="0"/>
          <w:caps w:val="0"/>
          <w:color w:val="auto"/>
          <w:spacing w:val="0"/>
          <w:kern w:val="0"/>
          <w:sz w:val="24"/>
          <w:szCs w:val="24"/>
          <w:highlight w:val="none"/>
          <w:lang w:val="en-US" w:eastAsia="zh-CN" w:bidi="ar-SA"/>
        </w:rPr>
        <w:t>月</w:t>
      </w:r>
      <w:r>
        <w:rPr>
          <w:rFonts w:hint="eastAsia" w:ascii="宋体" w:hAnsi="宋体" w:cs="宋体"/>
          <w:i w:val="0"/>
          <w:iCs w:val="0"/>
          <w:caps w:val="0"/>
          <w:color w:val="auto"/>
          <w:spacing w:val="0"/>
          <w:kern w:val="0"/>
          <w:sz w:val="24"/>
          <w:szCs w:val="24"/>
          <w:highlight w:val="none"/>
          <w:lang w:val="en-US" w:eastAsia="zh-CN" w:bidi="ar-SA"/>
        </w:rPr>
        <w:t>3</w:t>
      </w:r>
      <w:r>
        <w:rPr>
          <w:rFonts w:hint="eastAsia" w:ascii="宋体" w:hAnsi="宋体" w:eastAsia="宋体" w:cs="宋体"/>
          <w:i w:val="0"/>
          <w:iCs w:val="0"/>
          <w:caps w:val="0"/>
          <w:color w:val="auto"/>
          <w:spacing w:val="0"/>
          <w:kern w:val="0"/>
          <w:sz w:val="24"/>
          <w:szCs w:val="24"/>
          <w:highlight w:val="none"/>
          <w:lang w:val="en-US" w:eastAsia="zh-CN" w:bidi="ar-SA"/>
        </w:rPr>
        <w:t>日10:30（北京时间）</w:t>
      </w:r>
    </w:p>
    <w:p w14:paraId="7815B0C1">
      <w:pPr>
        <w:spacing w:line="360" w:lineRule="auto"/>
        <w:ind w:firstLine="480" w:firstLineChars="20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投标地点：请登录政采云投标客户端投标</w:t>
      </w:r>
    </w:p>
    <w:p w14:paraId="6A89CAF6">
      <w:pPr>
        <w:spacing w:line="360" w:lineRule="auto"/>
        <w:ind w:firstLine="480" w:firstLineChars="20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开标时间：202</w:t>
      </w:r>
      <w:r>
        <w:rPr>
          <w:rFonts w:hint="eastAsia" w:ascii="宋体" w:hAnsi="宋体" w:cs="宋体"/>
          <w:i w:val="0"/>
          <w:iCs w:val="0"/>
          <w:caps w:val="0"/>
          <w:color w:val="auto"/>
          <w:spacing w:val="0"/>
          <w:kern w:val="0"/>
          <w:sz w:val="24"/>
          <w:szCs w:val="24"/>
          <w:highlight w:val="none"/>
          <w:lang w:val="en-US" w:eastAsia="zh-CN" w:bidi="ar-SA"/>
        </w:rPr>
        <w:t>5</w:t>
      </w:r>
      <w:r>
        <w:rPr>
          <w:rFonts w:hint="eastAsia" w:ascii="宋体" w:hAnsi="宋体" w:eastAsia="宋体" w:cs="宋体"/>
          <w:i w:val="0"/>
          <w:iCs w:val="0"/>
          <w:caps w:val="0"/>
          <w:color w:val="auto"/>
          <w:spacing w:val="0"/>
          <w:kern w:val="0"/>
          <w:sz w:val="24"/>
          <w:szCs w:val="24"/>
          <w:highlight w:val="none"/>
          <w:lang w:val="en-US" w:eastAsia="zh-CN" w:bidi="ar-SA"/>
        </w:rPr>
        <w:t>年</w:t>
      </w:r>
      <w:r>
        <w:rPr>
          <w:rFonts w:hint="eastAsia" w:ascii="宋体" w:hAnsi="宋体" w:cs="宋体"/>
          <w:i w:val="0"/>
          <w:iCs w:val="0"/>
          <w:caps w:val="0"/>
          <w:color w:val="auto"/>
          <w:spacing w:val="0"/>
          <w:kern w:val="0"/>
          <w:sz w:val="24"/>
          <w:szCs w:val="24"/>
          <w:highlight w:val="none"/>
          <w:lang w:val="en-US" w:eastAsia="zh-CN" w:bidi="ar-SA"/>
        </w:rPr>
        <w:t>7</w:t>
      </w:r>
      <w:r>
        <w:rPr>
          <w:rFonts w:hint="eastAsia" w:ascii="宋体" w:hAnsi="宋体" w:eastAsia="宋体" w:cs="宋体"/>
          <w:i w:val="0"/>
          <w:iCs w:val="0"/>
          <w:caps w:val="0"/>
          <w:color w:val="auto"/>
          <w:spacing w:val="0"/>
          <w:kern w:val="0"/>
          <w:sz w:val="24"/>
          <w:szCs w:val="24"/>
          <w:highlight w:val="none"/>
          <w:lang w:val="en-US" w:eastAsia="zh-CN" w:bidi="ar-SA"/>
        </w:rPr>
        <w:t>月</w:t>
      </w:r>
      <w:r>
        <w:rPr>
          <w:rFonts w:hint="eastAsia" w:ascii="宋体" w:hAnsi="宋体" w:cs="宋体"/>
          <w:i w:val="0"/>
          <w:iCs w:val="0"/>
          <w:caps w:val="0"/>
          <w:color w:val="auto"/>
          <w:spacing w:val="0"/>
          <w:kern w:val="0"/>
          <w:sz w:val="24"/>
          <w:szCs w:val="24"/>
          <w:highlight w:val="none"/>
          <w:lang w:val="en-US" w:eastAsia="zh-CN" w:bidi="ar-SA"/>
        </w:rPr>
        <w:t>3</w:t>
      </w:r>
      <w:r>
        <w:rPr>
          <w:rFonts w:hint="eastAsia" w:ascii="宋体" w:hAnsi="宋体" w:eastAsia="宋体" w:cs="宋体"/>
          <w:i w:val="0"/>
          <w:iCs w:val="0"/>
          <w:caps w:val="0"/>
          <w:color w:val="auto"/>
          <w:spacing w:val="0"/>
          <w:kern w:val="0"/>
          <w:sz w:val="24"/>
          <w:szCs w:val="24"/>
          <w:highlight w:val="none"/>
          <w:lang w:val="en-US" w:eastAsia="zh-CN" w:bidi="ar-SA"/>
        </w:rPr>
        <w:t>日10:30（北京时间）</w:t>
      </w:r>
    </w:p>
    <w:p w14:paraId="6A6E640D">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开标地点：投标人登录政采云平台https://www.zcygov.cn/，进入“项目采购-开标评标-右边选择对应项目点击“进入项目”进入开标大厅。</w:t>
      </w:r>
    </w:p>
    <w:p w14:paraId="6683FD94">
      <w:pPr>
        <w:spacing w:line="360" w:lineRule="auto"/>
        <w:ind w:firstLine="542" w:firstLineChars="200"/>
        <w:rPr>
          <w:rStyle w:val="33"/>
          <w:rFonts w:hint="eastAsia" w:asciiTheme="minorEastAsia" w:hAnsiTheme="minorEastAsia" w:eastAsiaTheme="minorEastAsia" w:cstheme="minorEastAsia"/>
          <w:kern w:val="0"/>
          <w:sz w:val="27"/>
          <w:szCs w:val="27"/>
          <w:highlight w:val="none"/>
          <w:lang w:val="en-US" w:eastAsia="zh-CN" w:bidi="ar-SA"/>
        </w:rPr>
      </w:pPr>
      <w:r>
        <w:rPr>
          <w:rStyle w:val="33"/>
          <w:rFonts w:hint="eastAsia" w:asciiTheme="minorEastAsia" w:hAnsiTheme="minorEastAsia" w:eastAsiaTheme="minorEastAsia" w:cstheme="minorEastAsia"/>
          <w:kern w:val="0"/>
          <w:sz w:val="27"/>
          <w:szCs w:val="27"/>
          <w:highlight w:val="none"/>
          <w:lang w:val="en-US" w:eastAsia="zh-CN" w:bidi="ar-SA"/>
        </w:rPr>
        <w:t>五、公告期限</w:t>
      </w:r>
    </w:p>
    <w:p w14:paraId="2D85D2C8">
      <w:pPr>
        <w:spacing w:line="360" w:lineRule="auto"/>
        <w:ind w:firstLine="480" w:firstLineChars="200"/>
        <w:rPr>
          <w:rFonts w:hint="eastAsia" w:ascii="宋体" w:hAnsi="宋体" w:eastAsia="宋体" w:cs="宋体"/>
          <w:i w:val="0"/>
          <w:iCs w:val="0"/>
          <w:caps w:val="0"/>
          <w:color w:val="0000FF"/>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自本公告发布之日起不少于</w:t>
      </w:r>
      <w:r>
        <w:rPr>
          <w:rFonts w:hint="eastAsia" w:ascii="宋体" w:hAnsi="宋体" w:cs="宋体"/>
          <w:i w:val="0"/>
          <w:iCs w:val="0"/>
          <w:caps w:val="0"/>
          <w:color w:val="auto"/>
          <w:spacing w:val="0"/>
          <w:kern w:val="0"/>
          <w:sz w:val="24"/>
          <w:szCs w:val="24"/>
          <w:highlight w:val="none"/>
          <w:lang w:val="en-US" w:eastAsia="zh-CN" w:bidi="ar-SA"/>
        </w:rPr>
        <w:t>3</w:t>
      </w:r>
      <w:r>
        <w:rPr>
          <w:rFonts w:hint="eastAsia" w:ascii="宋体" w:hAnsi="宋体" w:eastAsia="宋体" w:cs="宋体"/>
          <w:i w:val="0"/>
          <w:iCs w:val="0"/>
          <w:caps w:val="0"/>
          <w:color w:val="auto"/>
          <w:spacing w:val="0"/>
          <w:kern w:val="0"/>
          <w:sz w:val="24"/>
          <w:szCs w:val="24"/>
          <w:highlight w:val="none"/>
          <w:lang w:val="en-US" w:eastAsia="zh-CN" w:bidi="ar-SA"/>
        </w:rPr>
        <w:t>个工作日</w:t>
      </w:r>
      <w:r>
        <w:rPr>
          <w:rFonts w:hint="eastAsia" w:ascii="宋体" w:hAnsi="宋体" w:eastAsia="宋体" w:cs="宋体"/>
          <w:i w:val="0"/>
          <w:iCs w:val="0"/>
          <w:caps w:val="0"/>
          <w:color w:val="0000FF"/>
          <w:spacing w:val="0"/>
          <w:kern w:val="0"/>
          <w:sz w:val="24"/>
          <w:szCs w:val="24"/>
          <w:highlight w:val="none"/>
          <w:lang w:val="en-US" w:eastAsia="zh-CN" w:bidi="ar-SA"/>
        </w:rPr>
        <w:t>。</w:t>
      </w:r>
    </w:p>
    <w:p w14:paraId="669628F7">
      <w:pPr>
        <w:spacing w:line="360" w:lineRule="auto"/>
        <w:ind w:firstLine="542" w:firstLineChars="200"/>
        <w:rPr>
          <w:rStyle w:val="33"/>
          <w:rFonts w:hint="eastAsia" w:asciiTheme="minorEastAsia" w:hAnsiTheme="minorEastAsia" w:eastAsiaTheme="minorEastAsia" w:cstheme="minorEastAsia"/>
          <w:kern w:val="0"/>
          <w:sz w:val="27"/>
          <w:szCs w:val="27"/>
          <w:highlight w:val="none"/>
          <w:lang w:val="en-US" w:eastAsia="zh-CN" w:bidi="ar-SA"/>
        </w:rPr>
      </w:pPr>
      <w:r>
        <w:rPr>
          <w:rStyle w:val="33"/>
          <w:rFonts w:hint="eastAsia" w:asciiTheme="minorEastAsia" w:hAnsiTheme="minorEastAsia" w:eastAsiaTheme="minorEastAsia" w:cstheme="minorEastAsia"/>
          <w:kern w:val="0"/>
          <w:sz w:val="27"/>
          <w:szCs w:val="27"/>
          <w:highlight w:val="none"/>
          <w:lang w:val="en-US" w:eastAsia="zh-CN" w:bidi="ar-SA"/>
        </w:rPr>
        <w:t>六、其他补充事宜</w:t>
      </w:r>
    </w:p>
    <w:p w14:paraId="6ED61C6C">
      <w:pPr>
        <w:spacing w:line="360" w:lineRule="auto"/>
        <w:ind w:firstLine="480" w:firstLineChars="20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1、本项目实行网上投标，采用电子投标文件。</w:t>
      </w:r>
    </w:p>
    <w:p w14:paraId="010B4722">
      <w:pPr>
        <w:spacing w:line="360" w:lineRule="auto"/>
        <w:ind w:firstLine="480" w:firstLineChars="20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2、各供应商应在开标前确保成为正式注册入库供应商，并完成CA数字证书(符合国密标准)申领。因未注册入库、未办理CA数字证书等原因造成无法投标或投标失败等后果由供应商自行承担。如需咨询，请联系新疆-安信CA服务热线18399999326；翔晟CA服务热线025-66085508；新疆CA服务热线4000921999。</w:t>
      </w:r>
    </w:p>
    <w:p w14:paraId="4FCC0ED2">
      <w:pPr>
        <w:spacing w:line="360" w:lineRule="auto"/>
        <w:ind w:firstLine="480" w:firstLineChars="20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3、供应商将政采云电子交易客户端下载、安装完成后，可通过账号密码或CA登录客户端进行投标文件的制作。在使用政采云投标客户端时，建议使用WIN7及以上操作系统。</w:t>
      </w:r>
    </w:p>
    <w:p w14:paraId="4B07FBCE">
      <w:pPr>
        <w:spacing w:line="360" w:lineRule="auto"/>
        <w:ind w:firstLine="480" w:firstLineChars="20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4、其他事项：</w:t>
      </w:r>
      <w:r>
        <w:rPr>
          <w:rFonts w:hint="eastAsia" w:ascii="宋体" w:hAnsi="宋体" w:cs="宋体"/>
          <w:i w:val="0"/>
          <w:iCs w:val="0"/>
          <w:caps w:val="0"/>
          <w:color w:val="auto"/>
          <w:spacing w:val="0"/>
          <w:kern w:val="0"/>
          <w:sz w:val="24"/>
          <w:szCs w:val="24"/>
          <w:highlight w:val="none"/>
          <w:lang w:val="en-US" w:eastAsia="zh-CN" w:bidi="ar-SA"/>
        </w:rPr>
        <w:t>①</w:t>
      </w:r>
      <w:r>
        <w:rPr>
          <w:rFonts w:hint="eastAsia" w:ascii="宋体" w:hAnsi="宋体" w:eastAsia="宋体" w:cs="宋体"/>
          <w:i w:val="0"/>
          <w:iCs w:val="0"/>
          <w:caps w:val="0"/>
          <w:color w:val="auto"/>
          <w:spacing w:val="0"/>
          <w:kern w:val="0"/>
          <w:sz w:val="24"/>
          <w:szCs w:val="24"/>
          <w:highlight w:val="none"/>
          <w:lang w:val="en-US" w:eastAsia="zh-CN" w:bidi="ar-SA"/>
        </w:rPr>
        <w:t>本项目实行网上投标，采用电子投标文件。若供应商参与投标，自行承担投标一切费用。</w:t>
      </w:r>
      <w:r>
        <w:rPr>
          <w:rFonts w:hint="eastAsia" w:ascii="宋体" w:hAnsi="宋体" w:cs="宋体"/>
          <w:i w:val="0"/>
          <w:iCs w:val="0"/>
          <w:caps w:val="0"/>
          <w:color w:val="auto"/>
          <w:spacing w:val="0"/>
          <w:kern w:val="0"/>
          <w:sz w:val="24"/>
          <w:szCs w:val="24"/>
          <w:highlight w:val="none"/>
          <w:lang w:val="en-US" w:eastAsia="zh-CN" w:bidi="ar-SA"/>
        </w:rPr>
        <w:t>②</w:t>
      </w:r>
      <w:r>
        <w:rPr>
          <w:rFonts w:hint="eastAsia" w:ascii="宋体" w:hAnsi="宋体" w:eastAsia="宋体" w:cs="宋体"/>
          <w:i w:val="0"/>
          <w:iCs w:val="0"/>
          <w:caps w:val="0"/>
          <w:color w:val="auto"/>
          <w:spacing w:val="0"/>
          <w:kern w:val="0"/>
          <w:sz w:val="24"/>
          <w:szCs w:val="24"/>
          <w:highlight w:val="none"/>
          <w:lang w:val="en-US" w:eastAsia="zh-CN" w:bidi="ar-SA"/>
        </w:rPr>
        <w:t>各供应商在开标前应确保成为新疆维吾尔自治区政府采购网正式注册入库供应商，并完成CA数字证书申领。因未注册入库、未办理CA数字证书等原因造成无法投标或投标失败等后果由供应商自行承担。</w:t>
      </w:r>
      <w:r>
        <w:rPr>
          <w:rFonts w:hint="eastAsia" w:ascii="宋体" w:hAnsi="宋体" w:cs="宋体"/>
          <w:i w:val="0"/>
          <w:iCs w:val="0"/>
          <w:caps w:val="0"/>
          <w:color w:val="auto"/>
          <w:spacing w:val="0"/>
          <w:kern w:val="0"/>
          <w:sz w:val="24"/>
          <w:szCs w:val="24"/>
          <w:highlight w:val="none"/>
          <w:lang w:val="en-US" w:eastAsia="zh-CN" w:bidi="ar-SA"/>
        </w:rPr>
        <w:t>③</w:t>
      </w:r>
      <w:r>
        <w:rPr>
          <w:rFonts w:hint="eastAsia" w:ascii="宋体" w:hAnsi="宋体" w:eastAsia="宋体" w:cs="宋体"/>
          <w:i w:val="0"/>
          <w:iCs w:val="0"/>
          <w:caps w:val="0"/>
          <w:color w:val="auto"/>
          <w:spacing w:val="0"/>
          <w:kern w:val="0"/>
          <w:sz w:val="24"/>
          <w:szCs w:val="24"/>
          <w:highlight w:val="none"/>
          <w:lang w:val="en-US" w:eastAsia="zh-CN" w:bidi="ar-SA"/>
        </w:rPr>
        <w:t>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0EAD4F2F">
      <w:pPr>
        <w:spacing w:line="360" w:lineRule="auto"/>
        <w:ind w:firstLine="542" w:firstLineChars="200"/>
        <w:rPr>
          <w:rFonts w:hint="eastAsia" w:asciiTheme="minorEastAsia" w:hAnsiTheme="minorEastAsia" w:eastAsiaTheme="minorEastAsia" w:cstheme="minorEastAsia"/>
          <w:sz w:val="31"/>
          <w:szCs w:val="31"/>
          <w:highlight w:val="none"/>
        </w:rPr>
      </w:pPr>
      <w:r>
        <w:rPr>
          <w:rStyle w:val="33"/>
          <w:rFonts w:hint="eastAsia" w:asciiTheme="minorEastAsia" w:hAnsiTheme="minorEastAsia" w:eastAsiaTheme="minorEastAsia" w:cstheme="minorEastAsia"/>
          <w:sz w:val="27"/>
          <w:szCs w:val="27"/>
          <w:highlight w:val="none"/>
          <w:lang w:eastAsia="zh-CN"/>
        </w:rPr>
        <w:t>七</w:t>
      </w:r>
      <w:r>
        <w:rPr>
          <w:rStyle w:val="33"/>
          <w:rFonts w:hint="eastAsia" w:asciiTheme="minorEastAsia" w:hAnsiTheme="minorEastAsia" w:eastAsiaTheme="minorEastAsia" w:cstheme="minorEastAsia"/>
          <w:sz w:val="27"/>
          <w:szCs w:val="27"/>
          <w:highlight w:val="none"/>
        </w:rPr>
        <w:t>、凡对本次招标提出询问，请按以下方式联系</w:t>
      </w:r>
    </w:p>
    <w:p w14:paraId="25F865F6">
      <w:pPr>
        <w:spacing w:line="360" w:lineRule="auto"/>
        <w:ind w:left="239" w:leftChars="114" w:firstLine="240" w:firstLineChars="10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1.采购人信息</w:t>
      </w:r>
    </w:p>
    <w:p w14:paraId="3BFA81B0">
      <w:pPr>
        <w:spacing w:line="360" w:lineRule="auto"/>
        <w:ind w:left="239" w:leftChars="114" w:firstLine="240" w:firstLineChars="10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名 称：</w:t>
      </w:r>
      <w:r>
        <w:rPr>
          <w:rFonts w:hint="eastAsia" w:ascii="宋体" w:hAnsi="宋体" w:cs="宋体"/>
          <w:i w:val="0"/>
          <w:iCs w:val="0"/>
          <w:caps w:val="0"/>
          <w:color w:val="auto"/>
          <w:spacing w:val="0"/>
          <w:kern w:val="0"/>
          <w:sz w:val="24"/>
          <w:szCs w:val="24"/>
          <w:highlight w:val="none"/>
          <w:lang w:val="en-US" w:eastAsia="zh-CN" w:bidi="ar-SA"/>
        </w:rPr>
        <w:t>轮台县交通运输局</w:t>
      </w:r>
    </w:p>
    <w:p w14:paraId="619CDC24">
      <w:pPr>
        <w:spacing w:line="360" w:lineRule="auto"/>
        <w:ind w:left="239" w:leftChars="114" w:firstLine="240" w:firstLineChars="100"/>
        <w:rPr>
          <w:rFonts w:hint="default"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联系人：</w:t>
      </w:r>
      <w:r>
        <w:rPr>
          <w:rFonts w:hint="eastAsia" w:ascii="宋体" w:hAnsi="宋体" w:cs="宋体"/>
          <w:i w:val="0"/>
          <w:iCs w:val="0"/>
          <w:caps w:val="0"/>
          <w:color w:val="auto"/>
          <w:spacing w:val="0"/>
          <w:kern w:val="0"/>
          <w:sz w:val="24"/>
          <w:szCs w:val="24"/>
          <w:highlight w:val="none"/>
          <w:lang w:val="en-US" w:eastAsia="zh-CN" w:bidi="ar-SA"/>
        </w:rPr>
        <w:t>张梅</w:t>
      </w:r>
    </w:p>
    <w:p w14:paraId="2FD68569">
      <w:pPr>
        <w:spacing w:line="360" w:lineRule="auto"/>
        <w:ind w:left="239" w:leftChars="114" w:firstLine="240" w:firstLineChars="100"/>
        <w:rPr>
          <w:rFonts w:hint="default"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联系方式：</w:t>
      </w:r>
      <w:r>
        <w:rPr>
          <w:rFonts w:hint="eastAsia" w:ascii="宋体" w:hAnsi="宋体" w:cs="宋体"/>
          <w:i w:val="0"/>
          <w:iCs w:val="0"/>
          <w:caps w:val="0"/>
          <w:color w:val="auto"/>
          <w:spacing w:val="0"/>
          <w:kern w:val="0"/>
          <w:sz w:val="24"/>
          <w:szCs w:val="24"/>
          <w:highlight w:val="none"/>
          <w:lang w:val="en-US" w:eastAsia="zh-CN" w:bidi="ar-SA"/>
        </w:rPr>
        <w:t>13667503623</w:t>
      </w:r>
    </w:p>
    <w:p w14:paraId="0AAD2B46">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2.采购代理机构信息</w:t>
      </w:r>
    </w:p>
    <w:p w14:paraId="30E5230F">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lang w:val="en-US" w:eastAsia="zh-CN"/>
        </w:rPr>
        <w:t>新疆介石项目管理有限公司</w:t>
      </w:r>
    </w:p>
    <w:p w14:paraId="40E9B85E">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lang w:val="en-US" w:eastAsia="zh-CN"/>
        </w:rPr>
        <w:t>库尔勒市铁克其乡迎宾路 98 号智慧嘉苑 4 栋 2 层 01 号</w:t>
      </w:r>
    </w:p>
    <w:p w14:paraId="3C6143A5">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项目联系人：</w:t>
      </w:r>
      <w:r>
        <w:rPr>
          <w:rFonts w:hint="eastAsia" w:asciiTheme="minorEastAsia" w:hAnsiTheme="minorEastAsia" w:eastAsiaTheme="minorEastAsia" w:cstheme="minorEastAsia"/>
          <w:sz w:val="24"/>
          <w:szCs w:val="24"/>
          <w:lang w:val="en-US" w:eastAsia="zh-CN"/>
        </w:rPr>
        <w:t>谢小东</w:t>
      </w:r>
    </w:p>
    <w:p w14:paraId="58E6CCD8">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宋体"/>
          <w:i w:val="0"/>
          <w:iCs w:val="0"/>
          <w:caps w:val="0"/>
          <w:color w:val="auto"/>
          <w:spacing w:val="0"/>
          <w:kern w:val="0"/>
          <w:sz w:val="24"/>
          <w:szCs w:val="24"/>
          <w:highlight w:val="none"/>
          <w:lang w:val="en-US" w:eastAsia="zh-CN" w:bidi="ar-SA"/>
        </w:rPr>
        <w:t>联系方式</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17794895987</w:t>
      </w:r>
    </w:p>
    <w:p w14:paraId="538255FC">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p>
    <w:p w14:paraId="5A5F987B">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p>
    <w:p w14:paraId="7266D92E">
      <w:pPr>
        <w:rPr>
          <w:rFonts w:hint="eastAsia"/>
        </w:rPr>
      </w:pPr>
    </w:p>
    <w:p w14:paraId="201DE3E4">
      <w:pPr>
        <w:rPr>
          <w:rFonts w:hint="eastAsia"/>
        </w:rPr>
      </w:pPr>
    </w:p>
    <w:p w14:paraId="36F2D691">
      <w:pPr>
        <w:rPr>
          <w:rFonts w:hint="eastAsia"/>
        </w:rPr>
      </w:pPr>
    </w:p>
    <w:p w14:paraId="400D2546">
      <w:pPr>
        <w:numPr>
          <w:ilvl w:val="0"/>
          <w:numId w:val="4"/>
        </w:numPr>
        <w:spacing w:line="700" w:lineRule="exact"/>
        <w:jc w:val="center"/>
        <w:rPr>
          <w:rFonts w:hint="eastAsia" w:asciiTheme="minorEastAsia" w:hAnsiTheme="minorEastAsia" w:eastAsiaTheme="minorEastAsia" w:cstheme="minorEastAsia"/>
          <w:b/>
          <w:kern w:val="2"/>
          <w:sz w:val="36"/>
          <w:szCs w:val="36"/>
          <w:highlight w:val="none"/>
          <w:lang w:val="en-US" w:eastAsia="zh-CN" w:bidi="ar-SA"/>
        </w:rPr>
      </w:pPr>
      <w:r>
        <w:rPr>
          <w:rFonts w:hint="eastAsia" w:asciiTheme="minorEastAsia" w:hAnsiTheme="minorEastAsia" w:eastAsiaTheme="minorEastAsia" w:cstheme="minorEastAsia"/>
          <w:b/>
          <w:kern w:val="2"/>
          <w:sz w:val="36"/>
          <w:szCs w:val="36"/>
          <w:highlight w:val="none"/>
          <w:lang w:val="en-US" w:eastAsia="zh-CN" w:bidi="ar-SA"/>
        </w:rPr>
        <w:t xml:space="preserve"> 磋商供应商须知</w:t>
      </w:r>
    </w:p>
    <w:p w14:paraId="790A9BCB">
      <w:pPr>
        <w:numPr>
          <w:ilvl w:val="0"/>
          <w:numId w:val="0"/>
        </w:numPr>
        <w:spacing w:line="700" w:lineRule="exact"/>
        <w:jc w:val="center"/>
        <w:rPr>
          <w:rFonts w:hint="eastAsia" w:asciiTheme="minorEastAsia" w:hAnsiTheme="minorEastAsia" w:eastAsiaTheme="minorEastAsia" w:cstheme="minorEastAsia"/>
          <w:b/>
          <w:kern w:val="2"/>
          <w:sz w:val="26"/>
          <w:szCs w:val="26"/>
          <w:highlight w:val="none"/>
          <w:lang w:val="en-US" w:eastAsia="zh-CN" w:bidi="ar-SA"/>
        </w:rPr>
      </w:pPr>
      <w:r>
        <w:rPr>
          <w:rFonts w:hint="eastAsia" w:asciiTheme="minorEastAsia" w:hAnsiTheme="minorEastAsia" w:eastAsiaTheme="minorEastAsia" w:cstheme="minorEastAsia"/>
          <w:b/>
          <w:kern w:val="2"/>
          <w:sz w:val="26"/>
          <w:szCs w:val="26"/>
          <w:highlight w:val="none"/>
          <w:lang w:val="en-US" w:eastAsia="zh-CN" w:bidi="ar-SA"/>
        </w:rPr>
        <w:t xml:space="preserve">  供应商须知前附表</w:t>
      </w:r>
    </w:p>
    <w:tbl>
      <w:tblPr>
        <w:tblStyle w:val="3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59"/>
        <w:gridCol w:w="7030"/>
      </w:tblGrid>
      <w:tr w14:paraId="25A9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F900C7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项号</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2934D34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163B89C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   容</w:t>
            </w:r>
          </w:p>
        </w:tc>
      </w:tr>
      <w:tr w14:paraId="6EE08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17" w:type="dxa"/>
            <w:vMerge w:val="restart"/>
            <w:tcBorders>
              <w:top w:val="single" w:color="auto" w:sz="4" w:space="0"/>
              <w:left w:val="single" w:color="auto" w:sz="4" w:space="0"/>
              <w:right w:val="single" w:color="auto" w:sz="4" w:space="0"/>
            </w:tcBorders>
            <w:noWrap w:val="0"/>
            <w:vAlign w:val="center"/>
          </w:tcPr>
          <w:p w14:paraId="7E868C8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SEQ 前附表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p w14:paraId="303D7F18">
            <w:pPr>
              <w:jc w:val="center"/>
              <w:rPr>
                <w:rFonts w:hint="eastAsia" w:asciiTheme="minorEastAsia" w:hAnsiTheme="minorEastAsia" w:eastAsiaTheme="minorEastAsia" w:cstheme="minorEastAsia"/>
                <w:sz w:val="24"/>
                <w:szCs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790476F7">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项目名称</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27FDFFA3">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轮台县X237线塔尔拉克乡政府段改建项目</w:t>
            </w:r>
          </w:p>
        </w:tc>
      </w:tr>
      <w:tr w14:paraId="722C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17" w:type="dxa"/>
            <w:vMerge w:val="continue"/>
            <w:tcBorders>
              <w:left w:val="single" w:color="auto" w:sz="4" w:space="0"/>
              <w:right w:val="single" w:color="auto" w:sz="4" w:space="0"/>
            </w:tcBorders>
            <w:noWrap w:val="0"/>
            <w:vAlign w:val="center"/>
          </w:tcPr>
          <w:p w14:paraId="372F6C92">
            <w:pPr>
              <w:jc w:val="center"/>
              <w:rPr>
                <w:rFonts w:hint="eastAsia" w:asciiTheme="minorEastAsia" w:hAnsiTheme="minorEastAsia" w:eastAsiaTheme="minorEastAsia" w:cstheme="minorEastAsia"/>
                <w:sz w:val="24"/>
                <w:szCs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57093ADC">
            <w:pPr>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项目编号</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15E7D20B">
            <w:pPr>
              <w:jc w:val="left"/>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eastAsia="zh-CN"/>
              </w:rPr>
              <w:t>XJJSZC（JZXCS）2025-0</w:t>
            </w:r>
            <w:r>
              <w:rPr>
                <w:rFonts w:hint="eastAsia" w:asciiTheme="minorEastAsia" w:hAnsiTheme="minorEastAsia" w:eastAsiaTheme="minorEastAsia" w:cstheme="minorEastAsia"/>
                <w:b w:val="0"/>
                <w:bCs w:val="0"/>
                <w:sz w:val="24"/>
                <w:szCs w:val="24"/>
                <w:highlight w:val="none"/>
                <w:lang w:val="en-US" w:eastAsia="zh-CN"/>
              </w:rPr>
              <w:t>15</w:t>
            </w:r>
          </w:p>
        </w:tc>
      </w:tr>
      <w:tr w14:paraId="017E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817" w:type="dxa"/>
            <w:vMerge w:val="continue"/>
            <w:tcBorders>
              <w:left w:val="single" w:color="auto" w:sz="4" w:space="0"/>
              <w:right w:val="single" w:color="auto" w:sz="4" w:space="0"/>
            </w:tcBorders>
            <w:noWrap w:val="0"/>
            <w:vAlign w:val="center"/>
          </w:tcPr>
          <w:p w14:paraId="2291E4E2">
            <w:pPr>
              <w:jc w:val="center"/>
              <w:rPr>
                <w:rFonts w:hint="eastAsia" w:asciiTheme="minorEastAsia" w:hAnsiTheme="minorEastAsia" w:eastAsiaTheme="minorEastAsia" w:cstheme="minorEastAsia"/>
                <w:sz w:val="24"/>
                <w:szCs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7604C058">
            <w:pPr>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采购人</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1A4FD03D">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采购人名称：</w:t>
            </w:r>
            <w:r>
              <w:rPr>
                <w:rFonts w:hint="eastAsia" w:ascii="宋体" w:hAnsi="宋体" w:cs="宋体"/>
                <w:color w:val="auto"/>
                <w:sz w:val="24"/>
                <w:szCs w:val="24"/>
                <w:highlight w:val="none"/>
                <w:lang w:val="en-US" w:eastAsia="zh-CN"/>
              </w:rPr>
              <w:t>轮台县交通运输局</w:t>
            </w:r>
            <w:r>
              <w:rPr>
                <w:rFonts w:hint="eastAsia" w:ascii="宋体" w:hAnsi="宋体" w:eastAsia="宋体" w:cs="宋体"/>
                <w:color w:val="auto"/>
                <w:sz w:val="24"/>
                <w:szCs w:val="24"/>
                <w:highlight w:val="none"/>
                <w:lang w:val="en-US" w:eastAsia="zh-CN"/>
              </w:rPr>
              <w:t xml:space="preserve">     </w:t>
            </w:r>
          </w:p>
          <w:p w14:paraId="3804FEAB">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联系人：张梅</w:t>
            </w:r>
          </w:p>
          <w:p w14:paraId="20BB136D">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联系电话：13667503623</w:t>
            </w:r>
          </w:p>
        </w:tc>
      </w:tr>
      <w:tr w14:paraId="7AE5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817" w:type="dxa"/>
            <w:vMerge w:val="continue"/>
            <w:tcBorders>
              <w:left w:val="single" w:color="auto" w:sz="4" w:space="0"/>
              <w:right w:val="single" w:color="auto" w:sz="4" w:space="0"/>
            </w:tcBorders>
            <w:noWrap w:val="0"/>
            <w:vAlign w:val="center"/>
          </w:tcPr>
          <w:p w14:paraId="263104DB">
            <w:pPr>
              <w:jc w:val="center"/>
              <w:rPr>
                <w:rFonts w:hint="eastAsia" w:asciiTheme="minorEastAsia" w:hAnsiTheme="minorEastAsia" w:eastAsiaTheme="minorEastAsia" w:cstheme="minorEastAsia"/>
                <w:sz w:val="24"/>
                <w:szCs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15585EAC">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采购代理机构</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5B8182A9">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名  称：新疆介石项目管理有限公司      </w:t>
            </w:r>
          </w:p>
          <w:p w14:paraId="404CF9F2">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地  址：库尔勒市铁克其乡迎宾路 98 号智慧嘉苑4-2-01 </w:t>
            </w:r>
          </w:p>
          <w:p w14:paraId="365E3F4D">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联系人：谢小东</w:t>
            </w:r>
          </w:p>
          <w:p w14:paraId="67D276DF">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联系电话：17794895987 </w:t>
            </w:r>
          </w:p>
        </w:tc>
      </w:tr>
      <w:tr w14:paraId="2EC8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17" w:type="dxa"/>
            <w:vMerge w:val="continue"/>
            <w:tcBorders>
              <w:left w:val="single" w:color="auto" w:sz="4" w:space="0"/>
              <w:right w:val="single" w:color="auto" w:sz="4" w:space="0"/>
            </w:tcBorders>
            <w:noWrap w:val="0"/>
            <w:vAlign w:val="center"/>
          </w:tcPr>
          <w:p w14:paraId="7E8D1C45">
            <w:pPr>
              <w:jc w:val="center"/>
              <w:rPr>
                <w:rFonts w:hint="eastAsia" w:asciiTheme="minorEastAsia" w:hAnsiTheme="minorEastAsia" w:eastAsiaTheme="minorEastAsia" w:cstheme="minorEastAsia"/>
                <w:sz w:val="24"/>
                <w:szCs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7253A740">
            <w:pPr>
              <w:adjustRightInd w:val="0"/>
              <w:snapToGrid w:val="0"/>
              <w:spacing w:before="120" w:beforeLines="5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资金来源</w:t>
            </w:r>
          </w:p>
          <w:p w14:paraId="1FA32029">
            <w:pPr>
              <w:jc w:val="center"/>
              <w:rPr>
                <w:rFonts w:hint="eastAsia" w:asciiTheme="minorEastAsia" w:hAnsiTheme="minorEastAsia" w:eastAsiaTheme="minorEastAsia" w:cstheme="minorEastAsia"/>
                <w:b w:val="0"/>
                <w:bCs w:val="0"/>
                <w:sz w:val="24"/>
                <w:szCs w:val="24"/>
                <w:highlight w:val="none"/>
              </w:rPr>
            </w:pPr>
            <w:r>
              <w:rPr>
                <w:rFonts w:hint="eastAsia" w:ascii="宋体" w:hAnsi="宋体" w:cs="宋体"/>
                <w:b w:val="0"/>
                <w:bCs w:val="0"/>
                <w:color w:val="auto"/>
                <w:sz w:val="24"/>
                <w:szCs w:val="24"/>
                <w:highlight w:val="none"/>
              </w:rPr>
              <w:t>及落实情况</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34AF3866">
            <w:pPr>
              <w:jc w:val="left"/>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财政资金，</w:t>
            </w:r>
            <w:r>
              <w:rPr>
                <w:rFonts w:hint="eastAsia" w:asciiTheme="minorEastAsia" w:hAnsiTheme="minorEastAsia" w:eastAsiaTheme="minorEastAsia" w:cstheme="minorEastAsia"/>
                <w:kern w:val="0"/>
                <w:sz w:val="24"/>
                <w:szCs w:val="24"/>
                <w:highlight w:val="none"/>
                <w:lang w:val="en-US" w:eastAsia="zh-CN"/>
              </w:rPr>
              <w:t>已落实</w:t>
            </w:r>
          </w:p>
        </w:tc>
      </w:tr>
      <w:tr w14:paraId="175C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817" w:type="dxa"/>
            <w:vMerge w:val="continue"/>
            <w:tcBorders>
              <w:left w:val="single" w:color="auto" w:sz="4" w:space="0"/>
              <w:right w:val="single" w:color="auto" w:sz="4" w:space="0"/>
            </w:tcBorders>
            <w:noWrap w:val="0"/>
            <w:vAlign w:val="center"/>
          </w:tcPr>
          <w:p w14:paraId="55466A74">
            <w:pPr>
              <w:jc w:val="center"/>
              <w:rPr>
                <w:rFonts w:hint="eastAsia" w:asciiTheme="minorEastAsia" w:hAnsiTheme="minorEastAsia" w:eastAsiaTheme="minorEastAsia" w:cstheme="minorEastAsia"/>
                <w:sz w:val="24"/>
                <w:szCs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319CBC75">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项目预算</w:t>
            </w:r>
          </w:p>
          <w:p w14:paraId="46CD8224">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及</w:t>
            </w:r>
            <w:r>
              <w:rPr>
                <w:rFonts w:hint="eastAsia" w:ascii="宋体" w:hAnsi="宋体" w:eastAsia="宋体" w:cs="宋体"/>
                <w:b w:val="0"/>
                <w:bCs w:val="0"/>
                <w:color w:val="auto"/>
                <w:sz w:val="24"/>
                <w:szCs w:val="24"/>
                <w:highlight w:val="none"/>
              </w:rPr>
              <w:t>最高限价</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6B16AF31">
            <w:pPr>
              <w:adjustRightInd w:val="0"/>
              <w:snapToGrid w:val="0"/>
              <w:spacing w:before="120" w:beforeLines="5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项目预算</w:t>
            </w:r>
            <w:r>
              <w:rPr>
                <w:rFonts w:hint="eastAsia" w:asciiTheme="minorEastAsia" w:hAnsiTheme="minorEastAsia" w:eastAsiaTheme="minorEastAsia" w:cstheme="minorEastAsia"/>
                <w:sz w:val="24"/>
                <w:szCs w:val="24"/>
                <w:highlight w:val="none"/>
                <w:lang w:val="en-US" w:eastAsia="zh-CN"/>
              </w:rPr>
              <w:t>1433700.00</w:t>
            </w:r>
            <w:r>
              <w:rPr>
                <w:rFonts w:hint="eastAsia" w:ascii="宋体" w:hAnsi="宋体" w:eastAsia="宋体" w:cs="宋体"/>
                <w:b w:val="0"/>
                <w:bCs w:val="0"/>
                <w:color w:val="auto"/>
                <w:sz w:val="24"/>
                <w:szCs w:val="24"/>
                <w:highlight w:val="none"/>
                <w:lang w:val="en-US" w:eastAsia="zh-CN"/>
              </w:rPr>
              <w:t xml:space="preserve">元 </w:t>
            </w:r>
          </w:p>
          <w:p w14:paraId="167BEA13">
            <w:pPr>
              <w:spacing w:line="360" w:lineRule="auto"/>
              <w:rPr>
                <w:rFonts w:hint="eastAsia" w:asciiTheme="minorEastAsia" w:hAnsiTheme="minorEastAsia" w:eastAsiaTheme="minorEastAsia" w:cstheme="minorEastAsia"/>
                <w:sz w:val="24"/>
                <w:szCs w:val="24"/>
                <w:highlight w:val="none"/>
                <w:lang w:eastAsia="zh-CN"/>
              </w:rPr>
            </w:pPr>
            <w:r>
              <w:rPr>
                <w:rFonts w:hint="eastAsia" w:ascii="宋体" w:hAnsi="宋体" w:eastAsia="宋体" w:cs="宋体"/>
                <w:b/>
                <w:bCs/>
                <w:color w:val="auto"/>
                <w:sz w:val="24"/>
                <w:szCs w:val="24"/>
                <w:highlight w:val="none"/>
                <w:lang w:val="en-US" w:eastAsia="zh-CN"/>
              </w:rPr>
              <w:t>项目</w:t>
            </w:r>
            <w:r>
              <w:rPr>
                <w:rFonts w:hint="eastAsia" w:ascii="宋体" w:hAnsi="宋体" w:eastAsia="宋体" w:cs="宋体"/>
                <w:b/>
                <w:bCs/>
                <w:color w:val="auto"/>
                <w:sz w:val="24"/>
                <w:szCs w:val="24"/>
                <w:highlight w:val="none"/>
              </w:rPr>
              <w:t>最高限</w:t>
            </w:r>
            <w:r>
              <w:rPr>
                <w:rFonts w:hint="eastAsia" w:ascii="宋体" w:hAnsi="宋体" w:eastAsia="宋体" w:cs="宋体"/>
                <w:b/>
                <w:bCs/>
                <w:color w:val="auto"/>
                <w:sz w:val="24"/>
                <w:szCs w:val="24"/>
                <w:highlight w:val="none"/>
                <w:lang w:val="en-US" w:eastAsia="zh-CN"/>
              </w:rPr>
              <w:t>价：</w:t>
            </w:r>
            <w:r>
              <w:rPr>
                <w:rFonts w:hint="eastAsia" w:asciiTheme="minorEastAsia" w:hAnsiTheme="minorEastAsia" w:eastAsiaTheme="minorEastAsia" w:cstheme="minorEastAsia"/>
                <w:sz w:val="24"/>
                <w:szCs w:val="24"/>
                <w:highlight w:val="none"/>
                <w:lang w:val="en-US" w:eastAsia="zh-CN"/>
              </w:rPr>
              <w:t>1431673.42</w:t>
            </w:r>
            <w:r>
              <w:rPr>
                <w:rFonts w:hint="eastAsia" w:ascii="宋体" w:hAnsi="宋体" w:eastAsia="宋体" w:cs="宋体"/>
                <w:b/>
                <w:bCs/>
                <w:color w:val="auto"/>
                <w:sz w:val="24"/>
                <w:szCs w:val="24"/>
                <w:highlight w:val="none"/>
                <w:lang w:val="en-US" w:eastAsia="zh-CN"/>
              </w:rPr>
              <w:t>元（投标报价超过最高限价将作废标处理）</w:t>
            </w:r>
          </w:p>
        </w:tc>
      </w:tr>
      <w:tr w14:paraId="3226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17" w:type="dxa"/>
            <w:vMerge w:val="continue"/>
            <w:tcBorders>
              <w:left w:val="single" w:color="auto" w:sz="4" w:space="0"/>
              <w:right w:val="single" w:color="auto" w:sz="4" w:space="0"/>
            </w:tcBorders>
            <w:noWrap w:val="0"/>
            <w:vAlign w:val="center"/>
          </w:tcPr>
          <w:p w14:paraId="0AD81E58">
            <w:pPr>
              <w:jc w:val="center"/>
              <w:rPr>
                <w:rFonts w:hint="eastAsia" w:asciiTheme="minorEastAsia" w:hAnsiTheme="minorEastAsia" w:eastAsiaTheme="minorEastAsia" w:cstheme="minorEastAsia"/>
                <w:sz w:val="24"/>
                <w:szCs w:val="24"/>
              </w:rPr>
            </w:pPr>
          </w:p>
        </w:tc>
        <w:tc>
          <w:tcPr>
            <w:tcW w:w="17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61D018">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采购方式</w:t>
            </w:r>
          </w:p>
        </w:tc>
        <w:tc>
          <w:tcPr>
            <w:tcW w:w="70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6B4225">
            <w:pPr>
              <w:spacing w:line="360" w:lineRule="auto"/>
              <w:jc w:val="both"/>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竞争性磋商</w:t>
            </w:r>
          </w:p>
        </w:tc>
      </w:tr>
      <w:tr w14:paraId="1A01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7" w:type="dxa"/>
            <w:vMerge w:val="continue"/>
            <w:tcBorders>
              <w:left w:val="single" w:color="auto" w:sz="4" w:space="0"/>
              <w:right w:val="single" w:color="auto" w:sz="4" w:space="0"/>
            </w:tcBorders>
            <w:noWrap w:val="0"/>
            <w:vAlign w:val="center"/>
          </w:tcPr>
          <w:p w14:paraId="11B5DD8B">
            <w:pPr>
              <w:jc w:val="center"/>
              <w:rPr>
                <w:rFonts w:hint="eastAsia" w:asciiTheme="minorEastAsia" w:hAnsiTheme="minorEastAsia" w:eastAsiaTheme="minorEastAsia" w:cstheme="minorEastAsia"/>
                <w:sz w:val="24"/>
                <w:szCs w:val="24"/>
              </w:rPr>
            </w:pPr>
          </w:p>
        </w:tc>
        <w:tc>
          <w:tcPr>
            <w:tcW w:w="17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281860">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项目简要描述</w:t>
            </w:r>
          </w:p>
        </w:tc>
        <w:tc>
          <w:tcPr>
            <w:tcW w:w="70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26C9DF">
            <w:pPr>
              <w:spacing w:line="360" w:lineRule="auto"/>
              <w:jc w:val="both"/>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计划对X237线K16+077-K18+764段（塔尔拉克乡政府路段）实施改建，同时对该线路铁路桥下方严重受损部分修复，建设里程共2.687公里，三级公路标准，主要建设道路及附属设施。该项目主要为道路改建，均利用既有用地，不涉及突破原有征地边界。</w:t>
            </w:r>
          </w:p>
        </w:tc>
      </w:tr>
      <w:tr w14:paraId="584E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17" w:type="dxa"/>
            <w:tcBorders>
              <w:left w:val="single" w:color="auto" w:sz="4" w:space="0"/>
              <w:bottom w:val="single" w:color="auto" w:sz="4" w:space="0"/>
              <w:right w:val="single" w:color="auto" w:sz="4" w:space="0"/>
            </w:tcBorders>
            <w:noWrap w:val="0"/>
            <w:vAlign w:val="center"/>
          </w:tcPr>
          <w:p w14:paraId="4CE91A64">
            <w:pPr>
              <w:jc w:val="center"/>
              <w:rPr>
                <w:rFonts w:hint="eastAsia" w:asciiTheme="minorEastAsia" w:hAnsiTheme="minorEastAsia" w:eastAsiaTheme="minorEastAsia" w:cstheme="minorEastAsia"/>
                <w:sz w:val="24"/>
                <w:szCs w:val="24"/>
                <w:lang w:val="en-US" w:eastAsia="zh-CN"/>
              </w:rPr>
            </w:pPr>
          </w:p>
          <w:p w14:paraId="59B6A8C2">
            <w:pPr>
              <w:jc w:val="center"/>
              <w:rPr>
                <w:rFonts w:hint="eastAsia" w:asciiTheme="minorEastAsia" w:hAnsiTheme="minorEastAsia" w:eastAsiaTheme="minorEastAsia" w:cstheme="minorEastAsia"/>
                <w:sz w:val="24"/>
                <w:szCs w:val="24"/>
                <w:lang w:val="en-US" w:eastAsia="zh-CN"/>
              </w:rPr>
            </w:pPr>
          </w:p>
          <w:p w14:paraId="1674E2E9">
            <w:pPr>
              <w:jc w:val="center"/>
              <w:rPr>
                <w:rFonts w:hint="eastAsia" w:asciiTheme="minorEastAsia" w:hAnsiTheme="minorEastAsia" w:eastAsiaTheme="minorEastAsia" w:cstheme="minorEastAsia"/>
                <w:sz w:val="24"/>
                <w:szCs w:val="24"/>
                <w:lang w:val="en-US" w:eastAsia="zh-CN"/>
              </w:rPr>
            </w:pPr>
          </w:p>
          <w:p w14:paraId="4BA66DE2">
            <w:pPr>
              <w:jc w:val="center"/>
              <w:rPr>
                <w:rFonts w:hint="eastAsia" w:asciiTheme="minorEastAsia" w:hAnsiTheme="minorEastAsia" w:eastAsiaTheme="minorEastAsia" w:cstheme="minorEastAsia"/>
                <w:sz w:val="24"/>
                <w:szCs w:val="24"/>
                <w:lang w:val="en-US" w:eastAsia="zh-CN"/>
              </w:rPr>
            </w:pPr>
          </w:p>
          <w:p w14:paraId="7C7C2465">
            <w:pPr>
              <w:jc w:val="center"/>
              <w:rPr>
                <w:rFonts w:hint="eastAsia" w:asciiTheme="minorEastAsia" w:hAnsiTheme="minorEastAsia" w:eastAsiaTheme="minorEastAsia" w:cstheme="minorEastAsia"/>
                <w:sz w:val="24"/>
                <w:szCs w:val="24"/>
                <w:lang w:val="en-US" w:eastAsia="zh-CN"/>
              </w:rPr>
            </w:pPr>
          </w:p>
          <w:p w14:paraId="440511CA">
            <w:pPr>
              <w:jc w:val="center"/>
              <w:rPr>
                <w:rFonts w:hint="eastAsia" w:asciiTheme="minorEastAsia" w:hAnsiTheme="minorEastAsia" w:eastAsiaTheme="minorEastAsia" w:cstheme="minorEastAsia"/>
                <w:sz w:val="24"/>
                <w:szCs w:val="24"/>
                <w:lang w:val="en-US" w:eastAsia="zh-CN"/>
              </w:rPr>
            </w:pPr>
          </w:p>
          <w:p w14:paraId="3C062956">
            <w:pPr>
              <w:jc w:val="center"/>
              <w:rPr>
                <w:rFonts w:hint="eastAsia" w:asciiTheme="minorEastAsia" w:hAnsiTheme="minorEastAsia" w:eastAsiaTheme="minorEastAsia" w:cstheme="minorEastAsia"/>
                <w:sz w:val="24"/>
                <w:szCs w:val="24"/>
                <w:lang w:val="en-US" w:eastAsia="zh-CN"/>
              </w:rPr>
            </w:pPr>
          </w:p>
          <w:p w14:paraId="4F1E22CD">
            <w:pPr>
              <w:jc w:val="center"/>
              <w:rPr>
                <w:rFonts w:hint="eastAsia" w:asciiTheme="minorEastAsia" w:hAnsiTheme="minorEastAsia" w:eastAsiaTheme="minorEastAsia" w:cstheme="minorEastAsia"/>
                <w:sz w:val="24"/>
                <w:szCs w:val="24"/>
                <w:lang w:val="en-US" w:eastAsia="zh-CN"/>
              </w:rPr>
            </w:pPr>
          </w:p>
          <w:p w14:paraId="5C1879C0">
            <w:pPr>
              <w:jc w:val="center"/>
              <w:rPr>
                <w:rFonts w:hint="eastAsia" w:asciiTheme="minorEastAsia" w:hAnsiTheme="minorEastAsia" w:eastAsiaTheme="minorEastAsia" w:cstheme="minorEastAsia"/>
                <w:sz w:val="24"/>
                <w:szCs w:val="24"/>
                <w:lang w:val="en-US" w:eastAsia="zh-CN"/>
              </w:rPr>
            </w:pPr>
          </w:p>
          <w:p w14:paraId="6CA30DCC">
            <w:pPr>
              <w:jc w:val="center"/>
              <w:rPr>
                <w:rFonts w:hint="eastAsia" w:asciiTheme="minorEastAsia" w:hAnsiTheme="minorEastAsia" w:eastAsiaTheme="minorEastAsia" w:cstheme="minorEastAsia"/>
                <w:sz w:val="24"/>
                <w:szCs w:val="24"/>
                <w:lang w:val="en-US" w:eastAsia="zh-CN"/>
              </w:rPr>
            </w:pPr>
          </w:p>
          <w:p w14:paraId="418E7ED6">
            <w:pPr>
              <w:jc w:val="center"/>
              <w:rPr>
                <w:rFonts w:hint="eastAsia" w:asciiTheme="minorEastAsia" w:hAnsiTheme="minorEastAsia" w:eastAsiaTheme="minorEastAsia" w:cstheme="minorEastAsia"/>
                <w:sz w:val="24"/>
                <w:szCs w:val="24"/>
                <w:lang w:val="en-US" w:eastAsia="zh-CN"/>
              </w:rPr>
            </w:pPr>
          </w:p>
          <w:p w14:paraId="4ABC1A92">
            <w:pPr>
              <w:jc w:val="center"/>
              <w:rPr>
                <w:rFonts w:hint="eastAsia" w:asciiTheme="minorEastAsia" w:hAnsiTheme="minorEastAsia" w:eastAsiaTheme="minorEastAsia" w:cstheme="minorEastAsia"/>
                <w:sz w:val="24"/>
                <w:szCs w:val="24"/>
                <w:lang w:val="en-US" w:eastAsia="zh-CN"/>
              </w:rPr>
            </w:pPr>
          </w:p>
          <w:p w14:paraId="2FF31753">
            <w:pPr>
              <w:jc w:val="center"/>
              <w:rPr>
                <w:rFonts w:hint="eastAsia" w:asciiTheme="minorEastAsia" w:hAnsiTheme="minorEastAsia" w:eastAsiaTheme="minorEastAsia" w:cstheme="minorEastAsia"/>
                <w:sz w:val="24"/>
                <w:szCs w:val="24"/>
                <w:lang w:val="en-US" w:eastAsia="zh-CN"/>
              </w:rPr>
            </w:pPr>
          </w:p>
          <w:p w14:paraId="43A777C7">
            <w:pPr>
              <w:jc w:val="center"/>
              <w:rPr>
                <w:rFonts w:hint="eastAsia" w:asciiTheme="minorEastAsia" w:hAnsiTheme="minorEastAsia" w:eastAsiaTheme="minorEastAsia" w:cstheme="minorEastAsia"/>
                <w:sz w:val="24"/>
                <w:szCs w:val="24"/>
                <w:lang w:val="en-US" w:eastAsia="zh-CN"/>
              </w:rPr>
            </w:pPr>
          </w:p>
          <w:p w14:paraId="09CD18EF">
            <w:pPr>
              <w:jc w:val="center"/>
              <w:rPr>
                <w:rFonts w:hint="eastAsia" w:asciiTheme="minorEastAsia" w:hAnsiTheme="minorEastAsia" w:eastAsiaTheme="minorEastAsia" w:cstheme="minorEastAsia"/>
                <w:sz w:val="24"/>
                <w:szCs w:val="24"/>
                <w:lang w:val="en-US" w:eastAsia="zh-CN"/>
              </w:rPr>
            </w:pPr>
          </w:p>
          <w:p w14:paraId="1683B2F4">
            <w:pPr>
              <w:jc w:val="center"/>
              <w:rPr>
                <w:rFonts w:hint="eastAsia" w:asciiTheme="minorEastAsia" w:hAnsiTheme="minorEastAsia" w:eastAsiaTheme="minorEastAsia" w:cstheme="minorEastAsia"/>
                <w:sz w:val="24"/>
                <w:szCs w:val="24"/>
                <w:lang w:val="en-US" w:eastAsia="zh-CN"/>
              </w:rPr>
            </w:pPr>
          </w:p>
          <w:p w14:paraId="1FDAAE95">
            <w:pPr>
              <w:jc w:val="center"/>
              <w:rPr>
                <w:rFonts w:hint="eastAsia" w:asciiTheme="minorEastAsia" w:hAnsiTheme="minorEastAsia" w:eastAsiaTheme="minorEastAsia" w:cstheme="minorEastAsia"/>
                <w:sz w:val="24"/>
                <w:szCs w:val="24"/>
                <w:lang w:val="en-US" w:eastAsia="zh-CN"/>
              </w:rPr>
            </w:pPr>
          </w:p>
          <w:p w14:paraId="499A4E55">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p w14:paraId="69521F41">
            <w:pPr>
              <w:pStyle w:val="3"/>
              <w:rPr>
                <w:rFonts w:hint="eastAsia" w:asciiTheme="minorEastAsia" w:hAnsiTheme="minorEastAsia" w:eastAsiaTheme="minorEastAsia" w:cstheme="minorEastAsia"/>
                <w:sz w:val="24"/>
                <w:szCs w:val="24"/>
                <w:lang w:val="en-US" w:eastAsia="zh-CN"/>
              </w:rPr>
            </w:pPr>
          </w:p>
          <w:p w14:paraId="097CFC04">
            <w:pPr>
              <w:rPr>
                <w:rFonts w:hint="eastAsia"/>
                <w:lang w:val="en-US" w:eastAsia="zh-CN"/>
              </w:rPr>
            </w:pPr>
          </w:p>
        </w:tc>
        <w:tc>
          <w:tcPr>
            <w:tcW w:w="17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421EF9">
            <w:pPr>
              <w:jc w:val="center"/>
              <w:rPr>
                <w:rFonts w:hint="eastAsia" w:ascii="宋体" w:hAnsi="宋体" w:eastAsia="宋体" w:cs="宋体"/>
                <w:b w:val="0"/>
                <w:bCs w:val="0"/>
                <w:color w:val="auto"/>
                <w:sz w:val="24"/>
                <w:szCs w:val="24"/>
                <w:highlight w:val="none"/>
                <w:lang w:val="en-US" w:eastAsia="zh-CN"/>
              </w:rPr>
            </w:pPr>
          </w:p>
          <w:p w14:paraId="3091D2F5">
            <w:pPr>
              <w:jc w:val="center"/>
              <w:rPr>
                <w:rFonts w:hint="eastAsia" w:ascii="宋体" w:hAnsi="宋体" w:eastAsia="宋体" w:cs="宋体"/>
                <w:b w:val="0"/>
                <w:bCs w:val="0"/>
                <w:color w:val="auto"/>
                <w:sz w:val="24"/>
                <w:szCs w:val="24"/>
                <w:highlight w:val="none"/>
                <w:lang w:val="en-US" w:eastAsia="zh-CN"/>
              </w:rPr>
            </w:pPr>
          </w:p>
          <w:p w14:paraId="0CC15867">
            <w:pPr>
              <w:jc w:val="center"/>
              <w:rPr>
                <w:rFonts w:hint="eastAsia" w:ascii="宋体" w:hAnsi="宋体" w:eastAsia="宋体" w:cs="宋体"/>
                <w:b w:val="0"/>
                <w:bCs w:val="0"/>
                <w:color w:val="auto"/>
                <w:sz w:val="24"/>
                <w:szCs w:val="24"/>
                <w:highlight w:val="none"/>
                <w:lang w:val="en-US" w:eastAsia="zh-CN"/>
              </w:rPr>
            </w:pPr>
          </w:p>
          <w:p w14:paraId="3D34A731">
            <w:pPr>
              <w:jc w:val="center"/>
              <w:rPr>
                <w:rFonts w:hint="eastAsia" w:ascii="宋体" w:hAnsi="宋体" w:eastAsia="宋体" w:cs="宋体"/>
                <w:b w:val="0"/>
                <w:bCs w:val="0"/>
                <w:color w:val="auto"/>
                <w:sz w:val="24"/>
                <w:szCs w:val="24"/>
                <w:highlight w:val="none"/>
                <w:lang w:val="en-US" w:eastAsia="zh-CN"/>
              </w:rPr>
            </w:pPr>
          </w:p>
          <w:p w14:paraId="3CEAA783">
            <w:pPr>
              <w:jc w:val="center"/>
              <w:rPr>
                <w:rFonts w:hint="eastAsia" w:ascii="宋体" w:hAnsi="宋体" w:eastAsia="宋体" w:cs="宋体"/>
                <w:b w:val="0"/>
                <w:bCs w:val="0"/>
                <w:color w:val="auto"/>
                <w:sz w:val="24"/>
                <w:szCs w:val="24"/>
                <w:highlight w:val="none"/>
                <w:lang w:val="en-US" w:eastAsia="zh-CN"/>
              </w:rPr>
            </w:pPr>
          </w:p>
          <w:p w14:paraId="736E90A3">
            <w:pPr>
              <w:jc w:val="center"/>
              <w:rPr>
                <w:rFonts w:hint="eastAsia" w:ascii="宋体" w:hAnsi="宋体" w:eastAsia="宋体" w:cs="宋体"/>
                <w:b w:val="0"/>
                <w:bCs w:val="0"/>
                <w:color w:val="auto"/>
                <w:sz w:val="24"/>
                <w:szCs w:val="24"/>
                <w:highlight w:val="none"/>
                <w:lang w:val="en-US" w:eastAsia="zh-CN"/>
              </w:rPr>
            </w:pPr>
          </w:p>
          <w:p w14:paraId="58DC8D9A">
            <w:pPr>
              <w:jc w:val="center"/>
              <w:rPr>
                <w:rFonts w:hint="eastAsia" w:ascii="宋体" w:hAnsi="宋体" w:eastAsia="宋体" w:cs="宋体"/>
                <w:b w:val="0"/>
                <w:bCs w:val="0"/>
                <w:color w:val="auto"/>
                <w:sz w:val="24"/>
                <w:szCs w:val="24"/>
                <w:highlight w:val="none"/>
                <w:lang w:val="en-US" w:eastAsia="zh-CN"/>
              </w:rPr>
            </w:pPr>
          </w:p>
          <w:p w14:paraId="29662345">
            <w:pPr>
              <w:jc w:val="center"/>
              <w:rPr>
                <w:rFonts w:hint="eastAsia" w:ascii="宋体" w:hAnsi="宋体" w:eastAsia="宋体" w:cs="宋体"/>
                <w:b w:val="0"/>
                <w:bCs w:val="0"/>
                <w:color w:val="auto"/>
                <w:sz w:val="24"/>
                <w:szCs w:val="24"/>
                <w:highlight w:val="none"/>
                <w:lang w:val="en-US" w:eastAsia="zh-CN"/>
              </w:rPr>
            </w:pPr>
          </w:p>
          <w:p w14:paraId="265513B9">
            <w:pPr>
              <w:jc w:val="center"/>
              <w:rPr>
                <w:rFonts w:hint="eastAsia" w:ascii="宋体" w:hAnsi="宋体" w:eastAsia="宋体" w:cs="宋体"/>
                <w:b w:val="0"/>
                <w:bCs w:val="0"/>
                <w:color w:val="auto"/>
                <w:sz w:val="24"/>
                <w:szCs w:val="24"/>
                <w:highlight w:val="none"/>
                <w:lang w:val="en-US" w:eastAsia="zh-CN"/>
              </w:rPr>
            </w:pPr>
          </w:p>
          <w:p w14:paraId="051726E1">
            <w:pPr>
              <w:jc w:val="center"/>
              <w:rPr>
                <w:rFonts w:hint="eastAsia" w:ascii="宋体" w:hAnsi="宋体" w:eastAsia="宋体" w:cs="宋体"/>
                <w:b w:val="0"/>
                <w:bCs w:val="0"/>
                <w:color w:val="auto"/>
                <w:sz w:val="24"/>
                <w:szCs w:val="24"/>
                <w:highlight w:val="none"/>
                <w:lang w:val="en-US" w:eastAsia="zh-CN"/>
              </w:rPr>
            </w:pPr>
          </w:p>
          <w:p w14:paraId="07571E90">
            <w:pPr>
              <w:jc w:val="center"/>
              <w:rPr>
                <w:rFonts w:hint="eastAsia" w:ascii="宋体" w:hAnsi="宋体" w:eastAsia="宋体" w:cs="宋体"/>
                <w:b w:val="0"/>
                <w:bCs w:val="0"/>
                <w:color w:val="auto"/>
                <w:sz w:val="24"/>
                <w:szCs w:val="24"/>
                <w:highlight w:val="none"/>
                <w:lang w:val="en-US" w:eastAsia="zh-CN"/>
              </w:rPr>
            </w:pPr>
          </w:p>
          <w:p w14:paraId="52006FAE">
            <w:pPr>
              <w:jc w:val="center"/>
              <w:rPr>
                <w:rFonts w:hint="eastAsia" w:ascii="宋体" w:hAnsi="宋体" w:eastAsia="宋体" w:cs="宋体"/>
                <w:b w:val="0"/>
                <w:bCs w:val="0"/>
                <w:color w:val="auto"/>
                <w:sz w:val="24"/>
                <w:szCs w:val="24"/>
                <w:highlight w:val="none"/>
                <w:lang w:val="en-US" w:eastAsia="zh-CN"/>
              </w:rPr>
            </w:pPr>
          </w:p>
          <w:p w14:paraId="09B0C459">
            <w:pPr>
              <w:jc w:val="center"/>
              <w:rPr>
                <w:rFonts w:hint="eastAsia" w:ascii="宋体" w:hAnsi="宋体" w:eastAsia="宋体" w:cs="宋体"/>
                <w:b w:val="0"/>
                <w:bCs w:val="0"/>
                <w:color w:val="auto"/>
                <w:sz w:val="24"/>
                <w:szCs w:val="24"/>
                <w:highlight w:val="none"/>
                <w:lang w:val="en-US" w:eastAsia="zh-CN"/>
              </w:rPr>
            </w:pPr>
          </w:p>
          <w:p w14:paraId="7F318484">
            <w:pPr>
              <w:jc w:val="center"/>
              <w:rPr>
                <w:rFonts w:hint="eastAsia" w:ascii="宋体" w:hAnsi="宋体" w:eastAsia="宋体" w:cs="宋体"/>
                <w:b w:val="0"/>
                <w:bCs w:val="0"/>
                <w:color w:val="auto"/>
                <w:sz w:val="24"/>
                <w:szCs w:val="24"/>
                <w:highlight w:val="none"/>
                <w:lang w:val="en-US" w:eastAsia="zh-CN"/>
              </w:rPr>
            </w:pPr>
          </w:p>
          <w:p w14:paraId="693CBF19">
            <w:pPr>
              <w:jc w:val="center"/>
              <w:rPr>
                <w:rFonts w:hint="eastAsia" w:ascii="宋体" w:hAnsi="宋体" w:eastAsia="宋体" w:cs="宋体"/>
                <w:b w:val="0"/>
                <w:bCs w:val="0"/>
                <w:color w:val="auto"/>
                <w:sz w:val="24"/>
                <w:szCs w:val="24"/>
                <w:highlight w:val="none"/>
                <w:lang w:val="en-US" w:eastAsia="zh-CN"/>
              </w:rPr>
            </w:pPr>
          </w:p>
          <w:p w14:paraId="4504BBD9">
            <w:pPr>
              <w:jc w:val="center"/>
              <w:rPr>
                <w:rFonts w:hint="eastAsia" w:ascii="宋体" w:hAnsi="宋体" w:eastAsia="宋体" w:cs="宋体"/>
                <w:b w:val="0"/>
                <w:bCs w:val="0"/>
                <w:color w:val="auto"/>
                <w:sz w:val="24"/>
                <w:szCs w:val="24"/>
                <w:highlight w:val="none"/>
                <w:lang w:val="en-US" w:eastAsia="zh-CN"/>
              </w:rPr>
            </w:pPr>
          </w:p>
          <w:p w14:paraId="14FFFAB2">
            <w:pPr>
              <w:jc w:val="center"/>
              <w:rPr>
                <w:rFonts w:hint="eastAsia" w:ascii="宋体" w:hAnsi="宋体" w:eastAsia="宋体" w:cs="宋体"/>
                <w:b w:val="0"/>
                <w:bCs w:val="0"/>
                <w:color w:val="auto"/>
                <w:sz w:val="24"/>
                <w:szCs w:val="24"/>
                <w:highlight w:val="none"/>
                <w:lang w:val="en-US" w:eastAsia="zh-CN"/>
              </w:rPr>
            </w:pPr>
          </w:p>
          <w:p w14:paraId="1ACFC94F">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w:t>
            </w:r>
          </w:p>
          <w:p w14:paraId="7F51ABAD">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资格条件</w:t>
            </w:r>
          </w:p>
        </w:tc>
        <w:tc>
          <w:tcPr>
            <w:tcW w:w="70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5CD849">
            <w:pPr>
              <w:spacing w:line="360" w:lineRule="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1、本项目基本资格要求：</w:t>
            </w:r>
          </w:p>
          <w:p w14:paraId="75D7D40A">
            <w:pPr>
              <w:spacing w:line="36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（1）满足《中华人民共和国政府采购法》第二十二条规定；</w:t>
            </w:r>
          </w:p>
          <w:p w14:paraId="70695D24">
            <w:p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r>
              <w:rPr>
                <w:rFonts w:hint="default" w:ascii="宋体" w:hAnsi="宋体" w:eastAsia="宋体" w:cs="宋体"/>
                <w:color w:val="auto"/>
                <w:kern w:val="0"/>
                <w:sz w:val="24"/>
                <w:szCs w:val="24"/>
                <w:highlight w:val="none"/>
                <w:lang w:val="en-US" w:eastAsia="zh-CN"/>
              </w:rPr>
              <w:t>单位负责人为同一人或者存在直接控股、管理关系的不同供应商，不得参加同一合同项下的政府采购活动。除单一来源采购项目外，</w:t>
            </w:r>
            <w:r>
              <w:rPr>
                <w:rFonts w:hint="eastAsia" w:ascii="宋体" w:hAnsi="宋体" w:eastAsia="宋体" w:cs="宋体"/>
                <w:color w:val="auto"/>
                <w:kern w:val="0"/>
                <w:sz w:val="24"/>
                <w:szCs w:val="24"/>
                <w:highlight w:val="none"/>
                <w:lang w:val="en-US" w:eastAsia="zh-CN"/>
              </w:rPr>
              <w:t>为采购项目提供整体设计、规范编制或者项目管理、监理、检测等服务的供应商，不得再参加该采购项目的其他采购活动</w:t>
            </w:r>
            <w:r>
              <w:rPr>
                <w:rFonts w:hint="eastAsia" w:ascii="宋体" w:hAnsi="宋体" w:cs="宋体"/>
                <w:color w:val="auto"/>
                <w:kern w:val="0"/>
                <w:sz w:val="24"/>
                <w:szCs w:val="24"/>
                <w:highlight w:val="none"/>
                <w:lang w:val="en-US" w:eastAsia="zh-CN"/>
              </w:rPr>
              <w:t>；</w:t>
            </w:r>
          </w:p>
          <w:p w14:paraId="3329DAD5">
            <w:pPr>
              <w:numPr>
                <w:ilvl w:val="0"/>
                <w:numId w:val="0"/>
              </w:numPr>
              <w:spacing w:line="360" w:lineRule="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eastAsia="zh-CN"/>
              </w:rPr>
              <w:t>经 信 用 中 国 （ www.creditchina.gov.cn ） 、 中 国 政 府 采 购 网（www.ccgp.gov.cn）等渠道查询后，列入失信被执行人、重大税收违法案件当事人名单、政府采购严重违法失信行为记录名单的，取消投标资格（提供网站无任何不良记录的查询截图并加盖公章，时间为自招标公告发布日期起至开标日期止；</w:t>
            </w:r>
            <w:r>
              <w:rPr>
                <w:rFonts w:hint="eastAsia" w:ascii="宋体" w:hAnsi="宋体" w:eastAsia="宋体" w:cs="宋体"/>
                <w:color w:val="auto"/>
                <w:kern w:val="0"/>
                <w:sz w:val="24"/>
                <w:szCs w:val="24"/>
                <w:highlight w:val="none"/>
                <w:lang w:val="en-US" w:eastAsia="zh-CN"/>
              </w:rPr>
              <w:t>开标时，以网上查询记录为准</w:t>
            </w:r>
            <w:r>
              <w:rPr>
                <w:rFonts w:hint="eastAsia" w:ascii="宋体" w:hAnsi="宋体" w:eastAsia="宋体" w:cs="宋体"/>
                <w:color w:val="auto"/>
                <w:kern w:val="0"/>
                <w:sz w:val="24"/>
                <w:szCs w:val="24"/>
                <w:highlight w:val="none"/>
                <w:lang w:val="zh-CN" w:eastAsia="zh-CN"/>
              </w:rPr>
              <w:t>）；</w:t>
            </w:r>
          </w:p>
          <w:p w14:paraId="69312CB7">
            <w:pPr>
              <w:spacing w:line="360" w:lineRule="auto"/>
              <w:rPr>
                <w:rFonts w:hint="default" w:eastAsiaTheme="minorEastAsia"/>
                <w:lang w:val="en-US" w:eastAsia="zh-CN"/>
              </w:rPr>
            </w:pP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eastAsia="zh-CN"/>
              </w:rPr>
              <w:t>）</w:t>
            </w:r>
            <w:r>
              <w:rPr>
                <w:rFonts w:hint="eastAsia" w:asciiTheme="minorEastAsia" w:hAnsiTheme="minorEastAsia" w:eastAsiaTheme="minorEastAsia" w:cstheme="minorEastAsia"/>
                <w:sz w:val="24"/>
                <w:szCs w:val="24"/>
                <w:highlight w:val="none"/>
                <w:lang w:val="en-US" w:eastAsia="zh-CN"/>
              </w:rPr>
              <w:t>本项目不接受联合体投标。</w:t>
            </w:r>
          </w:p>
          <w:p w14:paraId="744351F0">
            <w:pPr>
              <w:spacing w:line="360" w:lineRule="auto"/>
              <w:rPr>
                <w:rFonts w:hint="eastAsia" w:ascii="宋体" w:hAnsi="宋体" w:eastAsia="宋体" w:cs="宋体"/>
                <w:color w:val="auto"/>
                <w:kern w:val="0"/>
                <w:sz w:val="24"/>
                <w:szCs w:val="24"/>
                <w:highlight w:val="none"/>
                <w:lang w:val="en-US" w:eastAsia="zh-CN"/>
              </w:rPr>
            </w:pPr>
            <w:r>
              <w:rPr>
                <w:rFonts w:hint="eastAsia" w:asciiTheme="minorEastAsia" w:hAnsiTheme="minorEastAsia" w:eastAsiaTheme="minorEastAsia" w:cstheme="minorEastAsia"/>
                <w:b/>
                <w:bCs/>
                <w:sz w:val="24"/>
                <w:szCs w:val="24"/>
                <w:highlight w:val="none"/>
              </w:rPr>
              <w:t>2、落实政府采购政策需满足的资格要求：</w:t>
            </w:r>
            <w:r>
              <w:rPr>
                <w:rFonts w:hint="eastAsia" w:ascii="宋体" w:hAnsi="宋体" w:eastAsia="宋体" w:cs="宋体"/>
                <w:color w:val="auto"/>
                <w:kern w:val="0"/>
                <w:sz w:val="24"/>
                <w:szCs w:val="24"/>
                <w:highlight w:val="none"/>
                <w:shd w:val="clear"/>
                <w:lang w:val="en-US" w:eastAsia="zh-CN"/>
              </w:rPr>
              <w:t>本项目为</w:t>
            </w:r>
            <w:r>
              <w:rPr>
                <w:rFonts w:hint="eastAsia" w:ascii="宋体" w:hAnsi="宋体" w:cs="宋体"/>
                <w:color w:val="auto"/>
                <w:kern w:val="0"/>
                <w:sz w:val="24"/>
                <w:szCs w:val="24"/>
                <w:highlight w:val="none"/>
                <w:shd w:val="clear"/>
                <w:lang w:val="en-US" w:eastAsia="zh-CN"/>
              </w:rPr>
              <w:t>中小</w:t>
            </w:r>
            <w:r>
              <w:rPr>
                <w:rFonts w:hint="eastAsia" w:ascii="宋体" w:hAnsi="宋体" w:eastAsia="宋体" w:cs="宋体"/>
                <w:color w:val="auto"/>
                <w:kern w:val="0"/>
                <w:sz w:val="24"/>
                <w:szCs w:val="24"/>
                <w:highlight w:val="none"/>
                <w:shd w:val="clear"/>
                <w:lang w:val="en-US" w:eastAsia="zh-CN"/>
              </w:rPr>
              <w:t>企业预留项目；</w:t>
            </w:r>
          </w:p>
          <w:p w14:paraId="2492A749">
            <w:pPr>
              <w:numPr>
                <w:ilvl w:val="0"/>
                <w:numId w:val="0"/>
              </w:num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）《政府采购促进中小企业发展管理办法》（财库[2020]46号文）；</w:t>
            </w:r>
          </w:p>
          <w:p w14:paraId="0D9C2BAB">
            <w:pPr>
              <w:numPr>
                <w:ilvl w:val="0"/>
                <w:numId w:val="0"/>
              </w:numPr>
              <w:spacing w:line="360" w:lineRule="auto"/>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none"/>
                <w:lang w:val="zh-CN" w:eastAsia="zh-CN"/>
              </w:rPr>
              <w:t>（</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val="zh-CN" w:eastAsia="zh-CN"/>
              </w:rPr>
              <w:t>）</w:t>
            </w:r>
            <w:r>
              <w:rPr>
                <w:rFonts w:hint="eastAsia" w:ascii="宋体" w:hAnsi="宋体" w:eastAsia="宋体" w:cs="宋体"/>
                <w:color w:val="auto"/>
                <w:kern w:val="0"/>
                <w:sz w:val="24"/>
                <w:szCs w:val="24"/>
                <w:highlight w:val="none"/>
                <w:lang w:val="zh-CN" w:eastAsia="zh-CN"/>
              </w:rPr>
              <w:t>《关于落实好政府采购支持中小企业发展的通知》（新财购〔2022〕22号）；</w:t>
            </w:r>
          </w:p>
          <w:p w14:paraId="7F65FE07">
            <w:pPr>
              <w:numPr>
                <w:ilvl w:val="0"/>
                <w:numId w:val="0"/>
              </w:numPr>
              <w:spacing w:line="360" w:lineRule="auto"/>
              <w:rPr>
                <w:rFonts w:hint="eastAsia" w:asciiTheme="minorEastAsia" w:hAnsiTheme="minorEastAsia" w:eastAsiaTheme="minorEastAsia" w:cstheme="minorEastAsia"/>
                <w:sz w:val="24"/>
                <w:szCs w:val="24"/>
                <w:highlight w:val="yellow"/>
              </w:rPr>
            </w:pPr>
            <w:r>
              <w:rPr>
                <w:rFonts w:hint="eastAsia" w:ascii="宋体" w:hAnsi="宋体" w:eastAsia="宋体" w:cs="宋体"/>
                <w:color w:val="auto"/>
                <w:kern w:val="0"/>
                <w:sz w:val="24"/>
                <w:szCs w:val="24"/>
                <w:highlight w:val="none"/>
                <w:lang w:val="zh-CN" w:eastAsia="zh-CN"/>
              </w:rPr>
              <w:t>（</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eastAsia="zh-CN"/>
              </w:rPr>
              <w:t>）财政部关于进一步加大政府采购支持中小企业力度的通知（财库[2022]19号）</w:t>
            </w:r>
            <w:r>
              <w:rPr>
                <w:rFonts w:hint="eastAsia" w:ascii="宋体" w:hAnsi="宋体" w:cs="宋体"/>
                <w:color w:val="auto"/>
                <w:kern w:val="0"/>
                <w:sz w:val="24"/>
                <w:szCs w:val="24"/>
                <w:highlight w:val="none"/>
                <w:lang w:val="zh-CN" w:eastAsia="zh-CN"/>
              </w:rPr>
              <w:t>；</w:t>
            </w:r>
          </w:p>
          <w:p w14:paraId="009DD1CE">
            <w:pPr>
              <w:numPr>
                <w:ilvl w:val="0"/>
                <w:numId w:val="0"/>
              </w:numPr>
              <w:spacing w:line="360" w:lineRule="auto"/>
              <w:rPr>
                <w:rFonts w:hint="eastAsia" w:ascii="宋体" w:hAnsi="宋体" w:cs="宋体" w:eastAsiaTheme="minorEastAsia"/>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eastAsia="zh-CN"/>
              </w:rPr>
              <w:t>）</w:t>
            </w:r>
            <w:r>
              <w:rPr>
                <w:rFonts w:hint="eastAsia" w:asciiTheme="minorEastAsia" w:hAnsiTheme="minorEastAsia" w:eastAsiaTheme="minorEastAsia" w:cstheme="minorEastAsia"/>
                <w:sz w:val="24"/>
                <w:szCs w:val="24"/>
                <w:highlight w:val="none"/>
              </w:rPr>
              <w:t>财政部、司法部《关于政府采购支持监狱企业发展有关问题的通知》（财库[2014]68号文）</w:t>
            </w:r>
            <w:r>
              <w:rPr>
                <w:rFonts w:hint="eastAsia" w:asciiTheme="minorEastAsia" w:hAnsiTheme="minorEastAsia" w:eastAsiaTheme="minorEastAsia" w:cstheme="minorEastAsia"/>
                <w:sz w:val="24"/>
                <w:szCs w:val="24"/>
                <w:highlight w:val="none"/>
                <w:lang w:eastAsia="zh-CN"/>
              </w:rPr>
              <w:t>；</w:t>
            </w:r>
          </w:p>
          <w:p w14:paraId="5FB0D616">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）财政部、民政部、中国残疾人联合会《关于促进残疾人就业政府采购政策的通知》（财库[2017]141号）</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 xml:space="preserve"> </w:t>
            </w:r>
          </w:p>
          <w:p w14:paraId="708207BB">
            <w:pPr>
              <w:spacing w:line="360" w:lineRule="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3、本项目特定资格要求：</w:t>
            </w:r>
          </w:p>
          <w:p w14:paraId="37174201">
            <w:pPr>
              <w:spacing w:line="360" w:lineRule="auto"/>
              <w:rPr>
                <w:rFonts w:hint="eastAsia"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val="zh-CN" w:eastAsia="zh-CN"/>
              </w:rPr>
              <w:t>具备公路工程施工总承包叁级及以上资质，</w:t>
            </w:r>
            <w:r>
              <w:rPr>
                <w:rFonts w:hint="eastAsia" w:asciiTheme="minorEastAsia" w:hAnsiTheme="minorEastAsia" w:eastAsiaTheme="minorEastAsia" w:cstheme="minorEastAsia"/>
                <w:sz w:val="24"/>
                <w:szCs w:val="24"/>
                <w:highlight w:val="none"/>
                <w:lang w:val="en-US" w:eastAsia="zh-CN"/>
              </w:rPr>
              <w:t>具有有效的安全生产许可证，</w:t>
            </w:r>
            <w:r>
              <w:rPr>
                <w:rFonts w:hint="eastAsia" w:asciiTheme="minorEastAsia" w:hAnsiTheme="minorEastAsia" w:eastAsiaTheme="minorEastAsia" w:cstheme="minorEastAsia"/>
                <w:sz w:val="24"/>
                <w:szCs w:val="24"/>
                <w:highlight w:val="none"/>
                <w:lang w:val="zh-CN" w:eastAsia="zh-CN"/>
              </w:rPr>
              <w:t>并在人员、设备、资金等方面具有相应的施工能力。</w:t>
            </w:r>
          </w:p>
          <w:p w14:paraId="06AA0420">
            <w:pPr>
              <w:spacing w:line="360" w:lineRule="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zh-CN" w:eastAsia="zh-CN"/>
              </w:rPr>
              <w:t>）</w:t>
            </w:r>
            <w:r>
              <w:rPr>
                <w:rFonts w:hint="eastAsia" w:ascii="宋体" w:hAnsi="宋体" w:eastAsia="宋体" w:cs="宋体"/>
                <w:i w:val="0"/>
                <w:iCs w:val="0"/>
                <w:caps w:val="0"/>
                <w:color w:val="auto"/>
                <w:spacing w:val="0"/>
                <w:kern w:val="0"/>
                <w:sz w:val="24"/>
                <w:szCs w:val="24"/>
                <w:highlight w:val="none"/>
                <w:lang w:val="zh-CN" w:eastAsia="zh-CN" w:bidi="ar-SA"/>
              </w:rPr>
              <w:t>项目经理须具备公路工程</w:t>
            </w:r>
            <w:r>
              <w:rPr>
                <w:rFonts w:hint="eastAsia" w:ascii="宋体" w:hAnsi="宋体" w:eastAsia="宋体" w:cs="宋体"/>
                <w:i w:val="0"/>
                <w:iCs w:val="0"/>
                <w:caps w:val="0"/>
                <w:color w:val="auto"/>
                <w:spacing w:val="0"/>
                <w:kern w:val="0"/>
                <w:sz w:val="24"/>
                <w:szCs w:val="24"/>
                <w:highlight w:val="none"/>
                <w:lang w:val="en-US" w:eastAsia="zh-CN" w:bidi="ar-SA"/>
              </w:rPr>
              <w:t>二</w:t>
            </w:r>
            <w:r>
              <w:rPr>
                <w:rFonts w:hint="eastAsia" w:ascii="宋体" w:hAnsi="宋体" w:eastAsia="宋体" w:cs="宋体"/>
                <w:i w:val="0"/>
                <w:iCs w:val="0"/>
                <w:caps w:val="0"/>
                <w:color w:val="auto"/>
                <w:spacing w:val="0"/>
                <w:kern w:val="0"/>
                <w:sz w:val="24"/>
                <w:szCs w:val="24"/>
                <w:highlight w:val="none"/>
                <w:lang w:val="zh-CN" w:eastAsia="zh-CN" w:bidi="ar-SA"/>
              </w:rPr>
              <w:t>级(含二级)以上注册建造师执业资格，具备有效的交通运输主管部门颁发的安全生产考核合格证书(B类),</w:t>
            </w:r>
            <w:r>
              <w:rPr>
                <w:rFonts w:hint="eastAsia" w:ascii="宋体" w:hAnsi="宋体" w:eastAsia="宋体" w:cs="宋体"/>
                <w:i w:val="0"/>
                <w:iCs w:val="0"/>
                <w:caps w:val="0"/>
                <w:color w:val="auto"/>
                <w:spacing w:val="0"/>
                <w:kern w:val="0"/>
                <w:sz w:val="24"/>
                <w:szCs w:val="24"/>
                <w:highlight w:val="none"/>
                <w:lang w:val="en-US" w:eastAsia="zh-CN" w:bidi="ar-SA"/>
              </w:rPr>
              <w:t>具有</w:t>
            </w:r>
            <w:r>
              <w:rPr>
                <w:rFonts w:hint="eastAsia" w:ascii="宋体" w:hAnsi="宋体" w:eastAsia="宋体" w:cs="宋体"/>
                <w:i w:val="0"/>
                <w:iCs w:val="0"/>
                <w:caps w:val="0"/>
                <w:color w:val="auto"/>
                <w:spacing w:val="0"/>
                <w:kern w:val="0"/>
                <w:sz w:val="24"/>
                <w:szCs w:val="24"/>
                <w:highlight w:val="none"/>
                <w:lang w:val="zh-CN" w:eastAsia="zh-CN" w:bidi="ar-SA"/>
              </w:rPr>
              <w:t>近6个月内任意一个月的有效社保证明,且未担任其他在施建设</w:t>
            </w:r>
            <w:r>
              <w:rPr>
                <w:rFonts w:hint="eastAsia" w:ascii="宋体" w:hAnsi="宋体" w:eastAsia="宋体" w:cs="宋体"/>
                <w:i w:val="0"/>
                <w:iCs w:val="0"/>
                <w:caps w:val="0"/>
                <w:color w:val="auto"/>
                <w:spacing w:val="0"/>
                <w:kern w:val="0"/>
                <w:sz w:val="24"/>
                <w:szCs w:val="24"/>
                <w:highlight w:val="none"/>
                <w:lang w:val="en-US" w:eastAsia="zh-CN" w:bidi="ar-SA"/>
              </w:rPr>
              <w:t>项目的</w:t>
            </w:r>
            <w:r>
              <w:rPr>
                <w:rFonts w:hint="eastAsia" w:ascii="宋体" w:hAnsi="宋体" w:eastAsia="宋体" w:cs="宋体"/>
                <w:i w:val="0"/>
                <w:iCs w:val="0"/>
                <w:caps w:val="0"/>
                <w:color w:val="auto"/>
                <w:spacing w:val="0"/>
                <w:kern w:val="0"/>
                <w:sz w:val="24"/>
                <w:szCs w:val="24"/>
                <w:highlight w:val="none"/>
                <w:lang w:val="zh-CN" w:eastAsia="zh-CN" w:bidi="ar-SA"/>
              </w:rPr>
              <w:t>项目经理。</w:t>
            </w:r>
          </w:p>
        </w:tc>
      </w:tr>
      <w:tr w14:paraId="2F56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17" w:type="dxa"/>
            <w:vMerge w:val="restart"/>
            <w:tcBorders>
              <w:top w:val="single" w:color="auto" w:sz="4" w:space="0"/>
              <w:left w:val="single" w:color="auto" w:sz="4" w:space="0"/>
              <w:right w:val="single" w:color="auto" w:sz="4" w:space="0"/>
            </w:tcBorders>
            <w:noWrap w:val="0"/>
            <w:vAlign w:val="center"/>
          </w:tcPr>
          <w:p w14:paraId="61A54312">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3</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0F52DC8D">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施工工期</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453FBDBC">
            <w:pPr>
              <w:spacing w:line="360"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工期：</w:t>
            </w:r>
            <w:r>
              <w:rPr>
                <w:rFonts w:hint="eastAsia" w:asciiTheme="minorEastAsia" w:hAnsiTheme="minorEastAsia" w:eastAsiaTheme="minorEastAsia" w:cstheme="minorEastAsia"/>
                <w:color w:val="auto"/>
                <w:sz w:val="24"/>
                <w:szCs w:val="24"/>
                <w:highlight w:val="none"/>
                <w:u w:val="single"/>
                <w:lang w:val="en-US" w:eastAsia="zh-CN"/>
              </w:rPr>
              <w:t xml:space="preserve"> 70 </w:t>
            </w:r>
            <w:r>
              <w:rPr>
                <w:rFonts w:hint="eastAsia" w:asciiTheme="minorEastAsia" w:hAnsiTheme="minorEastAsia" w:eastAsiaTheme="minorEastAsia" w:cstheme="minorEastAsia"/>
                <w:color w:val="auto"/>
                <w:sz w:val="24"/>
                <w:szCs w:val="24"/>
                <w:highlight w:val="none"/>
                <w:lang w:val="en-US" w:eastAsia="zh-CN"/>
              </w:rPr>
              <w:t>日历天，计划开工日期</w:t>
            </w:r>
            <w:r>
              <w:rPr>
                <w:rFonts w:hint="eastAsia" w:asciiTheme="minorEastAsia" w:hAnsiTheme="minorEastAsia" w:eastAsiaTheme="minorEastAsia" w:cstheme="minorEastAsia"/>
                <w:color w:val="auto"/>
                <w:sz w:val="24"/>
                <w:szCs w:val="24"/>
                <w:highlight w:val="none"/>
                <w:u w:val="single"/>
                <w:lang w:val="en-US" w:eastAsia="zh-CN"/>
              </w:rPr>
              <w:t xml:space="preserve"> 2025</w:t>
            </w:r>
            <w:r>
              <w:rPr>
                <w:rFonts w:hint="eastAsia" w:asciiTheme="minorEastAsia" w:hAnsiTheme="minorEastAsia" w:eastAsiaTheme="minorEastAsia" w:cstheme="minorEastAsia"/>
                <w:color w:val="auto"/>
                <w:sz w:val="24"/>
                <w:szCs w:val="24"/>
                <w:highlight w:val="none"/>
                <w:lang w:val="en-US" w:eastAsia="zh-CN"/>
              </w:rPr>
              <w:t>年</w:t>
            </w:r>
            <w:r>
              <w:rPr>
                <w:rFonts w:hint="eastAsia" w:asciiTheme="minorEastAsia" w:hAnsiTheme="minorEastAsia" w:eastAsiaTheme="minorEastAsia" w:cstheme="minorEastAsia"/>
                <w:color w:val="auto"/>
                <w:sz w:val="24"/>
                <w:szCs w:val="24"/>
                <w:highlight w:val="none"/>
                <w:u w:val="single"/>
                <w:lang w:val="en-US" w:eastAsia="zh-CN"/>
              </w:rPr>
              <w:t xml:space="preserve"> 7 </w:t>
            </w:r>
            <w:r>
              <w:rPr>
                <w:rFonts w:hint="eastAsia" w:asciiTheme="minorEastAsia" w:hAnsiTheme="minorEastAsia" w:eastAsiaTheme="minorEastAsia" w:cstheme="minorEastAsia"/>
                <w:color w:val="auto"/>
                <w:sz w:val="24"/>
                <w:szCs w:val="24"/>
                <w:highlight w:val="none"/>
                <w:lang w:val="en-US" w:eastAsia="zh-CN"/>
              </w:rPr>
              <w:t>月</w:t>
            </w:r>
            <w:r>
              <w:rPr>
                <w:rFonts w:hint="eastAsia" w:asciiTheme="minorEastAsia" w:hAnsiTheme="minorEastAsia" w:eastAsiaTheme="minorEastAsia" w:cstheme="minorEastAsia"/>
                <w:color w:val="auto"/>
                <w:sz w:val="24"/>
                <w:szCs w:val="24"/>
                <w:highlight w:val="none"/>
                <w:u w:val="single"/>
                <w:lang w:val="en-US" w:eastAsia="zh-CN"/>
              </w:rPr>
              <w:t xml:space="preserve"> 7 </w:t>
            </w:r>
            <w:r>
              <w:rPr>
                <w:rFonts w:hint="eastAsia" w:asciiTheme="minorEastAsia" w:hAnsiTheme="minorEastAsia" w:eastAsiaTheme="minorEastAsia" w:cstheme="minorEastAsia"/>
                <w:color w:val="auto"/>
                <w:sz w:val="24"/>
                <w:szCs w:val="24"/>
                <w:highlight w:val="none"/>
                <w:lang w:val="en-US" w:eastAsia="zh-CN"/>
              </w:rPr>
              <w:t>日，计划竣工日期</w:t>
            </w:r>
            <w:r>
              <w:rPr>
                <w:rFonts w:hint="eastAsia" w:asciiTheme="minorEastAsia" w:hAnsiTheme="minorEastAsia" w:eastAsiaTheme="minorEastAsia" w:cstheme="minorEastAsia"/>
                <w:color w:val="auto"/>
                <w:sz w:val="24"/>
                <w:szCs w:val="24"/>
                <w:highlight w:val="none"/>
                <w:u w:val="single"/>
                <w:lang w:val="en-US" w:eastAsia="zh-CN"/>
              </w:rPr>
              <w:t xml:space="preserve"> 2025 </w:t>
            </w:r>
            <w:r>
              <w:rPr>
                <w:rFonts w:hint="eastAsia" w:asciiTheme="minorEastAsia" w:hAnsiTheme="minorEastAsia" w:eastAsiaTheme="minorEastAsia" w:cstheme="minorEastAsia"/>
                <w:color w:val="auto"/>
                <w:sz w:val="24"/>
                <w:szCs w:val="24"/>
                <w:highlight w:val="none"/>
                <w:lang w:val="en-US" w:eastAsia="zh-CN"/>
              </w:rPr>
              <w:t>年</w:t>
            </w:r>
            <w:r>
              <w:rPr>
                <w:rFonts w:hint="eastAsia" w:asciiTheme="minorEastAsia" w:hAnsiTheme="minorEastAsia" w:eastAsiaTheme="minorEastAsia" w:cstheme="minorEastAsia"/>
                <w:color w:val="auto"/>
                <w:sz w:val="24"/>
                <w:szCs w:val="24"/>
                <w:highlight w:val="none"/>
                <w:u w:val="single"/>
                <w:lang w:val="en-US" w:eastAsia="zh-CN"/>
              </w:rPr>
              <w:t xml:space="preserve"> 9 </w:t>
            </w:r>
            <w:r>
              <w:rPr>
                <w:rFonts w:hint="eastAsia" w:asciiTheme="minorEastAsia" w:hAnsiTheme="minorEastAsia" w:eastAsiaTheme="minorEastAsia" w:cstheme="minorEastAsia"/>
                <w:color w:val="auto"/>
                <w:sz w:val="24"/>
                <w:szCs w:val="24"/>
                <w:highlight w:val="none"/>
                <w:lang w:val="en-US" w:eastAsia="zh-CN"/>
              </w:rPr>
              <w:t>月</w:t>
            </w:r>
            <w:r>
              <w:rPr>
                <w:rFonts w:hint="eastAsia" w:asciiTheme="minorEastAsia" w:hAnsiTheme="minorEastAsia" w:eastAsiaTheme="minorEastAsia" w:cstheme="minorEastAsia"/>
                <w:color w:val="auto"/>
                <w:sz w:val="24"/>
                <w:szCs w:val="24"/>
                <w:highlight w:val="none"/>
                <w:u w:val="single"/>
                <w:lang w:val="en-US" w:eastAsia="zh-CN"/>
              </w:rPr>
              <w:t xml:space="preserve"> 14 </w:t>
            </w:r>
            <w:r>
              <w:rPr>
                <w:rFonts w:hint="eastAsia" w:asciiTheme="minorEastAsia" w:hAnsiTheme="minorEastAsia" w:eastAsiaTheme="minorEastAsia" w:cstheme="minorEastAsia"/>
                <w:color w:val="auto"/>
                <w:sz w:val="24"/>
                <w:szCs w:val="24"/>
                <w:highlight w:val="none"/>
                <w:lang w:val="en-US" w:eastAsia="zh-CN"/>
              </w:rPr>
              <w:t>日</w:t>
            </w:r>
          </w:p>
        </w:tc>
      </w:tr>
      <w:tr w14:paraId="21440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17" w:type="dxa"/>
            <w:vMerge w:val="continue"/>
            <w:tcBorders>
              <w:left w:val="single" w:color="auto" w:sz="4" w:space="0"/>
              <w:right w:val="single" w:color="auto" w:sz="4" w:space="0"/>
            </w:tcBorders>
            <w:noWrap w:val="0"/>
            <w:vAlign w:val="center"/>
          </w:tcPr>
          <w:p w14:paraId="65AA0EDE">
            <w:pPr>
              <w:jc w:val="center"/>
              <w:rPr>
                <w:rFonts w:hint="eastAsia" w:asciiTheme="minorEastAsia" w:hAnsiTheme="minorEastAsia" w:eastAsiaTheme="minorEastAsia" w:cstheme="minorEastAsia"/>
                <w:sz w:val="24"/>
                <w:szCs w:val="24"/>
                <w:highlight w:val="none"/>
                <w:lang w:val="en-US" w:eastAsia="zh-CN"/>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3D18F98C">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建设地点</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3FA5669C">
            <w:pPr>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塔尔拉克乡</w:t>
            </w:r>
          </w:p>
        </w:tc>
      </w:tr>
      <w:tr w14:paraId="7D0E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17" w:type="dxa"/>
            <w:vMerge w:val="continue"/>
            <w:tcBorders>
              <w:left w:val="single" w:color="auto" w:sz="4" w:space="0"/>
              <w:right w:val="single" w:color="auto" w:sz="4" w:space="0"/>
            </w:tcBorders>
            <w:noWrap w:val="0"/>
            <w:vAlign w:val="center"/>
          </w:tcPr>
          <w:p w14:paraId="69800AA9">
            <w:pPr>
              <w:jc w:val="center"/>
              <w:rPr>
                <w:rFonts w:hint="eastAsia" w:asciiTheme="minorEastAsia" w:hAnsiTheme="minorEastAsia" w:eastAsiaTheme="minorEastAsia" w:cstheme="minorEastAsia"/>
                <w:sz w:val="24"/>
                <w:szCs w:val="24"/>
                <w:lang w:val="en-US" w:eastAsia="zh-CN"/>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50E4DFF5">
            <w:pPr>
              <w:jc w:val="center"/>
              <w:rPr>
                <w:rFonts w:hint="default"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质量要求</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2596E717">
            <w:pPr>
              <w:spacing w:line="360" w:lineRule="auto"/>
              <w:jc w:val="left"/>
              <w:rPr>
                <w:rFonts w:hint="eastAsia"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标段工程交工验收的质量评定：合格</w:t>
            </w:r>
          </w:p>
          <w:p w14:paraId="73B63B23">
            <w:pPr>
              <w:spacing w:line="360" w:lineRule="auto"/>
              <w:jc w:val="left"/>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sz w:val="24"/>
                <w:szCs w:val="24"/>
                <w:highlight w:val="none"/>
                <w:lang w:val="zh-CN" w:eastAsia="zh-CN"/>
              </w:rPr>
              <w:t>竣工验收的质量评定：合格</w:t>
            </w:r>
          </w:p>
        </w:tc>
      </w:tr>
      <w:tr w14:paraId="2609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17" w:type="dxa"/>
            <w:vMerge w:val="continue"/>
            <w:tcBorders>
              <w:left w:val="single" w:color="auto" w:sz="4" w:space="0"/>
              <w:right w:val="single" w:color="auto" w:sz="4" w:space="0"/>
            </w:tcBorders>
            <w:noWrap w:val="0"/>
            <w:vAlign w:val="center"/>
          </w:tcPr>
          <w:p w14:paraId="535A678C">
            <w:pPr>
              <w:jc w:val="center"/>
              <w:rPr>
                <w:rFonts w:hint="eastAsia" w:asciiTheme="minorEastAsia" w:hAnsiTheme="minorEastAsia" w:eastAsiaTheme="minorEastAsia" w:cstheme="minorEastAsia"/>
                <w:sz w:val="24"/>
                <w:szCs w:val="24"/>
                <w:lang w:val="en-US" w:eastAsia="zh-CN"/>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630F3454">
            <w:pPr>
              <w:jc w:val="center"/>
              <w:rPr>
                <w:rFonts w:hint="default"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安全目标</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4D9D3441">
            <w:pPr>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各类生产安全责任事故死亡人数为零，不发生一般火灾事故；</w:t>
            </w:r>
          </w:p>
        </w:tc>
      </w:tr>
      <w:tr w14:paraId="1BCC3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17" w:type="dxa"/>
            <w:vMerge w:val="continue"/>
            <w:tcBorders>
              <w:left w:val="single" w:color="auto" w:sz="4" w:space="0"/>
              <w:right w:val="single" w:color="auto" w:sz="4" w:space="0"/>
            </w:tcBorders>
            <w:noWrap w:val="0"/>
            <w:vAlign w:val="center"/>
          </w:tcPr>
          <w:p w14:paraId="53323B7E">
            <w:pPr>
              <w:jc w:val="center"/>
              <w:rPr>
                <w:rFonts w:hint="eastAsia" w:asciiTheme="minorEastAsia" w:hAnsiTheme="minorEastAsia" w:eastAsiaTheme="minorEastAsia" w:cstheme="minorEastAsia"/>
                <w:sz w:val="24"/>
                <w:szCs w:val="24"/>
                <w:lang w:val="en-US" w:eastAsia="zh-CN"/>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2EAA37C6">
            <w:pPr>
              <w:adjustRightInd w:val="0"/>
              <w:snapToGrid w:val="0"/>
              <w:spacing w:before="120" w:beforeLines="50"/>
              <w:jc w:val="center"/>
              <w:rPr>
                <w:rFonts w:hint="eastAsia" w:asciiTheme="minorEastAsia" w:hAnsiTheme="minorEastAsia" w:eastAsiaTheme="minorEastAsia" w:cstheme="minorEastAsia"/>
                <w:b w:val="0"/>
                <w:bCs w:val="0"/>
                <w:sz w:val="24"/>
                <w:szCs w:val="24"/>
              </w:rPr>
            </w:pPr>
            <w:r>
              <w:rPr>
                <w:rFonts w:hint="eastAsia" w:ascii="宋体" w:hAnsi="宋体" w:eastAsia="宋体" w:cs="宋体"/>
                <w:b w:val="0"/>
                <w:bCs w:val="0"/>
                <w:color w:val="auto"/>
                <w:sz w:val="24"/>
                <w:szCs w:val="24"/>
                <w:highlight w:val="none"/>
              </w:rPr>
              <w:t>承包方式</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4BA9C157">
            <w:pPr>
              <w:adjustRightInd w:val="0"/>
              <w:snapToGrid w:val="0"/>
              <w:spacing w:before="120" w:beforeLines="50"/>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包工包料</w:t>
            </w:r>
          </w:p>
        </w:tc>
      </w:tr>
      <w:tr w14:paraId="181F0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17" w:type="dxa"/>
            <w:vMerge w:val="continue"/>
            <w:tcBorders>
              <w:left w:val="single" w:color="auto" w:sz="4" w:space="0"/>
              <w:right w:val="single" w:color="auto" w:sz="4" w:space="0"/>
            </w:tcBorders>
            <w:noWrap w:val="0"/>
            <w:vAlign w:val="center"/>
          </w:tcPr>
          <w:p w14:paraId="1E4D48E0">
            <w:pPr>
              <w:jc w:val="center"/>
              <w:rPr>
                <w:rFonts w:hint="eastAsia" w:asciiTheme="minorEastAsia" w:hAnsiTheme="minorEastAsia" w:eastAsiaTheme="minorEastAsia" w:cstheme="minorEastAsia"/>
                <w:sz w:val="24"/>
                <w:szCs w:val="24"/>
                <w:lang w:val="en-US" w:eastAsia="zh-CN"/>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47D6E4F5">
            <w:pPr>
              <w:adjustRightInd w:val="0"/>
              <w:snapToGrid w:val="0"/>
              <w:spacing w:before="120" w:beforeLines="50"/>
              <w:jc w:val="center"/>
              <w:rPr>
                <w:rFonts w:hint="eastAsia" w:asciiTheme="minorEastAsia" w:hAnsiTheme="minorEastAsia" w:eastAsiaTheme="minorEastAsia" w:cstheme="minorEastAsia"/>
                <w:b w:val="0"/>
                <w:bCs w:val="0"/>
                <w:sz w:val="24"/>
                <w:szCs w:val="24"/>
              </w:rPr>
            </w:pPr>
            <w:r>
              <w:rPr>
                <w:rFonts w:hint="eastAsia" w:ascii="宋体" w:hAnsi="宋体" w:eastAsia="宋体" w:cs="宋体"/>
                <w:b w:val="0"/>
                <w:bCs w:val="0"/>
                <w:color w:val="auto"/>
                <w:sz w:val="24"/>
                <w:szCs w:val="24"/>
                <w:highlight w:val="none"/>
                <w:lang w:val="en-US" w:eastAsia="zh-CN"/>
              </w:rPr>
              <w:t>是否允许分包</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11FCAF43">
            <w:pPr>
              <w:adjustRightInd w:val="0"/>
              <w:snapToGrid w:val="0"/>
              <w:spacing w:before="120" w:beforeLines="50"/>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不允许分包</w:t>
            </w:r>
          </w:p>
        </w:tc>
      </w:tr>
      <w:tr w14:paraId="20B0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17" w:type="dxa"/>
            <w:vMerge w:val="continue"/>
            <w:tcBorders>
              <w:left w:val="single" w:color="auto" w:sz="4" w:space="0"/>
              <w:right w:val="single" w:color="auto" w:sz="4" w:space="0"/>
            </w:tcBorders>
            <w:noWrap w:val="0"/>
            <w:vAlign w:val="center"/>
          </w:tcPr>
          <w:p w14:paraId="6485DED9">
            <w:pPr>
              <w:jc w:val="center"/>
              <w:rPr>
                <w:rFonts w:hint="eastAsia" w:asciiTheme="minorEastAsia" w:hAnsiTheme="minorEastAsia" w:eastAsiaTheme="minorEastAsia" w:cstheme="minorEastAsia"/>
                <w:sz w:val="24"/>
                <w:szCs w:val="24"/>
                <w:lang w:val="en-US" w:eastAsia="zh-CN"/>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673D8AC7">
            <w:pPr>
              <w:adjustRightInd w:val="0"/>
              <w:snapToGrid w:val="0"/>
              <w:spacing w:before="120" w:beforeLines="50"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付款方式</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36592DC4">
            <w:pPr>
              <w:spacing w:line="360" w:lineRule="auto"/>
              <w:jc w:val="both"/>
              <w:rPr>
                <w:rFonts w:hint="eastAsia" w:ascii="宋体" w:hAnsi="宋体" w:eastAsia="宋体" w:cs="宋体"/>
                <w:i w:val="0"/>
                <w:iCs w:val="0"/>
                <w:caps w:val="0"/>
                <w:color w:val="auto"/>
                <w:spacing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合同签订后5日内支付合同价30%的预付款，按工程进度付款，工程竣工验收合格后支付到合同价的80%，工程结算审计完成后支付到结算价的97%，留结算价3%的质保金，待1年缺陷责任期满后3日内一次性付清。</w:t>
            </w:r>
          </w:p>
        </w:tc>
      </w:tr>
      <w:tr w14:paraId="3276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17" w:type="dxa"/>
            <w:vMerge w:val="continue"/>
            <w:tcBorders>
              <w:left w:val="single" w:color="auto" w:sz="4" w:space="0"/>
              <w:right w:val="single" w:color="auto" w:sz="4" w:space="0"/>
            </w:tcBorders>
            <w:noWrap w:val="0"/>
            <w:vAlign w:val="center"/>
          </w:tcPr>
          <w:p w14:paraId="064FADD0">
            <w:pPr>
              <w:jc w:val="center"/>
              <w:rPr>
                <w:rFonts w:hint="eastAsia" w:asciiTheme="minorEastAsia" w:hAnsiTheme="minorEastAsia" w:eastAsiaTheme="minorEastAsia" w:cstheme="minorEastAsia"/>
                <w:sz w:val="24"/>
                <w:szCs w:val="24"/>
                <w:lang w:val="en-US" w:eastAsia="zh-CN"/>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16AA0FB8">
            <w:pPr>
              <w:adjustRightInd w:val="0"/>
              <w:snapToGrid w:val="0"/>
              <w:spacing w:before="120" w:beforeLines="50"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责任缺陷期</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6F673636">
            <w:pPr>
              <w:spacing w:line="360" w:lineRule="auto"/>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自实际交工日期起计算 1 年</w:t>
            </w:r>
          </w:p>
        </w:tc>
      </w:tr>
      <w:tr w14:paraId="18C0E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17" w:type="dxa"/>
            <w:vMerge w:val="continue"/>
            <w:tcBorders>
              <w:left w:val="single" w:color="auto" w:sz="4" w:space="0"/>
              <w:right w:val="single" w:color="auto" w:sz="4" w:space="0"/>
            </w:tcBorders>
            <w:noWrap w:val="0"/>
            <w:vAlign w:val="center"/>
          </w:tcPr>
          <w:p w14:paraId="12633072">
            <w:pPr>
              <w:jc w:val="center"/>
              <w:rPr>
                <w:rFonts w:hint="eastAsia" w:asciiTheme="minorEastAsia" w:hAnsiTheme="minorEastAsia" w:eastAsiaTheme="minorEastAsia" w:cstheme="minorEastAsia"/>
                <w:sz w:val="24"/>
                <w:szCs w:val="24"/>
                <w:lang w:val="en-US" w:eastAsia="zh-CN"/>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182F6C26">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质量保修期</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443B57A6">
            <w:pPr>
              <w:spacing w:line="360" w:lineRule="auto"/>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自实际交工日期起计算 1 年</w:t>
            </w:r>
          </w:p>
        </w:tc>
      </w:tr>
      <w:tr w14:paraId="27598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17" w:type="dxa"/>
            <w:vMerge w:val="continue"/>
            <w:tcBorders>
              <w:left w:val="single" w:color="auto" w:sz="4" w:space="0"/>
              <w:right w:val="single" w:color="auto" w:sz="4" w:space="0"/>
            </w:tcBorders>
            <w:noWrap w:val="0"/>
            <w:vAlign w:val="center"/>
          </w:tcPr>
          <w:p w14:paraId="144ACC43">
            <w:pPr>
              <w:jc w:val="center"/>
              <w:rPr>
                <w:rFonts w:hint="eastAsia" w:asciiTheme="minorEastAsia" w:hAnsiTheme="minorEastAsia" w:eastAsiaTheme="minorEastAsia" w:cstheme="minorEastAsia"/>
                <w:sz w:val="24"/>
                <w:szCs w:val="24"/>
                <w:lang w:val="en-US" w:eastAsia="zh-CN"/>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5CA6D692">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质保金</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7A450711">
            <w:pPr>
              <w:spacing w:line="360" w:lineRule="auto"/>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结算价的3%</w:t>
            </w:r>
          </w:p>
        </w:tc>
      </w:tr>
      <w:tr w14:paraId="1489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vMerge w:val="continue"/>
            <w:tcBorders>
              <w:left w:val="single" w:color="auto" w:sz="4" w:space="0"/>
              <w:bottom w:val="single" w:color="auto" w:sz="4" w:space="0"/>
              <w:right w:val="single" w:color="auto" w:sz="4" w:space="0"/>
            </w:tcBorders>
            <w:noWrap w:val="0"/>
            <w:vAlign w:val="center"/>
          </w:tcPr>
          <w:p w14:paraId="3E011766">
            <w:pPr>
              <w:jc w:val="center"/>
              <w:rPr>
                <w:rFonts w:hint="eastAsia" w:asciiTheme="minorEastAsia" w:hAnsiTheme="minorEastAsia" w:eastAsiaTheme="minorEastAsia" w:cstheme="minorEastAsia"/>
                <w:sz w:val="24"/>
                <w:szCs w:val="24"/>
                <w:lang w:val="en-US" w:eastAsia="zh-CN"/>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1A7A64E5">
            <w:pPr>
              <w:adjustRightInd w:val="0"/>
              <w:snapToGrid w:val="0"/>
              <w:spacing w:before="120" w:beforeLines="5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技术规范</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73429F31">
            <w:pPr>
              <w:spacing w:line="360" w:lineRule="auto"/>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（1）本工程技术标准、技术要求必须符合国家和地方现行相关质量评定标准和施工技术规范。</w:t>
            </w:r>
          </w:p>
          <w:p w14:paraId="3723ADFE">
            <w:pPr>
              <w:spacing w:line="360" w:lineRule="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kern w:val="0"/>
                <w:sz w:val="24"/>
                <w:szCs w:val="24"/>
                <w:highlight w:val="none"/>
                <w:lang w:val="en-US" w:eastAsia="zh-CN" w:bidi="ar-SA"/>
              </w:rPr>
              <w:t>（2）本工程的材料检验和质量、工艺试验按国家、地方现行相关规定执行。</w:t>
            </w:r>
          </w:p>
        </w:tc>
      </w:tr>
      <w:tr w14:paraId="5A62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A0C84E4">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744A8447">
            <w:pPr>
              <w:adjustRightInd w:val="0"/>
              <w:snapToGrid w:val="0"/>
              <w:spacing w:before="120" w:beforeLines="5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 xml:space="preserve">联合体投标    </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3585E5BF">
            <w:pPr>
              <w:adjustRightInd w:val="0"/>
              <w:snapToGrid w:val="0"/>
              <w:spacing w:before="120" w:beforeLines="50"/>
              <w:rPr>
                <w:rFonts w:hint="eastAsia" w:ascii="宋体" w:hAnsi="宋体" w:eastAsia="宋体" w:cs="宋体"/>
                <w:i w:val="0"/>
                <w:iCs w:val="0"/>
                <w:caps w:val="0"/>
                <w:color w:val="auto"/>
                <w:spacing w:val="0"/>
                <w:sz w:val="24"/>
                <w:szCs w:val="24"/>
                <w:highlight w:val="none"/>
                <w:lang w:val="en-US" w:eastAsia="zh-CN"/>
              </w:rPr>
            </w:pPr>
            <w:r>
              <w:rPr>
                <w:rFonts w:hint="default" w:ascii="宋体" w:hAnsi="宋体" w:cs="宋体"/>
                <w:color w:val="auto"/>
                <w:sz w:val="24"/>
                <w:szCs w:val="24"/>
                <w:highlight w:val="none"/>
                <w:lang w:val="en-US"/>
              </w:rPr>
              <w:t>☑</w:t>
            </w:r>
            <w:r>
              <w:rPr>
                <w:rFonts w:hint="eastAsia" w:ascii="宋体" w:hAnsi="宋体" w:cs="宋体"/>
                <w:color w:val="auto"/>
                <w:sz w:val="24"/>
                <w:szCs w:val="24"/>
                <w:highlight w:val="none"/>
              </w:rPr>
              <w:t xml:space="preserve"> 不接受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接受                                 </w:t>
            </w:r>
          </w:p>
        </w:tc>
      </w:tr>
      <w:tr w14:paraId="4CD0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F432D49">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1F8BC3AB">
            <w:pPr>
              <w:adjustRightInd w:val="0"/>
              <w:snapToGrid w:val="0"/>
              <w:spacing w:before="120" w:beforeLines="5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踏勘现场</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64F62E53">
            <w:pPr>
              <w:adjustRightInd w:val="0"/>
              <w:snapToGrid w:val="0"/>
              <w:spacing w:before="120" w:beforeLines="50"/>
              <w:rPr>
                <w:rFonts w:hint="default" w:ascii="宋体" w:hAnsi="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zh-CN"/>
              </w:rPr>
              <w:t>☑不组织                   □组织</w:t>
            </w:r>
          </w:p>
        </w:tc>
      </w:tr>
      <w:tr w14:paraId="3955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A49AE2C">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0B68E09F">
            <w:pPr>
              <w:adjustRightInd w:val="0"/>
              <w:snapToGrid w:val="0"/>
              <w:spacing w:before="120" w:beforeLines="50"/>
              <w:jc w:val="center"/>
              <w:rPr>
                <w:rFonts w:hint="eastAsia" w:ascii="宋体" w:hAnsi="宋体" w:cs="宋体"/>
                <w:b w:val="0"/>
                <w:bCs w:val="0"/>
                <w:color w:val="auto"/>
                <w:sz w:val="24"/>
                <w:szCs w:val="24"/>
                <w:highlight w:val="none"/>
              </w:rPr>
            </w:pPr>
            <w:r>
              <w:rPr>
                <w:rFonts w:hint="eastAsia" w:ascii="宋体" w:hAnsi="宋体" w:eastAsia="宋体" w:cs="宋体"/>
                <w:b w:val="0"/>
                <w:bCs w:val="0"/>
                <w:color w:val="auto"/>
                <w:sz w:val="24"/>
                <w:szCs w:val="24"/>
                <w:highlight w:val="none"/>
              </w:rPr>
              <w:t>是否允许进口产品</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79B5CC68">
            <w:pPr>
              <w:adjustRightInd w:val="0"/>
              <w:snapToGrid w:val="0"/>
              <w:spacing w:before="120" w:beforeLines="50"/>
              <w:rPr>
                <w:rFonts w:hint="default" w:ascii="宋体" w:hAnsi="宋体" w:cs="宋体"/>
                <w:color w:val="auto"/>
                <w:sz w:val="24"/>
                <w:szCs w:val="24"/>
                <w:highlight w:val="none"/>
                <w:lang w:val="en-US"/>
              </w:rPr>
            </w:pPr>
            <w:r>
              <w:rPr>
                <w:rFonts w:hint="default" w:ascii="宋体" w:hAnsi="宋体" w:cs="宋体"/>
                <w:color w:val="auto"/>
                <w:sz w:val="24"/>
                <w:szCs w:val="24"/>
                <w:highlight w:val="none"/>
                <w:lang w:val="en-US"/>
              </w:rPr>
              <w:t>☑</w:t>
            </w:r>
            <w:r>
              <w:rPr>
                <w:rFonts w:hint="eastAsia" w:ascii="宋体" w:hAnsi="宋体" w:cs="宋体"/>
                <w:color w:val="auto"/>
                <w:sz w:val="24"/>
                <w:szCs w:val="24"/>
                <w:highlight w:val="none"/>
              </w:rPr>
              <w:t xml:space="preserve"> 不</w:t>
            </w:r>
            <w:r>
              <w:rPr>
                <w:rFonts w:hint="eastAsia" w:ascii="宋体" w:hAnsi="宋体" w:cs="宋体"/>
                <w:color w:val="auto"/>
                <w:sz w:val="24"/>
                <w:szCs w:val="24"/>
                <w:highlight w:val="none"/>
                <w:lang w:val="en-US" w:eastAsia="zh-CN"/>
              </w:rPr>
              <w:t xml:space="preserve">允许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允许</w:t>
            </w:r>
          </w:p>
        </w:tc>
      </w:tr>
      <w:tr w14:paraId="4D3D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FA6432C">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7F37ACDE">
            <w:pPr>
              <w:adjustRightInd w:val="0"/>
              <w:snapToGrid w:val="0"/>
              <w:spacing w:before="120" w:beforeLines="50"/>
              <w:jc w:val="center"/>
              <w:rPr>
                <w:rFonts w:hint="eastAsia" w:ascii="宋体" w:hAnsi="宋体" w:cs="宋体"/>
                <w:b w:val="0"/>
                <w:bCs w:val="0"/>
                <w:color w:val="auto"/>
                <w:sz w:val="24"/>
                <w:szCs w:val="24"/>
                <w:highlight w:val="none"/>
              </w:rPr>
            </w:pPr>
            <w:r>
              <w:rPr>
                <w:rFonts w:hint="eastAsia" w:ascii="宋体" w:hAnsi="宋体" w:eastAsia="宋体" w:cs="宋体"/>
                <w:b w:val="0"/>
                <w:bCs w:val="0"/>
                <w:color w:val="auto"/>
                <w:sz w:val="24"/>
                <w:szCs w:val="24"/>
                <w:highlight w:val="none"/>
              </w:rPr>
              <w:t>备选方案</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6BFF3287">
            <w:pPr>
              <w:adjustRightInd w:val="0"/>
              <w:snapToGrid w:val="0"/>
              <w:spacing w:before="120" w:beforeLines="50"/>
              <w:rPr>
                <w:rFonts w:hint="default" w:ascii="宋体" w:hAnsi="宋体" w:cs="宋体"/>
                <w:color w:val="auto"/>
                <w:sz w:val="24"/>
                <w:szCs w:val="24"/>
                <w:highlight w:val="none"/>
                <w:lang w:val="en-US"/>
              </w:rPr>
            </w:pPr>
            <w:r>
              <w:rPr>
                <w:rFonts w:hint="default" w:ascii="宋体" w:hAnsi="宋体" w:cs="宋体"/>
                <w:color w:val="auto"/>
                <w:sz w:val="24"/>
                <w:szCs w:val="24"/>
                <w:highlight w:val="none"/>
                <w:lang w:val="en-US"/>
              </w:rPr>
              <w:t>☑</w:t>
            </w:r>
            <w:r>
              <w:rPr>
                <w:rFonts w:hint="eastAsia" w:ascii="宋体" w:hAnsi="宋体" w:cs="宋体"/>
                <w:color w:val="auto"/>
                <w:sz w:val="24"/>
                <w:szCs w:val="24"/>
                <w:highlight w:val="none"/>
              </w:rPr>
              <w:t xml:space="preserve"> 不接受</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接受</w:t>
            </w:r>
          </w:p>
        </w:tc>
      </w:tr>
      <w:tr w14:paraId="216AE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EAA5494">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28F33CFD">
            <w:pPr>
              <w:jc w:val="center"/>
              <w:rPr>
                <w:rFonts w:hint="eastAsia" w:ascii="宋体" w:hAnsi="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投标有效期</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32B7EF97">
            <w:pPr>
              <w:jc w:val="both"/>
              <w:rPr>
                <w:rFonts w:hint="default" w:ascii="宋体" w:hAnsi="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kern w:val="0"/>
                <w:sz w:val="24"/>
                <w:szCs w:val="24"/>
                <w:highlight w:val="none"/>
                <w:lang w:bidi="zh-CN"/>
              </w:rPr>
              <w:t>日历天（从投标截止之日算起）</w:t>
            </w:r>
          </w:p>
        </w:tc>
      </w:tr>
      <w:tr w14:paraId="2D47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35ADB5E">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3DCFC39D">
            <w:pPr>
              <w:jc w:val="center"/>
              <w:rPr>
                <w:rFonts w:hint="eastAsia" w:ascii="宋体" w:hAnsi="宋体" w:cs="宋体"/>
                <w:b/>
                <w:bCs/>
                <w:color w:val="auto"/>
                <w:sz w:val="24"/>
                <w:szCs w:val="24"/>
                <w:highlight w:val="none"/>
              </w:rPr>
            </w:pPr>
            <w:r>
              <w:rPr>
                <w:rFonts w:hint="eastAsia" w:asciiTheme="minorEastAsia" w:hAnsiTheme="minorEastAsia" w:eastAsiaTheme="minorEastAsia" w:cstheme="minorEastAsia"/>
                <w:sz w:val="24"/>
                <w:szCs w:val="24"/>
                <w:lang w:val="en-US" w:eastAsia="zh-CN"/>
              </w:rPr>
              <w:t>磋商</w:t>
            </w:r>
            <w:r>
              <w:rPr>
                <w:rFonts w:hint="eastAsia" w:asciiTheme="minorEastAsia" w:hAnsiTheme="minorEastAsia" w:eastAsiaTheme="minorEastAsia" w:cstheme="minorEastAsia"/>
                <w:sz w:val="24"/>
                <w:szCs w:val="24"/>
              </w:rPr>
              <w:t>保证金</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01DDF585">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投标保证金金额（元）：</w:t>
            </w:r>
            <w:r>
              <w:rPr>
                <w:rFonts w:hint="eastAsia" w:ascii="宋体" w:hAnsi="宋体" w:cs="宋体"/>
                <w:bCs/>
                <w:color w:val="auto"/>
                <w:sz w:val="24"/>
                <w:szCs w:val="24"/>
                <w:highlight w:val="none"/>
                <w:lang w:val="en-US" w:eastAsia="zh-CN"/>
              </w:rPr>
              <w:t>25000.00</w:t>
            </w:r>
            <w:r>
              <w:rPr>
                <w:rFonts w:hint="eastAsia" w:ascii="宋体" w:hAnsi="宋体" w:eastAsia="宋体" w:cs="宋体"/>
                <w:bCs/>
                <w:color w:val="auto"/>
                <w:sz w:val="24"/>
                <w:szCs w:val="24"/>
                <w:highlight w:val="none"/>
                <w:lang w:val="en-US" w:eastAsia="zh-CN"/>
              </w:rPr>
              <w:t>元（大写：</w:t>
            </w:r>
            <w:r>
              <w:rPr>
                <w:rFonts w:hint="eastAsia" w:ascii="宋体" w:hAnsi="宋体" w:cs="宋体"/>
                <w:bCs/>
                <w:color w:val="auto"/>
                <w:sz w:val="24"/>
                <w:szCs w:val="24"/>
                <w:highlight w:val="none"/>
                <w:lang w:val="en-US" w:eastAsia="zh-CN"/>
              </w:rPr>
              <w:t>贰万伍仟元整</w:t>
            </w:r>
            <w:r>
              <w:rPr>
                <w:rFonts w:hint="eastAsia" w:ascii="宋体" w:hAnsi="宋体" w:eastAsia="宋体" w:cs="宋体"/>
                <w:bCs/>
                <w:color w:val="auto"/>
                <w:sz w:val="24"/>
                <w:szCs w:val="24"/>
                <w:highlight w:val="none"/>
                <w:lang w:val="en-US" w:eastAsia="zh-CN"/>
              </w:rPr>
              <w:t>）；</w:t>
            </w:r>
          </w:p>
          <w:p w14:paraId="66585636">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缴纳方式：转账、电汇、支票、汇票、本票、金融机构或担保机构出具的保函（推荐使用政府采购电子保函）等非现金形式以基本户进行提交。</w:t>
            </w:r>
          </w:p>
          <w:p w14:paraId="65C6F5DB">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磋商保证金缴纳账号：</w:t>
            </w:r>
          </w:p>
          <w:p w14:paraId="694C7D89">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账户名称：新疆介石项目管理有限公司</w:t>
            </w:r>
          </w:p>
          <w:p w14:paraId="00EDF103">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开户银行：中国建设银行库尔勒石化大道支行</w:t>
            </w:r>
          </w:p>
          <w:p w14:paraId="7C9DF8AE">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银行账号：65050110575400001431</w:t>
            </w:r>
          </w:p>
          <w:p w14:paraId="690AEC89">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行号：105888000241</w:t>
            </w:r>
          </w:p>
          <w:p w14:paraId="3E4EAA23">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缴纳期限：须在202</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年</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en-US" w:eastAsia="zh-CN"/>
              </w:rPr>
              <w:t>月</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日10:30时（北京时间）前将投标保证金汇入指定账户，供应商应充分考虑资金在途时间。</w:t>
            </w:r>
          </w:p>
          <w:p w14:paraId="029975BD">
            <w:pPr>
              <w:spacing w:line="360" w:lineRule="auto"/>
              <w:rPr>
                <w:rFonts w:hint="default" w:ascii="宋体" w:hAnsi="宋体" w:cs="宋体"/>
                <w:color w:val="auto"/>
                <w:sz w:val="24"/>
                <w:szCs w:val="24"/>
                <w:highlight w:val="none"/>
                <w:lang w:val="en-US"/>
              </w:rPr>
            </w:pPr>
            <w:r>
              <w:rPr>
                <w:rFonts w:hint="eastAsia" w:ascii="宋体" w:hAnsi="宋体" w:eastAsia="宋体" w:cs="宋体"/>
                <w:bCs/>
                <w:color w:val="auto"/>
                <w:sz w:val="24"/>
                <w:szCs w:val="24"/>
                <w:highlight w:val="none"/>
                <w:lang w:val="en-US" w:eastAsia="zh-CN"/>
              </w:rPr>
              <w:t>缴纳凭证上注明：投标人名称、金额、</w:t>
            </w:r>
            <w:r>
              <w:rPr>
                <w:rFonts w:hint="eastAsia" w:ascii="宋体" w:hAnsi="宋体" w:cs="宋体"/>
                <w:bCs/>
                <w:color w:val="auto"/>
                <w:sz w:val="24"/>
                <w:szCs w:val="24"/>
                <w:highlight w:val="none"/>
                <w:lang w:val="en-US" w:eastAsia="zh-CN"/>
              </w:rPr>
              <w:t>XJJSZC（JZXCS）2025-015</w:t>
            </w:r>
          </w:p>
        </w:tc>
      </w:tr>
      <w:tr w14:paraId="6616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F0BF711">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4E836E4A">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供应商提出问题的截止时间</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5B64A59A">
            <w:pPr>
              <w:spacing w:line="360" w:lineRule="auto"/>
              <w:rPr>
                <w:rFonts w:hint="default" w:ascii="宋体" w:hAnsi="宋体" w:cs="宋体"/>
                <w:color w:val="auto"/>
                <w:sz w:val="24"/>
                <w:szCs w:val="24"/>
                <w:highlight w:val="none"/>
                <w:lang w:val="en-US"/>
              </w:rPr>
            </w:pPr>
            <w:r>
              <w:rPr>
                <w:rFonts w:hint="eastAsia" w:ascii="宋体" w:hAnsi="宋体" w:eastAsia="宋体" w:cs="宋体"/>
                <w:bCs/>
                <w:color w:val="auto"/>
                <w:sz w:val="24"/>
                <w:szCs w:val="24"/>
                <w:highlight w:val="none"/>
                <w:lang w:val="en-US" w:eastAsia="zh-CN"/>
              </w:rPr>
              <w:t>在响应文件递交截止时间5日前</w:t>
            </w:r>
          </w:p>
        </w:tc>
      </w:tr>
      <w:tr w14:paraId="5CD2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5267694">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7C0CC314">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采购人书面澄清的时间</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3AF84832">
            <w:pPr>
              <w:spacing w:line="340" w:lineRule="exact"/>
              <w:jc w:val="left"/>
              <w:rPr>
                <w:rFonts w:hint="default" w:ascii="宋体" w:hAnsi="宋体" w:cs="宋体"/>
                <w:color w:val="auto"/>
                <w:sz w:val="24"/>
                <w:szCs w:val="24"/>
                <w:highlight w:val="none"/>
                <w:lang w:val="en-US"/>
              </w:rPr>
            </w:pPr>
            <w:r>
              <w:rPr>
                <w:rFonts w:hint="eastAsia" w:ascii="宋体" w:hAnsi="宋体" w:eastAsia="宋体" w:cs="宋体"/>
                <w:bCs/>
                <w:color w:val="auto"/>
                <w:sz w:val="24"/>
                <w:szCs w:val="24"/>
                <w:highlight w:val="none"/>
                <w:lang w:val="en-US" w:eastAsia="zh-CN"/>
              </w:rPr>
              <w:t>在响应文件递交截止时间5日前</w:t>
            </w:r>
          </w:p>
        </w:tc>
      </w:tr>
      <w:tr w14:paraId="0002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DEC39AB">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754BE820">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评标方法</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4C5816CB">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综合评分法</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综合得分最高的为成交供应商</w:t>
            </w:r>
            <w:r>
              <w:rPr>
                <w:rFonts w:hint="eastAsia" w:ascii="宋体" w:hAnsi="宋体" w:cs="宋体"/>
                <w:color w:val="auto"/>
                <w:sz w:val="24"/>
                <w:szCs w:val="24"/>
                <w:highlight w:val="none"/>
                <w:lang w:eastAsia="zh-CN"/>
              </w:rPr>
              <w:t>）</w:t>
            </w:r>
          </w:p>
        </w:tc>
      </w:tr>
      <w:tr w14:paraId="543C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7381707">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380CB1FA">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评审小组</w:t>
            </w:r>
          </w:p>
          <w:p w14:paraId="5940A31A">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的组建</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6F7565F8">
            <w:pPr>
              <w:overflowPunct w:val="0"/>
              <w:spacing w:line="440" w:lineRule="exact"/>
              <w:jc w:val="left"/>
              <w:rPr>
                <w:rFonts w:hint="default" w:ascii="宋体" w:hAnsi="宋体" w:cs="宋体"/>
                <w:color w:val="auto"/>
                <w:sz w:val="24"/>
                <w:szCs w:val="24"/>
                <w:highlight w:val="none"/>
                <w:lang w:val="en-US"/>
              </w:rPr>
            </w:pPr>
            <w:r>
              <w:rPr>
                <w:rFonts w:hint="eastAsia" w:ascii="宋体" w:hAnsi="宋体" w:eastAsia="宋体" w:cs="宋体"/>
                <w:bCs/>
                <w:color w:val="auto"/>
                <w:sz w:val="24"/>
                <w:szCs w:val="24"/>
                <w:highlight w:val="none"/>
                <w:lang w:val="en-US" w:eastAsia="zh-CN"/>
              </w:rPr>
              <w:t>招标采购单位依法组建磋商小组共</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 xml:space="preserve">5 </w:t>
            </w:r>
            <w:r>
              <w:rPr>
                <w:rFonts w:hint="eastAsia" w:ascii="宋体" w:hAnsi="宋体" w:eastAsia="宋体" w:cs="宋体"/>
                <w:bCs/>
                <w:color w:val="auto"/>
                <w:sz w:val="24"/>
                <w:szCs w:val="24"/>
                <w:highlight w:val="none"/>
                <w:lang w:val="en-US" w:eastAsia="zh-CN"/>
              </w:rPr>
              <w:t>人组成，其中采购人代表</w:t>
            </w:r>
            <w:r>
              <w:rPr>
                <w:rFonts w:hint="eastAsia" w:ascii="宋体" w:hAnsi="宋体" w:eastAsia="宋体" w:cs="宋体"/>
                <w:bCs/>
                <w:color w:val="auto"/>
                <w:sz w:val="24"/>
                <w:szCs w:val="24"/>
                <w:highlight w:val="none"/>
                <w:u w:val="single"/>
                <w:lang w:val="en-US" w:eastAsia="zh-CN"/>
              </w:rPr>
              <w:t xml:space="preserve"> 1 </w:t>
            </w:r>
            <w:r>
              <w:rPr>
                <w:rFonts w:hint="eastAsia" w:ascii="宋体" w:hAnsi="宋体" w:eastAsia="宋体" w:cs="宋体"/>
                <w:bCs/>
                <w:color w:val="auto"/>
                <w:sz w:val="24"/>
                <w:szCs w:val="24"/>
                <w:highlight w:val="none"/>
                <w:lang w:val="en-US" w:eastAsia="zh-CN"/>
              </w:rPr>
              <w:t>人和专家评委</w:t>
            </w:r>
            <w:r>
              <w:rPr>
                <w:rFonts w:hint="eastAsia" w:ascii="宋体" w:hAnsi="宋体" w:cs="宋体"/>
                <w:bCs/>
                <w:color w:val="auto"/>
                <w:sz w:val="24"/>
                <w:szCs w:val="24"/>
                <w:highlight w:val="none"/>
                <w:u w:val="single"/>
                <w:lang w:val="en-US" w:eastAsia="zh-CN"/>
              </w:rPr>
              <w:t xml:space="preserve"> 4</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val="en-US" w:eastAsia="zh-CN"/>
              </w:rPr>
              <w:t>人。小组确定方式：从政采云专家库中随机抽取确定。</w:t>
            </w:r>
          </w:p>
        </w:tc>
      </w:tr>
      <w:tr w14:paraId="0A0E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17" w:type="dxa"/>
            <w:tcBorders>
              <w:left w:val="single" w:color="auto" w:sz="4" w:space="0"/>
              <w:bottom w:val="single" w:color="auto" w:sz="4" w:space="0"/>
              <w:right w:val="single" w:color="auto" w:sz="4" w:space="0"/>
            </w:tcBorders>
            <w:noWrap w:val="0"/>
            <w:vAlign w:val="center"/>
          </w:tcPr>
          <w:p w14:paraId="065C113D">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u w:val="none"/>
                <w:lang w:val="en-US" w:eastAsia="zh-CN"/>
              </w:rPr>
              <w:t>1</w:t>
            </w:r>
            <w:r>
              <w:rPr>
                <w:rFonts w:hint="eastAsia" w:ascii="宋体" w:hAnsi="宋体" w:cs="宋体"/>
                <w:bCs/>
                <w:color w:val="auto"/>
                <w:sz w:val="24"/>
                <w:szCs w:val="24"/>
                <w:highlight w:val="none"/>
                <w:u w:val="none"/>
                <w:lang w:val="en-US" w:eastAsia="zh-CN"/>
              </w:rPr>
              <w:t>4</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69B030A0">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低于成本价不正当竞争预防措施</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101C9649">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在评标过程中，投标人报价低于其他有效投标人报价有可能影响产品质量或者不能诚信履约的，评标委员会应当要求其在评标现场合理的时间内提供成本构成书面说明，并提交相关证明材料。</w:t>
            </w:r>
          </w:p>
          <w:p w14:paraId="624C21BD">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2FC49A25">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329351AB">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6B05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17" w:type="dxa"/>
            <w:tcBorders>
              <w:left w:val="single" w:color="auto" w:sz="4" w:space="0"/>
              <w:bottom w:val="single" w:color="auto" w:sz="4" w:space="0"/>
              <w:right w:val="single" w:color="auto" w:sz="4" w:space="0"/>
            </w:tcBorders>
            <w:noWrap w:val="0"/>
            <w:vAlign w:val="center"/>
          </w:tcPr>
          <w:p w14:paraId="573E11A2">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74150E01">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商务、经济、</w:t>
            </w:r>
          </w:p>
          <w:p w14:paraId="0625BCE5">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技术文件</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4EF73CCD">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1、投标文件组成：由商务</w:t>
            </w:r>
            <w:r>
              <w:rPr>
                <w:rFonts w:hint="eastAsia" w:ascii="宋体" w:hAnsi="宋体" w:eastAsia="宋体" w:cs="宋体"/>
                <w:color w:val="auto"/>
                <w:sz w:val="24"/>
                <w:szCs w:val="24"/>
                <w:highlight w:val="none"/>
                <w:lang w:val="en-US" w:eastAsia="zh-CN"/>
              </w:rPr>
              <w:t>部分</w:t>
            </w:r>
            <w:r>
              <w:rPr>
                <w:rFonts w:hint="eastAsia" w:ascii="宋体" w:hAnsi="宋体" w:eastAsia="宋体" w:cs="宋体"/>
                <w:color w:val="auto"/>
                <w:sz w:val="24"/>
                <w:szCs w:val="24"/>
                <w:highlight w:val="none"/>
                <w:lang w:val="zh-CN"/>
              </w:rPr>
              <w:t>、技术</w:t>
            </w:r>
            <w:r>
              <w:rPr>
                <w:rFonts w:hint="eastAsia" w:ascii="宋体" w:hAnsi="宋体" w:eastAsia="宋体" w:cs="宋体"/>
                <w:color w:val="auto"/>
                <w:sz w:val="24"/>
                <w:szCs w:val="24"/>
                <w:highlight w:val="none"/>
                <w:lang w:val="en-US" w:eastAsia="zh-CN"/>
              </w:rPr>
              <w:t>部分</w:t>
            </w:r>
            <w:r>
              <w:rPr>
                <w:rFonts w:hint="eastAsia" w:ascii="宋体" w:hAnsi="宋体" w:eastAsia="宋体" w:cs="宋体"/>
                <w:color w:val="auto"/>
                <w:sz w:val="24"/>
                <w:szCs w:val="24"/>
                <w:highlight w:val="none"/>
                <w:lang w:val="zh-CN"/>
              </w:rPr>
              <w:t>和经济</w:t>
            </w:r>
            <w:r>
              <w:rPr>
                <w:rFonts w:hint="eastAsia" w:ascii="宋体" w:hAnsi="宋体" w:eastAsia="宋体" w:cs="宋体"/>
                <w:color w:val="auto"/>
                <w:sz w:val="24"/>
                <w:szCs w:val="24"/>
                <w:highlight w:val="none"/>
                <w:lang w:val="en-US" w:eastAsia="zh-CN"/>
              </w:rPr>
              <w:t>部分</w:t>
            </w:r>
            <w:r>
              <w:rPr>
                <w:rFonts w:hint="eastAsia" w:ascii="宋体" w:hAnsi="宋体" w:eastAsia="宋体" w:cs="宋体"/>
                <w:color w:val="auto"/>
                <w:sz w:val="24"/>
                <w:szCs w:val="24"/>
                <w:highlight w:val="none"/>
                <w:lang w:val="zh-CN"/>
              </w:rPr>
              <w:t>构成。</w:t>
            </w:r>
          </w:p>
          <w:p w14:paraId="71A370EA">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rPr>
              <w:t>投标文件编制：供应商应先安装“政采云电子投标客户端”，并按照本采购文件和“政府采购云平台”的要求，通过“政采云电子投标客户端”编制并加密投标文件。</w:t>
            </w:r>
          </w:p>
          <w:p w14:paraId="4FB94C66">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rPr>
              <w:t>投标文件的签章：电子签章。</w:t>
            </w:r>
          </w:p>
          <w:p w14:paraId="03EC25A4">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投标文件的形式：☑</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电子投标文件</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rPr>
              <w:t>包括“电子加密投标文件”、“备份投标文件”（如有）</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rPr>
              <w:t>☑“纸质标书”；</w:t>
            </w:r>
          </w:p>
          <w:p w14:paraId="0EF254DE">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（1）“电子加密投标文件”是指通过“政采云电子投标客户端”完成投标文件编制后生成并加密的数据电文形式的投标文件。</w:t>
            </w:r>
          </w:p>
          <w:p w14:paraId="013D081A">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（2）“备份投标文件”（若有）是指与“电子加密投标文件”同时生成的数据电文形式的电子文件（备份标书），其他方式编制的备份投标文件视为无效备份投标文件。</w:t>
            </w:r>
          </w:p>
          <w:p w14:paraId="0CDCB6EB">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5、投标文件份数：</w:t>
            </w:r>
          </w:p>
          <w:p w14:paraId="513F8F24">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（1）“电子加密投标文件”：在线上传递交。</w:t>
            </w:r>
          </w:p>
          <w:p w14:paraId="66E65A61">
            <w:pPr>
              <w:spacing w:line="360" w:lineRule="auto"/>
              <w:jc w:val="left"/>
              <w:rPr>
                <w:rFonts w:hint="eastAsia"/>
                <w:lang w:val="zh-CN"/>
              </w:rPr>
            </w:pPr>
            <w:r>
              <w:rPr>
                <w:rFonts w:hint="eastAsia" w:ascii="宋体" w:hAnsi="宋体" w:eastAsia="宋体" w:cs="宋体"/>
                <w:color w:val="auto"/>
                <w:sz w:val="24"/>
                <w:szCs w:val="24"/>
                <w:highlight w:val="none"/>
                <w:lang w:val="zh-CN"/>
              </w:rPr>
              <w:t>（2）“备份投标文件”（如有）：在投标截止时间前递交（接受以U盘为介质形式递交，须注明项目名称、投标单位</w:t>
            </w:r>
            <w:r>
              <w:rPr>
                <w:rFonts w:hint="eastAsia" w:ascii="宋体" w:hAnsi="宋体" w:eastAsia="宋体" w:cs="宋体"/>
                <w:color w:val="auto"/>
                <w:sz w:val="24"/>
                <w:szCs w:val="24"/>
                <w:highlight w:val="none"/>
              </w:rPr>
              <w:t>或电子邮件方式提供给代理机构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具体联系人</w:t>
            </w:r>
            <w:r>
              <w:rPr>
                <w:rFonts w:hint="eastAsia" w:ascii="宋体" w:hAnsi="宋体" w:eastAsia="宋体" w:cs="宋体"/>
                <w:color w:val="auto"/>
                <w:sz w:val="24"/>
                <w:szCs w:val="24"/>
                <w:highlight w:val="none"/>
                <w:lang w:val="en-US" w:eastAsia="zh-CN"/>
              </w:rPr>
              <w:t>谢小东</w:t>
            </w:r>
            <w:r>
              <w:rPr>
                <w:rFonts w:hint="eastAsia" w:ascii="宋体" w:hAnsi="宋体" w:eastAsia="宋体" w:cs="宋体"/>
                <w:color w:val="auto"/>
                <w:sz w:val="24"/>
                <w:szCs w:val="24"/>
                <w:highlight w:val="none"/>
              </w:rPr>
              <w:t>，邮箱</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"mailto:738623469@qq.com）。" </w:instrText>
            </w:r>
            <w:r>
              <w:rPr>
                <w:rFonts w:hint="eastAsia" w:ascii="宋体" w:hAnsi="宋体" w:eastAsia="宋体" w:cs="宋体"/>
                <w:color w:val="auto"/>
                <w:sz w:val="24"/>
                <w:szCs w:val="24"/>
                <w:highlight w:val="none"/>
                <w:lang w:val="en-US" w:eastAsia="zh-CN"/>
              </w:rPr>
              <w:fldChar w:fldCharType="separate"/>
            </w:r>
            <w:r>
              <w:rPr>
                <w:rStyle w:val="35"/>
                <w:rFonts w:hint="eastAsia" w:ascii="宋体" w:hAnsi="宋体" w:eastAsia="宋体" w:cs="宋体"/>
                <w:sz w:val="24"/>
                <w:szCs w:val="24"/>
                <w:highlight w:val="none"/>
                <w:lang w:val="en-US" w:eastAsia="zh-CN"/>
              </w:rPr>
              <w:t>738623469</w:t>
            </w:r>
            <w:r>
              <w:rPr>
                <w:rStyle w:val="35"/>
                <w:rFonts w:hint="eastAsia" w:ascii="宋体" w:hAnsi="宋体" w:eastAsia="宋体" w:cs="宋体"/>
                <w:sz w:val="24"/>
                <w:szCs w:val="24"/>
                <w:highlight w:val="none"/>
              </w:rPr>
              <w:t>@qq.com</w:t>
            </w:r>
            <w:r>
              <w:rPr>
                <w:rStyle w:val="35"/>
                <w:rFonts w:hint="eastAsia" w:ascii="宋体" w:hAnsi="宋体" w:eastAsia="宋体" w:cs="宋体"/>
                <w:sz w:val="24"/>
                <w:szCs w:val="24"/>
                <w:highlight w:val="none"/>
                <w:lang w:val="zh-CN"/>
              </w:rPr>
              <w:t>）。</w:t>
            </w:r>
            <w:r>
              <w:rPr>
                <w:rFonts w:hint="eastAsia" w:ascii="宋体" w:hAnsi="宋体" w:eastAsia="宋体" w:cs="宋体"/>
                <w:color w:val="auto"/>
                <w:sz w:val="24"/>
                <w:szCs w:val="24"/>
                <w:highlight w:val="none"/>
                <w:lang w:val="en-US" w:eastAsia="zh-CN"/>
              </w:rPr>
              <w:fldChar w:fldCharType="end"/>
            </w:r>
          </w:p>
          <w:p w14:paraId="119CDDC8">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（3）“纸质标书”：开标后</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lang w:val="zh-CN"/>
              </w:rPr>
              <w:t>需在公示期满后</w:t>
            </w:r>
            <w:r>
              <w:rPr>
                <w:rFonts w:hint="eastAsia" w:ascii="宋体" w:hAnsi="宋体" w:eastAsia="宋体" w:cs="宋体"/>
                <w:color w:val="auto"/>
                <w:sz w:val="24"/>
                <w:szCs w:val="24"/>
                <w:highlight w:val="none"/>
                <w:lang w:val="en-US" w:eastAsia="zh-CN"/>
              </w:rPr>
              <w:t>2日内</w:t>
            </w:r>
            <w:r>
              <w:rPr>
                <w:rFonts w:hint="eastAsia" w:ascii="宋体" w:hAnsi="宋体" w:eastAsia="宋体" w:cs="宋体"/>
                <w:color w:val="auto"/>
                <w:sz w:val="24"/>
                <w:szCs w:val="24"/>
                <w:highlight w:val="none"/>
                <w:lang w:val="zh-CN"/>
              </w:rPr>
              <w:t>，另行提交纸质版及电子版投标文件（</w:t>
            </w:r>
            <w:r>
              <w:rPr>
                <w:rFonts w:hint="eastAsia" w:ascii="宋体" w:hAnsi="宋体" w:eastAsia="宋体" w:cs="宋体"/>
                <w:color w:val="auto"/>
                <w:sz w:val="24"/>
                <w:szCs w:val="24"/>
                <w:highlight w:val="none"/>
                <w:lang w:val="en-US" w:eastAsia="zh-CN"/>
              </w:rPr>
              <w:t>纸质版</w:t>
            </w:r>
            <w:r>
              <w:rPr>
                <w:rFonts w:hint="eastAsia" w:ascii="宋体" w:hAnsi="宋体" w:eastAsia="宋体" w:cs="宋体"/>
                <w:color w:val="auto"/>
                <w:sz w:val="24"/>
                <w:szCs w:val="24"/>
                <w:highlight w:val="none"/>
                <w:lang w:val="zh-CN"/>
              </w:rPr>
              <w:t>正本一份、副本</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val="zh-CN"/>
              </w:rPr>
              <w:t>份及电子版</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U盘或光盘</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一份</w:t>
            </w:r>
            <w:r>
              <w:rPr>
                <w:rFonts w:hint="eastAsia" w:ascii="宋体" w:hAnsi="宋体" w:eastAsia="宋体" w:cs="宋体"/>
                <w:color w:val="auto"/>
                <w:sz w:val="24"/>
                <w:szCs w:val="24"/>
                <w:highlight w:val="none"/>
                <w:lang w:val="zh-CN"/>
              </w:rPr>
              <w:t>）。递交至招标</w:t>
            </w:r>
            <w:r>
              <w:rPr>
                <w:rFonts w:hint="eastAsia" w:ascii="宋体" w:hAnsi="宋体" w:eastAsia="宋体" w:cs="宋体"/>
                <w:color w:val="auto"/>
                <w:sz w:val="24"/>
                <w:szCs w:val="24"/>
                <w:highlight w:val="none"/>
                <w:lang w:val="en-US" w:eastAsia="zh-CN"/>
              </w:rPr>
              <w:t>代理处存档，内容须与电子版投标文件内容一致，纸质投标文件一律不予退还。</w:t>
            </w:r>
            <w:r>
              <w:rPr>
                <w:rFonts w:hint="eastAsia" w:ascii="宋体" w:hAnsi="宋体" w:eastAsia="宋体" w:cs="宋体"/>
                <w:color w:val="auto"/>
                <w:sz w:val="24"/>
                <w:szCs w:val="24"/>
                <w:highlight w:val="none"/>
                <w:lang w:val="zh-CN"/>
              </w:rPr>
              <w:t>纸质版及电子版标书邮寄地址及收件人：</w:t>
            </w:r>
            <w:r>
              <w:rPr>
                <w:rFonts w:hint="eastAsia" w:ascii="宋体" w:hAnsi="宋体" w:eastAsia="宋体" w:cs="宋体"/>
                <w:color w:val="auto"/>
                <w:sz w:val="24"/>
                <w:szCs w:val="24"/>
                <w:highlight w:val="none"/>
                <w:lang w:val="en-US" w:eastAsia="zh-CN"/>
              </w:rPr>
              <w:t>库尔勒市铁克其乡迎宾路 98 号智慧嘉苑 4 栋 2 层 01 号</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新疆介石项目管理有限公司</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收件</w:t>
            </w:r>
            <w:r>
              <w:rPr>
                <w:rFonts w:hint="eastAsia" w:ascii="宋体" w:hAnsi="宋体" w:eastAsia="宋体" w:cs="宋体"/>
                <w:color w:val="auto"/>
                <w:sz w:val="24"/>
                <w:szCs w:val="24"/>
                <w:highlight w:val="none"/>
                <w:lang w:val="zh-CN" w:eastAsia="zh-CN"/>
              </w:rPr>
              <w:t>人</w:t>
            </w:r>
            <w:r>
              <w:rPr>
                <w:rFonts w:hint="eastAsia" w:ascii="宋体" w:hAnsi="宋体" w:eastAsia="宋体" w:cs="宋体"/>
                <w:color w:val="auto"/>
                <w:sz w:val="24"/>
                <w:szCs w:val="24"/>
                <w:highlight w:val="none"/>
                <w:lang w:val="en-US" w:eastAsia="zh-CN"/>
              </w:rPr>
              <w:t>:谢小东，</w:t>
            </w:r>
            <w:r>
              <w:rPr>
                <w:rFonts w:hint="eastAsia" w:ascii="宋体" w:hAnsi="宋体" w:eastAsia="宋体" w:cs="宋体"/>
                <w:color w:val="auto"/>
                <w:sz w:val="24"/>
                <w:szCs w:val="24"/>
                <w:highlight w:val="none"/>
                <w:lang w:val="zh-CN" w:eastAsia="zh-CN"/>
              </w:rPr>
              <w:t>联系电话：</w:t>
            </w:r>
            <w:r>
              <w:rPr>
                <w:rFonts w:hint="eastAsia" w:ascii="宋体" w:hAnsi="宋体" w:eastAsia="宋体" w:cs="宋体"/>
                <w:color w:val="auto"/>
                <w:sz w:val="24"/>
                <w:szCs w:val="24"/>
                <w:highlight w:val="none"/>
                <w:lang w:val="en-US" w:eastAsia="zh-CN"/>
              </w:rPr>
              <w:t>17794895987</w:t>
            </w:r>
            <w:r>
              <w:rPr>
                <w:rFonts w:hint="eastAsia" w:ascii="宋体" w:hAnsi="宋体" w:eastAsia="宋体" w:cs="宋体"/>
                <w:color w:val="auto"/>
                <w:sz w:val="24"/>
                <w:szCs w:val="24"/>
                <w:highlight w:val="none"/>
                <w:lang w:val="zh-CN" w:eastAsia="zh-CN"/>
              </w:rPr>
              <w:t>。</w:t>
            </w:r>
          </w:p>
          <w:p w14:paraId="55A77151">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通过“政府采购云平台”成功上传递交的“电子加密投标文件”已按时解密的，“备份投标文件”自动失效。投标截止时间前，供应商仅递交了“备份投标文件”而未将“电子加密投标文件”成功上传至“政府采购云平台”的，投标无效。</w:t>
            </w:r>
          </w:p>
          <w:p w14:paraId="639D56BD">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6、投标截止后，在投标有效期内，供应商不能撤销投标文件。</w:t>
            </w:r>
          </w:p>
          <w:p w14:paraId="3AB87260">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zh-CN"/>
              </w:rPr>
              <w:t>、中标后，供应商拒绝签订合同的，采购人可以按照评审报告推荐的中标候选人名单排序，确定下一候选人为中标供应商，也可以重新开展政府采购活动。</w:t>
            </w:r>
          </w:p>
          <w:p w14:paraId="1A79BFC2">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zh-CN"/>
              </w:rPr>
              <w:t>、存在下列行为的，招标代理机构将其失信行为上报政府采购主管部门，由主管部门按有关规定对其违法失信行为记录进行公开：</w:t>
            </w:r>
          </w:p>
          <w:p w14:paraId="768C0535">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（1）中标或者成交后，拒绝签订政府采购合同的；</w:t>
            </w:r>
          </w:p>
          <w:p w14:paraId="493DE4DA">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（2）投标有效期内撤销投标文件的</w:t>
            </w:r>
            <w:r>
              <w:rPr>
                <w:rFonts w:hint="eastAsia" w:ascii="宋体" w:hAnsi="宋体" w:eastAsia="宋体" w:cs="宋体"/>
                <w:color w:val="auto"/>
                <w:sz w:val="24"/>
                <w:szCs w:val="24"/>
                <w:highlight w:val="none"/>
                <w:lang w:val="zh-CN" w:eastAsia="zh-CN"/>
              </w:rPr>
              <w:t>。</w:t>
            </w:r>
          </w:p>
        </w:tc>
      </w:tr>
      <w:tr w14:paraId="3255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1ADFB5E">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6702E792">
            <w:pPr>
              <w:jc w:val="center"/>
              <w:rPr>
                <w:rFonts w:hint="eastAsia" w:ascii="宋体" w:hAnsi="宋体" w:cs="宋体"/>
                <w:b/>
                <w:bCs/>
                <w:color w:val="auto"/>
                <w:sz w:val="24"/>
                <w:szCs w:val="24"/>
                <w:highlight w:val="none"/>
              </w:rPr>
            </w:pPr>
            <w:r>
              <w:rPr>
                <w:rFonts w:hint="eastAsia" w:ascii="宋体" w:hAnsi="宋体" w:eastAsia="宋体" w:cs="宋体"/>
                <w:b w:val="0"/>
                <w:bCs w:val="0"/>
                <w:color w:val="auto"/>
                <w:sz w:val="24"/>
                <w:szCs w:val="24"/>
                <w:highlight w:val="none"/>
              </w:rPr>
              <w:t>标前准备</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0DFCDDDE">
            <w:pPr>
              <w:overflowPunct w:val="0"/>
              <w:spacing w:line="44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1、本项目实行网上投标，采用电子投标文件。</w:t>
            </w:r>
          </w:p>
          <w:p w14:paraId="2F59E9C2">
            <w:pPr>
              <w:overflowPunct w:val="0"/>
              <w:spacing w:line="44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安信CA服务热线18399999326；翔晟CA服务热线025-66085508；新疆CA服务热线4000921999。</w:t>
            </w:r>
          </w:p>
          <w:p w14:paraId="6F93CBC0">
            <w:pPr>
              <w:overflowPunct w:val="0"/>
              <w:spacing w:line="44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3、供应商将政采云电子交易客户端下载、安装完成后，可通过账号密码或CA登录客户端进行投标文件的制作。在使用政采云投标客户端时，建议使用WIN7及以上操作系统。</w:t>
            </w:r>
          </w:p>
          <w:p w14:paraId="2652E3F3">
            <w:pPr>
              <w:overflowPunct w:val="0"/>
              <w:spacing w:line="440" w:lineRule="exact"/>
              <w:jc w:val="left"/>
              <w:rPr>
                <w:rFonts w:hint="default" w:ascii="宋体" w:hAnsi="宋体" w:cs="宋体"/>
                <w:color w:val="auto"/>
                <w:sz w:val="24"/>
                <w:szCs w:val="24"/>
                <w:highlight w:val="none"/>
                <w:lang w:val="en-US"/>
              </w:rPr>
            </w:pPr>
            <w:r>
              <w:rPr>
                <w:rFonts w:hint="eastAsia" w:ascii="宋体" w:hAnsi="宋体" w:eastAsia="宋体" w:cs="宋体"/>
                <w:bCs/>
                <w:color w:val="auto"/>
                <w:sz w:val="24"/>
                <w:szCs w:val="24"/>
                <w:highlight w:val="none"/>
                <w:lang w:val="en-US" w:eastAsia="zh-CN"/>
              </w:rPr>
              <w:t>4、其他事项：①本项目实行网上投标，采用电子投标文件。若供应商参与投标，自行承担投标一切费用。②各供应商在开标前应确保成为新疆维吾尔自治区政府采购网正式注册入库供应商，并完成CA数字证书申领。因未注册入库、未办理CA数字证书等原因造成无法投标或投标失败等后果由供应商自行承担。③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tc>
      </w:tr>
      <w:tr w14:paraId="6DFA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6C6CFDC">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68FC0DC5">
            <w:pPr>
              <w:adjustRightInd w:val="0"/>
              <w:snapToGrid w:val="0"/>
              <w:spacing w:before="120" w:beforeLines="50"/>
              <w:jc w:val="center"/>
              <w:rPr>
                <w:rFonts w:hint="eastAsia" w:ascii="宋体" w:hAnsi="宋体" w:cs="宋体"/>
                <w:b/>
                <w:bCs/>
                <w:color w:val="auto"/>
                <w:sz w:val="24"/>
                <w:szCs w:val="24"/>
                <w:highlight w:val="none"/>
              </w:rPr>
            </w:pPr>
            <w:r>
              <w:rPr>
                <w:rFonts w:hint="eastAsia" w:ascii="宋体" w:hAnsi="宋体" w:eastAsia="宋体" w:cs="宋体"/>
                <w:b w:val="0"/>
                <w:bCs w:val="0"/>
                <w:color w:val="auto"/>
                <w:sz w:val="24"/>
                <w:szCs w:val="24"/>
                <w:highlight w:val="none"/>
              </w:rPr>
              <w:t>响应文件递交</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01FD7205">
            <w:pPr>
              <w:overflowPunct w:val="0"/>
              <w:spacing w:line="440" w:lineRule="exact"/>
              <w:jc w:val="left"/>
              <w:rPr>
                <w:rFonts w:hint="default" w:ascii="宋体" w:hAnsi="宋体" w:eastAsia="宋体" w:cs="宋体"/>
                <w:bCs/>
                <w:color w:val="C00000"/>
                <w:sz w:val="24"/>
                <w:szCs w:val="24"/>
                <w:highlight w:val="none"/>
                <w:lang w:val="en-US" w:eastAsia="zh-CN"/>
              </w:rPr>
            </w:pPr>
            <w:r>
              <w:rPr>
                <w:rFonts w:hint="eastAsia" w:ascii="宋体" w:hAnsi="宋体" w:eastAsia="宋体" w:cs="宋体"/>
                <w:bCs/>
                <w:color w:val="auto"/>
                <w:sz w:val="24"/>
                <w:szCs w:val="24"/>
                <w:highlight w:val="none"/>
                <w:lang w:val="en-US" w:eastAsia="zh-CN"/>
              </w:rPr>
              <w:t>投标截止时间：202</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年</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en-US" w:eastAsia="zh-CN"/>
              </w:rPr>
              <w:t>月</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日10:30时（北京时间）</w:t>
            </w:r>
          </w:p>
          <w:p w14:paraId="263A7B9E">
            <w:pPr>
              <w:overflowPunct w:val="0"/>
              <w:spacing w:line="44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投标递交地点：政采云平台</w:t>
            </w:r>
          </w:p>
          <w:p w14:paraId="353CD6E2">
            <w:pPr>
              <w:overflowPunct w:val="0"/>
              <w:spacing w:line="44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注：</w:t>
            </w:r>
          </w:p>
          <w:p w14:paraId="4F8CF906">
            <w:pPr>
              <w:overflowPunct w:val="0"/>
              <w:spacing w:line="44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（1）投标文件上传，使用政府采购云平台投标文件制作工具，制作完成需将加密投标文件在投标截止时间前上传至政采云平台对应位置。</w:t>
            </w:r>
          </w:p>
          <w:p w14:paraId="4BA0B82D">
            <w:pPr>
              <w:overflowPunct w:val="0"/>
              <w:spacing w:line="44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（2）与加密标书同时生成的备份标书，在出现异常情况进行异常处理时使用。比如当加密标书无法正常解密时，可以在开启标书信息前，通过异常处理上传备份标书。</w:t>
            </w:r>
          </w:p>
          <w:p w14:paraId="5355568E">
            <w:pPr>
              <w:overflowPunct w:val="0"/>
              <w:spacing w:line="44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（3）平台会校验标书一致性及标书身份识别，切勿手动修改标书。</w:t>
            </w:r>
          </w:p>
          <w:p w14:paraId="37B0F904">
            <w:pPr>
              <w:overflowPunct w:val="0"/>
              <w:spacing w:line="44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（4）供应商生成的后缀格式为.bfbs的备份标书是无法查看的，主要是为了在开标解密时异常处理使用。</w:t>
            </w:r>
          </w:p>
          <w:p w14:paraId="41D00318">
            <w:pPr>
              <w:overflowPunct w:val="0"/>
              <w:spacing w:line="44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（5）凡因个人原因无法正常解密投标文件（且没提供备份文件至采购代理机构），致使供应商无法参与评标，供应商自行承担后果。</w:t>
            </w:r>
          </w:p>
          <w:p w14:paraId="0B965142">
            <w:pPr>
              <w:overflowPunct w:val="0"/>
              <w:spacing w:line="440" w:lineRule="exact"/>
              <w:jc w:val="left"/>
              <w:rPr>
                <w:rFonts w:hint="default" w:ascii="宋体" w:hAnsi="宋体" w:cs="宋体"/>
                <w:color w:val="auto"/>
                <w:sz w:val="24"/>
                <w:szCs w:val="24"/>
                <w:highlight w:val="none"/>
                <w:lang w:val="en-US"/>
              </w:rPr>
            </w:pPr>
            <w:r>
              <w:rPr>
                <w:rFonts w:hint="eastAsia" w:ascii="宋体" w:hAnsi="宋体" w:eastAsia="宋体" w:cs="宋体"/>
                <w:bCs/>
                <w:color w:val="auto"/>
                <w:sz w:val="24"/>
                <w:szCs w:val="24"/>
                <w:highlight w:val="none"/>
                <w:lang w:val="en-US" w:eastAsia="zh-CN"/>
              </w:rPr>
              <w:t>（6）电报、电话、传真、电子邮件等形式的投标概不接受。</w:t>
            </w:r>
          </w:p>
        </w:tc>
      </w:tr>
      <w:tr w14:paraId="7E113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468218C">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4E4750FC">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开标</w:t>
            </w:r>
            <w:r>
              <w:rPr>
                <w:rFonts w:hint="eastAsia" w:ascii="宋体" w:hAnsi="宋体" w:eastAsia="宋体" w:cs="宋体"/>
                <w:b w:val="0"/>
                <w:bCs w:val="0"/>
                <w:color w:val="auto"/>
                <w:sz w:val="24"/>
                <w:szCs w:val="24"/>
                <w:highlight w:val="none"/>
                <w:lang w:val="en-US" w:eastAsia="zh-CN"/>
              </w:rPr>
              <w:t>时间</w:t>
            </w:r>
          </w:p>
          <w:p w14:paraId="5D2F63B3">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及</w:t>
            </w:r>
            <w:r>
              <w:rPr>
                <w:rFonts w:hint="eastAsia" w:ascii="宋体" w:hAnsi="宋体" w:eastAsia="宋体" w:cs="宋体"/>
                <w:b w:val="0"/>
                <w:bCs w:val="0"/>
                <w:color w:val="auto"/>
                <w:sz w:val="24"/>
                <w:szCs w:val="24"/>
                <w:highlight w:val="none"/>
                <w:lang w:eastAsia="zh-CN"/>
              </w:rPr>
              <w:t>地点</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6BD2D37E">
            <w:pPr>
              <w:overflowPunct w:val="0"/>
              <w:spacing w:line="440" w:lineRule="exact"/>
              <w:jc w:val="left"/>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开标时间：</w:t>
            </w:r>
            <w:r>
              <w:rPr>
                <w:rFonts w:hint="eastAsia" w:ascii="宋体" w:hAnsi="宋体" w:eastAsia="宋体" w:cs="宋体"/>
                <w:color w:val="auto"/>
                <w:kern w:val="0"/>
                <w:sz w:val="24"/>
                <w:szCs w:val="24"/>
                <w:highlight w:val="none"/>
                <w:lang w:val="en-US" w:eastAsia="zh-CN"/>
              </w:rPr>
              <w:t>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年</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en-US" w:eastAsia="zh-CN"/>
              </w:rPr>
              <w:t>月</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日10:30时（北京时间）</w:t>
            </w:r>
          </w:p>
          <w:p w14:paraId="1E83B387">
            <w:pPr>
              <w:overflowPunct w:val="0"/>
              <w:spacing w:line="440" w:lineRule="exact"/>
              <w:jc w:val="left"/>
              <w:rPr>
                <w:rFonts w:hint="default"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eastAsia="zh-CN"/>
              </w:rPr>
              <w:t>开标地点：投标人登录政采云平台https://www.zcygov.cn/，进入“项目采购-开标评标-右边选择对应项目点击“进入项目”进入开标大厅。</w:t>
            </w:r>
          </w:p>
          <w:p w14:paraId="01A41ED9">
            <w:pPr>
              <w:overflowPunct w:val="0"/>
              <w:spacing w:line="44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投标人应于</w:t>
            </w:r>
            <w:r>
              <w:rPr>
                <w:rFonts w:hint="eastAsia" w:ascii="宋体" w:hAnsi="宋体" w:eastAsia="宋体" w:cs="宋体"/>
                <w:color w:val="auto"/>
                <w:kern w:val="0"/>
                <w:sz w:val="24"/>
                <w:szCs w:val="24"/>
                <w:highlight w:val="none"/>
                <w:lang w:val="en-US" w:eastAsia="zh-CN"/>
              </w:rPr>
              <w:t>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年</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en-US" w:eastAsia="zh-CN"/>
              </w:rPr>
              <w:t>月</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日10：30（北京时间）</w:t>
            </w:r>
            <w:r>
              <w:rPr>
                <w:rFonts w:hint="eastAsia" w:ascii="宋体" w:hAnsi="宋体" w:eastAsia="宋体" w:cs="宋体"/>
                <w:bCs/>
                <w:color w:val="auto"/>
                <w:sz w:val="24"/>
                <w:szCs w:val="24"/>
                <w:highlight w:val="none"/>
              </w:rPr>
              <w:t>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w:t>
            </w:r>
            <w:r>
              <w:rPr>
                <w:rFonts w:hint="eastAsia" w:ascii="宋体" w:hAnsi="宋体" w:eastAsia="宋体" w:cs="宋体"/>
                <w:bCs/>
                <w:color w:val="auto"/>
                <w:sz w:val="24"/>
                <w:szCs w:val="24"/>
                <w:highlight w:val="none"/>
                <w:lang w:val="en-US" w:eastAsia="zh-CN"/>
              </w:rPr>
              <w:t>95763</w:t>
            </w:r>
            <w:r>
              <w:rPr>
                <w:rFonts w:hint="eastAsia" w:ascii="宋体" w:hAnsi="宋体" w:eastAsia="宋体" w:cs="宋体"/>
                <w:bCs/>
                <w:color w:val="auto"/>
                <w:sz w:val="24"/>
                <w:szCs w:val="24"/>
                <w:highlight w:val="none"/>
              </w:rPr>
              <w:t>。</w:t>
            </w:r>
          </w:p>
        </w:tc>
      </w:tr>
      <w:tr w14:paraId="7172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FB35087">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7D5D7493">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投</w:t>
            </w:r>
            <w:r>
              <w:rPr>
                <w:rFonts w:hint="eastAsia" w:ascii="宋体" w:hAnsi="宋体" w:eastAsia="宋体" w:cs="宋体"/>
                <w:b w:val="0"/>
                <w:bCs w:val="0"/>
                <w:color w:val="auto"/>
                <w:sz w:val="24"/>
                <w:szCs w:val="24"/>
                <w:highlight w:val="none"/>
              </w:rPr>
              <w:t>标文件</w:t>
            </w:r>
          </w:p>
          <w:p w14:paraId="46A1991D">
            <w:pPr>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解密时间</w:t>
            </w:r>
          </w:p>
          <w:p w14:paraId="47663832">
            <w:pPr>
              <w:jc w:val="center"/>
              <w:rPr>
                <w:rFonts w:hint="eastAsia" w:ascii="宋体" w:hAnsi="宋体" w:eastAsia="宋体" w:cs="宋体"/>
                <w:b w:val="0"/>
                <w:bCs w:val="0"/>
                <w:color w:val="auto"/>
                <w:sz w:val="24"/>
                <w:szCs w:val="24"/>
                <w:highlight w:val="none"/>
              </w:rPr>
            </w:pPr>
          </w:p>
        </w:tc>
        <w:tc>
          <w:tcPr>
            <w:tcW w:w="7030" w:type="dxa"/>
            <w:tcBorders>
              <w:top w:val="single" w:color="auto" w:sz="4" w:space="0"/>
              <w:left w:val="single" w:color="auto" w:sz="4" w:space="0"/>
              <w:bottom w:val="single" w:color="auto" w:sz="4" w:space="0"/>
              <w:right w:val="single" w:color="auto" w:sz="4" w:space="0"/>
            </w:tcBorders>
            <w:noWrap w:val="0"/>
            <w:vAlign w:val="center"/>
          </w:tcPr>
          <w:p w14:paraId="6A281E99">
            <w:pPr>
              <w:overflowPunct w:val="0"/>
              <w:spacing w:line="44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开标时间后</w:t>
            </w:r>
            <w:r>
              <w:rPr>
                <w:rFonts w:hint="eastAsia" w:ascii="宋体" w:hAnsi="宋体" w:eastAsia="宋体" w:cs="宋体"/>
                <w:color w:val="auto"/>
                <w:kern w:val="0"/>
                <w:sz w:val="24"/>
                <w:szCs w:val="24"/>
                <w:highlight w:val="none"/>
                <w:lang w:val="en-US" w:eastAsia="zh-CN"/>
              </w:rPr>
              <w:t>30分钟内（202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年</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en-US" w:eastAsia="zh-CN"/>
              </w:rPr>
              <w:t>月</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日10：30时-11：00前）供应商可</w:t>
            </w:r>
            <w:r>
              <w:rPr>
                <w:rFonts w:hint="eastAsia" w:ascii="宋体" w:hAnsi="宋体" w:eastAsia="宋体" w:cs="宋体"/>
                <w:bCs/>
                <w:color w:val="auto"/>
                <w:sz w:val="24"/>
                <w:szCs w:val="24"/>
                <w:highlight w:val="none"/>
              </w:rPr>
              <w:t>以登录“政采云”平台，用“项目采购-开标评标”功能进行解密投标文件。若供应商在规定时间内</w:t>
            </w:r>
            <w:r>
              <w:rPr>
                <w:rFonts w:hint="eastAsia" w:ascii="宋体" w:hAnsi="宋体" w:eastAsia="宋体" w:cs="宋体"/>
                <w:color w:val="auto"/>
                <w:kern w:val="0"/>
                <w:sz w:val="24"/>
                <w:szCs w:val="24"/>
                <w:highlight w:val="none"/>
                <w:lang w:val="en-US" w:eastAsia="zh-CN"/>
              </w:rPr>
              <w:t>（202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年</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en-US" w:eastAsia="zh-CN"/>
              </w:rPr>
              <w:t>月</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日11:00前）</w:t>
            </w:r>
            <w:r>
              <w:rPr>
                <w:rFonts w:hint="eastAsia" w:ascii="宋体" w:hAnsi="宋体" w:eastAsia="宋体" w:cs="宋体"/>
                <w:bCs/>
                <w:color w:val="auto"/>
                <w:sz w:val="24"/>
                <w:szCs w:val="24"/>
                <w:highlight w:val="none"/>
              </w:rPr>
              <w:t>未按时解密的，视为投标文件撤回。</w:t>
            </w:r>
          </w:p>
        </w:tc>
      </w:tr>
      <w:tr w14:paraId="7704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B510C0C">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6693D3C6">
            <w:pPr>
              <w:jc w:val="center"/>
              <w:rPr>
                <w:rFonts w:hint="eastAsia" w:ascii="宋体" w:hAnsi="宋体" w:eastAsia="宋体" w:cs="宋体"/>
                <w:b w:val="0"/>
                <w:bCs w:val="0"/>
                <w:color w:val="auto"/>
                <w:sz w:val="24"/>
                <w:szCs w:val="24"/>
                <w:highlight w:val="none"/>
              </w:rPr>
            </w:pPr>
          </w:p>
          <w:p w14:paraId="58100877">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废标和无效</w:t>
            </w:r>
          </w:p>
          <w:p w14:paraId="0178ADF9">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投标情形</w:t>
            </w:r>
          </w:p>
          <w:p w14:paraId="6EB734B0">
            <w:pPr>
              <w:adjustRightInd w:val="0"/>
              <w:snapToGrid w:val="0"/>
              <w:spacing w:before="120" w:beforeLines="50"/>
              <w:jc w:val="center"/>
              <w:rPr>
                <w:rFonts w:hint="eastAsia" w:ascii="宋体" w:hAnsi="宋体" w:eastAsia="宋体" w:cs="宋体"/>
                <w:b w:val="0"/>
                <w:bCs w:val="0"/>
                <w:color w:val="auto"/>
                <w:sz w:val="24"/>
                <w:szCs w:val="24"/>
                <w:highlight w:val="none"/>
              </w:rPr>
            </w:pPr>
          </w:p>
        </w:tc>
        <w:tc>
          <w:tcPr>
            <w:tcW w:w="7030" w:type="dxa"/>
            <w:tcBorders>
              <w:top w:val="single" w:color="auto" w:sz="4" w:space="0"/>
              <w:left w:val="single" w:color="auto" w:sz="4" w:space="0"/>
              <w:bottom w:val="single" w:color="auto" w:sz="4" w:space="0"/>
              <w:right w:val="single" w:color="auto" w:sz="4" w:space="0"/>
            </w:tcBorders>
            <w:noWrap w:val="0"/>
            <w:vAlign w:val="center"/>
          </w:tcPr>
          <w:p w14:paraId="5384B21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(1)开标过程中的废标情形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694AF574">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a.在主持人宣布开标会开始时，到场的投标人不足三家的；</w:t>
            </w:r>
          </w:p>
          <w:p w14:paraId="2A6F012B">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b.出现影响采购公正的违法、违规行为的；</w:t>
            </w:r>
          </w:p>
          <w:p w14:paraId="1725D9E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c.因重大变故，采购任务取消的。</w:t>
            </w:r>
          </w:p>
          <w:p w14:paraId="702A9CCD">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d.法律法规规定的其它情形。</w:t>
            </w:r>
          </w:p>
          <w:p w14:paraId="6C988681">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(2)开标过程中的无效投标情形 </w:t>
            </w:r>
          </w:p>
          <w:p w14:paraId="2F5EA1F5">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a.未按照招标文件的规定缴纳投标保证金的；</w:t>
            </w:r>
          </w:p>
          <w:p w14:paraId="25B164B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b.投标文件超过规定的时间送达的；</w:t>
            </w:r>
          </w:p>
          <w:p w14:paraId="4A80161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lang w:val="en-US" w:eastAsia="zh-CN"/>
              </w:rPr>
              <w:t>未进行加密</w:t>
            </w:r>
            <w:r>
              <w:rPr>
                <w:rFonts w:hint="eastAsia" w:ascii="宋体" w:hAnsi="宋体" w:eastAsia="宋体" w:cs="宋体"/>
                <w:color w:val="auto"/>
                <w:sz w:val="24"/>
                <w:szCs w:val="24"/>
                <w:highlight w:val="none"/>
              </w:rPr>
              <w:t>的作无效投标处理。</w:t>
            </w:r>
          </w:p>
          <w:p w14:paraId="35C22EE5">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(3)评标过程中的废标和无效投标的情形，由评标委员会</w:t>
            </w: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rPr>
              <w:t>判定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val="en-US" w:eastAsia="zh-CN"/>
              </w:rPr>
              <w:t>招标文件相关要求</w:t>
            </w:r>
            <w:r>
              <w:rPr>
                <w:rFonts w:hint="eastAsia" w:ascii="宋体" w:hAnsi="宋体" w:eastAsia="宋体" w:cs="宋体"/>
                <w:color w:val="auto"/>
                <w:sz w:val="24"/>
                <w:szCs w:val="24"/>
                <w:highlight w:val="none"/>
              </w:rPr>
              <w:t>。</w:t>
            </w:r>
          </w:p>
        </w:tc>
      </w:tr>
      <w:tr w14:paraId="491B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0BBA9B3">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6069B7A3">
            <w:pPr>
              <w:jc w:val="center"/>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rPr>
              <w:t>磋商轮数</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4819D6A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磋商轮数:二次（</w:t>
            </w:r>
            <w:r>
              <w:rPr>
                <w:rFonts w:hint="eastAsia" w:ascii="宋体" w:hAnsi="宋体" w:eastAsia="宋体" w:cs="宋体"/>
                <w:color w:val="auto"/>
                <w:sz w:val="24"/>
                <w:szCs w:val="24"/>
                <w:highlight w:val="none"/>
                <w:lang w:val="en-US" w:eastAsia="zh-CN"/>
              </w:rPr>
              <w:t>二次报价不得高于一次报价</w:t>
            </w:r>
            <w:r>
              <w:rPr>
                <w:rFonts w:hint="eastAsia" w:ascii="宋体" w:hAnsi="宋体" w:eastAsia="宋体" w:cs="宋体"/>
                <w:color w:val="auto"/>
                <w:sz w:val="24"/>
                <w:szCs w:val="24"/>
                <w:highlight w:val="none"/>
                <w:lang w:val="zh-CN"/>
              </w:rPr>
              <w:t>）；</w:t>
            </w:r>
          </w:p>
        </w:tc>
      </w:tr>
      <w:tr w14:paraId="7173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8"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9C11096">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22</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2870F986">
            <w:pPr>
              <w:jc w:val="center"/>
              <w:rPr>
                <w:rFonts w:hint="eastAsia" w:ascii="宋体" w:hAnsi="宋体" w:eastAsia="宋体" w:cs="宋体"/>
                <w:b w:val="0"/>
                <w:bCs w:val="0"/>
                <w:color w:val="auto"/>
                <w:sz w:val="24"/>
                <w:szCs w:val="24"/>
                <w:highlight w:val="none"/>
                <w:lang w:val="en-US" w:eastAsia="zh-CN"/>
              </w:rPr>
            </w:pPr>
          </w:p>
          <w:p w14:paraId="5C72F1B4">
            <w:pPr>
              <w:jc w:val="center"/>
              <w:rPr>
                <w:rFonts w:hint="eastAsia" w:ascii="宋体" w:hAnsi="宋体" w:eastAsia="宋体" w:cs="宋体"/>
                <w:b w:val="0"/>
                <w:bCs w:val="0"/>
                <w:color w:val="auto"/>
                <w:sz w:val="24"/>
                <w:szCs w:val="24"/>
                <w:highlight w:val="none"/>
                <w:lang w:val="en-US" w:eastAsia="zh-CN"/>
              </w:rPr>
            </w:pPr>
          </w:p>
          <w:p w14:paraId="6F7D65F9">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政府采购政策</w:t>
            </w:r>
          </w:p>
          <w:p w14:paraId="7CA51129">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说明</w:t>
            </w:r>
          </w:p>
          <w:p w14:paraId="34F891FD">
            <w:pPr>
              <w:adjustRightInd w:val="0"/>
              <w:snapToGrid w:val="0"/>
              <w:spacing w:before="120" w:beforeLines="50"/>
              <w:jc w:val="center"/>
              <w:rPr>
                <w:rFonts w:hint="eastAsia" w:asciiTheme="minorEastAsia" w:hAnsiTheme="minorEastAsia" w:eastAsiaTheme="minorEastAsia" w:cstheme="minorEastAsia"/>
                <w:kern w:val="2"/>
                <w:sz w:val="24"/>
                <w:szCs w:val="24"/>
                <w:highlight w:val="yellow"/>
                <w:lang w:val="en-US" w:eastAsia="zh-CN" w:bidi="ar-SA"/>
              </w:rPr>
            </w:pPr>
          </w:p>
        </w:tc>
        <w:tc>
          <w:tcPr>
            <w:tcW w:w="7030" w:type="dxa"/>
            <w:tcBorders>
              <w:top w:val="single" w:color="auto" w:sz="4" w:space="0"/>
              <w:left w:val="single" w:color="auto" w:sz="4" w:space="0"/>
              <w:bottom w:val="single" w:color="auto" w:sz="4" w:space="0"/>
              <w:right w:val="single" w:color="auto" w:sz="4" w:space="0"/>
            </w:tcBorders>
            <w:noWrap w:val="0"/>
            <w:vAlign w:val="center"/>
          </w:tcPr>
          <w:p w14:paraId="491F963F">
            <w:pPr>
              <w:overflowPunct w:val="0"/>
              <w:spacing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本项目采购标的对应的中小企业划分标准所属行业：建筑业。 </w:t>
            </w:r>
          </w:p>
          <w:p w14:paraId="0BC6E132">
            <w:pPr>
              <w:overflowPunct w:val="0"/>
              <w:spacing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☑专门面向中小企业采购项目（不享受价格扣除）</w:t>
            </w:r>
            <w:r>
              <w:rPr>
                <w:rFonts w:hint="eastAsia" w:ascii="宋体" w:hAnsi="宋体" w:cs="宋体"/>
                <w:color w:val="auto"/>
                <w:kern w:val="0"/>
                <w:sz w:val="24"/>
                <w:szCs w:val="24"/>
                <w:highlight w:val="none"/>
                <w:lang w:val="en-US" w:eastAsia="zh-CN"/>
              </w:rPr>
              <w:t>：</w:t>
            </w:r>
          </w:p>
          <w:p w14:paraId="504A4776">
            <w:pPr>
              <w:overflowPunct w:val="0"/>
              <w:spacing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中小企业预留占比100.00%</w:t>
            </w:r>
            <w:r>
              <w:rPr>
                <w:rFonts w:hint="eastAsia" w:ascii="宋体" w:hAnsi="宋体" w:cs="宋体"/>
                <w:color w:val="auto"/>
                <w:kern w:val="0"/>
                <w:sz w:val="24"/>
                <w:szCs w:val="24"/>
                <w:highlight w:val="none"/>
                <w:lang w:val="en-US" w:eastAsia="zh-CN"/>
              </w:rPr>
              <w:t>。</w:t>
            </w:r>
          </w:p>
          <w:p w14:paraId="2978C6A1">
            <w:pPr>
              <w:overflowPunct w:val="0"/>
              <w:spacing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□非专门面向中小企业采购项目（价格扣除）：</w:t>
            </w:r>
          </w:p>
          <w:p w14:paraId="25468ED6">
            <w:pPr>
              <w:overflowPunct w:val="0"/>
              <w:spacing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对小型和微型企业产品的价格给予</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%的扣除，用扣除后的价格参与评标，本项目的扣除比例为：小型企业扣除</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%、微型企业扣除</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w:t>
            </w:r>
          </w:p>
          <w:p w14:paraId="18BDDE31">
            <w:pPr>
              <w:overflowPunct w:val="0"/>
              <w:spacing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残疾人福利性单位视同小型、微型企业。残疾人福利性单位属于小型、微型企业的，不重复享受政策。</w:t>
            </w:r>
          </w:p>
          <w:p w14:paraId="1C1FF723">
            <w:pPr>
              <w:overflowPunct w:val="0"/>
              <w:spacing w:line="440" w:lineRule="exact"/>
              <w:jc w:val="left"/>
              <w:rPr>
                <w:rFonts w:hint="eastAsia" w:asciiTheme="minorEastAsia" w:hAnsiTheme="minorEastAsia" w:eastAsiaTheme="minorEastAsia" w:cstheme="minorEastAsia"/>
                <w:kern w:val="2"/>
                <w:sz w:val="24"/>
                <w:szCs w:val="24"/>
                <w:highlight w:val="yellow"/>
                <w:lang w:val="en-US" w:eastAsia="zh-CN" w:bidi="ar-SA"/>
              </w:rPr>
            </w:pPr>
            <w:r>
              <w:rPr>
                <w:rFonts w:hint="eastAsia" w:ascii="宋体" w:hAnsi="宋体" w:eastAsia="宋体" w:cs="宋体"/>
                <w:color w:val="auto"/>
                <w:kern w:val="0"/>
                <w:sz w:val="24"/>
                <w:szCs w:val="24"/>
                <w:highlight w:val="none"/>
                <w:lang w:val="en-US" w:eastAsia="zh-CN"/>
              </w:rPr>
              <w:t xml:space="preserve">□非专门面向中小企业采购项目（其他优惠）： </w:t>
            </w:r>
          </w:p>
        </w:tc>
      </w:tr>
      <w:tr w14:paraId="0EDB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6BD077D">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23</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6A37E106">
            <w:pPr>
              <w:jc w:val="center"/>
              <w:rPr>
                <w:rFonts w:hint="eastAsia" w:asciiTheme="minorEastAsia" w:hAnsiTheme="minorEastAsia" w:eastAsiaTheme="minorEastAsia" w:cstheme="minorEastAsia"/>
                <w:kern w:val="2"/>
                <w:sz w:val="24"/>
                <w:szCs w:val="24"/>
                <w:highlight w:val="yellow"/>
                <w:lang w:val="en-US" w:eastAsia="zh-CN" w:bidi="ar-SA"/>
              </w:rPr>
            </w:pPr>
            <w:r>
              <w:rPr>
                <w:rFonts w:hint="eastAsia" w:asciiTheme="minorEastAsia" w:hAnsiTheme="minorEastAsia" w:eastAsiaTheme="minorEastAsia" w:cstheme="minorEastAsia"/>
                <w:sz w:val="24"/>
                <w:szCs w:val="24"/>
                <w:highlight w:val="none"/>
              </w:rPr>
              <w:t>政府采购政策支持</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476816FB">
            <w:pPr>
              <w:numPr>
                <w:ilvl w:val="0"/>
                <w:numId w:val="0"/>
              </w:numPr>
              <w:spacing w:line="360" w:lineRule="auto"/>
              <w:ind w:leftChars="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（1）《政府采购促进中小企业发展管理办法》（财库〔2020〕46号）；</w:t>
            </w:r>
          </w:p>
          <w:p w14:paraId="210705C8">
            <w:pPr>
              <w:numPr>
                <w:ilvl w:val="0"/>
                <w:numId w:val="0"/>
              </w:numPr>
              <w:spacing w:line="360" w:lineRule="auto"/>
              <w:ind w:leftChars="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eastAsia="zh-CN"/>
              </w:rPr>
              <w:t>）《关于落实好政府采购支持中小企业发展的通知》（新财购〔2022〕22号）；</w:t>
            </w:r>
          </w:p>
          <w:p w14:paraId="34DBADD9">
            <w:pPr>
              <w:numPr>
                <w:ilvl w:val="0"/>
                <w:numId w:val="0"/>
              </w:numPr>
              <w:spacing w:line="360" w:lineRule="auto"/>
              <w:ind w:leftChars="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eastAsia="zh-CN"/>
              </w:rPr>
              <w:t>）财政部关于进一步加大政府采购支持中小企业力度的通知（财库[2022]19号）；</w:t>
            </w:r>
          </w:p>
          <w:p w14:paraId="10B71175">
            <w:pPr>
              <w:numPr>
                <w:ilvl w:val="0"/>
                <w:numId w:val="0"/>
              </w:numPr>
              <w:spacing w:line="360" w:lineRule="auto"/>
              <w:ind w:leftChars="0"/>
              <w:rPr>
                <w:rFonts w:hint="eastAsia" w:ascii="宋体" w:hAnsi="宋体" w:cs="宋体" w:eastAsiaTheme="minorEastAsia"/>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eastAsia="zh-CN"/>
              </w:rPr>
              <w:t>）</w:t>
            </w:r>
            <w:r>
              <w:rPr>
                <w:rFonts w:hint="eastAsia" w:asciiTheme="minorEastAsia" w:hAnsiTheme="minorEastAsia" w:eastAsiaTheme="minorEastAsia" w:cstheme="minorEastAsia"/>
                <w:sz w:val="24"/>
                <w:szCs w:val="24"/>
                <w:highlight w:val="none"/>
              </w:rPr>
              <w:t>财政部、司法部《关于政府采购支持监狱企业发展有关问题的通知》（财库[2014]68号文）</w:t>
            </w:r>
            <w:r>
              <w:rPr>
                <w:rFonts w:hint="eastAsia" w:asciiTheme="minorEastAsia" w:hAnsiTheme="minorEastAsia" w:eastAsiaTheme="minorEastAsia" w:cstheme="minorEastAsia"/>
                <w:sz w:val="24"/>
                <w:szCs w:val="24"/>
                <w:highlight w:val="none"/>
                <w:lang w:eastAsia="zh-CN"/>
              </w:rPr>
              <w:t>；</w:t>
            </w:r>
          </w:p>
          <w:p w14:paraId="06AF9B18">
            <w:pPr>
              <w:overflowPunct w:val="0"/>
              <w:spacing w:line="440" w:lineRule="exact"/>
              <w:jc w:val="left"/>
              <w:rPr>
                <w:rFonts w:hint="eastAsia" w:ascii="宋体" w:hAnsi="宋体" w:eastAsia="宋体" w:cs="宋体"/>
                <w:color w:val="auto"/>
                <w:kern w:val="0"/>
                <w:sz w:val="24"/>
                <w:szCs w:val="24"/>
                <w:highlight w:val="none"/>
                <w:lang w:val="en-US" w:eastAsia="zh-CN"/>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）财政部、民政部、中国残疾人联合会《关于促进残疾人就业政府采购政策的通知》（财库[2017]141号）；</w:t>
            </w:r>
          </w:p>
          <w:p w14:paraId="75DB6463">
            <w:pPr>
              <w:overflowPunct w:val="0"/>
              <w:spacing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（6）财政部、国家发展改革委、生态环境部、市场监管总局《关于调整优化节能产品、环境标志产品政府采购执行机制的通知》（财库[2019]9号文）； </w:t>
            </w:r>
          </w:p>
          <w:p w14:paraId="4C1D88BE">
            <w:pPr>
              <w:overflowPunct w:val="0"/>
              <w:spacing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（7）财政部、生态环境部《关于印发环境标志产品政府采购品目清单的通知》（财库[2019]18号文）； </w:t>
            </w:r>
          </w:p>
          <w:p w14:paraId="0C9B8730">
            <w:pPr>
              <w:overflowPunct w:val="0"/>
              <w:spacing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（8）财政部、发展改革委《关于印发节能产品政府采购品目清单的通知》（财库[2019]19号文）； </w:t>
            </w:r>
          </w:p>
          <w:p w14:paraId="03E20533">
            <w:pPr>
              <w:overflowPunct w:val="0"/>
              <w:spacing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（9）市场监管总局《市场监管总局关于发布参与实施政府采购节能产品、环境标志产品认证机构名录的公告》（2019年第16号）</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 xml:space="preserve"> </w:t>
            </w:r>
          </w:p>
        </w:tc>
      </w:tr>
      <w:tr w14:paraId="1390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D2237EB">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r>
              <w:rPr>
                <w:rFonts w:hint="eastAsia" w:asciiTheme="minorEastAsia" w:hAnsiTheme="minorEastAsia" w:eastAsiaTheme="minorEastAsia" w:cstheme="minorEastAsia"/>
                <w:sz w:val="24"/>
                <w:szCs w:val="24"/>
                <w:lang w:val="en-US" w:eastAsia="zh-CN"/>
              </w:rPr>
              <w:t>4</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7D4944F6">
            <w:pPr>
              <w:spacing w:line="360" w:lineRule="auto"/>
              <w:jc w:val="both"/>
              <w:rPr>
                <w:rFonts w:hint="eastAsia" w:asciiTheme="minorEastAsia" w:hAnsiTheme="minorEastAsia" w:eastAsiaTheme="minorEastAsia" w:cstheme="minorEastAsia"/>
                <w:kern w:val="2"/>
                <w:sz w:val="24"/>
                <w:szCs w:val="24"/>
                <w:highlight w:val="yellow"/>
                <w:lang w:val="en-US" w:eastAsia="zh-CN" w:bidi="ar-SA"/>
              </w:rPr>
            </w:pPr>
            <w:r>
              <w:rPr>
                <w:rFonts w:hint="eastAsia" w:ascii="宋体" w:hAnsi="宋体"/>
                <w:b w:val="0"/>
                <w:bCs/>
                <w:color w:val="auto"/>
                <w:kern w:val="0"/>
                <w:sz w:val="24"/>
                <w:highlight w:val="none"/>
              </w:rPr>
              <w:t>中标公示媒介</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4F1A0F7E">
            <w:p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cs="宋体"/>
                <w:color w:val="auto"/>
                <w:sz w:val="24"/>
                <w:szCs w:val="24"/>
                <w:highlight w:val="none"/>
                <w:shd w:val="clear" w:color="auto" w:fill="FFFFFF"/>
              </w:rPr>
              <w:t>在新疆政府采购网发布</w:t>
            </w:r>
          </w:p>
        </w:tc>
      </w:tr>
      <w:tr w14:paraId="5EA8E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86CB97B">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25</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0D31E02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招标代理</w:t>
            </w:r>
          </w:p>
          <w:p w14:paraId="00D5F78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服务费</w:t>
            </w:r>
          </w:p>
        </w:tc>
        <w:tc>
          <w:tcPr>
            <w:tcW w:w="7030" w:type="dxa"/>
            <w:tcBorders>
              <w:top w:val="single" w:color="auto" w:sz="4" w:space="0"/>
              <w:left w:val="single" w:color="auto" w:sz="4" w:space="0"/>
              <w:bottom w:val="single" w:color="auto" w:sz="4" w:space="0"/>
              <w:right w:val="single" w:color="auto" w:sz="4" w:space="0"/>
            </w:tcBorders>
            <w:noWrap w:val="0"/>
            <w:vAlign w:val="center"/>
          </w:tcPr>
          <w:p w14:paraId="66BF773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代理及造价咨询报酬的计算方法：招标代理费参照原国家计委《招标代理服务收费管理暂行办法》（计价格[2002]1980号），以中标金额为基准计算收取；造价咨询费参照中价协建设工程造价咨询收费基准（中价协[2013]35号），以控制价金额为基准计算收取。</w:t>
            </w:r>
          </w:p>
          <w:p w14:paraId="60230814">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2、招标代理及造价咨询报酬支付方式：</w:t>
            </w:r>
          </w:p>
          <w:p w14:paraId="682D2653">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2.1招标代理费参照原国家计委《招标代理服务收费管理暂行办法》（计价格[2002]1980号）计取：中标金额100万元以下按1.0%计取，中标金额100-500万元按0.7%计取；</w:t>
            </w:r>
          </w:p>
          <w:p w14:paraId="29E768D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造价咨询费参照中价协建设工程造价咨询收费基准（中价协[2013]35号）计取：①工程量清单编制费：建安工程费≤200万元按5‰计取，200万元&lt;建安工程费≤500万元按4‰计取，②招标控制价编制费：建安工程费≤200万元按2‰计取，200万元&lt;建安工程费≤500万元按1.8‰计取。</w:t>
            </w:r>
          </w:p>
          <w:p w14:paraId="3773754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3、代理报酬的支付时间：由中标人领取中标通知书时支付；</w:t>
            </w:r>
          </w:p>
          <w:p w14:paraId="31224970">
            <w:pPr>
              <w:spacing w:line="360" w:lineRule="auto"/>
              <w:jc w:val="left"/>
              <w:rPr>
                <w:rFonts w:hint="eastAsia" w:asciiTheme="minorEastAsia" w:hAnsiTheme="minorEastAsia" w:eastAsiaTheme="minorEastAsia" w:cstheme="minorEastAsia"/>
                <w:sz w:val="24"/>
                <w:szCs w:val="24"/>
              </w:rPr>
            </w:pPr>
            <w:r>
              <w:rPr>
                <w:rFonts w:hint="eastAsia" w:ascii="宋体" w:hAnsi="宋体" w:eastAsia="宋体" w:cs="宋体"/>
                <w:color w:val="auto"/>
                <w:sz w:val="24"/>
                <w:szCs w:val="24"/>
                <w:highlight w:val="none"/>
              </w:rPr>
              <w:t>针对招标代理服务费，如中标人需我司开具“增值税专用发票”的，在投标时须同时提交开具“增值税专用发票”的相关财务信息材料（在税务部门备案的信息）并加盖公章，包括：单位名称、纳税人识别号、营业地址及联系电话、开户银行及账号，以及一般纳税人证明，否则将开具“增值税普通发票”；由于投标人没有及时提交上述资料而导致无法开具“增值税专用发票”的，后果由投标人自行承担。</w:t>
            </w:r>
          </w:p>
        </w:tc>
      </w:tr>
      <w:tr w14:paraId="63FF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A56C8B5">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注意</w:t>
            </w:r>
          </w:p>
          <w:p w14:paraId="719DFF28">
            <w:pPr>
              <w:jc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b/>
                <w:bCs/>
                <w:color w:val="auto"/>
                <w:sz w:val="24"/>
                <w:szCs w:val="24"/>
                <w:highlight w:val="none"/>
                <w:lang w:val="en-US" w:eastAsia="zh-CN"/>
              </w:rPr>
              <w:t>事项</w:t>
            </w:r>
          </w:p>
        </w:tc>
        <w:tc>
          <w:tcPr>
            <w:tcW w:w="8789" w:type="dxa"/>
            <w:gridSpan w:val="2"/>
            <w:tcBorders>
              <w:top w:val="single" w:color="auto" w:sz="4" w:space="0"/>
              <w:left w:val="single" w:color="auto" w:sz="4" w:space="0"/>
              <w:bottom w:val="single" w:color="auto" w:sz="4" w:space="0"/>
              <w:right w:val="single" w:color="auto" w:sz="4" w:space="0"/>
            </w:tcBorders>
            <w:noWrap w:val="0"/>
            <w:vAlign w:val="center"/>
          </w:tcPr>
          <w:p w14:paraId="789349F9">
            <w:pPr>
              <w:numPr>
                <w:ilvl w:val="0"/>
                <w:numId w:val="0"/>
              </w:numPr>
              <w:overflowPunct w:val="0"/>
              <w:spacing w:line="440" w:lineRule="exact"/>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1.</w:t>
            </w:r>
            <w:r>
              <w:rPr>
                <w:rFonts w:hint="eastAsia" w:ascii="宋体" w:hAnsi="宋体" w:eastAsia="宋体" w:cs="Times New Roman"/>
                <w:color w:val="auto"/>
                <w:kern w:val="2"/>
                <w:sz w:val="24"/>
                <w:szCs w:val="24"/>
                <w:highlight w:val="none"/>
                <w:lang w:val="en-US" w:eastAsia="zh-CN" w:bidi="ar-SA"/>
              </w:rPr>
              <w:t>请务必确保投标文件制作客户端为最新版本，旧版本可能导致投标文件解密失败。</w:t>
            </w:r>
          </w:p>
          <w:p w14:paraId="556A69D8">
            <w:pPr>
              <w:pStyle w:val="8"/>
              <w:widowControl w:val="0"/>
              <w:numPr>
                <w:ilvl w:val="0"/>
                <w:numId w:val="0"/>
              </w:numPr>
              <w:jc w:val="both"/>
              <w:rPr>
                <w:rFonts w:hint="eastAsia"/>
                <w:color w:val="auto"/>
                <w:highlight w:val="none"/>
                <w:lang w:val="en-US" w:eastAsia="zh-CN"/>
              </w:rPr>
            </w:pPr>
          </w:p>
          <w:p w14:paraId="2E088495">
            <w:pPr>
              <w:pStyle w:val="12"/>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请投标单位提前自学线上开标流程；投标截止时间当天，线上开标环节，投标文件解密时长30分钟，投标供应商请自备笔记本电脑及CA锁进行投标文件解密以及操作投标事项，请投标人提前调试好在线参标电脑各项配置。</w:t>
            </w:r>
          </w:p>
          <w:p w14:paraId="38700502">
            <w:pPr>
              <w:pStyle w:val="12"/>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3.招标文件中采购清单、技术需求等如有偏差，如有疑义请在澄清中及时提出；否则视为充分理解招标文件各项要求。</w:t>
            </w:r>
          </w:p>
          <w:p w14:paraId="7EB5E891">
            <w:pPr>
              <w:pStyle w:val="12"/>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本次采用政府采购云平台线上招标、投标，请各潜在投标人及时办理CA锁和学习政府采购云平台线上投标相关知识。请在政府采购云平台登录后，进行下载采购招标文件。请各投标人获取招标文件后及时关注云平台答疑文件获取栏目。具体相关事宜见政府采购云平台。本项目采用资格后审，请投标人仔细阅读招标文件和各项要求，制作文件及相关资料过程中，若因投标人资格条件不符、提供资料不全等原因导致投标文件予以退还，责任自负。</w:t>
            </w:r>
          </w:p>
          <w:p w14:paraId="380EE874">
            <w:pPr>
              <w:pStyle w:val="12"/>
              <w:spacing w:line="360" w:lineRule="auto"/>
              <w:ind w:left="0" w:leftChars="0" w:firstLine="0" w:firstLineChars="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5</w:t>
            </w:r>
            <w:r>
              <w:rPr>
                <w:rFonts w:hint="eastAsia" w:ascii="宋体" w:hAnsi="宋体" w:eastAsia="宋体" w:cs="Times New Roman"/>
                <w:color w:val="auto"/>
                <w:kern w:val="2"/>
                <w:sz w:val="24"/>
                <w:szCs w:val="24"/>
                <w:highlight w:val="none"/>
                <w:lang w:val="en-US" w:eastAsia="zh-CN" w:bidi="ar-SA"/>
              </w:rPr>
              <w:t>.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p w14:paraId="2E41205C">
            <w:pPr>
              <w:pStyle w:val="28"/>
              <w:ind w:left="0" w:leftChars="0" w:firstLine="0" w:firstLineChars="0"/>
              <w:rPr>
                <w:rFonts w:hint="eastAsia" w:asciiTheme="minorEastAsia" w:hAnsiTheme="minorEastAsia" w:eastAsiaTheme="minorEastAsia" w:cstheme="minorEastAsia"/>
                <w:sz w:val="24"/>
                <w:szCs w:val="24"/>
                <w:highlight w:val="yellow"/>
              </w:rPr>
            </w:pPr>
            <w:r>
              <w:rPr>
                <w:rFonts w:hint="eastAsia" w:ascii="宋体" w:hAnsi="宋体" w:eastAsia="宋体" w:cs="Times New Roman"/>
                <w:color w:val="auto"/>
                <w:kern w:val="2"/>
                <w:sz w:val="24"/>
                <w:szCs w:val="24"/>
                <w:highlight w:val="none"/>
                <w:lang w:val="en-US" w:eastAsia="zh-CN" w:bidi="ar-SA"/>
              </w:rPr>
              <w:t>6.</w:t>
            </w:r>
            <w:r>
              <w:rPr>
                <w:rFonts w:hint="eastAsia" w:ascii="宋体" w:hAnsi="宋体" w:cs="宋体"/>
                <w:color w:val="auto"/>
                <w:sz w:val="24"/>
                <w:szCs w:val="24"/>
                <w:highlight w:val="none"/>
              </w:rPr>
              <w:t>本表内容与招标文件其它内容不一致的，应当以本表内容为准。</w:t>
            </w:r>
          </w:p>
        </w:tc>
      </w:tr>
    </w:tbl>
    <w:p w14:paraId="095BB0C6">
      <w:pPr>
        <w:pStyle w:val="24"/>
        <w:ind w:left="0" w:leftChars="0" w:firstLine="0" w:firstLineChars="0"/>
        <w:rPr>
          <w:rFonts w:hint="eastAsia"/>
          <w:color w:val="auto"/>
          <w:highlight w:val="none"/>
          <w:lang w:val="en-US" w:eastAsia="zh-CN"/>
        </w:rPr>
      </w:pPr>
    </w:p>
    <w:p w14:paraId="7255C957">
      <w:pPr>
        <w:pStyle w:val="3"/>
        <w:spacing w:before="0" w:after="0"/>
        <w:jc w:val="left"/>
        <w:rPr>
          <w:rFonts w:hint="eastAsia" w:ascii="宋体" w:hAnsi="宋体" w:eastAsia="宋体" w:cs="宋体"/>
          <w:color w:val="auto"/>
          <w:sz w:val="24"/>
          <w:szCs w:val="24"/>
          <w:highlight w:val="none"/>
        </w:rPr>
      </w:pPr>
      <w:bookmarkStart w:id="0" w:name="_Toc163267141"/>
      <w:r>
        <w:rPr>
          <w:rFonts w:hint="eastAsia" w:ascii="宋体" w:hAnsi="宋体" w:eastAsia="宋体" w:cs="宋体"/>
          <w:color w:val="auto"/>
          <w:sz w:val="24"/>
          <w:szCs w:val="24"/>
          <w:highlight w:val="none"/>
        </w:rPr>
        <w:t>一、说明</w:t>
      </w:r>
      <w:bookmarkEnd w:id="0"/>
    </w:p>
    <w:p w14:paraId="498435EE">
      <w:pPr>
        <w:snapToGrid w:val="0"/>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1.适用范围：</w:t>
      </w:r>
    </w:p>
    <w:p w14:paraId="6AD179EB">
      <w:pPr>
        <w:spacing w:line="360" w:lineRule="auto"/>
        <w:ind w:firstLine="480" w:firstLineChars="200"/>
        <w:rPr>
          <w:rStyle w:val="74"/>
          <w:rFonts w:hint="eastAsia" w:ascii="宋体" w:hAnsi="宋体" w:eastAsia="宋体" w:cs="宋体"/>
          <w:color w:val="auto"/>
          <w:sz w:val="24"/>
          <w:szCs w:val="24"/>
          <w:highlight w:val="none"/>
        </w:rPr>
      </w:pPr>
      <w:r>
        <w:rPr>
          <w:rStyle w:val="74"/>
          <w:rFonts w:hint="eastAsia" w:ascii="宋体" w:hAnsi="宋体" w:eastAsia="宋体" w:cs="宋体"/>
          <w:color w:val="auto"/>
          <w:sz w:val="24"/>
          <w:szCs w:val="24"/>
          <w:highlight w:val="none"/>
        </w:rPr>
        <w:t>1.1本磋商文件仅适用于</w:t>
      </w:r>
      <w:r>
        <w:rPr>
          <w:rStyle w:val="74"/>
          <w:rFonts w:hint="eastAsia" w:ascii="宋体" w:hAnsi="宋体" w:cs="宋体"/>
          <w:color w:val="auto"/>
          <w:sz w:val="24"/>
          <w:szCs w:val="24"/>
          <w:highlight w:val="none"/>
          <w:lang w:val="en-US" w:eastAsia="zh-CN"/>
        </w:rPr>
        <w:t>轮台县X237线塔尔拉克乡政府段改建项目</w:t>
      </w:r>
      <w:r>
        <w:rPr>
          <w:rStyle w:val="74"/>
          <w:rFonts w:hint="eastAsia" w:ascii="宋体" w:hAnsi="宋体" w:eastAsia="宋体" w:cs="宋体"/>
          <w:color w:val="auto"/>
          <w:sz w:val="24"/>
          <w:szCs w:val="24"/>
          <w:highlight w:val="none"/>
        </w:rPr>
        <w:t>。</w:t>
      </w:r>
    </w:p>
    <w:p w14:paraId="42657521">
      <w:pPr>
        <w:spacing w:line="360" w:lineRule="auto"/>
        <w:ind w:firstLine="480" w:firstLineChars="200"/>
        <w:textAlignment w:val="baseline"/>
        <w:rPr>
          <w:rStyle w:val="74"/>
          <w:rFonts w:hint="eastAsia" w:ascii="宋体" w:hAnsi="宋体" w:eastAsia="宋体" w:cs="宋体"/>
          <w:color w:val="auto"/>
          <w:sz w:val="24"/>
          <w:szCs w:val="24"/>
          <w:highlight w:val="none"/>
        </w:rPr>
      </w:pPr>
      <w:r>
        <w:rPr>
          <w:rStyle w:val="74"/>
          <w:rFonts w:hint="eastAsia" w:ascii="宋体" w:hAnsi="宋体" w:eastAsia="宋体" w:cs="宋体"/>
          <w:color w:val="auto"/>
          <w:sz w:val="24"/>
          <w:szCs w:val="24"/>
          <w:highlight w:val="none"/>
        </w:rPr>
        <w:t>1.2磋商依据</w:t>
      </w:r>
    </w:p>
    <w:p w14:paraId="2A19D1C1">
      <w:pPr>
        <w:spacing w:line="360" w:lineRule="auto"/>
        <w:ind w:firstLine="480" w:firstLineChars="200"/>
        <w:textAlignment w:val="baseline"/>
        <w:rPr>
          <w:rStyle w:val="74"/>
          <w:rFonts w:hint="eastAsia" w:ascii="宋体" w:hAnsi="宋体" w:cs="宋体"/>
          <w:color w:val="auto"/>
          <w:sz w:val="24"/>
          <w:szCs w:val="24"/>
          <w:highlight w:val="none"/>
        </w:rPr>
      </w:pPr>
      <w:r>
        <w:rPr>
          <w:rStyle w:val="74"/>
          <w:rFonts w:hint="eastAsia" w:ascii="宋体" w:hAnsi="宋体" w:cs="宋体"/>
          <w:color w:val="auto"/>
          <w:sz w:val="24"/>
          <w:szCs w:val="24"/>
          <w:highlight w:val="none"/>
        </w:rPr>
        <w:t>根据《中华人民共和国政府采购法》、《中华人民共和国政府采购实施条例》、《财政部关于印发〈政府采购竞争性磋商采购方式管理暂行办法〉的通知》（财库〔2014〕214号）、《中华人民共和国</w:t>
      </w:r>
      <w:r>
        <w:rPr>
          <w:rStyle w:val="74"/>
          <w:rFonts w:hint="eastAsia" w:ascii="宋体" w:hAnsi="宋体" w:cs="宋体"/>
          <w:color w:val="auto"/>
          <w:sz w:val="24"/>
          <w:szCs w:val="24"/>
          <w:highlight w:val="none"/>
          <w:lang w:val="en-US"/>
        </w:rPr>
        <w:t>招投标法</w:t>
      </w:r>
      <w:r>
        <w:rPr>
          <w:rStyle w:val="74"/>
          <w:rFonts w:hint="eastAsia" w:ascii="宋体" w:hAnsi="宋体" w:cs="宋体"/>
          <w:color w:val="auto"/>
          <w:sz w:val="24"/>
          <w:szCs w:val="24"/>
          <w:highlight w:val="none"/>
        </w:rPr>
        <w:t>》等有关法律、法规。</w:t>
      </w:r>
    </w:p>
    <w:p w14:paraId="23BF2EBF">
      <w:pPr>
        <w:snapToGrid w:val="0"/>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2.定义：</w:t>
      </w:r>
    </w:p>
    <w:p w14:paraId="47538FB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2.1“采购人”系</w:t>
      </w:r>
      <w:r>
        <w:rPr>
          <w:rFonts w:hint="eastAsia" w:ascii="宋体" w:hAnsi="宋体" w:eastAsia="宋体" w:cs="宋体"/>
          <w:sz w:val="24"/>
          <w:szCs w:val="24"/>
          <w:lang w:val="en-US" w:eastAsia="zh-CN"/>
        </w:rPr>
        <w:t>指：</w:t>
      </w:r>
      <w:r>
        <w:rPr>
          <w:rFonts w:hint="eastAsia" w:ascii="宋体" w:hAnsi="宋体" w:cs="宋体"/>
          <w:color w:val="auto"/>
          <w:sz w:val="24"/>
          <w:szCs w:val="24"/>
          <w:highlight w:val="none"/>
          <w:lang w:val="en-US" w:eastAsia="zh-CN"/>
        </w:rPr>
        <w:t>轮台县交通运输局</w:t>
      </w:r>
      <w:r>
        <w:rPr>
          <w:rFonts w:hint="eastAsia" w:ascii="宋体" w:hAnsi="宋体" w:cs="宋体"/>
          <w:color w:val="auto"/>
          <w:sz w:val="24"/>
          <w:szCs w:val="24"/>
          <w:highlight w:val="none"/>
        </w:rPr>
        <w:t>。</w:t>
      </w:r>
    </w:p>
    <w:p w14:paraId="3ADDD0B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2.2“采购代理机构”指：</w:t>
      </w:r>
      <w:r>
        <w:rPr>
          <w:rFonts w:hint="eastAsia" w:ascii="宋体" w:hAnsi="宋体" w:eastAsia="宋体" w:cs="宋体"/>
          <w:sz w:val="24"/>
          <w:szCs w:val="24"/>
          <w:lang w:val="en-US" w:eastAsia="zh-CN"/>
        </w:rPr>
        <w:t>新疆介石项目管理有限公司</w:t>
      </w:r>
      <w:r>
        <w:rPr>
          <w:rFonts w:hint="eastAsia" w:ascii="宋体" w:hAnsi="宋体" w:cs="宋体"/>
          <w:color w:val="auto"/>
          <w:sz w:val="24"/>
          <w:szCs w:val="24"/>
          <w:highlight w:val="none"/>
        </w:rPr>
        <w:t>。</w:t>
      </w:r>
    </w:p>
    <w:p w14:paraId="5714C489">
      <w:pPr>
        <w:pStyle w:val="16"/>
        <w:spacing w:line="360" w:lineRule="auto"/>
        <w:ind w:firstLine="480" w:firstLineChars="200"/>
        <w:rPr>
          <w:rFonts w:hint="eastAsia" w:hAnsi="宋体" w:cs="宋体"/>
          <w:color w:val="auto"/>
          <w:sz w:val="24"/>
          <w:szCs w:val="24"/>
          <w:highlight w:val="none"/>
        </w:rPr>
      </w:pPr>
      <w:r>
        <w:rPr>
          <w:rFonts w:hint="eastAsia" w:ascii="宋体" w:hAnsi="宋体" w:eastAsia="宋体" w:cs="宋体"/>
          <w:color w:val="auto"/>
          <w:sz w:val="24"/>
          <w:szCs w:val="24"/>
          <w:highlight w:val="none"/>
        </w:rPr>
        <w:t>2.3“供应商”系指具备资格并响应磋商文件要求提交响应文件的法人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其他组织或者自然人，供应商若成交，在签订和执行合同阶段称“乙方”。</w:t>
      </w:r>
    </w:p>
    <w:p w14:paraId="6E61FCEE">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2.4“磋商文件”系指由采购人向供应商发出的本采购项目的全部文件（包括修改文件、补充文件、答疑纪要、各种通知和附件等）。</w:t>
      </w:r>
    </w:p>
    <w:p w14:paraId="66A210CE">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2.5“响应文件”系指供应商根据磋商文件提交的所有文件。</w:t>
      </w:r>
    </w:p>
    <w:p w14:paraId="4A9E8E38">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bCs/>
          <w:color w:val="auto"/>
          <w:sz w:val="24"/>
          <w:szCs w:val="24"/>
          <w:highlight w:val="none"/>
        </w:rPr>
        <w:t>2.6“货物”，系指供方根据合同规定须向采购人提供的各种形态和种类的物品，包括产品、</w:t>
      </w:r>
      <w:r>
        <w:rPr>
          <w:rFonts w:hint="eastAsia" w:ascii="宋体" w:hAnsi="宋体" w:cs="宋体"/>
          <w:bCs/>
          <w:color w:val="auto"/>
          <w:sz w:val="24"/>
          <w:szCs w:val="24"/>
          <w:highlight w:val="none"/>
          <w:lang w:val="en-US" w:eastAsia="zh-CN"/>
        </w:rPr>
        <w:t>设备、</w:t>
      </w:r>
      <w:r>
        <w:rPr>
          <w:rFonts w:hint="eastAsia" w:ascii="宋体" w:hAnsi="宋体" w:cs="宋体"/>
          <w:bCs/>
          <w:color w:val="auto"/>
          <w:sz w:val="24"/>
          <w:szCs w:val="24"/>
          <w:highlight w:val="none"/>
        </w:rPr>
        <w:t>配</w:t>
      </w:r>
      <w:r>
        <w:rPr>
          <w:rFonts w:hint="eastAsia" w:ascii="宋体" w:hAnsi="宋体" w:cs="宋体"/>
          <w:bCs/>
          <w:color w:val="auto"/>
          <w:sz w:val="24"/>
          <w:szCs w:val="24"/>
          <w:highlight w:val="none"/>
          <w:lang w:val="en-US" w:eastAsia="zh-CN"/>
        </w:rPr>
        <w:t>件</w:t>
      </w:r>
      <w:r>
        <w:rPr>
          <w:rFonts w:hint="eastAsia" w:ascii="宋体" w:hAnsi="宋体" w:cs="宋体"/>
          <w:bCs/>
          <w:color w:val="auto"/>
          <w:sz w:val="24"/>
          <w:szCs w:val="24"/>
          <w:highlight w:val="none"/>
        </w:rPr>
        <w:t>等。</w:t>
      </w:r>
    </w:p>
    <w:p w14:paraId="591CE580">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2.7</w:t>
      </w:r>
      <w:r>
        <w:rPr>
          <w:rFonts w:hint="eastAsia" w:ascii="宋体" w:hAnsi="宋体" w:cs="宋体"/>
          <w:bCs/>
          <w:color w:val="auto"/>
          <w:sz w:val="24"/>
          <w:szCs w:val="24"/>
          <w:highlight w:val="none"/>
        </w:rPr>
        <w:t>“</w:t>
      </w:r>
      <w:r>
        <w:rPr>
          <w:rFonts w:hint="eastAsia" w:ascii="宋体" w:hAnsi="宋体" w:cs="宋体"/>
          <w:color w:val="auto"/>
          <w:sz w:val="24"/>
          <w:szCs w:val="24"/>
          <w:highlight w:val="none"/>
        </w:rPr>
        <w:t>服务</w:t>
      </w:r>
      <w:r>
        <w:rPr>
          <w:rFonts w:hint="eastAsia" w:ascii="宋体" w:hAnsi="宋体" w:cs="宋体"/>
          <w:bCs/>
          <w:color w:val="auto"/>
          <w:sz w:val="24"/>
          <w:szCs w:val="24"/>
          <w:highlight w:val="none"/>
        </w:rPr>
        <w:t>”</w:t>
      </w:r>
      <w:r>
        <w:rPr>
          <w:rFonts w:hint="eastAsia" w:ascii="宋体" w:hAnsi="宋体" w:cs="宋体"/>
          <w:color w:val="auto"/>
          <w:sz w:val="24"/>
          <w:szCs w:val="24"/>
          <w:highlight w:val="none"/>
        </w:rPr>
        <w:t>系指合同文本、技术规范及标准、项目采购需求、本磋商文件规定，成交供应商完成应承担的所有工作并提交相关成果资料。</w:t>
      </w:r>
    </w:p>
    <w:p w14:paraId="4A70F7A1">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2.8</w:t>
      </w:r>
      <w:r>
        <w:rPr>
          <w:rFonts w:hint="eastAsia" w:ascii="宋体" w:hAnsi="宋体" w:cs="宋体"/>
          <w:bCs/>
          <w:color w:val="auto"/>
          <w:sz w:val="24"/>
          <w:szCs w:val="24"/>
          <w:highlight w:val="none"/>
        </w:rPr>
        <w:t>“工程”</w:t>
      </w:r>
      <w:r>
        <w:rPr>
          <w:rFonts w:hint="eastAsia" w:ascii="宋体" w:hAnsi="宋体" w:cs="宋体"/>
          <w:color w:val="auto"/>
          <w:sz w:val="24"/>
          <w:szCs w:val="24"/>
          <w:highlight w:val="none"/>
        </w:rPr>
        <w:t>系指供方根据合同规定须向采购人提供的永久或临时工程。</w:t>
      </w:r>
    </w:p>
    <w:p w14:paraId="6C5D66F0">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2.9凡提及的“天、日期、星期、月份和年份”系指公历日历的日历天、日期、星期、月份和年份。 </w:t>
      </w:r>
    </w:p>
    <w:p w14:paraId="63A0307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2.10本文件及本合同的货币单位为人民币。</w:t>
      </w:r>
    </w:p>
    <w:p w14:paraId="71E7B02E">
      <w:pPr>
        <w:snapToGrid w:val="0"/>
        <w:spacing w:line="360" w:lineRule="auto"/>
        <w:ind w:firstLine="482" w:firstLineChars="200"/>
        <w:jc w:val="left"/>
        <w:rPr>
          <w:rFonts w:hint="eastAsia" w:ascii="宋体" w:hAnsi="宋体" w:cs="宋体"/>
          <w:b/>
          <w:color w:val="auto"/>
          <w:sz w:val="24"/>
          <w:szCs w:val="24"/>
          <w:highlight w:val="none"/>
        </w:rPr>
      </w:pPr>
      <w:bookmarkStart w:id="1" w:name="_Toc246216182"/>
      <w:bookmarkStart w:id="2" w:name="_Toc243907573"/>
      <w:bookmarkStart w:id="3" w:name="_Toc243906313"/>
      <w:bookmarkStart w:id="4" w:name="_Toc233274813"/>
      <w:r>
        <w:rPr>
          <w:rFonts w:hint="eastAsia" w:ascii="宋体" w:hAnsi="宋体" w:cs="宋体"/>
          <w:b/>
          <w:color w:val="auto"/>
          <w:sz w:val="24"/>
          <w:szCs w:val="24"/>
          <w:highlight w:val="none"/>
        </w:rPr>
        <w:t>3、采购范围及</w:t>
      </w:r>
      <w:bookmarkEnd w:id="1"/>
      <w:bookmarkEnd w:id="2"/>
      <w:bookmarkEnd w:id="3"/>
      <w:bookmarkEnd w:id="4"/>
      <w:r>
        <w:rPr>
          <w:rFonts w:hint="eastAsia" w:ascii="宋体" w:hAnsi="宋体" w:cs="宋体"/>
          <w:b/>
          <w:color w:val="auto"/>
          <w:sz w:val="24"/>
          <w:szCs w:val="24"/>
          <w:highlight w:val="none"/>
        </w:rPr>
        <w:t>相关要求</w:t>
      </w:r>
    </w:p>
    <w:p w14:paraId="3417B1AF">
      <w:pPr>
        <w:spacing w:line="360" w:lineRule="auto"/>
        <w:ind w:firstLine="420" w:firstLineChars="175"/>
        <w:rPr>
          <w:rFonts w:hint="eastAsia" w:ascii="宋体" w:hAnsi="宋体" w:eastAsia="宋体" w:cs="宋体"/>
          <w:color w:val="0000FF"/>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3.1采购范围：</w:t>
      </w:r>
      <w:r>
        <w:rPr>
          <w:rFonts w:hint="eastAsia" w:ascii="宋体" w:hAnsi="宋体" w:cs="宋体"/>
          <w:color w:val="auto"/>
          <w:kern w:val="2"/>
          <w:sz w:val="24"/>
          <w:szCs w:val="24"/>
          <w:highlight w:val="none"/>
          <w:lang w:val="en-US" w:eastAsia="zh-CN" w:bidi="ar-SA"/>
        </w:rPr>
        <w:t>轮台县X237线塔尔拉克乡政府段改建项目</w:t>
      </w:r>
      <w:r>
        <w:rPr>
          <w:rFonts w:hint="eastAsia" w:asciiTheme="minorEastAsia" w:hAnsiTheme="minorEastAsia" w:eastAsiaTheme="minorEastAsia" w:cstheme="minorEastAsia"/>
          <w:kern w:val="0"/>
          <w:sz w:val="24"/>
          <w:szCs w:val="24"/>
          <w:highlight w:val="none"/>
          <w:lang w:val="en-US" w:eastAsia="zh-CN"/>
        </w:rPr>
        <w:t>施工</w:t>
      </w:r>
      <w:r>
        <w:rPr>
          <w:rFonts w:hint="eastAsia" w:ascii="宋体" w:hAnsi="宋体" w:eastAsia="宋体" w:cs="宋体"/>
          <w:color w:val="auto"/>
          <w:kern w:val="0"/>
          <w:sz w:val="24"/>
          <w:szCs w:val="24"/>
          <w:highlight w:val="none"/>
          <w:lang w:val="en-US" w:eastAsia="zh-CN"/>
        </w:rPr>
        <w:t>包括施工图纸、工程量清</w:t>
      </w:r>
      <w:r>
        <w:rPr>
          <w:rFonts w:hint="eastAsia" w:ascii="宋体" w:hAnsi="宋体" w:eastAsia="宋体" w:cs="宋体"/>
          <w:color w:val="auto"/>
          <w:kern w:val="2"/>
          <w:sz w:val="24"/>
          <w:szCs w:val="24"/>
          <w:highlight w:val="none"/>
          <w:lang w:val="en-US" w:eastAsia="zh-CN" w:bidi="ar-SA"/>
        </w:rPr>
        <w:t>单、招标文件范围内所有内容。</w:t>
      </w:r>
      <w:bookmarkStart w:id="5" w:name="_Toc233274814"/>
      <w:bookmarkStart w:id="6" w:name="_Toc243906314"/>
      <w:bookmarkStart w:id="7" w:name="_Toc246216183"/>
      <w:bookmarkStart w:id="8" w:name="_Toc243907574"/>
    </w:p>
    <w:p w14:paraId="1D551DDA">
      <w:pPr>
        <w:spacing w:line="360" w:lineRule="auto"/>
        <w:ind w:firstLine="420" w:firstLineChars="175"/>
        <w:rPr>
          <w:rFonts w:hint="eastAsia" w:ascii="宋体" w:hAnsi="宋体" w:eastAsia="宋体" w:cs="宋体"/>
          <w:color w:val="auto"/>
          <w:kern w:val="0"/>
          <w:sz w:val="24"/>
          <w:szCs w:val="24"/>
          <w:highlight w:val="yellow"/>
          <w:lang w:val="en-US" w:eastAsia="zh-CN"/>
        </w:rPr>
      </w:pPr>
      <w:r>
        <w:rPr>
          <w:rStyle w:val="74"/>
          <w:rFonts w:hint="eastAsia" w:ascii="宋体" w:hAnsi="宋体" w:cs="宋体"/>
          <w:color w:val="auto"/>
          <w:sz w:val="24"/>
          <w:szCs w:val="24"/>
          <w:highlight w:val="none"/>
        </w:rPr>
        <w:t>3.2</w:t>
      </w:r>
      <w:r>
        <w:rPr>
          <w:rFonts w:hint="eastAsia" w:asciiTheme="minorEastAsia" w:hAnsiTheme="minorEastAsia" w:eastAsiaTheme="minorEastAsia" w:cstheme="minorEastAsia"/>
          <w:color w:val="auto"/>
          <w:sz w:val="24"/>
          <w:szCs w:val="24"/>
          <w:highlight w:val="none"/>
          <w:lang w:val="en-US" w:eastAsia="zh-CN"/>
        </w:rPr>
        <w:t>工期：</w:t>
      </w:r>
      <w:r>
        <w:rPr>
          <w:rFonts w:hint="eastAsia" w:asciiTheme="minorEastAsia" w:hAnsiTheme="minorEastAsia" w:eastAsiaTheme="minorEastAsia" w:cstheme="minorEastAsia"/>
          <w:color w:val="auto"/>
          <w:sz w:val="24"/>
          <w:szCs w:val="24"/>
          <w:highlight w:val="none"/>
          <w:u w:val="single"/>
          <w:lang w:val="en-US" w:eastAsia="zh-CN"/>
        </w:rPr>
        <w:t xml:space="preserve"> 70 </w:t>
      </w:r>
      <w:r>
        <w:rPr>
          <w:rFonts w:hint="eastAsia" w:asciiTheme="minorEastAsia" w:hAnsiTheme="minorEastAsia" w:eastAsiaTheme="minorEastAsia" w:cstheme="minorEastAsia"/>
          <w:color w:val="auto"/>
          <w:sz w:val="24"/>
          <w:szCs w:val="24"/>
          <w:highlight w:val="none"/>
          <w:lang w:val="en-US" w:eastAsia="zh-CN"/>
        </w:rPr>
        <w:t>日历天，计划开工日期</w:t>
      </w:r>
      <w:r>
        <w:rPr>
          <w:rFonts w:hint="eastAsia" w:asciiTheme="minorEastAsia" w:hAnsiTheme="minorEastAsia" w:eastAsiaTheme="minorEastAsia" w:cstheme="minorEastAsia"/>
          <w:color w:val="auto"/>
          <w:sz w:val="24"/>
          <w:szCs w:val="24"/>
          <w:highlight w:val="none"/>
          <w:u w:val="single"/>
          <w:lang w:val="en-US" w:eastAsia="zh-CN"/>
        </w:rPr>
        <w:t xml:space="preserve"> 2025</w:t>
      </w:r>
      <w:r>
        <w:rPr>
          <w:rFonts w:hint="eastAsia" w:asciiTheme="minorEastAsia" w:hAnsiTheme="minorEastAsia" w:eastAsiaTheme="minorEastAsia" w:cstheme="minorEastAsia"/>
          <w:color w:val="auto"/>
          <w:sz w:val="24"/>
          <w:szCs w:val="24"/>
          <w:highlight w:val="none"/>
          <w:lang w:val="en-US" w:eastAsia="zh-CN"/>
        </w:rPr>
        <w:t>年</w:t>
      </w:r>
      <w:r>
        <w:rPr>
          <w:rFonts w:hint="eastAsia" w:asciiTheme="minorEastAsia" w:hAnsiTheme="minorEastAsia" w:eastAsiaTheme="minorEastAsia" w:cstheme="minorEastAsia"/>
          <w:color w:val="auto"/>
          <w:sz w:val="24"/>
          <w:szCs w:val="24"/>
          <w:highlight w:val="none"/>
          <w:u w:val="single"/>
          <w:lang w:val="en-US" w:eastAsia="zh-CN"/>
        </w:rPr>
        <w:t xml:space="preserve"> 7 </w:t>
      </w:r>
      <w:r>
        <w:rPr>
          <w:rFonts w:hint="eastAsia" w:asciiTheme="minorEastAsia" w:hAnsiTheme="minorEastAsia" w:eastAsiaTheme="minorEastAsia" w:cstheme="minorEastAsia"/>
          <w:color w:val="auto"/>
          <w:sz w:val="24"/>
          <w:szCs w:val="24"/>
          <w:highlight w:val="none"/>
          <w:lang w:val="en-US" w:eastAsia="zh-CN"/>
        </w:rPr>
        <w:t>月</w:t>
      </w:r>
      <w:r>
        <w:rPr>
          <w:rFonts w:hint="eastAsia" w:asciiTheme="minorEastAsia" w:hAnsiTheme="minorEastAsia" w:eastAsiaTheme="minorEastAsia" w:cstheme="minorEastAsia"/>
          <w:color w:val="auto"/>
          <w:sz w:val="24"/>
          <w:szCs w:val="24"/>
          <w:highlight w:val="none"/>
          <w:u w:val="single"/>
          <w:lang w:val="en-US" w:eastAsia="zh-CN"/>
        </w:rPr>
        <w:t xml:space="preserve"> 7 </w:t>
      </w:r>
      <w:r>
        <w:rPr>
          <w:rFonts w:hint="eastAsia" w:asciiTheme="minorEastAsia" w:hAnsiTheme="minorEastAsia" w:eastAsiaTheme="minorEastAsia" w:cstheme="minorEastAsia"/>
          <w:color w:val="auto"/>
          <w:sz w:val="24"/>
          <w:szCs w:val="24"/>
          <w:highlight w:val="none"/>
          <w:lang w:val="en-US" w:eastAsia="zh-CN"/>
        </w:rPr>
        <w:t>日，计划竣工日期</w:t>
      </w:r>
      <w:r>
        <w:rPr>
          <w:rFonts w:hint="eastAsia" w:asciiTheme="minorEastAsia" w:hAnsiTheme="minorEastAsia" w:eastAsiaTheme="minorEastAsia" w:cstheme="minorEastAsia"/>
          <w:color w:val="auto"/>
          <w:sz w:val="24"/>
          <w:szCs w:val="24"/>
          <w:highlight w:val="none"/>
          <w:u w:val="single"/>
          <w:lang w:val="en-US" w:eastAsia="zh-CN"/>
        </w:rPr>
        <w:t xml:space="preserve"> 2025 </w:t>
      </w:r>
      <w:r>
        <w:rPr>
          <w:rFonts w:hint="eastAsia" w:asciiTheme="minorEastAsia" w:hAnsiTheme="minorEastAsia" w:eastAsiaTheme="minorEastAsia" w:cstheme="minorEastAsia"/>
          <w:color w:val="auto"/>
          <w:sz w:val="24"/>
          <w:szCs w:val="24"/>
          <w:highlight w:val="none"/>
          <w:lang w:val="en-US" w:eastAsia="zh-CN"/>
        </w:rPr>
        <w:t>年</w:t>
      </w:r>
      <w:r>
        <w:rPr>
          <w:rFonts w:hint="eastAsia" w:asciiTheme="minorEastAsia" w:hAnsiTheme="minorEastAsia" w:eastAsiaTheme="minorEastAsia" w:cstheme="minorEastAsia"/>
          <w:color w:val="auto"/>
          <w:sz w:val="24"/>
          <w:szCs w:val="24"/>
          <w:highlight w:val="none"/>
          <w:u w:val="single"/>
          <w:lang w:val="en-US" w:eastAsia="zh-CN"/>
        </w:rPr>
        <w:t xml:space="preserve"> 9 </w:t>
      </w:r>
      <w:r>
        <w:rPr>
          <w:rFonts w:hint="eastAsia" w:asciiTheme="minorEastAsia" w:hAnsiTheme="minorEastAsia" w:eastAsiaTheme="minorEastAsia" w:cstheme="minorEastAsia"/>
          <w:color w:val="auto"/>
          <w:sz w:val="24"/>
          <w:szCs w:val="24"/>
          <w:highlight w:val="none"/>
          <w:lang w:val="en-US" w:eastAsia="zh-CN"/>
        </w:rPr>
        <w:t>月</w:t>
      </w:r>
      <w:r>
        <w:rPr>
          <w:rFonts w:hint="eastAsia" w:asciiTheme="minorEastAsia" w:hAnsiTheme="minorEastAsia" w:eastAsiaTheme="minorEastAsia" w:cstheme="minorEastAsia"/>
          <w:color w:val="auto"/>
          <w:sz w:val="24"/>
          <w:szCs w:val="24"/>
          <w:highlight w:val="none"/>
          <w:u w:val="single"/>
          <w:lang w:val="en-US" w:eastAsia="zh-CN"/>
        </w:rPr>
        <w:t xml:space="preserve"> 14 </w:t>
      </w:r>
      <w:r>
        <w:rPr>
          <w:rFonts w:hint="eastAsia" w:asciiTheme="minorEastAsia" w:hAnsiTheme="minorEastAsia" w:eastAsiaTheme="minorEastAsia" w:cstheme="minorEastAsia"/>
          <w:color w:val="auto"/>
          <w:sz w:val="24"/>
          <w:szCs w:val="24"/>
          <w:highlight w:val="none"/>
          <w:lang w:val="en-US" w:eastAsia="zh-CN"/>
        </w:rPr>
        <w:t>日</w:t>
      </w:r>
    </w:p>
    <w:p w14:paraId="10131F1F">
      <w:pPr>
        <w:spacing w:line="360" w:lineRule="auto"/>
        <w:ind w:left="0" w:leftChars="0" w:firstLine="420" w:firstLineChars="175"/>
        <w:rPr>
          <w:rStyle w:val="74"/>
          <w:rFonts w:hint="eastAsia" w:ascii="宋体" w:hAnsi="宋体" w:cs="宋体"/>
          <w:color w:val="auto"/>
          <w:sz w:val="24"/>
          <w:szCs w:val="24"/>
          <w:highlight w:val="none"/>
        </w:rPr>
      </w:pPr>
      <w:r>
        <w:rPr>
          <w:rStyle w:val="74"/>
          <w:rFonts w:hint="eastAsia" w:ascii="宋体" w:hAnsi="宋体" w:cs="宋体"/>
          <w:color w:val="auto"/>
          <w:sz w:val="24"/>
          <w:szCs w:val="24"/>
          <w:highlight w:val="none"/>
        </w:rPr>
        <w:t>3.3</w:t>
      </w:r>
      <w:r>
        <w:rPr>
          <w:rStyle w:val="74"/>
          <w:rFonts w:hint="eastAsia" w:ascii="宋体" w:hAnsi="宋体" w:cs="宋体"/>
          <w:color w:val="auto"/>
          <w:sz w:val="24"/>
          <w:szCs w:val="24"/>
          <w:highlight w:val="none"/>
          <w:lang w:val="en-US"/>
        </w:rPr>
        <w:t>建设</w:t>
      </w:r>
      <w:r>
        <w:rPr>
          <w:rStyle w:val="74"/>
          <w:rFonts w:hint="eastAsia" w:ascii="宋体" w:hAnsi="宋体" w:cs="宋体"/>
          <w:color w:val="auto"/>
          <w:sz w:val="24"/>
          <w:szCs w:val="24"/>
          <w:highlight w:val="none"/>
        </w:rPr>
        <w:t>地点：</w:t>
      </w:r>
      <w:r>
        <w:rPr>
          <w:rStyle w:val="74"/>
          <w:rFonts w:hint="eastAsia" w:ascii="宋体" w:hAnsi="宋体" w:cs="宋体"/>
          <w:color w:val="auto"/>
          <w:sz w:val="24"/>
          <w:szCs w:val="24"/>
          <w:highlight w:val="none"/>
          <w:lang w:val="en-US" w:eastAsia="zh-CN"/>
        </w:rPr>
        <w:t>塔尔拉克乡</w:t>
      </w:r>
    </w:p>
    <w:p w14:paraId="1A6EC497">
      <w:pPr>
        <w:spacing w:line="360" w:lineRule="auto"/>
        <w:ind w:left="0" w:leftChars="0" w:firstLine="420" w:firstLineChars="175"/>
        <w:rPr>
          <w:rFonts w:hint="eastAsia" w:asciiTheme="minorEastAsia" w:hAnsiTheme="minorEastAsia" w:eastAsiaTheme="minorEastAsia" w:cstheme="minorEastAsia"/>
          <w:sz w:val="24"/>
          <w:szCs w:val="24"/>
          <w:highlight w:val="none"/>
          <w:u w:val="none"/>
          <w:lang w:val="en-US" w:eastAsia="zh-CN"/>
        </w:rPr>
      </w:pPr>
      <w:r>
        <w:rPr>
          <w:rStyle w:val="74"/>
          <w:rFonts w:hint="eastAsia" w:ascii="宋体" w:hAnsi="宋体" w:cs="宋体"/>
          <w:color w:val="auto"/>
          <w:sz w:val="24"/>
          <w:szCs w:val="24"/>
          <w:highlight w:val="none"/>
        </w:rPr>
        <w:t>3.4质量要求：</w:t>
      </w:r>
      <w:r>
        <w:rPr>
          <w:rFonts w:hint="eastAsia" w:asciiTheme="minorEastAsia" w:hAnsiTheme="minorEastAsia" w:eastAsiaTheme="minorEastAsia" w:cstheme="minorEastAsia"/>
          <w:sz w:val="24"/>
          <w:szCs w:val="24"/>
          <w:highlight w:val="none"/>
          <w:lang w:val="zh-CN" w:eastAsia="zh-CN"/>
        </w:rPr>
        <w:t>标段工程交工验收的质量评定：</w:t>
      </w:r>
      <w:r>
        <w:rPr>
          <w:rFonts w:hint="eastAsia" w:asciiTheme="minorEastAsia" w:hAnsiTheme="minorEastAsia" w:eastAsiaTheme="minorEastAsia" w:cstheme="minorEastAsia"/>
          <w:sz w:val="24"/>
          <w:szCs w:val="24"/>
          <w:highlight w:val="none"/>
          <w:u w:val="single"/>
          <w:lang w:val="zh-CN" w:eastAsia="zh-CN"/>
        </w:rPr>
        <w:t>合格</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w:t>
      </w:r>
      <w:r>
        <w:rPr>
          <w:rFonts w:hint="eastAsia" w:asciiTheme="minorEastAsia" w:hAnsiTheme="minorEastAsia" w:eastAsiaTheme="minorEastAsia" w:cstheme="minorEastAsia"/>
          <w:sz w:val="24"/>
          <w:szCs w:val="24"/>
          <w:highlight w:val="none"/>
          <w:lang w:val="zh-CN" w:eastAsia="zh-CN"/>
        </w:rPr>
        <w:t>竣工验收的质量评定：</w:t>
      </w:r>
      <w:r>
        <w:rPr>
          <w:rFonts w:hint="eastAsia" w:asciiTheme="minorEastAsia" w:hAnsiTheme="minorEastAsia" w:eastAsiaTheme="minorEastAsia" w:cstheme="minorEastAsia"/>
          <w:sz w:val="24"/>
          <w:szCs w:val="24"/>
          <w:highlight w:val="none"/>
          <w:u w:val="single"/>
          <w:lang w:val="zh-CN" w:eastAsia="zh-CN"/>
        </w:rPr>
        <w:t>合格</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w:t>
      </w:r>
    </w:p>
    <w:p w14:paraId="68EB5187">
      <w:pPr>
        <w:spacing w:line="360" w:lineRule="auto"/>
        <w:ind w:left="0" w:leftChars="0" w:firstLine="420" w:firstLineChars="175"/>
        <w:rPr>
          <w:rFonts w:hint="default" w:asciiTheme="minorEastAsia" w:hAnsiTheme="minorEastAsia" w:eastAsiaTheme="minorEastAsia" w:cstheme="minorEastAsia"/>
          <w:sz w:val="24"/>
          <w:szCs w:val="24"/>
          <w:highlight w:val="none"/>
          <w:u w:val="none"/>
          <w:lang w:val="en-US" w:eastAsia="zh-CN"/>
        </w:rPr>
      </w:pPr>
      <w:r>
        <w:rPr>
          <w:rStyle w:val="74"/>
          <w:rFonts w:hint="eastAsia" w:ascii="宋体" w:hAnsi="宋体" w:cs="宋体"/>
          <w:color w:val="auto"/>
          <w:sz w:val="24"/>
          <w:szCs w:val="24"/>
          <w:highlight w:val="none"/>
        </w:rPr>
        <w:t>3.5</w:t>
      </w:r>
      <w:r>
        <w:rPr>
          <w:rFonts w:hint="eastAsia" w:asciiTheme="minorEastAsia" w:hAnsiTheme="minorEastAsia" w:eastAsiaTheme="minorEastAsia" w:cstheme="minorEastAsia"/>
          <w:b w:val="0"/>
          <w:bCs w:val="0"/>
          <w:sz w:val="24"/>
          <w:szCs w:val="24"/>
          <w:highlight w:val="none"/>
          <w:lang w:val="en-US" w:eastAsia="zh-CN"/>
        </w:rPr>
        <w:t>安全目标：</w:t>
      </w:r>
      <w:r>
        <w:rPr>
          <w:rFonts w:hint="eastAsia" w:ascii="宋体" w:hAnsi="宋体" w:cs="宋体"/>
          <w:color w:val="auto"/>
          <w:sz w:val="24"/>
          <w:szCs w:val="24"/>
          <w:highlight w:val="none"/>
          <w:lang w:val="en-US" w:eastAsia="zh-CN"/>
        </w:rPr>
        <w:t>各类生产安全责任事故死亡人数为零，不发生一般火灾事故；</w:t>
      </w:r>
    </w:p>
    <w:p w14:paraId="659B52F5">
      <w:pPr>
        <w:spacing w:line="360" w:lineRule="auto"/>
        <w:ind w:firstLine="420" w:firstLineChars="175"/>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3.6质量保修期：</w:t>
      </w:r>
      <w:r>
        <w:rPr>
          <w:rFonts w:hint="eastAsia" w:ascii="宋体" w:hAnsi="宋体" w:cs="宋体"/>
          <w:color w:val="auto"/>
          <w:sz w:val="24"/>
          <w:szCs w:val="24"/>
          <w:highlight w:val="none"/>
          <w:lang w:val="en-US" w:eastAsia="zh-CN"/>
        </w:rPr>
        <w:t>自实际交工日期起计算 1 年</w:t>
      </w:r>
      <w:r>
        <w:rPr>
          <w:rFonts w:hint="eastAsia" w:ascii="宋体" w:hAnsi="宋体" w:cs="宋体"/>
          <w:color w:val="auto"/>
          <w:kern w:val="0"/>
          <w:sz w:val="24"/>
          <w:szCs w:val="24"/>
          <w:highlight w:val="none"/>
          <w:lang w:val="en-US" w:eastAsia="zh-CN"/>
        </w:rPr>
        <w:t>；</w:t>
      </w:r>
    </w:p>
    <w:p w14:paraId="093A6900">
      <w:pPr>
        <w:spacing w:line="360" w:lineRule="auto"/>
        <w:ind w:firstLine="420" w:firstLineChars="175"/>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3.7</w:t>
      </w:r>
      <w:r>
        <w:rPr>
          <w:rStyle w:val="74"/>
          <w:rFonts w:hint="eastAsia" w:ascii="宋体" w:hAnsi="宋体" w:cs="宋体"/>
          <w:color w:val="auto"/>
          <w:sz w:val="24"/>
          <w:szCs w:val="24"/>
          <w:highlight w:val="none"/>
          <w:lang w:val="en-US"/>
        </w:rPr>
        <w:t>责任缺</w:t>
      </w:r>
      <w:r>
        <w:rPr>
          <w:rFonts w:hint="eastAsia" w:ascii="宋体" w:hAnsi="宋体" w:eastAsia="宋体" w:cs="宋体"/>
          <w:color w:val="auto"/>
          <w:kern w:val="0"/>
          <w:sz w:val="24"/>
          <w:szCs w:val="24"/>
          <w:highlight w:val="none"/>
          <w:lang w:val="en-US" w:eastAsia="zh-CN"/>
        </w:rPr>
        <w:t>陷期：</w:t>
      </w:r>
      <w:r>
        <w:rPr>
          <w:rFonts w:hint="eastAsia" w:ascii="宋体" w:hAnsi="宋体" w:eastAsia="宋体" w:cs="宋体"/>
          <w:color w:val="000000"/>
          <w:kern w:val="0"/>
          <w:sz w:val="24"/>
          <w:szCs w:val="24"/>
          <w:highlight w:val="none"/>
          <w:lang w:val="en-US" w:eastAsia="zh-CN" w:bidi="ar"/>
        </w:rPr>
        <w:t>自实际交工日期起计算 1 年</w:t>
      </w:r>
      <w:r>
        <w:rPr>
          <w:rFonts w:hint="eastAsia" w:ascii="宋体" w:hAnsi="宋体" w:cs="宋体"/>
          <w:color w:val="000000"/>
          <w:kern w:val="0"/>
          <w:sz w:val="24"/>
          <w:szCs w:val="24"/>
          <w:highlight w:val="none"/>
          <w:lang w:val="en-US" w:eastAsia="zh-CN" w:bidi="ar"/>
        </w:rPr>
        <w:t>；</w:t>
      </w:r>
    </w:p>
    <w:p w14:paraId="67CC927E">
      <w:pPr>
        <w:spacing w:line="360" w:lineRule="auto"/>
        <w:ind w:firstLine="420" w:firstLineChars="175"/>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质保金：结算价的3%</w:t>
      </w:r>
    </w:p>
    <w:p w14:paraId="53C321F3">
      <w:pPr>
        <w:spacing w:line="360" w:lineRule="auto"/>
        <w:ind w:firstLine="420" w:firstLineChars="175"/>
        <w:rPr>
          <w:rFonts w:hint="eastAsia" w:ascii="宋体" w:hAnsi="宋体" w:eastAsia="宋体" w:cs="宋体"/>
          <w:color w:val="auto"/>
          <w:kern w:val="0"/>
          <w:sz w:val="24"/>
          <w:szCs w:val="24"/>
          <w:highlight w:val="none"/>
          <w:lang w:val="en-US" w:eastAsia="zh-CN"/>
        </w:rPr>
      </w:pPr>
      <w:r>
        <w:rPr>
          <w:rStyle w:val="74"/>
          <w:rFonts w:hint="eastAsia" w:ascii="宋体" w:hAnsi="宋体" w:cs="宋体"/>
          <w:color w:val="auto"/>
          <w:sz w:val="24"/>
          <w:szCs w:val="24"/>
          <w:highlight w:val="none"/>
        </w:rPr>
        <w:t>3.</w:t>
      </w:r>
      <w:r>
        <w:rPr>
          <w:rStyle w:val="74"/>
          <w:rFonts w:hint="eastAsia" w:ascii="宋体" w:hAnsi="宋体" w:cs="宋体"/>
          <w:color w:val="auto"/>
          <w:sz w:val="24"/>
          <w:szCs w:val="24"/>
          <w:highlight w:val="none"/>
          <w:lang w:val="en-US"/>
        </w:rPr>
        <w:t>9</w:t>
      </w:r>
      <w:r>
        <w:rPr>
          <w:rStyle w:val="74"/>
          <w:rFonts w:hint="eastAsia" w:ascii="宋体" w:hAnsi="宋体" w:cs="宋体"/>
          <w:color w:val="auto"/>
          <w:sz w:val="24"/>
          <w:szCs w:val="24"/>
          <w:highlight w:val="none"/>
        </w:rPr>
        <w:t>付款方式：</w:t>
      </w:r>
      <w:r>
        <w:rPr>
          <w:rFonts w:hint="eastAsia" w:asciiTheme="minorEastAsia" w:hAnsiTheme="minorEastAsia" w:eastAsiaTheme="minorEastAsia" w:cstheme="minorEastAsia"/>
          <w:color w:val="auto"/>
          <w:sz w:val="24"/>
          <w:szCs w:val="24"/>
          <w:highlight w:val="none"/>
          <w:lang w:val="en-US" w:eastAsia="zh-CN"/>
        </w:rPr>
        <w:t>合同签订后5日内支付合同价30%的预付款，按工程进度付款，工程竣工验收合格后支付到合同价的80%，工程结算审计完成后支付到结算价的97%，留结算价3%的质保金，待1年缺陷责任期满后3日内一次性付清。</w:t>
      </w:r>
    </w:p>
    <w:p w14:paraId="095EFCBE">
      <w:pPr>
        <w:snapToGrid w:val="0"/>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4、</w:t>
      </w:r>
      <w:bookmarkEnd w:id="5"/>
      <w:bookmarkEnd w:id="6"/>
      <w:bookmarkEnd w:id="7"/>
      <w:bookmarkEnd w:id="8"/>
      <w:r>
        <w:rPr>
          <w:rFonts w:hint="eastAsia" w:ascii="宋体" w:hAnsi="宋体" w:cs="宋体"/>
          <w:b/>
          <w:color w:val="auto"/>
          <w:sz w:val="24"/>
          <w:szCs w:val="24"/>
          <w:highlight w:val="none"/>
        </w:rPr>
        <w:t>合格供应商资格要求</w:t>
      </w:r>
    </w:p>
    <w:p w14:paraId="2BB27EAB">
      <w:pPr>
        <w:spacing w:line="360" w:lineRule="auto"/>
        <w:ind w:firstLine="482"/>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4.1详见第一章“竞争性磋商采购公告”中的供应商资格要求。</w:t>
      </w:r>
    </w:p>
    <w:p w14:paraId="7E2DAB0D">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w:t>
      </w:r>
      <w:r>
        <w:rPr>
          <w:rFonts w:hint="eastAsia" w:ascii="宋体" w:hAnsi="宋体" w:eastAsia="宋体" w:cs="宋体"/>
          <w:color w:val="auto"/>
          <w:sz w:val="24"/>
          <w:szCs w:val="24"/>
          <w:highlight w:val="none"/>
        </w:rPr>
        <w:t>投标人或投标人之间如果存在下列情形之一的，不得同时参加同一包（标段）或者不分包（标段）的同一项目投标：</w:t>
      </w:r>
    </w:p>
    <w:p w14:paraId="58390514">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（1）单位负责人为同一个人或者存在直接控股、管理关系的不同投标人；</w:t>
      </w:r>
    </w:p>
    <w:p w14:paraId="5A91C916">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（2）母公司、全资子公司及其控股公司；</w:t>
      </w:r>
    </w:p>
    <w:p w14:paraId="1C8856FC">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（3）为本次采购项目提供整体设计、规范编制或者项目管理、监理、检测等服务的投标人；</w:t>
      </w:r>
    </w:p>
    <w:p w14:paraId="53F01452">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（4）参加投标的其他组织之间存在特殊的利害关系的；</w:t>
      </w:r>
    </w:p>
    <w:p w14:paraId="2506CEAF">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（5）法律法规规定的其他情形。</w:t>
      </w:r>
    </w:p>
    <w:p w14:paraId="131E329B">
      <w:pPr>
        <w:spacing w:line="360" w:lineRule="auto"/>
        <w:ind w:firstLine="482"/>
        <w:jc w:val="left"/>
        <w:rPr>
          <w:rFonts w:hint="eastAsia" w:ascii="宋体" w:hAnsi="宋体" w:eastAsia="宋体" w:cs="宋体"/>
          <w:b/>
          <w:bCs/>
          <w:color w:val="auto"/>
          <w:sz w:val="24"/>
          <w:szCs w:val="24"/>
          <w:highlight w:val="none"/>
        </w:rPr>
      </w:pPr>
      <w:r>
        <w:rPr>
          <w:rFonts w:hint="default" w:ascii="宋体" w:hAnsi="宋体" w:eastAsia="宋体" w:cs="宋体"/>
          <w:b/>
          <w:bCs/>
          <w:color w:val="auto"/>
          <w:sz w:val="24"/>
          <w:szCs w:val="24"/>
          <w:highlight w:val="none"/>
        </w:rPr>
        <w:t>5、</w:t>
      </w:r>
      <w:r>
        <w:rPr>
          <w:rFonts w:hint="eastAsia" w:ascii="宋体" w:hAnsi="宋体" w:eastAsia="宋体" w:cs="宋体"/>
          <w:b/>
          <w:bCs/>
          <w:color w:val="auto"/>
          <w:sz w:val="24"/>
          <w:szCs w:val="24"/>
          <w:highlight w:val="none"/>
        </w:rPr>
        <w:t>投标保证金</w:t>
      </w:r>
    </w:p>
    <w:p w14:paraId="3103C402">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.1投标人在领取招标文件时，应提供不少于投标人须知前附表</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规定数额的投标保证金。</w:t>
      </w:r>
    </w:p>
    <w:p w14:paraId="07DBBBF0">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.2投标人有下列情形之一者，投标保证金将被没收：</w:t>
      </w:r>
    </w:p>
    <w:p w14:paraId="69CFF167">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.2.1投标人在投标有效期内撤回其投标文件；</w:t>
      </w:r>
    </w:p>
    <w:p w14:paraId="5FEC15C7">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.2.2投标人不接受按招标文件规定对其投标报价进行修正的；</w:t>
      </w:r>
    </w:p>
    <w:p w14:paraId="51F12A6A">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.2.3中标人未能在规定期限内签署合同协议书或提交履约保证金的；</w:t>
      </w:r>
    </w:p>
    <w:p w14:paraId="0EBBB023">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.2.4投标人超过投标截止时间送达投标文件的。</w:t>
      </w:r>
    </w:p>
    <w:p w14:paraId="3BE2F543">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.3退还投标保证金</w:t>
      </w:r>
    </w:p>
    <w:p w14:paraId="23E02B66">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.3.1未中标的投标人的投标保证金，将在中标通知书发出后5个工作日内无息退还。</w:t>
      </w:r>
    </w:p>
    <w:p w14:paraId="0875F98F">
      <w:pPr>
        <w:spacing w:line="360" w:lineRule="auto"/>
        <w:ind w:firstLine="482"/>
        <w:jc w:val="left"/>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.3.2中标方的投标保证金，将在领取中标通知书，缴纳履约保证金并签订合同后5个工作日内无息退还，中标企业退还保证金时，还需提供采购合同复印件。</w:t>
      </w:r>
    </w:p>
    <w:p w14:paraId="4E2B71D5">
      <w:pPr>
        <w:snapToGrid w:val="0"/>
        <w:spacing w:line="360" w:lineRule="auto"/>
        <w:ind w:firstLine="482" w:firstLineChars="200"/>
        <w:jc w:val="left"/>
        <w:rPr>
          <w:rFonts w:hint="eastAsia" w:ascii="宋体" w:hAnsi="宋体" w:cs="宋体"/>
          <w:b/>
          <w:color w:val="auto"/>
          <w:sz w:val="24"/>
          <w:szCs w:val="24"/>
          <w:highlight w:val="none"/>
        </w:rPr>
      </w:pPr>
      <w:r>
        <w:rPr>
          <w:rFonts w:hint="default" w:ascii="宋体" w:hAnsi="宋体" w:cs="宋体"/>
          <w:b/>
          <w:color w:val="auto"/>
          <w:sz w:val="24"/>
          <w:szCs w:val="24"/>
          <w:highlight w:val="none"/>
        </w:rPr>
        <w:t>6</w:t>
      </w:r>
      <w:r>
        <w:rPr>
          <w:rFonts w:hint="eastAsia" w:ascii="宋体" w:hAnsi="宋体" w:cs="宋体"/>
          <w:b/>
          <w:color w:val="auto"/>
          <w:sz w:val="24"/>
          <w:szCs w:val="24"/>
          <w:highlight w:val="none"/>
        </w:rPr>
        <w:t>、政府采购活动中，采购人员及相关人员与供应商有下列利害关系之一的，应当回避：</w:t>
      </w:r>
    </w:p>
    <w:p w14:paraId="7D853BF2">
      <w:pPr>
        <w:spacing w:line="360" w:lineRule="auto"/>
        <w:ind w:firstLine="482"/>
        <w:jc w:val="left"/>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6</w:t>
      </w:r>
      <w:r>
        <w:rPr>
          <w:rFonts w:hint="eastAsia" w:ascii="宋体" w:hAnsi="宋体" w:eastAsia="宋体" w:cs="宋体"/>
          <w:color w:val="auto"/>
          <w:sz w:val="24"/>
          <w:szCs w:val="24"/>
          <w:highlight w:val="none"/>
        </w:rPr>
        <w:t>.1参加采购活动前3年内与供应商存在劳动关系；</w:t>
      </w:r>
    </w:p>
    <w:p w14:paraId="5EEA5AEB">
      <w:pPr>
        <w:spacing w:line="360" w:lineRule="auto"/>
        <w:ind w:firstLine="482"/>
        <w:jc w:val="left"/>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6</w:t>
      </w:r>
      <w:r>
        <w:rPr>
          <w:rFonts w:hint="eastAsia" w:ascii="宋体" w:hAnsi="宋体" w:eastAsia="宋体" w:cs="宋体"/>
          <w:color w:val="auto"/>
          <w:sz w:val="24"/>
          <w:szCs w:val="24"/>
          <w:highlight w:val="none"/>
        </w:rPr>
        <w:t>.2参加采购活动前3年内担任供应商的董事、监事；</w:t>
      </w:r>
    </w:p>
    <w:p w14:paraId="3B79D39F">
      <w:pPr>
        <w:spacing w:line="360" w:lineRule="auto"/>
        <w:ind w:firstLine="482"/>
        <w:jc w:val="left"/>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6</w:t>
      </w:r>
      <w:r>
        <w:rPr>
          <w:rFonts w:hint="eastAsia" w:ascii="宋体" w:hAnsi="宋体" w:eastAsia="宋体" w:cs="宋体"/>
          <w:color w:val="auto"/>
          <w:sz w:val="24"/>
          <w:szCs w:val="24"/>
          <w:highlight w:val="none"/>
        </w:rPr>
        <w:t>.3参加采购活动前3年内是供应商的控股股东或者实际控制人；</w:t>
      </w:r>
    </w:p>
    <w:p w14:paraId="0059AFBE">
      <w:pPr>
        <w:spacing w:line="360" w:lineRule="auto"/>
        <w:ind w:firstLine="482"/>
        <w:jc w:val="left"/>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6</w:t>
      </w:r>
      <w:r>
        <w:rPr>
          <w:rFonts w:hint="eastAsia" w:ascii="宋体" w:hAnsi="宋体" w:eastAsia="宋体" w:cs="宋体"/>
          <w:color w:val="auto"/>
          <w:sz w:val="24"/>
          <w:szCs w:val="24"/>
          <w:highlight w:val="none"/>
        </w:rPr>
        <w:t>.4与供应商的法定代表人或者负责人有夫妻、直系血亲、三代以内旁系血亲或者近姻亲关系；</w:t>
      </w:r>
    </w:p>
    <w:p w14:paraId="37844834">
      <w:pPr>
        <w:spacing w:line="360" w:lineRule="auto"/>
        <w:ind w:firstLine="482"/>
        <w:jc w:val="left"/>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rPr>
        <w:t>6</w:t>
      </w:r>
      <w:r>
        <w:rPr>
          <w:rFonts w:hint="eastAsia" w:ascii="宋体" w:hAnsi="宋体" w:eastAsia="宋体" w:cs="宋体"/>
          <w:color w:val="auto"/>
          <w:sz w:val="24"/>
          <w:szCs w:val="24"/>
          <w:highlight w:val="none"/>
        </w:rPr>
        <w:t>.5与供应商有其他可能影响政府采购活动公平、公正进行的关系。</w:t>
      </w:r>
    </w:p>
    <w:p w14:paraId="3F829EBC">
      <w:pPr>
        <w:pStyle w:val="75"/>
        <w:spacing w:line="360" w:lineRule="auto"/>
        <w:ind w:left="1" w:firstLine="512" w:firstLineChars="200"/>
        <w:rPr>
          <w:rFonts w:hint="eastAsia" w:hAnsi="宋体" w:cs="宋体"/>
          <w:color w:val="auto"/>
          <w:kern w:val="2"/>
          <w:sz w:val="24"/>
          <w:szCs w:val="24"/>
          <w:highlight w:val="none"/>
        </w:rPr>
      </w:pPr>
      <w:r>
        <w:rPr>
          <w:rFonts w:hint="eastAsia" w:hAnsi="宋体" w:cs="宋体"/>
          <w:color w:val="auto"/>
          <w:kern w:val="2"/>
          <w:sz w:val="24"/>
          <w:szCs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568A9034">
      <w:pPr>
        <w:pStyle w:val="75"/>
        <w:spacing w:line="360" w:lineRule="auto"/>
        <w:ind w:left="1" w:firstLine="512" w:firstLineChars="200"/>
        <w:rPr>
          <w:rFonts w:hint="eastAsia" w:hAnsi="宋体" w:cs="宋体"/>
          <w:color w:val="auto"/>
          <w:kern w:val="2"/>
          <w:sz w:val="24"/>
          <w:szCs w:val="24"/>
          <w:highlight w:val="none"/>
        </w:rPr>
      </w:pPr>
      <w:r>
        <w:rPr>
          <w:rFonts w:hint="eastAsia" w:hAnsi="宋体" w:cs="宋体"/>
          <w:color w:val="auto"/>
          <w:kern w:val="2"/>
          <w:sz w:val="24"/>
          <w:szCs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14:paraId="2F499DA0">
      <w:pPr>
        <w:autoSpaceDE w:val="0"/>
        <w:autoSpaceDN w:val="0"/>
        <w:adjustRightInd w:val="0"/>
        <w:spacing w:line="360" w:lineRule="auto"/>
        <w:ind w:firstLine="420"/>
        <w:rPr>
          <w:rFonts w:hint="eastAsia" w:ascii="宋体" w:hAnsi="宋体" w:eastAsia="宋体" w:cs="宋体"/>
          <w:b/>
          <w:color w:val="auto"/>
          <w:kern w:val="2"/>
          <w:sz w:val="24"/>
          <w:szCs w:val="24"/>
          <w:highlight w:val="none"/>
          <w:lang w:val="zh-CN" w:eastAsia="zh-CN" w:bidi="ar-SA"/>
        </w:rPr>
      </w:pPr>
      <w:r>
        <w:rPr>
          <w:rFonts w:hint="eastAsia" w:ascii="宋体" w:hAnsi="宋体" w:eastAsia="宋体" w:cs="宋体"/>
          <w:b/>
          <w:color w:val="auto"/>
          <w:kern w:val="2"/>
          <w:sz w:val="24"/>
          <w:szCs w:val="24"/>
          <w:highlight w:val="none"/>
          <w:lang w:val="en-US" w:eastAsia="zh-CN" w:bidi="ar-SA"/>
        </w:rPr>
        <w:t>7</w:t>
      </w:r>
      <w:r>
        <w:rPr>
          <w:rFonts w:hint="eastAsia" w:ascii="宋体" w:hAnsi="宋体" w:eastAsia="宋体" w:cs="宋体"/>
          <w:b/>
          <w:color w:val="auto"/>
          <w:kern w:val="2"/>
          <w:sz w:val="24"/>
          <w:szCs w:val="24"/>
          <w:highlight w:val="none"/>
          <w:lang w:val="zh-CN" w:eastAsia="zh-CN" w:bidi="ar-SA"/>
        </w:rPr>
        <w:t>、招标控制价</w:t>
      </w:r>
    </w:p>
    <w:p w14:paraId="4EA6B4F0">
      <w:pPr>
        <w:pStyle w:val="16"/>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7.1招标控制价：指招标人根据国家或省级、行业建设主管部门颁发的有关计价依据和办法，按设计施工图纸计算的</w:t>
      </w:r>
      <w:r>
        <w:rPr>
          <w:rFonts w:hint="eastAsia" w:hAnsi="宋体" w:cs="宋体"/>
          <w:color w:val="auto"/>
          <w:sz w:val="24"/>
          <w:szCs w:val="24"/>
          <w:highlight w:val="none"/>
          <w:lang w:val="en-US" w:eastAsia="zh-CN"/>
        </w:rPr>
        <w:t>或建设方提供的工程信息</w:t>
      </w:r>
      <w:r>
        <w:rPr>
          <w:rFonts w:hint="eastAsia" w:ascii="宋体" w:hAnsi="宋体" w:eastAsia="宋体" w:cs="宋体"/>
          <w:color w:val="auto"/>
          <w:sz w:val="24"/>
          <w:szCs w:val="24"/>
          <w:highlight w:val="none"/>
          <w:lang w:val="en-US" w:eastAsia="zh-CN"/>
        </w:rPr>
        <w:t>，对招标工程限定的最高工程造价。</w:t>
      </w:r>
    </w:p>
    <w:p w14:paraId="1D2125E8">
      <w:pPr>
        <w:pStyle w:val="16"/>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7.2国有资金投资的工程建设项目应实行工程量清单招标，并应编制招标控制价。招标控制价超过批准的概算时，招标人应将其报原概算部门审核。投标人的投标报价高于招标控制价的，其投标应予以拒绝。</w:t>
      </w:r>
    </w:p>
    <w:p w14:paraId="7F0FAF92">
      <w:pPr>
        <w:pStyle w:val="16"/>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7.3招标控制价应由具有编制能力的招标人，或受其委托具有相应资质的工程造价咨询人编制。</w:t>
      </w:r>
    </w:p>
    <w:p w14:paraId="60777341">
      <w:pPr>
        <w:pStyle w:val="16"/>
        <w:spacing w:line="360" w:lineRule="auto"/>
        <w:ind w:firstLine="480" w:firstLineChars="200"/>
        <w:rPr>
          <w:rFonts w:hint="eastAsia" w:ascii="宋体" w:hAnsi="宋体" w:eastAsia="宋体" w:cs="宋体"/>
          <w:color w:val="0000FF"/>
          <w:sz w:val="24"/>
          <w:szCs w:val="24"/>
          <w:highlight w:val="yellow"/>
          <w:lang w:val="en-US" w:eastAsia="zh-CN"/>
        </w:rPr>
      </w:pPr>
      <w:r>
        <w:rPr>
          <w:rFonts w:hint="eastAsia" w:ascii="宋体" w:hAnsi="宋体" w:eastAsia="宋体" w:cs="宋体"/>
          <w:color w:val="auto"/>
          <w:sz w:val="24"/>
          <w:szCs w:val="24"/>
          <w:highlight w:val="none"/>
          <w:lang w:val="en-US" w:eastAsia="zh-CN"/>
        </w:rPr>
        <w:t>7.4招标控制价依据交通运输部86号公告发布的《公路工程建设项目概算预算编制办法》(JTG 3830-2018)、《公路工程预算定额》(JTG 3832-2018)、《公路工程机械台班费用定额》(JTG 3833-2018)、新疆维吾尔族自治区交通运输厅发布的新交规【2021】1号文发布的《新疆维吾尔自治区公路工程建设项目估概预算编制办法补充规定》、.新疆维吾尔族自治区公路工程造价管理局新交造价【2021】发布的《新疆公路工程预算补充定额》等进行编制；</w:t>
      </w:r>
    </w:p>
    <w:p w14:paraId="36669BD7">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7.5</w:t>
      </w:r>
      <w:r>
        <w:rPr>
          <w:rFonts w:hint="eastAsia" w:ascii="宋体" w:hAnsi="宋体" w:eastAsia="宋体" w:cs="宋体"/>
          <w:color w:val="auto"/>
          <w:sz w:val="24"/>
          <w:szCs w:val="24"/>
          <w:highlight w:val="none"/>
        </w:rPr>
        <w:t>招标控制价应在招标时公布，不应上调。</w:t>
      </w:r>
    </w:p>
    <w:p w14:paraId="5E2F607A">
      <w:pPr>
        <w:pStyle w:val="16"/>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lang w:val="en-US" w:eastAsia="zh-CN"/>
        </w:rPr>
        <w:t>8</w:t>
      </w:r>
      <w:r>
        <w:rPr>
          <w:rFonts w:hint="eastAsia" w:hAnsi="宋体" w:cs="宋体"/>
          <w:b/>
          <w:color w:val="auto"/>
          <w:sz w:val="24"/>
          <w:szCs w:val="24"/>
          <w:highlight w:val="none"/>
        </w:rPr>
        <w:t>、参与磋商费用</w:t>
      </w:r>
    </w:p>
    <w:p w14:paraId="78D2868E">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8</w:t>
      </w:r>
      <w:r>
        <w:rPr>
          <w:rFonts w:hint="eastAsia" w:hAnsi="宋体" w:cs="宋体"/>
          <w:color w:val="auto"/>
          <w:sz w:val="24"/>
          <w:szCs w:val="24"/>
          <w:highlight w:val="none"/>
        </w:rPr>
        <w:t>.1供应商应承担所有与磋商准备和磋商有关的全部费用，不论磋商结果如何，采购人和采购代理机构无义务和责任承担供应商所发生的一切费用。</w:t>
      </w:r>
    </w:p>
    <w:p w14:paraId="3E90A023">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8</w:t>
      </w:r>
      <w:r>
        <w:rPr>
          <w:rFonts w:hint="eastAsia" w:hAnsi="宋体" w:cs="宋体"/>
          <w:color w:val="auto"/>
          <w:sz w:val="24"/>
          <w:szCs w:val="24"/>
          <w:highlight w:val="none"/>
        </w:rPr>
        <w:t>.2供应商在磋商准备、实地考察和磋商的全过程中，如果发生人身伤亡、财物或其它任何损失，不论何种原因所造成，均由供应商自行承担全部责任和损失。</w:t>
      </w:r>
    </w:p>
    <w:p w14:paraId="2F518D35">
      <w:pPr>
        <w:pStyle w:val="16"/>
        <w:spacing w:line="360" w:lineRule="auto"/>
        <w:ind w:firstLine="482" w:firstLineChars="200"/>
        <w:rPr>
          <w:rFonts w:hint="eastAsia" w:ascii="宋体" w:hAnsi="宋体" w:eastAsia="宋体" w:cs="宋体"/>
          <w:b/>
          <w:color w:val="auto"/>
          <w:sz w:val="24"/>
          <w:szCs w:val="24"/>
          <w:highlight w:val="none"/>
        </w:rPr>
      </w:pPr>
      <w:bookmarkStart w:id="9" w:name="_Toc233274816"/>
      <w:bookmarkStart w:id="10" w:name="_Toc245897276"/>
      <w:bookmarkStart w:id="11" w:name="_Toc243906316"/>
      <w:bookmarkStart w:id="12" w:name="_Toc243907576"/>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、法律适用</w:t>
      </w:r>
      <w:bookmarkEnd w:id="9"/>
      <w:bookmarkEnd w:id="10"/>
      <w:bookmarkEnd w:id="11"/>
      <w:bookmarkEnd w:id="12"/>
    </w:p>
    <w:p w14:paraId="5E48145C">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9</w:t>
      </w:r>
      <w:r>
        <w:rPr>
          <w:rFonts w:hint="eastAsia" w:hAnsi="宋体" w:cs="宋体"/>
          <w:color w:val="auto"/>
          <w:sz w:val="24"/>
          <w:szCs w:val="24"/>
          <w:highlight w:val="none"/>
        </w:rPr>
        <w:t>.1本次磋商活动及由本次磋商产生的合同受中国法律制约和保护。</w:t>
      </w:r>
    </w:p>
    <w:p w14:paraId="24FC8BA9">
      <w:pPr>
        <w:pStyle w:val="16"/>
        <w:spacing w:line="360" w:lineRule="auto"/>
        <w:ind w:firstLine="482" w:firstLineChars="200"/>
        <w:rPr>
          <w:rFonts w:hint="eastAsia" w:hAnsi="宋体" w:cs="宋体"/>
          <w:b/>
          <w:color w:val="auto"/>
          <w:sz w:val="24"/>
          <w:szCs w:val="24"/>
          <w:highlight w:val="none"/>
        </w:rPr>
      </w:pPr>
      <w:bookmarkStart w:id="13" w:name="_Toc245897277"/>
      <w:bookmarkStart w:id="14" w:name="_Toc243906317"/>
      <w:bookmarkStart w:id="15" w:name="_Toc233274817"/>
      <w:bookmarkStart w:id="16" w:name="_Toc243907577"/>
      <w:r>
        <w:rPr>
          <w:rFonts w:hint="eastAsia" w:hAnsi="宋体" w:cs="宋体"/>
          <w:b/>
          <w:color w:val="auto"/>
          <w:sz w:val="24"/>
          <w:szCs w:val="24"/>
          <w:highlight w:val="none"/>
          <w:lang w:val="en-US" w:eastAsia="zh-CN"/>
        </w:rPr>
        <w:t>10</w:t>
      </w:r>
      <w:r>
        <w:rPr>
          <w:rFonts w:hint="eastAsia" w:hAnsi="宋体" w:cs="宋体"/>
          <w:b/>
          <w:color w:val="auto"/>
          <w:sz w:val="24"/>
          <w:szCs w:val="24"/>
          <w:highlight w:val="none"/>
        </w:rPr>
        <w:t>、磋商文件的约束力</w:t>
      </w:r>
      <w:bookmarkEnd w:id="13"/>
      <w:bookmarkEnd w:id="14"/>
      <w:bookmarkEnd w:id="15"/>
      <w:bookmarkEnd w:id="16"/>
    </w:p>
    <w:p w14:paraId="298C8D42">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10</w:t>
      </w:r>
      <w:r>
        <w:rPr>
          <w:rFonts w:hint="eastAsia" w:hAnsi="宋体" w:cs="宋体"/>
          <w:color w:val="auto"/>
          <w:sz w:val="24"/>
          <w:szCs w:val="24"/>
          <w:highlight w:val="none"/>
        </w:rPr>
        <w:t>.1供应商若成交，即被认为接受了本磋商文件中的所有条件和规定。是采购人与成交供应商签订合同的依据且是合同的组成部分。</w:t>
      </w:r>
    </w:p>
    <w:p w14:paraId="2B474555">
      <w:pPr>
        <w:pStyle w:val="16"/>
        <w:spacing w:line="360" w:lineRule="auto"/>
        <w:ind w:firstLine="480" w:firstLineChars="200"/>
        <w:rPr>
          <w:rFonts w:hint="eastAsia" w:hAnsi="宋体" w:cs="宋体"/>
          <w:color w:val="auto"/>
          <w:sz w:val="24"/>
          <w:szCs w:val="24"/>
          <w:highlight w:val="none"/>
        </w:rPr>
      </w:pPr>
    </w:p>
    <w:p w14:paraId="1A137EBD">
      <w:pPr>
        <w:pStyle w:val="16"/>
        <w:spacing w:line="360" w:lineRule="auto"/>
        <w:ind w:firstLine="480" w:firstLineChars="200"/>
        <w:rPr>
          <w:rFonts w:hint="eastAsia" w:hAnsi="宋体" w:cs="宋体"/>
          <w:color w:val="auto"/>
          <w:sz w:val="24"/>
          <w:szCs w:val="24"/>
          <w:highlight w:val="none"/>
        </w:rPr>
      </w:pPr>
    </w:p>
    <w:p w14:paraId="669416C3">
      <w:pPr>
        <w:pStyle w:val="16"/>
        <w:spacing w:line="360" w:lineRule="auto"/>
        <w:ind w:firstLine="480" w:firstLineChars="200"/>
        <w:rPr>
          <w:rFonts w:hint="eastAsia" w:hAnsi="宋体" w:cs="宋体"/>
          <w:color w:val="auto"/>
          <w:sz w:val="24"/>
          <w:szCs w:val="24"/>
          <w:highlight w:val="none"/>
        </w:rPr>
      </w:pPr>
    </w:p>
    <w:p w14:paraId="5A1DD957">
      <w:pPr>
        <w:pStyle w:val="16"/>
        <w:spacing w:line="360" w:lineRule="auto"/>
        <w:ind w:firstLine="480" w:firstLineChars="200"/>
        <w:rPr>
          <w:rFonts w:hint="eastAsia" w:hAnsi="宋体" w:cs="宋体"/>
          <w:color w:val="auto"/>
          <w:sz w:val="24"/>
          <w:szCs w:val="24"/>
          <w:highlight w:val="none"/>
        </w:rPr>
      </w:pPr>
    </w:p>
    <w:p w14:paraId="4ACE8448">
      <w:pPr>
        <w:pStyle w:val="16"/>
        <w:spacing w:line="360" w:lineRule="auto"/>
        <w:ind w:firstLine="480" w:firstLineChars="200"/>
        <w:rPr>
          <w:rFonts w:hint="eastAsia" w:hAnsi="宋体" w:cs="宋体"/>
          <w:color w:val="auto"/>
          <w:sz w:val="24"/>
          <w:szCs w:val="24"/>
          <w:highlight w:val="none"/>
        </w:rPr>
      </w:pPr>
    </w:p>
    <w:p w14:paraId="07048A9D">
      <w:pPr>
        <w:pStyle w:val="16"/>
        <w:spacing w:line="360" w:lineRule="auto"/>
        <w:ind w:firstLine="480" w:firstLineChars="200"/>
        <w:rPr>
          <w:rFonts w:hint="eastAsia" w:hAnsi="宋体" w:cs="宋体"/>
          <w:color w:val="auto"/>
          <w:sz w:val="24"/>
          <w:szCs w:val="24"/>
          <w:highlight w:val="none"/>
        </w:rPr>
      </w:pPr>
    </w:p>
    <w:p w14:paraId="5DFB2581">
      <w:pPr>
        <w:pStyle w:val="16"/>
        <w:spacing w:line="360" w:lineRule="auto"/>
        <w:ind w:firstLine="480" w:firstLineChars="200"/>
        <w:rPr>
          <w:rFonts w:hint="eastAsia" w:hAnsi="宋体" w:cs="宋体"/>
          <w:color w:val="auto"/>
          <w:sz w:val="24"/>
          <w:szCs w:val="24"/>
          <w:highlight w:val="none"/>
        </w:rPr>
      </w:pPr>
    </w:p>
    <w:p w14:paraId="6E4C113A">
      <w:pPr>
        <w:pStyle w:val="16"/>
        <w:spacing w:line="360" w:lineRule="auto"/>
        <w:rPr>
          <w:rFonts w:hint="eastAsia" w:hAnsi="宋体" w:cs="宋体"/>
          <w:color w:val="auto"/>
          <w:sz w:val="24"/>
          <w:szCs w:val="24"/>
          <w:highlight w:val="none"/>
        </w:rPr>
      </w:pPr>
    </w:p>
    <w:p w14:paraId="4B60CB34">
      <w:pPr>
        <w:pStyle w:val="16"/>
        <w:spacing w:line="360" w:lineRule="auto"/>
        <w:rPr>
          <w:rFonts w:hint="eastAsia" w:hAnsi="宋体" w:cs="宋体"/>
          <w:color w:val="auto"/>
          <w:sz w:val="24"/>
          <w:szCs w:val="24"/>
          <w:highlight w:val="none"/>
        </w:rPr>
      </w:pPr>
    </w:p>
    <w:p w14:paraId="6F5A0999">
      <w:pPr>
        <w:pStyle w:val="16"/>
        <w:spacing w:line="360" w:lineRule="auto"/>
        <w:rPr>
          <w:rFonts w:hint="eastAsia" w:hAnsi="宋体" w:cs="宋体"/>
          <w:color w:val="auto"/>
          <w:sz w:val="24"/>
          <w:szCs w:val="24"/>
          <w:highlight w:val="none"/>
        </w:rPr>
      </w:pPr>
    </w:p>
    <w:p w14:paraId="691EEA06">
      <w:pPr>
        <w:rPr>
          <w:rFonts w:hint="eastAsia" w:hAnsi="宋体" w:cs="宋体"/>
          <w:b/>
          <w:color w:val="auto"/>
          <w:sz w:val="36"/>
          <w:szCs w:val="36"/>
          <w:highlight w:val="none"/>
        </w:rPr>
      </w:pPr>
      <w:r>
        <w:rPr>
          <w:rFonts w:hint="eastAsia" w:hAnsi="宋体" w:cs="宋体"/>
          <w:b/>
          <w:color w:val="auto"/>
          <w:sz w:val="36"/>
          <w:szCs w:val="36"/>
          <w:highlight w:val="none"/>
        </w:rPr>
        <w:br w:type="page"/>
      </w:r>
    </w:p>
    <w:p w14:paraId="1E0AB776">
      <w:pPr>
        <w:pStyle w:val="76"/>
        <w:tabs>
          <w:tab w:val="left" w:pos="0"/>
        </w:tabs>
        <w:spacing w:line="360" w:lineRule="auto"/>
        <w:ind w:left="1680" w:leftChars="800" w:firstLine="723" w:firstLineChars="200"/>
        <w:rPr>
          <w:rFonts w:hint="eastAsia" w:hAnsi="宋体" w:cs="宋体"/>
          <w:b/>
          <w:color w:val="auto"/>
          <w:sz w:val="36"/>
          <w:szCs w:val="36"/>
          <w:highlight w:val="none"/>
        </w:rPr>
      </w:pPr>
      <w:r>
        <w:rPr>
          <w:rFonts w:hint="eastAsia" w:hAnsi="宋体" w:cs="宋体"/>
          <w:b/>
          <w:color w:val="auto"/>
          <w:sz w:val="36"/>
          <w:szCs w:val="36"/>
          <w:highlight w:val="none"/>
        </w:rPr>
        <w:t>第三章 磋商响应文件的编制、递交</w:t>
      </w:r>
    </w:p>
    <w:p w14:paraId="64D10BD1">
      <w:pPr>
        <w:pStyle w:val="16"/>
        <w:spacing w:line="360" w:lineRule="auto"/>
        <w:ind w:firstLine="482" w:firstLineChars="200"/>
        <w:outlineLvl w:val="1"/>
        <w:rPr>
          <w:rFonts w:hint="eastAsia" w:hAnsi="宋体" w:cs="宋体"/>
          <w:b/>
          <w:bCs/>
          <w:color w:val="auto"/>
          <w:sz w:val="24"/>
          <w:szCs w:val="24"/>
          <w:highlight w:val="none"/>
        </w:rPr>
      </w:pPr>
      <w:bookmarkStart w:id="17" w:name="_Toc243906319"/>
      <w:bookmarkStart w:id="18" w:name="_Toc243907579"/>
      <w:bookmarkStart w:id="19" w:name="_Toc246216188"/>
      <w:bookmarkStart w:id="20" w:name="_Toc233274819"/>
      <w:r>
        <w:rPr>
          <w:rFonts w:hint="eastAsia" w:hAnsi="宋体" w:cs="宋体"/>
          <w:b/>
          <w:bCs/>
          <w:color w:val="auto"/>
          <w:sz w:val="24"/>
          <w:szCs w:val="24"/>
          <w:highlight w:val="none"/>
          <w:lang w:val="en-US" w:eastAsia="zh-CN"/>
        </w:rPr>
        <w:t>1</w:t>
      </w:r>
      <w:r>
        <w:rPr>
          <w:rFonts w:hint="eastAsia" w:hAnsi="宋体" w:cs="宋体"/>
          <w:b/>
          <w:bCs/>
          <w:color w:val="auto"/>
          <w:sz w:val="24"/>
          <w:szCs w:val="24"/>
          <w:highlight w:val="none"/>
        </w:rPr>
        <w:t>、磋商文件的组成</w:t>
      </w:r>
      <w:bookmarkEnd w:id="17"/>
      <w:bookmarkEnd w:id="18"/>
      <w:bookmarkEnd w:id="19"/>
      <w:bookmarkEnd w:id="20"/>
    </w:p>
    <w:p w14:paraId="4870044C">
      <w:pPr>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.1本磋商文件是</w:t>
      </w:r>
      <w:r>
        <w:rPr>
          <w:rFonts w:hint="eastAsia" w:ascii="宋体" w:hAnsi="宋体" w:cs="宋体"/>
          <w:color w:val="auto"/>
          <w:sz w:val="24"/>
          <w:szCs w:val="24"/>
          <w:highlight w:val="none"/>
          <w:lang w:val="en-US" w:eastAsia="zh-CN"/>
        </w:rPr>
        <w:t>对</w:t>
      </w:r>
      <w:r>
        <w:rPr>
          <w:rFonts w:hint="eastAsia" w:asciiTheme="minorEastAsia" w:hAnsiTheme="minorEastAsia" w:eastAsiaTheme="minorEastAsia" w:cstheme="minorEastAsia"/>
          <w:sz w:val="24"/>
          <w:szCs w:val="24"/>
          <w:highlight w:val="none"/>
          <w:lang w:val="en-US" w:eastAsia="zh-CN"/>
        </w:rPr>
        <w:t>轮台县X237线塔尔拉克乡政府段改建项目</w:t>
      </w:r>
      <w:r>
        <w:rPr>
          <w:rFonts w:hint="eastAsia" w:ascii="宋体" w:hAnsi="宋体" w:eastAsia="宋体" w:cs="宋体"/>
          <w:color w:val="auto"/>
          <w:kern w:val="0"/>
          <w:sz w:val="24"/>
          <w:szCs w:val="24"/>
          <w:highlight w:val="none"/>
          <w:lang w:val="en-US" w:eastAsia="zh-CN"/>
        </w:rPr>
        <w:t>的</w:t>
      </w:r>
      <w:r>
        <w:rPr>
          <w:rFonts w:hint="eastAsia" w:ascii="宋体" w:hAnsi="宋体" w:cs="宋体"/>
          <w:color w:val="auto"/>
          <w:sz w:val="24"/>
          <w:szCs w:val="24"/>
          <w:highlight w:val="none"/>
        </w:rPr>
        <w:t>磋商程序、合同文本</w:t>
      </w:r>
      <w:r>
        <w:rPr>
          <w:rFonts w:hint="eastAsia" w:ascii="宋体" w:hAnsi="宋体" w:cs="宋体"/>
          <w:color w:val="auto"/>
          <w:sz w:val="24"/>
          <w:szCs w:val="24"/>
          <w:highlight w:val="none"/>
          <w:lang w:val="en-US" w:eastAsia="zh-CN"/>
        </w:rPr>
        <w:t>等内容</w:t>
      </w:r>
      <w:r>
        <w:rPr>
          <w:rFonts w:hint="eastAsia" w:ascii="宋体" w:hAnsi="宋体" w:cs="宋体"/>
          <w:color w:val="auto"/>
          <w:sz w:val="24"/>
          <w:szCs w:val="24"/>
          <w:highlight w:val="none"/>
        </w:rPr>
        <w:t>进行说明。</w:t>
      </w:r>
    </w:p>
    <w:p w14:paraId="1864DF1D">
      <w:pPr>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本</w:t>
      </w:r>
      <w:r>
        <w:rPr>
          <w:rFonts w:hint="eastAsia" w:ascii="宋体" w:hAnsi="宋体" w:cs="宋体"/>
          <w:color w:val="auto"/>
          <w:sz w:val="24"/>
          <w:szCs w:val="24"/>
          <w:highlight w:val="none"/>
        </w:rPr>
        <w:t>磋商文件包括下列内容：</w:t>
      </w:r>
    </w:p>
    <w:p w14:paraId="56E177D3">
      <w:pPr>
        <w:pStyle w:val="16"/>
        <w:spacing w:line="360" w:lineRule="auto"/>
        <w:ind w:firstLine="741" w:firstLineChars="309"/>
        <w:rPr>
          <w:rFonts w:hint="eastAsia" w:hAnsi="宋体" w:cs="宋体"/>
          <w:color w:val="auto"/>
          <w:sz w:val="24"/>
          <w:szCs w:val="24"/>
          <w:highlight w:val="none"/>
          <w:lang w:val="en-US" w:eastAsia="zh-CN"/>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HYPERLINK  \l "_Toc13129_WPSOffice_Level1"</w:instrText>
      </w:r>
      <w:r>
        <w:rPr>
          <w:rFonts w:hint="eastAsia" w:hAnsi="宋体" w:cs="宋体"/>
          <w:color w:val="auto"/>
          <w:sz w:val="24"/>
          <w:szCs w:val="24"/>
          <w:highlight w:val="none"/>
        </w:rPr>
        <w:fldChar w:fldCharType="separate"/>
      </w:r>
      <w:r>
        <w:rPr>
          <w:rFonts w:hint="eastAsia" w:hAnsi="宋体" w:cs="宋体"/>
          <w:color w:val="auto"/>
          <w:sz w:val="24"/>
          <w:szCs w:val="24"/>
          <w:highlight w:val="none"/>
        </w:rPr>
        <w:t>第一章  竞争性磋商公告</w:t>
      </w:r>
      <w:r>
        <w:rPr>
          <w:rFonts w:hint="eastAsia" w:hAnsi="宋体" w:cs="宋体"/>
          <w:color w:val="auto"/>
          <w:sz w:val="24"/>
          <w:szCs w:val="24"/>
          <w:highlight w:val="none"/>
        </w:rPr>
        <w:tab/>
      </w:r>
      <w:r>
        <w:rPr>
          <w:rFonts w:hint="eastAsia" w:hAnsi="宋体" w:cs="宋体"/>
          <w:color w:val="auto"/>
          <w:sz w:val="24"/>
          <w:szCs w:val="24"/>
          <w:highlight w:val="none"/>
        </w:rPr>
        <w:fldChar w:fldCharType="end"/>
      </w:r>
    </w:p>
    <w:p w14:paraId="4BBDCDC4">
      <w:pPr>
        <w:pStyle w:val="16"/>
        <w:spacing w:line="360" w:lineRule="auto"/>
        <w:ind w:firstLine="741" w:firstLineChars="309"/>
        <w:rPr>
          <w:rFonts w:hint="eastAsia" w:hAnsi="宋体" w:cs="宋体"/>
          <w:color w:val="auto"/>
          <w:sz w:val="24"/>
          <w:szCs w:val="24"/>
          <w:highlight w:val="none"/>
          <w:lang w:val="en-US" w:eastAsia="zh-CN"/>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HYPERLINK  \l "_Toc32258_WPSOffice_Level1"</w:instrText>
      </w:r>
      <w:r>
        <w:rPr>
          <w:rFonts w:hint="eastAsia" w:hAnsi="宋体" w:cs="宋体"/>
          <w:color w:val="auto"/>
          <w:sz w:val="24"/>
          <w:szCs w:val="24"/>
          <w:highlight w:val="none"/>
        </w:rPr>
        <w:fldChar w:fldCharType="separate"/>
      </w:r>
      <w:r>
        <w:rPr>
          <w:rFonts w:hint="eastAsia" w:hAnsi="宋体" w:cs="宋体"/>
          <w:color w:val="auto"/>
          <w:sz w:val="24"/>
          <w:szCs w:val="24"/>
          <w:highlight w:val="none"/>
        </w:rPr>
        <w:t>第二章  磋商供应商须知</w:t>
      </w:r>
      <w:r>
        <w:rPr>
          <w:rFonts w:hint="eastAsia" w:hAnsi="宋体" w:cs="宋体"/>
          <w:color w:val="auto"/>
          <w:sz w:val="24"/>
          <w:szCs w:val="24"/>
          <w:highlight w:val="none"/>
        </w:rPr>
        <w:tab/>
      </w:r>
      <w:r>
        <w:rPr>
          <w:rFonts w:hint="eastAsia" w:hAnsi="宋体" w:cs="宋体"/>
          <w:color w:val="auto"/>
          <w:sz w:val="24"/>
          <w:szCs w:val="24"/>
          <w:highlight w:val="none"/>
        </w:rPr>
        <w:fldChar w:fldCharType="end"/>
      </w:r>
    </w:p>
    <w:p w14:paraId="66AA1160">
      <w:pPr>
        <w:pStyle w:val="16"/>
        <w:spacing w:line="360" w:lineRule="auto"/>
        <w:ind w:firstLine="741" w:firstLineChars="309"/>
        <w:rPr>
          <w:rFonts w:hint="default" w:hAnsi="宋体" w:cs="宋体"/>
          <w:color w:val="auto"/>
          <w:sz w:val="24"/>
          <w:szCs w:val="24"/>
          <w:highlight w:val="none"/>
          <w:lang w:val="en-US" w:eastAsia="zh-CN"/>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HYPERLINK  \l "_Toc3717_WPSOffice_Level1"</w:instrText>
      </w:r>
      <w:r>
        <w:rPr>
          <w:rFonts w:hint="eastAsia" w:hAnsi="宋体" w:cs="宋体"/>
          <w:color w:val="auto"/>
          <w:sz w:val="24"/>
          <w:szCs w:val="24"/>
          <w:highlight w:val="none"/>
        </w:rPr>
        <w:fldChar w:fldCharType="separate"/>
      </w:r>
      <w:r>
        <w:rPr>
          <w:rFonts w:hint="eastAsia" w:hAnsi="宋体" w:cs="宋体"/>
          <w:color w:val="auto"/>
          <w:sz w:val="24"/>
          <w:szCs w:val="24"/>
          <w:highlight w:val="none"/>
        </w:rPr>
        <w:t>第三章  磋商响应文件的编制、递交</w:t>
      </w:r>
      <w:r>
        <w:rPr>
          <w:rFonts w:hint="eastAsia" w:hAnsi="宋体" w:cs="宋体"/>
          <w:color w:val="auto"/>
          <w:sz w:val="24"/>
          <w:szCs w:val="24"/>
          <w:highlight w:val="none"/>
        </w:rPr>
        <w:tab/>
      </w:r>
      <w:r>
        <w:rPr>
          <w:rFonts w:hint="eastAsia" w:hAnsi="宋体" w:cs="宋体"/>
          <w:color w:val="auto"/>
          <w:sz w:val="24"/>
          <w:szCs w:val="24"/>
          <w:highlight w:val="none"/>
        </w:rPr>
        <w:fldChar w:fldCharType="end"/>
      </w:r>
    </w:p>
    <w:p w14:paraId="22188363">
      <w:pPr>
        <w:pStyle w:val="16"/>
        <w:spacing w:line="360" w:lineRule="auto"/>
        <w:ind w:firstLine="741" w:firstLineChars="309"/>
        <w:rPr>
          <w:rFonts w:hint="default" w:hAnsi="宋体" w:cs="宋体"/>
          <w:color w:val="auto"/>
          <w:sz w:val="24"/>
          <w:szCs w:val="24"/>
          <w:highlight w:val="none"/>
          <w:lang w:val="en-US" w:eastAsia="zh-CN"/>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HYPERLINK  \l "_Toc12453_WPSOffice_Level1"</w:instrText>
      </w:r>
      <w:r>
        <w:rPr>
          <w:rFonts w:hint="eastAsia" w:hAnsi="宋体" w:cs="宋体"/>
          <w:color w:val="auto"/>
          <w:sz w:val="24"/>
          <w:szCs w:val="24"/>
          <w:highlight w:val="none"/>
        </w:rPr>
        <w:fldChar w:fldCharType="separate"/>
      </w:r>
      <w:r>
        <w:rPr>
          <w:rFonts w:hint="eastAsia" w:hAnsi="宋体" w:cs="宋体"/>
          <w:color w:val="auto"/>
          <w:sz w:val="24"/>
          <w:szCs w:val="24"/>
          <w:highlight w:val="none"/>
        </w:rPr>
        <w:t>第四章  磋商、评审、确定成交供应商</w:t>
      </w:r>
      <w:r>
        <w:rPr>
          <w:rFonts w:hint="eastAsia" w:hAnsi="宋体" w:cs="宋体"/>
          <w:color w:val="auto"/>
          <w:sz w:val="24"/>
          <w:szCs w:val="24"/>
          <w:highlight w:val="none"/>
        </w:rPr>
        <w:tab/>
      </w:r>
    </w:p>
    <w:p w14:paraId="2459BF2B">
      <w:pPr>
        <w:pStyle w:val="16"/>
        <w:spacing w:line="360" w:lineRule="auto"/>
        <w:ind w:firstLine="741" w:firstLineChars="309"/>
        <w:rPr>
          <w:rFonts w:hint="eastAsia" w:hAnsi="宋体" w:cs="宋体"/>
          <w:color w:val="auto"/>
          <w:sz w:val="24"/>
          <w:szCs w:val="24"/>
          <w:highlight w:val="none"/>
          <w:lang w:val="en-US" w:eastAsia="zh-CN"/>
        </w:rPr>
      </w:pPr>
      <w:r>
        <w:rPr>
          <w:rFonts w:hint="eastAsia" w:hAnsi="宋体" w:cs="宋体"/>
          <w:color w:val="auto"/>
          <w:sz w:val="24"/>
          <w:szCs w:val="24"/>
          <w:highlight w:val="none"/>
        </w:rPr>
        <w:t>第五章  评定成交方式和标准</w:t>
      </w:r>
      <w:r>
        <w:rPr>
          <w:rFonts w:hint="eastAsia" w:hAnsi="宋体" w:cs="宋体"/>
          <w:color w:val="auto"/>
          <w:sz w:val="24"/>
          <w:szCs w:val="24"/>
          <w:highlight w:val="none"/>
        </w:rPr>
        <w:tab/>
      </w:r>
      <w:r>
        <w:rPr>
          <w:rFonts w:hint="eastAsia" w:hAnsi="宋体" w:cs="宋体"/>
          <w:color w:val="auto"/>
          <w:sz w:val="24"/>
          <w:szCs w:val="24"/>
          <w:highlight w:val="none"/>
        </w:rPr>
        <w:fldChar w:fldCharType="end"/>
      </w:r>
    </w:p>
    <w:p w14:paraId="3536C25B">
      <w:pPr>
        <w:pStyle w:val="16"/>
        <w:spacing w:line="360" w:lineRule="auto"/>
        <w:ind w:firstLine="741" w:firstLineChars="309"/>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 xml:space="preserve">第六章  </w:t>
      </w:r>
      <w:r>
        <w:rPr>
          <w:rFonts w:hint="eastAsia" w:hAnsi="宋体" w:cs="宋体"/>
          <w:color w:val="auto"/>
          <w:sz w:val="24"/>
          <w:szCs w:val="24"/>
          <w:highlight w:val="none"/>
        </w:rPr>
        <w:t>合同格式及合同条款</w:t>
      </w:r>
      <w:r>
        <w:rPr>
          <w:rFonts w:hint="eastAsia" w:hAnsi="宋体" w:cs="宋体"/>
          <w:color w:val="auto"/>
          <w:sz w:val="24"/>
          <w:szCs w:val="24"/>
          <w:highlight w:val="none"/>
        </w:rPr>
        <w:tab/>
      </w:r>
    </w:p>
    <w:p w14:paraId="7731878F">
      <w:pPr>
        <w:pStyle w:val="16"/>
        <w:spacing w:line="360" w:lineRule="auto"/>
        <w:ind w:firstLine="741" w:firstLineChars="309"/>
        <w:rPr>
          <w:rFonts w:hint="eastAsia" w:hAnsi="宋体" w:cs="宋体"/>
          <w:color w:val="auto"/>
          <w:sz w:val="24"/>
          <w:szCs w:val="24"/>
          <w:highlight w:val="none"/>
          <w:lang w:val="en-US" w:eastAsia="zh-CN"/>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HYPERLINK  \l "_Toc7744_WPSOffice_Level1"</w:instrText>
      </w:r>
      <w:r>
        <w:rPr>
          <w:rFonts w:hint="eastAsia" w:hAnsi="宋体" w:cs="宋体"/>
          <w:color w:val="auto"/>
          <w:sz w:val="24"/>
          <w:szCs w:val="24"/>
          <w:highlight w:val="none"/>
        </w:rPr>
        <w:fldChar w:fldCharType="separate"/>
      </w:r>
      <w:r>
        <w:rPr>
          <w:rFonts w:hint="eastAsia" w:hAnsi="宋体" w:cs="宋体"/>
          <w:color w:val="auto"/>
          <w:sz w:val="24"/>
          <w:szCs w:val="24"/>
          <w:highlight w:val="none"/>
        </w:rPr>
        <w:t>第</w:t>
      </w:r>
      <w:r>
        <w:rPr>
          <w:rFonts w:hint="eastAsia" w:hAnsi="宋体" w:cs="宋体"/>
          <w:color w:val="auto"/>
          <w:sz w:val="24"/>
          <w:szCs w:val="24"/>
          <w:highlight w:val="none"/>
          <w:lang w:val="en-US" w:eastAsia="zh-CN"/>
        </w:rPr>
        <w:t>七</w:t>
      </w:r>
      <w:r>
        <w:rPr>
          <w:rFonts w:hint="eastAsia" w:hAnsi="宋体" w:cs="宋体"/>
          <w:color w:val="auto"/>
          <w:sz w:val="24"/>
          <w:szCs w:val="24"/>
          <w:highlight w:val="none"/>
        </w:rPr>
        <w:t xml:space="preserve">章  </w:t>
      </w:r>
      <w:r>
        <w:rPr>
          <w:rFonts w:hint="eastAsia" w:hAnsi="宋体" w:cs="宋体"/>
          <w:color w:val="auto"/>
          <w:sz w:val="24"/>
          <w:szCs w:val="24"/>
          <w:highlight w:val="none"/>
          <w:lang w:val="en-US" w:eastAsia="zh-CN"/>
        </w:rPr>
        <w:t>工程量清单（另附）</w:t>
      </w:r>
      <w:r>
        <w:rPr>
          <w:rFonts w:hint="eastAsia" w:hAnsi="宋体" w:cs="宋体"/>
          <w:color w:val="auto"/>
          <w:sz w:val="24"/>
          <w:szCs w:val="24"/>
          <w:highlight w:val="none"/>
        </w:rPr>
        <w:tab/>
      </w:r>
      <w:r>
        <w:rPr>
          <w:rFonts w:hint="eastAsia" w:hAnsi="宋体" w:cs="宋体"/>
          <w:color w:val="auto"/>
          <w:sz w:val="24"/>
          <w:szCs w:val="24"/>
          <w:highlight w:val="none"/>
        </w:rPr>
        <w:fldChar w:fldCharType="end"/>
      </w:r>
    </w:p>
    <w:p w14:paraId="05616DA7">
      <w:pPr>
        <w:pStyle w:val="16"/>
        <w:spacing w:line="360" w:lineRule="auto"/>
        <w:ind w:firstLine="741" w:firstLineChars="309"/>
        <w:rPr>
          <w:rFonts w:hint="eastAsia" w:hAnsi="宋体" w:cs="宋体"/>
          <w:color w:val="auto"/>
          <w:sz w:val="24"/>
          <w:szCs w:val="24"/>
          <w:highlight w:val="none"/>
        </w:rPr>
      </w:pPr>
      <w:r>
        <w:rPr>
          <w:rFonts w:hint="eastAsia" w:hAnsi="宋体" w:cs="宋体"/>
          <w:color w:val="auto"/>
          <w:sz w:val="24"/>
          <w:szCs w:val="24"/>
          <w:highlight w:val="none"/>
          <w:lang w:val="en-US" w:eastAsia="zh-CN"/>
        </w:rPr>
        <w:t>第八章  图纸（另附）</w:t>
      </w:r>
      <w:r>
        <w:rPr>
          <w:rFonts w:hint="eastAsia" w:hAnsi="宋体" w:cs="宋体"/>
          <w:color w:val="auto"/>
          <w:sz w:val="24"/>
          <w:szCs w:val="24"/>
          <w:highlight w:val="none"/>
        </w:rPr>
        <w:tab/>
      </w:r>
    </w:p>
    <w:p w14:paraId="0BF082FC">
      <w:pPr>
        <w:pStyle w:val="16"/>
        <w:spacing w:line="360" w:lineRule="auto"/>
        <w:ind w:firstLine="741" w:firstLineChars="309"/>
        <w:rPr>
          <w:rFonts w:hint="eastAsia" w:hAnsi="宋体" w:cs="宋体"/>
          <w:color w:val="auto"/>
          <w:sz w:val="24"/>
          <w:szCs w:val="24"/>
          <w:highlight w:val="none"/>
        </w:rPr>
      </w:pPr>
      <w:r>
        <w:rPr>
          <w:rFonts w:hint="eastAsia" w:hAnsi="宋体" w:cs="宋体"/>
          <w:color w:val="auto"/>
          <w:sz w:val="24"/>
          <w:szCs w:val="24"/>
          <w:highlight w:val="none"/>
          <w:lang w:val="en-US" w:eastAsia="zh-CN"/>
        </w:rPr>
        <w:t>第九章  技术规范</w:t>
      </w:r>
      <w:r>
        <w:rPr>
          <w:rFonts w:hint="eastAsia" w:hAnsi="宋体" w:cs="宋体"/>
          <w:color w:val="auto"/>
          <w:sz w:val="24"/>
          <w:szCs w:val="24"/>
          <w:highlight w:val="none"/>
        </w:rPr>
        <w:tab/>
      </w:r>
    </w:p>
    <w:p w14:paraId="2D664E08">
      <w:pPr>
        <w:pStyle w:val="16"/>
        <w:spacing w:line="360" w:lineRule="auto"/>
        <w:ind w:firstLine="741" w:firstLineChars="309"/>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第十章  工程量清单计量规则</w:t>
      </w:r>
      <w:r>
        <w:rPr>
          <w:rFonts w:hint="eastAsia" w:hAnsi="宋体" w:cs="宋体"/>
          <w:color w:val="auto"/>
          <w:sz w:val="24"/>
          <w:szCs w:val="24"/>
          <w:highlight w:val="none"/>
        </w:rPr>
        <w:tab/>
      </w:r>
    </w:p>
    <w:p w14:paraId="1006E970">
      <w:pPr>
        <w:pStyle w:val="16"/>
        <w:spacing w:line="360" w:lineRule="auto"/>
        <w:ind w:firstLine="741" w:firstLineChars="309"/>
        <w:rPr>
          <w:rFonts w:hint="eastAsia" w:hAnsi="宋体" w:cs="宋体"/>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HYPERLINK  \l "_Toc11362_WPSOffice_Level1"</w:instrText>
      </w:r>
      <w:r>
        <w:rPr>
          <w:rFonts w:hint="eastAsia" w:hAnsi="宋体" w:cs="宋体"/>
          <w:color w:val="auto"/>
          <w:sz w:val="24"/>
          <w:szCs w:val="24"/>
          <w:highlight w:val="none"/>
        </w:rPr>
        <w:fldChar w:fldCharType="separate"/>
      </w:r>
      <w:r>
        <w:rPr>
          <w:rFonts w:hint="eastAsia" w:hAnsi="宋体" w:cs="宋体"/>
          <w:color w:val="auto"/>
          <w:sz w:val="24"/>
          <w:szCs w:val="24"/>
          <w:highlight w:val="none"/>
        </w:rPr>
        <w:t>第</w:t>
      </w:r>
      <w:r>
        <w:rPr>
          <w:rFonts w:hint="eastAsia" w:hAnsi="宋体" w:cs="宋体"/>
          <w:color w:val="auto"/>
          <w:sz w:val="24"/>
          <w:szCs w:val="24"/>
          <w:highlight w:val="none"/>
          <w:lang w:val="en-US" w:eastAsia="zh-CN"/>
        </w:rPr>
        <w:t>十一</w:t>
      </w:r>
      <w:r>
        <w:rPr>
          <w:rFonts w:hint="eastAsia" w:hAnsi="宋体" w:cs="宋体"/>
          <w:color w:val="auto"/>
          <w:sz w:val="24"/>
          <w:szCs w:val="24"/>
          <w:highlight w:val="none"/>
        </w:rPr>
        <w:t>章  磋商响应文件格式</w:t>
      </w:r>
      <w:r>
        <w:rPr>
          <w:rFonts w:hint="eastAsia" w:hAnsi="宋体" w:cs="宋体"/>
          <w:color w:val="auto"/>
          <w:sz w:val="24"/>
          <w:szCs w:val="24"/>
          <w:highlight w:val="none"/>
        </w:rPr>
        <w:tab/>
      </w:r>
      <w:r>
        <w:rPr>
          <w:rFonts w:hint="eastAsia" w:hAnsi="宋体" w:cs="宋体"/>
          <w:color w:val="auto"/>
          <w:sz w:val="24"/>
          <w:szCs w:val="24"/>
          <w:highlight w:val="none"/>
        </w:rPr>
        <w:fldChar w:fldCharType="end"/>
      </w:r>
    </w:p>
    <w:p w14:paraId="5CE5FCEE">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文件由本文件及由招标人按</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文件有关规定发出的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文件补充构成。</w:t>
      </w:r>
    </w:p>
    <w:p w14:paraId="62B79DE2">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文件的澄清、修改、招标答疑会纪要等书面材料在本招标工程中均称</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文件补充。</w:t>
      </w:r>
    </w:p>
    <w:p w14:paraId="59B0947C">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文件补充作为</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文件的组成部分，对投标人起同等约束作用。如果</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文件补充内容与在此</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文件补充发出之前的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文件等书面材料中相关内容相冲突，请投标人执行</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文件补充的相关内容，先前发出的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文件等书面材料中相关内容自动废止。</w:t>
      </w:r>
    </w:p>
    <w:p w14:paraId="7F590D53">
      <w:pPr>
        <w:pStyle w:val="16"/>
        <w:spacing w:line="360" w:lineRule="auto"/>
        <w:ind w:firstLine="480" w:firstLineChars="200"/>
        <w:rPr>
          <w:rFonts w:hint="eastAsia" w:hAnsi="宋体" w:cs="宋体"/>
          <w:color w:val="auto"/>
          <w:sz w:val="24"/>
          <w:szCs w:val="24"/>
          <w:highlight w:val="none"/>
        </w:rPr>
      </w:pPr>
      <w:r>
        <w:rPr>
          <w:rFonts w:hint="eastAsia" w:ascii="宋体" w:hAnsi="宋体" w:eastAsia="宋体" w:cs="宋体"/>
          <w:color w:val="auto"/>
          <w:sz w:val="24"/>
          <w:szCs w:val="24"/>
          <w:highlight w:val="none"/>
          <w:lang w:val="en-US" w:eastAsia="zh-CN"/>
        </w:rPr>
        <w:t>1.5投标人应认真审阅和理解招标文件所有内容，尤其应注意有“废标”、“拒绝评审”加黑字体字样等有关条款，否则引起的后果由投标人自</w:t>
      </w:r>
      <w:r>
        <w:rPr>
          <w:rFonts w:hint="eastAsia" w:ascii="宋体" w:hAnsi="宋体" w:eastAsia="宋体" w:cs="宋体"/>
          <w:color w:val="auto"/>
          <w:sz w:val="24"/>
          <w:szCs w:val="24"/>
          <w:highlight w:val="none"/>
        </w:rPr>
        <w:t>负。</w:t>
      </w:r>
    </w:p>
    <w:p w14:paraId="6D1CFCC4">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1</w:t>
      </w:r>
      <w:r>
        <w:rPr>
          <w:rFonts w:hint="eastAsia" w:hAnsi="宋体" w:cs="宋体"/>
          <w:color w:val="auto"/>
          <w:sz w:val="24"/>
          <w:szCs w:val="24"/>
          <w:highlight w:val="none"/>
        </w:rPr>
        <w:t>.</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除非有特殊要求，磋商文件不单独提供采购项目使用地的自然环境、气候条件、劳动力及公用设施等情况，供应商被视为熟悉上述条件或若成交履行合同有关的一切情况。</w:t>
      </w:r>
    </w:p>
    <w:p w14:paraId="6FC25938">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1</w:t>
      </w:r>
      <w:r>
        <w:rPr>
          <w:rFonts w:hint="eastAsia" w:hAnsi="宋体" w:cs="宋体"/>
          <w:color w:val="auto"/>
          <w:sz w:val="24"/>
          <w:szCs w:val="24"/>
          <w:highlight w:val="none"/>
        </w:rPr>
        <w:t>.</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采购人向供应商提供的有关数据和资料，是采购人现有的能被供应商利用的资料，供应商对此做出的推论、理解和结论自行负责。</w:t>
      </w:r>
    </w:p>
    <w:p w14:paraId="5BFDC493">
      <w:pPr>
        <w:pStyle w:val="16"/>
        <w:spacing w:line="360" w:lineRule="auto"/>
        <w:ind w:firstLine="482" w:firstLineChars="200"/>
        <w:outlineLvl w:val="1"/>
        <w:rPr>
          <w:rFonts w:hint="eastAsia" w:hAnsi="宋体" w:cs="宋体"/>
          <w:b/>
          <w:bCs/>
          <w:color w:val="auto"/>
          <w:sz w:val="24"/>
          <w:szCs w:val="24"/>
          <w:highlight w:val="none"/>
        </w:rPr>
      </w:pPr>
      <w:bookmarkStart w:id="21" w:name="_Toc245897280"/>
      <w:bookmarkStart w:id="22" w:name="_Toc233274820"/>
      <w:bookmarkStart w:id="23" w:name="_Toc243906320"/>
      <w:bookmarkStart w:id="24" w:name="_Toc243907580"/>
      <w:r>
        <w:rPr>
          <w:rFonts w:hint="eastAsia" w:hAnsi="宋体" w:cs="宋体"/>
          <w:b/>
          <w:bCs/>
          <w:color w:val="auto"/>
          <w:sz w:val="24"/>
          <w:szCs w:val="24"/>
          <w:highlight w:val="none"/>
          <w:lang w:val="en-US" w:eastAsia="zh-CN"/>
        </w:rPr>
        <w:t>2</w:t>
      </w:r>
      <w:r>
        <w:rPr>
          <w:rFonts w:hint="eastAsia" w:hAnsi="宋体" w:cs="宋体"/>
          <w:b/>
          <w:bCs/>
          <w:color w:val="auto"/>
          <w:sz w:val="24"/>
          <w:szCs w:val="24"/>
          <w:highlight w:val="none"/>
        </w:rPr>
        <w:t>、磋商文件的澄清</w:t>
      </w:r>
      <w:bookmarkEnd w:id="21"/>
      <w:bookmarkEnd w:id="22"/>
      <w:bookmarkEnd w:id="23"/>
      <w:bookmarkEnd w:id="24"/>
    </w:p>
    <w:p w14:paraId="5C78F7E5">
      <w:pPr>
        <w:pStyle w:val="16"/>
        <w:spacing w:line="360" w:lineRule="auto"/>
        <w:ind w:firstLine="480" w:firstLineChars="200"/>
        <w:rPr>
          <w:rFonts w:hint="eastAsia" w:hAnsi="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.1供应商对磋商文件如有疑问，可要求澄清，应按磋商文件规定的时间前</w:t>
      </w:r>
      <w:r>
        <w:rPr>
          <w:rFonts w:hint="eastAsia" w:ascii="宋体" w:hAnsi="宋体" w:eastAsia="宋体" w:cs="宋体"/>
          <w:color w:val="auto"/>
          <w:sz w:val="24"/>
          <w:szCs w:val="24"/>
          <w:highlight w:val="none"/>
          <w:lang w:val="en-US" w:eastAsia="zh-CN"/>
        </w:rPr>
        <w:t>向招标代理机构</w:t>
      </w:r>
      <w:r>
        <w:rPr>
          <w:rFonts w:hint="eastAsia" w:ascii="宋体" w:hAnsi="宋体" w:eastAsia="宋体" w:cs="宋体"/>
          <w:color w:val="auto"/>
          <w:sz w:val="24"/>
          <w:szCs w:val="24"/>
          <w:highlight w:val="none"/>
        </w:rPr>
        <w:t>提出，采购人和采购代理机构将视情况在政采云平台上予以澄清，答复中包括所提问题，但不包括问题的来源，答复一经发布将视为已经通知所有潜在投标供应商，请各投标供应商及时关注相关信息。</w:t>
      </w:r>
    </w:p>
    <w:p w14:paraId="3D836CF7">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2</w:t>
      </w:r>
      <w:r>
        <w:rPr>
          <w:rFonts w:hint="eastAsia" w:hAnsi="宋体" w:cs="宋体"/>
          <w:color w:val="auto"/>
          <w:sz w:val="24"/>
          <w:szCs w:val="24"/>
          <w:highlight w:val="none"/>
        </w:rPr>
        <w:t>.2如果上述答复涉及对磋商文件的修改或补充，则它将被视为磋商文件的组成部分。凡原先所发磋商文件中的内容与答复中的内容不一致之处，以最后书面答复为准。任何电话或口头咨询和答复的意思解释均不具有法律约束力。</w:t>
      </w:r>
    </w:p>
    <w:p w14:paraId="4531F08B">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2</w:t>
      </w:r>
      <w:r>
        <w:rPr>
          <w:rFonts w:hint="eastAsia" w:hAnsi="宋体" w:cs="宋体"/>
          <w:color w:val="auto"/>
          <w:sz w:val="24"/>
          <w:szCs w:val="24"/>
          <w:highlight w:val="none"/>
        </w:rPr>
        <w:t>.3供应商在递交响应文件截止日期5个工作日前未对磋商文件提出异议的，采购单位将视其为同意。在规定的时间后就磋商文件内容提出的质疑将不予受理。</w:t>
      </w:r>
    </w:p>
    <w:p w14:paraId="49407CB6">
      <w:pPr>
        <w:pStyle w:val="16"/>
        <w:spacing w:line="360" w:lineRule="auto"/>
        <w:ind w:firstLine="482" w:firstLineChars="200"/>
        <w:outlineLvl w:val="1"/>
        <w:rPr>
          <w:rFonts w:hint="eastAsia" w:hAnsi="宋体" w:cs="宋体"/>
          <w:b/>
          <w:bCs/>
          <w:color w:val="auto"/>
          <w:sz w:val="24"/>
          <w:szCs w:val="24"/>
          <w:highlight w:val="none"/>
        </w:rPr>
      </w:pPr>
      <w:bookmarkStart w:id="25" w:name="_Toc245897281"/>
      <w:bookmarkStart w:id="26" w:name="_Toc243907581"/>
      <w:bookmarkStart w:id="27" w:name="_Toc233274821"/>
      <w:bookmarkStart w:id="28" w:name="_Toc243906321"/>
      <w:r>
        <w:rPr>
          <w:rFonts w:hint="eastAsia" w:hAnsi="宋体" w:cs="宋体"/>
          <w:b/>
          <w:bCs/>
          <w:color w:val="auto"/>
          <w:sz w:val="24"/>
          <w:szCs w:val="24"/>
          <w:highlight w:val="none"/>
          <w:lang w:val="en-US" w:eastAsia="zh-CN"/>
        </w:rPr>
        <w:t>3</w:t>
      </w:r>
      <w:r>
        <w:rPr>
          <w:rFonts w:hint="eastAsia" w:hAnsi="宋体" w:cs="宋体"/>
          <w:b/>
          <w:bCs/>
          <w:color w:val="auto"/>
          <w:sz w:val="24"/>
          <w:szCs w:val="24"/>
          <w:highlight w:val="none"/>
        </w:rPr>
        <w:t>、磋商文件的修改和补充</w:t>
      </w:r>
      <w:bookmarkEnd w:id="25"/>
      <w:bookmarkEnd w:id="26"/>
      <w:bookmarkEnd w:id="27"/>
      <w:bookmarkEnd w:id="28"/>
    </w:p>
    <w:p w14:paraId="3C625598">
      <w:pPr>
        <w:pStyle w:val="16"/>
        <w:spacing w:line="360" w:lineRule="auto"/>
        <w:ind w:firstLine="480" w:firstLineChars="200"/>
        <w:rPr>
          <w:rFonts w:hint="eastAsia" w:ascii="宋体" w:hAnsi="宋体" w:eastAsia="宋体" w:cs="宋体"/>
          <w:color w:val="auto"/>
          <w:sz w:val="24"/>
          <w:szCs w:val="24"/>
          <w:highlight w:val="none"/>
        </w:rPr>
      </w:pPr>
      <w:bookmarkStart w:id="29" w:name="_Toc233274823"/>
      <w:bookmarkStart w:id="30" w:name="_Toc245897283"/>
      <w:bookmarkStart w:id="31" w:name="_Toc243907583"/>
      <w:bookmarkStart w:id="32" w:name="_Toc243906323"/>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在递交响应文件截止日期5日前的任何时候，采购人可主动地或依据供应商要求澄清的疑问而修改、补充磋商文件，采购代理机构将对修改和补充的内容在政采云平台上发布，修改和补充文件将作为磋商文件的组成部分，对所有供应商具有约束力。</w:t>
      </w:r>
    </w:p>
    <w:p w14:paraId="0A8ECDCF">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为使供应商在准备响应文件时有合理的时间考虑磋商文件的修改和/或补充，采购代理机构可延长递交响应文件截止时间和开启时间，但至少应当在规定的递交响应文件的截止时间5日前，在政采云平台上通知所有领取磋商文件的每位供应商，不足5日的，应当顺延提交响应文件截止日期。</w:t>
      </w:r>
    </w:p>
    <w:bookmarkEnd w:id="29"/>
    <w:p w14:paraId="5B4AF222">
      <w:pPr>
        <w:pStyle w:val="16"/>
        <w:spacing w:line="360" w:lineRule="auto"/>
        <w:ind w:firstLine="482" w:firstLineChars="200"/>
        <w:outlineLvl w:val="1"/>
        <w:rPr>
          <w:rFonts w:hint="eastAsia" w:hAnsi="宋体" w:cs="宋体"/>
          <w:b/>
          <w:bCs/>
          <w:color w:val="auto"/>
          <w:sz w:val="24"/>
          <w:szCs w:val="24"/>
          <w:highlight w:val="none"/>
        </w:rPr>
      </w:pPr>
      <w:r>
        <w:rPr>
          <w:rFonts w:hint="eastAsia" w:hAnsi="宋体" w:cs="宋体"/>
          <w:b/>
          <w:bCs/>
          <w:color w:val="auto"/>
          <w:sz w:val="24"/>
          <w:szCs w:val="24"/>
          <w:highlight w:val="none"/>
          <w:lang w:val="en-US" w:eastAsia="zh-CN"/>
        </w:rPr>
        <w:t>4</w:t>
      </w:r>
      <w:r>
        <w:rPr>
          <w:rFonts w:hint="eastAsia" w:hAnsi="宋体" w:cs="宋体"/>
          <w:b/>
          <w:bCs/>
          <w:color w:val="auto"/>
          <w:sz w:val="24"/>
          <w:szCs w:val="24"/>
          <w:highlight w:val="none"/>
        </w:rPr>
        <w:t>、响应文件的编写</w:t>
      </w:r>
      <w:bookmarkEnd w:id="30"/>
      <w:bookmarkEnd w:id="31"/>
      <w:bookmarkEnd w:id="32"/>
    </w:p>
    <w:p w14:paraId="186616CD">
      <w:pPr>
        <w:pStyle w:val="16"/>
        <w:spacing w:line="360" w:lineRule="auto"/>
        <w:ind w:firstLine="480" w:firstLineChars="200"/>
        <w:rPr>
          <w:rFonts w:hint="eastAsia" w:ascii="宋体" w:hAnsi="宋体" w:eastAsia="宋体" w:cs="宋体"/>
          <w:color w:val="auto"/>
          <w:sz w:val="24"/>
          <w:szCs w:val="24"/>
          <w:highlight w:val="none"/>
        </w:rPr>
      </w:pPr>
      <w:bookmarkStart w:id="33" w:name="_Toc245897284"/>
      <w:bookmarkStart w:id="34" w:name="_Toc243906324"/>
      <w:bookmarkStart w:id="35" w:name="_Toc233274824"/>
      <w:bookmarkStart w:id="36" w:name="_Toc243907584"/>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供应商必须详细阅读磋商文件的章节、条款、格式等所有内容，按磋商文件的要求提交响应文件，并保证所提供的全部文件及相关资料的真实性，以使其对磋商文件做出实质性响应。供应商应仔细阅读并充分理解磋商文件、技术规范及标准、项目采购需求、合同文本后编制响应文件。</w:t>
      </w:r>
    </w:p>
    <w:p w14:paraId="571A6385">
      <w:pPr>
        <w:pStyle w:val="16"/>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r>
        <w:rPr>
          <w:rFonts w:hint="eastAsia" w:hAnsi="宋体" w:cs="宋体"/>
          <w:color w:val="auto"/>
          <w:sz w:val="24"/>
          <w:szCs w:val="24"/>
          <w:highlight w:val="none"/>
        </w:rPr>
        <w:t>供应商应按磋商文件提供的格式及要求完整地填写所投标文件各项内容。</w:t>
      </w:r>
    </w:p>
    <w:p w14:paraId="54F45B71">
      <w:pPr>
        <w:pStyle w:val="16"/>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、响应文件的语言及计量单位</w:t>
      </w:r>
      <w:bookmarkEnd w:id="33"/>
      <w:bookmarkEnd w:id="34"/>
      <w:bookmarkEnd w:id="35"/>
      <w:bookmarkEnd w:id="36"/>
    </w:p>
    <w:p w14:paraId="22170A3B">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5</w:t>
      </w:r>
      <w:r>
        <w:rPr>
          <w:rFonts w:hint="eastAsia" w:hAnsi="宋体" w:cs="宋体"/>
          <w:color w:val="auto"/>
          <w:sz w:val="24"/>
          <w:szCs w:val="24"/>
          <w:highlight w:val="none"/>
        </w:rPr>
        <w:t>.1响应文件及供应商和采购人及采购代理机构就有关磋商的所有文件和来往函件，应以中文书写。供应商可以提交用其他语言（原文）打印的资料，但必须翻译成中文，当原文和译文（中文）之间存有差异和/或矛盾时，以中文为准。</w:t>
      </w:r>
    </w:p>
    <w:p w14:paraId="2B4A974A">
      <w:pPr>
        <w:pStyle w:val="1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5</w:t>
      </w:r>
      <w:r>
        <w:rPr>
          <w:rFonts w:hint="eastAsia" w:hAnsi="宋体" w:cs="宋体"/>
          <w:color w:val="auto"/>
          <w:sz w:val="24"/>
          <w:szCs w:val="24"/>
          <w:highlight w:val="none"/>
        </w:rPr>
        <w:t>.2除在磋商文件的项目采购需求中另有规定外，计量单位应使用中华人民共和国法定计量单位（国际单位制和国家选定的其它计量单位）。如供应商采用其它计量单位，需事先得到采购人的同意。</w:t>
      </w:r>
    </w:p>
    <w:p w14:paraId="3D3A0FD5">
      <w:pPr>
        <w:pStyle w:val="16"/>
        <w:spacing w:line="360" w:lineRule="auto"/>
        <w:ind w:firstLine="482" w:firstLineChars="200"/>
        <w:outlineLvl w:val="1"/>
        <w:rPr>
          <w:rFonts w:hint="eastAsia" w:hAnsi="宋体" w:cs="宋体"/>
          <w:b/>
          <w:bCs/>
          <w:color w:val="auto"/>
          <w:sz w:val="24"/>
          <w:szCs w:val="24"/>
          <w:highlight w:val="none"/>
        </w:rPr>
      </w:pPr>
      <w:bookmarkStart w:id="37" w:name="_Toc243906325"/>
      <w:bookmarkStart w:id="38" w:name="_Toc233274825"/>
      <w:bookmarkStart w:id="39" w:name="_Toc243907585"/>
      <w:bookmarkStart w:id="40" w:name="_Toc245897285"/>
      <w:r>
        <w:rPr>
          <w:rFonts w:hint="eastAsia" w:hAnsi="宋体" w:cs="宋体"/>
          <w:b/>
          <w:bCs/>
          <w:color w:val="auto"/>
          <w:sz w:val="24"/>
          <w:szCs w:val="24"/>
          <w:highlight w:val="none"/>
          <w:lang w:val="en-US" w:eastAsia="zh-CN"/>
        </w:rPr>
        <w:t>6</w:t>
      </w:r>
      <w:r>
        <w:rPr>
          <w:rFonts w:hint="eastAsia" w:hAnsi="宋体" w:cs="宋体"/>
          <w:b/>
          <w:bCs/>
          <w:color w:val="auto"/>
          <w:sz w:val="24"/>
          <w:szCs w:val="24"/>
          <w:highlight w:val="none"/>
        </w:rPr>
        <w:t>、响应文件的组成</w:t>
      </w:r>
      <w:bookmarkEnd w:id="37"/>
      <w:bookmarkEnd w:id="38"/>
      <w:bookmarkEnd w:id="39"/>
      <w:bookmarkEnd w:id="40"/>
    </w:p>
    <w:p w14:paraId="4C8FF4AF">
      <w:pPr>
        <w:pStyle w:val="16"/>
        <w:spacing w:line="360" w:lineRule="auto"/>
        <w:ind w:firstLine="440"/>
        <w:rPr>
          <w:rFonts w:hint="eastAsia" w:hAnsi="宋体" w:cs="宋体"/>
          <w:color w:val="auto"/>
          <w:sz w:val="24"/>
          <w:szCs w:val="24"/>
          <w:highlight w:val="none"/>
        </w:rPr>
      </w:pPr>
      <w:r>
        <w:rPr>
          <w:rFonts w:hint="eastAsia" w:hAnsi="宋体" w:cs="宋体"/>
          <w:color w:val="auto"/>
          <w:sz w:val="24"/>
          <w:szCs w:val="24"/>
          <w:highlight w:val="none"/>
        </w:rPr>
        <w:t>响应文件包括但不限于以下内容，各供应商应对照磋商文件要求提供相关的证明资料（具体详见第八章目录内容）：</w:t>
      </w:r>
    </w:p>
    <w:p w14:paraId="21868F2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一、投标文件封面</w:t>
      </w:r>
    </w:p>
    <w:p w14:paraId="3EEAA50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二、资格审查资料</w:t>
      </w:r>
    </w:p>
    <w:p w14:paraId="34A1216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三、商务技术</w:t>
      </w:r>
      <w:r>
        <w:rPr>
          <w:rFonts w:hint="eastAsia" w:ascii="宋体" w:hAnsi="宋体" w:eastAsia="宋体" w:cs="宋体"/>
          <w:color w:val="auto"/>
          <w:sz w:val="24"/>
          <w:szCs w:val="24"/>
          <w:highlight w:val="none"/>
          <w:lang w:val="zh-CN"/>
        </w:rPr>
        <w:t>经济</w:t>
      </w:r>
      <w:r>
        <w:rPr>
          <w:rFonts w:hint="eastAsia" w:ascii="宋体" w:hAnsi="宋体" w:eastAsia="宋体" w:cs="宋体"/>
          <w:color w:val="auto"/>
          <w:sz w:val="24"/>
          <w:szCs w:val="24"/>
          <w:highlight w:val="none"/>
        </w:rPr>
        <w:t>文件组成</w:t>
      </w:r>
    </w:p>
    <w:p w14:paraId="3330886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四、其它资料</w:t>
      </w:r>
    </w:p>
    <w:p w14:paraId="3506D9F4">
      <w:pPr>
        <w:pStyle w:val="16"/>
        <w:spacing w:line="360" w:lineRule="auto"/>
        <w:ind w:firstLine="422" w:firstLineChars="175"/>
        <w:rPr>
          <w:rFonts w:hint="eastAsia" w:hAnsi="宋体" w:cs="宋体"/>
          <w:b/>
          <w:color w:val="auto"/>
          <w:sz w:val="24"/>
          <w:szCs w:val="24"/>
          <w:highlight w:val="none"/>
        </w:rPr>
      </w:pPr>
      <w:r>
        <w:rPr>
          <w:rFonts w:hint="eastAsia" w:hAnsi="宋体" w:cs="宋体"/>
          <w:b/>
          <w:color w:val="auto"/>
          <w:sz w:val="24"/>
          <w:szCs w:val="24"/>
          <w:highlight w:val="none"/>
        </w:rPr>
        <w:t>特别说明：</w:t>
      </w:r>
    </w:p>
    <w:p w14:paraId="49DCF698">
      <w:pPr>
        <w:pStyle w:val="16"/>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上述各种证件、证书等资料原件的扫描件，供应商应如实提供资料，并保证真实可靠，不得弄虚作假。如供应商隐瞒事实真相、弄虚作假，一经查实，取消该供应商的磋商资格，若成交的，取消其成交资格。</w:t>
      </w:r>
    </w:p>
    <w:p w14:paraId="4253899F">
      <w:pPr>
        <w:pStyle w:val="16"/>
        <w:spacing w:line="360" w:lineRule="auto"/>
        <w:ind w:firstLine="482" w:firstLineChars="200"/>
        <w:outlineLvl w:val="1"/>
        <w:rPr>
          <w:rFonts w:hint="eastAsia" w:ascii="宋体" w:hAnsi="宋体" w:eastAsia="宋体" w:cs="宋体"/>
          <w:b/>
          <w:bCs/>
          <w:color w:val="auto"/>
          <w:sz w:val="24"/>
          <w:szCs w:val="24"/>
          <w:highlight w:val="none"/>
        </w:rPr>
      </w:pPr>
      <w:bookmarkStart w:id="41" w:name="_Toc243907587"/>
      <w:bookmarkStart w:id="42" w:name="_Toc233274827"/>
      <w:bookmarkStart w:id="43" w:name="_Toc243906326"/>
      <w:bookmarkStart w:id="44" w:name="_Toc246216196"/>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商务报价</w:t>
      </w:r>
      <w:bookmarkEnd w:id="41"/>
      <w:bookmarkEnd w:id="42"/>
      <w:bookmarkEnd w:id="43"/>
      <w:bookmarkEnd w:id="44"/>
    </w:p>
    <w:p w14:paraId="33E613C9">
      <w:pPr>
        <w:pStyle w:val="16"/>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7.1投标报价应包括国家规定的增值税税金，除磋商须知前附表另有规定外，发票类型要求为增值税专用发票。投标供应商应按招标要求进行报价并填写工程量清单相应表格。 </w:t>
      </w:r>
    </w:p>
    <w:p w14:paraId="76CCADCB">
      <w:pPr>
        <w:pStyle w:val="16"/>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本项目招标采用工程量清单，采购人向投标供应商提供工程量清单电子文件</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投标供应商必须严格遵循工程量清单电子文件中的数据、格式及运算定义</w:t>
      </w:r>
      <w:r>
        <w:rPr>
          <w:rFonts w:hint="eastAsia" w:hAnsi="宋体" w:cs="宋体"/>
          <w:color w:val="auto"/>
          <w:sz w:val="24"/>
          <w:szCs w:val="24"/>
          <w:highlight w:val="none"/>
          <w:lang w:val="en-US" w:eastAsia="zh-CN"/>
        </w:rPr>
        <w:t>，禁止</w:t>
      </w:r>
      <w:r>
        <w:rPr>
          <w:rFonts w:hint="eastAsia" w:ascii="宋体" w:hAnsi="宋体" w:eastAsia="宋体" w:cs="宋体"/>
          <w:color w:val="auto"/>
          <w:sz w:val="24"/>
          <w:szCs w:val="24"/>
          <w:highlight w:val="none"/>
          <w:lang w:val="en-US" w:eastAsia="zh-CN"/>
        </w:rPr>
        <w:t>修改</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 </w:t>
      </w:r>
    </w:p>
    <w:p w14:paraId="77C7806E">
      <w:pPr>
        <w:pStyle w:val="16"/>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填写工程量清单中各子目的单价及总额价，即可完成投标工程量清单的编制，确定投标报价，编入响应文件。投标供应商未在工程量清单中填入单价或总额价的工程子目，将被认为其已包含在工程量清单其他子目的单价和总额价中，采购人将不予支付。 </w:t>
      </w:r>
    </w:p>
    <w:p w14:paraId="3777CFAF">
      <w:pPr>
        <w:pStyle w:val="16"/>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7.2工程中涉及的工程一切险和第三方责任险等保险由投标供应商中标后自行投保，保险费包含在所报的单价或总额价中。 </w:t>
      </w:r>
    </w:p>
    <w:p w14:paraId="1D890218">
      <w:pPr>
        <w:pStyle w:val="16"/>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7.3投标供应商应充分了解本项目的总体情况以及影响投标报价的其他要素。 </w:t>
      </w:r>
    </w:p>
    <w:p w14:paraId="5649DF1A">
      <w:pPr>
        <w:pStyle w:val="16"/>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7.4投标供应商在磋商时间截止前修改投标函中的投标总报价，应同时修改响应文件“已标价工程量清单”中的相应报价。 </w:t>
      </w:r>
    </w:p>
    <w:p w14:paraId="359B466E">
      <w:pPr>
        <w:pStyle w:val="16"/>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7.5投标供应商如果发现工程量清单中的数量与图纸中数量不一致时，应立即通知采购人核查，除非采购人以书面方式予以更正，否则，应以工程量清单中列出的数量为准。 </w:t>
      </w:r>
    </w:p>
    <w:p w14:paraId="3CC1CA14">
      <w:pPr>
        <w:pStyle w:val="16"/>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7.6投标供应商应根据《公路水运工程安全生产监督管理办法》，在投标总价中计入安全生产费用，安全生产费用应符合合同条款</w:t>
      </w:r>
      <w:r>
        <w:rPr>
          <w:rFonts w:hint="eastAsia" w:hAnsi="宋体" w:cs="宋体"/>
          <w:color w:val="auto"/>
          <w:sz w:val="24"/>
          <w:szCs w:val="24"/>
          <w:highlight w:val="none"/>
          <w:lang w:val="en-US" w:eastAsia="zh-CN"/>
        </w:rPr>
        <w:t>相关</w:t>
      </w:r>
      <w:r>
        <w:rPr>
          <w:rFonts w:hint="eastAsia" w:ascii="宋体" w:hAnsi="宋体" w:eastAsia="宋体" w:cs="宋体"/>
          <w:color w:val="auto"/>
          <w:sz w:val="24"/>
          <w:szCs w:val="24"/>
          <w:highlight w:val="none"/>
          <w:lang w:val="en-US" w:eastAsia="zh-CN"/>
        </w:rPr>
        <w:t>规定。</w:t>
      </w:r>
    </w:p>
    <w:p w14:paraId="630B44C3">
      <w:pPr>
        <w:pStyle w:val="16"/>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7.7采购人不接受调价函。 </w:t>
      </w:r>
    </w:p>
    <w:p w14:paraId="08E7C9D8">
      <w:pPr>
        <w:pStyle w:val="16"/>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7.8在合同实施期间，投标供应商填写的单价、合价和总额价不会由于物价波动进行价格调整，法律变化引起的价格调整除外。 </w:t>
      </w:r>
    </w:p>
    <w:p w14:paraId="4CC64A31">
      <w:pPr>
        <w:pStyle w:val="16"/>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7.9本项目投标报价为二轮报价，首次报价在响应文件中体现；最终报价由各磋商供</w:t>
      </w:r>
      <w:r>
        <w:rPr>
          <w:rFonts w:hint="eastAsia" w:ascii="宋体" w:hAnsi="宋体" w:eastAsia="宋体" w:cs="宋体"/>
          <w:b w:val="0"/>
          <w:bCs w:val="0"/>
          <w:color w:val="auto"/>
          <w:sz w:val="24"/>
          <w:szCs w:val="24"/>
          <w:highlight w:val="none"/>
          <w:lang w:val="en-US" w:eastAsia="zh-CN"/>
        </w:rPr>
        <w:t>应商在规定的时间内 (发出最终报价指令后的30分钟内) 在政采云平台在线完成；政采云平台在线报价操作失败的，供应商应及时联系采购代理机构</w:t>
      </w:r>
      <w:r>
        <w:rPr>
          <w:rFonts w:hint="eastAsia" w:hAnsi="宋体" w:cs="宋体"/>
          <w:b w:val="0"/>
          <w:bCs w:val="0"/>
          <w:color w:val="auto"/>
          <w:sz w:val="24"/>
          <w:szCs w:val="24"/>
          <w:highlight w:val="none"/>
          <w:lang w:val="en-US" w:eastAsia="zh-CN"/>
        </w:rPr>
        <w:t>。</w:t>
      </w:r>
    </w:p>
    <w:p w14:paraId="7CF8F931">
      <w:pPr>
        <w:pStyle w:val="16"/>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w:t>
      </w:r>
      <w:r>
        <w:rPr>
          <w:rFonts w:hint="eastAsia"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en-US" w:eastAsia="zh-CN"/>
        </w:rPr>
        <w:t>投标报价不</w:t>
      </w:r>
      <w:r>
        <w:rPr>
          <w:rFonts w:hint="eastAsia" w:hAnsi="宋体" w:cs="宋体"/>
          <w:b w:val="0"/>
          <w:bCs w:val="0"/>
          <w:color w:val="auto"/>
          <w:sz w:val="24"/>
          <w:szCs w:val="24"/>
          <w:highlight w:val="none"/>
          <w:lang w:val="en-US" w:eastAsia="zh-CN"/>
        </w:rPr>
        <w:t>得</w:t>
      </w:r>
      <w:r>
        <w:rPr>
          <w:rFonts w:hint="eastAsia" w:ascii="宋体" w:hAnsi="宋体" w:eastAsia="宋体" w:cs="宋体"/>
          <w:b w:val="0"/>
          <w:bCs w:val="0"/>
          <w:color w:val="auto"/>
          <w:sz w:val="24"/>
          <w:szCs w:val="24"/>
          <w:highlight w:val="none"/>
          <w:lang w:val="en-US" w:eastAsia="zh-CN"/>
        </w:rPr>
        <w:t>超过</w:t>
      </w:r>
      <w:r>
        <w:rPr>
          <w:rFonts w:hint="eastAsia" w:ascii="宋体" w:hAnsi="宋体" w:eastAsia="宋体" w:cs="宋体"/>
          <w:b w:val="0"/>
          <w:bCs w:val="0"/>
          <w:color w:val="auto"/>
          <w:sz w:val="24"/>
          <w:szCs w:val="24"/>
          <w:highlight w:val="none"/>
        </w:rPr>
        <w:t>最高限</w:t>
      </w:r>
      <w:r>
        <w:rPr>
          <w:rFonts w:hint="eastAsia" w:ascii="宋体" w:hAnsi="宋体" w:eastAsia="宋体" w:cs="宋体"/>
          <w:b w:val="0"/>
          <w:bCs w:val="0"/>
          <w:color w:val="auto"/>
          <w:sz w:val="24"/>
          <w:szCs w:val="24"/>
          <w:highlight w:val="none"/>
          <w:lang w:val="en-US" w:eastAsia="zh-CN"/>
        </w:rPr>
        <w:t>价</w:t>
      </w:r>
      <w:r>
        <w:rPr>
          <w:rFonts w:hint="eastAsia" w:hAnsi="宋体" w:cs="宋体"/>
          <w:b w:val="0"/>
          <w:bCs w:val="0"/>
          <w:color w:val="auto"/>
          <w:sz w:val="24"/>
          <w:szCs w:val="24"/>
          <w:highlight w:val="none"/>
          <w:lang w:val="en-US" w:eastAsia="zh-CN"/>
        </w:rPr>
        <w:t>，否则</w:t>
      </w:r>
      <w:r>
        <w:rPr>
          <w:rFonts w:hint="eastAsia" w:ascii="宋体" w:hAnsi="宋体" w:eastAsia="宋体" w:cs="宋体"/>
          <w:b w:val="0"/>
          <w:bCs w:val="0"/>
          <w:color w:val="auto"/>
          <w:sz w:val="24"/>
          <w:szCs w:val="24"/>
          <w:highlight w:val="none"/>
          <w:lang w:val="en-US" w:eastAsia="zh-CN"/>
        </w:rPr>
        <w:t>将作废标处理</w:t>
      </w:r>
      <w:r>
        <w:rPr>
          <w:rFonts w:hint="eastAsia" w:hAnsi="宋体" w:cs="宋体"/>
          <w:b w:val="0"/>
          <w:bCs w:val="0"/>
          <w:color w:val="auto"/>
          <w:sz w:val="24"/>
          <w:szCs w:val="24"/>
          <w:highlight w:val="none"/>
          <w:lang w:val="en-US" w:eastAsia="zh-CN"/>
        </w:rPr>
        <w:t>。</w:t>
      </w:r>
    </w:p>
    <w:p w14:paraId="261FE150">
      <w:pPr>
        <w:spacing w:line="360" w:lineRule="auto"/>
        <w:ind w:firstLine="482"/>
        <w:jc w:val="left"/>
        <w:rPr>
          <w:rFonts w:hint="eastAsia" w:ascii="宋体" w:hAnsi="宋体" w:eastAsia="宋体" w:cs="宋体"/>
          <w:b/>
          <w:bCs/>
          <w:color w:val="auto"/>
          <w:kern w:val="2"/>
          <w:sz w:val="24"/>
          <w:szCs w:val="24"/>
          <w:highlight w:val="none"/>
          <w:lang w:val="en-US" w:eastAsia="zh-CN" w:bidi="ar-SA"/>
        </w:rPr>
      </w:pPr>
      <w:bookmarkStart w:id="45" w:name="_Toc245897288"/>
      <w:r>
        <w:rPr>
          <w:rFonts w:hint="eastAsia" w:ascii="宋体" w:hAnsi="宋体" w:eastAsia="宋体" w:cs="宋体"/>
          <w:b/>
          <w:bCs/>
          <w:color w:val="auto"/>
          <w:kern w:val="2"/>
          <w:sz w:val="24"/>
          <w:szCs w:val="24"/>
          <w:highlight w:val="none"/>
          <w:lang w:val="en-US" w:eastAsia="zh-CN" w:bidi="ar-SA"/>
        </w:rPr>
        <w:t>8、商务报价货币</w:t>
      </w:r>
      <w:bookmarkEnd w:id="45"/>
    </w:p>
    <w:p w14:paraId="3CDAE816">
      <w:pPr>
        <w:spacing w:line="360" w:lineRule="auto"/>
        <w:ind w:firstLine="482"/>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.1开标一览表和响应文件中的所有报价一律使用人民币填报。</w:t>
      </w:r>
    </w:p>
    <w:p w14:paraId="67A35B56">
      <w:pPr>
        <w:spacing w:line="360" w:lineRule="auto"/>
        <w:ind w:firstLine="482"/>
        <w:jc w:val="left"/>
        <w:rPr>
          <w:rFonts w:hint="eastAsia" w:ascii="宋体" w:hAnsi="宋体" w:eastAsia="宋体" w:cs="宋体"/>
          <w:b/>
          <w:bCs/>
          <w:color w:val="auto"/>
          <w:kern w:val="2"/>
          <w:sz w:val="24"/>
          <w:szCs w:val="24"/>
          <w:highlight w:val="none"/>
          <w:lang w:val="en-US" w:eastAsia="zh-CN" w:bidi="ar-SA"/>
        </w:rPr>
      </w:pPr>
      <w:bookmarkStart w:id="46" w:name="_Toc243907589"/>
      <w:bookmarkStart w:id="47" w:name="_Toc243906328"/>
      <w:bookmarkStart w:id="48" w:name="_Toc233274829"/>
      <w:bookmarkStart w:id="49" w:name="_Toc245897289"/>
      <w:r>
        <w:rPr>
          <w:rFonts w:hint="eastAsia" w:ascii="宋体" w:hAnsi="宋体" w:eastAsia="宋体" w:cs="宋体"/>
          <w:b/>
          <w:bCs/>
          <w:color w:val="auto"/>
          <w:kern w:val="2"/>
          <w:sz w:val="24"/>
          <w:szCs w:val="24"/>
          <w:highlight w:val="none"/>
          <w:lang w:val="en-US" w:eastAsia="zh-CN" w:bidi="ar-SA"/>
        </w:rPr>
        <w:t>9、供应商资格证明文件</w:t>
      </w:r>
      <w:bookmarkEnd w:id="46"/>
      <w:bookmarkEnd w:id="47"/>
      <w:bookmarkEnd w:id="48"/>
      <w:bookmarkEnd w:id="49"/>
    </w:p>
    <w:p w14:paraId="7D907D13">
      <w:pPr>
        <w:spacing w:line="360" w:lineRule="auto"/>
        <w:ind w:firstLine="482"/>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.1供应商必须提交证明其有资格参加磋商和成交后有能力履行合同的文件。</w:t>
      </w:r>
    </w:p>
    <w:p w14:paraId="3BA9A649">
      <w:pPr>
        <w:spacing w:line="360" w:lineRule="auto"/>
        <w:ind w:firstLine="482"/>
        <w:jc w:val="left"/>
        <w:rPr>
          <w:rFonts w:hint="eastAsia" w:ascii="宋体" w:hAnsi="宋体" w:eastAsia="宋体" w:cs="宋体"/>
          <w:b/>
          <w:bCs/>
          <w:color w:val="auto"/>
          <w:kern w:val="2"/>
          <w:sz w:val="24"/>
          <w:szCs w:val="24"/>
          <w:highlight w:val="none"/>
          <w:lang w:val="en-US" w:eastAsia="zh-CN" w:bidi="ar-SA"/>
        </w:rPr>
      </w:pPr>
      <w:bookmarkStart w:id="50" w:name="_Toc243907590"/>
      <w:bookmarkStart w:id="51" w:name="_Toc245897290"/>
      <w:bookmarkStart w:id="52" w:name="_Toc243906329"/>
      <w:bookmarkStart w:id="53" w:name="_Toc233274830"/>
      <w:r>
        <w:rPr>
          <w:rFonts w:hint="eastAsia" w:ascii="宋体" w:hAnsi="宋体" w:eastAsia="宋体" w:cs="宋体"/>
          <w:b/>
          <w:bCs/>
          <w:color w:val="auto"/>
          <w:kern w:val="2"/>
          <w:sz w:val="24"/>
          <w:szCs w:val="24"/>
          <w:highlight w:val="none"/>
          <w:lang w:val="en-US" w:eastAsia="zh-CN" w:bidi="ar-SA"/>
        </w:rPr>
        <w:t>10、提供符合磋商文件规定的技术响应文件</w:t>
      </w:r>
      <w:bookmarkEnd w:id="50"/>
      <w:bookmarkEnd w:id="51"/>
      <w:bookmarkEnd w:id="52"/>
      <w:bookmarkEnd w:id="53"/>
    </w:p>
    <w:p w14:paraId="2A7773C3">
      <w:pPr>
        <w:spacing w:line="360" w:lineRule="auto"/>
        <w:ind w:firstLine="482"/>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.1供应商须提交证明其拟</w:t>
      </w:r>
      <w:r>
        <w:rPr>
          <w:rFonts w:hint="eastAsia" w:ascii="宋体" w:hAnsi="宋体" w:cs="宋体"/>
          <w:color w:val="auto"/>
          <w:sz w:val="24"/>
          <w:szCs w:val="24"/>
          <w:highlight w:val="none"/>
          <w:lang w:val="en-US" w:eastAsia="zh-CN"/>
        </w:rPr>
        <w:t>施工工程</w:t>
      </w:r>
      <w:r>
        <w:rPr>
          <w:rFonts w:hint="eastAsia" w:ascii="宋体" w:hAnsi="宋体" w:cs="宋体"/>
          <w:color w:val="auto"/>
          <w:sz w:val="24"/>
          <w:szCs w:val="24"/>
          <w:highlight w:val="none"/>
        </w:rPr>
        <w:t>符合磋商文件、技术规范及标准、项目采购需求规定的技术响应文件，作为响应文件的一部分；</w:t>
      </w:r>
    </w:p>
    <w:p w14:paraId="667781EC">
      <w:pPr>
        <w:spacing w:line="360" w:lineRule="auto"/>
        <w:ind w:firstLine="482"/>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.2供应商应对磋商文件、项目采购需求、合同文本等进行仔细阅读，提出自己的施工内容是否对其做出了实质性的响应。</w:t>
      </w:r>
    </w:p>
    <w:p w14:paraId="6E43E670">
      <w:pPr>
        <w:spacing w:line="360" w:lineRule="auto"/>
        <w:ind w:firstLine="482"/>
        <w:jc w:val="left"/>
        <w:rPr>
          <w:rFonts w:hint="eastAsia" w:ascii="宋体" w:hAnsi="宋体" w:cs="宋体"/>
          <w:b/>
          <w:bCs/>
          <w:color w:val="auto"/>
          <w:sz w:val="24"/>
          <w:szCs w:val="24"/>
          <w:highlight w:val="none"/>
        </w:rPr>
      </w:pPr>
      <w:bookmarkStart w:id="54" w:name="_Toc245897291"/>
      <w:bookmarkStart w:id="55" w:name="_Toc243906330"/>
      <w:bookmarkStart w:id="56" w:name="_Toc243907591"/>
      <w:bookmarkStart w:id="57" w:name="_Toc233274831"/>
      <w:r>
        <w:rPr>
          <w:rFonts w:hint="eastAsia" w:ascii="宋体" w:hAnsi="宋体" w:cs="宋体"/>
          <w:b/>
          <w:bCs/>
          <w:color w:val="auto"/>
          <w:sz w:val="24"/>
          <w:szCs w:val="24"/>
          <w:highlight w:val="none"/>
          <w:lang w:val="en-US" w:eastAsia="zh-CN"/>
        </w:rPr>
        <w:t>11</w:t>
      </w:r>
      <w:r>
        <w:rPr>
          <w:rFonts w:hint="eastAsia" w:ascii="宋体" w:hAnsi="宋体" w:cs="宋体"/>
          <w:b/>
          <w:bCs/>
          <w:color w:val="auto"/>
          <w:sz w:val="24"/>
          <w:szCs w:val="24"/>
          <w:highlight w:val="none"/>
        </w:rPr>
        <w:t>、响应文件有效期</w:t>
      </w:r>
      <w:bookmarkEnd w:id="54"/>
      <w:bookmarkEnd w:id="55"/>
      <w:bookmarkEnd w:id="56"/>
      <w:bookmarkEnd w:id="57"/>
    </w:p>
    <w:p w14:paraId="4DB0F427">
      <w:pPr>
        <w:spacing w:line="360" w:lineRule="auto"/>
        <w:ind w:firstLine="482"/>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.1响应文件有效期为90日历</w:t>
      </w:r>
      <w:r>
        <w:rPr>
          <w:rFonts w:hint="eastAsia" w:ascii="宋体" w:hAnsi="宋体" w:cs="宋体"/>
          <w:color w:val="auto"/>
          <w:sz w:val="24"/>
          <w:szCs w:val="24"/>
          <w:highlight w:val="none"/>
          <w:lang w:val="en-US" w:eastAsia="zh-CN"/>
        </w:rPr>
        <w:t>天</w:t>
      </w:r>
      <w:r>
        <w:rPr>
          <w:rFonts w:hint="eastAsia" w:ascii="宋体" w:hAnsi="宋体" w:eastAsia="宋体" w:cs="宋体"/>
          <w:color w:val="auto"/>
          <w:kern w:val="0"/>
          <w:sz w:val="24"/>
          <w:szCs w:val="24"/>
          <w:highlight w:val="none"/>
          <w:lang w:bidi="zh-CN"/>
        </w:rPr>
        <w:t>（从投标截止之日算起）</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rPr>
        <w:t>供应商的响应文件有效期比规定的有效期短的，将被视为非响应而予以拒绝。</w:t>
      </w:r>
    </w:p>
    <w:p w14:paraId="45594B99">
      <w:pPr>
        <w:spacing w:line="360" w:lineRule="auto"/>
        <w:ind w:firstLine="482"/>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2特殊情况下，在原有效期届满之前，采购人可征得供应商的同意延长其有效期，这种要求与答复均应以书面形式。供应商拒绝延长的，其响应文件失效。同意延长有效期的供应商，既不要求也不允许其修改响应文件。</w:t>
      </w:r>
    </w:p>
    <w:p w14:paraId="7670D4E4">
      <w:pPr>
        <w:spacing w:line="360" w:lineRule="auto"/>
        <w:ind w:firstLine="482"/>
        <w:jc w:val="left"/>
        <w:rPr>
          <w:rFonts w:hint="eastAsia" w:ascii="宋体" w:hAnsi="宋体" w:eastAsia="宋体" w:cs="宋体"/>
          <w:b/>
          <w:bCs/>
          <w:color w:val="auto"/>
          <w:sz w:val="24"/>
          <w:szCs w:val="24"/>
          <w:highlight w:val="none"/>
        </w:rPr>
      </w:pPr>
      <w:bookmarkStart w:id="58" w:name="_Toc243906331"/>
      <w:bookmarkStart w:id="59" w:name="_Toc245897292"/>
      <w:bookmarkStart w:id="60" w:name="_Toc233274832"/>
      <w:bookmarkStart w:id="61" w:name="_Toc243907592"/>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、响应文件的签署及规定</w:t>
      </w:r>
      <w:bookmarkEnd w:id="58"/>
      <w:bookmarkEnd w:id="59"/>
      <w:bookmarkEnd w:id="60"/>
      <w:bookmarkEnd w:id="61"/>
    </w:p>
    <w:p w14:paraId="3708DDE3">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.1所有响应文件均为明标。</w:t>
      </w:r>
    </w:p>
    <w:p w14:paraId="29EFD581">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.2供应商将政采云电子交易客户端下载、安装完成后，可通过账号密码或CA登录客户端进行投标文件制作；</w:t>
      </w:r>
      <w:r>
        <w:rPr>
          <w:rFonts w:hint="eastAsia" w:ascii="宋体" w:hAnsi="宋体" w:eastAsia="宋体" w:cs="宋体"/>
          <w:color w:val="auto"/>
          <w:sz w:val="24"/>
          <w:szCs w:val="24"/>
          <w:highlight w:val="none"/>
          <w:lang w:val="zh-CN"/>
        </w:rPr>
        <w:t>投标文件应根据格式要求在需要盖章和（或）签字的地方进行签章和（或）签字；</w:t>
      </w:r>
      <w:r>
        <w:rPr>
          <w:rFonts w:hint="eastAsia" w:ascii="宋体" w:hAnsi="宋体" w:eastAsia="宋体" w:cs="宋体"/>
          <w:color w:val="auto"/>
          <w:sz w:val="24"/>
          <w:szCs w:val="24"/>
          <w:highlight w:val="none"/>
        </w:rPr>
        <w:t>在使用政采云投标客户端时，建议使用WIN7及以上操作系统。客户端请至新疆政府采购网下载专区查看，如有问题可拨打政采云客户服务热线政采云客户服务热线</w:t>
      </w:r>
      <w:r>
        <w:rPr>
          <w:rFonts w:hint="eastAsia" w:ascii="宋体" w:hAnsi="宋体" w:eastAsia="宋体" w:cs="宋体"/>
          <w:color w:val="auto"/>
          <w:sz w:val="24"/>
          <w:szCs w:val="24"/>
          <w:highlight w:val="none"/>
          <w:lang w:val="en-US"/>
        </w:rPr>
        <w:t>95763</w:t>
      </w:r>
      <w:r>
        <w:rPr>
          <w:rFonts w:hint="eastAsia" w:ascii="宋体" w:hAnsi="宋体" w:eastAsia="宋体" w:cs="宋体"/>
          <w:color w:val="auto"/>
          <w:sz w:val="24"/>
          <w:szCs w:val="24"/>
          <w:highlight w:val="none"/>
        </w:rPr>
        <w:t>进行咨询进行咨询。</w:t>
      </w:r>
    </w:p>
    <w:p w14:paraId="5810246B">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.3供应商应</w:t>
      </w:r>
      <w:r>
        <w:rPr>
          <w:rFonts w:hint="eastAsia" w:ascii="宋体" w:hAnsi="宋体" w:eastAsia="宋体" w:cs="宋体"/>
          <w:color w:val="auto"/>
          <w:sz w:val="24"/>
          <w:szCs w:val="24"/>
          <w:highlight w:val="none"/>
          <w:lang w:val="en-US" w:eastAsia="zh-CN"/>
        </w:rPr>
        <w:t>按投标须知相关要求</w:t>
      </w:r>
      <w:r>
        <w:rPr>
          <w:rFonts w:hint="eastAsia" w:ascii="宋体" w:hAnsi="宋体" w:eastAsia="宋体" w:cs="宋体"/>
          <w:color w:val="auto"/>
          <w:sz w:val="24"/>
          <w:szCs w:val="24"/>
          <w:highlight w:val="none"/>
        </w:rPr>
        <w:t>提交响应文件。</w:t>
      </w:r>
    </w:p>
    <w:p w14:paraId="780FC301">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（投标现场无需递交投标文件，中标单位公示完之后需提供）：纸质版投标文件：一式</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份，其中正本壹份，副本</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rPr>
        <w:t>份，按A4打印纸页面编制、装订；需编制目录及页码；在每一份响应文件上要明确注明“正本”或“副本”字样，如正、副本之间有差异，以正本为准；投标文件电子版：以光盘</w:t>
      </w:r>
      <w:r>
        <w:rPr>
          <w:rFonts w:hint="eastAsia" w:ascii="宋体" w:hAnsi="宋体" w:eastAsia="宋体" w:cs="宋体"/>
          <w:color w:val="auto"/>
          <w:sz w:val="24"/>
          <w:szCs w:val="24"/>
          <w:highlight w:val="none"/>
          <w:lang w:val="en-US" w:eastAsia="zh-CN"/>
        </w:rPr>
        <w:t>或u盘</w:t>
      </w:r>
      <w:r>
        <w:rPr>
          <w:rFonts w:hint="eastAsia" w:ascii="宋体" w:hAnsi="宋体" w:eastAsia="宋体" w:cs="宋体"/>
          <w:color w:val="auto"/>
          <w:sz w:val="24"/>
          <w:szCs w:val="24"/>
          <w:highlight w:val="none"/>
        </w:rPr>
        <w:t>为介质的投标文件电子版</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份。</w:t>
      </w:r>
    </w:p>
    <w:p w14:paraId="2BCD0AE5">
      <w:pPr>
        <w:pStyle w:val="16"/>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12.4采购人概不接受电报、电传、电话、邮寄以及电子邮件等方式的磋商。</w:t>
      </w:r>
    </w:p>
    <w:p w14:paraId="01835C2D">
      <w:pPr>
        <w:spacing w:line="360" w:lineRule="auto"/>
        <w:ind w:firstLine="482"/>
        <w:jc w:val="left"/>
        <w:rPr>
          <w:rFonts w:hint="eastAsia" w:ascii="宋体" w:hAnsi="宋体" w:cs="宋体"/>
          <w:b/>
          <w:bCs/>
          <w:color w:val="auto"/>
          <w:sz w:val="24"/>
          <w:szCs w:val="24"/>
          <w:highlight w:val="none"/>
        </w:rPr>
      </w:pPr>
      <w:bookmarkStart w:id="62" w:name="_Toc243907598"/>
      <w:bookmarkStart w:id="63" w:name="_Toc245897298"/>
      <w:bookmarkStart w:id="64" w:name="_Toc233274838"/>
      <w:bookmarkStart w:id="65" w:name="_Toc243906337"/>
      <w:r>
        <w:rPr>
          <w:rFonts w:hint="eastAsia" w:ascii="宋体" w:hAnsi="宋体" w:cs="宋体"/>
          <w:b/>
          <w:bCs/>
          <w:color w:val="auto"/>
          <w:sz w:val="24"/>
          <w:szCs w:val="24"/>
          <w:highlight w:val="none"/>
          <w:lang w:val="en-US" w:eastAsia="zh-CN"/>
        </w:rPr>
        <w:t>13</w:t>
      </w:r>
      <w:r>
        <w:rPr>
          <w:rFonts w:hint="eastAsia" w:ascii="宋体" w:hAnsi="宋体" w:cs="宋体"/>
          <w:b/>
          <w:bCs/>
          <w:color w:val="auto"/>
          <w:sz w:val="24"/>
          <w:szCs w:val="24"/>
          <w:highlight w:val="none"/>
        </w:rPr>
        <w:t>、响应文件的递交、修改和撤回</w:t>
      </w:r>
      <w:bookmarkEnd w:id="62"/>
      <w:bookmarkEnd w:id="63"/>
      <w:bookmarkEnd w:id="64"/>
      <w:bookmarkEnd w:id="65"/>
    </w:p>
    <w:p w14:paraId="6384EC64">
      <w:pPr>
        <w:spacing w:line="360" w:lineRule="auto"/>
        <w:ind w:firstLine="482"/>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.1投标人必须按投标人须知前附表</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规定，将投标文件</w:t>
      </w:r>
      <w:r>
        <w:rPr>
          <w:rFonts w:hint="eastAsia" w:ascii="宋体" w:hAnsi="宋体" w:eastAsia="宋体" w:cs="宋体"/>
          <w:color w:val="auto"/>
          <w:sz w:val="24"/>
          <w:szCs w:val="24"/>
          <w:highlight w:val="none"/>
          <w:lang w:val="en-US" w:eastAsia="zh-CN"/>
        </w:rPr>
        <w:t>按规定的时间上传政采云平台。</w:t>
      </w:r>
      <w:r>
        <w:rPr>
          <w:rFonts w:hint="eastAsia" w:ascii="宋体" w:hAnsi="宋体" w:eastAsia="宋体" w:cs="宋体"/>
          <w:color w:val="auto"/>
          <w:kern w:val="2"/>
          <w:sz w:val="24"/>
          <w:szCs w:val="24"/>
          <w:highlight w:val="none"/>
          <w:lang w:val="en-US" w:eastAsia="zh-CN" w:bidi="ar-SA"/>
        </w:rPr>
        <w:t>投标截止时间以后上传递交的磋商响应文件将被“政府采购云平台”拒收。</w:t>
      </w:r>
    </w:p>
    <w:p w14:paraId="18975C12">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招标人事先约定延长投标截止时间的，招标人与投标人以前的投标截止期方面的全部权利、责任和义务，将适用延长至新的投标截止期。</w:t>
      </w:r>
    </w:p>
    <w:p w14:paraId="1E7B91A7">
      <w:pPr>
        <w:spacing w:line="360" w:lineRule="auto"/>
        <w:ind w:firstLine="482"/>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13.3</w:t>
      </w:r>
      <w:r>
        <w:rPr>
          <w:rFonts w:hint="eastAsia" w:ascii="宋体" w:hAnsi="宋体" w:cs="宋体"/>
          <w:color w:val="auto"/>
          <w:sz w:val="24"/>
          <w:szCs w:val="24"/>
          <w:highlight w:val="none"/>
        </w:rPr>
        <w:t>供应商在提交响应文件后可在截止时间前对其响应文件进行修改或撤回</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截止时间之后，除磋商阶段外供应商不得对已投响应文件做任何修改。</w:t>
      </w:r>
    </w:p>
    <w:p w14:paraId="53C5FCAF">
      <w:pPr>
        <w:spacing w:line="360" w:lineRule="auto"/>
        <w:ind w:right="-189" w:rightChars="-90" w:firstLine="482"/>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供应商不得在截止时间起至响应文件有效期期满前撤回响应文件。</w:t>
      </w:r>
    </w:p>
    <w:p w14:paraId="531CE650">
      <w:pPr>
        <w:spacing w:line="360" w:lineRule="auto"/>
        <w:ind w:firstLine="482"/>
        <w:jc w:val="left"/>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14</w:t>
      </w:r>
      <w:r>
        <w:rPr>
          <w:rFonts w:hint="eastAsia" w:ascii="宋体" w:hAnsi="宋体" w:cs="宋体"/>
          <w:b/>
          <w:bCs/>
          <w:color w:val="auto"/>
          <w:sz w:val="24"/>
          <w:szCs w:val="24"/>
          <w:highlight w:val="none"/>
        </w:rPr>
        <w:t>、响应文件的</w:t>
      </w:r>
      <w:r>
        <w:rPr>
          <w:rFonts w:hint="eastAsia" w:ascii="宋体" w:hAnsi="宋体" w:eastAsia="宋体" w:cs="宋体"/>
          <w:b/>
          <w:bCs/>
          <w:color w:val="auto"/>
          <w:sz w:val="24"/>
          <w:szCs w:val="24"/>
          <w:highlight w:val="none"/>
        </w:rPr>
        <w:t>澄清</w:t>
      </w:r>
    </w:p>
    <w:p w14:paraId="7BFA679B">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.1评标过程中，评标委员会为了有助于投标文件的评审，可以要求投标人就投标文件中非改变实质性内容的部分，做出说明并提供相关材料进行澄清，但改变投标文件实质性内容的澄清评标委员会将不予接受。</w:t>
      </w:r>
    </w:p>
    <w:p w14:paraId="2FB17ABB">
      <w:pPr>
        <w:spacing w:line="360" w:lineRule="auto"/>
        <w:ind w:firstLine="482"/>
        <w:jc w:val="left"/>
        <w:rPr>
          <w:rFonts w:hint="eastAsia" w:ascii="宋体" w:hAnsi="宋体" w:eastAsia="宋体" w:cs="宋体"/>
          <w:color w:val="auto"/>
          <w:sz w:val="24"/>
          <w:szCs w:val="24"/>
          <w:highlight w:val="none"/>
        </w:rPr>
      </w:pPr>
    </w:p>
    <w:p w14:paraId="48F567EA">
      <w:pPr>
        <w:spacing w:line="360" w:lineRule="auto"/>
        <w:ind w:firstLine="482"/>
        <w:jc w:val="left"/>
        <w:rPr>
          <w:rFonts w:hint="eastAsia" w:ascii="宋体" w:hAnsi="宋体" w:eastAsia="宋体" w:cs="宋体"/>
          <w:color w:val="auto"/>
          <w:sz w:val="24"/>
          <w:szCs w:val="24"/>
          <w:highlight w:val="none"/>
        </w:rPr>
      </w:pPr>
    </w:p>
    <w:p w14:paraId="256AEE42">
      <w:pPr>
        <w:spacing w:line="360" w:lineRule="auto"/>
        <w:ind w:firstLine="482"/>
        <w:jc w:val="left"/>
        <w:rPr>
          <w:rFonts w:hint="eastAsia" w:ascii="宋体" w:hAnsi="宋体" w:eastAsia="宋体" w:cs="宋体"/>
          <w:color w:val="auto"/>
          <w:sz w:val="24"/>
          <w:szCs w:val="24"/>
          <w:highlight w:val="none"/>
        </w:rPr>
      </w:pPr>
    </w:p>
    <w:p w14:paraId="06A55B79">
      <w:pPr>
        <w:spacing w:line="360" w:lineRule="auto"/>
        <w:ind w:firstLine="482"/>
        <w:jc w:val="left"/>
        <w:rPr>
          <w:rFonts w:hint="eastAsia" w:ascii="宋体" w:hAnsi="宋体" w:eastAsia="宋体" w:cs="宋体"/>
          <w:color w:val="auto"/>
          <w:sz w:val="24"/>
          <w:szCs w:val="24"/>
          <w:highlight w:val="none"/>
        </w:rPr>
      </w:pPr>
    </w:p>
    <w:p w14:paraId="4091339B">
      <w:pPr>
        <w:spacing w:line="360" w:lineRule="auto"/>
        <w:ind w:firstLine="482"/>
        <w:jc w:val="left"/>
        <w:rPr>
          <w:rFonts w:hint="eastAsia" w:ascii="宋体" w:hAnsi="宋体" w:eastAsia="宋体" w:cs="宋体"/>
          <w:color w:val="auto"/>
          <w:sz w:val="24"/>
          <w:szCs w:val="24"/>
          <w:highlight w:val="none"/>
        </w:rPr>
      </w:pPr>
    </w:p>
    <w:p w14:paraId="7468B885">
      <w:pPr>
        <w:spacing w:line="360" w:lineRule="auto"/>
        <w:ind w:firstLine="482"/>
        <w:jc w:val="left"/>
        <w:rPr>
          <w:rFonts w:hint="eastAsia" w:ascii="宋体" w:hAnsi="宋体" w:eastAsia="宋体" w:cs="宋体"/>
          <w:color w:val="auto"/>
          <w:sz w:val="24"/>
          <w:szCs w:val="24"/>
          <w:highlight w:val="none"/>
        </w:rPr>
      </w:pPr>
    </w:p>
    <w:p w14:paraId="17DBBD73">
      <w:pPr>
        <w:spacing w:line="360" w:lineRule="auto"/>
        <w:ind w:firstLine="482"/>
        <w:jc w:val="left"/>
        <w:rPr>
          <w:rFonts w:hint="eastAsia" w:ascii="宋体" w:hAnsi="宋体" w:eastAsia="宋体" w:cs="宋体"/>
          <w:color w:val="auto"/>
          <w:sz w:val="24"/>
          <w:szCs w:val="24"/>
          <w:highlight w:val="none"/>
        </w:rPr>
      </w:pPr>
    </w:p>
    <w:p w14:paraId="34C24D84">
      <w:pPr>
        <w:spacing w:line="360" w:lineRule="auto"/>
        <w:ind w:firstLine="482"/>
        <w:jc w:val="left"/>
        <w:rPr>
          <w:rFonts w:hint="eastAsia" w:ascii="宋体" w:hAnsi="宋体" w:eastAsia="宋体" w:cs="宋体"/>
          <w:color w:val="auto"/>
          <w:sz w:val="24"/>
          <w:szCs w:val="24"/>
          <w:highlight w:val="none"/>
        </w:rPr>
      </w:pPr>
    </w:p>
    <w:p w14:paraId="769C95FE">
      <w:pPr>
        <w:spacing w:line="360" w:lineRule="auto"/>
        <w:jc w:val="left"/>
        <w:rPr>
          <w:rFonts w:hint="eastAsia" w:ascii="宋体" w:hAnsi="宋体" w:eastAsia="宋体" w:cs="宋体"/>
          <w:color w:val="auto"/>
          <w:sz w:val="24"/>
          <w:szCs w:val="24"/>
          <w:highlight w:val="none"/>
        </w:rPr>
      </w:pPr>
    </w:p>
    <w:p w14:paraId="2EE8A944">
      <w:pPr>
        <w:spacing w:line="360" w:lineRule="auto"/>
        <w:ind w:firstLine="482"/>
        <w:jc w:val="left"/>
        <w:rPr>
          <w:rFonts w:hint="eastAsia" w:ascii="宋体" w:hAnsi="宋体" w:eastAsia="宋体" w:cs="宋体"/>
          <w:color w:val="auto"/>
          <w:sz w:val="24"/>
          <w:szCs w:val="24"/>
          <w:highlight w:val="none"/>
        </w:rPr>
      </w:pPr>
    </w:p>
    <w:p w14:paraId="23D31FAB">
      <w:pPr>
        <w:spacing w:line="360" w:lineRule="auto"/>
        <w:ind w:firstLine="482"/>
        <w:jc w:val="left"/>
        <w:rPr>
          <w:rFonts w:hint="eastAsia" w:ascii="宋体" w:hAnsi="宋体" w:eastAsia="宋体" w:cs="宋体"/>
          <w:color w:val="auto"/>
          <w:sz w:val="24"/>
          <w:szCs w:val="24"/>
          <w:highlight w:val="none"/>
        </w:rPr>
      </w:pPr>
    </w:p>
    <w:p w14:paraId="3625BAA4">
      <w:pPr>
        <w:spacing w:line="360" w:lineRule="auto"/>
        <w:ind w:firstLine="482"/>
        <w:jc w:val="left"/>
        <w:rPr>
          <w:rFonts w:hint="eastAsia" w:ascii="宋体" w:hAnsi="宋体" w:eastAsia="宋体" w:cs="宋体"/>
          <w:color w:val="auto"/>
          <w:sz w:val="24"/>
          <w:szCs w:val="24"/>
          <w:highlight w:val="none"/>
        </w:rPr>
      </w:pPr>
    </w:p>
    <w:p w14:paraId="069F960C">
      <w:pPr>
        <w:spacing w:line="360" w:lineRule="auto"/>
        <w:ind w:firstLine="482"/>
        <w:jc w:val="left"/>
        <w:rPr>
          <w:rFonts w:hint="eastAsia" w:ascii="宋体" w:hAnsi="宋体" w:eastAsia="宋体" w:cs="宋体"/>
          <w:color w:val="auto"/>
          <w:sz w:val="24"/>
          <w:szCs w:val="24"/>
          <w:highlight w:val="none"/>
        </w:rPr>
      </w:pPr>
    </w:p>
    <w:p w14:paraId="6876206F">
      <w:pPr>
        <w:spacing w:line="360" w:lineRule="auto"/>
        <w:ind w:firstLine="482"/>
        <w:jc w:val="left"/>
        <w:rPr>
          <w:rFonts w:hint="eastAsia" w:ascii="宋体" w:hAnsi="宋体" w:eastAsia="宋体" w:cs="宋体"/>
          <w:color w:val="auto"/>
          <w:sz w:val="24"/>
          <w:szCs w:val="24"/>
          <w:highlight w:val="none"/>
        </w:rPr>
      </w:pPr>
    </w:p>
    <w:p w14:paraId="050FF2D5">
      <w:pPr>
        <w:spacing w:line="360" w:lineRule="auto"/>
        <w:ind w:firstLine="482"/>
        <w:jc w:val="left"/>
        <w:rPr>
          <w:rFonts w:hint="eastAsia" w:ascii="宋体" w:hAnsi="宋体" w:eastAsia="宋体" w:cs="宋体"/>
          <w:color w:val="auto"/>
          <w:sz w:val="24"/>
          <w:szCs w:val="24"/>
          <w:highlight w:val="none"/>
        </w:rPr>
      </w:pPr>
    </w:p>
    <w:p w14:paraId="5612F5A6">
      <w:pPr>
        <w:spacing w:line="360" w:lineRule="auto"/>
        <w:ind w:firstLine="482"/>
        <w:jc w:val="left"/>
        <w:rPr>
          <w:rFonts w:hint="eastAsia" w:ascii="宋体" w:hAnsi="宋体" w:eastAsia="宋体" w:cs="宋体"/>
          <w:color w:val="auto"/>
          <w:sz w:val="24"/>
          <w:szCs w:val="24"/>
          <w:highlight w:val="none"/>
        </w:rPr>
      </w:pPr>
    </w:p>
    <w:p w14:paraId="49499C24">
      <w:pPr>
        <w:spacing w:line="360" w:lineRule="auto"/>
        <w:ind w:firstLine="482"/>
        <w:jc w:val="left"/>
        <w:rPr>
          <w:rFonts w:hint="eastAsia" w:ascii="宋体" w:hAnsi="宋体" w:eastAsia="宋体" w:cs="宋体"/>
          <w:color w:val="auto"/>
          <w:sz w:val="24"/>
          <w:szCs w:val="24"/>
          <w:highlight w:val="none"/>
        </w:rPr>
      </w:pPr>
    </w:p>
    <w:p w14:paraId="3BA9B6BE">
      <w:pPr>
        <w:spacing w:line="360" w:lineRule="auto"/>
        <w:ind w:firstLine="482"/>
        <w:jc w:val="left"/>
        <w:rPr>
          <w:rFonts w:hint="eastAsia" w:ascii="宋体" w:hAnsi="宋体" w:eastAsia="宋体" w:cs="宋体"/>
          <w:color w:val="auto"/>
          <w:sz w:val="24"/>
          <w:szCs w:val="24"/>
          <w:highlight w:val="none"/>
        </w:rPr>
      </w:pPr>
    </w:p>
    <w:p w14:paraId="4B823E73">
      <w:pPr>
        <w:spacing w:line="360" w:lineRule="auto"/>
        <w:ind w:firstLine="482"/>
        <w:jc w:val="left"/>
        <w:rPr>
          <w:rFonts w:hint="eastAsia" w:ascii="宋体" w:hAnsi="宋体" w:eastAsia="宋体" w:cs="宋体"/>
          <w:color w:val="auto"/>
          <w:sz w:val="24"/>
          <w:szCs w:val="24"/>
          <w:highlight w:val="none"/>
        </w:rPr>
      </w:pPr>
    </w:p>
    <w:p w14:paraId="0CB4BD44">
      <w:pPr>
        <w:spacing w:line="360" w:lineRule="auto"/>
        <w:ind w:firstLine="482"/>
        <w:jc w:val="left"/>
        <w:rPr>
          <w:rFonts w:hint="eastAsia" w:ascii="宋体" w:hAnsi="宋体" w:eastAsia="宋体" w:cs="宋体"/>
          <w:color w:val="auto"/>
          <w:sz w:val="24"/>
          <w:szCs w:val="24"/>
          <w:highlight w:val="none"/>
        </w:rPr>
      </w:pPr>
    </w:p>
    <w:p w14:paraId="13A08EF5">
      <w:pPr>
        <w:spacing w:line="360" w:lineRule="auto"/>
        <w:ind w:firstLine="482"/>
        <w:jc w:val="left"/>
        <w:rPr>
          <w:rFonts w:hint="eastAsia" w:ascii="宋体" w:hAnsi="宋体" w:eastAsia="宋体" w:cs="宋体"/>
          <w:color w:val="auto"/>
          <w:sz w:val="24"/>
          <w:szCs w:val="24"/>
          <w:highlight w:val="none"/>
        </w:rPr>
      </w:pPr>
    </w:p>
    <w:p w14:paraId="33E6807E">
      <w:pPr>
        <w:spacing w:line="360" w:lineRule="auto"/>
        <w:ind w:firstLine="482"/>
        <w:jc w:val="left"/>
        <w:rPr>
          <w:rFonts w:hint="eastAsia" w:ascii="宋体" w:hAnsi="宋体" w:eastAsia="宋体" w:cs="宋体"/>
          <w:color w:val="auto"/>
          <w:sz w:val="24"/>
          <w:szCs w:val="24"/>
          <w:highlight w:val="none"/>
        </w:rPr>
      </w:pPr>
    </w:p>
    <w:p w14:paraId="2937EC6B">
      <w:pPr>
        <w:spacing w:line="360" w:lineRule="auto"/>
        <w:ind w:firstLine="482"/>
        <w:jc w:val="left"/>
        <w:rPr>
          <w:rFonts w:hint="eastAsia" w:ascii="宋体" w:hAnsi="宋体" w:eastAsia="宋体" w:cs="宋体"/>
          <w:color w:val="auto"/>
          <w:sz w:val="24"/>
          <w:szCs w:val="24"/>
          <w:highlight w:val="none"/>
        </w:rPr>
      </w:pPr>
    </w:p>
    <w:p w14:paraId="2A3C8207">
      <w:pPr>
        <w:spacing w:line="360" w:lineRule="auto"/>
        <w:ind w:firstLine="482"/>
        <w:jc w:val="left"/>
        <w:rPr>
          <w:rFonts w:hint="eastAsia" w:ascii="宋体" w:hAnsi="宋体" w:eastAsia="宋体" w:cs="宋体"/>
          <w:color w:val="auto"/>
          <w:sz w:val="24"/>
          <w:szCs w:val="24"/>
          <w:highlight w:val="none"/>
        </w:rPr>
      </w:pPr>
    </w:p>
    <w:p w14:paraId="4A4A14AA">
      <w:pPr>
        <w:spacing w:line="360" w:lineRule="auto"/>
        <w:jc w:val="left"/>
        <w:rPr>
          <w:rFonts w:hint="eastAsia" w:ascii="宋体" w:hAnsi="宋体" w:eastAsia="宋体" w:cs="宋体"/>
          <w:color w:val="auto"/>
          <w:sz w:val="24"/>
          <w:szCs w:val="24"/>
          <w:highlight w:val="none"/>
        </w:rPr>
      </w:pPr>
    </w:p>
    <w:p w14:paraId="29955A51">
      <w:pPr>
        <w:pStyle w:val="76"/>
        <w:spacing w:line="360" w:lineRule="auto"/>
        <w:ind w:firstLine="2108" w:firstLineChars="700"/>
        <w:rPr>
          <w:rFonts w:hint="eastAsia" w:hAnsi="宋体" w:cs="宋体"/>
          <w:b/>
          <w:bCs/>
          <w:color w:val="auto"/>
          <w:sz w:val="30"/>
          <w:szCs w:val="30"/>
          <w:highlight w:val="none"/>
        </w:rPr>
      </w:pPr>
      <w:r>
        <w:rPr>
          <w:rFonts w:hint="eastAsia" w:hAnsi="宋体" w:cs="宋体"/>
          <w:b/>
          <w:color w:val="auto"/>
          <w:sz w:val="30"/>
          <w:szCs w:val="30"/>
          <w:highlight w:val="none"/>
        </w:rPr>
        <w:t>第四章、 磋商、评审、确定成交供应商</w:t>
      </w:r>
    </w:p>
    <w:p w14:paraId="5E69CCBE">
      <w:pPr>
        <w:spacing w:line="360" w:lineRule="auto"/>
        <w:ind w:firstLine="482"/>
        <w:jc w:val="left"/>
        <w:rPr>
          <w:rFonts w:hint="eastAsia" w:ascii="宋体" w:hAnsi="宋体" w:eastAsia="宋体" w:cs="宋体"/>
          <w:b/>
          <w:bCs/>
          <w:color w:val="auto"/>
          <w:sz w:val="24"/>
          <w:szCs w:val="24"/>
          <w:highlight w:val="none"/>
        </w:rPr>
      </w:pPr>
      <w:bookmarkStart w:id="66" w:name="_Toc245897301"/>
      <w:bookmarkStart w:id="67" w:name="_Toc243907601"/>
      <w:bookmarkStart w:id="68" w:name="_Toc243906340"/>
      <w:bookmarkStart w:id="69" w:name="_Toc233274841"/>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w:t>
      </w:r>
      <w:bookmarkEnd w:id="66"/>
      <w:bookmarkEnd w:id="67"/>
      <w:bookmarkEnd w:id="68"/>
      <w:bookmarkEnd w:id="69"/>
      <w:r>
        <w:rPr>
          <w:rFonts w:hint="eastAsia" w:ascii="宋体" w:hAnsi="宋体" w:eastAsia="宋体" w:cs="宋体"/>
          <w:b/>
          <w:bCs/>
          <w:color w:val="auto"/>
          <w:sz w:val="24"/>
          <w:szCs w:val="24"/>
          <w:highlight w:val="none"/>
        </w:rPr>
        <w:t>磋商会议</w:t>
      </w:r>
    </w:p>
    <w:p w14:paraId="2FA69974">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.1采购人在本供应商须知前附表规定的时间和地点组织磋商会议。</w:t>
      </w:r>
    </w:p>
    <w:p w14:paraId="1519F80D">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.2本次竞争性磋商采用</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rPr>
        <w:t>见面方式。</w:t>
      </w:r>
    </w:p>
    <w:p w14:paraId="668DEFE8">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.3磋商会议由采购代理机构组织并主持。</w:t>
      </w:r>
    </w:p>
    <w:p w14:paraId="0CAD444D">
      <w:pPr>
        <w:spacing w:line="360" w:lineRule="auto"/>
        <w:ind w:firstLine="482"/>
        <w:jc w:val="left"/>
        <w:rPr>
          <w:rFonts w:hint="eastAsia" w:ascii="宋体" w:hAnsi="宋体" w:eastAsia="宋体" w:cs="宋体"/>
          <w:b/>
          <w:bCs/>
          <w:color w:val="auto"/>
          <w:sz w:val="24"/>
          <w:szCs w:val="24"/>
          <w:highlight w:val="none"/>
        </w:rPr>
      </w:pPr>
      <w:bookmarkStart w:id="70" w:name="_Toc233274842"/>
      <w:bookmarkStart w:id="71" w:name="_Toc243907602"/>
      <w:bookmarkStart w:id="72" w:name="_Toc245897302"/>
      <w:bookmarkStart w:id="73" w:name="_Toc243906341"/>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、磋商小组</w:t>
      </w:r>
      <w:bookmarkEnd w:id="70"/>
      <w:bookmarkEnd w:id="71"/>
      <w:bookmarkEnd w:id="72"/>
      <w:bookmarkEnd w:id="73"/>
    </w:p>
    <w:p w14:paraId="1965CDA1">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2.1磋商小组成员组成：按照《中华人民共和国政府采购法》、《政府采购竞争性磋商采购方式管理暂行办法》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中华人民共和国招投标法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及相关法律、法规</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规定组建，由采购人代表和评审专家组成。磋商小组将负责对供应商提交的响应文件进行磋商、评审，确保磋商、评审过程公正、合法、保密，并向采购人推荐成交候选供应商。</w:t>
      </w:r>
    </w:p>
    <w:p w14:paraId="5C92D8D2">
      <w:pPr>
        <w:spacing w:line="360" w:lineRule="auto"/>
        <w:ind w:firstLine="482"/>
        <w:jc w:val="left"/>
        <w:rPr>
          <w:rFonts w:hint="eastAsia" w:ascii="宋体" w:hAnsi="宋体" w:eastAsia="宋体" w:cs="宋体"/>
          <w:b/>
          <w:bCs/>
          <w:color w:val="auto"/>
          <w:sz w:val="24"/>
          <w:szCs w:val="24"/>
          <w:highlight w:val="none"/>
        </w:rPr>
      </w:pPr>
      <w:bookmarkStart w:id="74" w:name="_Toc224620071"/>
      <w:bookmarkStart w:id="75" w:name="_Toc224623663"/>
      <w:bookmarkStart w:id="76" w:name="_Toc243907606"/>
      <w:bookmarkStart w:id="77" w:name="_Toc245897305"/>
      <w:bookmarkStart w:id="78" w:name="_Toc224624767"/>
      <w:bookmarkStart w:id="79" w:name="_Toc224624488"/>
      <w:bookmarkStart w:id="80" w:name="_Toc224620150"/>
      <w:bookmarkStart w:id="81" w:name="_Toc245897304"/>
      <w:bookmarkStart w:id="82" w:name="_Toc224623451"/>
      <w:bookmarkStart w:id="83" w:name="_Toc224623557"/>
      <w:bookmarkStart w:id="84" w:name="_Toc224624628"/>
      <w:bookmarkStart w:id="85" w:name="_Toc243906344"/>
      <w:bookmarkStart w:id="86" w:name="_Toc233274843"/>
      <w:bookmarkStart w:id="87" w:name="_Toc243907605"/>
      <w:bookmarkStart w:id="88" w:name="_Toc224622928"/>
      <w:bookmarkStart w:id="89" w:name="_Toc243906345"/>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、磋商</w:t>
      </w:r>
    </w:p>
    <w:p w14:paraId="61E60764">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磋商小组所有成员集中与单一供应商分别进行磋商。供应商应由法定代表或法定代表授权的供应商代表及专业技术人员参与磋商。供应商所作的重要答复作为响应文件的一部分，对供应商具有约束力，但不得对磋商内容进行实质性修改。在磋商中，磋商的任何一方不得透露与磋商有关的其他供应商的技术资料和其他信息。</w:t>
      </w:r>
    </w:p>
    <w:p w14:paraId="012F88CD">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在磋商小组与各供应商进行了相同轮次的磋商后，为了更好地实现采购目标，磋商小组可以修改磋商文件，但涉及实质性变动的，将通知所有参加磋商的供应商。供应商收到修改磋商文件的通知后，可以决定是否继续参加磋商活动。</w:t>
      </w:r>
    </w:p>
    <w:p w14:paraId="09CD2FCC">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.3供应商应当按照磋商文件的变动情况和磋商小组的要求重新提交响应文件，并由其法定代表或委托代理人签字或者加盖公章。由委托代理人签字的，应当附法定代表授权书。</w:t>
      </w:r>
    </w:p>
    <w:p w14:paraId="15D10DE0">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.4磋商文件能够详细列明采购标的的技术、</w:t>
      </w:r>
      <w:r>
        <w:rPr>
          <w:rFonts w:hint="eastAsia" w:ascii="宋体" w:hAnsi="宋体" w:eastAsia="宋体" w:cs="宋体"/>
          <w:color w:val="auto"/>
          <w:sz w:val="24"/>
          <w:szCs w:val="24"/>
          <w:highlight w:val="none"/>
          <w:lang w:val="en-US" w:eastAsia="zh-CN"/>
        </w:rPr>
        <w:t>工程施工</w:t>
      </w:r>
      <w:r>
        <w:rPr>
          <w:rFonts w:hint="eastAsia" w:ascii="宋体" w:hAnsi="宋体" w:eastAsia="宋体" w:cs="宋体"/>
          <w:color w:val="auto"/>
          <w:sz w:val="24"/>
          <w:szCs w:val="24"/>
          <w:highlight w:val="none"/>
        </w:rPr>
        <w:t>要求的，磋商小组在磋商结束后，磋商小组应当要求所有实质性响应的供应商在规定时间内提交最后报价，最后报价是供应商响应文件的有效组成部分。</w:t>
      </w:r>
    </w:p>
    <w:p w14:paraId="29880D6E">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.5磋商文件不能详细列明采购标的的技术、</w:t>
      </w:r>
      <w:r>
        <w:rPr>
          <w:rFonts w:hint="eastAsia" w:ascii="宋体" w:hAnsi="宋体" w:eastAsia="宋体" w:cs="宋体"/>
          <w:color w:val="auto"/>
          <w:sz w:val="24"/>
          <w:szCs w:val="24"/>
          <w:highlight w:val="none"/>
          <w:lang w:val="en-US" w:eastAsia="zh-CN"/>
        </w:rPr>
        <w:t>工程施工</w:t>
      </w:r>
      <w:r>
        <w:rPr>
          <w:rFonts w:hint="eastAsia" w:ascii="宋体" w:hAnsi="宋体" w:eastAsia="宋体" w:cs="宋体"/>
          <w:color w:val="auto"/>
          <w:sz w:val="24"/>
          <w:szCs w:val="24"/>
          <w:highlight w:val="none"/>
        </w:rPr>
        <w:t>要求，需经磋商由供应商提供最终整修方案或解决方案的，磋商结束后，磋商小组应当按照少数服从多数的原则投票推荐3家</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以上供应商的整修方案或者解决方案，并要求其在规定时间内提交最后报价。</w:t>
      </w:r>
    </w:p>
    <w:p w14:paraId="22760520">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.6已提交响应文件的供应商，在提交最后报价之前，可以根据磋商情况退出磋商。</w:t>
      </w:r>
    </w:p>
    <w:p w14:paraId="305A446B">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.7磋商小组判断响应文件的响应性仅基于响应文件本身而不依靠任何外部证据，但响应文件有不真实、不正确的内容除外。</w:t>
      </w:r>
    </w:p>
    <w:p w14:paraId="6FF9E601">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.8如果响应文件实质上没有响应磋商文件的要求，磋商小组将予以拒绝，供应商不得通过修正或撤消不符合要求的偏离或保留，而使其成为实质上响应。</w:t>
      </w:r>
    </w:p>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14:paraId="4E994271">
      <w:pPr>
        <w:pStyle w:val="16"/>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bookmarkStart w:id="90" w:name="_Toc245897306"/>
      <w:bookmarkStart w:id="91" w:name="_Toc243907607"/>
      <w:bookmarkStart w:id="92" w:name="_Toc243906346"/>
      <w:bookmarkStart w:id="93" w:name="_Toc233274845"/>
      <w:r>
        <w:rPr>
          <w:rFonts w:hint="eastAsia" w:ascii="宋体" w:hAnsi="宋体" w:eastAsia="宋体" w:cs="宋体"/>
          <w:b/>
          <w:bCs/>
          <w:color w:val="auto"/>
          <w:kern w:val="2"/>
          <w:sz w:val="24"/>
          <w:szCs w:val="24"/>
          <w:highlight w:val="none"/>
          <w:lang w:val="en-US" w:eastAsia="zh-CN" w:bidi="ar-SA"/>
        </w:rPr>
        <w:t>4、评审</w:t>
      </w:r>
    </w:p>
    <w:p w14:paraId="6D109082">
      <w:pPr>
        <w:pStyle w:val="16"/>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4.1经磋商确定最终采购需求和提交最后报价的供应商后，由磋商小组采用综合评分法对提交最后报价的供应商响应文件和最后报价进行综合评分。</w:t>
      </w:r>
    </w:p>
    <w:p w14:paraId="349A7506">
      <w:pPr>
        <w:pStyle w:val="16"/>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4.2磋商小组将对实质性响应磋商文件的响应文件进行详细评审和比较。对商务部分、技术部分、价格</w:t>
      </w:r>
      <w:r>
        <w:rPr>
          <w:rFonts w:hint="eastAsia" w:hAnsi="宋体" w:cs="宋体"/>
          <w:color w:val="auto"/>
          <w:kern w:val="2"/>
          <w:sz w:val="24"/>
          <w:szCs w:val="24"/>
          <w:highlight w:val="none"/>
          <w:lang w:val="en-US" w:eastAsia="zh-CN" w:bidi="ar-SA"/>
        </w:rPr>
        <w:t>部分</w:t>
      </w:r>
      <w:r>
        <w:rPr>
          <w:rFonts w:hint="eastAsia" w:ascii="宋体" w:hAnsi="宋体" w:eastAsia="宋体" w:cs="宋体"/>
          <w:color w:val="auto"/>
          <w:kern w:val="2"/>
          <w:sz w:val="24"/>
          <w:szCs w:val="24"/>
          <w:highlight w:val="none"/>
          <w:lang w:val="en-US" w:eastAsia="zh-CN" w:bidi="ar-SA"/>
        </w:rPr>
        <w:t>等进行比较，并与磋商文件、项目采购需求和采购人的实际需要进行比较和评价。</w:t>
      </w:r>
    </w:p>
    <w:p w14:paraId="748D8EF2">
      <w:pPr>
        <w:pStyle w:val="16"/>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4.3商务报价错误的修正</w:t>
      </w:r>
    </w:p>
    <w:p w14:paraId="330442D4">
      <w:pPr>
        <w:pStyle w:val="16"/>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如果发现商务报价存在计算或表达上错误，则按下列原则进行修正：</w:t>
      </w:r>
    </w:p>
    <w:p w14:paraId="62705CDC">
      <w:pPr>
        <w:pStyle w:val="16"/>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（1）用数字表示的数额与用文字表示的数额不一致时，以文字数额为准；</w:t>
      </w:r>
    </w:p>
    <w:p w14:paraId="7AA32CA4">
      <w:pPr>
        <w:pStyle w:val="16"/>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（2）单价与工程量的乘积与总价之间不一致时，以单价为准。若单价有明显小数点错位，应以总价为准，并修改单价。</w:t>
      </w:r>
    </w:p>
    <w:p w14:paraId="5394D1F6">
      <w:pPr>
        <w:pStyle w:val="16"/>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4.4磋商小组将按本章第5.3条原则修正商务报价，并要求供应商进行确认。确认后的报价和文件将对供应商具有约束力。并以修正后的报价作为评审的依据。</w:t>
      </w:r>
    </w:p>
    <w:p w14:paraId="308228AD">
      <w:pPr>
        <w:pStyle w:val="16"/>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、响应文件的澄清</w:t>
      </w:r>
    </w:p>
    <w:p w14:paraId="694CC51F">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.1为有助于对响应文件的审查、评价和比较，磋商小组在评审过程中有权随时请供应商对其响应文件进行澄清，但不得寻求、提供或允许对最后报价或响应文件中的其他实质性内容做任何更改。</w:t>
      </w:r>
    </w:p>
    <w:p w14:paraId="6189DE19">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.2供应商在评审过程中应保证随时接受磋商小组质询。若供应商因故不能接受质询，其响应文件仍有效，但应视为供应商已默认磋商小组对缺席的质询所作出的结论。</w:t>
      </w:r>
    </w:p>
    <w:p w14:paraId="032DBAD0">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 磋商小组允许供应商通过澄清答复修正其最后报价中不构成重大偏离的、微小的、非正规的、不一致的或不规范的地方，但这些修正不能影响任何供应商的相关名次排列。</w:t>
      </w:r>
    </w:p>
    <w:p w14:paraId="7C99F891">
      <w:pPr>
        <w:pStyle w:val="16"/>
        <w:spacing w:line="360" w:lineRule="auto"/>
        <w:ind w:firstLine="480" w:firstLineChars="200"/>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.4如果供应商在响应文件中未对磋商文件、技术规格及标准、项目采购需求、合同主要内容等提出偏离意见或澄清，将视同供应商同意上述文件的全部条款和要求。</w:t>
      </w:r>
    </w:p>
    <w:bookmarkEnd w:id="90"/>
    <w:bookmarkEnd w:id="91"/>
    <w:bookmarkEnd w:id="92"/>
    <w:bookmarkEnd w:id="93"/>
    <w:p w14:paraId="68FBD5F2">
      <w:pPr>
        <w:pStyle w:val="16"/>
        <w:spacing w:line="360" w:lineRule="auto"/>
        <w:ind w:firstLine="482" w:firstLineChars="200"/>
        <w:rPr>
          <w:rFonts w:hint="eastAsia" w:ascii="宋体" w:hAnsi="宋体" w:eastAsia="宋体" w:cs="宋体"/>
          <w:b/>
          <w:bCs/>
          <w:color w:val="auto"/>
          <w:sz w:val="24"/>
          <w:szCs w:val="24"/>
          <w:highlight w:val="none"/>
        </w:rPr>
      </w:pPr>
      <w:bookmarkStart w:id="94" w:name="_Toc245897308"/>
      <w:bookmarkStart w:id="95" w:name="_Toc243906348"/>
      <w:bookmarkStart w:id="96" w:name="_Toc233274847"/>
      <w:bookmarkStart w:id="97" w:name="_Toc243907609"/>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、重大偏离</w:t>
      </w:r>
    </w:p>
    <w:p w14:paraId="49331082">
      <w:pPr>
        <w:pStyle w:val="16"/>
        <w:spacing w:line="360" w:lineRule="auto"/>
        <w:ind w:firstLine="480" w:firstLineChars="200"/>
        <w:rPr>
          <w:rFonts w:hint="eastAsia" w:ascii="宋体" w:hAnsi="宋体" w:eastAsia="宋体" w:cs="宋体"/>
          <w:color w:val="auto"/>
          <w:sz w:val="24"/>
          <w:szCs w:val="24"/>
          <w:highlight w:val="none"/>
        </w:rPr>
      </w:pPr>
      <w:bookmarkStart w:id="98" w:name="_Toc233274846"/>
      <w:bookmarkStart w:id="99" w:name="_Toc245897307"/>
      <w:bookmarkStart w:id="100" w:name="_Toc243907608"/>
      <w:bookmarkStart w:id="101" w:name="_Toc243906347"/>
      <w:r>
        <w:rPr>
          <w:rFonts w:hint="eastAsia" w:ascii="宋体" w:hAnsi="宋体" w:eastAsia="宋体" w:cs="宋体"/>
          <w:color w:val="auto"/>
          <w:sz w:val="24"/>
          <w:szCs w:val="24"/>
          <w:highlight w:val="none"/>
        </w:rPr>
        <w:t>重大偏离是指实质上影响</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rPr>
        <w:t>质量和</w:t>
      </w:r>
      <w:r>
        <w:rPr>
          <w:rFonts w:hint="eastAsia" w:ascii="宋体" w:hAnsi="宋体" w:eastAsia="宋体" w:cs="宋体"/>
          <w:color w:val="auto"/>
          <w:sz w:val="24"/>
          <w:szCs w:val="24"/>
          <w:highlight w:val="none"/>
          <w:lang w:val="en-US" w:eastAsia="zh-CN"/>
        </w:rPr>
        <w:t>工期、安全</w:t>
      </w:r>
      <w:r>
        <w:rPr>
          <w:rFonts w:hint="eastAsia" w:ascii="宋体" w:hAnsi="宋体" w:eastAsia="宋体" w:cs="宋体"/>
          <w:color w:val="auto"/>
          <w:sz w:val="24"/>
          <w:szCs w:val="24"/>
          <w:highlight w:val="none"/>
        </w:rPr>
        <w:t>等，或者实质上不满足磋商文件的要求，而且限制了采购人的权力或减轻了供应商的义务。纠正或承认这些偏离将会对其他实质上响应要求的供应商合理的竞争地位产生不公正的影响。</w:t>
      </w:r>
    </w:p>
    <w:p w14:paraId="707BAD50">
      <w:pPr>
        <w:pStyle w:val="16"/>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bookmarkEnd w:id="98"/>
      <w:bookmarkEnd w:id="99"/>
      <w:bookmarkEnd w:id="100"/>
      <w:bookmarkEnd w:id="101"/>
      <w:r>
        <w:rPr>
          <w:rFonts w:hint="eastAsia" w:ascii="宋体" w:hAnsi="宋体" w:eastAsia="宋体" w:cs="宋体"/>
          <w:b/>
          <w:bCs/>
          <w:color w:val="auto"/>
          <w:sz w:val="24"/>
          <w:szCs w:val="24"/>
          <w:highlight w:val="none"/>
        </w:rPr>
        <w:t>无效响应文件</w:t>
      </w:r>
    </w:p>
    <w:p w14:paraId="0B16D6D7">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响应文件有下列情形之一的，由磋商小组评审后按无效响应文件处理：</w:t>
      </w:r>
    </w:p>
    <w:p w14:paraId="178E1F06">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.1供应商的商务报价高于采购项目预算；</w:t>
      </w:r>
    </w:p>
    <w:p w14:paraId="581DEF98">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.2响应文件附有采购人不能接受条件的；</w:t>
      </w:r>
    </w:p>
    <w:p w14:paraId="47C622BD">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.3出现重大偏离的；</w:t>
      </w:r>
    </w:p>
    <w:p w14:paraId="30DF2FF6">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.4对磋商文件提出的实质性要求和条件未能实质性响应；</w:t>
      </w:r>
    </w:p>
    <w:p w14:paraId="3FE38208">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.5《中华人民共和国政府采购法》、《中华人民共和国政府采购实施条例》、《政府采购竞争性磋商采购方式管理暂行办法》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中华人民共和国招投标法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其它</w:t>
      </w:r>
      <w:r>
        <w:rPr>
          <w:rFonts w:hint="eastAsia" w:ascii="宋体" w:hAnsi="宋体" w:eastAsia="宋体" w:cs="宋体"/>
          <w:color w:val="auto"/>
          <w:sz w:val="24"/>
          <w:szCs w:val="24"/>
          <w:highlight w:val="none"/>
        </w:rPr>
        <w:t>相关法律法规及磋商文件明确规定可以作无效响应的其他情形。</w:t>
      </w:r>
    </w:p>
    <w:p w14:paraId="0561ED90">
      <w:pPr>
        <w:pStyle w:val="16"/>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、评审标准</w:t>
      </w:r>
    </w:p>
    <w:p w14:paraId="1322FC22">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.1本项目评审采用综合评分法，严格按照磋商文件的要求和条件进行。</w:t>
      </w:r>
    </w:p>
    <w:p w14:paraId="46A5A312">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.2响应文件初审。</w:t>
      </w:r>
    </w:p>
    <w:p w14:paraId="5BB7FCE3">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8.2.1</w:t>
      </w:r>
      <w:r>
        <w:rPr>
          <w:rFonts w:hint="eastAsia" w:ascii="宋体" w:hAnsi="宋体" w:eastAsia="宋体" w:cs="宋体"/>
          <w:color w:val="auto"/>
          <w:sz w:val="24"/>
          <w:szCs w:val="24"/>
          <w:highlight w:val="none"/>
        </w:rPr>
        <w:t>初审分为资格性审查和符合性审查。响应文件初审由磋商小组根据</w:t>
      </w:r>
      <w:r>
        <w:rPr>
          <w:rFonts w:hint="eastAsia" w:ascii="宋体" w:hAnsi="宋体" w:eastAsia="宋体" w:cs="宋体"/>
          <w:color w:val="auto"/>
          <w:sz w:val="24"/>
          <w:szCs w:val="24"/>
          <w:highlight w:val="none"/>
          <w:lang w:val="en-US" w:eastAsia="zh-CN"/>
        </w:rPr>
        <w:t>磋商文件要求对</w:t>
      </w:r>
      <w:r>
        <w:rPr>
          <w:rFonts w:hint="eastAsia" w:ascii="宋体" w:hAnsi="宋体" w:eastAsia="宋体" w:cs="宋体"/>
          <w:color w:val="auto"/>
          <w:sz w:val="24"/>
          <w:szCs w:val="24"/>
          <w:highlight w:val="none"/>
        </w:rPr>
        <w:t>各供应商响应文件进行评审，未通过初审的供应商其响应文件将按照无效磋商处理。</w:t>
      </w:r>
    </w:p>
    <w:p w14:paraId="781493C8">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资格性审查。依据法律法规和磋商文件的规定，对响应文件中的资格证明等进行审查，以确定供应商是否具备磋商资格。</w:t>
      </w:r>
    </w:p>
    <w:p w14:paraId="6B935C94">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（1）磋商小组根据评审办法规定的评审因素和评审标准，对供应商的响应文件进行资格评审。资格性检查不合格的供应商的响应文件作无效文件处理。</w:t>
      </w:r>
    </w:p>
    <w:p w14:paraId="1678F5CF">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（2）磋商小组在进行资格检查时，不得改变磋商文件中已载明的资格条件、标准和办法。</w:t>
      </w:r>
    </w:p>
    <w:p w14:paraId="28E6087A">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（3）磋商小组应逐项对照资格性</w:t>
      </w:r>
      <w:r>
        <w:rPr>
          <w:rFonts w:hint="eastAsia" w:hAnsi="宋体" w:cs="宋体"/>
          <w:color w:val="auto"/>
          <w:sz w:val="24"/>
          <w:szCs w:val="24"/>
          <w:highlight w:val="none"/>
          <w:lang w:val="en-US" w:eastAsia="zh-CN"/>
        </w:rPr>
        <w:t>审</w:t>
      </w:r>
      <w:r>
        <w:rPr>
          <w:rFonts w:hint="eastAsia" w:ascii="宋体" w:hAnsi="宋体" w:eastAsia="宋体" w:cs="宋体"/>
          <w:color w:val="auto"/>
          <w:sz w:val="24"/>
          <w:szCs w:val="24"/>
          <w:highlight w:val="none"/>
        </w:rPr>
        <w:t>查要求所提交的相应证明文件。</w:t>
      </w:r>
    </w:p>
    <w:p w14:paraId="3F0C7BA1">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（4）磋商小组在评审中必要时可按供应商提供的联系方式就有关问题进行查询核实，或要求供应商做出澄清，查询及澄清结果将作为审查的依据。</w:t>
      </w:r>
    </w:p>
    <w:p w14:paraId="0CE6F728">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（5）通过全部资格性</w:t>
      </w:r>
      <w:r>
        <w:rPr>
          <w:rFonts w:hint="eastAsia" w:hAnsi="宋体" w:cs="宋体"/>
          <w:color w:val="auto"/>
          <w:sz w:val="24"/>
          <w:szCs w:val="24"/>
          <w:highlight w:val="none"/>
          <w:lang w:val="en-US" w:eastAsia="zh-CN"/>
        </w:rPr>
        <w:t>审</w:t>
      </w:r>
      <w:r>
        <w:rPr>
          <w:rFonts w:hint="eastAsia" w:ascii="宋体" w:hAnsi="宋体" w:eastAsia="宋体" w:cs="宋体"/>
          <w:color w:val="auto"/>
          <w:sz w:val="24"/>
          <w:szCs w:val="24"/>
          <w:highlight w:val="none"/>
        </w:rPr>
        <w:t>查条件的合格供应商才能进入</w:t>
      </w:r>
      <w:r>
        <w:rPr>
          <w:rFonts w:hint="eastAsia" w:hAnsi="宋体" w:cs="宋体"/>
          <w:color w:val="auto"/>
          <w:sz w:val="24"/>
          <w:szCs w:val="24"/>
          <w:highlight w:val="none"/>
          <w:lang w:val="en-US" w:eastAsia="zh-CN"/>
        </w:rPr>
        <w:t>符合性审</w:t>
      </w:r>
      <w:r>
        <w:rPr>
          <w:rFonts w:hint="eastAsia" w:ascii="宋体" w:hAnsi="宋体" w:eastAsia="宋体" w:cs="宋体"/>
          <w:color w:val="auto"/>
          <w:sz w:val="24"/>
          <w:szCs w:val="24"/>
          <w:highlight w:val="none"/>
        </w:rPr>
        <w:t>查阶段。</w:t>
      </w:r>
    </w:p>
    <w:p w14:paraId="45CC088C">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符合性审查。依据磋商文件的规定，从响应文件的有效性、完整性和对磋商文件的响应程度</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进行审查，以确定是否对磋商文件的实质性要求作出响应。</w:t>
      </w:r>
    </w:p>
    <w:p w14:paraId="30CDEFC2">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磋商小组根据评审办法规定的评审因素和评审标准，对供应商的响应文件进行符合性检查。符合性检查不合格的供应商的响应文件</w:t>
      </w:r>
      <w:r>
        <w:rPr>
          <w:rFonts w:hint="eastAsia" w:hAnsi="宋体" w:cs="宋体"/>
          <w:color w:val="auto"/>
          <w:sz w:val="24"/>
          <w:szCs w:val="24"/>
          <w:highlight w:val="none"/>
          <w:lang w:val="en-US" w:eastAsia="zh-CN"/>
        </w:rPr>
        <w:t>将</w:t>
      </w:r>
      <w:r>
        <w:rPr>
          <w:rFonts w:hint="eastAsia" w:ascii="宋体" w:hAnsi="宋体" w:eastAsia="宋体" w:cs="宋体"/>
          <w:color w:val="auto"/>
          <w:sz w:val="24"/>
          <w:szCs w:val="24"/>
          <w:highlight w:val="none"/>
        </w:rPr>
        <w:t>作无效文件处理。</w:t>
      </w:r>
    </w:p>
    <w:p w14:paraId="731F43A5">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澄清有关问题。对响应文件中含义不明确、同类问题表述不一致或者有明显文字和计算错误的内容，磋商小组可要求供应商作出必要的澄清、说明或者纠正，并不得超出响应文件的范围或者改变响应文件的实质性内容。</w:t>
      </w:r>
    </w:p>
    <w:p w14:paraId="51F70BA6">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.4比较与评价。磋商小组按磋商文件中规定的评审标准，对资格性检查和符合性检查合格的响应文件进行商务和技术评估，综合比较与评价。</w:t>
      </w:r>
    </w:p>
    <w:p w14:paraId="39F10E21">
      <w:pPr>
        <w:pStyle w:val="16"/>
        <w:spacing w:line="360" w:lineRule="auto"/>
        <w:ind w:firstLine="480" w:firstLineChars="200"/>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.5磋商结束后，磋商小组应当要求所有实质性响应的供应商在规定时间内提交最后报价。供应商在未提高响应文件中承诺的</w:t>
      </w: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进度等</w:t>
      </w:r>
      <w:r>
        <w:rPr>
          <w:rFonts w:hint="eastAsia" w:ascii="宋体" w:hAnsi="宋体" w:eastAsia="宋体" w:cs="宋体"/>
          <w:color w:val="auto"/>
          <w:sz w:val="24"/>
          <w:szCs w:val="24"/>
          <w:highlight w:val="none"/>
        </w:rPr>
        <w:t>的情况下，其最后报价不得高于对该项目之前的报价，否则，磋商小组应当对其响应文件按无效处理，不允许进入综合评分，并书面告知供应商，说明理由。</w:t>
      </w:r>
    </w:p>
    <w:p w14:paraId="510D5EC4">
      <w:pPr>
        <w:pStyle w:val="16"/>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.6评审分值：总分值为100分，其中价格分值为30分，其余部分（技术及商务）分值为70分。具体评审评分内容详本磋商文件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第五章、评定成交方式和标准（综合评分法）”</w:t>
      </w:r>
    </w:p>
    <w:bookmarkEnd w:id="94"/>
    <w:bookmarkEnd w:id="95"/>
    <w:bookmarkEnd w:id="96"/>
    <w:bookmarkEnd w:id="97"/>
    <w:p w14:paraId="3F39F287">
      <w:pPr>
        <w:pStyle w:val="16"/>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8.7推荐成交候选供应商</w:t>
      </w:r>
    </w:p>
    <w:p w14:paraId="2FC22DD3">
      <w:pPr>
        <w:pStyle w:val="16"/>
        <w:spacing w:line="360" w:lineRule="auto"/>
        <w:ind w:firstLine="480" w:firstLineChars="20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4"/>
          <w:szCs w:val="24"/>
          <w:highlight w:val="none"/>
          <w:lang w:val="en-US" w:eastAsia="zh-CN"/>
        </w:rPr>
        <w:t>8.7.1各供应商的评审得分由高至低排序，评审得分排列前3名的供应商被推荐为成交候选供应商。评审得分相同的，按照最后报价由低到高的顺序推荐。评审得分且最后报价相同的，由磋商小组按照技术指标优劣顺序推荐第一名中标候选人。</w:t>
      </w:r>
    </w:p>
    <w:p w14:paraId="6F298D72">
      <w:pPr>
        <w:spacing w:line="360" w:lineRule="auto"/>
        <w:ind w:firstLine="482"/>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8.7.2评分计算结果保留两位小数，第三位小数四舍五入。</w:t>
      </w:r>
    </w:p>
    <w:p w14:paraId="0B2843F4">
      <w:pPr>
        <w:spacing w:line="360" w:lineRule="auto"/>
        <w:ind w:firstLine="482"/>
        <w:jc w:val="left"/>
        <w:rPr>
          <w:rFonts w:hint="eastAsia" w:ascii="宋体" w:hAnsi="宋体" w:eastAsia="宋体" w:cs="宋体"/>
          <w:color w:val="auto"/>
          <w:sz w:val="24"/>
          <w:szCs w:val="24"/>
          <w:highlight w:val="none"/>
          <w:lang w:val="en-US" w:eastAsia="zh-CN"/>
        </w:rPr>
      </w:pPr>
      <w:bookmarkStart w:id="102" w:name="_Toc243907610"/>
      <w:bookmarkStart w:id="103" w:name="_Toc233274848"/>
      <w:bookmarkStart w:id="104" w:name="_Toc245897309"/>
      <w:bookmarkStart w:id="105" w:name="_Toc243906349"/>
      <w:r>
        <w:rPr>
          <w:rFonts w:hint="eastAsia" w:ascii="宋体" w:hAnsi="宋体" w:eastAsia="宋体" w:cs="宋体"/>
          <w:color w:val="auto"/>
          <w:kern w:val="2"/>
          <w:sz w:val="24"/>
          <w:szCs w:val="24"/>
          <w:highlight w:val="none"/>
          <w:lang w:val="en-US" w:eastAsia="zh-CN" w:bidi="ar-SA"/>
        </w:rPr>
        <w:t>8.8</w:t>
      </w:r>
      <w:r>
        <w:rPr>
          <w:rFonts w:hint="eastAsia" w:ascii="宋体" w:hAnsi="宋体" w:cs="宋体"/>
          <w:color w:val="auto"/>
          <w:sz w:val="24"/>
          <w:szCs w:val="24"/>
          <w:highlight w:val="none"/>
        </w:rPr>
        <w:t>磋商小组复核。磋商小组评分汇总结束后，磋商小组应当进行评审复核，对拟推荐为成交候选供应商的、报价最低的、供应商资格审查未通过的、供应商</w:t>
      </w:r>
      <w:r>
        <w:rPr>
          <w:rFonts w:hint="eastAsia" w:ascii="宋体" w:hAnsi="宋体" w:eastAsia="宋体" w:cs="宋体"/>
          <w:color w:val="auto"/>
          <w:kern w:val="2"/>
          <w:sz w:val="24"/>
          <w:szCs w:val="24"/>
          <w:highlight w:val="none"/>
          <w:lang w:val="en-US" w:eastAsia="zh-CN" w:bidi="ar-SA"/>
        </w:rPr>
        <w:t>响应文件作无效处理的</w:t>
      </w:r>
      <w:r>
        <w:rPr>
          <w:rFonts w:hint="eastAsia" w:ascii="宋体" w:hAnsi="宋体" w:eastAsia="宋体" w:cs="宋体"/>
          <w:color w:val="auto"/>
          <w:sz w:val="24"/>
          <w:szCs w:val="24"/>
          <w:highlight w:val="none"/>
          <w:lang w:val="en-US" w:eastAsia="zh-CN"/>
        </w:rPr>
        <w:t>重点复核。</w:t>
      </w:r>
    </w:p>
    <w:p w14:paraId="0467D0E3">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8.9采</w:t>
      </w:r>
      <w:r>
        <w:rPr>
          <w:rFonts w:hint="eastAsia" w:ascii="宋体" w:hAnsi="宋体" w:eastAsia="宋体" w:cs="宋体"/>
          <w:color w:val="auto"/>
          <w:sz w:val="24"/>
          <w:szCs w:val="24"/>
          <w:highlight w:val="none"/>
        </w:rPr>
        <w:t>购人根据磋商小组推荐的成交候选供应商及有关规定确定成交供应商。</w:t>
      </w:r>
    </w:p>
    <w:p w14:paraId="5677A16F">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8.10在</w:t>
      </w:r>
      <w:r>
        <w:rPr>
          <w:rFonts w:hint="eastAsia" w:ascii="宋体" w:hAnsi="宋体" w:eastAsia="宋体" w:cs="宋体"/>
          <w:color w:val="auto"/>
          <w:sz w:val="24"/>
          <w:szCs w:val="24"/>
          <w:highlight w:val="none"/>
        </w:rPr>
        <w:t>确定成交供应商之前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采购人保留依法接受或拒绝任一或所有供应商的权力。</w:t>
      </w:r>
    </w:p>
    <w:p w14:paraId="4A4EB32D">
      <w:pPr>
        <w:spacing w:line="360" w:lineRule="auto"/>
        <w:ind w:firstLine="482"/>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成交通知</w:t>
      </w:r>
      <w:bookmarkEnd w:id="102"/>
      <w:bookmarkEnd w:id="103"/>
      <w:bookmarkEnd w:id="104"/>
      <w:bookmarkEnd w:id="105"/>
      <w:r>
        <w:rPr>
          <w:rFonts w:hint="eastAsia" w:ascii="宋体" w:hAnsi="宋体" w:eastAsia="宋体" w:cs="宋体"/>
          <w:b/>
          <w:bCs/>
          <w:color w:val="auto"/>
          <w:sz w:val="24"/>
          <w:szCs w:val="24"/>
          <w:highlight w:val="none"/>
        </w:rPr>
        <w:t>书</w:t>
      </w:r>
    </w:p>
    <w:p w14:paraId="10FF33D2">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.1在评审结束后2个工作日内将评审报告送采购人，采购人在收到评审报告后5个工作日内确定成交供应商。</w:t>
      </w:r>
    </w:p>
    <w:p w14:paraId="4FDB052D">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2采购人确定成交供应商后，及时通知采购代理机构，采购代理机构将按程序在成交供应商确定后2个工作内公告成交结果，公告内容合法，同时向成交供应商发出成交通知书，成交通知书一经发出即发生法律效力。</w:t>
      </w:r>
    </w:p>
    <w:p w14:paraId="6B2521F0">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.3《成交通知书》将是合同的组成部分。</w:t>
      </w:r>
    </w:p>
    <w:p w14:paraId="40E3EA47">
      <w:pPr>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.4采购人将通知其他未成交的供应商。</w:t>
      </w:r>
    </w:p>
    <w:p w14:paraId="647DA9E8">
      <w:pPr>
        <w:spacing w:line="360" w:lineRule="auto"/>
        <w:ind w:firstLine="482"/>
        <w:jc w:val="left"/>
        <w:rPr>
          <w:rFonts w:hint="eastAsia" w:ascii="宋体" w:hAnsi="宋体" w:cs="宋体"/>
          <w:b/>
          <w:bCs/>
          <w:color w:val="auto"/>
          <w:sz w:val="24"/>
          <w:szCs w:val="24"/>
          <w:highlight w:val="none"/>
        </w:rPr>
      </w:pPr>
      <w:bookmarkStart w:id="106" w:name="_Toc245897310"/>
      <w:bookmarkStart w:id="107" w:name="_Toc233274849"/>
      <w:bookmarkStart w:id="108" w:name="_Toc243907611"/>
      <w:bookmarkStart w:id="109" w:name="_Toc243906350"/>
      <w:r>
        <w:rPr>
          <w:rFonts w:hint="eastAsia" w:ascii="宋体" w:hAnsi="宋体" w:cs="宋体"/>
          <w:b/>
          <w:bCs/>
          <w:color w:val="auto"/>
          <w:sz w:val="24"/>
          <w:szCs w:val="24"/>
          <w:highlight w:val="none"/>
          <w:lang w:val="en-US" w:eastAsia="zh-CN"/>
        </w:rPr>
        <w:t>10</w:t>
      </w:r>
      <w:r>
        <w:rPr>
          <w:rFonts w:hint="eastAsia" w:ascii="宋体" w:hAnsi="宋体" w:cs="宋体"/>
          <w:b/>
          <w:bCs/>
          <w:color w:val="auto"/>
          <w:sz w:val="24"/>
          <w:szCs w:val="24"/>
          <w:highlight w:val="none"/>
        </w:rPr>
        <w:t>、纪律与保密事项</w:t>
      </w:r>
      <w:bookmarkEnd w:id="106"/>
      <w:bookmarkEnd w:id="107"/>
      <w:bookmarkEnd w:id="108"/>
      <w:bookmarkEnd w:id="109"/>
    </w:p>
    <w:p w14:paraId="22100D89">
      <w:pPr>
        <w:spacing w:line="360" w:lineRule="auto"/>
        <w:ind w:firstLine="482"/>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.1凡参与磋商工作的有关人员均应自觉接受有关主管部门的监督，不得向他人透露可能影响公平竞争的有关磋商的其他情况。</w:t>
      </w:r>
    </w:p>
    <w:p w14:paraId="54009E16">
      <w:pPr>
        <w:spacing w:line="360" w:lineRule="auto"/>
        <w:ind w:firstLine="482"/>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2领取本磋商文件及其它相关资料者，应对文件进行保密，不得用作本次磋商以外的任何用途。由采购人向供应商提供的图纸、技术资料和所有其它资料，均视为保密资料，除非得到采购人的同意，不得向第三方透露。</w:t>
      </w:r>
    </w:p>
    <w:p w14:paraId="00DEB1B0">
      <w:pPr>
        <w:spacing w:line="360" w:lineRule="auto"/>
        <w:ind w:firstLine="482"/>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.3供应商不得与采购人串通磋商，不得向采购人或者磋商小组成员行贿谋取成交，不得以他人名义参与磋商或者以其它任何方式弄虚作假骗取参与磋商。供应商不得以任何方式干扰、影响评审工作。</w:t>
      </w:r>
    </w:p>
    <w:p w14:paraId="15295C98">
      <w:pPr>
        <w:spacing w:line="360" w:lineRule="auto"/>
        <w:ind w:firstLine="482"/>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4供应商不得在磋商过程中互相串通、结盟、损害磋商的公正性和竞争性，或以任何方式影响其他供应商参与正当磋商。扰乱磋商市场，破坏公平竞争原则。如供应商在磋商过程中互相串通，一经查实，将取消磋商资格。</w:t>
      </w:r>
    </w:p>
    <w:p w14:paraId="45328B89">
      <w:pPr>
        <w:spacing w:line="360" w:lineRule="auto"/>
        <w:ind w:firstLine="482"/>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.5磋商之日起直至授予成交供应商合同为止，凡属于对响应文件的审查、澄清、评价、比较有关的资料和成交候选人的推荐情况及与评审有关的其他任何情况均严格保密。</w:t>
      </w:r>
    </w:p>
    <w:p w14:paraId="097103A7">
      <w:pPr>
        <w:spacing w:line="360" w:lineRule="auto"/>
        <w:ind w:firstLine="482"/>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.6从磋商之日起至授予合同期间，供应商试图向磋商小组、采购代理机构施加任何影响或对采购人的比较及授予合同的决定进行影响，都可能导致其响应文件被拒绝。</w:t>
      </w:r>
    </w:p>
    <w:p w14:paraId="1ABDE2A6">
      <w:pPr>
        <w:spacing w:line="360" w:lineRule="auto"/>
        <w:ind w:firstLine="482"/>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.7除供应商被要求对响应文件进行澄清外，从磋商之时起至授予合同期间，供应商不得就与其响应文件有关的事项主动与磋商小组、采购代理机构以及采购人联系。</w:t>
      </w:r>
    </w:p>
    <w:p w14:paraId="256A23FB">
      <w:pPr>
        <w:spacing w:line="360" w:lineRule="auto"/>
        <w:ind w:firstLine="482"/>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.8成交供应商确定后，采购人不对未成交供应商就评审过程以及未能成交原因作出任何解释，未成交供应商不得向磋商小组或其他有关人员询问评审过程的情况和索取评审过程的资料。</w:t>
      </w:r>
    </w:p>
    <w:p w14:paraId="3E87B585">
      <w:pPr>
        <w:pStyle w:val="16"/>
        <w:spacing w:line="360" w:lineRule="auto"/>
        <w:ind w:firstLine="482" w:firstLineChars="200"/>
        <w:outlineLvl w:val="1"/>
        <w:rPr>
          <w:rFonts w:hint="eastAsia" w:hAnsi="宋体" w:cs="宋体"/>
          <w:b/>
          <w:bCs/>
          <w:color w:val="auto"/>
          <w:sz w:val="24"/>
          <w:szCs w:val="24"/>
          <w:highlight w:val="none"/>
        </w:rPr>
      </w:pPr>
      <w:r>
        <w:rPr>
          <w:rFonts w:hint="eastAsia" w:hAnsi="宋体" w:cs="宋体"/>
          <w:b/>
          <w:bCs/>
          <w:color w:val="auto"/>
          <w:sz w:val="24"/>
          <w:szCs w:val="24"/>
          <w:highlight w:val="none"/>
          <w:lang w:val="en-US" w:eastAsia="zh-CN"/>
        </w:rPr>
        <w:t>11</w:t>
      </w:r>
      <w:r>
        <w:rPr>
          <w:rFonts w:hint="eastAsia" w:hAnsi="宋体" w:cs="宋体"/>
          <w:b/>
          <w:bCs/>
          <w:color w:val="auto"/>
          <w:sz w:val="24"/>
          <w:szCs w:val="24"/>
          <w:highlight w:val="none"/>
        </w:rPr>
        <w:t>、授予合同</w:t>
      </w:r>
    </w:p>
    <w:p w14:paraId="5FDED4B5">
      <w:pPr>
        <w:pStyle w:val="16"/>
        <w:spacing w:line="360" w:lineRule="auto"/>
        <w:ind w:firstLine="480" w:firstLineChars="200"/>
        <w:outlineLvl w:val="1"/>
        <w:rPr>
          <w:rFonts w:hint="eastAsia" w:hAnsi="宋体" w:cs="宋体"/>
          <w:color w:val="auto"/>
          <w:sz w:val="24"/>
          <w:szCs w:val="24"/>
          <w:highlight w:val="none"/>
        </w:rPr>
      </w:pPr>
      <w:r>
        <w:rPr>
          <w:rFonts w:hint="eastAsia" w:hAnsi="宋体" w:cs="宋体"/>
          <w:color w:val="auto"/>
          <w:sz w:val="24"/>
          <w:szCs w:val="24"/>
          <w:highlight w:val="none"/>
          <w:lang w:val="en-US" w:eastAsia="zh-CN"/>
        </w:rPr>
        <w:t>11</w:t>
      </w:r>
      <w:r>
        <w:rPr>
          <w:rFonts w:hint="eastAsia" w:hAnsi="宋体" w:cs="宋体"/>
          <w:color w:val="auto"/>
          <w:sz w:val="24"/>
          <w:szCs w:val="24"/>
          <w:highlight w:val="none"/>
        </w:rPr>
        <w:t>.1本采购项目的采购合同将授予按本须知确定成交供应商。</w:t>
      </w:r>
    </w:p>
    <w:p w14:paraId="423F0FA7">
      <w:pPr>
        <w:pStyle w:val="16"/>
        <w:spacing w:line="360" w:lineRule="auto"/>
        <w:ind w:firstLine="482" w:firstLineChars="200"/>
        <w:outlineLvl w:val="1"/>
        <w:rPr>
          <w:rFonts w:hint="eastAsia" w:ascii="宋体" w:hAnsi="宋体" w:eastAsia="宋体" w:cs="宋体"/>
          <w:b/>
          <w:bCs/>
          <w:color w:val="auto"/>
          <w:sz w:val="24"/>
          <w:szCs w:val="24"/>
          <w:highlight w:val="none"/>
        </w:rPr>
      </w:pPr>
      <w:bookmarkStart w:id="110" w:name="_Toc243907620"/>
      <w:bookmarkStart w:id="111" w:name="_Toc243906357"/>
      <w:bookmarkStart w:id="112" w:name="_Toc233274855"/>
      <w:bookmarkStart w:id="113" w:name="_Toc245897317"/>
      <w:bookmarkStart w:id="114" w:name="_Toc243907621"/>
      <w:bookmarkStart w:id="115" w:name="_Toc245897318"/>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、签订合同</w:t>
      </w:r>
      <w:bookmarkEnd w:id="110"/>
      <w:bookmarkEnd w:id="111"/>
      <w:bookmarkEnd w:id="112"/>
      <w:bookmarkEnd w:id="113"/>
    </w:p>
    <w:p w14:paraId="5F0B9087">
      <w:pPr>
        <w:pStyle w:val="16"/>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.1成交供应商应当自成交通知书发出之日起三十日内，按照磋商文件和成交供应商的响应文件订立书面合同。成交供应商不得要求订立背离本响应文件合同文本等响应文件实质性内容的其他协议。</w:t>
      </w:r>
    </w:p>
    <w:p w14:paraId="31B5BB0B">
      <w:pPr>
        <w:pStyle w:val="16"/>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.2成交通知书、成交供应商的响应文件及其澄清文件、技术规范及标准、项目采购需求、本磋商文件（含修改文件或补充文件）及答疑纪要等，均为签订合同的依据。</w:t>
      </w:r>
    </w:p>
    <w:p w14:paraId="2756B5F4">
      <w:pPr>
        <w:pStyle w:val="16"/>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.3采购人如</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rPr>
        <w:t>与成交供应商签订合同，或者采购人、成交供应商签订背离合同实质性内容的协议，由监督管理部门责令其改正。</w:t>
      </w:r>
    </w:p>
    <w:p w14:paraId="5E2A23EF">
      <w:pPr>
        <w:pStyle w:val="16"/>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.4成交供应商如不与采购人签订合同，则按违约处理，采购人将有权取消成交供应商资格，给采购人造成损失的，还应当予以赔偿，同时依法承担相应的法律责任。</w:t>
      </w:r>
    </w:p>
    <w:p w14:paraId="6CEB410E">
      <w:pPr>
        <w:pStyle w:val="16"/>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.5成交供应商拒绝与采购人签订合同的，采购人可以按照评审报告推荐的成交候选人名单排序，确定下一名候选人为成交供应商，并组织重新选定的成交供应商和采购人签订合同，也可以重新开展政府采购活动。</w:t>
      </w:r>
    </w:p>
    <w:p w14:paraId="4134D674">
      <w:pPr>
        <w:pStyle w:val="16"/>
        <w:spacing w:line="360" w:lineRule="auto"/>
        <w:ind w:firstLine="480" w:firstLineChars="200"/>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.6未成交供应商的保证金在成交通知书发出</w:t>
      </w:r>
      <w:r>
        <w:rPr>
          <w:rFonts w:hint="eastAsia" w:ascii="宋体" w:hAnsi="宋体" w:eastAsia="宋体" w:cs="宋体"/>
          <w:color w:val="auto"/>
          <w:sz w:val="24"/>
          <w:szCs w:val="24"/>
          <w:highlight w:val="none"/>
          <w:lang w:val="en-US" w:eastAsia="zh-CN"/>
        </w:rPr>
        <w:t>之日起</w:t>
      </w:r>
      <w:r>
        <w:rPr>
          <w:rFonts w:hint="eastAsia" w:ascii="宋体" w:hAnsi="宋体" w:eastAsia="宋体" w:cs="宋体"/>
          <w:color w:val="auto"/>
          <w:sz w:val="24"/>
          <w:szCs w:val="24"/>
          <w:highlight w:val="none"/>
        </w:rPr>
        <w:t>5个工作日内退还，成交供应商的保证金在采购合同签订</w:t>
      </w:r>
      <w:r>
        <w:rPr>
          <w:rFonts w:hint="eastAsia" w:ascii="宋体" w:hAnsi="宋体" w:eastAsia="宋体" w:cs="宋体"/>
          <w:color w:val="auto"/>
          <w:sz w:val="24"/>
          <w:szCs w:val="24"/>
          <w:highlight w:val="none"/>
          <w:lang w:val="en-US" w:eastAsia="zh-CN"/>
        </w:rPr>
        <w:t>之日起</w:t>
      </w:r>
      <w:r>
        <w:rPr>
          <w:rFonts w:hint="eastAsia" w:ascii="宋体" w:hAnsi="宋体" w:eastAsia="宋体" w:cs="宋体"/>
          <w:color w:val="auto"/>
          <w:sz w:val="24"/>
          <w:szCs w:val="24"/>
          <w:highlight w:val="none"/>
        </w:rPr>
        <w:t>5个工作日内退还</w:t>
      </w:r>
      <w:r>
        <w:rPr>
          <w:rFonts w:hint="eastAsia" w:ascii="宋体" w:hAnsi="宋体" w:eastAsia="宋体" w:cs="宋体"/>
          <w:color w:val="auto"/>
          <w:sz w:val="24"/>
          <w:szCs w:val="24"/>
          <w:highlight w:val="none"/>
          <w:lang w:eastAsia="zh-CN"/>
        </w:rPr>
        <w:t>。</w:t>
      </w:r>
    </w:p>
    <w:bookmarkEnd w:id="114"/>
    <w:bookmarkEnd w:id="115"/>
    <w:p w14:paraId="752D3098">
      <w:pPr>
        <w:pStyle w:val="16"/>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13</w:t>
      </w:r>
      <w:r>
        <w:rPr>
          <w:rFonts w:hint="eastAsia" w:ascii="宋体" w:hAnsi="宋体" w:eastAsia="宋体" w:cs="宋体"/>
          <w:b/>
          <w:bCs/>
          <w:color w:val="auto"/>
          <w:sz w:val="24"/>
          <w:szCs w:val="24"/>
          <w:highlight w:val="none"/>
        </w:rPr>
        <w:t>、合同的签订准则</w:t>
      </w:r>
    </w:p>
    <w:p w14:paraId="4A0EF60F">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.1合同签订必须由采购人、成交供应商双方法定代表或其委托代理人签署并加盖法人公章后方能生效。</w:t>
      </w:r>
    </w:p>
    <w:p w14:paraId="37C1FE8F">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.2合同转包（实质性要求）</w:t>
      </w:r>
    </w:p>
    <w:p w14:paraId="36F5CAC1">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28A6C727">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成交供应商转包的，视同拒绝履行政府采购合同义务，将依法追究法律责任。</w:t>
      </w:r>
    </w:p>
    <w:p w14:paraId="3678B085">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.3补充合同</w:t>
      </w:r>
    </w:p>
    <w:p w14:paraId="270FA9A5">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采购合同履行过程中，采购人需要追加与合同标的相同的</w:t>
      </w:r>
      <w:r>
        <w:rPr>
          <w:rFonts w:hint="eastAsia" w:ascii="宋体" w:hAnsi="宋体" w:eastAsia="宋体" w:cs="宋体"/>
          <w:color w:val="auto"/>
          <w:sz w:val="24"/>
          <w:szCs w:val="24"/>
          <w:highlight w:val="none"/>
          <w:lang w:val="en-US" w:eastAsia="zh-CN"/>
        </w:rPr>
        <w:t>货物、服务</w:t>
      </w:r>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rPr>
        <w:t xml:space="preserve">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 </w:t>
      </w:r>
    </w:p>
    <w:p w14:paraId="32356BFF">
      <w:pPr>
        <w:pStyle w:val="16"/>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14</w:t>
      </w:r>
      <w:r>
        <w:rPr>
          <w:rFonts w:hint="eastAsia" w:ascii="宋体" w:hAnsi="宋体" w:eastAsia="宋体" w:cs="宋体"/>
          <w:b/>
          <w:bCs/>
          <w:color w:val="auto"/>
          <w:sz w:val="24"/>
          <w:szCs w:val="24"/>
          <w:highlight w:val="none"/>
        </w:rPr>
        <w:t>询问、质疑、投诉</w:t>
      </w:r>
    </w:p>
    <w:p w14:paraId="245C2883">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14.1</w:t>
      </w:r>
      <w:r>
        <w:rPr>
          <w:rFonts w:hint="eastAsia" w:ascii="宋体" w:hAnsi="宋体" w:eastAsia="宋体" w:cs="宋体"/>
          <w:color w:val="auto"/>
          <w:sz w:val="24"/>
          <w:szCs w:val="24"/>
          <w:highlight w:val="none"/>
        </w:rPr>
        <w:t>询问</w:t>
      </w:r>
    </w:p>
    <w:p w14:paraId="4B2855C7">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供应商对采购活动事项有疑问的，可以向采购人或采购代理机构提出询问，采购人或采购代理机构应当在三个工作日内对供应商依法提出的询问作出答复，但答复的内容不得涉及商业秘密。</w:t>
      </w:r>
    </w:p>
    <w:p w14:paraId="48CFF12F">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14.2</w:t>
      </w:r>
      <w:r>
        <w:rPr>
          <w:rFonts w:hint="eastAsia" w:ascii="宋体" w:hAnsi="宋体" w:eastAsia="宋体" w:cs="宋体"/>
          <w:color w:val="auto"/>
          <w:sz w:val="24"/>
          <w:szCs w:val="24"/>
          <w:highlight w:val="none"/>
        </w:rPr>
        <w:t>质疑</w:t>
      </w:r>
    </w:p>
    <w:p w14:paraId="74940F5A">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14.2.1</w:t>
      </w:r>
      <w:r>
        <w:rPr>
          <w:rFonts w:hint="eastAsia" w:ascii="宋体" w:hAnsi="宋体" w:eastAsia="宋体" w:cs="宋体"/>
          <w:color w:val="auto"/>
          <w:sz w:val="24"/>
          <w:szCs w:val="24"/>
          <w:highlight w:val="none"/>
        </w:rPr>
        <w:t xml:space="preserve"> 供应商认为采购文件、采购过程和中标、成交结果使自己的合法权益受到损害的，可以在知道或者应知其权益受到损害之日起七个工作日内，将质疑文件原件和必要的证明材料送达采购代理机构。</w:t>
      </w:r>
    </w:p>
    <w:p w14:paraId="65D93008">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14.2.2</w:t>
      </w:r>
      <w:r>
        <w:rPr>
          <w:rFonts w:hint="eastAsia" w:ascii="宋体" w:hAnsi="宋体" w:eastAsia="宋体" w:cs="宋体"/>
          <w:color w:val="auto"/>
          <w:sz w:val="24"/>
          <w:szCs w:val="24"/>
          <w:highlight w:val="none"/>
        </w:rPr>
        <w:t xml:space="preserve"> 供应商认为采购文件技术指标、参数、评分标准有质疑，向采购人提出，由采购人按相关规定作出答复或委托采购代理机构代为答复。供应商如对采购过程和采购结果有质疑，向采购代理机构提出，由采购代理机构按相关规定作出答复。</w:t>
      </w:r>
    </w:p>
    <w:p w14:paraId="7D734634">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14.2.3</w:t>
      </w:r>
      <w:r>
        <w:rPr>
          <w:rFonts w:hint="eastAsia" w:ascii="宋体" w:hAnsi="宋体" w:eastAsia="宋体" w:cs="宋体"/>
          <w:color w:val="auto"/>
          <w:sz w:val="24"/>
          <w:szCs w:val="24"/>
          <w:highlight w:val="none"/>
        </w:rPr>
        <w:t xml:space="preserve"> 上述应知其权益受到损害之日是指： </w:t>
      </w:r>
    </w:p>
    <w:p w14:paraId="32C3DCEF">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（1）对采购文件提出质疑的，为采购文件公告期限届满之日起计算； </w:t>
      </w:r>
    </w:p>
    <w:p w14:paraId="1A191BC5">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（2）对采购过程提出质疑的，自采购程序环节结束之日起计算；</w:t>
      </w:r>
    </w:p>
    <w:p w14:paraId="4FE5303D">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（3）对中标或者成交结果提出质疑的，自中标或者成交结果公告期限届满之日起计算。</w:t>
      </w:r>
    </w:p>
    <w:p w14:paraId="42714CBA">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14.2.4</w:t>
      </w:r>
      <w:r>
        <w:rPr>
          <w:rFonts w:hint="eastAsia" w:ascii="宋体" w:hAnsi="宋体" w:eastAsia="宋体" w:cs="宋体"/>
          <w:color w:val="auto"/>
          <w:sz w:val="24"/>
          <w:szCs w:val="24"/>
          <w:highlight w:val="none"/>
        </w:rPr>
        <w:t xml:space="preserve"> 质疑供应商在法定质疑期内应当一次性提出针对同一采购环节提出质疑。</w:t>
      </w:r>
    </w:p>
    <w:p w14:paraId="51BCAE48">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14.2.5</w:t>
      </w:r>
      <w:r>
        <w:rPr>
          <w:rFonts w:hint="eastAsia" w:ascii="宋体" w:hAnsi="宋体" w:eastAsia="宋体" w:cs="宋体"/>
          <w:color w:val="auto"/>
          <w:sz w:val="24"/>
          <w:szCs w:val="24"/>
          <w:highlight w:val="none"/>
        </w:rPr>
        <w:t xml:space="preserve"> 质疑文件应包括以下主要内容，并按照“谁主张、谁举证”的原则，附上相关证明材料。否则，采购代理机构不予受理【财政部发布了《政府采购供应商质疑函范本》和《政府采购供应商投诉书范本》，两范本指供应商提出质疑、投诉人提起投诉时，应提交的质疑函、投诉书和必要的证明材料（下载路径：中国政府采购网→下载专区）】：　　　　　　　</w:t>
      </w:r>
    </w:p>
    <w:p w14:paraId="5BFE1773">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（1）供应商的姓名或者名称、地址、邮编、联系人及联系电话（包括座机、手机、传真号码等）； </w:t>
      </w:r>
    </w:p>
    <w:p w14:paraId="05B9211C">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（2）质疑项目的名称、项目编号、包号、采购公告发布时间、递交投标文件或响应文件截止时间； </w:t>
      </w:r>
    </w:p>
    <w:p w14:paraId="742C5372">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（3）具体、明确的质疑事项和与质疑事项相关的请求； </w:t>
      </w:r>
    </w:p>
    <w:p w14:paraId="235F6CF2">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（4）事实依据（具体条款，认为自己合法权益受到损害或可能受到损害的相关证据材料。如涉及到产品功能或技术指标的，应出具相关制造商的证明文件）； </w:t>
      </w:r>
    </w:p>
    <w:p w14:paraId="1FC49FD5">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（5）必要的法律依据； </w:t>
      </w:r>
    </w:p>
    <w:p w14:paraId="0516E538">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（6）提起质疑的日期；</w:t>
      </w:r>
    </w:p>
    <w:p w14:paraId="513FF1B1">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（7）质疑文件应当署名，质疑人为自然人的，应当由本人签字并附有效身份证明；质疑人为法人或其他组织的，应当由法定代表人签字并加盖单位公章；</w:t>
      </w:r>
    </w:p>
    <w:p w14:paraId="7F3352A6">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（8）供应商委托代理质疑的，应当提交授权委托书，并载明代理人的姓名或者名称、代理事项、具体权限、期限和相关事项。</w:t>
      </w:r>
    </w:p>
    <w:p w14:paraId="5B91B850">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14.2.6</w:t>
      </w:r>
      <w:r>
        <w:rPr>
          <w:rFonts w:hint="eastAsia" w:ascii="宋体" w:hAnsi="宋体" w:eastAsia="宋体" w:cs="宋体"/>
          <w:color w:val="auto"/>
          <w:sz w:val="24"/>
          <w:szCs w:val="24"/>
          <w:highlight w:val="none"/>
        </w:rPr>
        <w:t>质疑供应商是指直接参加本项目采购活动的供应商，未参加政府采购活动的供应商或在采购活动中自身权益未受到损害的供应商所提出的质疑不予受理。</w:t>
      </w:r>
    </w:p>
    <w:p w14:paraId="00B443BB">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14.2.7</w:t>
      </w:r>
      <w:r>
        <w:rPr>
          <w:rFonts w:hint="eastAsia" w:ascii="宋体" w:hAnsi="宋体" w:eastAsia="宋体" w:cs="宋体"/>
          <w:color w:val="auto"/>
          <w:sz w:val="24"/>
          <w:szCs w:val="24"/>
          <w:highlight w:val="none"/>
        </w:rPr>
        <w:t>采购人、采购代理机构在收到供应商的书面质疑后将及时组织调查核实，在七个工作日内作出答复，并以书面形式通知质疑供应商和其他有关供应商，答复的内容不涉及商业秘密。</w:t>
      </w:r>
    </w:p>
    <w:p w14:paraId="786CAE2E">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14.3</w:t>
      </w:r>
      <w:r>
        <w:rPr>
          <w:rFonts w:hint="eastAsia" w:ascii="宋体" w:hAnsi="宋体" w:eastAsia="宋体" w:cs="宋体"/>
          <w:color w:val="auto"/>
          <w:sz w:val="24"/>
          <w:szCs w:val="24"/>
          <w:highlight w:val="none"/>
        </w:rPr>
        <w:t>投诉</w:t>
      </w:r>
    </w:p>
    <w:p w14:paraId="209D77EC">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14.3.</w:t>
      </w:r>
      <w:r>
        <w:rPr>
          <w:rFonts w:hint="eastAsia" w:ascii="宋体" w:hAnsi="宋体" w:eastAsia="宋体" w:cs="宋体"/>
          <w:color w:val="auto"/>
          <w:sz w:val="24"/>
          <w:szCs w:val="24"/>
          <w:highlight w:val="none"/>
        </w:rPr>
        <w:t>1质疑供应商对采购人、采购代理机构的答复不满意，或采购人、采购代理机构未在规定的时间内作出答复的，可以在答复期满后十五个工作日内向采购项目同级财政部门提起投诉。</w:t>
      </w:r>
    </w:p>
    <w:p w14:paraId="22947072">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14.3.</w:t>
      </w:r>
      <w:r>
        <w:rPr>
          <w:rFonts w:hint="eastAsia" w:ascii="宋体" w:hAnsi="宋体" w:eastAsia="宋体" w:cs="宋体"/>
          <w:color w:val="auto"/>
          <w:sz w:val="24"/>
          <w:szCs w:val="24"/>
          <w:highlight w:val="none"/>
        </w:rPr>
        <w:t>2供应商投诉的事项不得超出已质疑事项的范围，但基于质疑答复内容提出的投诉事项除外。</w:t>
      </w:r>
    </w:p>
    <w:p w14:paraId="16AD32E0">
      <w:pPr>
        <w:pStyle w:val="16"/>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rPr>
        <w:t>、诚实信用</w:t>
      </w:r>
    </w:p>
    <w:p w14:paraId="6E46A808">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.1供应商不得虚假承诺，否则，按照提供虚假材料谋取中标或成交处理。</w:t>
      </w:r>
    </w:p>
    <w:p w14:paraId="2B35646C">
      <w:pPr>
        <w:pStyle w:val="16"/>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16</w:t>
      </w:r>
      <w:r>
        <w:rPr>
          <w:rFonts w:hint="eastAsia" w:ascii="宋体" w:hAnsi="宋体" w:eastAsia="宋体" w:cs="宋体"/>
          <w:b/>
          <w:bCs/>
          <w:color w:val="auto"/>
          <w:sz w:val="24"/>
          <w:szCs w:val="24"/>
          <w:highlight w:val="none"/>
        </w:rPr>
        <w:t>、磋商小组在政府采购活动中承担以下义务：</w:t>
      </w:r>
    </w:p>
    <w:p w14:paraId="53A1C016">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（一）遵守评审工作纪律；</w:t>
      </w:r>
    </w:p>
    <w:p w14:paraId="1FD6B218">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（二）按照客观、公正、审慎的原则，根据磋商文件规定的评审程序、评审方法和评审标准进行独立评审；</w:t>
      </w:r>
    </w:p>
    <w:p w14:paraId="7BC90434">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（三）不得泄露评审文件、评审情况和在评审过程中获悉的商业秘密；</w:t>
      </w:r>
    </w:p>
    <w:p w14:paraId="00CBEFF4">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（四）及时向财政部门报告评审过程中发现的采购人、采购代理机构向评审专家做倾向性、误导性的解释或者说明，以及供应商行贿、提供虚假材料或者串通等违法行为；</w:t>
      </w:r>
    </w:p>
    <w:p w14:paraId="327AABB1">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（五）发现磋商文件内容违反国家有关强制性规定或者磋商文件存在歧义、重大缺陷导致评审工作无法进行时，停止评审并向采购人或者采购代理机构书面说明情况；</w:t>
      </w:r>
    </w:p>
    <w:p w14:paraId="09987578">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（六）及时向财政、监察等部门举报在评审过程中受到非法干预的情况；</w:t>
      </w:r>
    </w:p>
    <w:p w14:paraId="440E9B53">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（七）配合答复处理供应商的询问、质疑和投诉等事项；</w:t>
      </w:r>
    </w:p>
    <w:p w14:paraId="5C56349B">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（八）法律、法规和规章规定的其他义务。</w:t>
      </w:r>
    </w:p>
    <w:p w14:paraId="027BD5F4">
      <w:pPr>
        <w:pStyle w:val="16"/>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17</w:t>
      </w:r>
      <w:r>
        <w:rPr>
          <w:rFonts w:hint="eastAsia" w:ascii="宋体" w:hAnsi="宋体" w:eastAsia="宋体" w:cs="宋体"/>
          <w:b/>
          <w:bCs/>
          <w:color w:val="auto"/>
          <w:sz w:val="24"/>
          <w:szCs w:val="24"/>
          <w:highlight w:val="none"/>
        </w:rPr>
        <w:t>、评审专家在政府采购活动中应当遵守以下工作纪律：</w:t>
      </w:r>
    </w:p>
    <w:p w14:paraId="70F99467">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（一）不得参加与自己有《中华人民共和国政府采购法实施条例》第九条规定的利害关系的政府采购项目的评标活动。发现参加了与自己有利害关系的评审活动，须主动提出回避，退出评审；</w:t>
      </w:r>
    </w:p>
    <w:p w14:paraId="34DC313E">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（二）评审前，应当将通讯工具或者相关电子设备交由采购代理机构统一保管；</w:t>
      </w:r>
    </w:p>
    <w:p w14:paraId="7D73649B">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（三）评审过程中，不得与外界联系，因发生不可预见情况，确实需要与外界联系的，应当在监督人员监督之下办理；</w:t>
      </w:r>
    </w:p>
    <w:p w14:paraId="69BBFB66">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0FDCA558">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（五）在评审过程中和评审结束后，不得记录、复制或带走任何评审资料，不得向外界透露评审内容；</w:t>
      </w:r>
    </w:p>
    <w:p w14:paraId="55A2A8F3">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（六）评审现场服从采购代理机构工作人员的管理，接受现场监督人员的合法监督；</w:t>
      </w:r>
    </w:p>
    <w:p w14:paraId="74F1A0B2">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（七）遵守有关廉洁自律规定，不得私下接触供应商，不得收受供应商及有关业务单位和个人的财物或好处，不得接受采购代理机构的请托。</w:t>
      </w:r>
    </w:p>
    <w:p w14:paraId="767552BE">
      <w:pPr>
        <w:pStyle w:val="16"/>
        <w:spacing w:line="360" w:lineRule="auto"/>
        <w:ind w:firstLine="480" w:firstLineChars="200"/>
        <w:rPr>
          <w:rFonts w:hint="eastAsia" w:ascii="宋体" w:hAnsi="宋体" w:eastAsia="宋体" w:cs="宋体"/>
          <w:color w:val="auto"/>
          <w:sz w:val="24"/>
          <w:szCs w:val="24"/>
          <w:highlight w:val="none"/>
        </w:rPr>
      </w:pPr>
    </w:p>
    <w:p w14:paraId="5A2A539B">
      <w:pPr>
        <w:pStyle w:val="16"/>
        <w:spacing w:line="360" w:lineRule="auto"/>
        <w:ind w:firstLine="480" w:firstLineChars="200"/>
        <w:rPr>
          <w:rFonts w:hint="eastAsia" w:ascii="宋体" w:hAnsi="宋体" w:eastAsia="宋体" w:cs="宋体"/>
          <w:color w:val="auto"/>
          <w:sz w:val="24"/>
          <w:szCs w:val="24"/>
          <w:highlight w:val="none"/>
        </w:rPr>
      </w:pPr>
    </w:p>
    <w:p w14:paraId="655FFF8E">
      <w:pPr>
        <w:pStyle w:val="16"/>
        <w:spacing w:line="360" w:lineRule="auto"/>
        <w:ind w:firstLine="480" w:firstLineChars="200"/>
        <w:rPr>
          <w:rFonts w:hint="eastAsia" w:ascii="宋体" w:hAnsi="宋体" w:eastAsia="宋体" w:cs="宋体"/>
          <w:color w:val="auto"/>
          <w:sz w:val="24"/>
          <w:szCs w:val="24"/>
          <w:highlight w:val="none"/>
        </w:rPr>
      </w:pPr>
    </w:p>
    <w:p w14:paraId="27248AB0">
      <w:pPr>
        <w:pStyle w:val="16"/>
        <w:spacing w:line="360" w:lineRule="auto"/>
        <w:ind w:firstLine="480" w:firstLineChars="200"/>
        <w:rPr>
          <w:rFonts w:hint="eastAsia" w:ascii="宋体" w:hAnsi="宋体" w:eastAsia="宋体" w:cs="宋体"/>
          <w:color w:val="auto"/>
          <w:sz w:val="24"/>
          <w:szCs w:val="24"/>
          <w:highlight w:val="none"/>
        </w:rPr>
      </w:pPr>
    </w:p>
    <w:p w14:paraId="059FD583">
      <w:pPr>
        <w:pStyle w:val="16"/>
        <w:spacing w:line="360" w:lineRule="auto"/>
        <w:ind w:firstLine="480" w:firstLineChars="200"/>
        <w:rPr>
          <w:rFonts w:hint="eastAsia" w:ascii="宋体" w:hAnsi="宋体" w:eastAsia="宋体" w:cs="宋体"/>
          <w:color w:val="auto"/>
          <w:sz w:val="24"/>
          <w:szCs w:val="24"/>
          <w:highlight w:val="none"/>
        </w:rPr>
      </w:pPr>
    </w:p>
    <w:p w14:paraId="56EF9A63">
      <w:pPr>
        <w:pStyle w:val="16"/>
        <w:spacing w:line="360" w:lineRule="auto"/>
        <w:ind w:firstLine="480" w:firstLineChars="200"/>
        <w:rPr>
          <w:rFonts w:hint="eastAsia" w:ascii="宋体" w:hAnsi="宋体" w:eastAsia="宋体" w:cs="宋体"/>
          <w:color w:val="auto"/>
          <w:sz w:val="24"/>
          <w:szCs w:val="24"/>
          <w:highlight w:val="none"/>
        </w:rPr>
      </w:pPr>
    </w:p>
    <w:p w14:paraId="41A5FFA8">
      <w:pPr>
        <w:pStyle w:val="16"/>
        <w:spacing w:line="360" w:lineRule="auto"/>
        <w:ind w:firstLine="480" w:firstLineChars="200"/>
        <w:rPr>
          <w:rFonts w:hint="eastAsia" w:ascii="宋体" w:hAnsi="宋体" w:eastAsia="宋体" w:cs="宋体"/>
          <w:color w:val="auto"/>
          <w:sz w:val="24"/>
          <w:szCs w:val="24"/>
          <w:highlight w:val="none"/>
        </w:rPr>
      </w:pPr>
    </w:p>
    <w:p w14:paraId="58BF050E">
      <w:pPr>
        <w:pStyle w:val="16"/>
        <w:spacing w:line="360" w:lineRule="auto"/>
        <w:ind w:firstLine="480" w:firstLineChars="200"/>
        <w:rPr>
          <w:rFonts w:hint="eastAsia" w:ascii="宋体" w:hAnsi="宋体" w:eastAsia="宋体" w:cs="宋体"/>
          <w:color w:val="auto"/>
          <w:sz w:val="24"/>
          <w:szCs w:val="24"/>
          <w:highlight w:val="none"/>
        </w:rPr>
      </w:pPr>
    </w:p>
    <w:p w14:paraId="2892E6CD">
      <w:pPr>
        <w:pStyle w:val="16"/>
        <w:spacing w:line="360" w:lineRule="auto"/>
        <w:ind w:firstLine="480" w:firstLineChars="200"/>
        <w:rPr>
          <w:rFonts w:hint="eastAsia" w:ascii="宋体" w:hAnsi="宋体" w:eastAsia="宋体" w:cs="宋体"/>
          <w:color w:val="auto"/>
          <w:sz w:val="24"/>
          <w:szCs w:val="24"/>
          <w:highlight w:val="none"/>
          <w:lang w:val="en-US" w:eastAsia="zh-CN"/>
        </w:rPr>
      </w:pPr>
    </w:p>
    <w:p w14:paraId="148DCAA3">
      <w:pPr>
        <w:pStyle w:val="16"/>
        <w:spacing w:line="360" w:lineRule="auto"/>
        <w:ind w:firstLine="480" w:firstLineChars="200"/>
        <w:rPr>
          <w:rFonts w:hint="eastAsia" w:ascii="宋体" w:hAnsi="宋体" w:eastAsia="宋体" w:cs="宋体"/>
          <w:color w:val="auto"/>
          <w:sz w:val="24"/>
          <w:szCs w:val="24"/>
          <w:highlight w:val="none"/>
          <w:lang w:val="en-US" w:eastAsia="zh-CN"/>
        </w:rPr>
      </w:pPr>
    </w:p>
    <w:p w14:paraId="067F8825">
      <w:pPr>
        <w:pStyle w:val="16"/>
        <w:spacing w:line="360" w:lineRule="auto"/>
        <w:ind w:firstLine="480" w:firstLineChars="200"/>
        <w:rPr>
          <w:rFonts w:hint="eastAsia" w:ascii="宋体" w:hAnsi="宋体" w:eastAsia="宋体" w:cs="宋体"/>
          <w:color w:val="auto"/>
          <w:sz w:val="24"/>
          <w:szCs w:val="24"/>
          <w:highlight w:val="none"/>
          <w:lang w:val="en-US" w:eastAsia="zh-CN"/>
        </w:rPr>
      </w:pPr>
    </w:p>
    <w:p w14:paraId="1DF3C251">
      <w:pPr>
        <w:pStyle w:val="16"/>
        <w:spacing w:line="360" w:lineRule="auto"/>
        <w:ind w:firstLine="480" w:firstLineChars="200"/>
        <w:rPr>
          <w:rFonts w:hint="eastAsia" w:ascii="宋体" w:hAnsi="宋体" w:eastAsia="宋体" w:cs="宋体"/>
          <w:color w:val="auto"/>
          <w:sz w:val="24"/>
          <w:szCs w:val="24"/>
          <w:highlight w:val="none"/>
          <w:lang w:val="en-US" w:eastAsia="zh-CN"/>
        </w:rPr>
      </w:pPr>
    </w:p>
    <w:p w14:paraId="0701D8C2">
      <w:pPr>
        <w:pStyle w:val="16"/>
        <w:spacing w:line="360" w:lineRule="auto"/>
        <w:ind w:firstLine="480" w:firstLineChars="200"/>
        <w:rPr>
          <w:rFonts w:hint="eastAsia" w:ascii="宋体" w:hAnsi="宋体" w:eastAsia="宋体" w:cs="宋体"/>
          <w:color w:val="auto"/>
          <w:sz w:val="24"/>
          <w:szCs w:val="24"/>
          <w:highlight w:val="none"/>
          <w:lang w:val="en-US" w:eastAsia="zh-CN"/>
        </w:rPr>
      </w:pPr>
    </w:p>
    <w:p w14:paraId="11DB5136">
      <w:pPr>
        <w:pStyle w:val="16"/>
        <w:spacing w:line="360" w:lineRule="auto"/>
        <w:ind w:firstLine="480" w:firstLineChars="200"/>
        <w:rPr>
          <w:rFonts w:hint="eastAsia" w:ascii="宋体" w:hAnsi="宋体" w:eastAsia="宋体" w:cs="宋体"/>
          <w:color w:val="auto"/>
          <w:sz w:val="24"/>
          <w:szCs w:val="24"/>
          <w:highlight w:val="none"/>
          <w:lang w:val="en-US" w:eastAsia="zh-CN"/>
        </w:rPr>
      </w:pPr>
    </w:p>
    <w:p w14:paraId="72982662">
      <w:pPr>
        <w:numPr>
          <w:ilvl w:val="0"/>
          <w:numId w:val="0"/>
        </w:numPr>
        <w:spacing w:line="440" w:lineRule="exact"/>
        <w:jc w:val="center"/>
        <w:rPr>
          <w:rFonts w:hint="eastAsia" w:ascii="宋体" w:hAnsi="宋体" w:eastAsia="宋体" w:cs="宋体"/>
          <w:b/>
          <w:color w:val="auto"/>
          <w:kern w:val="2"/>
          <w:sz w:val="30"/>
          <w:szCs w:val="30"/>
          <w:highlight w:val="none"/>
          <w:lang w:val="en-US" w:eastAsia="zh-CN" w:bidi="ar-SA"/>
        </w:rPr>
      </w:pPr>
      <w:r>
        <w:rPr>
          <w:rFonts w:hint="eastAsia" w:ascii="宋体" w:hAnsi="宋体" w:eastAsia="宋体" w:cs="宋体"/>
          <w:b/>
          <w:color w:val="auto"/>
          <w:kern w:val="2"/>
          <w:sz w:val="30"/>
          <w:szCs w:val="30"/>
          <w:highlight w:val="none"/>
          <w:lang w:val="en-US" w:eastAsia="zh-CN" w:bidi="ar-SA"/>
        </w:rPr>
        <w:t>第五章、评定成交方式和标准</w:t>
      </w:r>
      <w:bookmarkStart w:id="116" w:name="_Toc163267204"/>
    </w:p>
    <w:p w14:paraId="272834CE">
      <w:pPr>
        <w:spacing w:line="360" w:lineRule="auto"/>
        <w:ind w:firstLine="3654" w:firstLineChars="1300"/>
        <w:rPr>
          <w:rFonts w:hint="eastAsia" w:ascii="宋体" w:hAnsi="宋体" w:cs="宋体"/>
          <w:b/>
          <w:bCs/>
          <w:color w:val="auto"/>
          <w:sz w:val="28"/>
          <w:szCs w:val="28"/>
          <w:highlight w:val="none"/>
        </w:rPr>
      </w:pPr>
    </w:p>
    <w:p w14:paraId="215B32FA">
      <w:pPr>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1、综合评分</w:t>
      </w:r>
    </w:p>
    <w:p w14:paraId="03865204">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1.1.经磋商确定最终采购需求和提交最后报价的供应商后，由磋商小组采用综合评分法对提交最后报价供应商的响应文件和最后报价进行综合评分。</w:t>
      </w:r>
    </w:p>
    <w:p w14:paraId="328F8799">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综合评分法，是指响应文件满足磋商文件全部实质性要求且按评审因素的量化指标评审得分最高的供应商为成交候选供应商的评审方法。</w:t>
      </w:r>
    </w:p>
    <w:p w14:paraId="2448A274">
      <w:pPr>
        <w:numPr>
          <w:ilvl w:val="0"/>
          <w:numId w:val="0"/>
        </w:numPr>
        <w:spacing w:line="360" w:lineRule="auto"/>
        <w:ind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1.2评审时，磋商小组各成员应当独立对每个有效响应的文件进行评价、打分，然后汇总每个供应商每项评分因素的得分。</w:t>
      </w:r>
    </w:p>
    <w:p w14:paraId="2D759F5C">
      <w:pPr>
        <w:numPr>
          <w:ilvl w:val="0"/>
          <w:numId w:val="0"/>
        </w:numPr>
        <w:spacing w:line="360" w:lineRule="auto"/>
        <w:ind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14:paraId="7396A1EB">
      <w:pPr>
        <w:numPr>
          <w:ilvl w:val="0"/>
          <w:numId w:val="0"/>
        </w:numPr>
        <w:spacing w:line="360" w:lineRule="auto"/>
        <w:ind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1.4本次</w:t>
      </w:r>
      <w:r>
        <w:rPr>
          <w:rFonts w:hint="eastAsia" w:ascii="宋体" w:hAnsi="宋体" w:cs="宋体"/>
          <w:color w:val="auto"/>
          <w:kern w:val="2"/>
          <w:sz w:val="24"/>
          <w:szCs w:val="24"/>
          <w:highlight w:val="none"/>
          <w:lang w:val="en-US" w:eastAsia="zh-CN" w:bidi="ar-SA"/>
        </w:rPr>
        <w:t>竞</w:t>
      </w:r>
      <w:r>
        <w:rPr>
          <w:rFonts w:hint="eastAsia" w:ascii="宋体" w:hAnsi="宋体" w:eastAsia="宋体" w:cs="宋体"/>
          <w:color w:val="auto"/>
          <w:kern w:val="2"/>
          <w:sz w:val="24"/>
          <w:szCs w:val="24"/>
          <w:highlight w:val="none"/>
          <w:lang w:val="en-US" w:eastAsia="zh-CN" w:bidi="ar-SA"/>
        </w:rPr>
        <w:t>争性磋商采用两轮报价评定成交方式。</w:t>
      </w:r>
    </w:p>
    <w:p w14:paraId="44DE5078">
      <w:pPr>
        <w:spacing w:line="360" w:lineRule="auto"/>
        <w:ind w:firstLine="482" w:firstLineChars="200"/>
        <w:rPr>
          <w:rFonts w:hint="eastAsia" w:ascii="宋体" w:hAnsi="宋体" w:eastAsia="宋体" w:cs="宋体"/>
          <w:color w:val="auto"/>
          <w:kern w:val="2"/>
          <w:sz w:val="24"/>
          <w:szCs w:val="24"/>
          <w:highlight w:val="none"/>
          <w:lang w:val="en-US" w:eastAsia="zh-CN" w:bidi="ar-SA"/>
        </w:rPr>
      </w:pPr>
      <w:bookmarkStart w:id="117" w:name="_Toc498899394"/>
      <w:bookmarkStart w:id="118" w:name="_Toc509337062"/>
      <w:bookmarkStart w:id="119" w:name="_Toc523170353"/>
      <w:bookmarkStart w:id="120" w:name="_Toc514177064"/>
      <w:bookmarkStart w:id="121" w:name="_Toc524368801"/>
      <w:bookmarkStart w:id="122" w:name="_Toc9612862"/>
      <w:bookmarkStart w:id="123" w:name="_Toc11944603"/>
      <w:bookmarkStart w:id="124" w:name="_Toc522529816"/>
      <w:bookmarkStart w:id="125" w:name="_Toc11931296"/>
      <w:bookmarkStart w:id="126" w:name="_Toc9864098"/>
      <w:bookmarkStart w:id="127" w:name="_Toc494832098"/>
      <w:bookmarkStart w:id="128" w:name="_Toc5124220"/>
      <w:bookmarkStart w:id="129" w:name="_Toc524517873"/>
      <w:bookmarkStart w:id="130" w:name="_Toc509337177"/>
      <w:bookmarkStart w:id="131" w:name="_Toc10446430"/>
      <w:bookmarkStart w:id="132" w:name="_Toc498871262"/>
      <w:r>
        <w:rPr>
          <w:rFonts w:hint="eastAsia" w:ascii="宋体" w:hAnsi="宋体" w:eastAsia="宋体" w:cs="宋体"/>
          <w:b/>
          <w:bCs/>
          <w:color w:val="auto"/>
          <w:kern w:val="2"/>
          <w:sz w:val="24"/>
          <w:szCs w:val="24"/>
          <w:highlight w:val="none"/>
          <w:lang w:val="en-US" w:eastAsia="zh-CN" w:bidi="ar-SA"/>
        </w:rPr>
        <w:t>2、综合评分细则表：</w:t>
      </w:r>
    </w:p>
    <w:p w14:paraId="5CB09486">
      <w:pPr>
        <w:pStyle w:val="16"/>
        <w:rPr>
          <w:rFonts w:hint="eastAsia" w:ascii="宋体" w:hAnsi="宋体" w:eastAsia="宋体" w:cs="宋体"/>
          <w:color w:val="auto"/>
          <w:kern w:val="2"/>
          <w:sz w:val="24"/>
          <w:szCs w:val="24"/>
          <w:highlight w:val="none"/>
          <w:lang w:val="en-US" w:eastAsia="zh-CN" w:bidi="ar-SA"/>
        </w:rPr>
      </w:pPr>
    </w:p>
    <w:p w14:paraId="7A70C445">
      <w:pPr>
        <w:pStyle w:val="12"/>
        <w:spacing w:line="240" w:lineRule="auto"/>
        <w:ind w:firstLine="4498" w:firstLineChars="1600"/>
        <w:jc w:val="both"/>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初步评审表</w:t>
      </w:r>
    </w:p>
    <w:tbl>
      <w:tblPr>
        <w:tblStyle w:val="30"/>
        <w:tblW w:w="9801"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571"/>
        <w:gridCol w:w="694"/>
        <w:gridCol w:w="1613"/>
        <w:gridCol w:w="4928"/>
        <w:gridCol w:w="1022"/>
        <w:gridCol w:w="973"/>
      </w:tblGrid>
      <w:tr w14:paraId="1AD45DE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265" w:type="dxa"/>
            <w:gridSpan w:val="2"/>
            <w:vMerge w:val="restart"/>
            <w:tcBorders>
              <w:top w:val="outset" w:color="auto" w:sz="6" w:space="0"/>
              <w:left w:val="outset" w:color="auto" w:sz="6" w:space="0"/>
              <w:bottom w:val="outset" w:color="auto" w:sz="6" w:space="0"/>
              <w:right w:val="outset" w:color="auto" w:sz="6" w:space="0"/>
            </w:tcBorders>
            <w:noWrap w:val="0"/>
            <w:vAlign w:val="center"/>
          </w:tcPr>
          <w:p w14:paraId="6C7A7E5C">
            <w:pPr>
              <w:pStyle w:val="73"/>
              <w:jc w:val="center"/>
              <w:rPr>
                <w:color w:val="auto"/>
                <w:highlight w:val="none"/>
              </w:rPr>
            </w:pPr>
            <w:r>
              <w:rPr>
                <w:b/>
                <w:color w:val="auto"/>
                <w:highlight w:val="none"/>
              </w:rPr>
              <w:t>评分因素</w:t>
            </w:r>
          </w:p>
        </w:tc>
        <w:tc>
          <w:tcPr>
            <w:tcW w:w="1613" w:type="dxa"/>
            <w:vMerge w:val="restart"/>
            <w:tcBorders>
              <w:top w:val="outset" w:color="auto" w:sz="6" w:space="0"/>
              <w:left w:val="outset" w:color="auto" w:sz="6" w:space="0"/>
              <w:bottom w:val="outset" w:color="auto" w:sz="6" w:space="0"/>
              <w:right w:val="outset" w:color="auto" w:sz="6" w:space="0"/>
            </w:tcBorders>
            <w:noWrap w:val="0"/>
            <w:vAlign w:val="center"/>
          </w:tcPr>
          <w:p w14:paraId="7B2B3466">
            <w:pPr>
              <w:pStyle w:val="73"/>
              <w:jc w:val="center"/>
              <w:rPr>
                <w:color w:val="auto"/>
                <w:highlight w:val="none"/>
              </w:rPr>
            </w:pPr>
            <w:r>
              <w:rPr>
                <w:b/>
                <w:color w:val="auto"/>
                <w:highlight w:val="none"/>
              </w:rPr>
              <w:t>评分点</w:t>
            </w:r>
          </w:p>
        </w:tc>
        <w:tc>
          <w:tcPr>
            <w:tcW w:w="4928" w:type="dxa"/>
            <w:vMerge w:val="restart"/>
            <w:tcBorders>
              <w:top w:val="outset" w:color="auto" w:sz="6" w:space="0"/>
              <w:left w:val="outset" w:color="auto" w:sz="6" w:space="0"/>
              <w:bottom w:val="outset" w:color="auto" w:sz="6" w:space="0"/>
              <w:right w:val="outset" w:color="auto" w:sz="6" w:space="0"/>
            </w:tcBorders>
            <w:noWrap w:val="0"/>
            <w:vAlign w:val="center"/>
          </w:tcPr>
          <w:p w14:paraId="77C59E08">
            <w:pPr>
              <w:pStyle w:val="73"/>
              <w:jc w:val="center"/>
              <w:rPr>
                <w:color w:val="auto"/>
                <w:highlight w:val="none"/>
              </w:rPr>
            </w:pPr>
            <w:r>
              <w:rPr>
                <w:b/>
                <w:color w:val="auto"/>
                <w:highlight w:val="none"/>
              </w:rPr>
              <w:t>评分标准</w:t>
            </w:r>
          </w:p>
        </w:tc>
        <w:tc>
          <w:tcPr>
            <w:tcW w:w="1995" w:type="dxa"/>
            <w:gridSpan w:val="2"/>
            <w:tcBorders>
              <w:top w:val="outset" w:color="auto" w:sz="6" w:space="0"/>
              <w:left w:val="outset" w:color="auto" w:sz="6" w:space="0"/>
              <w:bottom w:val="outset" w:color="auto" w:sz="6" w:space="0"/>
              <w:right w:val="outset" w:color="auto" w:sz="6" w:space="0"/>
            </w:tcBorders>
            <w:noWrap w:val="0"/>
            <w:vAlign w:val="center"/>
          </w:tcPr>
          <w:p w14:paraId="1076B6EB">
            <w:pPr>
              <w:pStyle w:val="73"/>
              <w:jc w:val="center"/>
              <w:rPr>
                <w:color w:val="auto"/>
                <w:highlight w:val="none"/>
              </w:rPr>
            </w:pPr>
            <w:r>
              <w:rPr>
                <w:b/>
                <w:color w:val="auto"/>
                <w:highlight w:val="none"/>
              </w:rPr>
              <w:t>评审意见</w:t>
            </w:r>
          </w:p>
        </w:tc>
      </w:tr>
      <w:tr w14:paraId="4034BD2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44" w:hRule="atLeast"/>
        </w:trPr>
        <w:tc>
          <w:tcPr>
            <w:tcW w:w="1265" w:type="dxa"/>
            <w:gridSpan w:val="2"/>
            <w:vMerge w:val="continue"/>
            <w:tcBorders>
              <w:top w:val="outset" w:color="auto" w:sz="6" w:space="0"/>
              <w:left w:val="outset" w:color="auto" w:sz="6" w:space="0"/>
              <w:bottom w:val="outset" w:color="auto" w:sz="6" w:space="0"/>
              <w:right w:val="outset" w:color="auto" w:sz="6" w:space="0"/>
            </w:tcBorders>
            <w:noWrap w:val="0"/>
            <w:vAlign w:val="center"/>
          </w:tcPr>
          <w:p w14:paraId="127FAF6A">
            <w:pPr>
              <w:pStyle w:val="73"/>
              <w:jc w:val="center"/>
              <w:rPr>
                <w:color w:val="auto"/>
                <w:highlight w:val="none"/>
              </w:rPr>
            </w:pPr>
          </w:p>
        </w:tc>
        <w:tc>
          <w:tcPr>
            <w:tcW w:w="1613" w:type="dxa"/>
            <w:vMerge w:val="continue"/>
            <w:tcBorders>
              <w:top w:val="outset" w:color="auto" w:sz="6" w:space="0"/>
              <w:left w:val="outset" w:color="auto" w:sz="6" w:space="0"/>
              <w:bottom w:val="outset" w:color="auto" w:sz="6" w:space="0"/>
              <w:right w:val="outset" w:color="auto" w:sz="6" w:space="0"/>
            </w:tcBorders>
            <w:noWrap w:val="0"/>
            <w:vAlign w:val="center"/>
          </w:tcPr>
          <w:p w14:paraId="09F6C8D2">
            <w:pPr>
              <w:pStyle w:val="73"/>
              <w:jc w:val="center"/>
              <w:rPr>
                <w:color w:val="auto"/>
                <w:highlight w:val="none"/>
              </w:rPr>
            </w:pPr>
          </w:p>
        </w:tc>
        <w:tc>
          <w:tcPr>
            <w:tcW w:w="4928" w:type="dxa"/>
            <w:vMerge w:val="continue"/>
            <w:tcBorders>
              <w:top w:val="outset" w:color="auto" w:sz="6" w:space="0"/>
              <w:left w:val="outset" w:color="auto" w:sz="6" w:space="0"/>
              <w:bottom w:val="outset" w:color="auto" w:sz="6" w:space="0"/>
              <w:right w:val="outset" w:color="auto" w:sz="6" w:space="0"/>
            </w:tcBorders>
            <w:noWrap w:val="0"/>
            <w:vAlign w:val="center"/>
          </w:tcPr>
          <w:p w14:paraId="49C3E5E8">
            <w:pPr>
              <w:pStyle w:val="73"/>
              <w:jc w:val="center"/>
              <w:rPr>
                <w:color w:val="auto"/>
                <w:highlight w:val="none"/>
              </w:rPr>
            </w:pPr>
          </w:p>
        </w:tc>
        <w:tc>
          <w:tcPr>
            <w:tcW w:w="1022" w:type="dxa"/>
            <w:tcBorders>
              <w:top w:val="outset" w:color="auto" w:sz="6" w:space="0"/>
              <w:left w:val="outset" w:color="auto" w:sz="6" w:space="0"/>
              <w:bottom w:val="outset" w:color="auto" w:sz="6" w:space="0"/>
              <w:right w:val="outset" w:color="auto" w:sz="6" w:space="0"/>
            </w:tcBorders>
            <w:noWrap w:val="0"/>
            <w:vAlign w:val="center"/>
          </w:tcPr>
          <w:p w14:paraId="7D32F72D">
            <w:pPr>
              <w:pStyle w:val="73"/>
              <w:jc w:val="center"/>
              <w:rPr>
                <w:rFonts w:hint="eastAsia" w:eastAsia="宋体"/>
                <w:color w:val="auto"/>
                <w:highlight w:val="none"/>
                <w:lang w:eastAsia="zh-CN"/>
              </w:rPr>
            </w:pPr>
            <w:r>
              <w:rPr>
                <w:rFonts w:hint="eastAsia" w:eastAsia="宋体"/>
                <w:b/>
                <w:color w:val="auto"/>
                <w:highlight w:val="none"/>
                <w:lang w:eastAsia="zh-CN"/>
              </w:rPr>
              <w:t>通过</w:t>
            </w:r>
          </w:p>
        </w:tc>
        <w:tc>
          <w:tcPr>
            <w:tcW w:w="973" w:type="dxa"/>
            <w:tcBorders>
              <w:top w:val="outset" w:color="auto" w:sz="6" w:space="0"/>
              <w:left w:val="outset" w:color="auto" w:sz="6" w:space="0"/>
              <w:bottom w:val="outset" w:color="auto" w:sz="6" w:space="0"/>
              <w:right w:val="outset" w:color="auto" w:sz="6" w:space="0"/>
            </w:tcBorders>
            <w:noWrap w:val="0"/>
            <w:vAlign w:val="center"/>
          </w:tcPr>
          <w:p w14:paraId="622AB413">
            <w:pPr>
              <w:pStyle w:val="73"/>
              <w:jc w:val="center"/>
              <w:rPr>
                <w:rFonts w:hint="eastAsia" w:eastAsia="宋体"/>
                <w:color w:val="auto"/>
                <w:highlight w:val="none"/>
                <w:lang w:eastAsia="zh-CN"/>
              </w:rPr>
            </w:pPr>
            <w:r>
              <w:rPr>
                <w:rFonts w:hint="eastAsia" w:eastAsia="宋体"/>
                <w:b/>
                <w:color w:val="auto"/>
                <w:highlight w:val="none"/>
                <w:lang w:eastAsia="zh-CN"/>
              </w:rPr>
              <w:t>不通过</w:t>
            </w:r>
          </w:p>
        </w:tc>
      </w:tr>
      <w:tr w14:paraId="77FE25F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150" w:hRule="atLeast"/>
        </w:trPr>
        <w:tc>
          <w:tcPr>
            <w:tcW w:w="571" w:type="dxa"/>
            <w:vMerge w:val="restart"/>
            <w:tcBorders>
              <w:top w:val="outset" w:color="auto" w:sz="6" w:space="0"/>
              <w:left w:val="outset" w:color="auto" w:sz="6" w:space="0"/>
              <w:bottom w:val="outset" w:color="auto" w:sz="6" w:space="0"/>
              <w:right w:val="outset" w:color="auto" w:sz="6" w:space="0"/>
            </w:tcBorders>
            <w:noWrap w:val="0"/>
            <w:vAlign w:val="center"/>
          </w:tcPr>
          <w:p w14:paraId="0E5B9D1F">
            <w:pPr>
              <w:pStyle w:val="73"/>
              <w:jc w:val="center"/>
              <w:rPr>
                <w:color w:val="0000FF"/>
                <w:highlight w:val="none"/>
              </w:rPr>
            </w:pPr>
          </w:p>
          <w:p w14:paraId="5FE016FA">
            <w:pPr>
              <w:pStyle w:val="73"/>
              <w:jc w:val="center"/>
              <w:rPr>
                <w:color w:val="0000FF"/>
                <w:highlight w:val="none"/>
              </w:rPr>
            </w:pPr>
          </w:p>
          <w:p w14:paraId="1AA30DF3">
            <w:pPr>
              <w:pStyle w:val="73"/>
              <w:jc w:val="center"/>
              <w:rPr>
                <w:color w:val="0000FF"/>
                <w:highlight w:val="none"/>
              </w:rPr>
            </w:pPr>
          </w:p>
          <w:p w14:paraId="64F9DB56">
            <w:pPr>
              <w:pStyle w:val="73"/>
              <w:jc w:val="center"/>
              <w:rPr>
                <w:color w:val="0000FF"/>
                <w:highlight w:val="none"/>
              </w:rPr>
            </w:pPr>
          </w:p>
          <w:p w14:paraId="22119230">
            <w:pPr>
              <w:pStyle w:val="73"/>
              <w:jc w:val="center"/>
              <w:rPr>
                <w:color w:val="0000FF"/>
                <w:highlight w:val="none"/>
              </w:rPr>
            </w:pPr>
          </w:p>
          <w:p w14:paraId="6B46CCD1">
            <w:pPr>
              <w:pStyle w:val="73"/>
              <w:jc w:val="center"/>
              <w:rPr>
                <w:color w:val="0000FF"/>
                <w:highlight w:val="none"/>
              </w:rPr>
            </w:pPr>
          </w:p>
          <w:p w14:paraId="4089F891">
            <w:pPr>
              <w:pStyle w:val="73"/>
              <w:jc w:val="center"/>
              <w:rPr>
                <w:color w:val="0000FF"/>
                <w:highlight w:val="none"/>
              </w:rPr>
            </w:pPr>
          </w:p>
          <w:p w14:paraId="074BB7A3">
            <w:pPr>
              <w:pStyle w:val="73"/>
              <w:jc w:val="center"/>
              <w:rPr>
                <w:color w:val="0000FF"/>
                <w:highlight w:val="none"/>
              </w:rPr>
            </w:pPr>
          </w:p>
          <w:p w14:paraId="55F484B7">
            <w:pPr>
              <w:pStyle w:val="73"/>
              <w:jc w:val="center"/>
              <w:rPr>
                <w:color w:val="0000FF"/>
                <w:highlight w:val="none"/>
              </w:rPr>
            </w:pPr>
          </w:p>
          <w:p w14:paraId="57AA7E12">
            <w:pPr>
              <w:pStyle w:val="73"/>
              <w:jc w:val="center"/>
              <w:rPr>
                <w:color w:val="0000FF"/>
                <w:highlight w:val="none"/>
              </w:rPr>
            </w:pPr>
          </w:p>
          <w:p w14:paraId="156C7E4E">
            <w:pPr>
              <w:pStyle w:val="73"/>
              <w:jc w:val="center"/>
              <w:rPr>
                <w:color w:val="0000FF"/>
                <w:highlight w:val="none"/>
              </w:rPr>
            </w:pPr>
          </w:p>
          <w:p w14:paraId="183B8D50">
            <w:pPr>
              <w:pStyle w:val="73"/>
              <w:jc w:val="center"/>
              <w:rPr>
                <w:color w:val="0000FF"/>
                <w:highlight w:val="none"/>
              </w:rPr>
            </w:pPr>
          </w:p>
          <w:p w14:paraId="305DD5BF">
            <w:pPr>
              <w:pStyle w:val="73"/>
              <w:jc w:val="center"/>
              <w:rPr>
                <w:color w:val="0000FF"/>
                <w:highlight w:val="none"/>
              </w:rPr>
            </w:pPr>
          </w:p>
          <w:p w14:paraId="7191059B">
            <w:pPr>
              <w:pStyle w:val="73"/>
              <w:jc w:val="center"/>
              <w:rPr>
                <w:color w:val="0000FF"/>
                <w:highlight w:val="none"/>
              </w:rPr>
            </w:pPr>
          </w:p>
          <w:p w14:paraId="2329D857">
            <w:pPr>
              <w:pStyle w:val="73"/>
              <w:jc w:val="center"/>
              <w:rPr>
                <w:color w:val="0000FF"/>
                <w:highlight w:val="none"/>
              </w:rPr>
            </w:pPr>
          </w:p>
          <w:p w14:paraId="2E23AAC0">
            <w:pPr>
              <w:pStyle w:val="73"/>
              <w:jc w:val="center"/>
              <w:rPr>
                <w:color w:val="0000FF"/>
                <w:highlight w:val="none"/>
              </w:rPr>
            </w:pPr>
          </w:p>
          <w:p w14:paraId="569BA5AC">
            <w:pPr>
              <w:pStyle w:val="73"/>
              <w:jc w:val="center"/>
              <w:rPr>
                <w:color w:val="0000FF"/>
                <w:highlight w:val="none"/>
              </w:rPr>
            </w:pPr>
          </w:p>
          <w:p w14:paraId="2C6770AC">
            <w:pPr>
              <w:pStyle w:val="73"/>
              <w:jc w:val="center"/>
              <w:rPr>
                <w:color w:val="0000FF"/>
                <w:highlight w:val="none"/>
              </w:rPr>
            </w:pPr>
          </w:p>
          <w:p w14:paraId="32C2D90F">
            <w:pPr>
              <w:pStyle w:val="73"/>
              <w:jc w:val="center"/>
              <w:rPr>
                <w:b/>
                <w:bCs/>
                <w:color w:val="0000FF"/>
                <w:highlight w:val="none"/>
              </w:rPr>
            </w:pPr>
          </w:p>
          <w:p w14:paraId="29A14EBC">
            <w:pPr>
              <w:pStyle w:val="73"/>
              <w:jc w:val="center"/>
              <w:rPr>
                <w:b/>
                <w:bCs/>
                <w:color w:val="0000FF"/>
                <w:highlight w:val="none"/>
              </w:rPr>
            </w:pPr>
          </w:p>
          <w:p w14:paraId="732B539E">
            <w:pPr>
              <w:pStyle w:val="73"/>
              <w:jc w:val="center"/>
              <w:rPr>
                <w:color w:val="0000FF"/>
                <w:highlight w:val="none"/>
              </w:rPr>
            </w:pPr>
            <w:r>
              <w:rPr>
                <w:b/>
                <w:bCs/>
                <w:color w:val="auto"/>
                <w:highlight w:val="none"/>
              </w:rPr>
              <w:t>初步评审</w:t>
            </w:r>
          </w:p>
        </w:tc>
        <w:tc>
          <w:tcPr>
            <w:tcW w:w="694" w:type="dxa"/>
            <w:vMerge w:val="restart"/>
            <w:tcBorders>
              <w:top w:val="outset" w:color="auto" w:sz="6" w:space="0"/>
              <w:left w:val="outset" w:color="auto" w:sz="6" w:space="0"/>
              <w:right w:val="outset" w:color="auto" w:sz="6" w:space="0"/>
            </w:tcBorders>
            <w:noWrap w:val="0"/>
            <w:vAlign w:val="center"/>
          </w:tcPr>
          <w:p w14:paraId="737D5B86">
            <w:pPr>
              <w:pStyle w:val="73"/>
              <w:jc w:val="center"/>
              <w:rPr>
                <w:rFonts w:hint="eastAsia" w:ascii="宋体" w:hAnsi="宋体" w:eastAsia="宋体" w:cs="Times New Roman"/>
                <w:color w:val="0000FF"/>
                <w:kern w:val="2"/>
                <w:sz w:val="21"/>
                <w:szCs w:val="21"/>
                <w:highlight w:val="none"/>
                <w:lang w:val="en-US" w:eastAsia="zh-CN" w:bidi="ar-SA"/>
              </w:rPr>
            </w:pPr>
          </w:p>
          <w:p w14:paraId="6994E0A4">
            <w:pPr>
              <w:pStyle w:val="73"/>
              <w:jc w:val="center"/>
              <w:rPr>
                <w:rFonts w:hint="eastAsia" w:ascii="宋体" w:hAnsi="宋体" w:eastAsia="宋体" w:cs="Times New Roman"/>
                <w:color w:val="0000FF"/>
                <w:kern w:val="2"/>
                <w:sz w:val="21"/>
                <w:szCs w:val="21"/>
                <w:highlight w:val="none"/>
                <w:lang w:val="en-US" w:eastAsia="zh-CN" w:bidi="ar-SA"/>
              </w:rPr>
            </w:pPr>
          </w:p>
          <w:p w14:paraId="2A58ABD8">
            <w:pPr>
              <w:pStyle w:val="73"/>
              <w:jc w:val="center"/>
              <w:rPr>
                <w:rFonts w:hint="eastAsia" w:ascii="宋体" w:hAnsi="宋体" w:eastAsia="宋体" w:cs="Times New Roman"/>
                <w:b/>
                <w:bCs/>
                <w:color w:val="0000FF"/>
                <w:kern w:val="2"/>
                <w:sz w:val="21"/>
                <w:szCs w:val="21"/>
                <w:highlight w:val="none"/>
                <w:lang w:val="en-US" w:eastAsia="zh-CN" w:bidi="ar-SA"/>
              </w:rPr>
            </w:pPr>
          </w:p>
          <w:p w14:paraId="6E2EFB57">
            <w:pPr>
              <w:pStyle w:val="73"/>
              <w:jc w:val="center"/>
              <w:rPr>
                <w:rFonts w:hint="eastAsia" w:ascii="宋体" w:hAnsi="宋体" w:eastAsia="Times New Roman" w:cs="宋体"/>
                <w:b/>
                <w:bCs/>
                <w:color w:val="auto"/>
                <w:sz w:val="24"/>
                <w:highlight w:val="none"/>
                <w:lang w:val="en-US" w:eastAsia="zh-CN"/>
              </w:rPr>
            </w:pPr>
            <w:r>
              <w:rPr>
                <w:rFonts w:hint="eastAsia" w:ascii="宋体" w:hAnsi="宋体" w:eastAsia="Times New Roman" w:cs="宋体"/>
                <w:b/>
                <w:bCs/>
                <w:color w:val="auto"/>
                <w:sz w:val="24"/>
                <w:highlight w:val="none"/>
                <w:lang w:val="en-US" w:eastAsia="zh-CN"/>
              </w:rPr>
              <w:t>资</w:t>
            </w:r>
          </w:p>
          <w:p w14:paraId="01CBF380">
            <w:pPr>
              <w:pStyle w:val="73"/>
              <w:jc w:val="center"/>
              <w:rPr>
                <w:rFonts w:hint="eastAsia" w:ascii="宋体" w:hAnsi="宋体" w:eastAsia="Times New Roman" w:cs="宋体"/>
                <w:b/>
                <w:bCs/>
                <w:color w:val="auto"/>
                <w:sz w:val="24"/>
                <w:highlight w:val="none"/>
                <w:lang w:val="en-US" w:eastAsia="zh-CN"/>
              </w:rPr>
            </w:pPr>
            <w:r>
              <w:rPr>
                <w:rFonts w:hint="eastAsia" w:ascii="宋体" w:hAnsi="宋体" w:eastAsia="Times New Roman" w:cs="宋体"/>
                <w:b/>
                <w:bCs/>
                <w:color w:val="auto"/>
                <w:sz w:val="24"/>
                <w:highlight w:val="none"/>
                <w:lang w:val="en-US" w:eastAsia="zh-CN"/>
              </w:rPr>
              <w:t>格</w:t>
            </w:r>
          </w:p>
          <w:p w14:paraId="1066B7FF">
            <w:pPr>
              <w:pStyle w:val="73"/>
              <w:jc w:val="center"/>
              <w:rPr>
                <w:rFonts w:hint="eastAsia" w:ascii="宋体" w:hAnsi="宋体" w:eastAsia="Times New Roman" w:cs="宋体"/>
                <w:b/>
                <w:bCs/>
                <w:color w:val="auto"/>
                <w:sz w:val="24"/>
                <w:highlight w:val="none"/>
                <w:lang w:val="en-US" w:eastAsia="zh-CN"/>
              </w:rPr>
            </w:pPr>
            <w:r>
              <w:rPr>
                <w:rFonts w:hint="eastAsia" w:ascii="宋体" w:hAnsi="宋体" w:eastAsia="Times New Roman" w:cs="宋体"/>
                <w:b/>
                <w:bCs/>
                <w:color w:val="auto"/>
                <w:sz w:val="24"/>
                <w:highlight w:val="none"/>
                <w:lang w:val="en-US" w:eastAsia="zh-CN"/>
              </w:rPr>
              <w:t>检</w:t>
            </w:r>
          </w:p>
          <w:p w14:paraId="23077298">
            <w:pPr>
              <w:pStyle w:val="73"/>
              <w:jc w:val="center"/>
              <w:rPr>
                <w:rFonts w:hint="eastAsia" w:ascii="宋体" w:hAnsi="宋体" w:eastAsia="宋体" w:cs="Times New Roman"/>
                <w:color w:val="0000FF"/>
                <w:kern w:val="2"/>
                <w:sz w:val="21"/>
                <w:szCs w:val="21"/>
                <w:highlight w:val="none"/>
                <w:lang w:val="en-US" w:eastAsia="zh-CN" w:bidi="ar-SA"/>
              </w:rPr>
            </w:pPr>
            <w:r>
              <w:rPr>
                <w:rFonts w:hint="eastAsia" w:ascii="宋体" w:hAnsi="宋体" w:eastAsia="Times New Roman" w:cs="宋体"/>
                <w:b/>
                <w:bCs/>
                <w:color w:val="auto"/>
                <w:sz w:val="24"/>
                <w:highlight w:val="none"/>
                <w:lang w:val="en-US" w:eastAsia="zh-CN"/>
              </w:rPr>
              <w:t>查</w:t>
            </w:r>
          </w:p>
        </w:tc>
        <w:tc>
          <w:tcPr>
            <w:tcW w:w="1613" w:type="dxa"/>
            <w:tcBorders>
              <w:top w:val="outset" w:color="auto" w:sz="6" w:space="0"/>
              <w:left w:val="outset" w:color="auto" w:sz="6" w:space="0"/>
              <w:bottom w:val="outset" w:color="auto" w:sz="6" w:space="0"/>
              <w:right w:val="outset" w:color="auto" w:sz="6" w:space="0"/>
            </w:tcBorders>
            <w:noWrap w:val="0"/>
            <w:vAlign w:val="center"/>
          </w:tcPr>
          <w:p w14:paraId="25ACFC93">
            <w:pPr>
              <w:pStyle w:val="73"/>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 w:val="24"/>
                <w:highlight w:val="none"/>
              </w:rPr>
              <w:t>符合《中华人民共和国政府采购法》第二十二条的相关规定。</w:t>
            </w:r>
          </w:p>
        </w:tc>
        <w:tc>
          <w:tcPr>
            <w:tcW w:w="4928" w:type="dxa"/>
            <w:tcBorders>
              <w:top w:val="outset" w:color="auto" w:sz="6" w:space="0"/>
              <w:left w:val="outset" w:color="auto" w:sz="6" w:space="0"/>
              <w:bottom w:val="outset" w:color="auto" w:sz="6" w:space="0"/>
              <w:right w:val="outset" w:color="auto" w:sz="6" w:space="0"/>
            </w:tcBorders>
            <w:noWrap w:val="0"/>
            <w:vAlign w:val="center"/>
          </w:tcPr>
          <w:p w14:paraId="1E5D77DD">
            <w:pPr>
              <w:pStyle w:val="73"/>
              <w:numPr>
                <w:ilvl w:val="0"/>
                <w:numId w:val="5"/>
              </w:numP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是否</w:t>
            </w:r>
            <w:r>
              <w:rPr>
                <w:rFonts w:hint="eastAsia" w:ascii="宋体" w:hAnsi="宋体" w:eastAsia="宋体" w:cs="宋体"/>
                <w:color w:val="auto"/>
                <w:sz w:val="24"/>
                <w:highlight w:val="none"/>
              </w:rPr>
              <w:t>在中华人民共和国境内注册或登记，</w:t>
            </w:r>
            <w:r>
              <w:rPr>
                <w:rFonts w:hint="eastAsia" w:ascii="宋体" w:hAnsi="宋体" w:eastAsia="宋体" w:cs="宋体"/>
                <w:color w:val="auto"/>
                <w:sz w:val="24"/>
                <w:highlight w:val="none"/>
                <w:lang w:val="en-US" w:eastAsia="zh-CN"/>
              </w:rPr>
              <w:t>并提供</w:t>
            </w:r>
            <w:r>
              <w:rPr>
                <w:rFonts w:hint="eastAsia" w:ascii="宋体" w:hAnsi="宋体" w:eastAsia="宋体" w:cs="宋体"/>
                <w:color w:val="auto"/>
                <w:sz w:val="24"/>
                <w:highlight w:val="none"/>
              </w:rPr>
              <w:t>有效的营业执照（</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rPr>
              <w:t>事业单位法人证书</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民办非企业单位登记证书</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社会团体法人登记证书</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基金会法人登记证书</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自然人身份证）；</w:t>
            </w:r>
          </w:p>
          <w:p w14:paraId="5A328C5A">
            <w:pPr>
              <w:pStyle w:val="73"/>
              <w:numPr>
                <w:ilvl w:val="0"/>
                <w:numId w:val="5"/>
              </w:numPr>
              <w:rPr>
                <w:rFonts w:hint="eastAsia" w:ascii="宋体" w:hAnsi="宋体" w:eastAsia="宋体" w:cs="宋体"/>
                <w:color w:val="auto"/>
                <w:sz w:val="24"/>
                <w:highlight w:val="none"/>
                <w:lang w:val="en-US" w:eastAsia="zh-CN"/>
              </w:rPr>
            </w:pPr>
            <w:r>
              <w:rPr>
                <w:rFonts w:hint="eastAsia" w:ascii="宋体" w:hAnsi="宋体" w:eastAsia="宋体" w:cs="宋体"/>
                <w:i w:val="0"/>
                <w:iCs w:val="0"/>
                <w:caps w:val="0"/>
                <w:color w:val="auto"/>
                <w:spacing w:val="0"/>
                <w:kern w:val="0"/>
                <w:sz w:val="24"/>
                <w:szCs w:val="24"/>
                <w:highlight w:val="none"/>
                <w:lang w:val="en-US" w:eastAsia="zh-CN" w:bidi="ar-SA"/>
              </w:rPr>
              <w:t>是否</w:t>
            </w:r>
            <w:r>
              <w:rPr>
                <w:rFonts w:hint="eastAsia" w:ascii="宋体" w:hAnsi="宋体" w:eastAsia="宋体" w:cs="宋体"/>
                <w:color w:val="auto"/>
                <w:sz w:val="24"/>
                <w:highlight w:val="none"/>
                <w:lang w:val="en-US" w:eastAsia="zh-CN"/>
              </w:rPr>
              <w:t>提供</w:t>
            </w:r>
            <w:r>
              <w:rPr>
                <w:rFonts w:hint="eastAsia" w:ascii="宋体" w:hAnsi="宋体" w:cs="宋体"/>
                <w:color w:val="auto"/>
                <w:sz w:val="24"/>
                <w:highlight w:val="none"/>
              </w:rPr>
              <w:t>符合《中华人民共和国政府采购法》第二十二条</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lang w:val="en-US" w:eastAsia="zh-CN"/>
              </w:rPr>
              <w:t>承诺书或证明材料；</w:t>
            </w:r>
          </w:p>
        </w:tc>
        <w:tc>
          <w:tcPr>
            <w:tcW w:w="1022" w:type="dxa"/>
            <w:tcBorders>
              <w:top w:val="outset" w:color="auto" w:sz="6" w:space="0"/>
              <w:left w:val="outset" w:color="auto" w:sz="6" w:space="0"/>
              <w:bottom w:val="outset" w:color="auto" w:sz="6" w:space="0"/>
              <w:right w:val="outset" w:color="auto" w:sz="6" w:space="0"/>
            </w:tcBorders>
            <w:noWrap w:val="0"/>
            <w:vAlign w:val="center"/>
          </w:tcPr>
          <w:p w14:paraId="12A73431">
            <w:pPr>
              <w:pStyle w:val="73"/>
              <w:rPr>
                <w:color w:val="0000FF"/>
                <w:highlight w:val="none"/>
              </w:rPr>
            </w:pPr>
          </w:p>
        </w:tc>
        <w:tc>
          <w:tcPr>
            <w:tcW w:w="973" w:type="dxa"/>
            <w:tcBorders>
              <w:top w:val="outset" w:color="auto" w:sz="6" w:space="0"/>
              <w:left w:val="outset" w:color="auto" w:sz="6" w:space="0"/>
              <w:bottom w:val="outset" w:color="auto" w:sz="6" w:space="0"/>
              <w:right w:val="outset" w:color="auto" w:sz="6" w:space="0"/>
            </w:tcBorders>
            <w:noWrap w:val="0"/>
            <w:vAlign w:val="center"/>
          </w:tcPr>
          <w:p w14:paraId="1E7D303C">
            <w:pPr>
              <w:pStyle w:val="73"/>
              <w:rPr>
                <w:color w:val="0000FF"/>
                <w:highlight w:val="none"/>
              </w:rPr>
            </w:pPr>
          </w:p>
        </w:tc>
      </w:tr>
      <w:tr w14:paraId="6ED4535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761" w:hRule="atLeast"/>
        </w:trPr>
        <w:tc>
          <w:tcPr>
            <w:tcW w:w="571" w:type="dxa"/>
            <w:vMerge w:val="continue"/>
            <w:tcBorders>
              <w:left w:val="outset" w:color="auto" w:sz="6" w:space="0"/>
              <w:right w:val="outset" w:color="auto" w:sz="6" w:space="0"/>
            </w:tcBorders>
            <w:noWrap w:val="0"/>
            <w:vAlign w:val="center"/>
          </w:tcPr>
          <w:p w14:paraId="3A406940">
            <w:pPr>
              <w:pStyle w:val="73"/>
              <w:jc w:val="center"/>
              <w:rPr>
                <w:color w:val="0000FF"/>
                <w:highlight w:val="none"/>
              </w:rPr>
            </w:pPr>
          </w:p>
        </w:tc>
        <w:tc>
          <w:tcPr>
            <w:tcW w:w="694" w:type="dxa"/>
            <w:vMerge w:val="continue"/>
            <w:tcBorders>
              <w:left w:val="outset" w:color="auto" w:sz="6" w:space="0"/>
              <w:right w:val="outset" w:color="auto" w:sz="6" w:space="0"/>
            </w:tcBorders>
            <w:noWrap w:val="0"/>
            <w:vAlign w:val="center"/>
          </w:tcPr>
          <w:p w14:paraId="4B6E9AED">
            <w:pPr>
              <w:pStyle w:val="73"/>
              <w:jc w:val="center"/>
              <w:rPr>
                <w:rFonts w:hint="eastAsia" w:ascii="宋体" w:hAnsi="宋体" w:eastAsia="宋体" w:cs="Times New Roman"/>
                <w:color w:val="0000FF"/>
                <w:kern w:val="2"/>
                <w:sz w:val="21"/>
                <w:szCs w:val="21"/>
                <w:highlight w:val="none"/>
                <w:lang w:val="en-US" w:eastAsia="zh-CN" w:bidi="ar-SA"/>
              </w:rPr>
            </w:pPr>
          </w:p>
        </w:tc>
        <w:tc>
          <w:tcPr>
            <w:tcW w:w="1613" w:type="dxa"/>
            <w:tcBorders>
              <w:top w:val="outset" w:color="auto" w:sz="6" w:space="0"/>
              <w:left w:val="outset" w:color="auto" w:sz="6" w:space="0"/>
              <w:bottom w:val="outset" w:color="auto" w:sz="6" w:space="0"/>
              <w:right w:val="outset" w:color="auto" w:sz="6" w:space="0"/>
            </w:tcBorders>
            <w:noWrap w:val="0"/>
            <w:vAlign w:val="center"/>
          </w:tcPr>
          <w:p w14:paraId="4C8A3FEB">
            <w:pPr>
              <w:pStyle w:val="73"/>
              <w:jc w:val="center"/>
              <w:rPr>
                <w:rFonts w:hint="eastAsia" w:ascii="宋体" w:hAnsi="宋体" w:eastAsia="Times New Roman" w:cs="宋体"/>
                <w:color w:val="auto"/>
                <w:sz w:val="24"/>
                <w:highlight w:val="none"/>
                <w:lang w:val="en-US" w:eastAsia="zh-CN"/>
              </w:rPr>
            </w:pPr>
            <w:r>
              <w:rPr>
                <w:rFonts w:hint="eastAsia" w:ascii="宋体" w:hAnsi="宋体" w:eastAsia="Times New Roman" w:cs="宋体"/>
                <w:color w:val="auto"/>
                <w:sz w:val="24"/>
                <w:highlight w:val="none"/>
                <w:lang w:val="en-US" w:eastAsia="zh-CN"/>
              </w:rPr>
              <w:t>法人身份证明或授权委托书</w:t>
            </w:r>
          </w:p>
        </w:tc>
        <w:tc>
          <w:tcPr>
            <w:tcW w:w="4928" w:type="dxa"/>
            <w:tcBorders>
              <w:top w:val="outset" w:color="auto" w:sz="6" w:space="0"/>
              <w:left w:val="outset" w:color="auto" w:sz="6" w:space="0"/>
              <w:bottom w:val="outset" w:color="auto" w:sz="6" w:space="0"/>
              <w:right w:val="outset" w:color="auto" w:sz="6" w:space="0"/>
            </w:tcBorders>
            <w:noWrap w:val="0"/>
            <w:vAlign w:val="center"/>
          </w:tcPr>
          <w:p w14:paraId="5D5D1A95">
            <w:pPr>
              <w:pStyle w:val="73"/>
              <w:jc w:val="left"/>
              <w:rPr>
                <w:rFonts w:hint="eastAsia" w:ascii="宋体" w:hAnsi="宋体" w:eastAsia="Times New Roman" w:cs="宋体"/>
                <w:color w:val="auto"/>
                <w:sz w:val="24"/>
                <w:highlight w:val="none"/>
                <w:lang w:val="en-US" w:eastAsia="zh-CN"/>
              </w:rPr>
            </w:pPr>
            <w:r>
              <w:rPr>
                <w:rFonts w:hint="eastAsia" w:ascii="宋体" w:hAnsi="宋体" w:eastAsia="Times New Roman" w:cs="宋体"/>
                <w:color w:val="auto"/>
                <w:sz w:val="24"/>
                <w:highlight w:val="none"/>
                <w:lang w:val="en-US" w:eastAsia="zh-CN"/>
              </w:rPr>
              <w:t>法定代表人</w:t>
            </w:r>
            <w:r>
              <w:rPr>
                <w:rFonts w:hint="eastAsia" w:ascii="宋体" w:hAnsi="宋体" w:cs="宋体"/>
                <w:color w:val="auto"/>
                <w:sz w:val="24"/>
                <w:highlight w:val="none"/>
                <w:lang w:val="en-US" w:eastAsia="zh-CN"/>
              </w:rPr>
              <w:t>是否</w:t>
            </w:r>
            <w:r>
              <w:rPr>
                <w:rFonts w:hint="eastAsia" w:ascii="宋体" w:hAnsi="宋体" w:eastAsia="Times New Roman" w:cs="宋体"/>
                <w:color w:val="auto"/>
                <w:sz w:val="24"/>
                <w:highlight w:val="none"/>
                <w:lang w:val="en-US" w:eastAsia="zh-CN"/>
              </w:rPr>
              <w:t>提供身份证明或委托代理人</w:t>
            </w:r>
            <w:r>
              <w:rPr>
                <w:rFonts w:hint="eastAsia" w:ascii="宋体" w:hAnsi="宋体" w:cs="宋体"/>
                <w:color w:val="auto"/>
                <w:sz w:val="24"/>
                <w:highlight w:val="none"/>
                <w:lang w:val="en-US" w:eastAsia="zh-CN"/>
              </w:rPr>
              <w:t>是否</w:t>
            </w:r>
            <w:r>
              <w:rPr>
                <w:rFonts w:hint="eastAsia" w:ascii="宋体" w:hAnsi="宋体" w:eastAsia="Times New Roman" w:cs="宋体"/>
                <w:color w:val="auto"/>
                <w:sz w:val="24"/>
                <w:highlight w:val="none"/>
                <w:lang w:val="en-US" w:eastAsia="zh-CN"/>
              </w:rPr>
              <w:t>提供身份证和授权委托书；</w:t>
            </w:r>
          </w:p>
        </w:tc>
        <w:tc>
          <w:tcPr>
            <w:tcW w:w="1022" w:type="dxa"/>
            <w:tcBorders>
              <w:top w:val="outset" w:color="auto" w:sz="6" w:space="0"/>
              <w:left w:val="outset" w:color="auto" w:sz="6" w:space="0"/>
              <w:bottom w:val="outset" w:color="auto" w:sz="6" w:space="0"/>
              <w:right w:val="outset" w:color="auto" w:sz="6" w:space="0"/>
            </w:tcBorders>
            <w:noWrap w:val="0"/>
            <w:vAlign w:val="center"/>
          </w:tcPr>
          <w:p w14:paraId="2A3ECC9F">
            <w:pPr>
              <w:pStyle w:val="73"/>
              <w:rPr>
                <w:color w:val="0000FF"/>
                <w:highlight w:val="none"/>
              </w:rPr>
            </w:pPr>
          </w:p>
        </w:tc>
        <w:tc>
          <w:tcPr>
            <w:tcW w:w="973" w:type="dxa"/>
            <w:tcBorders>
              <w:top w:val="outset" w:color="auto" w:sz="6" w:space="0"/>
              <w:left w:val="outset" w:color="auto" w:sz="6" w:space="0"/>
              <w:bottom w:val="outset" w:color="auto" w:sz="6" w:space="0"/>
              <w:right w:val="outset" w:color="auto" w:sz="6" w:space="0"/>
            </w:tcBorders>
            <w:noWrap w:val="0"/>
            <w:vAlign w:val="center"/>
          </w:tcPr>
          <w:p w14:paraId="3791EFE2">
            <w:pPr>
              <w:pStyle w:val="73"/>
              <w:rPr>
                <w:color w:val="0000FF"/>
                <w:highlight w:val="none"/>
              </w:rPr>
            </w:pPr>
          </w:p>
        </w:tc>
      </w:tr>
      <w:tr w14:paraId="7ED8E27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86" w:hRule="atLeast"/>
        </w:trPr>
        <w:tc>
          <w:tcPr>
            <w:tcW w:w="571" w:type="dxa"/>
            <w:vMerge w:val="continue"/>
            <w:tcBorders>
              <w:left w:val="outset" w:color="auto" w:sz="6" w:space="0"/>
              <w:right w:val="outset" w:color="auto" w:sz="6" w:space="0"/>
            </w:tcBorders>
            <w:noWrap w:val="0"/>
            <w:vAlign w:val="center"/>
          </w:tcPr>
          <w:p w14:paraId="3FCA5F67">
            <w:pPr>
              <w:pStyle w:val="73"/>
              <w:jc w:val="center"/>
              <w:rPr>
                <w:color w:val="0000FF"/>
                <w:highlight w:val="none"/>
              </w:rPr>
            </w:pPr>
          </w:p>
        </w:tc>
        <w:tc>
          <w:tcPr>
            <w:tcW w:w="694" w:type="dxa"/>
            <w:vMerge w:val="continue"/>
            <w:tcBorders>
              <w:left w:val="outset" w:color="auto" w:sz="6" w:space="0"/>
              <w:right w:val="outset" w:color="auto" w:sz="6" w:space="0"/>
            </w:tcBorders>
            <w:noWrap w:val="0"/>
            <w:vAlign w:val="center"/>
          </w:tcPr>
          <w:p w14:paraId="3B346A89">
            <w:pPr>
              <w:pStyle w:val="73"/>
              <w:jc w:val="center"/>
              <w:rPr>
                <w:rFonts w:hint="eastAsia" w:ascii="宋体" w:hAnsi="宋体" w:eastAsia="宋体" w:cs="Times New Roman"/>
                <w:color w:val="0000FF"/>
                <w:kern w:val="2"/>
                <w:sz w:val="21"/>
                <w:szCs w:val="21"/>
                <w:highlight w:val="none"/>
                <w:lang w:val="en-US" w:eastAsia="zh-CN" w:bidi="ar-SA"/>
              </w:rPr>
            </w:pPr>
          </w:p>
        </w:tc>
        <w:tc>
          <w:tcPr>
            <w:tcW w:w="1613" w:type="dxa"/>
            <w:tcBorders>
              <w:top w:val="outset" w:color="auto" w:sz="6" w:space="0"/>
              <w:left w:val="outset" w:color="auto" w:sz="6" w:space="0"/>
              <w:right w:val="outset" w:color="auto" w:sz="6" w:space="0"/>
            </w:tcBorders>
            <w:noWrap w:val="0"/>
            <w:vAlign w:val="center"/>
          </w:tcPr>
          <w:p w14:paraId="0BB5DE1E">
            <w:pPr>
              <w:pStyle w:val="73"/>
              <w:jc w:val="center"/>
              <w:rPr>
                <w:rFonts w:hint="default" w:ascii="宋体" w:hAnsi="宋体" w:eastAsia="Times New Roman" w:cs="宋体"/>
                <w:color w:val="auto"/>
                <w:sz w:val="24"/>
                <w:highlight w:val="none"/>
                <w:lang w:val="en-US" w:eastAsia="zh-CN"/>
              </w:rPr>
            </w:pPr>
            <w:r>
              <w:rPr>
                <w:rFonts w:hint="eastAsia" w:ascii="宋体" w:hAnsi="宋体" w:eastAsia="Times New Roman" w:cs="宋体"/>
                <w:color w:val="auto"/>
                <w:sz w:val="24"/>
                <w:highlight w:val="none"/>
                <w:lang w:val="en-US" w:eastAsia="zh-CN"/>
              </w:rPr>
              <w:t>企业资格</w:t>
            </w:r>
          </w:p>
        </w:tc>
        <w:tc>
          <w:tcPr>
            <w:tcW w:w="4928" w:type="dxa"/>
            <w:tcBorders>
              <w:top w:val="outset" w:color="auto" w:sz="6" w:space="0"/>
              <w:left w:val="outset" w:color="auto" w:sz="6" w:space="0"/>
              <w:bottom w:val="outset" w:color="auto" w:sz="6" w:space="0"/>
              <w:right w:val="outset" w:color="auto" w:sz="6" w:space="0"/>
            </w:tcBorders>
            <w:noWrap w:val="0"/>
            <w:vAlign w:val="center"/>
          </w:tcPr>
          <w:p w14:paraId="0A0E5260">
            <w:pPr>
              <w:spacing w:line="240" w:lineRule="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是否</w:t>
            </w:r>
            <w:r>
              <w:rPr>
                <w:rFonts w:hint="eastAsia" w:ascii="宋体" w:hAnsi="宋体" w:eastAsia="宋体" w:cs="宋体"/>
                <w:color w:val="auto"/>
                <w:kern w:val="0"/>
                <w:sz w:val="24"/>
                <w:szCs w:val="24"/>
                <w:highlight w:val="none"/>
                <w:lang w:val="zh-CN" w:eastAsia="zh-CN" w:bidi="ar-SA"/>
              </w:rPr>
              <w:t>具备公路工程施工总承包叁级及以上资质，</w:t>
            </w:r>
            <w:r>
              <w:rPr>
                <w:rFonts w:hint="eastAsia" w:ascii="宋体" w:hAnsi="宋体" w:eastAsia="宋体" w:cs="宋体"/>
                <w:color w:val="auto"/>
                <w:kern w:val="0"/>
                <w:sz w:val="24"/>
                <w:szCs w:val="24"/>
                <w:highlight w:val="none"/>
                <w:lang w:val="en-US" w:eastAsia="zh-CN" w:bidi="ar-SA"/>
              </w:rPr>
              <w:t>具有有效的安全生产许可证，</w:t>
            </w:r>
            <w:r>
              <w:rPr>
                <w:rFonts w:hint="eastAsia" w:ascii="宋体" w:hAnsi="宋体" w:eastAsia="宋体" w:cs="宋体"/>
                <w:color w:val="auto"/>
                <w:kern w:val="0"/>
                <w:sz w:val="24"/>
                <w:szCs w:val="24"/>
                <w:highlight w:val="none"/>
                <w:lang w:val="zh-CN" w:eastAsia="zh-CN" w:bidi="ar-SA"/>
              </w:rPr>
              <w:t>并在人员、设备、资金等方面具有相应的施工能力。</w:t>
            </w:r>
          </w:p>
        </w:tc>
        <w:tc>
          <w:tcPr>
            <w:tcW w:w="1022" w:type="dxa"/>
            <w:tcBorders>
              <w:top w:val="outset" w:color="auto" w:sz="6" w:space="0"/>
              <w:left w:val="outset" w:color="auto" w:sz="6" w:space="0"/>
              <w:bottom w:val="outset" w:color="auto" w:sz="6" w:space="0"/>
              <w:right w:val="outset" w:color="auto" w:sz="6" w:space="0"/>
            </w:tcBorders>
            <w:noWrap w:val="0"/>
            <w:vAlign w:val="center"/>
          </w:tcPr>
          <w:p w14:paraId="60213CF0">
            <w:pPr>
              <w:pStyle w:val="73"/>
              <w:rPr>
                <w:color w:val="0000FF"/>
                <w:highlight w:val="none"/>
              </w:rPr>
            </w:pPr>
          </w:p>
        </w:tc>
        <w:tc>
          <w:tcPr>
            <w:tcW w:w="973" w:type="dxa"/>
            <w:tcBorders>
              <w:top w:val="outset" w:color="auto" w:sz="6" w:space="0"/>
              <w:left w:val="outset" w:color="auto" w:sz="6" w:space="0"/>
              <w:bottom w:val="outset" w:color="auto" w:sz="6" w:space="0"/>
              <w:right w:val="outset" w:color="auto" w:sz="6" w:space="0"/>
            </w:tcBorders>
            <w:noWrap w:val="0"/>
            <w:vAlign w:val="center"/>
          </w:tcPr>
          <w:p w14:paraId="57EC2C30">
            <w:pPr>
              <w:pStyle w:val="73"/>
              <w:rPr>
                <w:color w:val="0000FF"/>
                <w:highlight w:val="none"/>
              </w:rPr>
            </w:pPr>
          </w:p>
        </w:tc>
      </w:tr>
      <w:tr w14:paraId="4F628B4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86" w:hRule="atLeast"/>
        </w:trPr>
        <w:tc>
          <w:tcPr>
            <w:tcW w:w="571" w:type="dxa"/>
            <w:vMerge w:val="continue"/>
            <w:tcBorders>
              <w:left w:val="outset" w:color="auto" w:sz="6" w:space="0"/>
              <w:right w:val="outset" w:color="auto" w:sz="6" w:space="0"/>
            </w:tcBorders>
            <w:noWrap w:val="0"/>
            <w:vAlign w:val="center"/>
          </w:tcPr>
          <w:p w14:paraId="5D55A7F2">
            <w:pPr>
              <w:pStyle w:val="73"/>
              <w:jc w:val="center"/>
              <w:rPr>
                <w:color w:val="0000FF"/>
                <w:highlight w:val="none"/>
              </w:rPr>
            </w:pPr>
          </w:p>
        </w:tc>
        <w:tc>
          <w:tcPr>
            <w:tcW w:w="694" w:type="dxa"/>
            <w:vMerge w:val="continue"/>
            <w:tcBorders>
              <w:left w:val="outset" w:color="auto" w:sz="6" w:space="0"/>
              <w:right w:val="outset" w:color="auto" w:sz="6" w:space="0"/>
            </w:tcBorders>
            <w:noWrap w:val="0"/>
            <w:vAlign w:val="center"/>
          </w:tcPr>
          <w:p w14:paraId="486F4226">
            <w:pPr>
              <w:pStyle w:val="73"/>
              <w:jc w:val="center"/>
              <w:rPr>
                <w:rFonts w:hint="eastAsia" w:ascii="宋体" w:hAnsi="宋体" w:eastAsia="宋体" w:cs="Times New Roman"/>
                <w:color w:val="0000FF"/>
                <w:kern w:val="2"/>
                <w:sz w:val="21"/>
                <w:szCs w:val="21"/>
                <w:highlight w:val="none"/>
                <w:lang w:val="en-US" w:eastAsia="zh-CN" w:bidi="ar-SA"/>
              </w:rPr>
            </w:pPr>
          </w:p>
        </w:tc>
        <w:tc>
          <w:tcPr>
            <w:tcW w:w="1613" w:type="dxa"/>
            <w:tcBorders>
              <w:top w:val="outset" w:color="auto" w:sz="6" w:space="0"/>
              <w:left w:val="outset" w:color="auto" w:sz="6" w:space="0"/>
              <w:bottom w:val="outset" w:color="auto" w:sz="6" w:space="0"/>
              <w:right w:val="outset" w:color="auto" w:sz="6" w:space="0"/>
            </w:tcBorders>
            <w:noWrap w:val="0"/>
            <w:vAlign w:val="center"/>
          </w:tcPr>
          <w:p w14:paraId="33142DD8">
            <w:pPr>
              <w:pStyle w:val="73"/>
              <w:jc w:val="center"/>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项目负责人</w:t>
            </w:r>
          </w:p>
          <w:p w14:paraId="6C6F5BDE">
            <w:pPr>
              <w:pStyle w:val="73"/>
              <w:jc w:val="center"/>
              <w:rPr>
                <w:rFonts w:hint="default" w:ascii="宋体" w:hAnsi="宋体" w:eastAsia="Times New Roman" w:cs="宋体"/>
                <w:color w:val="0000FF"/>
                <w:sz w:val="24"/>
                <w:highlight w:val="none"/>
                <w:lang w:val="en-US" w:eastAsia="zh-CN"/>
              </w:rPr>
            </w:pPr>
            <w:r>
              <w:rPr>
                <w:rFonts w:hint="eastAsia" w:ascii="宋体" w:hAnsi="宋体" w:eastAsia="宋体" w:cs="宋体"/>
                <w:i w:val="0"/>
                <w:iCs w:val="0"/>
                <w:caps w:val="0"/>
                <w:color w:val="auto"/>
                <w:spacing w:val="0"/>
                <w:kern w:val="0"/>
                <w:sz w:val="24"/>
                <w:szCs w:val="24"/>
                <w:highlight w:val="none"/>
                <w:lang w:val="en-US" w:eastAsia="zh-CN" w:bidi="ar-SA"/>
              </w:rPr>
              <w:t>资格</w:t>
            </w:r>
          </w:p>
        </w:tc>
        <w:tc>
          <w:tcPr>
            <w:tcW w:w="4928" w:type="dxa"/>
            <w:tcBorders>
              <w:top w:val="outset" w:color="auto" w:sz="6" w:space="0"/>
              <w:left w:val="outset" w:color="auto" w:sz="6" w:space="0"/>
              <w:bottom w:val="outset" w:color="auto" w:sz="6" w:space="0"/>
              <w:right w:val="outset" w:color="auto" w:sz="6" w:space="0"/>
            </w:tcBorders>
            <w:noWrap w:val="0"/>
            <w:vAlign w:val="center"/>
          </w:tcPr>
          <w:p w14:paraId="29E6180A">
            <w:pPr>
              <w:rPr>
                <w:rFonts w:hint="eastAsia" w:ascii="宋体" w:hAnsi="宋体" w:eastAsia="Times New Roman" w:cs="宋体"/>
                <w:color w:val="0000FF"/>
                <w:sz w:val="24"/>
                <w:highlight w:val="none"/>
                <w:lang w:val="en-US" w:eastAsia="zh-CN"/>
              </w:rPr>
            </w:pPr>
            <w:r>
              <w:rPr>
                <w:rFonts w:hint="eastAsia" w:asciiTheme="minorEastAsia" w:hAnsiTheme="minorEastAsia" w:eastAsiaTheme="minorEastAsia" w:cstheme="minorEastAsia"/>
                <w:sz w:val="24"/>
                <w:szCs w:val="24"/>
                <w:highlight w:val="none"/>
                <w:lang w:val="en-US" w:eastAsia="zh-CN"/>
              </w:rPr>
              <w:t>是否</w:t>
            </w:r>
            <w:r>
              <w:rPr>
                <w:rFonts w:hint="eastAsia" w:asciiTheme="minorEastAsia" w:hAnsiTheme="minorEastAsia" w:eastAsiaTheme="minorEastAsia" w:cstheme="minorEastAsia"/>
                <w:sz w:val="24"/>
                <w:szCs w:val="24"/>
                <w:highlight w:val="none"/>
                <w:lang w:val="zh-CN" w:eastAsia="zh-CN"/>
              </w:rPr>
              <w:t>具备公路工程专业二级（含二级）及以上注册建造师执业资格，持有有效的交通运输主管部门颁发的安全生产考核合格证书(B类)</w:t>
            </w:r>
            <w:r>
              <w:rPr>
                <w:rFonts w:hint="eastAsia" w:asciiTheme="minorEastAsia" w:hAnsiTheme="minorEastAsia" w:eastAsiaTheme="minorEastAsia" w:cstheme="minorEastAsia"/>
                <w:sz w:val="24"/>
                <w:szCs w:val="24"/>
                <w:highlight w:val="none"/>
                <w:lang w:val="en-US" w:eastAsia="zh-CN"/>
              </w:rPr>
              <w:t>,</w:t>
            </w:r>
            <w:r>
              <w:rPr>
                <w:rFonts w:hint="eastAsia" w:ascii="宋体" w:hAnsi="宋体" w:eastAsia="宋体" w:cs="宋体"/>
                <w:i w:val="0"/>
                <w:iCs w:val="0"/>
                <w:caps w:val="0"/>
                <w:color w:val="auto"/>
                <w:spacing w:val="0"/>
                <w:kern w:val="0"/>
                <w:sz w:val="24"/>
                <w:szCs w:val="24"/>
                <w:highlight w:val="none"/>
                <w:lang w:val="en-US" w:eastAsia="zh-CN" w:bidi="ar-SA"/>
              </w:rPr>
              <w:t>具有</w:t>
            </w:r>
            <w:r>
              <w:rPr>
                <w:rFonts w:hint="eastAsia" w:ascii="宋体" w:hAnsi="宋体" w:eastAsia="宋体" w:cs="宋体"/>
                <w:i w:val="0"/>
                <w:iCs w:val="0"/>
                <w:caps w:val="0"/>
                <w:color w:val="auto"/>
                <w:spacing w:val="0"/>
                <w:kern w:val="0"/>
                <w:sz w:val="24"/>
                <w:szCs w:val="24"/>
                <w:highlight w:val="none"/>
                <w:lang w:val="zh-CN" w:eastAsia="zh-CN" w:bidi="ar-SA"/>
              </w:rPr>
              <w:t>近6个月内任意一个月的有效社保证明,且未担任其他在施建设</w:t>
            </w:r>
            <w:r>
              <w:rPr>
                <w:rFonts w:hint="eastAsia" w:ascii="宋体" w:hAnsi="宋体" w:eastAsia="宋体" w:cs="宋体"/>
                <w:i w:val="0"/>
                <w:iCs w:val="0"/>
                <w:caps w:val="0"/>
                <w:color w:val="auto"/>
                <w:spacing w:val="0"/>
                <w:kern w:val="0"/>
                <w:sz w:val="24"/>
                <w:szCs w:val="24"/>
                <w:highlight w:val="none"/>
                <w:lang w:val="en-US" w:eastAsia="zh-CN" w:bidi="ar-SA"/>
              </w:rPr>
              <w:t>项目的</w:t>
            </w:r>
            <w:r>
              <w:rPr>
                <w:rFonts w:hint="eastAsia" w:ascii="宋体" w:hAnsi="宋体" w:eastAsia="宋体" w:cs="宋体"/>
                <w:i w:val="0"/>
                <w:iCs w:val="0"/>
                <w:caps w:val="0"/>
                <w:color w:val="auto"/>
                <w:spacing w:val="0"/>
                <w:kern w:val="0"/>
                <w:sz w:val="24"/>
                <w:szCs w:val="24"/>
                <w:highlight w:val="none"/>
                <w:lang w:val="zh-CN" w:eastAsia="zh-CN" w:bidi="ar-SA"/>
              </w:rPr>
              <w:t>项目经理。</w:t>
            </w:r>
          </w:p>
        </w:tc>
        <w:tc>
          <w:tcPr>
            <w:tcW w:w="1022" w:type="dxa"/>
            <w:tcBorders>
              <w:top w:val="outset" w:color="auto" w:sz="6" w:space="0"/>
              <w:left w:val="outset" w:color="auto" w:sz="6" w:space="0"/>
              <w:bottom w:val="outset" w:color="auto" w:sz="6" w:space="0"/>
              <w:right w:val="outset" w:color="auto" w:sz="6" w:space="0"/>
            </w:tcBorders>
            <w:noWrap w:val="0"/>
            <w:vAlign w:val="center"/>
          </w:tcPr>
          <w:p w14:paraId="654D34C6">
            <w:pPr>
              <w:pStyle w:val="73"/>
              <w:rPr>
                <w:color w:val="0000FF"/>
                <w:highlight w:val="none"/>
              </w:rPr>
            </w:pPr>
          </w:p>
        </w:tc>
        <w:tc>
          <w:tcPr>
            <w:tcW w:w="973" w:type="dxa"/>
            <w:tcBorders>
              <w:top w:val="outset" w:color="auto" w:sz="6" w:space="0"/>
              <w:left w:val="outset" w:color="auto" w:sz="6" w:space="0"/>
              <w:bottom w:val="outset" w:color="auto" w:sz="6" w:space="0"/>
              <w:right w:val="outset" w:color="auto" w:sz="6" w:space="0"/>
            </w:tcBorders>
            <w:noWrap w:val="0"/>
            <w:vAlign w:val="center"/>
          </w:tcPr>
          <w:p w14:paraId="0A6798BC">
            <w:pPr>
              <w:pStyle w:val="73"/>
              <w:rPr>
                <w:color w:val="0000FF"/>
                <w:highlight w:val="none"/>
              </w:rPr>
            </w:pPr>
          </w:p>
        </w:tc>
      </w:tr>
      <w:tr w14:paraId="5109CD8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200" w:hRule="atLeast"/>
        </w:trPr>
        <w:tc>
          <w:tcPr>
            <w:tcW w:w="571" w:type="dxa"/>
            <w:vMerge w:val="continue"/>
            <w:tcBorders>
              <w:left w:val="outset" w:color="auto" w:sz="6" w:space="0"/>
              <w:right w:val="outset" w:color="auto" w:sz="6" w:space="0"/>
            </w:tcBorders>
            <w:noWrap w:val="0"/>
            <w:vAlign w:val="center"/>
          </w:tcPr>
          <w:p w14:paraId="7D1B49B5">
            <w:pPr>
              <w:pStyle w:val="73"/>
              <w:jc w:val="center"/>
              <w:rPr>
                <w:color w:val="0000FF"/>
                <w:highlight w:val="yellow"/>
              </w:rPr>
            </w:pPr>
          </w:p>
        </w:tc>
        <w:tc>
          <w:tcPr>
            <w:tcW w:w="694" w:type="dxa"/>
            <w:vMerge w:val="continue"/>
            <w:tcBorders>
              <w:left w:val="outset" w:color="auto" w:sz="6" w:space="0"/>
              <w:right w:val="outset" w:color="auto" w:sz="6" w:space="0"/>
            </w:tcBorders>
            <w:noWrap w:val="0"/>
            <w:vAlign w:val="center"/>
          </w:tcPr>
          <w:p w14:paraId="35E037D6">
            <w:pPr>
              <w:pStyle w:val="73"/>
              <w:jc w:val="center"/>
              <w:rPr>
                <w:rFonts w:hint="eastAsia" w:ascii="宋体" w:hAnsi="宋体" w:eastAsia="宋体" w:cs="Times New Roman"/>
                <w:color w:val="0000FF"/>
                <w:kern w:val="2"/>
                <w:sz w:val="21"/>
                <w:szCs w:val="21"/>
                <w:highlight w:val="yellow"/>
                <w:lang w:val="en-US" w:eastAsia="zh-CN" w:bidi="ar-SA"/>
              </w:rPr>
            </w:pPr>
          </w:p>
        </w:tc>
        <w:tc>
          <w:tcPr>
            <w:tcW w:w="1613" w:type="dxa"/>
            <w:tcBorders>
              <w:top w:val="outset" w:color="auto" w:sz="6" w:space="0"/>
              <w:left w:val="outset" w:color="auto" w:sz="6" w:space="0"/>
              <w:bottom w:val="outset" w:color="auto" w:sz="6" w:space="0"/>
              <w:right w:val="outset" w:color="auto" w:sz="6" w:space="0"/>
            </w:tcBorders>
            <w:noWrap w:val="0"/>
            <w:vAlign w:val="center"/>
          </w:tcPr>
          <w:p w14:paraId="35A94CF0">
            <w:pPr>
              <w:pStyle w:val="73"/>
              <w:numPr>
                <w:ilvl w:val="0"/>
                <w:numId w:val="0"/>
              </w:numPr>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信用查询</w:t>
            </w:r>
          </w:p>
        </w:tc>
        <w:tc>
          <w:tcPr>
            <w:tcW w:w="4928" w:type="dxa"/>
            <w:tcBorders>
              <w:top w:val="outset" w:color="auto" w:sz="6" w:space="0"/>
              <w:left w:val="outset" w:color="auto" w:sz="6" w:space="0"/>
              <w:bottom w:val="outset" w:color="auto" w:sz="6" w:space="0"/>
              <w:right w:val="outset" w:color="auto" w:sz="6" w:space="0"/>
            </w:tcBorders>
            <w:noWrap w:val="0"/>
            <w:vAlign w:val="center"/>
          </w:tcPr>
          <w:p w14:paraId="6DABEABF">
            <w:pPr>
              <w:pStyle w:val="73"/>
              <w:jc w:val="left"/>
              <w:rPr>
                <w:rFonts w:hint="eastAsia" w:ascii="宋体" w:hAnsi="宋体" w:eastAsia="宋体" w:cs="宋体"/>
                <w:color w:val="auto"/>
                <w:sz w:val="24"/>
                <w:highlight w:val="none"/>
                <w:lang w:val="en-US" w:eastAsia="zh-CN"/>
              </w:rPr>
            </w:pPr>
            <w:r>
              <w:rPr>
                <w:rFonts w:hint="eastAsia" w:ascii="宋体" w:hAnsi="宋体" w:eastAsia="宋体" w:cs="宋体"/>
                <w:i w:val="0"/>
                <w:iCs w:val="0"/>
                <w:caps w:val="0"/>
                <w:color w:val="auto"/>
                <w:spacing w:val="0"/>
                <w:kern w:val="0"/>
                <w:sz w:val="24"/>
                <w:szCs w:val="24"/>
                <w:highlight w:val="none"/>
                <w:lang w:val="zh-CN" w:eastAsia="zh-CN" w:bidi="ar-SA"/>
              </w:rPr>
              <w:t>经信用中国、中国政府采购网等渠道查询后，列入失信被执行人、重大税收违法案件当事人名单、政府采购严重违法失信行为记录名单的，取消投标资格（</w:t>
            </w:r>
            <w:r>
              <w:rPr>
                <w:rFonts w:hint="eastAsia" w:ascii="宋体" w:hAnsi="宋体" w:eastAsia="宋体" w:cs="宋体"/>
                <w:i w:val="0"/>
                <w:iCs w:val="0"/>
                <w:caps w:val="0"/>
                <w:color w:val="auto"/>
                <w:spacing w:val="0"/>
                <w:kern w:val="0"/>
                <w:sz w:val="24"/>
                <w:szCs w:val="24"/>
                <w:highlight w:val="none"/>
                <w:lang w:val="en-US" w:eastAsia="zh-CN" w:bidi="ar-SA"/>
              </w:rPr>
              <w:t>是否</w:t>
            </w:r>
            <w:r>
              <w:rPr>
                <w:rFonts w:hint="eastAsia" w:ascii="宋体" w:hAnsi="宋体" w:eastAsia="宋体" w:cs="宋体"/>
                <w:i w:val="0"/>
                <w:iCs w:val="0"/>
                <w:caps w:val="0"/>
                <w:color w:val="auto"/>
                <w:spacing w:val="0"/>
                <w:kern w:val="0"/>
                <w:sz w:val="24"/>
                <w:szCs w:val="24"/>
                <w:highlight w:val="none"/>
                <w:lang w:val="zh-CN" w:eastAsia="zh-CN" w:bidi="ar-SA"/>
              </w:rPr>
              <w:t>提供网站无任何不良记录的查询截图并加盖公章，时间为自招标公告发布日期起至开标日期止；</w:t>
            </w:r>
            <w:r>
              <w:rPr>
                <w:rFonts w:hint="eastAsia" w:ascii="宋体" w:hAnsi="宋体" w:eastAsia="宋体" w:cs="宋体"/>
                <w:i w:val="0"/>
                <w:iCs w:val="0"/>
                <w:caps w:val="0"/>
                <w:color w:val="auto"/>
                <w:spacing w:val="0"/>
                <w:kern w:val="0"/>
                <w:sz w:val="24"/>
                <w:szCs w:val="24"/>
                <w:highlight w:val="none"/>
                <w:lang w:val="en-US" w:eastAsia="zh-CN" w:bidi="ar-SA"/>
              </w:rPr>
              <w:t>开标时，以网上查询记录为准</w:t>
            </w:r>
            <w:r>
              <w:rPr>
                <w:rFonts w:hint="eastAsia" w:ascii="宋体" w:hAnsi="宋体" w:eastAsia="宋体" w:cs="宋体"/>
                <w:i w:val="0"/>
                <w:iCs w:val="0"/>
                <w:caps w:val="0"/>
                <w:color w:val="auto"/>
                <w:spacing w:val="0"/>
                <w:kern w:val="0"/>
                <w:sz w:val="24"/>
                <w:szCs w:val="24"/>
                <w:highlight w:val="none"/>
                <w:lang w:val="zh-CN" w:eastAsia="zh-CN" w:bidi="ar-SA"/>
              </w:rPr>
              <w:t>）；</w:t>
            </w:r>
          </w:p>
        </w:tc>
        <w:tc>
          <w:tcPr>
            <w:tcW w:w="1022" w:type="dxa"/>
            <w:tcBorders>
              <w:top w:val="outset" w:color="auto" w:sz="6" w:space="0"/>
              <w:left w:val="outset" w:color="auto" w:sz="6" w:space="0"/>
              <w:bottom w:val="outset" w:color="auto" w:sz="6" w:space="0"/>
              <w:right w:val="outset" w:color="auto" w:sz="6" w:space="0"/>
            </w:tcBorders>
            <w:noWrap w:val="0"/>
            <w:vAlign w:val="center"/>
          </w:tcPr>
          <w:p w14:paraId="60A1DD4A">
            <w:pPr>
              <w:pStyle w:val="73"/>
              <w:rPr>
                <w:color w:val="0000FF"/>
                <w:highlight w:val="yellow"/>
              </w:rPr>
            </w:pPr>
          </w:p>
        </w:tc>
        <w:tc>
          <w:tcPr>
            <w:tcW w:w="973" w:type="dxa"/>
            <w:tcBorders>
              <w:top w:val="outset" w:color="auto" w:sz="6" w:space="0"/>
              <w:left w:val="outset" w:color="auto" w:sz="6" w:space="0"/>
              <w:bottom w:val="outset" w:color="auto" w:sz="6" w:space="0"/>
              <w:right w:val="outset" w:color="auto" w:sz="6" w:space="0"/>
            </w:tcBorders>
            <w:noWrap w:val="0"/>
            <w:vAlign w:val="center"/>
          </w:tcPr>
          <w:p w14:paraId="4E70D233">
            <w:pPr>
              <w:pStyle w:val="73"/>
              <w:rPr>
                <w:color w:val="0000FF"/>
                <w:highlight w:val="yellow"/>
              </w:rPr>
            </w:pPr>
          </w:p>
        </w:tc>
      </w:tr>
      <w:tr w14:paraId="6D68497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713" w:hRule="atLeast"/>
        </w:trPr>
        <w:tc>
          <w:tcPr>
            <w:tcW w:w="571" w:type="dxa"/>
            <w:vMerge w:val="continue"/>
            <w:tcBorders>
              <w:left w:val="outset" w:color="auto" w:sz="6" w:space="0"/>
              <w:right w:val="outset" w:color="auto" w:sz="6" w:space="0"/>
            </w:tcBorders>
            <w:noWrap w:val="0"/>
            <w:vAlign w:val="center"/>
          </w:tcPr>
          <w:p w14:paraId="38454015">
            <w:pPr>
              <w:pStyle w:val="73"/>
              <w:jc w:val="center"/>
              <w:rPr>
                <w:color w:val="0000FF"/>
                <w:highlight w:val="yellow"/>
              </w:rPr>
            </w:pPr>
          </w:p>
        </w:tc>
        <w:tc>
          <w:tcPr>
            <w:tcW w:w="694" w:type="dxa"/>
            <w:vMerge w:val="continue"/>
            <w:tcBorders>
              <w:left w:val="outset" w:color="auto" w:sz="6" w:space="0"/>
              <w:right w:val="outset" w:color="auto" w:sz="6" w:space="0"/>
            </w:tcBorders>
            <w:noWrap w:val="0"/>
            <w:vAlign w:val="center"/>
          </w:tcPr>
          <w:p w14:paraId="56FF5E12">
            <w:pPr>
              <w:pStyle w:val="73"/>
              <w:jc w:val="center"/>
              <w:rPr>
                <w:rFonts w:hint="eastAsia" w:ascii="宋体" w:hAnsi="宋体" w:eastAsia="宋体" w:cs="Times New Roman"/>
                <w:color w:val="0000FF"/>
                <w:kern w:val="2"/>
                <w:sz w:val="21"/>
                <w:szCs w:val="21"/>
                <w:highlight w:val="yellow"/>
                <w:lang w:val="en-US" w:eastAsia="zh-CN" w:bidi="ar-SA"/>
              </w:rPr>
            </w:pPr>
          </w:p>
        </w:tc>
        <w:tc>
          <w:tcPr>
            <w:tcW w:w="1613" w:type="dxa"/>
            <w:tcBorders>
              <w:top w:val="outset" w:color="auto" w:sz="6" w:space="0"/>
              <w:left w:val="outset" w:color="auto" w:sz="6" w:space="0"/>
              <w:bottom w:val="outset" w:color="auto" w:sz="6" w:space="0"/>
              <w:right w:val="outset" w:color="auto" w:sz="6" w:space="0"/>
            </w:tcBorders>
            <w:noWrap w:val="0"/>
            <w:vAlign w:val="center"/>
          </w:tcPr>
          <w:p w14:paraId="0A6F8D0F">
            <w:pPr>
              <w:pStyle w:val="73"/>
              <w:jc w:val="center"/>
              <w:rPr>
                <w:rFonts w:hint="eastAsia" w:ascii="宋体" w:hAnsi="宋体" w:eastAsia="Times New Roman" w:cs="宋体"/>
                <w:color w:val="auto"/>
                <w:sz w:val="24"/>
                <w:szCs w:val="24"/>
                <w:highlight w:val="none"/>
                <w:lang w:val="en-US" w:eastAsia="zh-CN" w:bidi="ar-SA"/>
              </w:rPr>
            </w:pPr>
            <w:r>
              <w:rPr>
                <w:rFonts w:hint="eastAsia" w:ascii="宋体" w:hAnsi="宋体" w:eastAsia="Times New Roman" w:cs="宋体"/>
                <w:color w:val="auto"/>
                <w:sz w:val="24"/>
                <w:highlight w:val="none"/>
                <w:lang w:val="en-US" w:eastAsia="zh-CN"/>
              </w:rPr>
              <w:t>投标保证金</w:t>
            </w:r>
          </w:p>
        </w:tc>
        <w:tc>
          <w:tcPr>
            <w:tcW w:w="4928" w:type="dxa"/>
            <w:tcBorders>
              <w:top w:val="outset" w:color="auto" w:sz="6" w:space="0"/>
              <w:left w:val="outset" w:color="auto" w:sz="6" w:space="0"/>
              <w:bottom w:val="outset" w:color="auto" w:sz="6" w:space="0"/>
              <w:right w:val="outset" w:color="auto" w:sz="6" w:space="0"/>
            </w:tcBorders>
            <w:noWrap w:val="0"/>
            <w:vAlign w:val="center"/>
          </w:tcPr>
          <w:p w14:paraId="3F5A7697">
            <w:pPr>
              <w:pStyle w:val="73"/>
              <w:jc w:val="both"/>
              <w:rPr>
                <w:rFonts w:hint="eastAsia" w:ascii="宋体" w:hAnsi="宋体" w:eastAsia="Times New Roman" w:cs="宋体"/>
                <w:color w:val="auto"/>
                <w:sz w:val="24"/>
                <w:szCs w:val="24"/>
                <w:highlight w:val="none"/>
                <w:lang w:val="zh-CN"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是否</w:t>
            </w:r>
            <w:r>
              <w:rPr>
                <w:rFonts w:hint="eastAsia" w:ascii="宋体" w:hAnsi="宋体" w:eastAsia="Times New Roman" w:cs="宋体"/>
                <w:color w:val="auto"/>
                <w:sz w:val="24"/>
                <w:highlight w:val="none"/>
                <w:lang w:val="zh-CN" w:eastAsia="zh-CN"/>
              </w:rPr>
              <w:t>提供</w:t>
            </w:r>
            <w:r>
              <w:rPr>
                <w:rFonts w:hint="eastAsia" w:ascii="宋体" w:hAnsi="宋体" w:eastAsia="Times New Roman" w:cs="宋体"/>
                <w:color w:val="auto"/>
                <w:sz w:val="24"/>
                <w:highlight w:val="none"/>
                <w:lang w:val="en-US" w:eastAsia="zh-CN"/>
              </w:rPr>
              <w:t>有效的</w:t>
            </w:r>
            <w:r>
              <w:rPr>
                <w:rFonts w:hint="eastAsia" w:ascii="宋体" w:hAnsi="宋体" w:eastAsia="Times New Roman" w:cs="宋体"/>
                <w:color w:val="auto"/>
                <w:sz w:val="24"/>
                <w:highlight w:val="none"/>
                <w:lang w:val="zh-CN" w:eastAsia="zh-CN"/>
              </w:rPr>
              <w:t>投标保证金</w:t>
            </w:r>
            <w:r>
              <w:rPr>
                <w:rFonts w:hint="eastAsia" w:ascii="宋体" w:hAnsi="宋体" w:eastAsia="Times New Roman" w:cs="宋体"/>
                <w:color w:val="auto"/>
                <w:sz w:val="24"/>
                <w:highlight w:val="none"/>
                <w:lang w:val="en-US" w:eastAsia="zh-CN"/>
              </w:rPr>
              <w:t>缴纳</w:t>
            </w:r>
            <w:r>
              <w:rPr>
                <w:rFonts w:hint="eastAsia" w:ascii="宋体" w:hAnsi="宋体" w:eastAsia="Times New Roman" w:cs="宋体"/>
                <w:color w:val="auto"/>
                <w:sz w:val="24"/>
                <w:highlight w:val="none"/>
                <w:lang w:val="zh-CN" w:eastAsia="zh-CN"/>
              </w:rPr>
              <w:t>凭证</w:t>
            </w:r>
            <w:r>
              <w:rPr>
                <w:rFonts w:hint="eastAsia" w:ascii="宋体" w:hAnsi="宋体" w:eastAsia="Times New Roman" w:cs="宋体"/>
                <w:color w:val="auto"/>
                <w:sz w:val="24"/>
                <w:highlight w:val="none"/>
                <w:lang w:val="en-US" w:eastAsia="zh-CN"/>
              </w:rPr>
              <w:t>；</w:t>
            </w:r>
          </w:p>
        </w:tc>
        <w:tc>
          <w:tcPr>
            <w:tcW w:w="1022" w:type="dxa"/>
            <w:tcBorders>
              <w:top w:val="outset" w:color="auto" w:sz="6" w:space="0"/>
              <w:left w:val="outset" w:color="auto" w:sz="6" w:space="0"/>
              <w:bottom w:val="outset" w:color="auto" w:sz="6" w:space="0"/>
              <w:right w:val="outset" w:color="auto" w:sz="6" w:space="0"/>
            </w:tcBorders>
            <w:noWrap w:val="0"/>
            <w:vAlign w:val="center"/>
          </w:tcPr>
          <w:p w14:paraId="50FEE01C">
            <w:pPr>
              <w:pStyle w:val="73"/>
              <w:rPr>
                <w:color w:val="0000FF"/>
                <w:highlight w:val="yellow"/>
              </w:rPr>
            </w:pPr>
          </w:p>
        </w:tc>
        <w:tc>
          <w:tcPr>
            <w:tcW w:w="973" w:type="dxa"/>
            <w:tcBorders>
              <w:top w:val="outset" w:color="auto" w:sz="6" w:space="0"/>
              <w:left w:val="outset" w:color="auto" w:sz="6" w:space="0"/>
              <w:bottom w:val="outset" w:color="auto" w:sz="6" w:space="0"/>
              <w:right w:val="outset" w:color="auto" w:sz="6" w:space="0"/>
            </w:tcBorders>
            <w:noWrap w:val="0"/>
            <w:vAlign w:val="center"/>
          </w:tcPr>
          <w:p w14:paraId="09E34251">
            <w:pPr>
              <w:pStyle w:val="73"/>
              <w:rPr>
                <w:color w:val="0000FF"/>
                <w:highlight w:val="yellow"/>
              </w:rPr>
            </w:pPr>
          </w:p>
        </w:tc>
      </w:tr>
      <w:tr w14:paraId="6A08C1D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713" w:hRule="atLeast"/>
        </w:trPr>
        <w:tc>
          <w:tcPr>
            <w:tcW w:w="571" w:type="dxa"/>
            <w:vMerge w:val="continue"/>
            <w:tcBorders>
              <w:left w:val="outset" w:color="auto" w:sz="6" w:space="0"/>
              <w:right w:val="outset" w:color="auto" w:sz="6" w:space="0"/>
            </w:tcBorders>
            <w:noWrap w:val="0"/>
            <w:vAlign w:val="center"/>
          </w:tcPr>
          <w:p w14:paraId="6D3AE11D">
            <w:pPr>
              <w:pStyle w:val="73"/>
              <w:jc w:val="center"/>
              <w:rPr>
                <w:color w:val="0000FF"/>
                <w:highlight w:val="yellow"/>
              </w:rPr>
            </w:pPr>
          </w:p>
        </w:tc>
        <w:tc>
          <w:tcPr>
            <w:tcW w:w="694" w:type="dxa"/>
            <w:vMerge w:val="continue"/>
            <w:tcBorders>
              <w:left w:val="outset" w:color="auto" w:sz="6" w:space="0"/>
              <w:right w:val="outset" w:color="auto" w:sz="6" w:space="0"/>
            </w:tcBorders>
            <w:noWrap w:val="0"/>
            <w:vAlign w:val="center"/>
          </w:tcPr>
          <w:p w14:paraId="0E1269A6">
            <w:pPr>
              <w:pStyle w:val="73"/>
              <w:jc w:val="center"/>
              <w:rPr>
                <w:rFonts w:hint="eastAsia" w:ascii="宋体" w:hAnsi="宋体" w:eastAsia="宋体" w:cs="Times New Roman"/>
                <w:color w:val="0000FF"/>
                <w:kern w:val="2"/>
                <w:sz w:val="21"/>
                <w:szCs w:val="21"/>
                <w:highlight w:val="yellow"/>
                <w:lang w:val="en-US" w:eastAsia="zh-CN" w:bidi="ar-SA"/>
              </w:rPr>
            </w:pPr>
          </w:p>
        </w:tc>
        <w:tc>
          <w:tcPr>
            <w:tcW w:w="1613" w:type="dxa"/>
            <w:tcBorders>
              <w:top w:val="outset" w:color="auto" w:sz="6" w:space="0"/>
              <w:left w:val="outset" w:color="auto" w:sz="6" w:space="0"/>
              <w:bottom w:val="outset" w:color="auto" w:sz="6" w:space="0"/>
              <w:right w:val="outset" w:color="auto" w:sz="6" w:space="0"/>
            </w:tcBorders>
            <w:noWrap w:val="0"/>
            <w:vAlign w:val="center"/>
          </w:tcPr>
          <w:p w14:paraId="0E522512">
            <w:pPr>
              <w:pStyle w:val="73"/>
              <w:jc w:val="center"/>
              <w:rPr>
                <w:rFonts w:hint="eastAsia" w:ascii="宋体" w:hAnsi="宋体" w:eastAsia="Times New Roman" w:cs="宋体"/>
                <w:color w:val="auto"/>
                <w:sz w:val="24"/>
                <w:highlight w:val="none"/>
                <w:lang w:val="en-US" w:eastAsia="zh-CN"/>
              </w:rPr>
            </w:pPr>
            <w:r>
              <w:rPr>
                <w:rFonts w:hint="eastAsia" w:ascii="宋体" w:hAnsi="宋体" w:eastAsia="Times New Roman" w:cs="宋体"/>
                <w:color w:val="auto"/>
                <w:sz w:val="24"/>
                <w:highlight w:val="none"/>
                <w:lang w:val="en-US" w:eastAsia="zh-CN"/>
              </w:rPr>
              <w:t>未组成联合</w:t>
            </w:r>
            <w:r>
              <w:rPr>
                <w:rFonts w:hint="eastAsia" w:ascii="宋体" w:hAnsi="宋体" w:cs="宋体"/>
                <w:color w:val="auto"/>
                <w:sz w:val="24"/>
                <w:highlight w:val="none"/>
                <w:lang w:val="en-US" w:eastAsia="zh-CN"/>
              </w:rPr>
              <w:t>体</w:t>
            </w:r>
            <w:r>
              <w:rPr>
                <w:rFonts w:hint="eastAsia" w:ascii="宋体" w:hAnsi="宋体" w:eastAsia="Times New Roman" w:cs="宋体"/>
                <w:color w:val="auto"/>
                <w:sz w:val="24"/>
                <w:highlight w:val="none"/>
                <w:lang w:val="en-US" w:eastAsia="zh-CN"/>
              </w:rPr>
              <w:t>投标</w:t>
            </w:r>
          </w:p>
        </w:tc>
        <w:tc>
          <w:tcPr>
            <w:tcW w:w="4928" w:type="dxa"/>
            <w:tcBorders>
              <w:top w:val="outset" w:color="auto" w:sz="6" w:space="0"/>
              <w:left w:val="outset" w:color="auto" w:sz="6" w:space="0"/>
              <w:bottom w:val="outset" w:color="auto" w:sz="6" w:space="0"/>
              <w:right w:val="outset" w:color="auto" w:sz="6" w:space="0"/>
            </w:tcBorders>
            <w:noWrap w:val="0"/>
            <w:vAlign w:val="center"/>
          </w:tcPr>
          <w:p w14:paraId="10C5AAF5">
            <w:pPr>
              <w:pStyle w:val="73"/>
              <w:jc w:val="both"/>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是否</w:t>
            </w:r>
            <w:r>
              <w:rPr>
                <w:rFonts w:hint="eastAsia" w:ascii="宋体" w:hAnsi="宋体" w:eastAsia="Times New Roman" w:cs="宋体"/>
                <w:color w:val="auto"/>
                <w:sz w:val="24"/>
                <w:highlight w:val="none"/>
                <w:lang w:val="en-US" w:eastAsia="zh-CN"/>
              </w:rPr>
              <w:t>未组成联合</w:t>
            </w:r>
            <w:r>
              <w:rPr>
                <w:rFonts w:hint="eastAsia" w:ascii="宋体" w:hAnsi="宋体" w:cs="宋体"/>
                <w:color w:val="auto"/>
                <w:sz w:val="24"/>
                <w:highlight w:val="none"/>
                <w:lang w:val="en-US" w:eastAsia="zh-CN"/>
              </w:rPr>
              <w:t>体进行</w:t>
            </w:r>
            <w:r>
              <w:rPr>
                <w:rFonts w:hint="eastAsia" w:ascii="宋体" w:hAnsi="宋体" w:eastAsia="Times New Roman" w:cs="宋体"/>
                <w:color w:val="auto"/>
                <w:sz w:val="24"/>
                <w:highlight w:val="none"/>
                <w:lang w:val="en-US" w:eastAsia="zh-CN"/>
              </w:rPr>
              <w:t>投标</w:t>
            </w:r>
            <w:r>
              <w:rPr>
                <w:rFonts w:hint="eastAsia" w:ascii="宋体" w:hAnsi="宋体" w:cs="宋体"/>
                <w:color w:val="auto"/>
                <w:sz w:val="24"/>
                <w:highlight w:val="none"/>
                <w:lang w:val="en-US" w:eastAsia="zh-CN"/>
              </w:rPr>
              <w:t>；</w:t>
            </w:r>
          </w:p>
        </w:tc>
        <w:tc>
          <w:tcPr>
            <w:tcW w:w="1022" w:type="dxa"/>
            <w:tcBorders>
              <w:top w:val="outset" w:color="auto" w:sz="6" w:space="0"/>
              <w:left w:val="outset" w:color="auto" w:sz="6" w:space="0"/>
              <w:bottom w:val="outset" w:color="auto" w:sz="6" w:space="0"/>
              <w:right w:val="outset" w:color="auto" w:sz="6" w:space="0"/>
            </w:tcBorders>
            <w:noWrap w:val="0"/>
            <w:vAlign w:val="center"/>
          </w:tcPr>
          <w:p w14:paraId="2C6B81CA">
            <w:pPr>
              <w:pStyle w:val="73"/>
              <w:rPr>
                <w:color w:val="0000FF"/>
                <w:highlight w:val="yellow"/>
              </w:rPr>
            </w:pPr>
          </w:p>
        </w:tc>
        <w:tc>
          <w:tcPr>
            <w:tcW w:w="973" w:type="dxa"/>
            <w:tcBorders>
              <w:top w:val="outset" w:color="auto" w:sz="6" w:space="0"/>
              <w:left w:val="outset" w:color="auto" w:sz="6" w:space="0"/>
              <w:bottom w:val="outset" w:color="auto" w:sz="6" w:space="0"/>
              <w:right w:val="outset" w:color="auto" w:sz="6" w:space="0"/>
            </w:tcBorders>
            <w:noWrap w:val="0"/>
            <w:vAlign w:val="center"/>
          </w:tcPr>
          <w:p w14:paraId="6DD4E205">
            <w:pPr>
              <w:pStyle w:val="73"/>
              <w:rPr>
                <w:color w:val="0000FF"/>
                <w:highlight w:val="yellow"/>
              </w:rPr>
            </w:pPr>
          </w:p>
        </w:tc>
      </w:tr>
      <w:tr w14:paraId="4B8A78F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713" w:hRule="atLeast"/>
        </w:trPr>
        <w:tc>
          <w:tcPr>
            <w:tcW w:w="571" w:type="dxa"/>
            <w:vMerge w:val="continue"/>
            <w:tcBorders>
              <w:left w:val="outset" w:color="auto" w:sz="6" w:space="0"/>
              <w:right w:val="outset" w:color="auto" w:sz="6" w:space="0"/>
            </w:tcBorders>
            <w:noWrap w:val="0"/>
            <w:vAlign w:val="center"/>
          </w:tcPr>
          <w:p w14:paraId="264D8EF4">
            <w:pPr>
              <w:pStyle w:val="73"/>
              <w:jc w:val="center"/>
              <w:rPr>
                <w:color w:val="0000FF"/>
                <w:highlight w:val="yellow"/>
              </w:rPr>
            </w:pPr>
          </w:p>
        </w:tc>
        <w:tc>
          <w:tcPr>
            <w:tcW w:w="694" w:type="dxa"/>
            <w:vMerge w:val="continue"/>
            <w:tcBorders>
              <w:left w:val="outset" w:color="auto" w:sz="6" w:space="0"/>
              <w:right w:val="outset" w:color="auto" w:sz="6" w:space="0"/>
            </w:tcBorders>
            <w:noWrap w:val="0"/>
            <w:vAlign w:val="center"/>
          </w:tcPr>
          <w:p w14:paraId="514423AA">
            <w:pPr>
              <w:pStyle w:val="73"/>
              <w:jc w:val="center"/>
              <w:rPr>
                <w:rFonts w:hint="eastAsia" w:ascii="宋体" w:hAnsi="宋体" w:eastAsia="宋体" w:cs="Times New Roman"/>
                <w:color w:val="0000FF"/>
                <w:kern w:val="2"/>
                <w:sz w:val="21"/>
                <w:szCs w:val="21"/>
                <w:highlight w:val="yellow"/>
                <w:lang w:val="en-US" w:eastAsia="zh-CN" w:bidi="ar-SA"/>
              </w:rPr>
            </w:pPr>
          </w:p>
        </w:tc>
        <w:tc>
          <w:tcPr>
            <w:tcW w:w="1613"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76333FCC">
            <w:pPr>
              <w:pStyle w:val="73"/>
              <w:jc w:val="center"/>
              <w:rPr>
                <w:rFonts w:hint="eastAsia" w:ascii="宋体" w:hAnsi="宋体" w:eastAsia="Times New Roman" w:cs="宋体"/>
                <w:color w:val="auto"/>
                <w:sz w:val="24"/>
                <w:szCs w:val="24"/>
                <w:highlight w:val="none"/>
                <w:lang w:val="en-US" w:eastAsia="zh-CN" w:bidi="ar-SA"/>
              </w:rPr>
            </w:pPr>
            <w:r>
              <w:rPr>
                <w:rFonts w:hint="eastAsia" w:ascii="宋体" w:hAnsi="宋体" w:cs="宋体"/>
                <w:color w:val="auto"/>
                <w:sz w:val="24"/>
                <w:highlight w:val="none"/>
                <w:lang w:val="en-US" w:eastAsia="zh-CN"/>
              </w:rPr>
              <w:t>其它</w:t>
            </w:r>
          </w:p>
        </w:tc>
        <w:tc>
          <w:tcPr>
            <w:tcW w:w="4928"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F6789DE">
            <w:pPr>
              <w:spacing w:line="240" w:lineRule="auto"/>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是否满足以下要求：</w:t>
            </w:r>
            <w:r>
              <w:rPr>
                <w:rFonts w:hint="default" w:ascii="宋体" w:hAnsi="宋体" w:eastAsia="宋体" w:cs="宋体"/>
                <w:color w:val="auto"/>
                <w:kern w:val="0"/>
                <w:sz w:val="24"/>
                <w:szCs w:val="24"/>
                <w:highlight w:val="none"/>
                <w:lang w:val="en-US" w:eastAsia="zh-CN"/>
              </w:rPr>
              <w:t>单位负责人为同一人或者存在直接控股、管理关系的不同供应商，不得参加同一合同项下的政府采购活动。除单一来源采购项目外，</w:t>
            </w:r>
            <w:r>
              <w:rPr>
                <w:rFonts w:hint="eastAsia" w:ascii="宋体" w:hAnsi="宋体" w:eastAsia="宋体" w:cs="宋体"/>
                <w:color w:val="auto"/>
                <w:kern w:val="0"/>
                <w:sz w:val="24"/>
                <w:szCs w:val="24"/>
                <w:highlight w:val="none"/>
                <w:lang w:val="en-US" w:eastAsia="zh-CN"/>
              </w:rPr>
              <w:t>为采购项目提供整体设计、规范编制或者项目管理、监理、检测等服务的供应商，不得再参加该采购项目的其他采购活动</w:t>
            </w:r>
            <w:r>
              <w:rPr>
                <w:rFonts w:hint="eastAsia" w:ascii="宋体" w:hAnsi="宋体" w:cs="宋体"/>
                <w:color w:val="auto"/>
                <w:kern w:val="0"/>
                <w:sz w:val="24"/>
                <w:szCs w:val="24"/>
                <w:highlight w:val="none"/>
                <w:lang w:val="en-US" w:eastAsia="zh-CN"/>
              </w:rPr>
              <w:t>(提供承诺书)。</w:t>
            </w:r>
          </w:p>
        </w:tc>
        <w:tc>
          <w:tcPr>
            <w:tcW w:w="1022" w:type="dxa"/>
            <w:tcBorders>
              <w:top w:val="outset" w:color="auto" w:sz="6" w:space="0"/>
              <w:left w:val="outset" w:color="auto" w:sz="6" w:space="0"/>
              <w:bottom w:val="outset" w:color="auto" w:sz="6" w:space="0"/>
              <w:right w:val="outset" w:color="auto" w:sz="6" w:space="0"/>
            </w:tcBorders>
            <w:noWrap w:val="0"/>
            <w:vAlign w:val="center"/>
          </w:tcPr>
          <w:p w14:paraId="47607306">
            <w:pPr>
              <w:pStyle w:val="73"/>
              <w:rPr>
                <w:color w:val="0000FF"/>
                <w:highlight w:val="yellow"/>
              </w:rPr>
            </w:pPr>
          </w:p>
        </w:tc>
        <w:tc>
          <w:tcPr>
            <w:tcW w:w="973" w:type="dxa"/>
            <w:tcBorders>
              <w:top w:val="outset" w:color="auto" w:sz="6" w:space="0"/>
              <w:left w:val="outset" w:color="auto" w:sz="6" w:space="0"/>
              <w:bottom w:val="outset" w:color="auto" w:sz="6" w:space="0"/>
              <w:right w:val="outset" w:color="auto" w:sz="6" w:space="0"/>
            </w:tcBorders>
            <w:noWrap w:val="0"/>
            <w:vAlign w:val="center"/>
          </w:tcPr>
          <w:p w14:paraId="70F77805">
            <w:pPr>
              <w:pStyle w:val="73"/>
              <w:rPr>
                <w:color w:val="0000FF"/>
                <w:highlight w:val="yellow"/>
              </w:rPr>
            </w:pPr>
          </w:p>
        </w:tc>
      </w:tr>
      <w:tr w14:paraId="51F9056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1" w:type="dxa"/>
            <w:vMerge w:val="continue"/>
            <w:tcBorders>
              <w:left w:val="outset" w:color="auto" w:sz="6" w:space="0"/>
              <w:right w:val="outset" w:color="auto" w:sz="6" w:space="0"/>
            </w:tcBorders>
            <w:noWrap w:val="0"/>
            <w:vAlign w:val="center"/>
          </w:tcPr>
          <w:p w14:paraId="69F7A1E2">
            <w:pPr>
              <w:pStyle w:val="73"/>
              <w:jc w:val="center"/>
              <w:rPr>
                <w:color w:val="0000FF"/>
                <w:highlight w:val="yellow"/>
              </w:rPr>
            </w:pPr>
          </w:p>
        </w:tc>
        <w:tc>
          <w:tcPr>
            <w:tcW w:w="694" w:type="dxa"/>
            <w:vMerge w:val="continue"/>
            <w:tcBorders>
              <w:left w:val="outset" w:color="auto" w:sz="6" w:space="0"/>
              <w:right w:val="outset" w:color="auto" w:sz="6" w:space="0"/>
            </w:tcBorders>
            <w:noWrap w:val="0"/>
            <w:vAlign w:val="center"/>
          </w:tcPr>
          <w:p w14:paraId="4619956B">
            <w:pPr>
              <w:pStyle w:val="73"/>
              <w:jc w:val="center"/>
              <w:rPr>
                <w:rFonts w:hint="eastAsia" w:ascii="宋体" w:hAnsi="宋体" w:eastAsia="宋体" w:cs="Times New Roman"/>
                <w:color w:val="0000FF"/>
                <w:kern w:val="2"/>
                <w:sz w:val="21"/>
                <w:szCs w:val="21"/>
                <w:highlight w:val="yellow"/>
                <w:lang w:val="en-US" w:eastAsia="zh-CN" w:bidi="ar-SA"/>
              </w:rPr>
            </w:pPr>
          </w:p>
        </w:tc>
        <w:tc>
          <w:tcPr>
            <w:tcW w:w="1613" w:type="dxa"/>
            <w:tcBorders>
              <w:top w:val="outset" w:color="auto" w:sz="6" w:space="0"/>
              <w:left w:val="outset" w:color="auto" w:sz="6" w:space="0"/>
              <w:bottom w:val="outset" w:color="auto" w:sz="6" w:space="0"/>
              <w:right w:val="outset" w:color="auto" w:sz="6" w:space="0"/>
            </w:tcBorders>
            <w:noWrap w:val="0"/>
            <w:vAlign w:val="center"/>
          </w:tcPr>
          <w:p w14:paraId="58FA500A">
            <w:pPr>
              <w:pStyle w:val="73"/>
              <w:jc w:val="center"/>
              <w:rPr>
                <w:rFonts w:hint="eastAsia" w:ascii="宋体" w:hAnsi="宋体" w:eastAsia="Times New Roman" w:cs="宋体"/>
                <w:color w:val="auto"/>
                <w:sz w:val="24"/>
                <w:szCs w:val="24"/>
                <w:highlight w:val="none"/>
                <w:lang w:val="en-US" w:eastAsia="zh-CN" w:bidi="ar-SA"/>
              </w:rPr>
            </w:pPr>
            <w:r>
              <w:rPr>
                <w:rFonts w:hint="eastAsia" w:ascii="宋体" w:hAnsi="宋体" w:cs="宋体"/>
                <w:color w:val="auto"/>
                <w:sz w:val="24"/>
                <w:highlight w:val="none"/>
                <w:lang w:val="en-US" w:eastAsia="zh-CN"/>
              </w:rPr>
              <w:t>中</w:t>
            </w:r>
            <w:r>
              <w:rPr>
                <w:rFonts w:hint="eastAsia" w:ascii="宋体" w:hAnsi="宋体" w:eastAsia="Times New Roman" w:cs="宋体"/>
                <w:color w:val="auto"/>
                <w:sz w:val="24"/>
                <w:highlight w:val="none"/>
                <w:lang w:val="en-US" w:eastAsia="zh-CN"/>
              </w:rPr>
              <w:t>小企业</w:t>
            </w:r>
          </w:p>
        </w:tc>
        <w:tc>
          <w:tcPr>
            <w:tcW w:w="4928" w:type="dxa"/>
            <w:tcBorders>
              <w:top w:val="outset" w:color="auto" w:sz="6" w:space="0"/>
              <w:left w:val="outset" w:color="auto" w:sz="6" w:space="0"/>
              <w:bottom w:val="outset" w:color="auto" w:sz="6" w:space="0"/>
              <w:right w:val="outset" w:color="auto" w:sz="6" w:space="0"/>
            </w:tcBorders>
            <w:noWrap w:val="0"/>
            <w:vAlign w:val="center"/>
          </w:tcPr>
          <w:p w14:paraId="055B81C6">
            <w:pPr>
              <w:keepNext w:val="0"/>
              <w:keepLines w:val="0"/>
              <w:widowControl/>
              <w:suppressLineNumbers w:val="0"/>
              <w:jc w:val="left"/>
              <w:rPr>
                <w:rFonts w:hint="default" w:ascii="宋体" w:hAnsi="宋体" w:eastAsia="Times New Roman" w:cs="宋体"/>
                <w:color w:val="auto"/>
                <w:sz w:val="24"/>
                <w:highlight w:val="none"/>
                <w:lang w:val="en-US" w:eastAsia="zh-CN"/>
              </w:rPr>
            </w:pPr>
            <w:r>
              <w:rPr>
                <w:rFonts w:hint="eastAsia" w:ascii="宋体" w:hAnsi="宋体" w:eastAsia="宋体" w:cs="宋体"/>
                <w:i w:val="0"/>
                <w:iCs w:val="0"/>
                <w:caps w:val="0"/>
                <w:color w:val="auto"/>
                <w:spacing w:val="0"/>
                <w:kern w:val="0"/>
                <w:sz w:val="24"/>
                <w:szCs w:val="24"/>
                <w:highlight w:val="none"/>
                <w:lang w:val="en-US" w:eastAsia="zh-CN" w:bidi="ar-SA"/>
              </w:rPr>
              <w:t>是否满足落实政府采购政策的资格要求：提供有效的《中小企业声明函》</w:t>
            </w:r>
          </w:p>
        </w:tc>
        <w:tc>
          <w:tcPr>
            <w:tcW w:w="1022" w:type="dxa"/>
            <w:tcBorders>
              <w:top w:val="outset" w:color="auto" w:sz="6" w:space="0"/>
              <w:left w:val="outset" w:color="auto" w:sz="6" w:space="0"/>
              <w:bottom w:val="outset" w:color="auto" w:sz="6" w:space="0"/>
              <w:right w:val="outset" w:color="auto" w:sz="6" w:space="0"/>
            </w:tcBorders>
            <w:noWrap w:val="0"/>
            <w:vAlign w:val="center"/>
          </w:tcPr>
          <w:p w14:paraId="6EFF6C1B">
            <w:pPr>
              <w:pStyle w:val="73"/>
              <w:rPr>
                <w:color w:val="0000FF"/>
                <w:highlight w:val="yellow"/>
              </w:rPr>
            </w:pPr>
          </w:p>
        </w:tc>
        <w:tc>
          <w:tcPr>
            <w:tcW w:w="973" w:type="dxa"/>
            <w:tcBorders>
              <w:top w:val="outset" w:color="auto" w:sz="6" w:space="0"/>
              <w:left w:val="outset" w:color="auto" w:sz="6" w:space="0"/>
              <w:bottom w:val="outset" w:color="auto" w:sz="6" w:space="0"/>
              <w:right w:val="outset" w:color="auto" w:sz="6" w:space="0"/>
            </w:tcBorders>
            <w:noWrap w:val="0"/>
            <w:vAlign w:val="center"/>
          </w:tcPr>
          <w:p w14:paraId="773EB6CB">
            <w:pPr>
              <w:pStyle w:val="73"/>
              <w:rPr>
                <w:color w:val="0000FF"/>
                <w:highlight w:val="yellow"/>
              </w:rPr>
            </w:pPr>
          </w:p>
        </w:tc>
      </w:tr>
      <w:tr w14:paraId="0BA5D26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1" w:type="dxa"/>
            <w:vMerge w:val="continue"/>
            <w:tcBorders>
              <w:top w:val="outset" w:color="auto" w:sz="6" w:space="0"/>
              <w:left w:val="outset" w:color="auto" w:sz="6" w:space="0"/>
              <w:bottom w:val="outset" w:color="auto" w:sz="6" w:space="0"/>
              <w:right w:val="outset" w:color="auto" w:sz="6" w:space="0"/>
            </w:tcBorders>
            <w:noWrap w:val="0"/>
            <w:vAlign w:val="center"/>
          </w:tcPr>
          <w:p w14:paraId="36589607">
            <w:pPr>
              <w:pStyle w:val="73"/>
              <w:rPr>
                <w:color w:val="0000FF"/>
                <w:highlight w:val="none"/>
              </w:rPr>
            </w:pPr>
          </w:p>
        </w:tc>
        <w:tc>
          <w:tcPr>
            <w:tcW w:w="694" w:type="dxa"/>
            <w:vMerge w:val="restart"/>
            <w:tcBorders>
              <w:top w:val="single" w:color="auto" w:sz="4" w:space="0"/>
              <w:left w:val="outset" w:color="auto" w:sz="6" w:space="0"/>
              <w:right w:val="outset" w:color="auto" w:sz="6" w:space="0"/>
            </w:tcBorders>
            <w:noWrap w:val="0"/>
            <w:vAlign w:val="center"/>
          </w:tcPr>
          <w:p w14:paraId="07CBDD9A">
            <w:pPr>
              <w:pStyle w:val="73"/>
              <w:jc w:val="center"/>
              <w:rPr>
                <w:rFonts w:hint="eastAsia" w:ascii="宋体" w:hAnsi="宋体" w:eastAsia="Times New Roman" w:cs="宋体"/>
                <w:b/>
                <w:bCs/>
                <w:color w:val="auto"/>
                <w:sz w:val="24"/>
                <w:highlight w:val="none"/>
                <w:lang w:val="en-US" w:eastAsia="zh-CN"/>
              </w:rPr>
            </w:pPr>
            <w:r>
              <w:rPr>
                <w:rFonts w:hint="eastAsia" w:ascii="宋体" w:hAnsi="宋体" w:eastAsia="Times New Roman" w:cs="宋体"/>
                <w:b/>
                <w:bCs/>
                <w:color w:val="auto"/>
                <w:sz w:val="24"/>
                <w:highlight w:val="none"/>
                <w:lang w:val="en-US" w:eastAsia="zh-CN"/>
              </w:rPr>
              <w:t>符</w:t>
            </w:r>
          </w:p>
          <w:p w14:paraId="51D93D50">
            <w:pPr>
              <w:pStyle w:val="73"/>
              <w:jc w:val="center"/>
              <w:rPr>
                <w:rFonts w:hint="eastAsia" w:ascii="宋体" w:hAnsi="宋体" w:eastAsia="Times New Roman" w:cs="宋体"/>
                <w:b/>
                <w:bCs/>
                <w:color w:val="auto"/>
                <w:sz w:val="24"/>
                <w:highlight w:val="none"/>
                <w:lang w:val="en-US" w:eastAsia="zh-CN"/>
              </w:rPr>
            </w:pPr>
            <w:r>
              <w:rPr>
                <w:rFonts w:hint="eastAsia" w:ascii="宋体" w:hAnsi="宋体" w:eastAsia="Times New Roman" w:cs="宋体"/>
                <w:b/>
                <w:bCs/>
                <w:color w:val="auto"/>
                <w:sz w:val="24"/>
                <w:highlight w:val="none"/>
                <w:lang w:val="en-US" w:eastAsia="zh-CN"/>
              </w:rPr>
              <w:t>合</w:t>
            </w:r>
          </w:p>
          <w:p w14:paraId="3C7F6EDD">
            <w:pPr>
              <w:pStyle w:val="73"/>
              <w:jc w:val="center"/>
              <w:rPr>
                <w:rFonts w:hint="eastAsia" w:ascii="宋体" w:hAnsi="宋体" w:eastAsia="Times New Roman" w:cs="宋体"/>
                <w:b/>
                <w:bCs/>
                <w:color w:val="auto"/>
                <w:sz w:val="24"/>
                <w:highlight w:val="none"/>
                <w:lang w:val="en-US" w:eastAsia="zh-CN"/>
              </w:rPr>
            </w:pPr>
            <w:r>
              <w:rPr>
                <w:rFonts w:hint="eastAsia" w:ascii="宋体" w:hAnsi="宋体" w:eastAsia="Times New Roman" w:cs="宋体"/>
                <w:b/>
                <w:bCs/>
                <w:color w:val="auto"/>
                <w:sz w:val="24"/>
                <w:highlight w:val="none"/>
                <w:lang w:val="en-US" w:eastAsia="zh-CN"/>
              </w:rPr>
              <w:t>性</w:t>
            </w:r>
          </w:p>
          <w:p w14:paraId="01BF7834">
            <w:pPr>
              <w:pStyle w:val="73"/>
              <w:jc w:val="center"/>
              <w:rPr>
                <w:rFonts w:hint="eastAsia" w:ascii="宋体" w:hAnsi="宋体" w:eastAsia="Times New Roman" w:cs="宋体"/>
                <w:color w:val="auto"/>
                <w:sz w:val="24"/>
                <w:highlight w:val="none"/>
                <w:lang w:val="en-US" w:eastAsia="zh-CN"/>
              </w:rPr>
            </w:pPr>
            <w:r>
              <w:rPr>
                <w:rFonts w:hint="eastAsia" w:ascii="宋体" w:hAnsi="宋体" w:eastAsia="Times New Roman" w:cs="宋体"/>
                <w:b/>
                <w:bCs/>
                <w:color w:val="auto"/>
                <w:sz w:val="24"/>
                <w:highlight w:val="none"/>
                <w:lang w:val="en-US" w:eastAsia="zh-CN"/>
              </w:rPr>
              <w:t>检</w:t>
            </w:r>
          </w:p>
          <w:p w14:paraId="2D74CBEF">
            <w:pPr>
              <w:pStyle w:val="73"/>
              <w:jc w:val="center"/>
              <w:rPr>
                <w:rFonts w:hint="eastAsia" w:ascii="宋体" w:hAnsi="宋体" w:eastAsia="Times New Roman" w:cs="宋体"/>
                <w:color w:val="auto"/>
                <w:sz w:val="24"/>
                <w:highlight w:val="none"/>
                <w:lang w:val="en-US" w:eastAsia="zh-CN"/>
              </w:rPr>
            </w:pPr>
            <w:r>
              <w:rPr>
                <w:rFonts w:hint="eastAsia" w:ascii="宋体" w:hAnsi="宋体" w:eastAsia="Times New Roman" w:cs="宋体"/>
                <w:b/>
                <w:bCs/>
                <w:color w:val="auto"/>
                <w:sz w:val="24"/>
                <w:highlight w:val="none"/>
                <w:lang w:val="en-US" w:eastAsia="zh-CN"/>
              </w:rPr>
              <w:t>查</w:t>
            </w:r>
          </w:p>
        </w:tc>
        <w:tc>
          <w:tcPr>
            <w:tcW w:w="1613" w:type="dxa"/>
            <w:tcBorders>
              <w:top w:val="outset" w:color="auto" w:sz="6" w:space="0"/>
              <w:left w:val="outset" w:color="auto" w:sz="6" w:space="0"/>
              <w:bottom w:val="outset" w:color="auto" w:sz="6" w:space="0"/>
              <w:right w:val="outset" w:color="auto" w:sz="6" w:space="0"/>
            </w:tcBorders>
            <w:noWrap w:val="0"/>
            <w:vAlign w:val="center"/>
          </w:tcPr>
          <w:p w14:paraId="08E18104">
            <w:pPr>
              <w:pStyle w:val="73"/>
              <w:jc w:val="center"/>
              <w:rPr>
                <w:rFonts w:hint="default" w:ascii="宋体" w:hAnsi="宋体" w:eastAsia="Times New Roman" w:cs="宋体"/>
                <w:color w:val="auto"/>
                <w:sz w:val="24"/>
                <w:highlight w:val="none"/>
                <w:lang w:val="en-US" w:eastAsia="zh-CN"/>
              </w:rPr>
            </w:pPr>
            <w:r>
              <w:rPr>
                <w:rFonts w:hint="eastAsia" w:ascii="宋体" w:hAnsi="宋体" w:eastAsia="Times New Roman" w:cs="宋体"/>
                <w:color w:val="auto"/>
                <w:sz w:val="24"/>
                <w:highlight w:val="none"/>
                <w:lang w:val="en-US" w:eastAsia="zh-CN"/>
              </w:rPr>
              <w:t>响应文件签字、盖章</w:t>
            </w:r>
          </w:p>
        </w:tc>
        <w:tc>
          <w:tcPr>
            <w:tcW w:w="4928" w:type="dxa"/>
            <w:tcBorders>
              <w:top w:val="outset" w:color="auto" w:sz="6" w:space="0"/>
              <w:left w:val="outset" w:color="auto" w:sz="6" w:space="0"/>
              <w:bottom w:val="outset" w:color="auto" w:sz="6" w:space="0"/>
              <w:right w:val="outset" w:color="auto" w:sz="6" w:space="0"/>
            </w:tcBorders>
            <w:noWrap w:val="0"/>
            <w:vAlign w:val="center"/>
          </w:tcPr>
          <w:p w14:paraId="328D0282">
            <w:pPr>
              <w:pStyle w:val="73"/>
              <w:jc w:val="left"/>
              <w:rPr>
                <w:rFonts w:hint="eastAsia" w:ascii="宋体" w:hAnsi="宋体" w:eastAsia="Times New Roman" w:cs="宋体"/>
                <w:color w:val="auto"/>
                <w:sz w:val="24"/>
                <w:highlight w:val="none"/>
                <w:lang w:val="en-US" w:eastAsia="zh-CN"/>
              </w:rPr>
            </w:pPr>
            <w:r>
              <w:rPr>
                <w:rFonts w:hint="eastAsia" w:ascii="宋体" w:hAnsi="宋体" w:eastAsia="Times New Roman" w:cs="宋体"/>
                <w:color w:val="auto"/>
                <w:sz w:val="24"/>
                <w:highlight w:val="none"/>
                <w:lang w:val="en-US" w:eastAsia="zh-CN"/>
              </w:rPr>
              <w:t>响应文件是否按照磋商文件规定要求签字、盖章；</w:t>
            </w:r>
          </w:p>
        </w:tc>
        <w:tc>
          <w:tcPr>
            <w:tcW w:w="1022" w:type="dxa"/>
            <w:tcBorders>
              <w:top w:val="outset" w:color="auto" w:sz="6" w:space="0"/>
              <w:left w:val="outset" w:color="auto" w:sz="6" w:space="0"/>
              <w:bottom w:val="outset" w:color="auto" w:sz="6" w:space="0"/>
              <w:right w:val="outset" w:color="auto" w:sz="6" w:space="0"/>
            </w:tcBorders>
            <w:noWrap w:val="0"/>
            <w:vAlign w:val="center"/>
          </w:tcPr>
          <w:p w14:paraId="63D020BC">
            <w:pPr>
              <w:pStyle w:val="73"/>
              <w:rPr>
                <w:color w:val="auto"/>
                <w:highlight w:val="none"/>
              </w:rPr>
            </w:pPr>
          </w:p>
        </w:tc>
        <w:tc>
          <w:tcPr>
            <w:tcW w:w="973" w:type="dxa"/>
            <w:tcBorders>
              <w:top w:val="outset" w:color="auto" w:sz="6" w:space="0"/>
              <w:left w:val="outset" w:color="auto" w:sz="6" w:space="0"/>
              <w:bottom w:val="outset" w:color="auto" w:sz="6" w:space="0"/>
              <w:right w:val="outset" w:color="auto" w:sz="6" w:space="0"/>
            </w:tcBorders>
            <w:noWrap w:val="0"/>
            <w:vAlign w:val="center"/>
          </w:tcPr>
          <w:p w14:paraId="49114F53">
            <w:pPr>
              <w:pStyle w:val="73"/>
              <w:rPr>
                <w:color w:val="auto"/>
                <w:highlight w:val="none"/>
              </w:rPr>
            </w:pPr>
          </w:p>
        </w:tc>
      </w:tr>
      <w:tr w14:paraId="125FE9B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1" w:type="dxa"/>
            <w:vMerge w:val="continue"/>
            <w:tcBorders>
              <w:top w:val="outset" w:color="auto" w:sz="6" w:space="0"/>
              <w:left w:val="outset" w:color="auto" w:sz="6" w:space="0"/>
              <w:bottom w:val="outset" w:color="auto" w:sz="6" w:space="0"/>
              <w:right w:val="outset" w:color="auto" w:sz="6" w:space="0"/>
            </w:tcBorders>
            <w:noWrap w:val="0"/>
            <w:vAlign w:val="center"/>
          </w:tcPr>
          <w:p w14:paraId="21D11042">
            <w:pPr>
              <w:pStyle w:val="73"/>
              <w:rPr>
                <w:color w:val="0000FF"/>
                <w:highlight w:val="none"/>
              </w:rPr>
            </w:pPr>
          </w:p>
        </w:tc>
        <w:tc>
          <w:tcPr>
            <w:tcW w:w="694" w:type="dxa"/>
            <w:vMerge w:val="continue"/>
            <w:tcBorders>
              <w:left w:val="outset" w:color="auto" w:sz="6" w:space="0"/>
              <w:right w:val="outset" w:color="auto" w:sz="6" w:space="0"/>
            </w:tcBorders>
            <w:noWrap w:val="0"/>
            <w:vAlign w:val="center"/>
          </w:tcPr>
          <w:p w14:paraId="00841C6C">
            <w:pPr>
              <w:pStyle w:val="73"/>
              <w:jc w:val="left"/>
              <w:rPr>
                <w:rFonts w:hint="eastAsia" w:ascii="宋体" w:hAnsi="宋体" w:eastAsia="Times New Roman" w:cs="宋体"/>
                <w:color w:val="auto"/>
                <w:sz w:val="24"/>
                <w:highlight w:val="none"/>
                <w:lang w:val="en-US" w:eastAsia="zh-CN"/>
              </w:rPr>
            </w:pPr>
          </w:p>
        </w:tc>
        <w:tc>
          <w:tcPr>
            <w:tcW w:w="1613" w:type="dxa"/>
            <w:tcBorders>
              <w:top w:val="outset" w:color="auto" w:sz="6" w:space="0"/>
              <w:left w:val="outset" w:color="auto" w:sz="6" w:space="0"/>
              <w:bottom w:val="outset" w:color="auto" w:sz="6" w:space="0"/>
              <w:right w:val="outset" w:color="auto" w:sz="6" w:space="0"/>
            </w:tcBorders>
            <w:noWrap w:val="0"/>
            <w:vAlign w:val="center"/>
          </w:tcPr>
          <w:p w14:paraId="0D6F7EE0">
            <w:pPr>
              <w:pStyle w:val="73"/>
              <w:jc w:val="center"/>
              <w:rPr>
                <w:rFonts w:hint="default" w:ascii="宋体" w:hAnsi="宋体" w:eastAsia="Times New Roman" w:cs="宋体"/>
                <w:color w:val="auto"/>
                <w:sz w:val="24"/>
                <w:highlight w:val="none"/>
                <w:lang w:val="en-US" w:eastAsia="zh-CN"/>
              </w:rPr>
            </w:pPr>
            <w:r>
              <w:rPr>
                <w:rFonts w:hint="eastAsia" w:ascii="宋体" w:hAnsi="宋体" w:eastAsia="Times New Roman" w:cs="宋体"/>
                <w:color w:val="auto"/>
                <w:sz w:val="24"/>
                <w:highlight w:val="none"/>
                <w:lang w:val="en-US" w:eastAsia="zh-CN"/>
              </w:rPr>
              <w:t>响应文件组成</w:t>
            </w:r>
          </w:p>
        </w:tc>
        <w:tc>
          <w:tcPr>
            <w:tcW w:w="4928" w:type="dxa"/>
            <w:tcBorders>
              <w:top w:val="outset" w:color="auto" w:sz="6" w:space="0"/>
              <w:left w:val="outset" w:color="auto" w:sz="6" w:space="0"/>
              <w:bottom w:val="outset" w:color="auto" w:sz="6" w:space="0"/>
              <w:right w:val="outset" w:color="auto" w:sz="6" w:space="0"/>
            </w:tcBorders>
            <w:noWrap w:val="0"/>
            <w:vAlign w:val="center"/>
          </w:tcPr>
          <w:p w14:paraId="596CA851">
            <w:pPr>
              <w:pStyle w:val="73"/>
              <w:jc w:val="left"/>
              <w:rPr>
                <w:rFonts w:hint="eastAsia" w:ascii="宋体" w:hAnsi="宋体" w:eastAsia="Times New Roman" w:cs="宋体"/>
                <w:color w:val="auto"/>
                <w:sz w:val="24"/>
                <w:highlight w:val="none"/>
                <w:lang w:val="en-US" w:eastAsia="zh-CN"/>
              </w:rPr>
            </w:pPr>
            <w:r>
              <w:rPr>
                <w:rFonts w:hint="eastAsia" w:ascii="宋体" w:hAnsi="宋体" w:eastAsia="Times New Roman" w:cs="宋体"/>
                <w:color w:val="auto"/>
                <w:sz w:val="24"/>
                <w:highlight w:val="none"/>
                <w:lang w:val="en-US" w:eastAsia="zh-CN"/>
              </w:rPr>
              <w:t>投标文件是否按招标文件规定的内容、格式等进行编制；</w:t>
            </w:r>
          </w:p>
        </w:tc>
        <w:tc>
          <w:tcPr>
            <w:tcW w:w="1022" w:type="dxa"/>
            <w:tcBorders>
              <w:top w:val="outset" w:color="auto" w:sz="6" w:space="0"/>
              <w:left w:val="outset" w:color="auto" w:sz="6" w:space="0"/>
              <w:bottom w:val="outset" w:color="auto" w:sz="6" w:space="0"/>
              <w:right w:val="outset" w:color="auto" w:sz="6" w:space="0"/>
            </w:tcBorders>
            <w:noWrap w:val="0"/>
            <w:vAlign w:val="center"/>
          </w:tcPr>
          <w:p w14:paraId="17C1F321">
            <w:pPr>
              <w:pStyle w:val="73"/>
              <w:rPr>
                <w:color w:val="auto"/>
                <w:highlight w:val="none"/>
              </w:rPr>
            </w:pPr>
          </w:p>
        </w:tc>
        <w:tc>
          <w:tcPr>
            <w:tcW w:w="973" w:type="dxa"/>
            <w:tcBorders>
              <w:top w:val="outset" w:color="auto" w:sz="6" w:space="0"/>
              <w:left w:val="outset" w:color="auto" w:sz="6" w:space="0"/>
              <w:bottom w:val="outset" w:color="auto" w:sz="6" w:space="0"/>
              <w:right w:val="outset" w:color="auto" w:sz="6" w:space="0"/>
            </w:tcBorders>
            <w:noWrap w:val="0"/>
            <w:vAlign w:val="center"/>
          </w:tcPr>
          <w:p w14:paraId="4278CD88">
            <w:pPr>
              <w:pStyle w:val="73"/>
              <w:rPr>
                <w:color w:val="auto"/>
                <w:highlight w:val="none"/>
              </w:rPr>
            </w:pPr>
          </w:p>
        </w:tc>
      </w:tr>
      <w:tr w14:paraId="695CDDB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540" w:hRule="atLeast"/>
        </w:trPr>
        <w:tc>
          <w:tcPr>
            <w:tcW w:w="571" w:type="dxa"/>
            <w:vMerge w:val="continue"/>
            <w:tcBorders>
              <w:top w:val="outset" w:color="auto" w:sz="6" w:space="0"/>
              <w:left w:val="outset" w:color="auto" w:sz="6" w:space="0"/>
              <w:bottom w:val="outset" w:color="auto" w:sz="6" w:space="0"/>
              <w:right w:val="outset" w:color="auto" w:sz="6" w:space="0"/>
            </w:tcBorders>
            <w:noWrap w:val="0"/>
            <w:vAlign w:val="center"/>
          </w:tcPr>
          <w:p w14:paraId="66C926FA">
            <w:pPr>
              <w:pStyle w:val="73"/>
              <w:rPr>
                <w:color w:val="0000FF"/>
                <w:highlight w:val="none"/>
              </w:rPr>
            </w:pPr>
          </w:p>
        </w:tc>
        <w:tc>
          <w:tcPr>
            <w:tcW w:w="694" w:type="dxa"/>
            <w:vMerge w:val="continue"/>
            <w:tcBorders>
              <w:top w:val="outset" w:color="auto" w:sz="6" w:space="0"/>
              <w:left w:val="outset" w:color="auto" w:sz="6" w:space="0"/>
              <w:bottom w:val="outset" w:color="auto" w:sz="6" w:space="0"/>
              <w:right w:val="outset" w:color="auto" w:sz="6" w:space="0"/>
            </w:tcBorders>
            <w:noWrap w:val="0"/>
            <w:vAlign w:val="center"/>
          </w:tcPr>
          <w:p w14:paraId="63416D26">
            <w:pPr>
              <w:pStyle w:val="73"/>
              <w:jc w:val="left"/>
              <w:rPr>
                <w:rFonts w:hint="eastAsia" w:ascii="宋体" w:hAnsi="宋体" w:eastAsia="Times New Roman" w:cs="宋体"/>
                <w:color w:val="auto"/>
                <w:sz w:val="24"/>
                <w:highlight w:val="none"/>
                <w:lang w:val="en-US" w:eastAsia="zh-CN"/>
              </w:rPr>
            </w:pPr>
          </w:p>
        </w:tc>
        <w:tc>
          <w:tcPr>
            <w:tcW w:w="1613" w:type="dxa"/>
            <w:tcBorders>
              <w:top w:val="outset" w:color="auto" w:sz="6" w:space="0"/>
              <w:left w:val="outset" w:color="auto" w:sz="6" w:space="0"/>
              <w:bottom w:val="outset" w:color="auto" w:sz="6" w:space="0"/>
              <w:right w:val="outset" w:color="auto" w:sz="6" w:space="0"/>
            </w:tcBorders>
            <w:noWrap w:val="0"/>
            <w:vAlign w:val="center"/>
          </w:tcPr>
          <w:p w14:paraId="1D8CCE56">
            <w:pPr>
              <w:pStyle w:val="73"/>
              <w:jc w:val="center"/>
              <w:rPr>
                <w:rFonts w:hint="eastAsia" w:ascii="宋体" w:hAnsi="宋体" w:eastAsia="Times New Roman" w:cs="宋体"/>
                <w:color w:val="auto"/>
                <w:sz w:val="24"/>
                <w:highlight w:val="none"/>
                <w:lang w:val="en-US" w:eastAsia="zh-CN"/>
              </w:rPr>
            </w:pPr>
            <w:r>
              <w:rPr>
                <w:rFonts w:hint="eastAsia" w:ascii="宋体" w:hAnsi="宋体" w:eastAsia="Times New Roman" w:cs="宋体"/>
                <w:color w:val="auto"/>
                <w:sz w:val="24"/>
                <w:highlight w:val="none"/>
                <w:lang w:val="en-US" w:eastAsia="zh-CN"/>
              </w:rPr>
              <w:t>供应商是否</w:t>
            </w:r>
          </w:p>
          <w:p w14:paraId="6B2B46C0">
            <w:pPr>
              <w:pStyle w:val="73"/>
              <w:jc w:val="center"/>
              <w:rPr>
                <w:rFonts w:hint="eastAsia" w:ascii="宋体" w:hAnsi="宋体" w:eastAsia="Times New Roman" w:cs="宋体"/>
                <w:color w:val="auto"/>
                <w:sz w:val="24"/>
                <w:szCs w:val="24"/>
                <w:highlight w:val="none"/>
                <w:lang w:val="en-US" w:eastAsia="zh-CN" w:bidi="ar-SA"/>
              </w:rPr>
            </w:pPr>
            <w:r>
              <w:rPr>
                <w:rFonts w:hint="eastAsia" w:ascii="宋体" w:hAnsi="宋体" w:eastAsia="Times New Roman" w:cs="宋体"/>
                <w:color w:val="auto"/>
                <w:sz w:val="24"/>
                <w:highlight w:val="none"/>
                <w:lang w:val="en-US" w:eastAsia="zh-CN"/>
              </w:rPr>
              <w:t>符合要求</w:t>
            </w:r>
          </w:p>
        </w:tc>
        <w:tc>
          <w:tcPr>
            <w:tcW w:w="4928" w:type="dxa"/>
            <w:tcBorders>
              <w:top w:val="outset" w:color="auto" w:sz="6" w:space="0"/>
              <w:left w:val="outset" w:color="auto" w:sz="6" w:space="0"/>
              <w:bottom w:val="outset" w:color="auto" w:sz="6" w:space="0"/>
              <w:right w:val="outset" w:color="auto" w:sz="6" w:space="0"/>
            </w:tcBorders>
            <w:noWrap w:val="0"/>
            <w:vAlign w:val="center"/>
          </w:tcPr>
          <w:p w14:paraId="0D5C2894">
            <w:pPr>
              <w:pStyle w:val="73"/>
              <w:jc w:val="left"/>
              <w:rPr>
                <w:rFonts w:hint="default" w:ascii="宋体" w:hAnsi="宋体" w:eastAsia="Times New Roman" w:cs="宋体"/>
                <w:color w:val="auto"/>
                <w:sz w:val="24"/>
                <w:szCs w:val="24"/>
                <w:highlight w:val="none"/>
                <w:lang w:val="en-US" w:eastAsia="zh-CN" w:bidi="ar-SA"/>
              </w:rPr>
            </w:pPr>
            <w:r>
              <w:rPr>
                <w:rFonts w:hint="eastAsia" w:ascii="宋体" w:hAnsi="宋体" w:eastAsia="Times New Roman" w:cs="宋体"/>
                <w:color w:val="auto"/>
                <w:sz w:val="24"/>
                <w:highlight w:val="none"/>
                <w:lang w:val="en-US" w:eastAsia="zh-CN"/>
              </w:rPr>
              <w:t>供应商是否</w:t>
            </w:r>
            <w:r>
              <w:rPr>
                <w:rFonts w:hint="eastAsia" w:ascii="宋体" w:hAnsi="宋体" w:cs="宋体"/>
                <w:color w:val="auto"/>
                <w:sz w:val="24"/>
                <w:highlight w:val="none"/>
                <w:lang w:val="en-US" w:eastAsia="zh-CN"/>
              </w:rPr>
              <w:t>满足</w:t>
            </w:r>
            <w:r>
              <w:rPr>
                <w:rFonts w:hint="eastAsia" w:ascii="宋体" w:hAnsi="宋体" w:eastAsia="Times New Roman" w:cs="宋体"/>
                <w:color w:val="auto"/>
                <w:sz w:val="24"/>
                <w:highlight w:val="none"/>
                <w:lang w:val="en-US" w:eastAsia="zh-CN"/>
              </w:rPr>
              <w:t>磋商文件中规定的施工工期、建设地点、质量要求、安全目标</w:t>
            </w:r>
            <w:r>
              <w:rPr>
                <w:rFonts w:hint="eastAsia" w:ascii="宋体" w:hAnsi="宋体" w:cs="宋体"/>
                <w:color w:val="auto"/>
                <w:sz w:val="24"/>
                <w:highlight w:val="none"/>
                <w:lang w:val="en-US" w:eastAsia="zh-CN"/>
              </w:rPr>
              <w:t>、</w:t>
            </w:r>
            <w:r>
              <w:rPr>
                <w:rFonts w:hint="eastAsia" w:ascii="宋体" w:hAnsi="宋体" w:eastAsia="Times New Roman" w:cs="宋体"/>
                <w:color w:val="auto"/>
                <w:sz w:val="24"/>
                <w:highlight w:val="none"/>
                <w:lang w:val="en-US" w:eastAsia="zh-CN"/>
              </w:rPr>
              <w:t>承包方式、不允许分包、付款方式、投标有效期，责任缺陷期、质量保</w:t>
            </w:r>
            <w:r>
              <w:rPr>
                <w:rFonts w:hint="eastAsia" w:ascii="宋体" w:hAnsi="宋体" w:cs="宋体"/>
                <w:color w:val="auto"/>
                <w:sz w:val="24"/>
                <w:highlight w:val="none"/>
                <w:lang w:val="en-US" w:eastAsia="zh-CN"/>
              </w:rPr>
              <w:t>修</w:t>
            </w:r>
            <w:r>
              <w:rPr>
                <w:rFonts w:hint="eastAsia" w:ascii="宋体" w:hAnsi="宋体" w:eastAsia="Times New Roman" w:cs="宋体"/>
                <w:color w:val="auto"/>
                <w:sz w:val="24"/>
                <w:highlight w:val="none"/>
                <w:lang w:val="en-US" w:eastAsia="zh-CN"/>
              </w:rPr>
              <w:t>期的相关要求；</w:t>
            </w:r>
          </w:p>
        </w:tc>
        <w:tc>
          <w:tcPr>
            <w:tcW w:w="1022" w:type="dxa"/>
            <w:tcBorders>
              <w:top w:val="outset" w:color="auto" w:sz="6" w:space="0"/>
              <w:left w:val="outset" w:color="auto" w:sz="6" w:space="0"/>
              <w:bottom w:val="outset" w:color="auto" w:sz="6" w:space="0"/>
              <w:right w:val="outset" w:color="auto" w:sz="6" w:space="0"/>
            </w:tcBorders>
            <w:noWrap w:val="0"/>
            <w:vAlign w:val="center"/>
          </w:tcPr>
          <w:p w14:paraId="2BBA1BE9">
            <w:pPr>
              <w:pStyle w:val="73"/>
              <w:rPr>
                <w:color w:val="auto"/>
                <w:highlight w:val="none"/>
              </w:rPr>
            </w:pPr>
          </w:p>
        </w:tc>
        <w:tc>
          <w:tcPr>
            <w:tcW w:w="973" w:type="dxa"/>
            <w:tcBorders>
              <w:top w:val="outset" w:color="auto" w:sz="6" w:space="0"/>
              <w:left w:val="outset" w:color="auto" w:sz="6" w:space="0"/>
              <w:bottom w:val="outset" w:color="auto" w:sz="6" w:space="0"/>
              <w:right w:val="outset" w:color="auto" w:sz="6" w:space="0"/>
            </w:tcBorders>
            <w:noWrap w:val="0"/>
            <w:vAlign w:val="center"/>
          </w:tcPr>
          <w:p w14:paraId="30B0D381">
            <w:pPr>
              <w:pStyle w:val="73"/>
              <w:rPr>
                <w:color w:val="auto"/>
                <w:highlight w:val="none"/>
              </w:rPr>
            </w:pPr>
          </w:p>
        </w:tc>
      </w:tr>
      <w:tr w14:paraId="75490FD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571" w:type="dxa"/>
            <w:vMerge w:val="continue"/>
            <w:tcBorders>
              <w:top w:val="outset" w:color="auto" w:sz="6" w:space="0"/>
              <w:left w:val="outset" w:color="auto" w:sz="6" w:space="0"/>
              <w:bottom w:val="outset" w:color="auto" w:sz="6" w:space="0"/>
              <w:right w:val="outset" w:color="auto" w:sz="6" w:space="0"/>
            </w:tcBorders>
            <w:noWrap w:val="0"/>
            <w:vAlign w:val="center"/>
          </w:tcPr>
          <w:p w14:paraId="51B041EA">
            <w:pPr>
              <w:pStyle w:val="73"/>
              <w:rPr>
                <w:color w:val="0000FF"/>
                <w:highlight w:val="none"/>
              </w:rPr>
            </w:pPr>
          </w:p>
        </w:tc>
        <w:tc>
          <w:tcPr>
            <w:tcW w:w="694" w:type="dxa"/>
            <w:vMerge w:val="continue"/>
            <w:tcBorders>
              <w:top w:val="outset" w:color="auto" w:sz="6" w:space="0"/>
              <w:left w:val="outset" w:color="auto" w:sz="6" w:space="0"/>
              <w:bottom w:val="outset" w:color="auto" w:sz="6" w:space="0"/>
              <w:right w:val="outset" w:color="auto" w:sz="6" w:space="0"/>
            </w:tcBorders>
            <w:noWrap w:val="0"/>
            <w:vAlign w:val="center"/>
          </w:tcPr>
          <w:p w14:paraId="02CF3C93">
            <w:pPr>
              <w:pStyle w:val="73"/>
              <w:jc w:val="left"/>
              <w:rPr>
                <w:rFonts w:hint="eastAsia" w:ascii="宋体" w:hAnsi="宋体" w:eastAsia="Times New Roman" w:cs="宋体"/>
                <w:color w:val="auto"/>
                <w:sz w:val="24"/>
                <w:highlight w:val="none"/>
                <w:lang w:val="en-US" w:eastAsia="zh-CN"/>
              </w:rPr>
            </w:pPr>
          </w:p>
        </w:tc>
        <w:tc>
          <w:tcPr>
            <w:tcW w:w="1613" w:type="dxa"/>
            <w:vMerge w:val="restart"/>
            <w:tcBorders>
              <w:left w:val="outset" w:color="auto" w:sz="6" w:space="0"/>
              <w:right w:val="outset" w:color="auto" w:sz="6" w:space="0"/>
            </w:tcBorders>
            <w:noWrap w:val="0"/>
            <w:vAlign w:val="center"/>
          </w:tcPr>
          <w:p w14:paraId="28655C37">
            <w:pPr>
              <w:pStyle w:val="73"/>
              <w:jc w:val="center"/>
              <w:rPr>
                <w:rFonts w:hint="eastAsia" w:ascii="宋体" w:hAnsi="宋体" w:eastAsia="Times New Roman" w:cs="宋体"/>
                <w:color w:val="auto"/>
                <w:sz w:val="24"/>
                <w:highlight w:val="none"/>
                <w:lang w:val="en-US" w:eastAsia="zh-CN"/>
              </w:rPr>
            </w:pPr>
            <w:r>
              <w:rPr>
                <w:rFonts w:hint="eastAsia" w:ascii="宋体" w:hAnsi="宋体" w:eastAsia="Times New Roman" w:cs="宋体"/>
                <w:color w:val="auto"/>
                <w:sz w:val="24"/>
                <w:highlight w:val="none"/>
                <w:lang w:val="en-US" w:eastAsia="zh-CN"/>
              </w:rPr>
              <w:t>投标报价</w:t>
            </w:r>
          </w:p>
        </w:tc>
        <w:tc>
          <w:tcPr>
            <w:tcW w:w="4928" w:type="dxa"/>
            <w:tcBorders>
              <w:top w:val="outset" w:color="auto" w:sz="6" w:space="0"/>
              <w:left w:val="outset" w:color="auto" w:sz="6" w:space="0"/>
              <w:bottom w:val="outset" w:color="auto" w:sz="6" w:space="0"/>
              <w:right w:val="outset" w:color="auto" w:sz="6" w:space="0"/>
            </w:tcBorders>
            <w:noWrap w:val="0"/>
            <w:vAlign w:val="center"/>
          </w:tcPr>
          <w:p w14:paraId="6F8B91D7">
            <w:pPr>
              <w:pStyle w:val="73"/>
              <w:jc w:val="left"/>
              <w:rPr>
                <w:rFonts w:hint="eastAsia" w:ascii="宋体" w:hAnsi="宋体" w:eastAsia="Times New Roman" w:cs="宋体"/>
                <w:color w:val="auto"/>
                <w:sz w:val="24"/>
                <w:highlight w:val="none"/>
                <w:lang w:val="en-US" w:eastAsia="zh-CN"/>
              </w:rPr>
            </w:pPr>
            <w:r>
              <w:rPr>
                <w:rFonts w:hint="eastAsia" w:ascii="宋体" w:hAnsi="宋体" w:eastAsia="Times New Roman" w:cs="宋体"/>
                <w:color w:val="auto"/>
                <w:sz w:val="24"/>
                <w:highlight w:val="none"/>
                <w:lang w:val="en-US" w:eastAsia="zh-CN"/>
              </w:rPr>
              <w:t>投标报价</w:t>
            </w:r>
            <w:r>
              <w:rPr>
                <w:rFonts w:hint="eastAsia" w:ascii="宋体" w:hAnsi="宋体" w:cs="宋体"/>
                <w:color w:val="auto"/>
                <w:sz w:val="24"/>
                <w:highlight w:val="none"/>
                <w:lang w:val="en-US" w:eastAsia="zh-CN"/>
              </w:rPr>
              <w:t>是否唯一且</w:t>
            </w:r>
            <w:r>
              <w:rPr>
                <w:rFonts w:hint="eastAsia" w:ascii="宋体" w:hAnsi="宋体" w:eastAsia="Times New Roman" w:cs="宋体"/>
                <w:color w:val="auto"/>
                <w:sz w:val="24"/>
                <w:highlight w:val="none"/>
                <w:lang w:val="en-US" w:eastAsia="zh-CN"/>
              </w:rPr>
              <w:t>未超过最高限价；</w:t>
            </w:r>
          </w:p>
        </w:tc>
        <w:tc>
          <w:tcPr>
            <w:tcW w:w="1022" w:type="dxa"/>
            <w:tcBorders>
              <w:top w:val="outset" w:color="auto" w:sz="6" w:space="0"/>
              <w:left w:val="outset" w:color="auto" w:sz="6" w:space="0"/>
              <w:bottom w:val="outset" w:color="auto" w:sz="6" w:space="0"/>
              <w:right w:val="outset" w:color="auto" w:sz="6" w:space="0"/>
            </w:tcBorders>
            <w:noWrap w:val="0"/>
            <w:vAlign w:val="center"/>
          </w:tcPr>
          <w:p w14:paraId="6F36B120">
            <w:pPr>
              <w:pStyle w:val="73"/>
              <w:rPr>
                <w:color w:val="auto"/>
                <w:highlight w:val="none"/>
              </w:rPr>
            </w:pPr>
          </w:p>
        </w:tc>
        <w:tc>
          <w:tcPr>
            <w:tcW w:w="973" w:type="dxa"/>
            <w:tcBorders>
              <w:top w:val="outset" w:color="auto" w:sz="6" w:space="0"/>
              <w:left w:val="outset" w:color="auto" w:sz="6" w:space="0"/>
              <w:bottom w:val="outset" w:color="auto" w:sz="6" w:space="0"/>
              <w:right w:val="outset" w:color="auto" w:sz="6" w:space="0"/>
            </w:tcBorders>
            <w:noWrap w:val="0"/>
            <w:vAlign w:val="center"/>
          </w:tcPr>
          <w:p w14:paraId="6A15A004">
            <w:pPr>
              <w:pStyle w:val="73"/>
              <w:rPr>
                <w:color w:val="auto"/>
                <w:highlight w:val="none"/>
              </w:rPr>
            </w:pPr>
          </w:p>
        </w:tc>
      </w:tr>
      <w:tr w14:paraId="698CD29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13" w:hRule="atLeast"/>
        </w:trPr>
        <w:tc>
          <w:tcPr>
            <w:tcW w:w="571" w:type="dxa"/>
            <w:vMerge w:val="continue"/>
            <w:tcBorders>
              <w:top w:val="outset" w:color="auto" w:sz="6" w:space="0"/>
              <w:left w:val="outset" w:color="auto" w:sz="6" w:space="0"/>
              <w:bottom w:val="outset" w:color="auto" w:sz="6" w:space="0"/>
              <w:right w:val="outset" w:color="auto" w:sz="6" w:space="0"/>
            </w:tcBorders>
            <w:noWrap w:val="0"/>
            <w:vAlign w:val="center"/>
          </w:tcPr>
          <w:p w14:paraId="75C751BD">
            <w:pPr>
              <w:pStyle w:val="73"/>
              <w:rPr>
                <w:color w:val="0000FF"/>
                <w:highlight w:val="none"/>
              </w:rPr>
            </w:pPr>
          </w:p>
        </w:tc>
        <w:tc>
          <w:tcPr>
            <w:tcW w:w="694" w:type="dxa"/>
            <w:vMerge w:val="continue"/>
            <w:tcBorders>
              <w:top w:val="outset" w:color="auto" w:sz="6" w:space="0"/>
              <w:left w:val="outset" w:color="auto" w:sz="6" w:space="0"/>
              <w:bottom w:val="outset" w:color="auto" w:sz="6" w:space="0"/>
              <w:right w:val="outset" w:color="auto" w:sz="6" w:space="0"/>
            </w:tcBorders>
            <w:noWrap w:val="0"/>
            <w:vAlign w:val="center"/>
          </w:tcPr>
          <w:p w14:paraId="41411CE7">
            <w:pPr>
              <w:pStyle w:val="73"/>
              <w:jc w:val="left"/>
              <w:rPr>
                <w:rFonts w:hint="eastAsia" w:ascii="宋体" w:hAnsi="宋体" w:eastAsia="Times New Roman" w:cs="宋体"/>
                <w:color w:val="auto"/>
                <w:sz w:val="24"/>
                <w:highlight w:val="none"/>
                <w:lang w:val="en-US" w:eastAsia="zh-CN"/>
              </w:rPr>
            </w:pPr>
          </w:p>
        </w:tc>
        <w:tc>
          <w:tcPr>
            <w:tcW w:w="1613" w:type="dxa"/>
            <w:vMerge w:val="continue"/>
            <w:tcBorders>
              <w:left w:val="outset" w:color="auto" w:sz="6" w:space="0"/>
              <w:right w:val="outset" w:color="auto" w:sz="6" w:space="0"/>
            </w:tcBorders>
            <w:noWrap w:val="0"/>
            <w:vAlign w:val="center"/>
          </w:tcPr>
          <w:p w14:paraId="1F3FD739">
            <w:pPr>
              <w:pStyle w:val="73"/>
              <w:jc w:val="center"/>
              <w:rPr>
                <w:rFonts w:hint="eastAsia" w:ascii="宋体" w:hAnsi="宋体" w:eastAsia="Times New Roman" w:cs="宋体"/>
                <w:color w:val="auto"/>
                <w:sz w:val="24"/>
                <w:highlight w:val="none"/>
                <w:lang w:val="en-US" w:eastAsia="zh-CN"/>
              </w:rPr>
            </w:pPr>
          </w:p>
        </w:tc>
        <w:tc>
          <w:tcPr>
            <w:tcW w:w="4928" w:type="dxa"/>
            <w:tcBorders>
              <w:top w:val="outset" w:color="auto" w:sz="6" w:space="0"/>
              <w:left w:val="outset" w:color="auto" w:sz="6" w:space="0"/>
              <w:bottom w:val="outset" w:color="auto" w:sz="6" w:space="0"/>
              <w:right w:val="outset" w:color="auto" w:sz="6" w:space="0"/>
            </w:tcBorders>
            <w:noWrap w:val="0"/>
            <w:vAlign w:val="center"/>
          </w:tcPr>
          <w:p w14:paraId="421043C4">
            <w:pPr>
              <w:pStyle w:val="73"/>
              <w:jc w:val="left"/>
              <w:rPr>
                <w:rFonts w:hint="eastAsia" w:ascii="宋体" w:hAnsi="宋体" w:eastAsia="Times New Roman" w:cs="宋体"/>
                <w:color w:val="auto"/>
                <w:sz w:val="24"/>
                <w:highlight w:val="none"/>
                <w:lang w:val="en-US" w:eastAsia="zh-CN"/>
              </w:rPr>
            </w:pPr>
            <w:r>
              <w:rPr>
                <w:rFonts w:hint="eastAsia" w:ascii="宋体" w:hAnsi="宋体" w:eastAsia="Times New Roman" w:cs="宋体"/>
                <w:color w:val="auto"/>
                <w:sz w:val="24"/>
                <w:highlight w:val="none"/>
                <w:lang w:val="zh-CN"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1022" w:type="dxa"/>
            <w:tcBorders>
              <w:top w:val="outset" w:color="auto" w:sz="6" w:space="0"/>
              <w:left w:val="outset" w:color="auto" w:sz="6" w:space="0"/>
              <w:bottom w:val="outset" w:color="auto" w:sz="6" w:space="0"/>
              <w:right w:val="outset" w:color="auto" w:sz="6" w:space="0"/>
            </w:tcBorders>
            <w:noWrap w:val="0"/>
            <w:vAlign w:val="center"/>
          </w:tcPr>
          <w:p w14:paraId="2E99E42B">
            <w:pPr>
              <w:pStyle w:val="73"/>
              <w:rPr>
                <w:color w:val="auto"/>
                <w:highlight w:val="none"/>
              </w:rPr>
            </w:pPr>
          </w:p>
        </w:tc>
        <w:tc>
          <w:tcPr>
            <w:tcW w:w="973" w:type="dxa"/>
            <w:tcBorders>
              <w:top w:val="outset" w:color="auto" w:sz="6" w:space="0"/>
              <w:left w:val="outset" w:color="auto" w:sz="6" w:space="0"/>
              <w:bottom w:val="outset" w:color="auto" w:sz="6" w:space="0"/>
              <w:right w:val="outset" w:color="auto" w:sz="6" w:space="0"/>
            </w:tcBorders>
            <w:noWrap w:val="0"/>
            <w:vAlign w:val="center"/>
          </w:tcPr>
          <w:p w14:paraId="0B7DE4FC">
            <w:pPr>
              <w:pStyle w:val="73"/>
              <w:rPr>
                <w:color w:val="auto"/>
                <w:highlight w:val="none"/>
              </w:rPr>
            </w:pPr>
          </w:p>
        </w:tc>
      </w:tr>
      <w:tr w14:paraId="6BDB60C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033" w:hRule="atLeast"/>
        </w:trPr>
        <w:tc>
          <w:tcPr>
            <w:tcW w:w="571" w:type="dxa"/>
            <w:vMerge w:val="continue"/>
            <w:tcBorders>
              <w:top w:val="outset" w:color="auto" w:sz="6" w:space="0"/>
              <w:left w:val="outset" w:color="auto" w:sz="6" w:space="0"/>
              <w:bottom w:val="outset" w:color="auto" w:sz="6" w:space="0"/>
              <w:right w:val="outset" w:color="auto" w:sz="6" w:space="0"/>
            </w:tcBorders>
            <w:noWrap w:val="0"/>
            <w:vAlign w:val="center"/>
          </w:tcPr>
          <w:p w14:paraId="06EEA858">
            <w:pPr>
              <w:pStyle w:val="73"/>
              <w:rPr>
                <w:color w:val="0000FF"/>
                <w:highlight w:val="none"/>
              </w:rPr>
            </w:pPr>
          </w:p>
        </w:tc>
        <w:tc>
          <w:tcPr>
            <w:tcW w:w="694" w:type="dxa"/>
            <w:vMerge w:val="continue"/>
            <w:tcBorders>
              <w:top w:val="outset" w:color="auto" w:sz="6" w:space="0"/>
              <w:left w:val="outset" w:color="auto" w:sz="6" w:space="0"/>
              <w:bottom w:val="outset" w:color="auto" w:sz="6" w:space="0"/>
              <w:right w:val="outset" w:color="auto" w:sz="6" w:space="0"/>
            </w:tcBorders>
            <w:noWrap w:val="0"/>
            <w:vAlign w:val="center"/>
          </w:tcPr>
          <w:p w14:paraId="63498C20">
            <w:pPr>
              <w:pStyle w:val="73"/>
              <w:jc w:val="left"/>
              <w:rPr>
                <w:rFonts w:hint="eastAsia" w:ascii="宋体" w:hAnsi="宋体" w:eastAsia="Times New Roman" w:cs="宋体"/>
                <w:color w:val="auto"/>
                <w:sz w:val="24"/>
                <w:highlight w:val="none"/>
                <w:lang w:val="en-US" w:eastAsia="zh-CN"/>
              </w:rPr>
            </w:pPr>
          </w:p>
        </w:tc>
        <w:tc>
          <w:tcPr>
            <w:tcW w:w="1613" w:type="dxa"/>
            <w:vMerge w:val="continue"/>
            <w:tcBorders>
              <w:left w:val="outset" w:color="auto" w:sz="6" w:space="0"/>
              <w:bottom w:val="outset" w:color="auto" w:sz="6" w:space="0"/>
              <w:right w:val="outset" w:color="auto" w:sz="6" w:space="0"/>
            </w:tcBorders>
            <w:noWrap w:val="0"/>
            <w:vAlign w:val="center"/>
          </w:tcPr>
          <w:p w14:paraId="50FC198D">
            <w:pPr>
              <w:pStyle w:val="73"/>
              <w:jc w:val="center"/>
              <w:rPr>
                <w:rFonts w:hint="eastAsia" w:ascii="宋体" w:hAnsi="宋体" w:eastAsia="Times New Roman" w:cs="宋体"/>
                <w:color w:val="auto"/>
                <w:sz w:val="24"/>
                <w:highlight w:val="none"/>
                <w:lang w:val="en-US" w:eastAsia="zh-CN"/>
              </w:rPr>
            </w:pPr>
          </w:p>
        </w:tc>
        <w:tc>
          <w:tcPr>
            <w:tcW w:w="4928" w:type="dxa"/>
            <w:tcBorders>
              <w:top w:val="outset" w:color="auto" w:sz="6" w:space="0"/>
              <w:left w:val="outset" w:color="auto" w:sz="6" w:space="0"/>
              <w:bottom w:val="outset" w:color="auto" w:sz="6" w:space="0"/>
              <w:right w:val="outset" w:color="auto" w:sz="6" w:space="0"/>
            </w:tcBorders>
            <w:noWrap w:val="0"/>
            <w:vAlign w:val="center"/>
          </w:tcPr>
          <w:p w14:paraId="330E9588">
            <w:pPr>
              <w:pStyle w:val="73"/>
              <w:jc w:val="left"/>
              <w:rPr>
                <w:rFonts w:hint="eastAsia" w:ascii="宋体" w:hAnsi="宋体" w:eastAsia="Times New Roman" w:cs="宋体"/>
                <w:color w:val="auto"/>
                <w:sz w:val="24"/>
                <w:highlight w:val="none"/>
                <w:lang w:val="zh-CN" w:eastAsia="zh-CN"/>
              </w:rPr>
            </w:pPr>
            <w:r>
              <w:rPr>
                <w:rFonts w:hint="eastAsia" w:ascii="宋体" w:hAnsi="宋体" w:eastAsia="Times New Roman" w:cs="宋体"/>
                <w:color w:val="auto"/>
                <w:sz w:val="24"/>
                <w:highlight w:val="none"/>
                <w:lang w:val="zh-CN" w:eastAsia="zh-CN"/>
              </w:rPr>
              <w:t>供应商填写完毕的工程量清单</w:t>
            </w:r>
            <w:r>
              <w:rPr>
                <w:rFonts w:hint="eastAsia" w:ascii="宋体" w:hAnsi="宋体" w:cs="宋体"/>
                <w:color w:val="auto"/>
                <w:sz w:val="24"/>
                <w:highlight w:val="none"/>
                <w:lang w:val="en-US" w:eastAsia="zh-CN"/>
              </w:rPr>
              <w:t>是否</w:t>
            </w:r>
            <w:r>
              <w:rPr>
                <w:rFonts w:hint="eastAsia" w:ascii="宋体" w:hAnsi="宋体" w:eastAsia="Times New Roman" w:cs="宋体"/>
                <w:color w:val="auto"/>
                <w:sz w:val="24"/>
                <w:highlight w:val="none"/>
                <w:lang w:val="zh-CN" w:eastAsia="zh-CN"/>
              </w:rPr>
              <w:t>对工程量清单电子文件中的数据、格式和运算定义进行修改;</w:t>
            </w:r>
          </w:p>
        </w:tc>
        <w:tc>
          <w:tcPr>
            <w:tcW w:w="1022" w:type="dxa"/>
            <w:tcBorders>
              <w:top w:val="outset" w:color="auto" w:sz="6" w:space="0"/>
              <w:left w:val="outset" w:color="auto" w:sz="6" w:space="0"/>
              <w:bottom w:val="outset" w:color="auto" w:sz="6" w:space="0"/>
              <w:right w:val="outset" w:color="auto" w:sz="6" w:space="0"/>
            </w:tcBorders>
            <w:noWrap w:val="0"/>
            <w:vAlign w:val="center"/>
          </w:tcPr>
          <w:p w14:paraId="50DD28F2">
            <w:pPr>
              <w:pStyle w:val="73"/>
              <w:rPr>
                <w:color w:val="auto"/>
                <w:highlight w:val="none"/>
              </w:rPr>
            </w:pPr>
          </w:p>
        </w:tc>
        <w:tc>
          <w:tcPr>
            <w:tcW w:w="973" w:type="dxa"/>
            <w:tcBorders>
              <w:top w:val="outset" w:color="auto" w:sz="6" w:space="0"/>
              <w:left w:val="outset" w:color="auto" w:sz="6" w:space="0"/>
              <w:bottom w:val="outset" w:color="auto" w:sz="6" w:space="0"/>
              <w:right w:val="outset" w:color="auto" w:sz="6" w:space="0"/>
            </w:tcBorders>
            <w:noWrap w:val="0"/>
            <w:vAlign w:val="center"/>
          </w:tcPr>
          <w:p w14:paraId="56AACDA3">
            <w:pPr>
              <w:pStyle w:val="73"/>
              <w:rPr>
                <w:color w:val="auto"/>
                <w:highlight w:val="none"/>
              </w:rPr>
            </w:pPr>
          </w:p>
        </w:tc>
      </w:tr>
      <w:tr w14:paraId="4D307F1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1" w:type="dxa"/>
            <w:vMerge w:val="continue"/>
            <w:tcBorders>
              <w:top w:val="outset" w:color="auto" w:sz="6" w:space="0"/>
              <w:left w:val="outset" w:color="auto" w:sz="6" w:space="0"/>
              <w:bottom w:val="outset" w:color="auto" w:sz="6" w:space="0"/>
              <w:right w:val="outset" w:color="auto" w:sz="6" w:space="0"/>
            </w:tcBorders>
            <w:noWrap w:val="0"/>
            <w:vAlign w:val="center"/>
          </w:tcPr>
          <w:p w14:paraId="49CE6032">
            <w:pPr>
              <w:pStyle w:val="73"/>
              <w:rPr>
                <w:color w:val="0000FF"/>
                <w:highlight w:val="none"/>
              </w:rPr>
            </w:pPr>
          </w:p>
        </w:tc>
        <w:tc>
          <w:tcPr>
            <w:tcW w:w="694" w:type="dxa"/>
            <w:vMerge w:val="continue"/>
            <w:tcBorders>
              <w:top w:val="outset" w:color="auto" w:sz="6" w:space="0"/>
              <w:left w:val="outset" w:color="auto" w:sz="6" w:space="0"/>
              <w:bottom w:val="outset" w:color="auto" w:sz="6" w:space="0"/>
              <w:right w:val="outset" w:color="auto" w:sz="6" w:space="0"/>
            </w:tcBorders>
            <w:noWrap w:val="0"/>
            <w:vAlign w:val="center"/>
          </w:tcPr>
          <w:p w14:paraId="4395D17A">
            <w:pPr>
              <w:pStyle w:val="73"/>
              <w:jc w:val="left"/>
              <w:rPr>
                <w:rFonts w:hint="eastAsia" w:ascii="宋体" w:hAnsi="宋体" w:eastAsia="Times New Roman" w:cs="宋体"/>
                <w:color w:val="auto"/>
                <w:sz w:val="24"/>
                <w:highlight w:val="none"/>
                <w:lang w:val="en-US" w:eastAsia="zh-CN"/>
              </w:rPr>
            </w:pPr>
          </w:p>
        </w:tc>
        <w:tc>
          <w:tcPr>
            <w:tcW w:w="1613" w:type="dxa"/>
            <w:vMerge w:val="restart"/>
            <w:tcBorders>
              <w:top w:val="outset" w:color="auto" w:sz="6" w:space="0"/>
              <w:left w:val="outset" w:color="auto" w:sz="6" w:space="0"/>
              <w:right w:val="outset" w:color="auto" w:sz="6" w:space="0"/>
            </w:tcBorders>
            <w:noWrap w:val="0"/>
            <w:vAlign w:val="center"/>
          </w:tcPr>
          <w:p w14:paraId="0692CC28">
            <w:pPr>
              <w:pStyle w:val="73"/>
              <w:jc w:val="center"/>
              <w:rPr>
                <w:rFonts w:hint="default" w:ascii="宋体" w:hAnsi="宋体" w:eastAsia="Times New Roman" w:cs="宋体"/>
                <w:color w:val="auto"/>
                <w:sz w:val="24"/>
                <w:highlight w:val="none"/>
                <w:lang w:val="en-US" w:eastAsia="zh-CN"/>
              </w:rPr>
            </w:pPr>
            <w:r>
              <w:rPr>
                <w:rFonts w:hint="eastAsia" w:ascii="宋体" w:hAnsi="宋体" w:eastAsia="Times New Roman" w:cs="宋体"/>
                <w:color w:val="auto"/>
                <w:sz w:val="24"/>
                <w:highlight w:val="none"/>
                <w:lang w:val="en-US" w:eastAsia="zh-CN"/>
              </w:rPr>
              <w:t>其它</w:t>
            </w:r>
          </w:p>
        </w:tc>
        <w:tc>
          <w:tcPr>
            <w:tcW w:w="4928" w:type="dxa"/>
            <w:tcBorders>
              <w:top w:val="outset" w:color="auto" w:sz="6" w:space="0"/>
              <w:left w:val="outset" w:color="auto" w:sz="6" w:space="0"/>
              <w:bottom w:val="outset" w:color="auto" w:sz="6" w:space="0"/>
              <w:right w:val="outset" w:color="auto" w:sz="6" w:space="0"/>
            </w:tcBorders>
            <w:noWrap w:val="0"/>
            <w:vAlign w:val="center"/>
          </w:tcPr>
          <w:p w14:paraId="5750E7BC">
            <w:p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cs="宋体"/>
                <w:color w:val="auto"/>
                <w:sz w:val="24"/>
                <w:highlight w:val="none"/>
                <w:lang w:val="en-US" w:eastAsia="zh-CN"/>
              </w:rPr>
              <w:t>投标</w:t>
            </w:r>
            <w:r>
              <w:rPr>
                <w:rFonts w:hint="eastAsia" w:ascii="宋体" w:hAnsi="宋体" w:eastAsia="Times New Roman" w:cs="宋体"/>
                <w:color w:val="auto"/>
                <w:sz w:val="24"/>
                <w:highlight w:val="none"/>
                <w:lang w:val="zh-CN" w:eastAsia="zh-CN"/>
              </w:rPr>
              <w:t>文件</w:t>
            </w:r>
            <w:r>
              <w:rPr>
                <w:rFonts w:hint="eastAsia" w:ascii="宋体" w:hAnsi="宋体" w:cs="宋体"/>
                <w:color w:val="auto"/>
                <w:sz w:val="24"/>
                <w:highlight w:val="none"/>
                <w:lang w:val="en-US" w:eastAsia="zh-CN"/>
              </w:rPr>
              <w:t>是否</w:t>
            </w:r>
            <w:r>
              <w:rPr>
                <w:rFonts w:hint="eastAsia" w:ascii="宋体" w:hAnsi="宋体" w:eastAsia="Times New Roman" w:cs="宋体"/>
                <w:color w:val="auto"/>
                <w:sz w:val="24"/>
                <w:highlight w:val="none"/>
                <w:lang w:val="zh-CN" w:eastAsia="zh-CN"/>
              </w:rPr>
              <w:t>不符合磋商文件规定的其他实质性要求的</w:t>
            </w:r>
            <w:r>
              <w:rPr>
                <w:rFonts w:hint="eastAsia" w:ascii="宋体" w:hAnsi="宋体" w:cs="宋体"/>
                <w:color w:val="auto"/>
                <w:sz w:val="24"/>
                <w:highlight w:val="none"/>
                <w:lang w:val="zh-CN" w:eastAsia="zh-CN"/>
              </w:rPr>
              <w:t>；</w:t>
            </w:r>
          </w:p>
        </w:tc>
        <w:tc>
          <w:tcPr>
            <w:tcW w:w="1022" w:type="dxa"/>
            <w:tcBorders>
              <w:top w:val="outset" w:color="auto" w:sz="6" w:space="0"/>
              <w:left w:val="outset" w:color="auto" w:sz="6" w:space="0"/>
              <w:bottom w:val="outset" w:color="auto" w:sz="6" w:space="0"/>
              <w:right w:val="outset" w:color="auto" w:sz="6" w:space="0"/>
            </w:tcBorders>
            <w:noWrap w:val="0"/>
            <w:vAlign w:val="center"/>
          </w:tcPr>
          <w:p w14:paraId="5AAC2745">
            <w:pPr>
              <w:pStyle w:val="73"/>
              <w:rPr>
                <w:color w:val="auto"/>
                <w:highlight w:val="none"/>
              </w:rPr>
            </w:pPr>
          </w:p>
        </w:tc>
        <w:tc>
          <w:tcPr>
            <w:tcW w:w="973" w:type="dxa"/>
            <w:tcBorders>
              <w:top w:val="outset" w:color="auto" w:sz="6" w:space="0"/>
              <w:left w:val="outset" w:color="auto" w:sz="6" w:space="0"/>
              <w:bottom w:val="outset" w:color="auto" w:sz="6" w:space="0"/>
              <w:right w:val="outset" w:color="auto" w:sz="6" w:space="0"/>
            </w:tcBorders>
            <w:noWrap w:val="0"/>
            <w:vAlign w:val="center"/>
          </w:tcPr>
          <w:p w14:paraId="408A9196">
            <w:pPr>
              <w:pStyle w:val="73"/>
              <w:rPr>
                <w:color w:val="auto"/>
                <w:highlight w:val="none"/>
              </w:rPr>
            </w:pPr>
          </w:p>
        </w:tc>
      </w:tr>
      <w:tr w14:paraId="47FE4C7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1" w:type="dxa"/>
            <w:vMerge w:val="continue"/>
            <w:tcBorders>
              <w:top w:val="outset" w:color="auto" w:sz="6" w:space="0"/>
              <w:left w:val="outset" w:color="auto" w:sz="6" w:space="0"/>
              <w:bottom w:val="single" w:color="auto" w:sz="4" w:space="0"/>
              <w:right w:val="outset" w:color="auto" w:sz="6" w:space="0"/>
            </w:tcBorders>
            <w:noWrap w:val="0"/>
            <w:vAlign w:val="center"/>
          </w:tcPr>
          <w:p w14:paraId="2794396F">
            <w:pPr>
              <w:pStyle w:val="73"/>
              <w:rPr>
                <w:color w:val="0000FF"/>
                <w:highlight w:val="none"/>
              </w:rPr>
            </w:pPr>
          </w:p>
        </w:tc>
        <w:tc>
          <w:tcPr>
            <w:tcW w:w="694" w:type="dxa"/>
            <w:vMerge w:val="continue"/>
            <w:tcBorders>
              <w:top w:val="outset" w:color="auto" w:sz="6" w:space="0"/>
              <w:left w:val="outset" w:color="auto" w:sz="6" w:space="0"/>
              <w:bottom w:val="single" w:color="auto" w:sz="4" w:space="0"/>
              <w:right w:val="outset" w:color="auto" w:sz="6" w:space="0"/>
            </w:tcBorders>
            <w:noWrap w:val="0"/>
            <w:vAlign w:val="center"/>
          </w:tcPr>
          <w:p w14:paraId="66F01B79">
            <w:pPr>
              <w:pStyle w:val="73"/>
              <w:jc w:val="left"/>
              <w:rPr>
                <w:rFonts w:hint="eastAsia" w:ascii="宋体" w:hAnsi="宋体" w:eastAsia="Times New Roman" w:cs="宋体"/>
                <w:color w:val="auto"/>
                <w:sz w:val="24"/>
                <w:highlight w:val="none"/>
                <w:lang w:val="en-US" w:eastAsia="zh-CN"/>
              </w:rPr>
            </w:pPr>
          </w:p>
        </w:tc>
        <w:tc>
          <w:tcPr>
            <w:tcW w:w="1613" w:type="dxa"/>
            <w:vMerge w:val="continue"/>
            <w:tcBorders>
              <w:left w:val="outset" w:color="auto" w:sz="6" w:space="0"/>
              <w:bottom w:val="single" w:color="auto" w:sz="4" w:space="0"/>
              <w:right w:val="outset" w:color="auto" w:sz="6" w:space="0"/>
            </w:tcBorders>
            <w:noWrap w:val="0"/>
            <w:vAlign w:val="center"/>
          </w:tcPr>
          <w:p w14:paraId="3D34127E">
            <w:pPr>
              <w:pStyle w:val="73"/>
              <w:jc w:val="center"/>
              <w:rPr>
                <w:rFonts w:hint="default" w:ascii="宋体" w:hAnsi="宋体" w:eastAsia="Times New Roman" w:cs="宋体"/>
                <w:color w:val="auto"/>
                <w:sz w:val="24"/>
                <w:highlight w:val="none"/>
                <w:lang w:val="en-US" w:eastAsia="zh-CN"/>
              </w:rPr>
            </w:pPr>
          </w:p>
        </w:tc>
        <w:tc>
          <w:tcPr>
            <w:tcW w:w="4928" w:type="dxa"/>
            <w:tcBorders>
              <w:top w:val="outset" w:color="auto" w:sz="6" w:space="0"/>
              <w:left w:val="outset" w:color="auto" w:sz="6" w:space="0"/>
              <w:bottom w:val="single" w:color="auto" w:sz="4" w:space="0"/>
              <w:right w:val="outset" w:color="auto" w:sz="6" w:space="0"/>
            </w:tcBorders>
            <w:noWrap w:val="0"/>
            <w:vAlign w:val="center"/>
          </w:tcPr>
          <w:p w14:paraId="756A93FE">
            <w:pPr>
              <w:pStyle w:val="73"/>
              <w:jc w:val="left"/>
              <w:rPr>
                <w:rFonts w:hint="eastAsia" w:ascii="宋体" w:hAnsi="宋体" w:eastAsia="Times New Roman" w:cs="宋体"/>
                <w:color w:val="auto"/>
                <w:sz w:val="24"/>
                <w:highlight w:val="none"/>
                <w:lang w:val="zh-CN" w:eastAsia="zh-CN"/>
              </w:rPr>
            </w:pPr>
            <w:r>
              <w:rPr>
                <w:rFonts w:hint="eastAsia" w:ascii="宋体" w:hAnsi="宋体" w:eastAsia="Times New Roman" w:cs="宋体"/>
                <w:color w:val="auto"/>
                <w:sz w:val="24"/>
                <w:highlight w:val="none"/>
                <w:lang w:val="zh-CN" w:eastAsia="zh-CN"/>
              </w:rPr>
              <w:t>投标文件是否附有招标人不能接受的条件；</w:t>
            </w:r>
          </w:p>
        </w:tc>
        <w:tc>
          <w:tcPr>
            <w:tcW w:w="1022" w:type="dxa"/>
            <w:tcBorders>
              <w:top w:val="outset" w:color="auto" w:sz="6" w:space="0"/>
              <w:left w:val="outset" w:color="auto" w:sz="6" w:space="0"/>
              <w:bottom w:val="single" w:color="auto" w:sz="4" w:space="0"/>
              <w:right w:val="outset" w:color="auto" w:sz="6" w:space="0"/>
            </w:tcBorders>
            <w:noWrap w:val="0"/>
            <w:vAlign w:val="center"/>
          </w:tcPr>
          <w:p w14:paraId="4CB8A732">
            <w:pPr>
              <w:pStyle w:val="73"/>
              <w:rPr>
                <w:color w:val="auto"/>
                <w:highlight w:val="none"/>
              </w:rPr>
            </w:pPr>
          </w:p>
        </w:tc>
        <w:tc>
          <w:tcPr>
            <w:tcW w:w="973" w:type="dxa"/>
            <w:tcBorders>
              <w:top w:val="outset" w:color="auto" w:sz="6" w:space="0"/>
              <w:left w:val="outset" w:color="auto" w:sz="6" w:space="0"/>
              <w:bottom w:val="single" w:color="auto" w:sz="4" w:space="0"/>
              <w:right w:val="outset" w:color="auto" w:sz="6" w:space="0"/>
            </w:tcBorders>
            <w:noWrap w:val="0"/>
            <w:vAlign w:val="center"/>
          </w:tcPr>
          <w:p w14:paraId="41F228E4">
            <w:pPr>
              <w:pStyle w:val="73"/>
              <w:rPr>
                <w:color w:val="auto"/>
                <w:highlight w:val="none"/>
              </w:rPr>
            </w:pPr>
          </w:p>
        </w:tc>
      </w:tr>
      <w:tr w14:paraId="670FDA2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571" w:type="dxa"/>
            <w:vMerge w:val="continue"/>
            <w:tcBorders>
              <w:top w:val="outset" w:color="auto" w:sz="6" w:space="0"/>
              <w:left w:val="outset" w:color="auto" w:sz="6" w:space="0"/>
              <w:bottom w:val="single" w:color="auto" w:sz="4" w:space="0"/>
              <w:right w:val="outset" w:color="auto" w:sz="6" w:space="0"/>
            </w:tcBorders>
            <w:noWrap w:val="0"/>
            <w:vAlign w:val="center"/>
          </w:tcPr>
          <w:p w14:paraId="52859803">
            <w:pPr>
              <w:pStyle w:val="73"/>
              <w:rPr>
                <w:color w:val="0000FF"/>
                <w:highlight w:val="none"/>
              </w:rPr>
            </w:pPr>
          </w:p>
        </w:tc>
        <w:tc>
          <w:tcPr>
            <w:tcW w:w="694" w:type="dxa"/>
            <w:vMerge w:val="continue"/>
            <w:tcBorders>
              <w:top w:val="outset" w:color="auto" w:sz="6" w:space="0"/>
              <w:left w:val="outset" w:color="auto" w:sz="6" w:space="0"/>
              <w:bottom w:val="single" w:color="auto" w:sz="4" w:space="0"/>
              <w:right w:val="outset" w:color="auto" w:sz="6" w:space="0"/>
            </w:tcBorders>
            <w:noWrap w:val="0"/>
            <w:vAlign w:val="center"/>
          </w:tcPr>
          <w:p w14:paraId="173778EB">
            <w:pPr>
              <w:pStyle w:val="73"/>
              <w:jc w:val="left"/>
              <w:rPr>
                <w:rFonts w:hint="eastAsia" w:ascii="宋体" w:hAnsi="宋体" w:eastAsia="Times New Roman" w:cs="宋体"/>
                <w:color w:val="auto"/>
                <w:sz w:val="24"/>
                <w:highlight w:val="none"/>
                <w:lang w:val="en-US" w:eastAsia="zh-CN"/>
              </w:rPr>
            </w:pPr>
          </w:p>
        </w:tc>
        <w:tc>
          <w:tcPr>
            <w:tcW w:w="1613" w:type="dxa"/>
            <w:vMerge w:val="continue"/>
            <w:tcBorders>
              <w:left w:val="outset" w:color="auto" w:sz="6" w:space="0"/>
              <w:bottom w:val="single" w:color="auto" w:sz="4" w:space="0"/>
              <w:right w:val="outset" w:color="auto" w:sz="6" w:space="0"/>
            </w:tcBorders>
            <w:noWrap w:val="0"/>
            <w:vAlign w:val="center"/>
          </w:tcPr>
          <w:p w14:paraId="6E52A656">
            <w:pPr>
              <w:pStyle w:val="73"/>
              <w:jc w:val="center"/>
              <w:rPr>
                <w:rFonts w:hint="default" w:ascii="宋体" w:hAnsi="宋体" w:eastAsia="Times New Roman" w:cs="宋体"/>
                <w:color w:val="auto"/>
                <w:sz w:val="24"/>
                <w:highlight w:val="none"/>
                <w:lang w:val="en-US" w:eastAsia="zh-CN"/>
              </w:rPr>
            </w:pPr>
          </w:p>
        </w:tc>
        <w:tc>
          <w:tcPr>
            <w:tcW w:w="4928" w:type="dxa"/>
            <w:tcBorders>
              <w:top w:val="outset" w:color="auto" w:sz="6" w:space="0"/>
              <w:left w:val="outset" w:color="auto" w:sz="6" w:space="0"/>
              <w:bottom w:val="single" w:color="auto" w:sz="4" w:space="0"/>
              <w:right w:val="outset" w:color="auto" w:sz="6" w:space="0"/>
            </w:tcBorders>
            <w:noWrap w:val="0"/>
            <w:vAlign w:val="center"/>
          </w:tcPr>
          <w:p w14:paraId="4509BC4B">
            <w:pPr>
              <w:pStyle w:val="73"/>
              <w:jc w:val="left"/>
              <w:rPr>
                <w:rFonts w:hint="eastAsia" w:ascii="宋体" w:hAnsi="宋体" w:eastAsia="Times New Roman" w:cs="宋体"/>
                <w:color w:val="auto"/>
                <w:sz w:val="24"/>
                <w:highlight w:val="none"/>
                <w:lang w:val="en-US" w:eastAsia="zh-CN"/>
              </w:rPr>
            </w:pPr>
            <w:r>
              <w:rPr>
                <w:rFonts w:hint="eastAsia" w:ascii="宋体" w:hAnsi="宋体" w:eastAsia="Times New Roman" w:cs="宋体"/>
                <w:color w:val="auto"/>
                <w:kern w:val="0"/>
                <w:sz w:val="24"/>
                <w:szCs w:val="24"/>
                <w:highlight w:val="none"/>
                <w:lang w:val="zh-CN" w:eastAsia="zh-CN" w:bidi="ar-SA"/>
              </w:rPr>
              <w:t>在评标过程中，发现投标人以他人名义投标、串通投标、以行贿手段谋取成交或者以其他弄虚作假方式投标的；</w:t>
            </w:r>
          </w:p>
        </w:tc>
        <w:tc>
          <w:tcPr>
            <w:tcW w:w="1022" w:type="dxa"/>
            <w:tcBorders>
              <w:top w:val="outset" w:color="auto" w:sz="6" w:space="0"/>
              <w:left w:val="outset" w:color="auto" w:sz="6" w:space="0"/>
              <w:bottom w:val="single" w:color="auto" w:sz="4" w:space="0"/>
              <w:right w:val="outset" w:color="auto" w:sz="6" w:space="0"/>
            </w:tcBorders>
            <w:noWrap w:val="0"/>
            <w:vAlign w:val="center"/>
          </w:tcPr>
          <w:p w14:paraId="70C32E6D">
            <w:pPr>
              <w:pStyle w:val="73"/>
              <w:rPr>
                <w:color w:val="auto"/>
                <w:highlight w:val="none"/>
              </w:rPr>
            </w:pPr>
          </w:p>
        </w:tc>
        <w:tc>
          <w:tcPr>
            <w:tcW w:w="973" w:type="dxa"/>
            <w:tcBorders>
              <w:top w:val="outset" w:color="auto" w:sz="6" w:space="0"/>
              <w:left w:val="outset" w:color="auto" w:sz="6" w:space="0"/>
              <w:bottom w:val="single" w:color="auto" w:sz="4" w:space="0"/>
              <w:right w:val="outset" w:color="auto" w:sz="6" w:space="0"/>
            </w:tcBorders>
            <w:noWrap w:val="0"/>
            <w:vAlign w:val="center"/>
          </w:tcPr>
          <w:p w14:paraId="16867E50">
            <w:pPr>
              <w:pStyle w:val="73"/>
              <w:rPr>
                <w:color w:val="auto"/>
                <w:highlight w:val="none"/>
              </w:rPr>
            </w:pPr>
          </w:p>
        </w:tc>
      </w:tr>
      <w:tr w14:paraId="3AF6A23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265" w:type="dxa"/>
            <w:gridSpan w:val="2"/>
            <w:tcBorders>
              <w:top w:val="single" w:color="auto" w:sz="4" w:space="0"/>
              <w:left w:val="outset" w:color="auto" w:sz="6" w:space="0"/>
              <w:bottom w:val="outset" w:color="auto" w:sz="6" w:space="0"/>
              <w:right w:val="outset" w:color="auto" w:sz="6" w:space="0"/>
            </w:tcBorders>
            <w:noWrap w:val="0"/>
            <w:vAlign w:val="center"/>
          </w:tcPr>
          <w:p w14:paraId="73F23869">
            <w:pPr>
              <w:spacing w:line="400" w:lineRule="exact"/>
              <w:jc w:val="center"/>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zh-CN" w:eastAsia="zh-CN" w:bidi="ar-SA"/>
              </w:rPr>
              <w:t>说明</w:t>
            </w:r>
          </w:p>
        </w:tc>
        <w:tc>
          <w:tcPr>
            <w:tcW w:w="8536" w:type="dxa"/>
            <w:gridSpan w:val="4"/>
            <w:tcBorders>
              <w:top w:val="single" w:color="auto" w:sz="4" w:space="0"/>
              <w:left w:val="outset" w:color="auto" w:sz="6" w:space="0"/>
              <w:bottom w:val="outset" w:color="auto" w:sz="6" w:space="0"/>
              <w:right w:val="outset" w:color="auto" w:sz="6" w:space="0"/>
            </w:tcBorders>
            <w:noWrap w:val="0"/>
            <w:vAlign w:val="center"/>
          </w:tcPr>
          <w:p w14:paraId="7D9E68AB">
            <w:pPr>
              <w:spacing w:line="400" w:lineRule="exact"/>
              <w:rPr>
                <w:rFonts w:hint="eastAsia" w:ascii="宋体" w:hAnsi="宋体" w:eastAsia="Times New Roman" w:cs="宋体"/>
                <w:color w:val="auto"/>
                <w:kern w:val="0"/>
                <w:sz w:val="24"/>
                <w:szCs w:val="24"/>
                <w:highlight w:val="none"/>
                <w:lang w:val="zh-CN" w:eastAsia="zh-CN" w:bidi="ar-SA"/>
              </w:rPr>
            </w:pPr>
            <w:r>
              <w:rPr>
                <w:rFonts w:hint="eastAsia" w:ascii="宋体" w:hAnsi="宋体" w:eastAsia="Times New Roman" w:cs="宋体"/>
                <w:color w:val="auto"/>
                <w:kern w:val="0"/>
                <w:sz w:val="24"/>
                <w:szCs w:val="24"/>
                <w:highlight w:val="none"/>
                <w:lang w:val="zh-CN" w:eastAsia="zh-CN" w:bidi="ar-SA"/>
              </w:rPr>
              <w:t>每一项评审内容：通过打（√），不通过打（×）；</w:t>
            </w:r>
          </w:p>
          <w:p w14:paraId="7887BE82">
            <w:pPr>
              <w:spacing w:line="400" w:lineRule="exact"/>
              <w:rPr>
                <w:rFonts w:hint="eastAsia" w:ascii="宋体" w:hAnsi="宋体" w:eastAsia="Times New Roman" w:cs="宋体"/>
                <w:color w:val="auto"/>
                <w:kern w:val="0"/>
                <w:sz w:val="24"/>
                <w:szCs w:val="24"/>
                <w:highlight w:val="none"/>
                <w:lang w:val="zh-CN" w:eastAsia="zh-CN" w:bidi="ar-SA"/>
              </w:rPr>
            </w:pPr>
            <w:r>
              <w:rPr>
                <w:rFonts w:hint="eastAsia" w:ascii="宋体" w:hAnsi="宋体" w:eastAsia="Times New Roman" w:cs="宋体"/>
                <w:color w:val="auto"/>
                <w:kern w:val="0"/>
                <w:sz w:val="24"/>
                <w:szCs w:val="24"/>
                <w:highlight w:val="none"/>
                <w:lang w:val="zh-CN" w:eastAsia="zh-CN" w:bidi="ar-SA"/>
              </w:rPr>
              <w:t>审查最终结论：通过或不通过</w:t>
            </w:r>
          </w:p>
        </w:tc>
      </w:t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tbl>
    <w:p w14:paraId="6C48C68D">
      <w:pPr>
        <w:rPr>
          <w:rFonts w:hint="eastAsia"/>
          <w:color w:val="0000FF"/>
          <w:highlight w:val="none"/>
        </w:rPr>
      </w:pPr>
    </w:p>
    <w:p w14:paraId="6BE2B575">
      <w:pPr>
        <w:rPr>
          <w:rFonts w:hint="eastAsia"/>
          <w:color w:val="0000FF"/>
          <w:highlight w:val="none"/>
        </w:rPr>
      </w:pPr>
    </w:p>
    <w:p w14:paraId="2359DE77">
      <w:pPr>
        <w:rPr>
          <w:rFonts w:hint="eastAsia"/>
          <w:color w:val="0000FF"/>
          <w:highlight w:val="yellow"/>
        </w:rPr>
      </w:pPr>
    </w:p>
    <w:p w14:paraId="75D48708">
      <w:pPr>
        <w:pStyle w:val="12"/>
        <w:spacing w:line="240" w:lineRule="auto"/>
        <w:ind w:left="0" w:leftChars="0" w:firstLine="2811" w:firstLineChars="1000"/>
        <w:jc w:val="both"/>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商务技术、价格响应性评审表</w:t>
      </w:r>
    </w:p>
    <w:tbl>
      <w:tblPr>
        <w:tblStyle w:val="30"/>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6513"/>
        <w:gridCol w:w="1059"/>
      </w:tblGrid>
      <w:tr w14:paraId="3D10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207" w:type="dxa"/>
            <w:gridSpan w:val="2"/>
            <w:noWrap w:val="0"/>
            <w:vAlign w:val="center"/>
          </w:tcPr>
          <w:p w14:paraId="796F35C2">
            <w:pPr>
              <w:pStyle w:val="73"/>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具体评分办法</w:t>
            </w:r>
          </w:p>
        </w:tc>
        <w:tc>
          <w:tcPr>
            <w:tcW w:w="1059" w:type="dxa"/>
            <w:noWrap w:val="0"/>
            <w:vAlign w:val="center"/>
          </w:tcPr>
          <w:p w14:paraId="7A3C0846">
            <w:pPr>
              <w:pStyle w:val="73"/>
              <w:jc w:val="center"/>
              <w:rPr>
                <w:rFonts w:hint="eastAsia" w:ascii="宋体" w:hAnsi="宋体" w:eastAsia="Times New Roman" w:cs="宋体"/>
                <w:b/>
                <w:bCs/>
                <w:color w:val="auto"/>
                <w:sz w:val="24"/>
                <w:highlight w:val="none"/>
                <w:lang w:val="en-US" w:eastAsia="zh-CN"/>
              </w:rPr>
            </w:pPr>
            <w:r>
              <w:rPr>
                <w:rFonts w:hint="eastAsia" w:ascii="宋体" w:hAnsi="宋体" w:eastAsia="Times New Roman" w:cs="宋体"/>
                <w:b/>
                <w:bCs/>
                <w:color w:val="auto"/>
                <w:sz w:val="24"/>
                <w:highlight w:val="none"/>
                <w:lang w:val="en-US" w:eastAsia="zh-CN"/>
              </w:rPr>
              <w:t>100分</w:t>
            </w:r>
          </w:p>
        </w:tc>
      </w:tr>
      <w:tr w14:paraId="0E5D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207" w:type="dxa"/>
            <w:gridSpan w:val="2"/>
            <w:noWrap w:val="0"/>
            <w:vAlign w:val="center"/>
          </w:tcPr>
          <w:p w14:paraId="1FC1C6DF">
            <w:pPr>
              <w:widowControl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价格部分</w:t>
            </w:r>
          </w:p>
        </w:tc>
        <w:tc>
          <w:tcPr>
            <w:tcW w:w="1059" w:type="dxa"/>
            <w:noWrap w:val="0"/>
            <w:vAlign w:val="center"/>
          </w:tcPr>
          <w:p w14:paraId="259AF22E">
            <w:pPr>
              <w:widowControl w:val="0"/>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30分</w:t>
            </w:r>
          </w:p>
        </w:tc>
      </w:tr>
      <w:tr w14:paraId="534F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1694" w:type="dxa"/>
            <w:noWrap w:val="0"/>
            <w:vAlign w:val="center"/>
          </w:tcPr>
          <w:p w14:paraId="321943A0">
            <w:pPr>
              <w:widowControl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价格</w:t>
            </w:r>
          </w:p>
          <w:p w14:paraId="5808F007">
            <w:pPr>
              <w:widowControl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部分</w:t>
            </w:r>
          </w:p>
          <w:p w14:paraId="6D093FEE">
            <w:pPr>
              <w:pStyle w:val="29"/>
              <w:ind w:left="420" w:firstLine="420"/>
              <w:jc w:val="left"/>
              <w:rPr>
                <w:rFonts w:hint="eastAsia"/>
                <w:color w:val="auto"/>
                <w:highlight w:val="none"/>
              </w:rPr>
            </w:pPr>
          </w:p>
        </w:tc>
        <w:tc>
          <w:tcPr>
            <w:tcW w:w="6513" w:type="dxa"/>
            <w:noWrap w:val="0"/>
            <w:vAlign w:val="center"/>
          </w:tcPr>
          <w:p w14:paraId="7503269D">
            <w:pPr>
              <w:widowControl w:val="0"/>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评</w:t>
            </w:r>
            <w:r>
              <w:rPr>
                <w:rFonts w:hint="eastAsia" w:ascii="宋体" w:hAnsi="宋体" w:eastAsia="宋体" w:cs="宋体"/>
                <w:color w:val="auto"/>
                <w:sz w:val="24"/>
                <w:szCs w:val="24"/>
                <w:highlight w:val="none"/>
              </w:rPr>
              <w:t>分办法：采用低价优先法计算，即满足磋商文件要求且价格最低的报价为评标基准价，其价格得分为满分。</w:t>
            </w:r>
          </w:p>
          <w:p w14:paraId="622B1137">
            <w:pPr>
              <w:widowControl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价格得分=（磋商基准价/</w:t>
            </w:r>
            <w:r>
              <w:rPr>
                <w:rFonts w:hint="eastAsia" w:ascii="宋体" w:hAnsi="宋体" w:cs="宋体"/>
                <w:color w:val="auto"/>
                <w:sz w:val="24"/>
                <w:szCs w:val="24"/>
                <w:highlight w:val="none"/>
                <w:lang w:val="en-US" w:eastAsia="zh-CN"/>
              </w:rPr>
              <w:t>最后</w:t>
            </w:r>
            <w:r>
              <w:rPr>
                <w:rFonts w:hint="eastAsia" w:ascii="宋体" w:hAnsi="宋体" w:eastAsia="宋体" w:cs="宋体"/>
                <w:color w:val="auto"/>
                <w:sz w:val="24"/>
                <w:szCs w:val="24"/>
                <w:highlight w:val="none"/>
              </w:rPr>
              <w:t>磋商报价）×价格权值，如此类推，算出所有供应商的价格得分；</w:t>
            </w:r>
          </w:p>
          <w:p w14:paraId="00524B0F">
            <w:pPr>
              <w:widowControl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以最终有效报价作为计算报价；</w:t>
            </w:r>
          </w:p>
          <w:p w14:paraId="5E9D9643">
            <w:pPr>
              <w:widowControl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本项目为专门面向</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小企业采购，不进行价格扣除评审。</w:t>
            </w:r>
          </w:p>
        </w:tc>
        <w:tc>
          <w:tcPr>
            <w:tcW w:w="1059" w:type="dxa"/>
            <w:noWrap w:val="0"/>
            <w:vAlign w:val="center"/>
          </w:tcPr>
          <w:p w14:paraId="72030C38">
            <w:pPr>
              <w:widowControl w:val="0"/>
              <w:spacing w:line="360" w:lineRule="auto"/>
              <w:ind w:firstLine="240" w:firstLineChars="100"/>
              <w:rPr>
                <w:rFonts w:hint="eastAsia" w:ascii="宋体" w:hAnsi="宋体" w:cs="宋体"/>
                <w:b/>
                <w:bCs/>
                <w:color w:val="auto"/>
                <w:sz w:val="24"/>
                <w:szCs w:val="24"/>
                <w:highlight w:val="none"/>
              </w:rPr>
            </w:pPr>
            <w:r>
              <w:rPr>
                <w:rStyle w:val="74"/>
                <w:rFonts w:hint="eastAsia" w:ascii="宋体" w:hAnsi="宋体" w:cs="宋体"/>
                <w:color w:val="auto"/>
                <w:sz w:val="24"/>
                <w:szCs w:val="24"/>
                <w:highlight w:val="none"/>
              </w:rPr>
              <w:t>30</w:t>
            </w:r>
          </w:p>
        </w:tc>
      </w:tr>
      <w:tr w14:paraId="4AE1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207" w:type="dxa"/>
            <w:gridSpan w:val="2"/>
            <w:noWrap w:val="0"/>
            <w:vAlign w:val="center"/>
          </w:tcPr>
          <w:p w14:paraId="47C20BCB">
            <w:pPr>
              <w:widowControl w:val="0"/>
              <w:spacing w:line="360" w:lineRule="auto"/>
              <w:ind w:firstLine="480" w:firstLineChars="200"/>
              <w:jc w:val="center"/>
              <w:rPr>
                <w:rFonts w:hint="eastAsia" w:ascii="宋体" w:hAnsi="宋体" w:cs="宋体"/>
                <w:b/>
                <w:bCs/>
                <w:color w:val="auto"/>
                <w:sz w:val="28"/>
                <w:szCs w:val="28"/>
                <w:highlight w:val="none"/>
              </w:rPr>
            </w:pPr>
            <w:r>
              <w:rPr>
                <w:rFonts w:hint="eastAsia" w:ascii="宋体" w:hAnsi="宋体" w:eastAsia="Times New Roman" w:cs="宋体"/>
                <w:b/>
                <w:bCs/>
                <w:color w:val="auto"/>
                <w:kern w:val="0"/>
                <w:sz w:val="24"/>
                <w:szCs w:val="24"/>
                <w:highlight w:val="none"/>
                <w:lang w:val="en-US" w:eastAsia="zh-CN" w:bidi="ar-SA"/>
              </w:rPr>
              <w:t xml:space="preserve">      技术商务部分</w:t>
            </w:r>
          </w:p>
        </w:tc>
        <w:tc>
          <w:tcPr>
            <w:tcW w:w="1059" w:type="dxa"/>
            <w:noWrap w:val="0"/>
            <w:vAlign w:val="center"/>
          </w:tcPr>
          <w:p w14:paraId="10E9A22B">
            <w:pPr>
              <w:widowControl w:val="0"/>
              <w:spacing w:line="360" w:lineRule="auto"/>
              <w:jc w:val="center"/>
              <w:rPr>
                <w:rFonts w:hint="eastAsia" w:ascii="宋体" w:hAnsi="宋体" w:cs="宋体"/>
                <w:b/>
                <w:bCs/>
                <w:color w:val="auto"/>
                <w:sz w:val="28"/>
                <w:szCs w:val="28"/>
                <w:highlight w:val="yellow"/>
              </w:rPr>
            </w:pPr>
            <w:r>
              <w:rPr>
                <w:rFonts w:hint="eastAsia" w:ascii="宋体" w:hAnsi="宋体" w:cs="宋体"/>
                <w:b/>
                <w:bCs/>
                <w:color w:val="auto"/>
                <w:sz w:val="24"/>
                <w:szCs w:val="24"/>
                <w:highlight w:val="none"/>
              </w:rPr>
              <w:t>70分</w:t>
            </w:r>
          </w:p>
        </w:tc>
      </w:tr>
      <w:tr w14:paraId="0C80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266" w:type="dxa"/>
            <w:gridSpan w:val="3"/>
            <w:noWrap w:val="0"/>
            <w:vAlign w:val="center"/>
          </w:tcPr>
          <w:p w14:paraId="62E682FB">
            <w:pPr>
              <w:widowControl w:val="0"/>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rPr>
              <w:t>（一）商务部分</w:t>
            </w:r>
          </w:p>
        </w:tc>
      </w:tr>
      <w:tr w14:paraId="5D9B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1694" w:type="dxa"/>
            <w:noWrap w:val="0"/>
            <w:vAlign w:val="center"/>
          </w:tcPr>
          <w:p w14:paraId="0B9A15AB">
            <w:pPr>
              <w:spacing w:line="240" w:lineRule="auto"/>
              <w:jc w:val="center"/>
              <w:rPr>
                <w:rFonts w:hint="eastAsia" w:ascii="宋体" w:hAnsi="宋体" w:eastAsia="Times New Roman" w:cs="宋体"/>
                <w:color w:val="auto"/>
                <w:kern w:val="0"/>
                <w:sz w:val="24"/>
                <w:szCs w:val="24"/>
                <w:highlight w:val="none"/>
                <w:lang w:val="zh-CN" w:eastAsia="zh-CN" w:bidi="ar-SA"/>
              </w:rPr>
            </w:pPr>
            <w:r>
              <w:rPr>
                <w:rFonts w:hint="eastAsia" w:ascii="宋体" w:hAnsi="宋体" w:eastAsia="Times New Roman" w:cs="宋体"/>
                <w:color w:val="auto"/>
                <w:kern w:val="0"/>
                <w:sz w:val="24"/>
                <w:szCs w:val="24"/>
                <w:highlight w:val="none"/>
                <w:lang w:val="zh-CN" w:eastAsia="zh-CN" w:bidi="ar-SA"/>
              </w:rPr>
              <w:t>企业业绩</w:t>
            </w:r>
          </w:p>
        </w:tc>
        <w:tc>
          <w:tcPr>
            <w:tcW w:w="6513" w:type="dxa"/>
            <w:noWrap w:val="0"/>
            <w:vAlign w:val="center"/>
          </w:tcPr>
          <w:p w14:paraId="78DF2EE9">
            <w:p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zh-CN" w:eastAsia="zh-CN" w:bidi="ar-SA"/>
              </w:rPr>
              <w:t>供应商</w:t>
            </w:r>
            <w:r>
              <w:rPr>
                <w:rFonts w:hint="eastAsia" w:ascii="宋体" w:hAnsi="宋体" w:eastAsia="Times New Roman" w:cs="宋体"/>
                <w:color w:val="auto"/>
                <w:kern w:val="0"/>
                <w:sz w:val="24"/>
                <w:szCs w:val="24"/>
                <w:highlight w:val="none"/>
                <w:lang w:val="en-US" w:eastAsia="zh-CN" w:bidi="ar-SA"/>
              </w:rPr>
              <w:t>提供</w:t>
            </w:r>
            <w:r>
              <w:rPr>
                <w:rFonts w:hint="eastAsia" w:ascii="宋体" w:hAnsi="宋体" w:eastAsia="Times New Roman" w:cs="宋体"/>
                <w:color w:val="auto"/>
                <w:kern w:val="0"/>
                <w:sz w:val="24"/>
                <w:szCs w:val="24"/>
                <w:highlight w:val="none"/>
                <w:lang w:val="zh-CN" w:eastAsia="zh-CN" w:bidi="ar-SA"/>
              </w:rPr>
              <w:t>近三年（</w:t>
            </w:r>
            <w:r>
              <w:rPr>
                <w:rFonts w:hint="eastAsia" w:ascii="宋体" w:hAnsi="宋体" w:eastAsia="Times New Roman" w:cs="宋体"/>
                <w:color w:val="auto"/>
                <w:kern w:val="0"/>
                <w:sz w:val="24"/>
                <w:szCs w:val="24"/>
                <w:highlight w:val="none"/>
                <w:lang w:val="en-US" w:eastAsia="zh-CN" w:bidi="ar-SA"/>
              </w:rPr>
              <w:t>2022年6月至投标截止日止），以合同签订日期为准</w:t>
            </w:r>
            <w:r>
              <w:rPr>
                <w:rFonts w:hint="eastAsia" w:ascii="宋体" w:hAnsi="宋体" w:eastAsia="Times New Roman" w:cs="宋体"/>
                <w:color w:val="auto"/>
                <w:kern w:val="0"/>
                <w:sz w:val="24"/>
                <w:szCs w:val="24"/>
                <w:highlight w:val="none"/>
                <w:lang w:val="zh-CN" w:eastAsia="zh-CN" w:bidi="ar-SA"/>
              </w:rPr>
              <w:t>）</w:t>
            </w:r>
            <w:r>
              <w:rPr>
                <w:rFonts w:hint="eastAsia" w:ascii="宋体" w:hAnsi="宋体" w:eastAsia="Times New Roman" w:cs="宋体"/>
                <w:color w:val="auto"/>
                <w:kern w:val="0"/>
                <w:sz w:val="24"/>
                <w:szCs w:val="24"/>
                <w:highlight w:val="none"/>
                <w:lang w:val="en-US" w:eastAsia="zh-CN" w:bidi="ar-SA"/>
              </w:rPr>
              <w:t>完成的</w:t>
            </w:r>
            <w:r>
              <w:rPr>
                <w:rFonts w:hint="eastAsia" w:ascii="宋体" w:hAnsi="宋体" w:eastAsia="Times New Roman" w:cs="宋体"/>
                <w:color w:val="auto"/>
                <w:kern w:val="0"/>
                <w:sz w:val="24"/>
                <w:szCs w:val="24"/>
                <w:highlight w:val="none"/>
                <w:lang w:val="zh-CN" w:eastAsia="zh-CN" w:bidi="ar-SA"/>
              </w:rPr>
              <w:t>类似工程业绩，每提供一项业绩得</w:t>
            </w:r>
            <w:r>
              <w:rPr>
                <w:rFonts w:hint="eastAsia" w:ascii="宋体" w:hAnsi="宋体" w:eastAsia="Times New Roman" w:cs="宋体"/>
                <w:color w:val="auto"/>
                <w:kern w:val="0"/>
                <w:sz w:val="24"/>
                <w:szCs w:val="24"/>
                <w:highlight w:val="none"/>
                <w:lang w:val="en-US" w:eastAsia="zh-CN" w:bidi="ar-SA"/>
              </w:rPr>
              <w:t>1分，满分2分，不提供不得分；</w:t>
            </w:r>
          </w:p>
          <w:p w14:paraId="31AFA279">
            <w:pPr>
              <w:spacing w:line="240" w:lineRule="auto"/>
              <w:rPr>
                <w:rFonts w:hint="default"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注:提供上述项目的合同(要点包括签约时间、项目名称、金额和双方盖章)原件扫描件。否则该项业绩视为无效。</w:t>
            </w:r>
          </w:p>
        </w:tc>
        <w:tc>
          <w:tcPr>
            <w:tcW w:w="1059" w:type="dxa"/>
            <w:noWrap w:val="0"/>
            <w:vAlign w:val="center"/>
          </w:tcPr>
          <w:p w14:paraId="34A6C28E">
            <w:pPr>
              <w:widowControl w:val="0"/>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cs="宋体"/>
                <w:color w:val="auto"/>
                <w:sz w:val="24"/>
                <w:szCs w:val="24"/>
                <w:highlight w:val="none"/>
                <w:lang w:val="en-US" w:eastAsia="zh-CN"/>
              </w:rPr>
              <w:t>2</w:t>
            </w:r>
          </w:p>
        </w:tc>
      </w:tr>
      <w:tr w14:paraId="17B9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694" w:type="dxa"/>
            <w:noWrap w:val="0"/>
            <w:vAlign w:val="center"/>
          </w:tcPr>
          <w:p w14:paraId="251FD068">
            <w:pPr>
              <w:spacing w:line="240" w:lineRule="auto"/>
              <w:jc w:val="center"/>
              <w:rPr>
                <w:rFonts w:hint="default" w:ascii="宋体" w:hAnsi="宋体" w:eastAsia="Times New Roman"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zh-CN" w:eastAsia="zh-CN"/>
              </w:rPr>
              <w:t>项目管理人员</w:t>
            </w:r>
          </w:p>
        </w:tc>
        <w:tc>
          <w:tcPr>
            <w:tcW w:w="6513" w:type="dxa"/>
            <w:noWrap w:val="0"/>
            <w:vAlign w:val="center"/>
          </w:tcPr>
          <w:p w14:paraId="0B12EBD2">
            <w:pPr>
              <w:spacing w:line="240" w:lineRule="auto"/>
              <w:rPr>
                <w:rFonts w:hint="default"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zh-CN" w:eastAsia="zh-CN" w:bidi="ar-SA"/>
              </w:rPr>
              <w:t>项目管理人员</w:t>
            </w:r>
            <w:r>
              <w:rPr>
                <w:rFonts w:hint="eastAsia" w:ascii="宋体" w:hAnsi="宋体" w:eastAsia="Times New Roman" w:cs="宋体"/>
                <w:color w:val="auto"/>
                <w:kern w:val="0"/>
                <w:sz w:val="24"/>
                <w:szCs w:val="24"/>
                <w:highlight w:val="none"/>
                <w:lang w:val="en-US" w:eastAsia="zh-CN" w:bidi="ar-SA"/>
              </w:rPr>
              <w:t>满足本项目要求，满足得</w:t>
            </w:r>
            <w:r>
              <w:rPr>
                <w:rFonts w:hint="eastAsia" w:ascii="宋体" w:hAnsi="宋体" w:cs="宋体"/>
                <w:color w:val="auto"/>
                <w:sz w:val="24"/>
                <w:szCs w:val="24"/>
                <w:highlight w:val="none"/>
                <w:lang w:val="en-US" w:eastAsia="zh-CN"/>
              </w:rPr>
              <w:t>5分，否则不得分；</w:t>
            </w:r>
          </w:p>
        </w:tc>
        <w:tc>
          <w:tcPr>
            <w:tcW w:w="1059" w:type="dxa"/>
            <w:noWrap w:val="0"/>
            <w:vAlign w:val="center"/>
          </w:tcPr>
          <w:p w14:paraId="64D584B2">
            <w:pPr>
              <w:widowControl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14:paraId="65CC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9266" w:type="dxa"/>
            <w:gridSpan w:val="3"/>
            <w:noWrap w:val="0"/>
            <w:vAlign w:val="center"/>
          </w:tcPr>
          <w:p w14:paraId="11104780">
            <w:pPr>
              <w:widowControl w:val="0"/>
              <w:spacing w:line="360" w:lineRule="auto"/>
              <w:jc w:val="center"/>
              <w:rPr>
                <w:rFonts w:hint="eastAsia" w:ascii="宋体" w:hAnsi="宋体" w:cs="宋体"/>
                <w:color w:val="0000FF"/>
                <w:sz w:val="24"/>
                <w:szCs w:val="24"/>
                <w:highlight w:val="yellow"/>
              </w:rPr>
            </w:pPr>
            <w:r>
              <w:rPr>
                <w:rFonts w:hint="eastAsia" w:ascii="宋体" w:hAnsi="宋体" w:cs="宋体"/>
                <w:b/>
                <w:bCs/>
                <w:color w:val="auto"/>
                <w:sz w:val="24"/>
                <w:szCs w:val="24"/>
                <w:highlight w:val="none"/>
              </w:rPr>
              <w:t>（二）技术部分</w:t>
            </w:r>
          </w:p>
        </w:tc>
      </w:tr>
      <w:tr w14:paraId="06A1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694" w:type="dxa"/>
            <w:noWrap w:val="0"/>
            <w:vAlign w:val="center"/>
          </w:tcPr>
          <w:p w14:paraId="06F23E65">
            <w:pPr>
              <w:spacing w:line="240" w:lineRule="auto"/>
              <w:jc w:val="center"/>
              <w:rPr>
                <w:rFonts w:hint="eastAsia" w:ascii="宋体" w:hAnsi="宋体" w:eastAsia="Times New Roman" w:cs="宋体"/>
                <w:color w:val="auto"/>
                <w:kern w:val="0"/>
                <w:sz w:val="24"/>
                <w:szCs w:val="24"/>
                <w:highlight w:val="none"/>
                <w:lang w:val="en-US" w:eastAsia="en-US" w:bidi="ar-SA"/>
              </w:rPr>
            </w:pPr>
            <w:r>
              <w:rPr>
                <w:rFonts w:hint="eastAsia" w:ascii="宋体" w:hAnsi="宋体" w:eastAsia="Times New Roman" w:cs="宋体"/>
                <w:color w:val="auto"/>
                <w:kern w:val="0"/>
                <w:sz w:val="24"/>
                <w:szCs w:val="24"/>
                <w:highlight w:val="none"/>
                <w:lang w:val="en-US" w:eastAsia="en-US" w:bidi="ar-SA"/>
              </w:rPr>
              <w:t>总体施工组</w:t>
            </w:r>
          </w:p>
          <w:p w14:paraId="0461E50F">
            <w:p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en-US" w:bidi="ar-SA"/>
              </w:rPr>
              <w:t>织布置及规划</w:t>
            </w:r>
          </w:p>
        </w:tc>
        <w:tc>
          <w:tcPr>
            <w:tcW w:w="6513" w:type="dxa"/>
            <w:noWrap w:val="0"/>
            <w:vAlign w:val="center"/>
          </w:tcPr>
          <w:p w14:paraId="598F390F">
            <w:pPr>
              <w:numPr>
                <w:ilvl w:val="0"/>
                <w:numId w:val="0"/>
              </w:numPr>
              <w:spacing w:line="24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lang w:val="en-US" w:eastAsia="zh-CN" w:bidi="ar-SA"/>
              </w:rPr>
              <w:t>1.</w:t>
            </w:r>
            <w:r>
              <w:rPr>
                <w:rFonts w:hint="eastAsia" w:ascii="宋体" w:hAnsi="宋体" w:eastAsia="Times New Roman" w:cs="宋体"/>
                <w:color w:val="auto"/>
                <w:kern w:val="0"/>
                <w:sz w:val="24"/>
                <w:szCs w:val="24"/>
                <w:highlight w:val="none"/>
                <w:lang w:val="en-US" w:eastAsia="en-US" w:bidi="ar-SA"/>
              </w:rPr>
              <w:t>总体施工组织布置及规划</w:t>
            </w:r>
            <w:r>
              <w:rPr>
                <w:rFonts w:hint="eastAsia" w:ascii="宋体" w:hAnsi="宋体" w:eastAsia="宋体" w:cs="宋体"/>
                <w:color w:val="auto"/>
                <w:kern w:val="0"/>
                <w:sz w:val="24"/>
                <w:szCs w:val="24"/>
                <w:highlight w:val="none"/>
                <w:lang w:val="en-US" w:eastAsia="zh-CN" w:bidi="ar-SA"/>
              </w:rPr>
              <w:t>：</w:t>
            </w:r>
          </w:p>
          <w:p w14:paraId="57DB3044">
            <w:pPr>
              <w:numPr>
                <w:ilvl w:val="0"/>
                <w:numId w:val="0"/>
              </w:numPr>
              <w:spacing w:line="240" w:lineRule="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w:t>
            </w:r>
            <w:r>
              <w:rPr>
                <w:rFonts w:hint="eastAsia" w:ascii="宋体" w:hAnsi="宋体" w:eastAsia="Times New Roman" w:cs="宋体"/>
                <w:color w:val="auto"/>
                <w:kern w:val="0"/>
                <w:sz w:val="24"/>
                <w:szCs w:val="24"/>
                <w:highlight w:val="none"/>
                <w:lang w:val="en-US" w:eastAsia="en-US" w:bidi="ar-SA"/>
              </w:rPr>
              <w:t>合理</w:t>
            </w:r>
            <w:r>
              <w:rPr>
                <w:rFonts w:hint="eastAsia" w:ascii="宋体" w:hAnsi="宋体" w:eastAsia="宋体" w:cs="宋体"/>
                <w:color w:val="auto"/>
                <w:kern w:val="0"/>
                <w:sz w:val="24"/>
                <w:szCs w:val="24"/>
                <w:highlight w:val="none"/>
                <w:lang w:val="en-US" w:eastAsia="zh-CN" w:bidi="ar-SA"/>
              </w:rPr>
              <w:t>且可行，</w:t>
            </w:r>
            <w:r>
              <w:rPr>
                <w:rFonts w:hint="eastAsia" w:ascii="宋体" w:hAnsi="宋体" w:eastAsia="Times New Roman" w:cs="宋体"/>
                <w:color w:val="auto"/>
                <w:kern w:val="0"/>
                <w:sz w:val="24"/>
                <w:szCs w:val="24"/>
                <w:highlight w:val="none"/>
                <w:lang w:val="en-US" w:eastAsia="en-US" w:bidi="ar-SA"/>
              </w:rPr>
              <w:t>得</w:t>
            </w:r>
            <w:r>
              <w:rPr>
                <w:rFonts w:hint="eastAsia" w:ascii="宋体" w:hAnsi="宋体" w:eastAsia="宋体" w:cs="宋体"/>
                <w:color w:val="auto"/>
                <w:kern w:val="0"/>
                <w:sz w:val="24"/>
                <w:szCs w:val="24"/>
                <w:highlight w:val="none"/>
                <w:lang w:val="en-US" w:eastAsia="zh-CN" w:bidi="ar-SA"/>
              </w:rPr>
              <w:t>4</w:t>
            </w:r>
            <w:r>
              <w:rPr>
                <w:rFonts w:hint="eastAsia" w:ascii="宋体" w:hAnsi="宋体" w:eastAsia="Times New Roman" w:cs="宋体"/>
                <w:color w:val="auto"/>
                <w:kern w:val="0"/>
                <w:sz w:val="24"/>
                <w:szCs w:val="24"/>
                <w:highlight w:val="none"/>
                <w:lang w:val="en-US" w:eastAsia="en-US" w:bidi="ar-SA"/>
              </w:rPr>
              <w:t>分；</w:t>
            </w:r>
            <w:r>
              <w:rPr>
                <w:rFonts w:hint="eastAsia" w:ascii="宋体" w:hAnsi="宋体" w:eastAsia="宋体" w:cs="宋体"/>
                <w:color w:val="auto"/>
                <w:kern w:val="0"/>
                <w:sz w:val="24"/>
                <w:szCs w:val="24"/>
                <w:highlight w:val="none"/>
                <w:lang w:val="en-US" w:eastAsia="zh-CN" w:bidi="ar-SA"/>
              </w:rPr>
              <w:t>②不够</w:t>
            </w:r>
            <w:r>
              <w:rPr>
                <w:rFonts w:hint="eastAsia" w:ascii="宋体" w:hAnsi="宋体" w:eastAsia="Times New Roman" w:cs="宋体"/>
                <w:color w:val="auto"/>
                <w:kern w:val="0"/>
                <w:sz w:val="24"/>
                <w:szCs w:val="24"/>
                <w:highlight w:val="none"/>
                <w:lang w:val="en-US" w:eastAsia="en-US" w:bidi="ar-SA"/>
              </w:rPr>
              <w:t>合理</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可行</w:t>
            </w:r>
            <w:r>
              <w:rPr>
                <w:rFonts w:hint="eastAsia" w:ascii="宋体" w:hAnsi="宋体" w:cs="宋体"/>
                <w:color w:val="auto"/>
                <w:kern w:val="0"/>
                <w:sz w:val="24"/>
                <w:szCs w:val="24"/>
                <w:highlight w:val="none"/>
                <w:lang w:val="en-US" w:eastAsia="zh-CN" w:bidi="ar-SA"/>
              </w:rPr>
              <w:t>性不强</w:t>
            </w:r>
            <w:r>
              <w:rPr>
                <w:rFonts w:hint="eastAsia" w:ascii="宋体" w:hAnsi="宋体" w:eastAsia="宋体" w:cs="宋体"/>
                <w:color w:val="auto"/>
                <w:kern w:val="0"/>
                <w:sz w:val="24"/>
                <w:szCs w:val="24"/>
                <w:highlight w:val="none"/>
                <w:lang w:val="en-US" w:eastAsia="zh-CN" w:bidi="ar-SA"/>
              </w:rPr>
              <w:t>，</w:t>
            </w:r>
            <w:r>
              <w:rPr>
                <w:rFonts w:hint="eastAsia" w:ascii="宋体" w:hAnsi="宋体" w:eastAsia="Times New Roman" w:cs="宋体"/>
                <w:color w:val="auto"/>
                <w:kern w:val="0"/>
                <w:sz w:val="24"/>
                <w:szCs w:val="24"/>
                <w:highlight w:val="none"/>
                <w:lang w:val="en-US" w:eastAsia="en-US" w:bidi="ar-SA"/>
              </w:rPr>
              <w:t>得</w:t>
            </w:r>
            <w:r>
              <w:rPr>
                <w:rFonts w:hint="eastAsia" w:ascii="宋体" w:hAnsi="宋体" w:eastAsia="宋体" w:cs="宋体"/>
                <w:color w:val="auto"/>
                <w:kern w:val="0"/>
                <w:sz w:val="24"/>
                <w:szCs w:val="24"/>
                <w:highlight w:val="none"/>
                <w:lang w:val="en-US" w:eastAsia="zh-CN" w:bidi="ar-SA"/>
              </w:rPr>
              <w:t>2</w:t>
            </w:r>
            <w:r>
              <w:rPr>
                <w:rFonts w:hint="eastAsia" w:ascii="宋体" w:hAnsi="宋体" w:eastAsia="Times New Roman" w:cs="宋体"/>
                <w:color w:val="auto"/>
                <w:kern w:val="0"/>
                <w:sz w:val="24"/>
                <w:szCs w:val="24"/>
                <w:highlight w:val="none"/>
                <w:lang w:val="en-US" w:eastAsia="en-US" w:bidi="ar-SA"/>
              </w:rPr>
              <w:t>分；</w:t>
            </w:r>
            <w:r>
              <w:rPr>
                <w:rFonts w:hint="eastAsia" w:ascii="宋体" w:hAnsi="宋体" w:eastAsia="宋体" w:cs="宋体"/>
                <w:color w:val="auto"/>
                <w:kern w:val="0"/>
                <w:sz w:val="24"/>
                <w:szCs w:val="24"/>
                <w:highlight w:val="none"/>
                <w:lang w:val="en-US" w:eastAsia="zh-CN" w:bidi="ar-SA"/>
              </w:rPr>
              <w:t>③不合理、不可行或不提供，不得分；</w:t>
            </w:r>
          </w:p>
          <w:p w14:paraId="19AA781A">
            <w:pPr>
              <w:spacing w:line="24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en-US" w:bidi="ar-SA"/>
              </w:rPr>
              <w:t>2.施工总平面图布置</w:t>
            </w:r>
            <w:r>
              <w:rPr>
                <w:rFonts w:hint="eastAsia" w:ascii="宋体" w:hAnsi="宋体" w:eastAsia="宋体" w:cs="宋体"/>
                <w:color w:val="auto"/>
                <w:kern w:val="0"/>
                <w:sz w:val="24"/>
                <w:szCs w:val="24"/>
                <w:highlight w:val="none"/>
                <w:lang w:val="en-US" w:eastAsia="zh-CN" w:bidi="ar-SA"/>
              </w:rPr>
              <w:t>：</w:t>
            </w:r>
          </w:p>
          <w:p w14:paraId="389B4AC2">
            <w:pPr>
              <w:numPr>
                <w:ilvl w:val="0"/>
                <w:numId w:val="0"/>
              </w:num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w:t>
            </w:r>
            <w:r>
              <w:rPr>
                <w:rFonts w:hint="eastAsia" w:ascii="宋体" w:hAnsi="宋体" w:eastAsia="Times New Roman" w:cs="宋体"/>
                <w:color w:val="auto"/>
                <w:kern w:val="0"/>
                <w:sz w:val="24"/>
                <w:szCs w:val="24"/>
                <w:highlight w:val="none"/>
                <w:lang w:val="en-US" w:eastAsia="en-US" w:bidi="ar-SA"/>
              </w:rPr>
              <w:t>合理</w:t>
            </w:r>
            <w:r>
              <w:rPr>
                <w:rFonts w:hint="eastAsia" w:ascii="宋体" w:hAnsi="宋体" w:eastAsia="宋体" w:cs="宋体"/>
                <w:color w:val="auto"/>
                <w:kern w:val="0"/>
                <w:sz w:val="24"/>
                <w:szCs w:val="24"/>
                <w:highlight w:val="none"/>
                <w:lang w:val="en-US" w:eastAsia="zh-CN" w:bidi="ar-SA"/>
              </w:rPr>
              <w:t>且可行，</w:t>
            </w:r>
            <w:r>
              <w:rPr>
                <w:rFonts w:hint="eastAsia" w:ascii="宋体" w:hAnsi="宋体" w:eastAsia="Times New Roman" w:cs="宋体"/>
                <w:color w:val="auto"/>
                <w:kern w:val="0"/>
                <w:sz w:val="24"/>
                <w:szCs w:val="24"/>
                <w:highlight w:val="none"/>
                <w:lang w:val="en-US" w:eastAsia="en-US" w:bidi="ar-SA"/>
              </w:rPr>
              <w:t>得</w:t>
            </w:r>
            <w:r>
              <w:rPr>
                <w:rFonts w:hint="eastAsia" w:ascii="宋体" w:hAnsi="宋体" w:eastAsia="宋体" w:cs="宋体"/>
                <w:color w:val="auto"/>
                <w:kern w:val="0"/>
                <w:sz w:val="24"/>
                <w:szCs w:val="24"/>
                <w:highlight w:val="none"/>
                <w:lang w:val="en-US" w:eastAsia="zh-CN" w:bidi="ar-SA"/>
              </w:rPr>
              <w:t>4</w:t>
            </w:r>
            <w:r>
              <w:rPr>
                <w:rFonts w:hint="eastAsia" w:ascii="宋体" w:hAnsi="宋体" w:eastAsia="Times New Roman" w:cs="宋体"/>
                <w:color w:val="auto"/>
                <w:kern w:val="0"/>
                <w:sz w:val="24"/>
                <w:szCs w:val="24"/>
                <w:highlight w:val="none"/>
                <w:lang w:val="en-US" w:eastAsia="en-US" w:bidi="ar-SA"/>
              </w:rPr>
              <w:t>分；</w:t>
            </w:r>
            <w:r>
              <w:rPr>
                <w:rFonts w:hint="eastAsia" w:ascii="宋体" w:hAnsi="宋体" w:eastAsia="宋体" w:cs="宋体"/>
                <w:color w:val="auto"/>
                <w:kern w:val="0"/>
                <w:sz w:val="24"/>
                <w:szCs w:val="24"/>
                <w:highlight w:val="none"/>
                <w:lang w:val="en-US" w:eastAsia="zh-CN" w:bidi="ar-SA"/>
              </w:rPr>
              <w:t>②不够</w:t>
            </w:r>
            <w:r>
              <w:rPr>
                <w:rFonts w:hint="eastAsia" w:ascii="宋体" w:hAnsi="宋体" w:eastAsia="Times New Roman" w:cs="宋体"/>
                <w:color w:val="auto"/>
                <w:kern w:val="0"/>
                <w:sz w:val="24"/>
                <w:szCs w:val="24"/>
                <w:highlight w:val="none"/>
                <w:lang w:val="en-US" w:eastAsia="en-US" w:bidi="ar-SA"/>
              </w:rPr>
              <w:t>合理</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可行</w:t>
            </w:r>
            <w:r>
              <w:rPr>
                <w:rFonts w:hint="eastAsia" w:ascii="宋体" w:hAnsi="宋体" w:cs="宋体"/>
                <w:color w:val="auto"/>
                <w:kern w:val="0"/>
                <w:sz w:val="24"/>
                <w:szCs w:val="24"/>
                <w:highlight w:val="none"/>
                <w:lang w:val="en-US" w:eastAsia="zh-CN" w:bidi="ar-SA"/>
              </w:rPr>
              <w:t>性不强</w:t>
            </w:r>
            <w:r>
              <w:rPr>
                <w:rFonts w:hint="eastAsia" w:ascii="宋体" w:hAnsi="宋体" w:eastAsia="宋体" w:cs="宋体"/>
                <w:color w:val="auto"/>
                <w:kern w:val="0"/>
                <w:sz w:val="24"/>
                <w:szCs w:val="24"/>
                <w:highlight w:val="none"/>
                <w:lang w:val="en-US" w:eastAsia="zh-CN" w:bidi="ar-SA"/>
              </w:rPr>
              <w:t>，</w:t>
            </w:r>
            <w:r>
              <w:rPr>
                <w:rFonts w:hint="eastAsia" w:ascii="宋体" w:hAnsi="宋体" w:eastAsia="Times New Roman" w:cs="宋体"/>
                <w:color w:val="auto"/>
                <w:kern w:val="0"/>
                <w:sz w:val="24"/>
                <w:szCs w:val="24"/>
                <w:highlight w:val="none"/>
                <w:lang w:val="en-US" w:eastAsia="en-US" w:bidi="ar-SA"/>
              </w:rPr>
              <w:t>得</w:t>
            </w:r>
            <w:r>
              <w:rPr>
                <w:rFonts w:hint="eastAsia" w:ascii="宋体" w:hAnsi="宋体" w:eastAsia="宋体" w:cs="宋体"/>
                <w:color w:val="auto"/>
                <w:kern w:val="0"/>
                <w:sz w:val="24"/>
                <w:szCs w:val="24"/>
                <w:highlight w:val="none"/>
                <w:lang w:val="en-US" w:eastAsia="zh-CN" w:bidi="ar-SA"/>
              </w:rPr>
              <w:t>2</w:t>
            </w:r>
            <w:r>
              <w:rPr>
                <w:rFonts w:hint="eastAsia" w:ascii="宋体" w:hAnsi="宋体" w:eastAsia="Times New Roman" w:cs="宋体"/>
                <w:color w:val="auto"/>
                <w:kern w:val="0"/>
                <w:sz w:val="24"/>
                <w:szCs w:val="24"/>
                <w:highlight w:val="none"/>
                <w:lang w:val="en-US" w:eastAsia="en-US" w:bidi="ar-SA"/>
              </w:rPr>
              <w:t>分；</w:t>
            </w:r>
            <w:r>
              <w:rPr>
                <w:rFonts w:hint="eastAsia" w:ascii="宋体" w:hAnsi="宋体" w:eastAsia="宋体" w:cs="宋体"/>
                <w:color w:val="auto"/>
                <w:kern w:val="0"/>
                <w:sz w:val="24"/>
                <w:szCs w:val="24"/>
                <w:highlight w:val="none"/>
                <w:lang w:val="en-US" w:eastAsia="zh-CN" w:bidi="ar-SA"/>
              </w:rPr>
              <w:t>③不合理、不可行或不提供，不得分；</w:t>
            </w:r>
          </w:p>
        </w:tc>
        <w:tc>
          <w:tcPr>
            <w:tcW w:w="1059" w:type="dxa"/>
            <w:noWrap w:val="0"/>
            <w:vAlign w:val="center"/>
          </w:tcPr>
          <w:p w14:paraId="63A1BC80">
            <w:pPr>
              <w:widowControl w:val="0"/>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r>
      <w:tr w14:paraId="55D59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1694" w:type="dxa"/>
            <w:noWrap w:val="0"/>
            <w:vAlign w:val="center"/>
          </w:tcPr>
          <w:p w14:paraId="6D4AB71C">
            <w:pPr>
              <w:widowControl w:val="0"/>
              <w:rPr>
                <w:rFonts w:hint="eastAsia" w:ascii="宋体" w:hAnsi="宋体" w:cs="宋体"/>
                <w:color w:val="auto"/>
                <w:sz w:val="24"/>
                <w:szCs w:val="24"/>
                <w:highlight w:val="none"/>
              </w:rPr>
            </w:pPr>
            <w:r>
              <w:rPr>
                <w:rFonts w:hint="eastAsia" w:ascii="宋体" w:hAnsi="宋体" w:eastAsia="Times New Roman" w:cs="宋体"/>
                <w:color w:val="auto"/>
                <w:kern w:val="0"/>
                <w:sz w:val="24"/>
                <w:szCs w:val="24"/>
                <w:highlight w:val="none"/>
                <w:lang w:val="en-US" w:eastAsia="en-US" w:bidi="ar-SA"/>
              </w:rPr>
              <w:t>主要工程项目的施工方案、方法与技术措施</w:t>
            </w:r>
          </w:p>
        </w:tc>
        <w:tc>
          <w:tcPr>
            <w:tcW w:w="6513" w:type="dxa"/>
            <w:noWrap w:val="0"/>
            <w:vAlign w:val="center"/>
          </w:tcPr>
          <w:p w14:paraId="5E42F3AC">
            <w:pPr>
              <w:numPr>
                <w:ilvl w:val="0"/>
                <w:numId w:val="0"/>
              </w:num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lang w:val="en-US" w:eastAsia="zh-CN" w:bidi="ar-SA"/>
              </w:rPr>
              <w:t>1.</w:t>
            </w:r>
            <w:r>
              <w:rPr>
                <w:rFonts w:hint="eastAsia" w:ascii="宋体" w:hAnsi="宋体" w:eastAsia="Times New Roman" w:cs="宋体"/>
                <w:color w:val="auto"/>
                <w:kern w:val="0"/>
                <w:sz w:val="24"/>
                <w:szCs w:val="24"/>
                <w:highlight w:val="none"/>
                <w:lang w:val="en-US" w:eastAsia="zh-CN" w:bidi="ar-SA"/>
              </w:rPr>
              <w:t>施工方法：</w:t>
            </w:r>
            <w:r>
              <w:rPr>
                <w:rFonts w:hint="eastAsia" w:ascii="宋体" w:hAnsi="宋体" w:eastAsia="宋体" w:cs="宋体"/>
                <w:color w:val="auto"/>
                <w:kern w:val="0"/>
                <w:sz w:val="24"/>
                <w:szCs w:val="24"/>
                <w:highlight w:val="none"/>
                <w:lang w:val="en-US" w:eastAsia="zh-CN" w:bidi="ar-SA"/>
              </w:rPr>
              <w:t>①</w:t>
            </w:r>
            <w:r>
              <w:rPr>
                <w:rFonts w:hint="eastAsia" w:ascii="宋体" w:hAnsi="宋体" w:cs="宋体"/>
                <w:color w:val="auto"/>
                <w:kern w:val="0"/>
                <w:sz w:val="24"/>
                <w:szCs w:val="24"/>
                <w:highlight w:val="none"/>
                <w:lang w:val="en-US" w:eastAsia="zh-CN" w:bidi="ar-SA"/>
              </w:rPr>
              <w:t>施工</w:t>
            </w:r>
            <w:r>
              <w:rPr>
                <w:rFonts w:hint="eastAsia" w:ascii="宋体" w:hAnsi="宋体" w:eastAsia="Times New Roman" w:cs="宋体"/>
                <w:color w:val="auto"/>
                <w:kern w:val="0"/>
                <w:sz w:val="24"/>
                <w:szCs w:val="24"/>
                <w:highlight w:val="none"/>
                <w:lang w:val="en-US" w:eastAsia="zh-CN" w:bidi="ar-SA"/>
              </w:rPr>
              <w:t>方法先进，得6分；</w:t>
            </w:r>
            <w:r>
              <w:rPr>
                <w:rFonts w:hint="eastAsia" w:ascii="宋体" w:hAnsi="宋体" w:eastAsia="宋体" w:cs="宋体"/>
                <w:color w:val="auto"/>
                <w:kern w:val="0"/>
                <w:sz w:val="24"/>
                <w:szCs w:val="24"/>
                <w:highlight w:val="none"/>
                <w:lang w:val="en-US" w:eastAsia="zh-CN" w:bidi="ar-SA"/>
              </w:rPr>
              <w:t>②</w:t>
            </w:r>
            <w:r>
              <w:rPr>
                <w:rFonts w:hint="eastAsia" w:ascii="宋体" w:hAnsi="宋体" w:eastAsia="Times New Roman" w:cs="宋体"/>
                <w:color w:val="auto"/>
                <w:kern w:val="0"/>
                <w:sz w:val="24"/>
                <w:szCs w:val="24"/>
                <w:highlight w:val="none"/>
                <w:lang w:val="en-US" w:eastAsia="zh-CN" w:bidi="ar-SA"/>
              </w:rPr>
              <w:t>施工方法一般，得3分；</w:t>
            </w:r>
            <w:r>
              <w:rPr>
                <w:rFonts w:hint="eastAsia" w:ascii="宋体" w:hAnsi="宋体" w:eastAsia="宋体" w:cs="宋体"/>
                <w:color w:val="auto"/>
                <w:kern w:val="0"/>
                <w:sz w:val="24"/>
                <w:szCs w:val="24"/>
                <w:highlight w:val="none"/>
                <w:lang w:val="en-US" w:eastAsia="zh-CN" w:bidi="ar-SA"/>
              </w:rPr>
              <w:t>③</w:t>
            </w:r>
            <w:r>
              <w:rPr>
                <w:rFonts w:hint="eastAsia" w:ascii="宋体" w:hAnsi="宋体" w:eastAsia="Times New Roman" w:cs="宋体"/>
                <w:color w:val="auto"/>
                <w:kern w:val="0"/>
                <w:sz w:val="24"/>
                <w:szCs w:val="24"/>
                <w:highlight w:val="none"/>
                <w:lang w:val="en-US" w:eastAsia="zh-CN" w:bidi="ar-SA"/>
              </w:rPr>
              <w:t>施工方法与项目不符合或不提供，不得分。</w:t>
            </w:r>
          </w:p>
          <w:p w14:paraId="3955FC12">
            <w:pPr>
              <w:numPr>
                <w:ilvl w:val="0"/>
                <w:numId w:val="0"/>
              </w:num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lang w:val="en-US" w:eastAsia="zh-CN" w:bidi="ar-SA"/>
              </w:rPr>
              <w:t>2.</w:t>
            </w:r>
            <w:r>
              <w:rPr>
                <w:rFonts w:hint="eastAsia" w:ascii="宋体" w:hAnsi="宋体" w:eastAsia="Times New Roman" w:cs="宋体"/>
                <w:color w:val="auto"/>
                <w:kern w:val="0"/>
                <w:sz w:val="24"/>
                <w:szCs w:val="24"/>
                <w:highlight w:val="none"/>
                <w:lang w:val="en-US" w:eastAsia="zh-CN" w:bidi="ar-SA"/>
              </w:rPr>
              <w:t>采用新工艺、新技术、新设备,得3分，没有不得分。</w:t>
            </w:r>
          </w:p>
          <w:p w14:paraId="1FBD6083">
            <w:pPr>
              <w:numPr>
                <w:ilvl w:val="0"/>
                <w:numId w:val="0"/>
              </w:num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lang w:val="en-US" w:eastAsia="zh-CN" w:bidi="ar-SA"/>
              </w:rPr>
              <w:t>3.</w:t>
            </w:r>
            <w:r>
              <w:rPr>
                <w:rFonts w:hint="eastAsia" w:ascii="宋体" w:hAnsi="宋体" w:eastAsia="Times New Roman" w:cs="宋体"/>
                <w:color w:val="auto"/>
                <w:kern w:val="0"/>
                <w:sz w:val="24"/>
                <w:szCs w:val="24"/>
                <w:highlight w:val="none"/>
                <w:lang w:val="en-US" w:eastAsia="zh-CN" w:bidi="ar-SA"/>
              </w:rPr>
              <w:t>主要工程项目的施工方案：①施工方案齐全，措施计划详尽，得4分；②施工方案及措施计划一般，得2分；③施工方案及措施计划与项目不符合或不提供，不得分。</w:t>
            </w:r>
          </w:p>
          <w:p w14:paraId="7606B3FC">
            <w:pPr>
              <w:numPr>
                <w:ilvl w:val="0"/>
                <w:numId w:val="0"/>
              </w:numPr>
              <w:spacing w:line="240" w:lineRule="auto"/>
              <w:rPr>
                <w:rFonts w:hint="eastAsia" w:ascii="宋体" w:hAnsi="宋体" w:eastAsia="宋体" w:cs="宋体"/>
                <w:color w:val="auto"/>
                <w:sz w:val="24"/>
                <w:szCs w:val="24"/>
                <w:highlight w:val="none"/>
                <w:lang w:val="en-US" w:eastAsia="zh-CN"/>
              </w:rPr>
            </w:pPr>
            <w:r>
              <w:rPr>
                <w:rFonts w:hint="eastAsia" w:ascii="宋体" w:hAnsi="宋体" w:eastAsia="Times New Roman" w:cs="宋体"/>
                <w:color w:val="auto"/>
                <w:kern w:val="0"/>
                <w:sz w:val="24"/>
                <w:szCs w:val="24"/>
                <w:highlight w:val="none"/>
                <w:lang w:val="en-US" w:eastAsia="zh-CN" w:bidi="ar-SA"/>
              </w:rPr>
              <w:t>4.国家强制性条文：①</w:t>
            </w:r>
            <w:r>
              <w:rPr>
                <w:rFonts w:hint="eastAsia" w:ascii="宋体" w:hAnsi="宋体" w:eastAsia="Times New Roman" w:cs="宋体"/>
                <w:color w:val="auto"/>
                <w:kern w:val="0"/>
                <w:sz w:val="24"/>
                <w:szCs w:val="24"/>
                <w:highlight w:val="none"/>
                <w:lang w:val="en-US" w:eastAsia="en-US" w:bidi="ar-SA"/>
              </w:rPr>
              <w:t>执行国家强制性条文、有切实可行的保证措施</w:t>
            </w:r>
            <w:r>
              <w:rPr>
                <w:rFonts w:hint="eastAsia" w:ascii="宋体" w:hAnsi="宋体" w:eastAsia="Times New Roman" w:cs="宋体"/>
                <w:color w:val="auto"/>
                <w:kern w:val="0"/>
                <w:sz w:val="24"/>
                <w:szCs w:val="24"/>
                <w:highlight w:val="none"/>
                <w:lang w:val="en-US" w:eastAsia="zh-CN" w:bidi="ar-SA"/>
              </w:rPr>
              <w:t>，</w:t>
            </w:r>
            <w:r>
              <w:rPr>
                <w:rFonts w:hint="eastAsia" w:ascii="宋体" w:hAnsi="宋体" w:eastAsia="Times New Roman" w:cs="宋体"/>
                <w:color w:val="auto"/>
                <w:kern w:val="0"/>
                <w:sz w:val="24"/>
                <w:szCs w:val="24"/>
                <w:highlight w:val="none"/>
                <w:lang w:val="en-US" w:eastAsia="en-US" w:bidi="ar-SA"/>
              </w:rPr>
              <w:t>得2分</w:t>
            </w:r>
            <w:r>
              <w:rPr>
                <w:rFonts w:hint="eastAsia" w:ascii="宋体" w:hAnsi="宋体" w:eastAsia="Times New Roman" w:cs="宋体"/>
                <w:color w:val="auto"/>
                <w:kern w:val="0"/>
                <w:sz w:val="24"/>
                <w:szCs w:val="24"/>
                <w:highlight w:val="none"/>
                <w:lang w:val="en-US" w:eastAsia="zh-CN" w:bidi="ar-SA"/>
              </w:rPr>
              <w:t>；②不执行国家强制性条文或不提供切实可行的保证措</w:t>
            </w:r>
            <w:r>
              <w:rPr>
                <w:rFonts w:hint="eastAsia" w:ascii="宋体" w:hAnsi="宋体" w:eastAsia="宋体" w:cs="宋体"/>
                <w:color w:val="auto"/>
                <w:kern w:val="0"/>
                <w:sz w:val="24"/>
                <w:szCs w:val="24"/>
                <w:highlight w:val="none"/>
                <w:lang w:val="en-US" w:eastAsia="zh-CN" w:bidi="ar-SA"/>
              </w:rPr>
              <w:t>施，不得分。</w:t>
            </w:r>
          </w:p>
        </w:tc>
        <w:tc>
          <w:tcPr>
            <w:tcW w:w="1059" w:type="dxa"/>
            <w:noWrap w:val="0"/>
            <w:vAlign w:val="center"/>
          </w:tcPr>
          <w:p w14:paraId="1BDB9EA3">
            <w:pPr>
              <w:widowControl w:val="0"/>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r>
      <w:tr w14:paraId="2022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1694" w:type="dxa"/>
            <w:noWrap w:val="0"/>
            <w:vAlign w:val="center"/>
          </w:tcPr>
          <w:p w14:paraId="0D2C637B">
            <w:pPr>
              <w:numPr>
                <w:ilvl w:val="0"/>
                <w:numId w:val="0"/>
              </w:numPr>
              <w:spacing w:line="240" w:lineRule="auto"/>
              <w:jc w:val="center"/>
              <w:rPr>
                <w:rFonts w:hint="eastAsia" w:ascii="宋体" w:hAnsi="宋体" w:eastAsia="Times New Roman" w:cs="宋体"/>
                <w:color w:val="auto"/>
                <w:kern w:val="0"/>
                <w:sz w:val="24"/>
                <w:szCs w:val="24"/>
                <w:highlight w:val="none"/>
                <w:lang w:val="en-US" w:eastAsia="en-US" w:bidi="ar-SA"/>
              </w:rPr>
            </w:pPr>
            <w:r>
              <w:rPr>
                <w:rFonts w:hint="eastAsia" w:ascii="宋体" w:hAnsi="宋体" w:eastAsia="Times New Roman" w:cs="宋体"/>
                <w:color w:val="auto"/>
                <w:kern w:val="0"/>
                <w:sz w:val="24"/>
                <w:szCs w:val="24"/>
                <w:highlight w:val="none"/>
                <w:lang w:val="en-US" w:eastAsia="zh-CN" w:bidi="ar-SA"/>
              </w:rPr>
              <w:t>工期保证体系及保证措施</w:t>
            </w:r>
          </w:p>
        </w:tc>
        <w:tc>
          <w:tcPr>
            <w:tcW w:w="6513" w:type="dxa"/>
            <w:noWrap w:val="0"/>
            <w:vAlign w:val="center"/>
          </w:tcPr>
          <w:p w14:paraId="50107637">
            <w:pPr>
              <w:numPr>
                <w:ilvl w:val="0"/>
                <w:numId w:val="0"/>
              </w:num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lang w:val="en-US" w:eastAsia="zh-CN" w:bidi="ar-SA"/>
              </w:rPr>
              <w:t>（1）</w:t>
            </w:r>
            <w:r>
              <w:rPr>
                <w:rFonts w:hint="eastAsia" w:ascii="宋体" w:hAnsi="宋体" w:eastAsia="Times New Roman" w:cs="宋体"/>
                <w:color w:val="auto"/>
                <w:kern w:val="0"/>
                <w:sz w:val="24"/>
                <w:szCs w:val="24"/>
                <w:highlight w:val="none"/>
                <w:lang w:val="en-US" w:eastAsia="zh-CN" w:bidi="ar-SA"/>
              </w:rPr>
              <w:t>工期保证体系健全有效；</w:t>
            </w:r>
          </w:p>
          <w:p w14:paraId="5BFA4216">
            <w:pPr>
              <w:numPr>
                <w:ilvl w:val="0"/>
                <w:numId w:val="0"/>
              </w:num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lang w:val="en-US" w:eastAsia="zh-CN" w:bidi="ar-SA"/>
              </w:rPr>
              <w:t>（2）</w:t>
            </w:r>
            <w:r>
              <w:rPr>
                <w:rFonts w:hint="eastAsia" w:ascii="宋体" w:hAnsi="宋体" w:eastAsia="Times New Roman" w:cs="宋体"/>
                <w:color w:val="auto"/>
                <w:kern w:val="0"/>
                <w:sz w:val="24"/>
                <w:szCs w:val="24"/>
                <w:highlight w:val="none"/>
                <w:lang w:val="en-US" w:eastAsia="zh-CN" w:bidi="ar-SA"/>
              </w:rPr>
              <w:t>工期保证措施完善、可行；</w:t>
            </w:r>
          </w:p>
          <w:p w14:paraId="5919E8C7">
            <w:pPr>
              <w:widowControl w:val="0"/>
              <w:rPr>
                <w:rFonts w:hint="eastAsia" w:ascii="宋体" w:hAnsi="宋体" w:eastAsia="Times New Roman"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【以上内容满足一项得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分；最高得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p w14:paraId="2776147F">
            <w:pPr>
              <w:numPr>
                <w:ilvl w:val="0"/>
                <w:numId w:val="0"/>
              </w:num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w:t>
            </w:r>
            <w:r>
              <w:rPr>
                <w:rFonts w:hint="eastAsia" w:ascii="宋体" w:hAnsi="宋体" w:eastAsia="Times New Roman" w:cs="宋体"/>
                <w:color w:val="auto"/>
                <w:kern w:val="0"/>
                <w:sz w:val="24"/>
                <w:szCs w:val="24"/>
                <w:highlight w:val="none"/>
                <w:lang w:val="en-US" w:eastAsia="zh-CN" w:bidi="ar-SA"/>
              </w:rPr>
              <w:t>完全满足，每项得4分；</w:t>
            </w:r>
          </w:p>
          <w:p w14:paraId="3AB748C0">
            <w:pPr>
              <w:numPr>
                <w:ilvl w:val="0"/>
                <w:numId w:val="0"/>
              </w:num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②基本满足，每项得2.5分；</w:t>
            </w:r>
          </w:p>
          <w:p w14:paraId="07958B83">
            <w:pPr>
              <w:numPr>
                <w:ilvl w:val="0"/>
                <w:numId w:val="0"/>
              </w:num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③部分满足，但存在缺陷（或错误/瑕疵）的，每项得1分；</w:t>
            </w:r>
          </w:p>
          <w:p w14:paraId="75615129">
            <w:pPr>
              <w:numPr>
                <w:ilvl w:val="0"/>
                <w:numId w:val="0"/>
              </w:num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④不满足或未提供的，不得分。</w:t>
            </w:r>
          </w:p>
        </w:tc>
        <w:tc>
          <w:tcPr>
            <w:tcW w:w="1059" w:type="dxa"/>
            <w:noWrap w:val="0"/>
            <w:vAlign w:val="center"/>
          </w:tcPr>
          <w:p w14:paraId="08522381">
            <w:pPr>
              <w:numPr>
                <w:ilvl w:val="0"/>
                <w:numId w:val="0"/>
              </w:numPr>
              <w:spacing w:line="240" w:lineRule="auto"/>
              <w:jc w:val="center"/>
              <w:rPr>
                <w:rFonts w:hint="default"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8</w:t>
            </w:r>
          </w:p>
        </w:tc>
      </w:tr>
      <w:tr w14:paraId="1702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694" w:type="dxa"/>
            <w:noWrap w:val="0"/>
            <w:vAlign w:val="center"/>
          </w:tcPr>
          <w:p w14:paraId="705E3487">
            <w:pPr>
              <w:numPr>
                <w:ilvl w:val="0"/>
                <w:numId w:val="0"/>
              </w:numPr>
              <w:spacing w:line="240" w:lineRule="auto"/>
              <w:jc w:val="center"/>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工程质量</w:t>
            </w:r>
          </w:p>
          <w:p w14:paraId="5D8AA8E7">
            <w:pPr>
              <w:numPr>
                <w:ilvl w:val="0"/>
                <w:numId w:val="0"/>
              </w:numPr>
              <w:spacing w:line="240" w:lineRule="auto"/>
              <w:jc w:val="center"/>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管理体系</w:t>
            </w:r>
          </w:p>
          <w:p w14:paraId="4CDF4DFE">
            <w:pPr>
              <w:numPr>
                <w:ilvl w:val="0"/>
                <w:numId w:val="0"/>
              </w:numPr>
              <w:spacing w:line="240" w:lineRule="auto"/>
              <w:jc w:val="center"/>
              <w:rPr>
                <w:rFonts w:hint="eastAsia" w:ascii="宋体" w:hAnsi="宋体" w:eastAsia="Times New Roman" w:cs="宋体"/>
                <w:color w:val="auto"/>
                <w:kern w:val="0"/>
                <w:sz w:val="24"/>
                <w:szCs w:val="24"/>
                <w:highlight w:val="none"/>
                <w:lang w:val="en-US" w:eastAsia="en-US" w:bidi="ar-SA"/>
              </w:rPr>
            </w:pPr>
            <w:r>
              <w:rPr>
                <w:rFonts w:hint="eastAsia" w:ascii="宋体" w:hAnsi="宋体" w:eastAsia="Times New Roman" w:cs="宋体"/>
                <w:color w:val="auto"/>
                <w:kern w:val="0"/>
                <w:sz w:val="24"/>
                <w:szCs w:val="24"/>
                <w:highlight w:val="none"/>
                <w:lang w:val="en-US" w:eastAsia="zh-CN" w:bidi="ar-SA"/>
              </w:rPr>
              <w:t>及保证措施</w:t>
            </w:r>
          </w:p>
        </w:tc>
        <w:tc>
          <w:tcPr>
            <w:tcW w:w="6513" w:type="dxa"/>
            <w:noWrap w:val="0"/>
            <w:vAlign w:val="center"/>
          </w:tcPr>
          <w:p w14:paraId="7FBE6701">
            <w:pPr>
              <w:numPr>
                <w:ilvl w:val="0"/>
                <w:numId w:val="0"/>
              </w:num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lang w:val="en-US" w:eastAsia="zh-CN" w:bidi="ar-SA"/>
              </w:rPr>
              <w:t>（1）</w:t>
            </w:r>
            <w:r>
              <w:rPr>
                <w:rFonts w:hint="eastAsia" w:ascii="宋体" w:hAnsi="宋体" w:eastAsia="Times New Roman" w:cs="宋体"/>
                <w:color w:val="auto"/>
                <w:kern w:val="0"/>
                <w:sz w:val="24"/>
                <w:szCs w:val="24"/>
                <w:highlight w:val="none"/>
                <w:lang w:val="en-US" w:eastAsia="zh-CN" w:bidi="ar-SA"/>
              </w:rPr>
              <w:t>工程项目的质保体系健全；</w:t>
            </w:r>
          </w:p>
          <w:p w14:paraId="3166D09A">
            <w:pPr>
              <w:numPr>
                <w:ilvl w:val="0"/>
                <w:numId w:val="0"/>
              </w:num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lang w:val="en-US" w:eastAsia="en-US" w:bidi="ar-SA"/>
              </w:rPr>
              <w:t>（2）</w:t>
            </w:r>
            <w:r>
              <w:rPr>
                <w:rFonts w:hint="eastAsia" w:ascii="宋体" w:hAnsi="宋体" w:eastAsia="Times New Roman" w:cs="宋体"/>
                <w:color w:val="auto"/>
                <w:kern w:val="0"/>
                <w:sz w:val="24"/>
                <w:szCs w:val="24"/>
                <w:highlight w:val="none"/>
                <w:lang w:val="en-US" w:eastAsia="zh-CN" w:bidi="ar-SA"/>
              </w:rPr>
              <w:t>执行国家强制性条文、有切实可行的保证措施；</w:t>
            </w:r>
          </w:p>
          <w:p w14:paraId="1AB335E5">
            <w:pPr>
              <w:numPr>
                <w:ilvl w:val="0"/>
                <w:numId w:val="0"/>
              </w:numPr>
              <w:spacing w:line="240" w:lineRule="auto"/>
              <w:rPr>
                <w:rFonts w:hint="eastAsia" w:ascii="宋体" w:hAnsi="宋体" w:eastAsia="Times New Roman" w:cs="宋体"/>
                <w:color w:val="auto"/>
                <w:kern w:val="0"/>
                <w:sz w:val="24"/>
                <w:szCs w:val="24"/>
                <w:highlight w:val="none"/>
                <w:lang w:val="en-US" w:eastAsia="en-US" w:bidi="ar-SA"/>
              </w:rPr>
            </w:pPr>
            <w:r>
              <w:rPr>
                <w:rFonts w:hint="eastAsia" w:ascii="宋体" w:hAnsi="宋体" w:eastAsia="Times New Roman" w:cs="宋体"/>
                <w:color w:val="auto"/>
                <w:kern w:val="0"/>
                <w:sz w:val="24"/>
                <w:szCs w:val="24"/>
                <w:highlight w:val="none"/>
                <w:lang w:val="en-US" w:eastAsia="zh-CN" w:bidi="ar-SA"/>
              </w:rPr>
              <w:t>（3）制定了质量通病预防措施且措施可行；</w:t>
            </w:r>
          </w:p>
          <w:p w14:paraId="1E266D13">
            <w:pPr>
              <w:widowControl w:val="0"/>
              <w:rPr>
                <w:rFonts w:hint="eastAsia" w:ascii="宋体" w:hAnsi="宋体" w:eastAsia="Times New Roman"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【以上内容满足一项得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分；最高得</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分】</w:t>
            </w:r>
          </w:p>
          <w:p w14:paraId="14881B3A">
            <w:pPr>
              <w:numPr>
                <w:ilvl w:val="0"/>
                <w:numId w:val="0"/>
              </w:num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w:t>
            </w:r>
            <w:r>
              <w:rPr>
                <w:rFonts w:hint="eastAsia" w:ascii="宋体" w:hAnsi="宋体" w:eastAsia="Times New Roman" w:cs="宋体"/>
                <w:color w:val="auto"/>
                <w:kern w:val="0"/>
                <w:sz w:val="24"/>
                <w:szCs w:val="24"/>
                <w:highlight w:val="none"/>
                <w:lang w:val="en-US" w:eastAsia="zh-CN" w:bidi="ar-SA"/>
              </w:rPr>
              <w:t>完全满足，每项得3分；</w:t>
            </w:r>
          </w:p>
          <w:p w14:paraId="41B4414A">
            <w:pPr>
              <w:numPr>
                <w:ilvl w:val="0"/>
                <w:numId w:val="0"/>
              </w:num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②基本满足，每项得2分；</w:t>
            </w:r>
          </w:p>
          <w:p w14:paraId="546EB6C7">
            <w:pPr>
              <w:numPr>
                <w:ilvl w:val="0"/>
                <w:numId w:val="0"/>
              </w:num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③部分满足，但存在缺陷（或错误/瑕疵）的，每项得1分；</w:t>
            </w:r>
          </w:p>
          <w:p w14:paraId="4A50F1F0">
            <w:pPr>
              <w:numPr>
                <w:ilvl w:val="0"/>
                <w:numId w:val="0"/>
              </w:num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④不满足或未提供的，不得分。</w:t>
            </w:r>
          </w:p>
        </w:tc>
        <w:tc>
          <w:tcPr>
            <w:tcW w:w="1059" w:type="dxa"/>
            <w:noWrap w:val="0"/>
            <w:vAlign w:val="center"/>
          </w:tcPr>
          <w:p w14:paraId="01862415">
            <w:pPr>
              <w:numPr>
                <w:ilvl w:val="0"/>
                <w:numId w:val="0"/>
              </w:numPr>
              <w:spacing w:line="240" w:lineRule="auto"/>
              <w:jc w:val="center"/>
              <w:rPr>
                <w:rFonts w:hint="default"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9</w:t>
            </w:r>
          </w:p>
        </w:tc>
      </w:tr>
      <w:tr w14:paraId="76A7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1694" w:type="dxa"/>
            <w:noWrap w:val="0"/>
            <w:vAlign w:val="center"/>
          </w:tcPr>
          <w:p w14:paraId="30F3DD59">
            <w:pPr>
              <w:numPr>
                <w:ilvl w:val="0"/>
                <w:numId w:val="0"/>
              </w:numPr>
              <w:spacing w:line="240" w:lineRule="auto"/>
              <w:jc w:val="center"/>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安全生产</w:t>
            </w:r>
          </w:p>
          <w:p w14:paraId="08E1CABA">
            <w:pPr>
              <w:numPr>
                <w:ilvl w:val="0"/>
                <w:numId w:val="0"/>
              </w:numPr>
              <w:spacing w:line="240" w:lineRule="auto"/>
              <w:jc w:val="center"/>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管理体系</w:t>
            </w:r>
          </w:p>
          <w:p w14:paraId="6585CC18">
            <w:pPr>
              <w:numPr>
                <w:ilvl w:val="0"/>
                <w:numId w:val="0"/>
              </w:numPr>
              <w:spacing w:line="240" w:lineRule="auto"/>
              <w:jc w:val="center"/>
              <w:rPr>
                <w:rFonts w:hint="eastAsia" w:ascii="宋体" w:hAnsi="宋体" w:eastAsia="Times New Roman" w:cs="宋体"/>
                <w:color w:val="auto"/>
                <w:kern w:val="0"/>
                <w:sz w:val="24"/>
                <w:szCs w:val="24"/>
                <w:highlight w:val="none"/>
                <w:lang w:val="en-US" w:eastAsia="en-US" w:bidi="ar-SA"/>
              </w:rPr>
            </w:pPr>
            <w:r>
              <w:rPr>
                <w:rFonts w:hint="eastAsia" w:ascii="宋体" w:hAnsi="宋体" w:eastAsia="Times New Roman" w:cs="宋体"/>
                <w:color w:val="auto"/>
                <w:kern w:val="0"/>
                <w:sz w:val="24"/>
                <w:szCs w:val="24"/>
                <w:highlight w:val="none"/>
                <w:lang w:val="en-US" w:eastAsia="zh-CN" w:bidi="ar-SA"/>
              </w:rPr>
              <w:t>及保证措施</w:t>
            </w:r>
          </w:p>
        </w:tc>
        <w:tc>
          <w:tcPr>
            <w:tcW w:w="6513" w:type="dxa"/>
            <w:noWrap w:val="0"/>
            <w:vAlign w:val="center"/>
          </w:tcPr>
          <w:p w14:paraId="32ED89D1">
            <w:pPr>
              <w:numPr>
                <w:ilvl w:val="0"/>
                <w:numId w:val="0"/>
              </w:num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lang w:val="en-US" w:eastAsia="zh-CN" w:bidi="ar-SA"/>
              </w:rPr>
              <w:t>（1）</w:t>
            </w:r>
            <w:r>
              <w:rPr>
                <w:rFonts w:hint="eastAsia" w:ascii="宋体" w:hAnsi="宋体" w:eastAsia="Times New Roman" w:cs="宋体"/>
                <w:color w:val="auto"/>
                <w:kern w:val="0"/>
                <w:sz w:val="24"/>
                <w:szCs w:val="24"/>
                <w:highlight w:val="none"/>
                <w:lang w:val="en-US" w:eastAsia="zh-CN" w:bidi="ar-SA"/>
              </w:rPr>
              <w:t>安全体系健全有效；</w:t>
            </w:r>
          </w:p>
          <w:p w14:paraId="60003AB8">
            <w:pPr>
              <w:numPr>
                <w:ilvl w:val="0"/>
                <w:numId w:val="0"/>
              </w:num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lang w:val="en-US" w:eastAsia="zh-CN" w:bidi="ar-SA"/>
              </w:rPr>
              <w:t>（2）</w:t>
            </w:r>
            <w:r>
              <w:rPr>
                <w:rFonts w:hint="eastAsia" w:ascii="宋体" w:hAnsi="宋体" w:eastAsia="Times New Roman" w:cs="宋体"/>
                <w:color w:val="auto"/>
                <w:kern w:val="0"/>
                <w:sz w:val="24"/>
                <w:szCs w:val="24"/>
                <w:highlight w:val="none"/>
                <w:lang w:val="en-US" w:eastAsia="zh-CN" w:bidi="ar-SA"/>
              </w:rPr>
              <w:t>安全生产保证措施完善、可行；</w:t>
            </w:r>
          </w:p>
          <w:p w14:paraId="1B157D6D">
            <w:pPr>
              <w:widowControl w:val="0"/>
              <w:rPr>
                <w:rFonts w:hint="eastAsia" w:ascii="宋体" w:hAnsi="宋体" w:eastAsia="Times New Roman"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【以上内容满足一项得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分；最高得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p w14:paraId="6C54CFD1">
            <w:pPr>
              <w:numPr>
                <w:ilvl w:val="0"/>
                <w:numId w:val="0"/>
              </w:num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w:t>
            </w:r>
            <w:r>
              <w:rPr>
                <w:rFonts w:hint="eastAsia" w:ascii="宋体" w:hAnsi="宋体" w:eastAsia="Times New Roman" w:cs="宋体"/>
                <w:color w:val="auto"/>
                <w:kern w:val="0"/>
                <w:sz w:val="24"/>
                <w:szCs w:val="24"/>
                <w:highlight w:val="none"/>
                <w:lang w:val="en-US" w:eastAsia="zh-CN" w:bidi="ar-SA"/>
              </w:rPr>
              <w:t>完全满足，每项得3分；</w:t>
            </w:r>
          </w:p>
          <w:p w14:paraId="6B5CFA56">
            <w:pPr>
              <w:numPr>
                <w:ilvl w:val="0"/>
                <w:numId w:val="0"/>
              </w:num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②基本满足，每项得2分；</w:t>
            </w:r>
          </w:p>
          <w:p w14:paraId="053E6D6F">
            <w:pPr>
              <w:numPr>
                <w:ilvl w:val="0"/>
                <w:numId w:val="0"/>
              </w:num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③部分满足，但存在缺陷（或错误/瑕疵）的，每项得1分；</w:t>
            </w:r>
          </w:p>
          <w:p w14:paraId="7290661E">
            <w:pPr>
              <w:numPr>
                <w:ilvl w:val="0"/>
                <w:numId w:val="0"/>
              </w:num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④不满足或未提供的，不得分。</w:t>
            </w:r>
          </w:p>
        </w:tc>
        <w:tc>
          <w:tcPr>
            <w:tcW w:w="1059" w:type="dxa"/>
            <w:noWrap w:val="0"/>
            <w:vAlign w:val="center"/>
          </w:tcPr>
          <w:p w14:paraId="064D9B25">
            <w:pPr>
              <w:numPr>
                <w:ilvl w:val="0"/>
                <w:numId w:val="0"/>
              </w:numPr>
              <w:spacing w:line="240" w:lineRule="auto"/>
              <w:jc w:val="center"/>
              <w:rPr>
                <w:rFonts w:hint="default"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6</w:t>
            </w:r>
          </w:p>
        </w:tc>
      </w:tr>
      <w:tr w14:paraId="5E44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1694" w:type="dxa"/>
            <w:noWrap w:val="0"/>
            <w:vAlign w:val="center"/>
          </w:tcPr>
          <w:p w14:paraId="766DF980">
            <w:pPr>
              <w:numPr>
                <w:ilvl w:val="0"/>
                <w:numId w:val="0"/>
              </w:numPr>
              <w:spacing w:line="240" w:lineRule="auto"/>
              <w:jc w:val="center"/>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 xml:space="preserve">  环境保护、水土保持保证体系及保证措施</w:t>
            </w:r>
          </w:p>
        </w:tc>
        <w:tc>
          <w:tcPr>
            <w:tcW w:w="6513" w:type="dxa"/>
            <w:noWrap w:val="0"/>
            <w:vAlign w:val="top"/>
          </w:tcPr>
          <w:p w14:paraId="001FD69A">
            <w:pPr>
              <w:numPr>
                <w:ilvl w:val="0"/>
                <w:numId w:val="0"/>
              </w:numPr>
              <w:spacing w:line="240" w:lineRule="auto"/>
              <w:jc w:val="both"/>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lang w:val="en-US" w:eastAsia="zh-CN" w:bidi="ar-SA"/>
              </w:rPr>
              <w:t>（1）</w:t>
            </w:r>
            <w:r>
              <w:rPr>
                <w:rFonts w:hint="eastAsia" w:ascii="宋体" w:hAnsi="宋体" w:eastAsia="Times New Roman" w:cs="宋体"/>
                <w:color w:val="auto"/>
                <w:kern w:val="0"/>
                <w:sz w:val="24"/>
                <w:szCs w:val="24"/>
                <w:highlight w:val="none"/>
                <w:lang w:val="en-US" w:eastAsia="zh-CN" w:bidi="ar-SA"/>
              </w:rPr>
              <w:t>环境保护、水土保持保证体系健全；</w:t>
            </w:r>
          </w:p>
          <w:p w14:paraId="2CEFA339">
            <w:pPr>
              <w:numPr>
                <w:ilvl w:val="0"/>
                <w:numId w:val="0"/>
              </w:numPr>
              <w:spacing w:line="240" w:lineRule="auto"/>
              <w:jc w:val="both"/>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lang w:val="en-US" w:eastAsia="zh-CN" w:bidi="ar-SA"/>
              </w:rPr>
              <w:t>（2）</w:t>
            </w:r>
            <w:r>
              <w:rPr>
                <w:rFonts w:hint="eastAsia" w:ascii="宋体" w:hAnsi="宋体" w:eastAsia="Times New Roman" w:cs="宋体"/>
                <w:color w:val="auto"/>
                <w:kern w:val="0"/>
                <w:sz w:val="24"/>
                <w:szCs w:val="24"/>
                <w:highlight w:val="none"/>
                <w:lang w:val="en-US" w:eastAsia="zh-CN" w:bidi="ar-SA"/>
              </w:rPr>
              <w:t xml:space="preserve">环境保护、水土保持保证措施得力； </w:t>
            </w:r>
          </w:p>
          <w:p w14:paraId="54EBFFB4">
            <w:pPr>
              <w:widowControl w:val="0"/>
              <w:rPr>
                <w:rFonts w:hint="eastAsia" w:ascii="宋体" w:hAnsi="宋体" w:eastAsia="Times New Roman"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【以上内容满足一项得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分；最高得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p w14:paraId="0FC2E5B2">
            <w:pPr>
              <w:numPr>
                <w:ilvl w:val="0"/>
                <w:numId w:val="0"/>
              </w:num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w:t>
            </w:r>
            <w:r>
              <w:rPr>
                <w:rFonts w:hint="eastAsia" w:ascii="宋体" w:hAnsi="宋体" w:eastAsia="Times New Roman" w:cs="宋体"/>
                <w:color w:val="auto"/>
                <w:kern w:val="0"/>
                <w:sz w:val="24"/>
                <w:szCs w:val="24"/>
                <w:highlight w:val="none"/>
                <w:lang w:val="en-US" w:eastAsia="zh-CN" w:bidi="ar-SA"/>
              </w:rPr>
              <w:t>完全满足，每项得3分；</w:t>
            </w:r>
          </w:p>
          <w:p w14:paraId="126F2063">
            <w:pPr>
              <w:numPr>
                <w:ilvl w:val="0"/>
                <w:numId w:val="0"/>
              </w:num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②基本满足，每项得2分；</w:t>
            </w:r>
          </w:p>
          <w:p w14:paraId="7E966291">
            <w:pPr>
              <w:numPr>
                <w:ilvl w:val="0"/>
                <w:numId w:val="0"/>
              </w:num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③部分满足，但存在缺陷（或错误/瑕疵）的，每项得1分；</w:t>
            </w:r>
          </w:p>
          <w:p w14:paraId="617E540B">
            <w:pPr>
              <w:numPr>
                <w:ilvl w:val="0"/>
                <w:numId w:val="0"/>
              </w:numPr>
              <w:spacing w:line="240" w:lineRule="auto"/>
              <w:jc w:val="both"/>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④不满足或未提供的，不得分。</w:t>
            </w:r>
          </w:p>
        </w:tc>
        <w:tc>
          <w:tcPr>
            <w:tcW w:w="1059" w:type="dxa"/>
            <w:noWrap w:val="0"/>
            <w:vAlign w:val="center"/>
          </w:tcPr>
          <w:p w14:paraId="2FB1940D">
            <w:pPr>
              <w:numPr>
                <w:ilvl w:val="0"/>
                <w:numId w:val="0"/>
              </w:numPr>
              <w:spacing w:line="240" w:lineRule="auto"/>
              <w:jc w:val="center"/>
              <w:rPr>
                <w:rFonts w:hint="default"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6</w:t>
            </w:r>
          </w:p>
        </w:tc>
      </w:tr>
      <w:tr w14:paraId="58629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1694" w:type="dxa"/>
            <w:noWrap w:val="0"/>
            <w:vAlign w:val="center"/>
          </w:tcPr>
          <w:p w14:paraId="17179522">
            <w:pPr>
              <w:numPr>
                <w:ilvl w:val="0"/>
                <w:numId w:val="0"/>
              </w:numPr>
              <w:spacing w:line="240" w:lineRule="auto"/>
              <w:jc w:val="center"/>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 xml:space="preserve">  文明施工、文物保护保证体系及保证措施</w:t>
            </w:r>
          </w:p>
        </w:tc>
        <w:tc>
          <w:tcPr>
            <w:tcW w:w="6513" w:type="dxa"/>
            <w:noWrap w:val="0"/>
            <w:vAlign w:val="top"/>
          </w:tcPr>
          <w:p w14:paraId="20E582EC">
            <w:pPr>
              <w:widowControl w:val="0"/>
              <w:numPr>
                <w:ilvl w:val="0"/>
                <w:numId w:val="0"/>
              </w:numPr>
              <w:jc w:val="both"/>
              <w:rPr>
                <w:rFonts w:hint="eastAsia" w:ascii="宋体" w:hAnsi="宋体" w:eastAsia="宋体" w:cs="宋体"/>
                <w:color w:val="auto"/>
                <w:sz w:val="24"/>
                <w:szCs w:val="24"/>
                <w:highlight w:val="none"/>
                <w:lang w:val="en-US" w:eastAsia="en-US"/>
              </w:rPr>
            </w:pPr>
            <w:r>
              <w:rPr>
                <w:rFonts w:hint="eastAsia" w:ascii="宋体" w:hAnsi="宋体" w:eastAsia="宋体" w:cs="宋体"/>
                <w:color w:val="auto"/>
                <w:kern w:val="2"/>
                <w:sz w:val="24"/>
                <w:szCs w:val="24"/>
                <w:lang w:val="en-US" w:eastAsia="en-US" w:bidi="ar-SA"/>
              </w:rPr>
              <w:t>（1）</w:t>
            </w:r>
            <w:r>
              <w:rPr>
                <w:rFonts w:hint="eastAsia" w:ascii="宋体" w:hAnsi="宋体" w:eastAsia="宋体" w:cs="宋体"/>
                <w:color w:val="auto"/>
                <w:sz w:val="24"/>
                <w:szCs w:val="24"/>
                <w:highlight w:val="none"/>
                <w:lang w:val="en-US" w:eastAsia="en-US"/>
              </w:rPr>
              <w:t>文明施工措施得力；</w:t>
            </w:r>
          </w:p>
          <w:p w14:paraId="56C17DBC">
            <w:pPr>
              <w:widowControl w:val="0"/>
              <w:numPr>
                <w:ilvl w:val="0"/>
                <w:numId w:val="0"/>
              </w:numPr>
              <w:jc w:val="both"/>
              <w:rPr>
                <w:rFonts w:hint="eastAsia" w:ascii="宋体" w:hAnsi="宋体" w:eastAsia="宋体" w:cs="宋体"/>
                <w:color w:val="auto"/>
                <w:sz w:val="24"/>
                <w:szCs w:val="24"/>
                <w:highlight w:val="none"/>
                <w:lang w:val="en-US" w:eastAsia="en-US"/>
              </w:rPr>
            </w:pPr>
            <w:r>
              <w:rPr>
                <w:rFonts w:hint="eastAsia" w:ascii="宋体" w:hAnsi="宋体" w:eastAsia="宋体" w:cs="宋体"/>
                <w:color w:val="auto"/>
                <w:kern w:val="2"/>
                <w:sz w:val="24"/>
                <w:szCs w:val="24"/>
                <w:lang w:val="en-US" w:eastAsia="en-US" w:bidi="ar-SA"/>
              </w:rPr>
              <w:t>（2）</w:t>
            </w:r>
            <w:r>
              <w:rPr>
                <w:rFonts w:hint="eastAsia" w:ascii="宋体" w:hAnsi="宋体" w:eastAsia="宋体" w:cs="宋体"/>
                <w:color w:val="auto"/>
                <w:sz w:val="24"/>
                <w:szCs w:val="24"/>
                <w:highlight w:val="none"/>
                <w:lang w:val="en-US" w:eastAsia="en-US"/>
              </w:rPr>
              <w:t>文物保护保证体系及保证措施得力；</w:t>
            </w:r>
          </w:p>
          <w:p w14:paraId="1A8004CD">
            <w:pPr>
              <w:widowControl w:val="0"/>
              <w:rPr>
                <w:rFonts w:hint="eastAsia" w:ascii="宋体" w:hAnsi="宋体" w:eastAsia="Times New Roman"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【以上内容满足一项得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分；最高得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p w14:paraId="221B5797">
            <w:pPr>
              <w:numPr>
                <w:ilvl w:val="0"/>
                <w:numId w:val="0"/>
              </w:num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w:t>
            </w:r>
            <w:r>
              <w:rPr>
                <w:rFonts w:hint="eastAsia" w:ascii="宋体" w:hAnsi="宋体" w:eastAsia="Times New Roman" w:cs="宋体"/>
                <w:color w:val="auto"/>
                <w:kern w:val="0"/>
                <w:sz w:val="24"/>
                <w:szCs w:val="24"/>
                <w:highlight w:val="none"/>
                <w:lang w:val="en-US" w:eastAsia="zh-CN" w:bidi="ar-SA"/>
              </w:rPr>
              <w:t>完全满足，每项得3分；</w:t>
            </w:r>
          </w:p>
          <w:p w14:paraId="1D59824A">
            <w:pPr>
              <w:numPr>
                <w:ilvl w:val="0"/>
                <w:numId w:val="0"/>
              </w:num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②基本满足，每项得2分；</w:t>
            </w:r>
          </w:p>
          <w:p w14:paraId="168DD67B">
            <w:pPr>
              <w:numPr>
                <w:ilvl w:val="0"/>
                <w:numId w:val="0"/>
              </w:num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③部分满足，但存在缺陷（或错误/瑕疵）的，每项得1分；</w:t>
            </w:r>
          </w:p>
          <w:p w14:paraId="60E0DAE3">
            <w:pPr>
              <w:widowControl w:val="0"/>
              <w:numPr>
                <w:ilvl w:val="0"/>
                <w:numId w:val="0"/>
              </w:numPr>
              <w:jc w:val="both"/>
              <w:rPr>
                <w:rFonts w:hint="eastAsia" w:ascii="宋体" w:hAnsi="宋体" w:eastAsia="宋体" w:cs="宋体"/>
                <w:color w:val="auto"/>
                <w:sz w:val="24"/>
                <w:szCs w:val="24"/>
                <w:highlight w:val="none"/>
                <w:lang w:val="en-US" w:eastAsia="zh-CN"/>
              </w:rPr>
            </w:pPr>
            <w:r>
              <w:rPr>
                <w:rFonts w:hint="eastAsia" w:ascii="宋体" w:hAnsi="宋体" w:eastAsia="Times New Roman" w:cs="宋体"/>
                <w:color w:val="auto"/>
                <w:kern w:val="0"/>
                <w:sz w:val="24"/>
                <w:szCs w:val="24"/>
                <w:highlight w:val="none"/>
                <w:lang w:val="en-US" w:eastAsia="zh-CN" w:bidi="ar-SA"/>
              </w:rPr>
              <w:t>④不满足或未提供的，不得分。</w:t>
            </w:r>
          </w:p>
        </w:tc>
        <w:tc>
          <w:tcPr>
            <w:tcW w:w="1059" w:type="dxa"/>
            <w:noWrap w:val="0"/>
            <w:vAlign w:val="center"/>
          </w:tcPr>
          <w:p w14:paraId="655AADDE">
            <w:pPr>
              <w:numPr>
                <w:ilvl w:val="0"/>
                <w:numId w:val="0"/>
              </w:numPr>
              <w:spacing w:line="240" w:lineRule="auto"/>
              <w:jc w:val="center"/>
              <w:rPr>
                <w:rFonts w:hint="default"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6</w:t>
            </w:r>
          </w:p>
        </w:tc>
      </w:tr>
      <w:tr w14:paraId="7A04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trPr>
        <w:tc>
          <w:tcPr>
            <w:tcW w:w="1694" w:type="dxa"/>
            <w:noWrap w:val="0"/>
            <w:vAlign w:val="center"/>
          </w:tcPr>
          <w:p w14:paraId="396C927C">
            <w:pPr>
              <w:numPr>
                <w:ilvl w:val="0"/>
                <w:numId w:val="0"/>
              </w:numPr>
              <w:spacing w:line="240" w:lineRule="auto"/>
              <w:jc w:val="center"/>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项目风险</w:t>
            </w:r>
          </w:p>
          <w:p w14:paraId="7E8064BF">
            <w:pPr>
              <w:numPr>
                <w:ilvl w:val="0"/>
                <w:numId w:val="0"/>
              </w:numPr>
              <w:spacing w:line="240" w:lineRule="auto"/>
              <w:jc w:val="center"/>
              <w:rPr>
                <w:rFonts w:hint="default"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预测与防范，事故应急预案</w:t>
            </w:r>
          </w:p>
        </w:tc>
        <w:tc>
          <w:tcPr>
            <w:tcW w:w="6513" w:type="dxa"/>
            <w:noWrap w:val="0"/>
            <w:vAlign w:val="top"/>
          </w:tcPr>
          <w:p w14:paraId="477C02ED">
            <w:pPr>
              <w:numPr>
                <w:ilvl w:val="0"/>
                <w:numId w:val="0"/>
              </w:numPr>
              <w:spacing w:line="240" w:lineRule="auto"/>
              <w:jc w:val="both"/>
              <w:rPr>
                <w:rFonts w:hint="eastAsia" w:ascii="宋体" w:hAnsi="宋体" w:eastAsia="宋体" w:cs="宋体"/>
                <w:color w:val="auto"/>
                <w:sz w:val="24"/>
                <w:szCs w:val="24"/>
                <w:highlight w:val="none"/>
                <w:lang w:val="en-US" w:eastAsia="en-US"/>
              </w:rPr>
            </w:pPr>
            <w:r>
              <w:rPr>
                <w:rFonts w:hint="eastAsia" w:ascii="宋体" w:hAnsi="宋体" w:eastAsia="宋体" w:cs="宋体"/>
                <w:color w:val="auto"/>
                <w:kern w:val="2"/>
                <w:sz w:val="24"/>
                <w:szCs w:val="24"/>
                <w:lang w:val="en-US" w:eastAsia="en-US" w:bidi="ar-SA"/>
              </w:rPr>
              <w:t>（1）</w:t>
            </w:r>
            <w:r>
              <w:rPr>
                <w:rFonts w:hint="eastAsia" w:ascii="宋体" w:hAnsi="宋体" w:eastAsia="Times New Roman" w:cs="宋体"/>
                <w:color w:val="auto"/>
                <w:kern w:val="0"/>
                <w:sz w:val="24"/>
                <w:szCs w:val="24"/>
                <w:highlight w:val="none"/>
                <w:lang w:val="en-US" w:eastAsia="en-US" w:bidi="ar-SA"/>
              </w:rPr>
              <w:t>项目风险预</w:t>
            </w:r>
            <w:r>
              <w:rPr>
                <w:rFonts w:hint="eastAsia" w:ascii="宋体" w:hAnsi="宋体" w:eastAsia="宋体" w:cs="宋体"/>
                <w:color w:val="auto"/>
                <w:sz w:val="24"/>
                <w:szCs w:val="24"/>
                <w:highlight w:val="none"/>
                <w:lang w:val="en-US" w:eastAsia="en-US"/>
              </w:rPr>
              <w:t>测与防范合理</w:t>
            </w:r>
            <w:r>
              <w:rPr>
                <w:rFonts w:hint="eastAsia" w:ascii="宋体" w:hAnsi="宋体" w:cs="宋体"/>
                <w:color w:val="auto"/>
                <w:sz w:val="24"/>
                <w:szCs w:val="24"/>
                <w:highlight w:val="none"/>
                <w:lang w:val="en-US" w:eastAsia="zh-CN"/>
              </w:rPr>
              <w:t>；</w:t>
            </w:r>
          </w:p>
          <w:p w14:paraId="500B7063">
            <w:pPr>
              <w:numPr>
                <w:ilvl w:val="0"/>
                <w:numId w:val="0"/>
              </w:numPr>
              <w:spacing w:line="240" w:lineRule="auto"/>
              <w:jc w:val="both"/>
              <w:rPr>
                <w:rFonts w:hint="eastAsia" w:ascii="宋体" w:hAnsi="宋体" w:eastAsia="宋体" w:cs="宋体"/>
                <w:color w:val="auto"/>
                <w:sz w:val="24"/>
                <w:szCs w:val="24"/>
                <w:highlight w:val="none"/>
                <w:lang w:val="en-US" w:eastAsia="en-US"/>
              </w:rPr>
            </w:pPr>
            <w:r>
              <w:rPr>
                <w:rFonts w:hint="eastAsia" w:ascii="宋体" w:hAnsi="宋体" w:eastAsia="宋体" w:cs="宋体"/>
                <w:color w:val="auto"/>
                <w:kern w:val="2"/>
                <w:sz w:val="24"/>
                <w:szCs w:val="24"/>
                <w:lang w:val="en-US" w:eastAsia="en-US" w:bidi="ar-SA"/>
              </w:rPr>
              <w:t>（2）</w:t>
            </w:r>
            <w:r>
              <w:rPr>
                <w:rFonts w:hint="eastAsia" w:ascii="宋体" w:hAnsi="宋体" w:eastAsia="宋体" w:cs="宋体"/>
                <w:color w:val="auto"/>
                <w:sz w:val="24"/>
                <w:szCs w:val="24"/>
                <w:highlight w:val="none"/>
                <w:lang w:val="en-US" w:eastAsia="en-US"/>
              </w:rPr>
              <w:t>事故应急预案可行；</w:t>
            </w:r>
          </w:p>
          <w:p w14:paraId="5E43651C">
            <w:pPr>
              <w:widowContro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【以上内容满足一项得</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分；最高得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7A3E01E2">
            <w:pPr>
              <w:numPr>
                <w:ilvl w:val="0"/>
                <w:numId w:val="0"/>
              </w:num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w:t>
            </w:r>
            <w:r>
              <w:rPr>
                <w:rFonts w:hint="eastAsia" w:ascii="宋体" w:hAnsi="宋体" w:eastAsia="Times New Roman" w:cs="宋体"/>
                <w:color w:val="auto"/>
                <w:kern w:val="0"/>
                <w:sz w:val="24"/>
                <w:szCs w:val="24"/>
                <w:highlight w:val="none"/>
                <w:lang w:val="en-US" w:eastAsia="zh-CN" w:bidi="ar-SA"/>
              </w:rPr>
              <w:t>完全满足，每项得2.5分；</w:t>
            </w:r>
          </w:p>
          <w:p w14:paraId="366E6452">
            <w:pPr>
              <w:numPr>
                <w:ilvl w:val="0"/>
                <w:numId w:val="0"/>
              </w:num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②基本满足，每项得2分；</w:t>
            </w:r>
          </w:p>
          <w:p w14:paraId="6E7C2A78">
            <w:pPr>
              <w:numPr>
                <w:ilvl w:val="0"/>
                <w:numId w:val="0"/>
              </w:num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③部分满足，但存在缺陷（或错误/瑕疵）的，每项得1分；</w:t>
            </w:r>
          </w:p>
          <w:p w14:paraId="37CABF62">
            <w:pPr>
              <w:numPr>
                <w:ilvl w:val="0"/>
                <w:numId w:val="0"/>
              </w:num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Times New Roman" w:cs="宋体"/>
                <w:color w:val="auto"/>
                <w:kern w:val="0"/>
                <w:sz w:val="24"/>
                <w:szCs w:val="24"/>
                <w:highlight w:val="none"/>
                <w:lang w:val="en-US" w:eastAsia="zh-CN" w:bidi="ar-SA"/>
              </w:rPr>
              <w:t>④不满足或未提供的，不得分。</w:t>
            </w:r>
          </w:p>
        </w:tc>
        <w:tc>
          <w:tcPr>
            <w:tcW w:w="1059" w:type="dxa"/>
            <w:noWrap w:val="0"/>
            <w:vAlign w:val="center"/>
          </w:tcPr>
          <w:p w14:paraId="7DFA3265">
            <w:pPr>
              <w:numPr>
                <w:ilvl w:val="0"/>
                <w:numId w:val="0"/>
              </w:numPr>
              <w:spacing w:line="240" w:lineRule="auto"/>
              <w:jc w:val="center"/>
              <w:rPr>
                <w:rFonts w:hint="default"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5</w:t>
            </w:r>
          </w:p>
        </w:tc>
      </w:tr>
      <w:tr w14:paraId="6FBC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266" w:type="dxa"/>
            <w:gridSpan w:val="3"/>
            <w:noWrap w:val="0"/>
            <w:vAlign w:val="center"/>
          </w:tcPr>
          <w:p w14:paraId="20EF6C25">
            <w:pPr>
              <w:widowControl w:val="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说明：1.数据要求真实、可信，如出现虚假或不属实信息，则取消投标资格；</w:t>
            </w:r>
          </w:p>
          <w:p w14:paraId="701C1442">
            <w:pPr>
              <w:widowControl w:val="0"/>
              <w:ind w:firstLine="720" w:firstLineChars="3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2.评审项目不得为负分；</w:t>
            </w:r>
          </w:p>
          <w:p w14:paraId="472C893E">
            <w:pPr>
              <w:widowControl w:val="0"/>
              <w:ind w:firstLine="720" w:firstLineChars="300"/>
              <w:jc w:val="left"/>
              <w:rPr>
                <w:rStyle w:val="74"/>
                <w:rFonts w:hint="eastAsia" w:ascii="宋体" w:hAnsi="宋体" w:cs="宋体"/>
                <w:color w:val="0000FF"/>
                <w:sz w:val="24"/>
                <w:szCs w:val="24"/>
                <w:highlight w:val="none"/>
              </w:rPr>
            </w:pPr>
            <w:r>
              <w:rPr>
                <w:rFonts w:hint="eastAsia" w:ascii="宋体" w:hAnsi="宋体" w:cs="宋体"/>
                <w:color w:val="auto"/>
                <w:sz w:val="24"/>
                <w:szCs w:val="24"/>
                <w:highlight w:val="none"/>
              </w:rPr>
              <w:t>3.得分保留小数点后两位；</w:t>
            </w:r>
          </w:p>
        </w:tc>
      </w:tr>
    </w:tbl>
    <w:p w14:paraId="28D0FF08">
      <w:pPr>
        <w:spacing w:line="360" w:lineRule="auto"/>
        <w:ind w:right="561" w:rightChars="267" w:firstLine="480" w:firstLineChars="200"/>
        <w:jc w:val="left"/>
        <w:textAlignment w:val="baseline"/>
        <w:rPr>
          <w:rStyle w:val="74"/>
          <w:rFonts w:hint="eastAsia" w:ascii="宋体" w:hAnsi="宋体" w:eastAsia="宋体" w:cs="宋体"/>
          <w:color w:val="auto"/>
          <w:sz w:val="24"/>
          <w:szCs w:val="24"/>
          <w:highlight w:val="none"/>
          <w:lang w:val="zh-CN" w:eastAsia="zh-CN"/>
        </w:rPr>
      </w:pPr>
      <w:r>
        <w:rPr>
          <w:rStyle w:val="74"/>
          <w:rFonts w:hint="eastAsia" w:ascii="宋体" w:hAnsi="宋体" w:eastAsia="宋体" w:cs="宋体"/>
          <w:color w:val="auto"/>
          <w:sz w:val="24"/>
          <w:szCs w:val="24"/>
          <w:highlight w:val="none"/>
          <w:lang w:val="en-US" w:eastAsia="zh-CN"/>
        </w:rPr>
        <w:t>注：1.</w:t>
      </w:r>
      <w:r>
        <w:rPr>
          <w:rStyle w:val="74"/>
          <w:rFonts w:hint="eastAsia" w:ascii="宋体" w:hAnsi="宋体" w:eastAsia="宋体" w:cs="宋体"/>
          <w:color w:val="auto"/>
          <w:sz w:val="24"/>
          <w:szCs w:val="24"/>
          <w:highlight w:val="none"/>
          <w:lang w:val="zh-CN" w:eastAsia="zh-CN"/>
        </w:rPr>
        <w:t>评标委员会应当执行连续评标的原则完成全部评标工作。只有发生不可抗力导致评标工作无法继续时，评标活动方可暂停。发生评标暂停情况时，评标委员会应当封存全部</w:t>
      </w:r>
      <w:r>
        <w:rPr>
          <w:rStyle w:val="74"/>
          <w:rFonts w:hint="eastAsia" w:ascii="宋体" w:hAnsi="宋体" w:eastAsia="宋体" w:cs="宋体"/>
          <w:color w:val="auto"/>
          <w:sz w:val="24"/>
          <w:szCs w:val="24"/>
          <w:highlight w:val="none"/>
          <w:lang w:val="en-US" w:eastAsia="zh-CN"/>
        </w:rPr>
        <w:t>资料</w:t>
      </w:r>
      <w:r>
        <w:rPr>
          <w:rStyle w:val="74"/>
          <w:rFonts w:hint="eastAsia" w:ascii="宋体" w:hAnsi="宋体" w:eastAsia="宋体" w:cs="宋体"/>
          <w:color w:val="auto"/>
          <w:sz w:val="24"/>
          <w:szCs w:val="24"/>
          <w:highlight w:val="none"/>
          <w:lang w:val="zh-CN" w:eastAsia="zh-CN"/>
        </w:rPr>
        <w:t>，待不可抗力的影响结束且具备继续评标的条件时，由原评标委员会继续评标。</w:t>
      </w:r>
    </w:p>
    <w:p w14:paraId="4F86364A">
      <w:pPr>
        <w:spacing w:line="360" w:lineRule="auto"/>
        <w:ind w:right="561" w:rightChars="267" w:firstLine="480" w:firstLineChars="200"/>
        <w:jc w:val="left"/>
        <w:textAlignment w:val="baseline"/>
        <w:rPr>
          <w:rStyle w:val="74"/>
          <w:rFonts w:hint="eastAsia" w:ascii="宋体" w:hAnsi="宋体" w:eastAsia="宋体" w:cs="宋体"/>
          <w:color w:val="auto"/>
          <w:sz w:val="24"/>
          <w:szCs w:val="24"/>
          <w:highlight w:val="none"/>
          <w:lang w:val="zh-CN" w:eastAsia="zh-CN"/>
        </w:rPr>
      </w:pPr>
      <w:r>
        <w:rPr>
          <w:rStyle w:val="74"/>
          <w:rFonts w:hint="eastAsia" w:ascii="宋体" w:hAnsi="宋体" w:eastAsia="宋体" w:cs="宋体"/>
          <w:color w:val="auto"/>
          <w:sz w:val="24"/>
          <w:szCs w:val="24"/>
          <w:highlight w:val="none"/>
          <w:lang w:val="en-US" w:eastAsia="zh-CN"/>
        </w:rPr>
        <w:t>2.</w:t>
      </w:r>
      <w:r>
        <w:rPr>
          <w:rStyle w:val="74"/>
          <w:rFonts w:hint="eastAsia" w:ascii="宋体" w:hAnsi="宋体" w:eastAsia="宋体" w:cs="宋体"/>
          <w:color w:val="auto"/>
          <w:sz w:val="24"/>
          <w:szCs w:val="24"/>
          <w:highlight w:val="none"/>
          <w:lang w:val="zh-CN" w:eastAsia="zh-CN"/>
        </w:rPr>
        <w:t>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732D8FDD">
      <w:pPr>
        <w:spacing w:line="360" w:lineRule="auto"/>
        <w:ind w:right="561" w:rightChars="267" w:firstLine="480" w:firstLineChars="200"/>
        <w:jc w:val="left"/>
        <w:textAlignment w:val="baseline"/>
        <w:rPr>
          <w:rStyle w:val="74"/>
          <w:rFonts w:hint="eastAsia" w:ascii="宋体" w:hAnsi="宋体" w:eastAsia="宋体" w:cs="宋体"/>
          <w:color w:val="auto"/>
          <w:sz w:val="24"/>
          <w:szCs w:val="24"/>
          <w:highlight w:val="none"/>
        </w:rPr>
      </w:pPr>
      <w:r>
        <w:rPr>
          <w:rStyle w:val="74"/>
          <w:rFonts w:hint="eastAsia" w:ascii="宋体" w:hAnsi="宋体" w:eastAsia="宋体" w:cs="宋体"/>
          <w:color w:val="auto"/>
          <w:sz w:val="24"/>
          <w:szCs w:val="24"/>
          <w:highlight w:val="none"/>
          <w:lang w:val="en-US" w:eastAsia="zh-CN"/>
        </w:rPr>
        <w:t>3.</w:t>
      </w:r>
      <w:r>
        <w:rPr>
          <w:rStyle w:val="74"/>
          <w:rFonts w:hint="eastAsia" w:ascii="宋体" w:hAnsi="宋体" w:eastAsia="宋体" w:cs="宋体"/>
          <w:color w:val="auto"/>
          <w:sz w:val="24"/>
          <w:szCs w:val="24"/>
          <w:highlight w:val="none"/>
          <w:lang w:val="zh-CN" w:eastAsia="zh-CN"/>
        </w:rPr>
        <w:t>在任何评标环节中，需评标委员会就某项评审结论做出表决的，由评标委员会全体成员按照少数服从多数的原则，以记名投票方式表决</w:t>
      </w:r>
      <w:r>
        <w:rPr>
          <w:rStyle w:val="74"/>
          <w:rFonts w:hint="eastAsia" w:ascii="宋体" w:hAnsi="宋体" w:eastAsia="宋体" w:cs="宋体"/>
          <w:color w:val="auto"/>
          <w:sz w:val="24"/>
          <w:szCs w:val="24"/>
          <w:highlight w:val="none"/>
          <w:lang w:val="en-US" w:eastAsia="zh-CN"/>
        </w:rPr>
        <w:t>.</w:t>
      </w:r>
    </w:p>
    <w:p w14:paraId="034E13C6">
      <w:pPr>
        <w:spacing w:line="360" w:lineRule="auto"/>
        <w:ind w:firstLine="482" w:firstLineChars="200"/>
        <w:jc w:val="left"/>
        <w:textAlignment w:val="baseline"/>
        <w:rPr>
          <w:rStyle w:val="74"/>
          <w:rFonts w:hint="eastAsia" w:ascii="宋体" w:hAnsi="宋体" w:cs="宋体"/>
          <w:b/>
          <w:bCs/>
          <w:color w:val="auto"/>
          <w:sz w:val="24"/>
          <w:szCs w:val="24"/>
          <w:highlight w:val="none"/>
        </w:rPr>
      </w:pPr>
      <w:r>
        <w:rPr>
          <w:rStyle w:val="74"/>
          <w:rFonts w:hint="eastAsia" w:ascii="宋体" w:hAnsi="宋体" w:cs="宋体"/>
          <w:b/>
          <w:bCs/>
          <w:color w:val="auto"/>
          <w:sz w:val="24"/>
          <w:szCs w:val="24"/>
          <w:highlight w:val="none"/>
          <w:lang w:val="en-US"/>
        </w:rPr>
        <w:t>3</w:t>
      </w:r>
      <w:r>
        <w:rPr>
          <w:rStyle w:val="74"/>
          <w:rFonts w:hint="eastAsia" w:ascii="宋体" w:hAnsi="宋体" w:cs="宋体"/>
          <w:b/>
          <w:bCs/>
          <w:color w:val="auto"/>
          <w:sz w:val="24"/>
          <w:szCs w:val="24"/>
          <w:highlight w:val="none"/>
        </w:rPr>
        <w:t>.评标原则：</w:t>
      </w:r>
    </w:p>
    <w:p w14:paraId="46F35B6D">
      <w:pPr>
        <w:spacing w:line="360" w:lineRule="auto"/>
        <w:ind w:firstLine="480" w:firstLineChars="200"/>
        <w:jc w:val="left"/>
        <w:textAlignment w:val="baseline"/>
        <w:rPr>
          <w:rStyle w:val="74"/>
          <w:rFonts w:hint="eastAsia" w:ascii="宋体" w:hAnsi="宋体" w:cs="宋体"/>
          <w:color w:val="auto"/>
          <w:sz w:val="24"/>
          <w:szCs w:val="24"/>
          <w:highlight w:val="none"/>
        </w:rPr>
      </w:pPr>
      <w:r>
        <w:rPr>
          <w:rStyle w:val="74"/>
          <w:rFonts w:hint="eastAsia" w:ascii="宋体" w:hAnsi="宋体" w:cs="宋体"/>
          <w:color w:val="auto"/>
          <w:sz w:val="24"/>
          <w:szCs w:val="24"/>
          <w:highlight w:val="none"/>
        </w:rPr>
        <w:t>（1）评标过程中应遵循公开、公平、公正、择优的原则；</w:t>
      </w:r>
    </w:p>
    <w:p w14:paraId="0C145114">
      <w:pPr>
        <w:spacing w:line="360" w:lineRule="auto"/>
        <w:ind w:firstLine="480" w:firstLineChars="200"/>
        <w:jc w:val="left"/>
        <w:textAlignment w:val="baseline"/>
        <w:rPr>
          <w:rStyle w:val="74"/>
          <w:rFonts w:hint="eastAsia" w:ascii="宋体" w:hAnsi="宋体" w:cs="宋体"/>
          <w:color w:val="auto"/>
          <w:sz w:val="24"/>
          <w:szCs w:val="24"/>
          <w:highlight w:val="none"/>
        </w:rPr>
      </w:pPr>
      <w:r>
        <w:rPr>
          <w:rStyle w:val="74"/>
          <w:rFonts w:hint="eastAsia" w:ascii="宋体" w:hAnsi="宋体" w:cs="宋体"/>
          <w:color w:val="auto"/>
          <w:sz w:val="24"/>
          <w:szCs w:val="24"/>
          <w:highlight w:val="none"/>
        </w:rPr>
        <w:t>（2）评标应同时维护</w:t>
      </w:r>
      <w:r>
        <w:rPr>
          <w:rStyle w:val="74"/>
          <w:rFonts w:hint="eastAsia" w:ascii="宋体" w:hAnsi="宋体" w:cs="宋体"/>
          <w:color w:val="auto"/>
          <w:sz w:val="24"/>
          <w:szCs w:val="24"/>
          <w:highlight w:val="none"/>
          <w:lang w:val="en-US"/>
        </w:rPr>
        <w:t>采购</w:t>
      </w:r>
      <w:r>
        <w:rPr>
          <w:rStyle w:val="74"/>
          <w:rFonts w:hint="eastAsia" w:ascii="宋体" w:hAnsi="宋体" w:cs="宋体"/>
          <w:color w:val="auto"/>
          <w:sz w:val="24"/>
          <w:szCs w:val="24"/>
          <w:highlight w:val="none"/>
        </w:rPr>
        <w:t>单位和投标单位的利益；</w:t>
      </w:r>
    </w:p>
    <w:p w14:paraId="59782AE1">
      <w:pPr>
        <w:spacing w:line="360" w:lineRule="auto"/>
        <w:ind w:firstLine="480" w:firstLineChars="200"/>
        <w:jc w:val="left"/>
        <w:textAlignment w:val="baseline"/>
        <w:rPr>
          <w:rStyle w:val="74"/>
          <w:rFonts w:hint="eastAsia" w:ascii="宋体" w:hAnsi="宋体" w:cs="宋体"/>
          <w:color w:val="auto"/>
          <w:sz w:val="24"/>
          <w:szCs w:val="24"/>
          <w:highlight w:val="none"/>
        </w:rPr>
      </w:pPr>
      <w:r>
        <w:rPr>
          <w:rStyle w:val="74"/>
          <w:rFonts w:hint="eastAsia" w:ascii="宋体" w:hAnsi="宋体" w:cs="宋体"/>
          <w:color w:val="auto"/>
          <w:sz w:val="24"/>
          <w:szCs w:val="24"/>
          <w:highlight w:val="none"/>
        </w:rPr>
        <w:t>（3）资格审查合格的投标企业，中标机会均等；</w:t>
      </w:r>
    </w:p>
    <w:p w14:paraId="45DB1A70">
      <w:pPr>
        <w:spacing w:line="360" w:lineRule="auto"/>
        <w:ind w:firstLine="480" w:firstLineChars="200"/>
        <w:jc w:val="left"/>
        <w:textAlignment w:val="baseline"/>
        <w:rPr>
          <w:rStyle w:val="74"/>
          <w:rFonts w:hint="eastAsia" w:ascii="宋体" w:hAnsi="宋体" w:cs="宋体"/>
          <w:color w:val="auto"/>
          <w:sz w:val="24"/>
          <w:szCs w:val="24"/>
          <w:highlight w:val="none"/>
        </w:rPr>
      </w:pPr>
      <w:r>
        <w:rPr>
          <w:rStyle w:val="74"/>
          <w:rFonts w:hint="eastAsia" w:ascii="宋体" w:hAnsi="宋体" w:cs="宋体"/>
          <w:color w:val="auto"/>
          <w:sz w:val="24"/>
          <w:szCs w:val="24"/>
          <w:highlight w:val="none"/>
        </w:rPr>
        <w:t>（4）评标人员不得私自泄露评标内容；</w:t>
      </w:r>
    </w:p>
    <w:p w14:paraId="37B9D8CB">
      <w:pPr>
        <w:spacing w:line="360" w:lineRule="auto"/>
        <w:ind w:firstLine="480" w:firstLineChars="200"/>
        <w:jc w:val="left"/>
        <w:textAlignment w:val="baseline"/>
        <w:rPr>
          <w:rStyle w:val="74"/>
          <w:rFonts w:hint="eastAsia" w:ascii="宋体" w:hAnsi="宋体" w:cs="宋体"/>
          <w:color w:val="auto"/>
          <w:sz w:val="24"/>
          <w:szCs w:val="24"/>
          <w:highlight w:val="none"/>
        </w:rPr>
      </w:pPr>
      <w:r>
        <w:rPr>
          <w:rStyle w:val="74"/>
          <w:rFonts w:hint="eastAsia" w:ascii="宋体" w:hAnsi="宋体" w:cs="宋体"/>
          <w:color w:val="auto"/>
          <w:sz w:val="24"/>
          <w:szCs w:val="24"/>
          <w:highlight w:val="none"/>
        </w:rPr>
        <w:t>（5）评标采取质量、性能、价格、服务综合比，少数服从多数；</w:t>
      </w:r>
    </w:p>
    <w:p w14:paraId="309B7B5B">
      <w:pPr>
        <w:spacing w:line="360" w:lineRule="auto"/>
        <w:ind w:firstLine="482" w:firstLineChars="200"/>
        <w:jc w:val="left"/>
        <w:textAlignment w:val="baseline"/>
        <w:rPr>
          <w:rStyle w:val="74"/>
          <w:rFonts w:hint="eastAsia" w:ascii="宋体" w:hAnsi="宋体" w:cs="宋体"/>
          <w:b/>
          <w:bCs/>
          <w:color w:val="auto"/>
          <w:sz w:val="24"/>
          <w:szCs w:val="24"/>
          <w:highlight w:val="none"/>
        </w:rPr>
      </w:pPr>
      <w:r>
        <w:rPr>
          <w:rStyle w:val="74"/>
          <w:rFonts w:hint="eastAsia" w:ascii="宋体" w:hAnsi="宋体" w:cs="宋体"/>
          <w:b/>
          <w:bCs/>
          <w:color w:val="auto"/>
          <w:sz w:val="24"/>
          <w:szCs w:val="24"/>
          <w:highlight w:val="none"/>
          <w:lang w:val="en-US"/>
        </w:rPr>
        <w:t>4</w:t>
      </w:r>
      <w:r>
        <w:rPr>
          <w:rStyle w:val="74"/>
          <w:rFonts w:hint="eastAsia" w:ascii="宋体" w:hAnsi="宋体" w:cs="宋体"/>
          <w:b/>
          <w:bCs/>
          <w:color w:val="auto"/>
          <w:sz w:val="24"/>
          <w:szCs w:val="24"/>
          <w:highlight w:val="none"/>
        </w:rPr>
        <w:t>.</w:t>
      </w:r>
      <w:r>
        <w:rPr>
          <w:rFonts w:hint="eastAsia" w:ascii="宋体" w:hAnsi="宋体" w:cs="宋体"/>
          <w:b/>
          <w:color w:val="auto"/>
          <w:sz w:val="24"/>
          <w:szCs w:val="24"/>
          <w:highlight w:val="none"/>
          <w:lang w:val="zh-CN"/>
        </w:rPr>
        <w:t>推荐原则</w:t>
      </w:r>
      <w:r>
        <w:rPr>
          <w:rFonts w:hint="eastAsia" w:ascii="宋体" w:hAnsi="宋体" w:cs="宋体"/>
          <w:b/>
          <w:color w:val="auto"/>
          <w:sz w:val="24"/>
          <w:szCs w:val="24"/>
          <w:highlight w:val="none"/>
        </w:rPr>
        <w:t>及定标原则</w:t>
      </w:r>
      <w:r>
        <w:rPr>
          <w:rStyle w:val="74"/>
          <w:rFonts w:hint="eastAsia" w:ascii="宋体" w:hAnsi="宋体" w:cs="宋体"/>
          <w:b/>
          <w:bCs/>
          <w:color w:val="auto"/>
          <w:sz w:val="24"/>
          <w:szCs w:val="24"/>
          <w:highlight w:val="none"/>
        </w:rPr>
        <w:t>：</w:t>
      </w:r>
    </w:p>
    <w:p w14:paraId="225305E8">
      <w:pPr>
        <w:spacing w:line="360" w:lineRule="auto"/>
        <w:ind w:firstLine="480" w:firstLineChars="200"/>
        <w:jc w:val="left"/>
        <w:textAlignment w:val="baseline"/>
        <w:rPr>
          <w:rStyle w:val="74"/>
          <w:rFonts w:hint="eastAsia" w:ascii="宋体" w:hAnsi="宋体" w:cs="宋体"/>
          <w:color w:val="auto"/>
          <w:sz w:val="24"/>
          <w:szCs w:val="24"/>
          <w:highlight w:val="none"/>
        </w:rPr>
      </w:pPr>
      <w:r>
        <w:rPr>
          <w:rStyle w:val="74"/>
          <w:rFonts w:hint="eastAsia" w:ascii="宋体" w:hAnsi="宋体" w:cs="宋体"/>
          <w:color w:val="auto"/>
          <w:sz w:val="24"/>
          <w:szCs w:val="24"/>
          <w:highlight w:val="none"/>
        </w:rPr>
        <w:t>（1）</w:t>
      </w:r>
      <w:r>
        <w:rPr>
          <w:rFonts w:hint="eastAsia" w:ascii="宋体" w:hAnsi="宋体" w:cs="宋体"/>
          <w:b/>
          <w:color w:val="auto"/>
          <w:sz w:val="24"/>
          <w:szCs w:val="24"/>
          <w:highlight w:val="none"/>
          <w:lang w:val="zh-CN"/>
        </w:rPr>
        <w:t>推荐原则：</w:t>
      </w:r>
      <w:r>
        <w:rPr>
          <w:rFonts w:hint="eastAsia" w:ascii="宋体" w:hAnsi="宋体" w:cs="宋体"/>
          <w:color w:val="auto"/>
          <w:sz w:val="24"/>
          <w:szCs w:val="24"/>
          <w:highlight w:val="none"/>
          <w:lang w:val="zh-CN"/>
        </w:rPr>
        <w:t>经磋商评标委员会综合评分</w:t>
      </w:r>
      <w:r>
        <w:rPr>
          <w:rFonts w:hint="eastAsia" w:ascii="宋体" w:hAnsi="宋体" w:cs="宋体"/>
          <w:color w:val="auto"/>
          <w:sz w:val="24"/>
          <w:szCs w:val="24"/>
          <w:highlight w:val="none"/>
        </w:rPr>
        <w:t>由高到低的顺序进行排序，综合得分最高为第一成交候选人，以此类推。</w:t>
      </w:r>
    </w:p>
    <w:p w14:paraId="3D5BC73E">
      <w:pPr>
        <w:spacing w:line="360" w:lineRule="auto"/>
        <w:ind w:firstLine="480" w:firstLineChars="200"/>
        <w:jc w:val="left"/>
        <w:textAlignment w:val="baseline"/>
        <w:rPr>
          <w:rFonts w:hint="eastAsia" w:hAnsi="宋体" w:cs="宋体"/>
          <w:b/>
          <w:color w:val="auto"/>
          <w:sz w:val="32"/>
          <w:szCs w:val="32"/>
          <w:highlight w:val="none"/>
        </w:rPr>
      </w:pPr>
      <w:r>
        <w:rPr>
          <w:rStyle w:val="74"/>
          <w:rFonts w:hint="eastAsia" w:ascii="宋体" w:hAnsi="宋体" w:cs="宋体"/>
          <w:color w:val="auto"/>
          <w:sz w:val="24"/>
          <w:szCs w:val="24"/>
          <w:highlight w:val="none"/>
        </w:rPr>
        <w:t>（2）</w:t>
      </w:r>
      <w:r>
        <w:rPr>
          <w:rFonts w:hint="eastAsia" w:ascii="宋体" w:hAnsi="宋体" w:cs="宋体"/>
          <w:b/>
          <w:color w:val="auto"/>
          <w:sz w:val="24"/>
          <w:szCs w:val="24"/>
          <w:highlight w:val="none"/>
        </w:rPr>
        <w:t>定标原则：</w:t>
      </w:r>
      <w:r>
        <w:rPr>
          <w:rFonts w:hint="eastAsia" w:ascii="宋体" w:hAnsi="宋体" w:cs="宋体"/>
          <w:color w:val="auto"/>
          <w:sz w:val="24"/>
          <w:szCs w:val="24"/>
          <w:highlight w:val="none"/>
          <w:lang w:val="zh-CN"/>
        </w:rPr>
        <w:t>磋商小组根据综合评分由高到低的原则，以评审报告的形式将排序前三名的供应商推荐给采购人，由</w:t>
      </w:r>
      <w:r>
        <w:rPr>
          <w:rFonts w:hint="eastAsia" w:ascii="宋体" w:hAnsi="宋体" w:cs="宋体"/>
          <w:color w:val="auto"/>
          <w:sz w:val="24"/>
          <w:szCs w:val="24"/>
          <w:highlight w:val="none"/>
        </w:rPr>
        <w:t>得分最高为第一成交候选人</w:t>
      </w:r>
      <w:r>
        <w:rPr>
          <w:rFonts w:hint="eastAsia" w:ascii="宋体" w:hAnsi="宋体" w:cs="宋体"/>
          <w:color w:val="auto"/>
          <w:sz w:val="24"/>
          <w:szCs w:val="24"/>
          <w:highlight w:val="none"/>
          <w:lang w:val="zh-CN"/>
        </w:rPr>
        <w:t>。</w:t>
      </w:r>
      <w:bookmarkStart w:id="133" w:name="_Toc4674"/>
      <w:bookmarkStart w:id="134" w:name="_Toc293736067"/>
      <w:bookmarkStart w:id="135" w:name="_Toc446599330"/>
      <w:bookmarkStart w:id="136" w:name="_Toc293736024"/>
      <w:bookmarkStart w:id="137" w:name="_Toc293739005"/>
      <w:bookmarkStart w:id="138" w:name="_Toc17352"/>
    </w:p>
    <w:p w14:paraId="41085FE7">
      <w:pPr>
        <w:rPr>
          <w:rFonts w:hint="eastAsia" w:hAnsi="宋体" w:cs="宋体"/>
          <w:b/>
          <w:color w:val="auto"/>
          <w:sz w:val="32"/>
          <w:szCs w:val="32"/>
          <w:highlight w:val="none"/>
        </w:rPr>
      </w:pPr>
    </w:p>
    <w:p w14:paraId="2D0E4176">
      <w:pPr>
        <w:pStyle w:val="76"/>
        <w:spacing w:line="360" w:lineRule="auto"/>
        <w:ind w:firstLine="3213" w:firstLineChars="1000"/>
        <w:outlineLvl w:val="0"/>
        <w:rPr>
          <w:rFonts w:hint="eastAsia"/>
          <w:color w:val="auto"/>
          <w:highlight w:val="none"/>
        </w:rPr>
      </w:pPr>
      <w:r>
        <w:rPr>
          <w:rFonts w:hint="eastAsia" w:hAnsi="宋体" w:cs="宋体"/>
          <w:b/>
          <w:color w:val="auto"/>
          <w:sz w:val="32"/>
          <w:szCs w:val="32"/>
          <w:highlight w:val="none"/>
        </w:rPr>
        <w:t>第</w:t>
      </w:r>
      <w:r>
        <w:rPr>
          <w:rFonts w:hint="eastAsia" w:hAnsi="宋体" w:cs="宋体"/>
          <w:b/>
          <w:color w:val="auto"/>
          <w:sz w:val="32"/>
          <w:szCs w:val="32"/>
          <w:highlight w:val="none"/>
          <w:lang w:val="en-US" w:eastAsia="zh-CN"/>
        </w:rPr>
        <w:t>六</w:t>
      </w:r>
      <w:r>
        <w:rPr>
          <w:rFonts w:hint="eastAsia" w:hAnsi="宋体" w:cs="宋体"/>
          <w:b/>
          <w:color w:val="auto"/>
          <w:sz w:val="32"/>
          <w:szCs w:val="32"/>
          <w:highlight w:val="none"/>
        </w:rPr>
        <w:t>章  合同格式及合同条款</w:t>
      </w:r>
      <w:bookmarkEnd w:id="133"/>
    </w:p>
    <w:p w14:paraId="2892D74D">
      <w:pPr>
        <w:jc w:val="center"/>
        <w:rPr>
          <w:rFonts w:hint="eastAsia"/>
          <w:b/>
          <w:bCs/>
          <w:color w:val="auto"/>
          <w:sz w:val="32"/>
          <w:highlight w:val="none"/>
        </w:rPr>
      </w:pPr>
    </w:p>
    <w:bookmarkEnd w:id="134"/>
    <w:bookmarkEnd w:id="135"/>
    <w:bookmarkEnd w:id="136"/>
    <w:bookmarkEnd w:id="137"/>
    <w:bookmarkEnd w:id="138"/>
    <w:p w14:paraId="264BCF1F">
      <w:pPr>
        <w:autoSpaceDE w:val="0"/>
        <w:autoSpaceDN w:val="0"/>
        <w:spacing w:before="240" w:after="60" w:line="312" w:lineRule="auto"/>
        <w:jc w:val="center"/>
        <w:outlineLvl w:val="1"/>
        <w:rPr>
          <w:rFonts w:ascii="Cambria" w:hAnsi="Cambria"/>
          <w:b/>
          <w:bCs/>
          <w:kern w:val="28"/>
          <w:sz w:val="32"/>
          <w:szCs w:val="32"/>
          <w:lang w:val="zh-CN" w:bidi="zh-CN"/>
        </w:rPr>
      </w:pPr>
      <w:bookmarkStart w:id="139" w:name="_Toc256000046"/>
      <w:bookmarkStart w:id="140" w:name="_Toc54111878"/>
      <w:bookmarkStart w:id="141" w:name="_Toc53675245"/>
      <w:r>
        <w:rPr>
          <w:rFonts w:hint="eastAsia" w:ascii="Cambria" w:hAnsi="Cambria"/>
          <w:b/>
          <w:bCs/>
          <w:kern w:val="28"/>
          <w:sz w:val="32"/>
          <w:szCs w:val="32"/>
          <w:lang w:val="zh-CN" w:bidi="zh-CN"/>
        </w:rPr>
        <w:t>第一节 通用合同条款</w:t>
      </w:r>
      <w:bookmarkEnd w:id="139"/>
    </w:p>
    <w:p w14:paraId="769E57F8">
      <w:pPr>
        <w:widowControl/>
        <w:jc w:val="left"/>
        <w:rPr>
          <w:rFonts w:ascii="宋体" w:hAnsi="宋体" w:cs="宋体"/>
          <w:kern w:val="0"/>
          <w:sz w:val="20"/>
          <w:szCs w:val="24"/>
          <w:lang w:val="zh-CN" w:bidi="zh-CN"/>
        </w:rPr>
      </w:pPr>
    </w:p>
    <w:p w14:paraId="49DAE480">
      <w:pPr>
        <w:keepNext/>
        <w:keepLines/>
        <w:widowControl/>
        <w:spacing w:before="260" w:after="260" w:line="415" w:lineRule="auto"/>
        <w:jc w:val="left"/>
        <w:outlineLvl w:val="2"/>
        <w:rPr>
          <w:rFonts w:ascii="宋体" w:hAnsi="宋体" w:cs="宋体"/>
          <w:b/>
          <w:bCs/>
          <w:kern w:val="0"/>
          <w:sz w:val="24"/>
          <w:szCs w:val="24"/>
          <w:lang w:val="zh-CN" w:bidi="zh-CN"/>
        </w:rPr>
      </w:pPr>
      <w:bookmarkStart w:id="142" w:name="_Toc256000047"/>
      <w:r>
        <w:rPr>
          <w:rFonts w:ascii="宋体" w:hAnsi="宋体" w:cs="宋体"/>
          <w:b/>
          <w:bCs/>
          <w:kern w:val="0"/>
          <w:sz w:val="24"/>
          <w:szCs w:val="24"/>
          <w:lang w:val="zh-CN" w:bidi="zh-CN"/>
        </w:rPr>
        <w:t>一、适用条件</w:t>
      </w:r>
      <w:bookmarkEnd w:id="142"/>
    </w:p>
    <w:p w14:paraId="50CBA20C">
      <w:pPr>
        <w:keepLines/>
        <w:widowControl/>
        <w:tabs>
          <w:tab w:val="left" w:pos="567"/>
        </w:tabs>
        <w:autoSpaceDE w:val="0"/>
        <w:autoSpaceDN w:val="0"/>
        <w:spacing w:before="120" w:after="120" w:line="360" w:lineRule="auto"/>
        <w:ind w:left="567"/>
        <w:jc w:val="left"/>
        <w:outlineLvl w:val="3"/>
        <w:rPr>
          <w:rFonts w:ascii="宋体" w:hAnsi="宋体"/>
          <w:b/>
          <w:bCs/>
          <w:kern w:val="0"/>
          <w:sz w:val="24"/>
          <w:szCs w:val="24"/>
          <w:lang w:val="zh-CN" w:bidi="zh-CN"/>
        </w:rPr>
      </w:pPr>
      <w:r>
        <w:rPr>
          <w:rFonts w:ascii="宋体" w:hAnsi="宋体"/>
          <w:b/>
          <w:bCs/>
          <w:kern w:val="0"/>
          <w:sz w:val="24"/>
          <w:szCs w:val="24"/>
          <w:lang w:val="zh-CN" w:bidi="zh-CN"/>
        </w:rPr>
        <w:t>1.合同适用条件</w:t>
      </w:r>
    </w:p>
    <w:p w14:paraId="0DB92085">
      <w:pPr>
        <w:tabs>
          <w:tab w:val="left" w:pos="1403"/>
          <w:tab w:val="left" w:pos="1404"/>
        </w:tabs>
        <w:autoSpaceDE w:val="0"/>
        <w:autoSpaceDN w:val="0"/>
        <w:spacing w:before="1" w:line="360" w:lineRule="auto"/>
        <w:ind w:left="806"/>
        <w:jc w:val="left"/>
        <w:rPr>
          <w:rFonts w:ascii="宋体" w:hAnsi="宋体" w:cs="宋体"/>
          <w:kern w:val="0"/>
          <w:sz w:val="24"/>
          <w:szCs w:val="24"/>
          <w:lang w:val="zh-CN" w:bidi="zh-CN"/>
        </w:rPr>
      </w:pPr>
      <w:r>
        <w:rPr>
          <w:rFonts w:hint="eastAsia" w:ascii="宋体" w:hAnsi="宋体" w:cs="宋体"/>
          <w:kern w:val="0"/>
          <w:sz w:val="24"/>
          <w:szCs w:val="24"/>
          <w:lang w:val="zh-CN" w:bidi="zh-CN"/>
        </w:rPr>
        <w:t>1.1</w:t>
      </w:r>
      <w:r>
        <w:rPr>
          <w:rFonts w:ascii="宋体" w:hAnsi="宋体" w:cs="宋体"/>
          <w:kern w:val="0"/>
          <w:sz w:val="24"/>
          <w:szCs w:val="24"/>
          <w:lang w:val="zh-CN" w:bidi="zh-CN"/>
        </w:rPr>
        <w:t>本合同适用于</w:t>
      </w:r>
      <w:r>
        <w:rPr>
          <w:rFonts w:hint="eastAsia" w:ascii="宋体" w:hAnsi="宋体" w:cs="宋体"/>
          <w:kern w:val="0"/>
          <w:sz w:val="24"/>
          <w:szCs w:val="24"/>
          <w:lang w:bidi="zh-CN"/>
        </w:rPr>
        <w:t>新疆维吾尔自治区农村公路建设项目</w:t>
      </w:r>
      <w:r>
        <w:rPr>
          <w:rFonts w:ascii="宋体" w:hAnsi="宋体" w:cs="宋体"/>
          <w:kern w:val="0"/>
          <w:sz w:val="24"/>
          <w:szCs w:val="24"/>
          <w:lang w:val="zh-CN" w:bidi="zh-CN"/>
        </w:rPr>
        <w:t>。</w:t>
      </w:r>
    </w:p>
    <w:p w14:paraId="16FAC94A">
      <w:pPr>
        <w:tabs>
          <w:tab w:val="left" w:pos="1403"/>
          <w:tab w:val="left" w:pos="1404"/>
        </w:tabs>
        <w:autoSpaceDE w:val="0"/>
        <w:autoSpaceDN w:val="0"/>
        <w:spacing w:before="83" w:line="360" w:lineRule="auto"/>
        <w:ind w:left="800" w:right="466"/>
        <w:jc w:val="left"/>
        <w:rPr>
          <w:rFonts w:ascii="宋体" w:hAnsi="宋体" w:cs="宋体"/>
          <w:kern w:val="0"/>
          <w:sz w:val="24"/>
          <w:szCs w:val="24"/>
          <w:lang w:val="zh-CN" w:bidi="zh-CN"/>
        </w:rPr>
      </w:pPr>
      <w:r>
        <w:rPr>
          <w:rFonts w:hint="eastAsia" w:ascii="宋体" w:hAnsi="宋体" w:cs="宋体"/>
          <w:spacing w:val="-3"/>
          <w:kern w:val="0"/>
          <w:sz w:val="24"/>
          <w:szCs w:val="24"/>
          <w:lang w:val="zh-CN" w:bidi="zh-CN"/>
        </w:rPr>
        <w:t>1.2</w:t>
      </w:r>
      <w:r>
        <w:rPr>
          <w:rFonts w:ascii="宋体" w:hAnsi="宋体" w:cs="宋体"/>
          <w:spacing w:val="-3"/>
          <w:kern w:val="0"/>
          <w:sz w:val="24"/>
          <w:szCs w:val="24"/>
          <w:lang w:val="zh-CN" w:bidi="zh-CN"/>
        </w:rPr>
        <w:t>施工图设计文件经过审查批准，列入建设计划，资金落实到位，征地拆迁工作已经完成。</w:t>
      </w:r>
    </w:p>
    <w:p w14:paraId="54466C7A">
      <w:pPr>
        <w:keepLines/>
        <w:widowControl/>
        <w:tabs>
          <w:tab w:val="left" w:pos="567"/>
        </w:tabs>
        <w:autoSpaceDE w:val="0"/>
        <w:autoSpaceDN w:val="0"/>
        <w:spacing w:before="120" w:after="120" w:line="360" w:lineRule="auto"/>
        <w:ind w:left="567"/>
        <w:jc w:val="left"/>
        <w:outlineLvl w:val="3"/>
        <w:rPr>
          <w:rFonts w:ascii="宋体" w:hAnsi="宋体"/>
          <w:b/>
          <w:bCs/>
          <w:kern w:val="0"/>
          <w:sz w:val="24"/>
          <w:szCs w:val="24"/>
          <w:lang w:val="zh-CN" w:bidi="zh-CN"/>
        </w:rPr>
      </w:pPr>
      <w:r>
        <w:rPr>
          <w:rFonts w:ascii="宋体" w:hAnsi="宋体"/>
          <w:b/>
          <w:bCs/>
          <w:kern w:val="0"/>
          <w:sz w:val="24"/>
          <w:szCs w:val="24"/>
          <w:lang w:val="zh-CN" w:bidi="zh-CN"/>
        </w:rPr>
        <w:t>2.合同文件及优先顺序</w:t>
      </w:r>
    </w:p>
    <w:p w14:paraId="4E3E6F93">
      <w:pPr>
        <w:autoSpaceDE w:val="0"/>
        <w:autoSpaceDN w:val="0"/>
        <w:spacing w:line="360" w:lineRule="auto"/>
        <w:ind w:left="384" w:right="26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组成合同的各项文件应互相解释，互为说明。除项目专用合同条款另有约定外， 解释合同文件的优先顺序如下：</w:t>
      </w:r>
    </w:p>
    <w:p w14:paraId="5D15F7DA">
      <w:pPr>
        <w:autoSpaceDE w:val="0"/>
        <w:autoSpaceDN w:val="0"/>
        <w:spacing w:line="360" w:lineRule="auto"/>
        <w:ind w:left="384" w:right="38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（1）合同协议书及各种合同附件（含评标期间和合同谈判过程中的澄清文件和补充资料）；</w:t>
      </w:r>
    </w:p>
    <w:p w14:paraId="692DECBF">
      <w:pPr>
        <w:autoSpaceDE w:val="0"/>
        <w:autoSpaceDN w:val="0"/>
        <w:spacing w:line="360" w:lineRule="auto"/>
        <w:ind w:left="384" w:right="38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（2）中标通知书；</w:t>
      </w:r>
    </w:p>
    <w:p w14:paraId="35829628">
      <w:pPr>
        <w:autoSpaceDE w:val="0"/>
        <w:autoSpaceDN w:val="0"/>
        <w:spacing w:line="360" w:lineRule="auto"/>
        <w:ind w:left="384" w:right="38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（3）投标函及投标函附录；</w:t>
      </w:r>
    </w:p>
    <w:p w14:paraId="1B0569AA">
      <w:pPr>
        <w:autoSpaceDE w:val="0"/>
        <w:autoSpaceDN w:val="0"/>
        <w:spacing w:line="360" w:lineRule="auto"/>
        <w:ind w:left="384" w:right="38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（4）专用合同条款；</w:t>
      </w:r>
    </w:p>
    <w:p w14:paraId="46DF855C">
      <w:pPr>
        <w:autoSpaceDE w:val="0"/>
        <w:autoSpaceDN w:val="0"/>
        <w:spacing w:line="360" w:lineRule="auto"/>
        <w:ind w:left="384" w:right="38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（5）通用合同条款；</w:t>
      </w:r>
    </w:p>
    <w:p w14:paraId="42EDA314">
      <w:pPr>
        <w:autoSpaceDE w:val="0"/>
        <w:autoSpaceDN w:val="0"/>
        <w:spacing w:line="360" w:lineRule="auto"/>
        <w:ind w:left="384" w:right="38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（6）工程量清单计量规则；</w:t>
      </w:r>
    </w:p>
    <w:p w14:paraId="498CDE3C">
      <w:pPr>
        <w:autoSpaceDE w:val="0"/>
        <w:autoSpaceDN w:val="0"/>
        <w:spacing w:line="360" w:lineRule="auto"/>
        <w:ind w:left="384" w:right="38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（7）技术规范；</w:t>
      </w:r>
    </w:p>
    <w:p w14:paraId="61A8A67B">
      <w:pPr>
        <w:autoSpaceDE w:val="0"/>
        <w:autoSpaceDN w:val="0"/>
        <w:spacing w:line="360" w:lineRule="auto"/>
        <w:ind w:left="384" w:right="38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（8）图纸；</w:t>
      </w:r>
    </w:p>
    <w:p w14:paraId="281568C4">
      <w:pPr>
        <w:autoSpaceDE w:val="0"/>
        <w:autoSpaceDN w:val="0"/>
        <w:spacing w:line="360" w:lineRule="auto"/>
        <w:ind w:left="384" w:right="38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（9）已标价工程量清单；</w:t>
      </w:r>
    </w:p>
    <w:p w14:paraId="14DF92CD">
      <w:pPr>
        <w:autoSpaceDE w:val="0"/>
        <w:autoSpaceDN w:val="0"/>
        <w:spacing w:line="360" w:lineRule="auto"/>
        <w:ind w:left="384" w:right="38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（10）承包人有关人员、设备投入的承诺及投标文件中的施工组织设计；</w:t>
      </w:r>
    </w:p>
    <w:p w14:paraId="109D7A32">
      <w:pPr>
        <w:autoSpaceDE w:val="0"/>
        <w:autoSpaceDN w:val="0"/>
        <w:spacing w:line="360" w:lineRule="auto"/>
        <w:ind w:left="384" w:right="38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（11）其他合同文件。</w:t>
      </w:r>
    </w:p>
    <w:p w14:paraId="15AC3E2C">
      <w:pPr>
        <w:keepLines/>
        <w:widowControl/>
        <w:tabs>
          <w:tab w:val="left" w:pos="567"/>
        </w:tabs>
        <w:autoSpaceDE w:val="0"/>
        <w:autoSpaceDN w:val="0"/>
        <w:spacing w:before="120" w:after="120" w:line="360" w:lineRule="auto"/>
        <w:ind w:left="567"/>
        <w:jc w:val="left"/>
        <w:outlineLvl w:val="3"/>
        <w:rPr>
          <w:rFonts w:ascii="宋体" w:hAnsi="宋体"/>
          <w:b/>
          <w:bCs/>
          <w:kern w:val="0"/>
          <w:sz w:val="24"/>
          <w:szCs w:val="24"/>
          <w:lang w:val="zh-CN" w:bidi="zh-CN"/>
        </w:rPr>
      </w:pPr>
      <w:r>
        <w:rPr>
          <w:rFonts w:ascii="宋体" w:hAnsi="宋体"/>
          <w:b/>
          <w:bCs/>
          <w:kern w:val="0"/>
          <w:sz w:val="24"/>
          <w:szCs w:val="24"/>
          <w:lang w:val="zh-CN" w:bidi="zh-CN"/>
        </w:rPr>
        <w:t>3.适用法律及规范</w:t>
      </w:r>
    </w:p>
    <w:p w14:paraId="5378D63A">
      <w:pPr>
        <w:tabs>
          <w:tab w:val="left" w:pos="1403"/>
          <w:tab w:val="left" w:pos="1404"/>
        </w:tabs>
        <w:autoSpaceDE w:val="0"/>
        <w:autoSpaceDN w:val="0"/>
        <w:spacing w:before="1" w:line="360" w:lineRule="auto"/>
        <w:ind w:left="864"/>
        <w:jc w:val="left"/>
        <w:rPr>
          <w:rFonts w:ascii="宋体" w:hAnsi="宋体" w:cs="宋体"/>
          <w:kern w:val="0"/>
          <w:sz w:val="24"/>
          <w:szCs w:val="24"/>
          <w:lang w:val="zh-CN" w:bidi="zh-CN"/>
        </w:rPr>
      </w:pPr>
      <w:r>
        <w:rPr>
          <w:rFonts w:ascii="宋体" w:hAnsi="宋体" w:cs="宋体"/>
          <w:kern w:val="0"/>
          <w:sz w:val="24"/>
          <w:szCs w:val="24"/>
          <w:lang w:val="zh-CN" w:bidi="zh-CN"/>
        </w:rPr>
        <w:t>3.1适用法律和法规</w:t>
      </w:r>
    </w:p>
    <w:p w14:paraId="5E4360C4">
      <w:pPr>
        <w:autoSpaceDE w:val="0"/>
        <w:autoSpaceDN w:val="0"/>
        <w:spacing w:before="86" w:line="360" w:lineRule="auto"/>
        <w:ind w:left="384" w:right="467"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本合同服从国家法律和行政法规、部门规章以及</w:t>
      </w:r>
      <w:r>
        <w:rPr>
          <w:rFonts w:hint="eastAsia" w:ascii="宋体" w:hAnsi="宋体" w:cs="宋体"/>
          <w:kern w:val="0"/>
          <w:sz w:val="24"/>
          <w:szCs w:val="24"/>
          <w:lang w:bidi="zh-CN"/>
        </w:rPr>
        <w:t>新疆维吾尔自治区</w:t>
      </w:r>
      <w:r>
        <w:rPr>
          <w:rFonts w:ascii="宋体" w:hAnsi="宋体" w:cs="宋体"/>
          <w:kern w:val="0"/>
          <w:sz w:val="24"/>
          <w:szCs w:val="24"/>
          <w:lang w:val="zh-CN" w:bidi="zh-CN"/>
        </w:rPr>
        <w:t>地方法规、自治条例、单行条例和地方政府规章。</w:t>
      </w:r>
    </w:p>
    <w:p w14:paraId="2B4397FB">
      <w:pPr>
        <w:tabs>
          <w:tab w:val="left" w:pos="1403"/>
          <w:tab w:val="left" w:pos="1404"/>
        </w:tabs>
        <w:autoSpaceDE w:val="0"/>
        <w:autoSpaceDN w:val="0"/>
        <w:spacing w:before="1" w:line="360" w:lineRule="auto"/>
        <w:ind w:left="384" w:firstLine="480"/>
        <w:jc w:val="left"/>
        <w:rPr>
          <w:rFonts w:ascii="宋体" w:hAnsi="宋体" w:cs="宋体"/>
          <w:kern w:val="0"/>
          <w:sz w:val="24"/>
          <w:szCs w:val="24"/>
          <w:lang w:val="zh-CN" w:bidi="zh-CN"/>
        </w:rPr>
      </w:pPr>
      <w:r>
        <w:rPr>
          <w:rFonts w:hint="eastAsia" w:ascii="宋体" w:hAnsi="宋体" w:cs="宋体"/>
          <w:kern w:val="0"/>
          <w:sz w:val="24"/>
          <w:szCs w:val="24"/>
          <w:lang w:val="zh-CN" w:bidi="zh-CN"/>
        </w:rPr>
        <w:t>3.2</w:t>
      </w:r>
      <w:r>
        <w:rPr>
          <w:rFonts w:ascii="宋体" w:hAnsi="宋体" w:cs="宋体"/>
          <w:kern w:val="0"/>
          <w:sz w:val="24"/>
          <w:szCs w:val="24"/>
          <w:lang w:val="zh-CN" w:bidi="zh-CN"/>
        </w:rPr>
        <w:t>适用标准、规范</w:t>
      </w:r>
    </w:p>
    <w:p w14:paraId="0C0A1887">
      <w:pPr>
        <w:autoSpaceDE w:val="0"/>
        <w:autoSpaceDN w:val="0"/>
        <w:spacing w:before="86" w:line="360" w:lineRule="auto"/>
        <w:ind w:left="384" w:right="465" w:firstLine="480" w:firstLineChars="200"/>
        <w:rPr>
          <w:rFonts w:ascii="宋体" w:hAnsi="宋体" w:cs="宋体"/>
          <w:kern w:val="0"/>
          <w:sz w:val="24"/>
          <w:szCs w:val="24"/>
          <w:lang w:val="zh-CN" w:bidi="zh-CN"/>
        </w:rPr>
      </w:pPr>
      <w:r>
        <w:rPr>
          <w:rFonts w:ascii="宋体" w:hAnsi="宋体" w:cs="宋体"/>
          <w:kern w:val="0"/>
          <w:sz w:val="24"/>
          <w:szCs w:val="24"/>
          <w:lang w:val="zh-CN" w:bidi="zh-CN"/>
        </w:rPr>
        <w:t>现行国家标准、规范；交通运输部行业标准、规范；地方标准、规范适用本合同。发包人及承包人应注意标准、规范及规程的变更，在招投标及项目实施期内出现应采用有效版本的标准、规范及规程，不发生由此引起的费用变更。</w:t>
      </w:r>
    </w:p>
    <w:p w14:paraId="1BB252D6">
      <w:pPr>
        <w:keepLines/>
        <w:widowControl/>
        <w:tabs>
          <w:tab w:val="left" w:pos="567"/>
        </w:tabs>
        <w:autoSpaceDE w:val="0"/>
        <w:autoSpaceDN w:val="0"/>
        <w:spacing w:before="120" w:after="120" w:line="360" w:lineRule="auto"/>
        <w:ind w:left="567"/>
        <w:jc w:val="left"/>
        <w:outlineLvl w:val="3"/>
        <w:rPr>
          <w:rFonts w:ascii="宋体" w:hAnsi="宋体"/>
          <w:b/>
          <w:bCs/>
          <w:kern w:val="0"/>
          <w:sz w:val="24"/>
          <w:szCs w:val="24"/>
          <w:lang w:val="zh-CN" w:bidi="zh-CN"/>
        </w:rPr>
      </w:pPr>
      <w:r>
        <w:rPr>
          <w:rFonts w:ascii="宋体" w:hAnsi="宋体"/>
          <w:b/>
          <w:bCs/>
          <w:kern w:val="0"/>
          <w:sz w:val="24"/>
          <w:szCs w:val="24"/>
          <w:lang w:val="zh-CN" w:bidi="zh-CN"/>
        </w:rPr>
        <w:t>4.图纸和技术资料</w:t>
      </w:r>
    </w:p>
    <w:p w14:paraId="3027DE5B">
      <w:pPr>
        <w:widowControl/>
        <w:ind w:firstLine="840" w:firstLineChars="350"/>
        <w:jc w:val="left"/>
        <w:rPr>
          <w:rFonts w:ascii="宋体" w:hAnsi="宋体" w:cs="宋体"/>
          <w:kern w:val="0"/>
          <w:sz w:val="24"/>
          <w:szCs w:val="24"/>
          <w:lang w:val="zh-CN" w:bidi="zh-CN"/>
        </w:rPr>
      </w:pPr>
      <w:r>
        <w:rPr>
          <w:rFonts w:hint="eastAsia" w:ascii="宋体" w:hAnsi="宋体" w:cs="宋体"/>
          <w:kern w:val="0"/>
          <w:sz w:val="24"/>
          <w:szCs w:val="24"/>
          <w:lang w:val="zh-CN" w:bidi="zh-CN"/>
        </w:rPr>
        <w:t>4.1</w:t>
      </w:r>
      <w:r>
        <w:rPr>
          <w:rFonts w:ascii="宋体" w:hAnsi="宋体" w:cs="宋体"/>
          <w:kern w:val="0"/>
          <w:sz w:val="24"/>
          <w:szCs w:val="24"/>
          <w:lang w:val="zh-CN" w:bidi="zh-CN"/>
        </w:rPr>
        <w:t>合同协议书签定之后，发包人免费向承包人提供施工图纸（相关技术资料） 两份，向承包人进行技术交底。</w:t>
      </w:r>
    </w:p>
    <w:p w14:paraId="67EFE9A3">
      <w:pPr>
        <w:autoSpaceDE w:val="0"/>
        <w:autoSpaceDN w:val="0"/>
        <w:spacing w:before="86" w:line="360" w:lineRule="auto"/>
        <w:ind w:left="384" w:right="465" w:firstLine="480" w:firstLineChars="200"/>
        <w:rPr>
          <w:rFonts w:ascii="宋体" w:hAnsi="宋体" w:cs="宋体"/>
          <w:kern w:val="0"/>
          <w:sz w:val="24"/>
          <w:szCs w:val="24"/>
          <w:lang w:val="zh-CN" w:bidi="zh-CN"/>
        </w:rPr>
      </w:pPr>
      <w:r>
        <w:rPr>
          <w:rFonts w:hint="eastAsia" w:ascii="宋体" w:hAnsi="宋体" w:cs="宋体"/>
          <w:kern w:val="0"/>
          <w:sz w:val="24"/>
          <w:szCs w:val="24"/>
          <w:lang w:val="zh-CN" w:bidi="zh-CN"/>
        </w:rPr>
        <w:t>4.2</w:t>
      </w:r>
      <w:r>
        <w:rPr>
          <w:rFonts w:ascii="宋体" w:hAnsi="宋体" w:cs="宋体"/>
          <w:kern w:val="0"/>
          <w:sz w:val="24"/>
          <w:szCs w:val="24"/>
          <w:lang w:val="zh-CN" w:bidi="zh-CN"/>
        </w:rPr>
        <w:t>发包人有权通过监理人向承包人发出为满足本合同工程的正确实施和完成及其缺陷修复所需的补充图纸和有关指示，承包人应予执行。</w:t>
      </w:r>
    </w:p>
    <w:p w14:paraId="6749E5F4">
      <w:pPr>
        <w:keepNext/>
        <w:keepLines/>
        <w:widowControl/>
        <w:spacing w:before="260" w:after="260" w:line="415" w:lineRule="auto"/>
        <w:jc w:val="left"/>
        <w:outlineLvl w:val="2"/>
        <w:rPr>
          <w:rFonts w:ascii="宋体" w:hAnsi="宋体" w:cs="宋体"/>
          <w:b/>
          <w:bCs/>
          <w:kern w:val="0"/>
          <w:sz w:val="24"/>
          <w:szCs w:val="24"/>
          <w:lang w:val="zh-CN" w:bidi="zh-CN"/>
        </w:rPr>
      </w:pPr>
      <w:bookmarkStart w:id="143" w:name="_Toc256000048"/>
      <w:r>
        <w:rPr>
          <w:rFonts w:ascii="宋体" w:hAnsi="宋体" w:cs="宋体"/>
          <w:b/>
          <w:bCs/>
          <w:kern w:val="0"/>
          <w:sz w:val="24"/>
          <w:szCs w:val="24"/>
          <w:lang w:val="zh-CN" w:bidi="zh-CN"/>
        </w:rPr>
        <w:t>二、双方一般义务和责任</w:t>
      </w:r>
      <w:bookmarkEnd w:id="143"/>
    </w:p>
    <w:p w14:paraId="229CD291">
      <w:pPr>
        <w:keepLines/>
        <w:widowControl/>
        <w:tabs>
          <w:tab w:val="left" w:pos="567"/>
        </w:tabs>
        <w:autoSpaceDE w:val="0"/>
        <w:autoSpaceDN w:val="0"/>
        <w:spacing w:before="120" w:after="120" w:line="360" w:lineRule="auto"/>
        <w:ind w:left="567"/>
        <w:jc w:val="left"/>
        <w:outlineLvl w:val="3"/>
        <w:rPr>
          <w:rFonts w:ascii="宋体" w:hAnsi="宋体"/>
          <w:b/>
          <w:bCs/>
          <w:kern w:val="0"/>
          <w:sz w:val="24"/>
          <w:szCs w:val="24"/>
          <w:lang w:val="zh-CN" w:bidi="zh-CN"/>
        </w:rPr>
      </w:pPr>
      <w:r>
        <w:rPr>
          <w:rFonts w:ascii="宋体" w:hAnsi="宋体"/>
          <w:b/>
          <w:bCs/>
          <w:kern w:val="0"/>
          <w:sz w:val="24"/>
          <w:szCs w:val="24"/>
          <w:lang w:val="zh-CN" w:bidi="zh-CN"/>
        </w:rPr>
        <w:t>5.发包人一般义务和责任</w:t>
      </w:r>
    </w:p>
    <w:p w14:paraId="6DEE9BC8">
      <w:pPr>
        <w:numPr>
          <w:ilvl w:val="1"/>
          <w:numId w:val="6"/>
        </w:numPr>
        <w:tabs>
          <w:tab w:val="left" w:pos="1404"/>
        </w:tabs>
        <w:autoSpaceDE w:val="0"/>
        <w:autoSpaceDN w:val="0"/>
        <w:spacing w:line="360" w:lineRule="auto"/>
        <w:ind w:right="466" w:firstLine="476" w:firstLineChars="200"/>
        <w:rPr>
          <w:rFonts w:ascii="宋体" w:hAnsi="宋体" w:cs="宋体"/>
          <w:kern w:val="0"/>
          <w:sz w:val="24"/>
          <w:szCs w:val="24"/>
          <w:lang w:val="zh-CN" w:bidi="zh-CN"/>
        </w:rPr>
      </w:pPr>
      <w:r>
        <w:rPr>
          <w:rFonts w:ascii="宋体" w:hAnsi="宋体" w:cs="宋体"/>
          <w:spacing w:val="-1"/>
          <w:kern w:val="0"/>
          <w:sz w:val="24"/>
          <w:szCs w:val="24"/>
          <w:lang w:val="zh-CN" w:bidi="zh-CN"/>
        </w:rPr>
        <w:t>发包人应在其组织实施本合同的全部工作中遵守与本合同有关的法律、法规和规章，同时应承担合同条款中规定的一般义务和责任，并应承担由于自身违反上述法律、法规和规章的责任。</w:t>
      </w:r>
    </w:p>
    <w:p w14:paraId="6A260074">
      <w:pPr>
        <w:numPr>
          <w:ilvl w:val="1"/>
          <w:numId w:val="6"/>
        </w:numPr>
        <w:tabs>
          <w:tab w:val="left" w:pos="1404"/>
        </w:tabs>
        <w:autoSpaceDE w:val="0"/>
        <w:autoSpaceDN w:val="0"/>
        <w:spacing w:line="360" w:lineRule="auto"/>
        <w:ind w:right="466" w:firstLine="472" w:firstLineChars="200"/>
        <w:rPr>
          <w:rFonts w:ascii="宋体" w:hAnsi="宋体" w:cs="宋体"/>
          <w:kern w:val="0"/>
          <w:sz w:val="24"/>
          <w:szCs w:val="24"/>
          <w:lang w:val="zh-CN" w:bidi="zh-CN"/>
        </w:rPr>
      </w:pPr>
      <w:r>
        <w:rPr>
          <w:rFonts w:ascii="宋体" w:hAnsi="宋体" w:cs="宋体"/>
          <w:spacing w:val="-2"/>
          <w:kern w:val="0"/>
          <w:sz w:val="24"/>
          <w:szCs w:val="24"/>
          <w:lang w:val="zh-CN" w:bidi="zh-CN"/>
        </w:rPr>
        <w:t>发包人应负责工程用地范围内的征地拆迁工作，并承担相关费用。发包人应协助承包人办理法律规定的有关本项目的施工手续。</w:t>
      </w:r>
    </w:p>
    <w:p w14:paraId="69FF50A6">
      <w:pPr>
        <w:autoSpaceDE w:val="0"/>
        <w:autoSpaceDN w:val="0"/>
        <w:spacing w:line="360" w:lineRule="auto"/>
        <w:ind w:left="384" w:right="465" w:firstLine="480" w:firstLineChars="200"/>
        <w:rPr>
          <w:rFonts w:ascii="宋体" w:hAnsi="宋体" w:cs="宋体"/>
          <w:kern w:val="0"/>
          <w:sz w:val="24"/>
          <w:szCs w:val="24"/>
          <w:lang w:val="zh-CN" w:bidi="zh-CN"/>
        </w:rPr>
      </w:pPr>
      <w:r>
        <w:rPr>
          <w:rFonts w:ascii="宋体" w:hAnsi="宋体" w:cs="宋体"/>
          <w:kern w:val="0"/>
          <w:sz w:val="24"/>
          <w:szCs w:val="24"/>
          <w:lang w:val="zh-CN" w:bidi="zh-CN"/>
        </w:rPr>
        <w:t>按时向承包人提供施工用地，保证按时开工。由于发包人未能按照本项规定办妥永久占地征用手续及施工用地，影响承包人及时使用永久占地及施工用地造成的费用增加和(或)工期延误应由发包人承担。</w:t>
      </w:r>
    </w:p>
    <w:p w14:paraId="7DBDCB5B">
      <w:pPr>
        <w:numPr>
          <w:ilvl w:val="1"/>
          <w:numId w:val="6"/>
        </w:numPr>
        <w:tabs>
          <w:tab w:val="left" w:pos="1404"/>
        </w:tabs>
        <w:autoSpaceDE w:val="0"/>
        <w:autoSpaceDN w:val="0"/>
        <w:spacing w:line="360" w:lineRule="auto"/>
        <w:ind w:right="466" w:firstLine="468" w:firstLineChars="200"/>
        <w:rPr>
          <w:rFonts w:ascii="宋体" w:hAnsi="宋体" w:cs="宋体"/>
          <w:kern w:val="0"/>
          <w:sz w:val="24"/>
          <w:szCs w:val="24"/>
          <w:lang w:val="zh-CN" w:bidi="zh-CN"/>
        </w:rPr>
      </w:pPr>
      <w:r>
        <w:rPr>
          <w:rFonts w:ascii="宋体" w:hAnsi="宋体" w:cs="宋体"/>
          <w:spacing w:val="-3"/>
          <w:kern w:val="0"/>
          <w:sz w:val="24"/>
          <w:szCs w:val="24"/>
          <w:lang w:val="zh-CN" w:bidi="zh-CN"/>
        </w:rPr>
        <w:t>工程实行社会监理的，发包人将委托的监理人、监理内容及监理权限以书面形式通知承包人。</w:t>
      </w:r>
    </w:p>
    <w:p w14:paraId="74DED95A">
      <w:pPr>
        <w:numPr>
          <w:ilvl w:val="1"/>
          <w:numId w:val="6"/>
        </w:numPr>
        <w:tabs>
          <w:tab w:val="left" w:pos="1403"/>
          <w:tab w:val="left" w:pos="1404"/>
        </w:tabs>
        <w:autoSpaceDE w:val="0"/>
        <w:autoSpaceDN w:val="0"/>
        <w:spacing w:line="360" w:lineRule="auto"/>
        <w:ind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监理人按合同规定向承包人发出开工通知（应征得发包人同意）。</w:t>
      </w:r>
    </w:p>
    <w:p w14:paraId="1402EC0E">
      <w:pPr>
        <w:numPr>
          <w:ilvl w:val="1"/>
          <w:numId w:val="6"/>
        </w:numPr>
        <w:tabs>
          <w:tab w:val="left" w:pos="1404"/>
        </w:tabs>
        <w:autoSpaceDE w:val="0"/>
        <w:autoSpaceDN w:val="0"/>
        <w:spacing w:before="99" w:line="360" w:lineRule="auto"/>
        <w:ind w:right="466" w:firstLine="476" w:firstLineChars="200"/>
        <w:rPr>
          <w:rFonts w:ascii="宋体" w:hAnsi="宋体" w:cs="宋体"/>
          <w:kern w:val="0"/>
          <w:sz w:val="24"/>
          <w:szCs w:val="24"/>
          <w:lang w:val="zh-CN" w:bidi="zh-CN"/>
        </w:rPr>
      </w:pPr>
      <w:r>
        <w:rPr>
          <w:rFonts w:ascii="宋体" w:hAnsi="宋体" w:cs="宋体"/>
          <w:spacing w:val="-1"/>
          <w:kern w:val="0"/>
          <w:sz w:val="24"/>
          <w:szCs w:val="24"/>
          <w:lang w:val="zh-CN" w:bidi="zh-CN"/>
        </w:rPr>
        <w:t>发包人应及时提供设计图纸及资料</w:t>
      </w:r>
      <w:r>
        <w:rPr>
          <w:rFonts w:ascii="宋体" w:hAnsi="宋体" w:cs="宋体"/>
          <w:kern w:val="0"/>
          <w:sz w:val="24"/>
          <w:szCs w:val="24"/>
          <w:lang w:val="zh-CN" w:bidi="zh-CN"/>
        </w:rPr>
        <w:t>（包括变更设计</w:t>
      </w:r>
      <w:r>
        <w:rPr>
          <w:rFonts w:ascii="宋体" w:hAnsi="宋体" w:cs="宋体"/>
          <w:spacing w:val="-9"/>
          <w:kern w:val="0"/>
          <w:sz w:val="24"/>
          <w:szCs w:val="24"/>
          <w:lang w:val="zh-CN" w:bidi="zh-CN"/>
        </w:rPr>
        <w:t>）</w:t>
      </w:r>
      <w:r>
        <w:rPr>
          <w:rFonts w:ascii="宋体" w:hAnsi="宋体" w:cs="宋体"/>
          <w:spacing w:val="-3"/>
          <w:kern w:val="0"/>
          <w:sz w:val="24"/>
          <w:szCs w:val="24"/>
          <w:lang w:val="zh-CN" w:bidi="zh-CN"/>
        </w:rPr>
        <w:t>，因发包人的原因造成的停工、窝工，除应允许承包人延长相应工期外，还应补偿由此对承包人造成的损失。补偿额由监理人在现场核查后计算其数额，报发包人批准后支付。</w:t>
      </w:r>
    </w:p>
    <w:p w14:paraId="23C2D6DB">
      <w:pPr>
        <w:numPr>
          <w:ilvl w:val="1"/>
          <w:numId w:val="6"/>
        </w:numPr>
        <w:tabs>
          <w:tab w:val="left" w:pos="1403"/>
          <w:tab w:val="left" w:pos="1404"/>
        </w:tabs>
        <w:autoSpaceDE w:val="0"/>
        <w:autoSpaceDN w:val="0"/>
        <w:spacing w:before="1" w:line="360" w:lineRule="auto"/>
        <w:ind w:right="346" w:firstLine="476" w:firstLineChars="200"/>
        <w:jc w:val="left"/>
        <w:rPr>
          <w:rFonts w:ascii="宋体" w:hAnsi="宋体" w:cs="宋体"/>
          <w:kern w:val="0"/>
          <w:sz w:val="24"/>
          <w:szCs w:val="24"/>
          <w:lang w:val="zh-CN" w:bidi="zh-CN"/>
        </w:rPr>
      </w:pPr>
      <w:r>
        <w:rPr>
          <w:rFonts w:ascii="宋体" w:hAnsi="宋体" w:cs="宋体"/>
          <w:spacing w:val="-1"/>
          <w:kern w:val="0"/>
          <w:sz w:val="24"/>
          <w:szCs w:val="24"/>
          <w:lang w:val="zh-CN" w:bidi="zh-CN"/>
        </w:rPr>
        <w:t>发包人向承包人支付的预付款金额见合同条款数据表。承包人提交的履约</w:t>
      </w:r>
      <w:r>
        <w:rPr>
          <w:rFonts w:ascii="宋体" w:hAnsi="宋体" w:cs="宋体"/>
          <w:spacing w:val="-6"/>
          <w:kern w:val="0"/>
          <w:sz w:val="24"/>
          <w:szCs w:val="24"/>
          <w:lang w:val="zh-CN" w:bidi="zh-CN"/>
        </w:rPr>
        <w:t>保证金对预付款的正常使用承担保证责任，承包人无再须向发包人提交预付款保函。</w:t>
      </w:r>
    </w:p>
    <w:p w14:paraId="706EE453">
      <w:pPr>
        <w:numPr>
          <w:ilvl w:val="1"/>
          <w:numId w:val="6"/>
        </w:numPr>
        <w:tabs>
          <w:tab w:val="left" w:pos="1409"/>
        </w:tabs>
        <w:autoSpaceDE w:val="0"/>
        <w:autoSpaceDN w:val="0"/>
        <w:spacing w:line="360" w:lineRule="auto"/>
        <w:ind w:right="466" w:firstLine="472" w:firstLineChars="200"/>
        <w:rPr>
          <w:rFonts w:ascii="宋体" w:hAnsi="宋体" w:cs="宋体"/>
          <w:kern w:val="0"/>
          <w:sz w:val="24"/>
          <w:szCs w:val="24"/>
          <w:lang w:val="zh-CN" w:bidi="zh-CN"/>
        </w:rPr>
      </w:pPr>
      <w:r>
        <w:rPr>
          <w:rFonts w:ascii="宋体" w:hAnsi="宋体" w:cs="宋体"/>
          <w:spacing w:val="-2"/>
          <w:kern w:val="0"/>
          <w:sz w:val="24"/>
          <w:szCs w:val="24"/>
          <w:lang w:val="zh-CN" w:bidi="zh-CN"/>
        </w:rPr>
        <w:t xml:space="preserve">发包人在接到监理人审定的中期支付报告后 </w:t>
      </w:r>
      <w:r>
        <w:rPr>
          <w:rFonts w:ascii="宋体" w:hAnsi="宋体" w:cs="宋体"/>
          <w:kern w:val="0"/>
          <w:sz w:val="24"/>
          <w:szCs w:val="24"/>
          <w:lang w:val="zh-CN" w:bidi="zh-CN"/>
        </w:rPr>
        <w:t>14</w:t>
      </w:r>
      <w:r>
        <w:rPr>
          <w:rFonts w:ascii="宋体" w:hAnsi="宋体" w:cs="宋体"/>
          <w:spacing w:val="20"/>
          <w:kern w:val="0"/>
          <w:sz w:val="24"/>
          <w:szCs w:val="24"/>
          <w:lang w:val="zh-CN" w:bidi="zh-CN"/>
        </w:rPr>
        <w:t xml:space="preserve"> </w:t>
      </w:r>
      <w:r>
        <w:rPr>
          <w:rFonts w:ascii="宋体" w:hAnsi="宋体" w:cs="宋体"/>
          <w:kern w:val="0"/>
          <w:sz w:val="24"/>
          <w:szCs w:val="24"/>
          <w:lang w:val="zh-CN" w:bidi="zh-CN"/>
        </w:rPr>
        <w:t>天内拨付工程进度款。在</w:t>
      </w:r>
      <w:r>
        <w:rPr>
          <w:rFonts w:ascii="宋体" w:hAnsi="宋体" w:cs="宋体"/>
          <w:spacing w:val="-4"/>
          <w:kern w:val="0"/>
          <w:sz w:val="24"/>
          <w:szCs w:val="24"/>
          <w:lang w:val="zh-CN" w:bidi="zh-CN"/>
        </w:rPr>
        <w:t xml:space="preserve">中期支付中应扣除预付款，预付款的扣回按合同条款 </w:t>
      </w:r>
      <w:r>
        <w:rPr>
          <w:rFonts w:ascii="宋体" w:hAnsi="宋体" w:cs="宋体"/>
          <w:kern w:val="0"/>
          <w:sz w:val="24"/>
          <w:szCs w:val="24"/>
          <w:lang w:val="zh-CN" w:bidi="zh-CN"/>
        </w:rPr>
        <w:t xml:space="preserve">17.3 </w:t>
      </w:r>
      <w:r>
        <w:rPr>
          <w:rFonts w:ascii="宋体" w:hAnsi="宋体" w:cs="宋体"/>
          <w:spacing w:val="-3"/>
          <w:kern w:val="0"/>
          <w:sz w:val="24"/>
          <w:szCs w:val="24"/>
          <w:lang w:val="zh-CN" w:bidi="zh-CN"/>
        </w:rPr>
        <w:t>款执行。监理人签发中期</w:t>
      </w:r>
      <w:r>
        <w:rPr>
          <w:rFonts w:ascii="宋体" w:hAnsi="宋体" w:cs="宋体"/>
          <w:spacing w:val="-10"/>
          <w:kern w:val="0"/>
          <w:sz w:val="24"/>
          <w:szCs w:val="24"/>
          <w:lang w:val="zh-CN" w:bidi="zh-CN"/>
        </w:rPr>
        <w:t xml:space="preserve">支付证书的时限为 </w:t>
      </w:r>
      <w:r>
        <w:rPr>
          <w:rFonts w:ascii="宋体" w:hAnsi="宋体" w:cs="宋体"/>
          <w:kern w:val="0"/>
          <w:sz w:val="24"/>
          <w:szCs w:val="24"/>
          <w:lang w:val="zh-CN" w:bidi="zh-CN"/>
        </w:rPr>
        <w:t>14 天。</w:t>
      </w:r>
    </w:p>
    <w:p w14:paraId="3C815E2F">
      <w:pPr>
        <w:numPr>
          <w:ilvl w:val="1"/>
          <w:numId w:val="6"/>
        </w:numPr>
        <w:tabs>
          <w:tab w:val="left" w:pos="1409"/>
        </w:tabs>
        <w:autoSpaceDE w:val="0"/>
        <w:autoSpaceDN w:val="0"/>
        <w:spacing w:before="1" w:line="360" w:lineRule="auto"/>
        <w:ind w:right="466" w:firstLine="472" w:firstLineChars="200"/>
        <w:rPr>
          <w:rFonts w:ascii="宋体" w:hAnsi="宋体" w:cs="宋体"/>
          <w:kern w:val="0"/>
          <w:sz w:val="24"/>
          <w:szCs w:val="24"/>
          <w:lang w:val="zh-CN" w:bidi="zh-CN"/>
        </w:rPr>
      </w:pPr>
      <w:r>
        <w:rPr>
          <w:rFonts w:ascii="宋体" w:hAnsi="宋体" w:cs="宋体"/>
          <w:spacing w:val="-2"/>
          <w:kern w:val="0"/>
          <w:sz w:val="24"/>
          <w:szCs w:val="24"/>
          <w:lang w:val="zh-CN" w:bidi="zh-CN"/>
        </w:rPr>
        <w:t xml:space="preserve">发包人在接到监理人交工验收报告后在符合交工验收条件的情况下 </w:t>
      </w:r>
      <w:r>
        <w:rPr>
          <w:rFonts w:ascii="宋体" w:hAnsi="宋体" w:cs="宋体"/>
          <w:kern w:val="0"/>
          <w:sz w:val="24"/>
          <w:szCs w:val="24"/>
          <w:lang w:val="zh-CN" w:bidi="zh-CN"/>
        </w:rPr>
        <w:t>14</w:t>
      </w:r>
      <w:r>
        <w:rPr>
          <w:rFonts w:ascii="宋体" w:hAnsi="宋体" w:cs="宋体"/>
          <w:spacing w:val="23"/>
          <w:kern w:val="0"/>
          <w:sz w:val="24"/>
          <w:szCs w:val="24"/>
          <w:lang w:val="zh-CN" w:bidi="zh-CN"/>
        </w:rPr>
        <w:t xml:space="preserve"> </w:t>
      </w:r>
      <w:r>
        <w:rPr>
          <w:rFonts w:ascii="宋体" w:hAnsi="宋体" w:cs="宋体"/>
          <w:kern w:val="0"/>
          <w:sz w:val="24"/>
          <w:szCs w:val="24"/>
          <w:lang w:val="zh-CN" w:bidi="zh-CN"/>
        </w:rPr>
        <w:t>天</w:t>
      </w:r>
      <w:r>
        <w:rPr>
          <w:rFonts w:ascii="宋体" w:hAnsi="宋体" w:cs="宋体"/>
          <w:spacing w:val="-11"/>
          <w:kern w:val="0"/>
          <w:sz w:val="24"/>
          <w:szCs w:val="24"/>
          <w:lang w:val="zh-CN" w:bidi="zh-CN"/>
        </w:rPr>
        <w:t xml:space="preserve">内组织交工验收，发包人应在收到承包人缴纳的质量保证金后 </w:t>
      </w:r>
      <w:r>
        <w:rPr>
          <w:rFonts w:ascii="宋体" w:hAnsi="宋体" w:cs="宋体"/>
          <w:kern w:val="0"/>
          <w:sz w:val="24"/>
          <w:szCs w:val="24"/>
          <w:lang w:val="zh-CN" w:bidi="zh-CN"/>
        </w:rPr>
        <w:t>28 天内将履约保证金退还给承包人。</w:t>
      </w:r>
    </w:p>
    <w:p w14:paraId="40B82156">
      <w:pPr>
        <w:autoSpaceDE w:val="0"/>
        <w:autoSpaceDN w:val="0"/>
        <w:spacing w:line="360" w:lineRule="auto"/>
        <w:ind w:left="384" w:right="465" w:firstLine="480" w:firstLineChars="200"/>
        <w:rPr>
          <w:rFonts w:ascii="宋体" w:hAnsi="宋体" w:cs="宋体"/>
          <w:kern w:val="0"/>
          <w:sz w:val="24"/>
          <w:szCs w:val="24"/>
          <w:lang w:val="zh-CN" w:bidi="zh-CN"/>
        </w:rPr>
      </w:pPr>
      <w:r>
        <w:rPr>
          <w:rFonts w:ascii="宋体" w:hAnsi="宋体" w:cs="宋体"/>
          <w:kern w:val="0"/>
          <w:sz w:val="24"/>
          <w:szCs w:val="24"/>
          <w:lang w:val="zh-CN" w:bidi="zh-CN"/>
        </w:rPr>
        <w:t>交工后进入缺陷责任期，缺陷责任期见合同条款数据表。发包人应按合同约定及时组织竣工验收，签发缺陷责任终止证书，退返质量保证金。</w:t>
      </w:r>
    </w:p>
    <w:p w14:paraId="794B523B">
      <w:pPr>
        <w:keepLines/>
        <w:widowControl/>
        <w:tabs>
          <w:tab w:val="left" w:pos="567"/>
        </w:tabs>
        <w:autoSpaceDE w:val="0"/>
        <w:autoSpaceDN w:val="0"/>
        <w:spacing w:before="120" w:after="120" w:line="360" w:lineRule="auto"/>
        <w:ind w:left="567"/>
        <w:jc w:val="left"/>
        <w:outlineLvl w:val="3"/>
        <w:rPr>
          <w:rFonts w:ascii="宋体" w:hAnsi="宋体"/>
          <w:b/>
          <w:bCs/>
          <w:kern w:val="0"/>
          <w:sz w:val="24"/>
          <w:szCs w:val="24"/>
          <w:lang w:val="zh-CN" w:bidi="zh-CN"/>
        </w:rPr>
      </w:pPr>
      <w:r>
        <w:rPr>
          <w:rFonts w:ascii="宋体" w:hAnsi="宋体"/>
          <w:b/>
          <w:bCs/>
          <w:kern w:val="0"/>
          <w:sz w:val="24"/>
          <w:szCs w:val="24"/>
          <w:lang w:val="zh-CN" w:bidi="zh-CN"/>
        </w:rPr>
        <w:t>6.承包人一般义务和责任</w:t>
      </w:r>
    </w:p>
    <w:p w14:paraId="4AE7E9CE">
      <w:pPr>
        <w:autoSpaceDE w:val="0"/>
        <w:autoSpaceDN w:val="0"/>
        <w:spacing w:line="360" w:lineRule="auto"/>
        <w:ind w:left="384" w:right="465" w:firstLine="480" w:firstLineChars="200"/>
        <w:rPr>
          <w:rFonts w:ascii="宋体" w:hAnsi="宋体" w:cs="宋体"/>
          <w:kern w:val="0"/>
          <w:sz w:val="24"/>
          <w:szCs w:val="24"/>
          <w:lang w:val="zh-CN" w:bidi="zh-CN"/>
        </w:rPr>
      </w:pPr>
      <w:r>
        <w:rPr>
          <w:rFonts w:hint="eastAsia" w:ascii="宋体" w:hAnsi="宋体" w:cs="宋体"/>
          <w:kern w:val="0"/>
          <w:sz w:val="24"/>
          <w:szCs w:val="24"/>
          <w:lang w:val="zh-CN" w:bidi="zh-CN"/>
        </w:rPr>
        <w:t>6.1</w:t>
      </w:r>
      <w:r>
        <w:rPr>
          <w:rFonts w:ascii="宋体" w:hAnsi="宋体" w:cs="宋体"/>
          <w:kern w:val="0"/>
          <w:sz w:val="24"/>
          <w:szCs w:val="24"/>
          <w:lang w:val="zh-CN" w:bidi="zh-CN"/>
        </w:rPr>
        <w:t>承包人在执行本工程合同全过程中应遵守与本合同有关的法律、法规和规章，并保证发包人免于承担因承包人违反法律而引起的任何责任。同时应承担合同条款中规定的义务和责任，并承担由于自身违反上述法律、法规和规章的任何责任。</w:t>
      </w:r>
    </w:p>
    <w:p w14:paraId="73D4EDB5">
      <w:pPr>
        <w:autoSpaceDE w:val="0"/>
        <w:autoSpaceDN w:val="0"/>
        <w:spacing w:line="360" w:lineRule="auto"/>
        <w:ind w:left="384" w:right="465" w:firstLine="480" w:firstLineChars="200"/>
        <w:rPr>
          <w:rFonts w:ascii="宋体" w:hAnsi="宋体" w:cs="宋体"/>
          <w:kern w:val="0"/>
          <w:sz w:val="24"/>
          <w:szCs w:val="24"/>
          <w:lang w:val="zh-CN" w:bidi="zh-CN"/>
        </w:rPr>
      </w:pPr>
      <w:r>
        <w:rPr>
          <w:rFonts w:hint="eastAsia" w:ascii="宋体" w:hAnsi="宋体" w:cs="宋体"/>
          <w:kern w:val="0"/>
          <w:sz w:val="24"/>
          <w:szCs w:val="24"/>
          <w:lang w:val="zh-CN" w:bidi="zh-CN"/>
        </w:rPr>
        <w:t>6.2</w:t>
      </w:r>
      <w:r>
        <w:rPr>
          <w:rFonts w:ascii="宋体" w:hAnsi="宋体" w:cs="宋体"/>
          <w:kern w:val="0"/>
          <w:sz w:val="24"/>
          <w:szCs w:val="24"/>
          <w:lang w:val="zh-CN" w:bidi="zh-CN"/>
        </w:rPr>
        <w:t>承包人应按合同约定以及监理人根据合同文件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0C59EFA2">
      <w:pPr>
        <w:autoSpaceDE w:val="0"/>
        <w:autoSpaceDN w:val="0"/>
        <w:spacing w:line="360" w:lineRule="auto"/>
        <w:ind w:left="384" w:right="465" w:firstLine="480" w:firstLineChars="200"/>
        <w:rPr>
          <w:rFonts w:ascii="宋体" w:hAnsi="宋体" w:cs="宋体"/>
          <w:kern w:val="0"/>
          <w:sz w:val="24"/>
          <w:szCs w:val="24"/>
          <w:lang w:val="zh-CN" w:bidi="zh-CN"/>
        </w:rPr>
      </w:pPr>
      <w:r>
        <w:rPr>
          <w:rFonts w:hint="eastAsia" w:ascii="宋体" w:hAnsi="宋体" w:cs="宋体"/>
          <w:kern w:val="0"/>
          <w:sz w:val="24"/>
          <w:szCs w:val="24"/>
          <w:lang w:val="zh-CN" w:bidi="zh-CN"/>
        </w:rPr>
        <w:t>6.3</w:t>
      </w:r>
      <w:r>
        <w:rPr>
          <w:rFonts w:ascii="宋体" w:hAnsi="宋体" w:cs="宋体"/>
          <w:kern w:val="0"/>
          <w:sz w:val="24"/>
          <w:szCs w:val="24"/>
          <w:lang w:val="zh-CN" w:bidi="zh-CN"/>
        </w:rPr>
        <w:t>承包人应仔细核查发包人提供的设计文件，对于存在的错误或疏忽，应及时通知监理人。</w:t>
      </w:r>
    </w:p>
    <w:p w14:paraId="6926A218">
      <w:pPr>
        <w:autoSpaceDE w:val="0"/>
        <w:autoSpaceDN w:val="0"/>
        <w:spacing w:line="360" w:lineRule="auto"/>
        <w:ind w:left="384" w:right="465" w:firstLine="480" w:firstLineChars="200"/>
        <w:rPr>
          <w:rFonts w:ascii="宋体" w:hAnsi="宋体" w:cs="宋体"/>
          <w:kern w:val="0"/>
          <w:sz w:val="24"/>
          <w:szCs w:val="24"/>
          <w:lang w:val="zh-CN" w:bidi="zh-CN"/>
        </w:rPr>
      </w:pPr>
      <w:r>
        <w:rPr>
          <w:rFonts w:hint="eastAsia" w:ascii="宋体" w:hAnsi="宋体" w:cs="宋体"/>
          <w:kern w:val="0"/>
          <w:sz w:val="24"/>
          <w:szCs w:val="24"/>
          <w:lang w:val="zh-CN" w:bidi="zh-CN"/>
        </w:rPr>
        <w:t>6.4</w:t>
      </w:r>
      <w:r>
        <w:rPr>
          <w:rFonts w:ascii="宋体" w:hAnsi="宋体" w:cs="宋体"/>
          <w:kern w:val="0"/>
          <w:sz w:val="24"/>
          <w:szCs w:val="24"/>
          <w:lang w:val="zh-CN" w:bidi="zh-CN"/>
        </w:rPr>
        <w:t>承包人应保证其履约保证金在发包人签发交工验收证书且承包人按照合同约定缴纳质量保证金前一直有效。</w:t>
      </w:r>
    </w:p>
    <w:p w14:paraId="01C8BBA0">
      <w:pPr>
        <w:autoSpaceDE w:val="0"/>
        <w:autoSpaceDN w:val="0"/>
        <w:spacing w:line="360" w:lineRule="auto"/>
        <w:ind w:left="384" w:right="465" w:firstLine="480" w:firstLineChars="200"/>
        <w:rPr>
          <w:rFonts w:ascii="宋体" w:hAnsi="宋体" w:cs="宋体"/>
          <w:kern w:val="0"/>
          <w:sz w:val="24"/>
          <w:szCs w:val="24"/>
          <w:lang w:val="zh-CN" w:bidi="zh-CN"/>
        </w:rPr>
      </w:pPr>
      <w:r>
        <w:rPr>
          <w:rFonts w:hint="eastAsia" w:ascii="宋体" w:hAnsi="宋体" w:cs="宋体"/>
          <w:kern w:val="0"/>
          <w:sz w:val="24"/>
          <w:szCs w:val="24"/>
          <w:lang w:val="zh-CN" w:bidi="zh-CN"/>
        </w:rPr>
        <w:t>6.5</w:t>
      </w:r>
      <w:r>
        <w:rPr>
          <w:rFonts w:ascii="宋体" w:hAnsi="宋体" w:cs="宋体"/>
          <w:kern w:val="0"/>
          <w:sz w:val="24"/>
          <w:szCs w:val="24"/>
          <w:lang w:val="zh-CN" w:bidi="zh-CN"/>
        </w:rPr>
        <w:t>承包人应设立针对该项目的独立银行账户，所有要求用于该项目的资金不得挪作他用，否则发包人有权终止合同，没收履约保证金。</w:t>
      </w:r>
    </w:p>
    <w:p w14:paraId="0A00D278">
      <w:pPr>
        <w:autoSpaceDE w:val="0"/>
        <w:autoSpaceDN w:val="0"/>
        <w:spacing w:line="360" w:lineRule="auto"/>
        <w:ind w:left="384" w:right="465" w:firstLine="480" w:firstLineChars="200"/>
        <w:rPr>
          <w:rFonts w:ascii="宋体" w:hAnsi="宋体" w:cs="宋体"/>
          <w:kern w:val="0"/>
          <w:sz w:val="24"/>
          <w:szCs w:val="24"/>
          <w:lang w:val="zh-CN" w:bidi="zh-CN"/>
        </w:rPr>
      </w:pPr>
      <w:r>
        <w:rPr>
          <w:rFonts w:hint="eastAsia" w:ascii="宋体" w:hAnsi="宋体" w:cs="宋体"/>
          <w:kern w:val="0"/>
          <w:sz w:val="24"/>
          <w:szCs w:val="24"/>
          <w:lang w:val="zh-CN" w:bidi="zh-CN"/>
        </w:rPr>
        <w:t>6.6</w:t>
      </w:r>
      <w:r>
        <w:rPr>
          <w:rFonts w:ascii="宋体" w:hAnsi="宋体" w:cs="宋体"/>
          <w:kern w:val="0"/>
          <w:sz w:val="24"/>
          <w:szCs w:val="24"/>
          <w:lang w:val="zh-CN" w:bidi="zh-CN"/>
        </w:rPr>
        <w:t>承包人应按有关法律规定纳税，其费用包括在合同价格内。</w:t>
      </w:r>
    </w:p>
    <w:p w14:paraId="45AF4048">
      <w:pPr>
        <w:autoSpaceDE w:val="0"/>
        <w:autoSpaceDN w:val="0"/>
        <w:spacing w:line="360" w:lineRule="auto"/>
        <w:ind w:left="384" w:right="465" w:firstLine="480" w:firstLineChars="200"/>
        <w:rPr>
          <w:rFonts w:ascii="宋体" w:hAnsi="宋体" w:cs="宋体"/>
          <w:kern w:val="0"/>
          <w:sz w:val="24"/>
          <w:szCs w:val="24"/>
          <w:lang w:val="zh-CN" w:bidi="zh-CN"/>
        </w:rPr>
      </w:pPr>
      <w:r>
        <w:rPr>
          <w:rFonts w:hint="eastAsia" w:ascii="宋体" w:hAnsi="宋体" w:cs="宋体"/>
          <w:kern w:val="0"/>
          <w:sz w:val="24"/>
          <w:szCs w:val="24"/>
          <w:lang w:val="zh-CN" w:bidi="zh-CN"/>
        </w:rPr>
        <w:t>6.7</w:t>
      </w:r>
      <w:r>
        <w:rPr>
          <w:rFonts w:ascii="宋体" w:hAnsi="宋体" w:cs="宋体"/>
          <w:kern w:val="0"/>
          <w:sz w:val="24"/>
          <w:szCs w:val="24"/>
          <w:lang w:val="zh-CN" w:bidi="zh-CN"/>
        </w:rPr>
        <w:t>承包人应认真执行监理人发出的与合同有关的任何指令，及时进场施工， 按时完成合同规定的全部承包内容。</w:t>
      </w:r>
    </w:p>
    <w:p w14:paraId="6DE51215">
      <w:pPr>
        <w:autoSpaceDE w:val="0"/>
        <w:autoSpaceDN w:val="0"/>
        <w:spacing w:line="360" w:lineRule="auto"/>
        <w:ind w:left="384" w:right="465" w:firstLine="480" w:firstLineChars="200"/>
        <w:rPr>
          <w:rFonts w:ascii="宋体" w:hAnsi="宋体" w:cs="宋体"/>
          <w:kern w:val="0"/>
          <w:sz w:val="24"/>
          <w:szCs w:val="24"/>
          <w:lang w:val="zh-CN" w:bidi="zh-CN"/>
        </w:rPr>
      </w:pPr>
      <w:r>
        <w:rPr>
          <w:rFonts w:hint="eastAsia" w:ascii="宋体" w:hAnsi="宋体" w:cs="宋体"/>
          <w:kern w:val="0"/>
          <w:sz w:val="24"/>
          <w:szCs w:val="24"/>
          <w:lang w:val="zh-CN" w:bidi="zh-CN"/>
        </w:rPr>
        <w:t>6.8</w:t>
      </w:r>
      <w:r>
        <w:rPr>
          <w:rFonts w:ascii="宋体" w:hAnsi="宋体" w:cs="宋体"/>
          <w:kern w:val="0"/>
          <w:sz w:val="24"/>
          <w:szCs w:val="24"/>
          <w:lang w:val="zh-CN" w:bidi="zh-CN"/>
        </w:rPr>
        <w:t>承包人应按合同约定指派项目经理、项目总工，并在约定的期限内到职。承包人更换项目经理、项目总工应事先征得发包人同意。进入现场的职工，应能胜任其本职工作。发包人和承包人在合同谈判阶段确定的其他管理和技术人员必须及时进场。承包人应按发包人和承包人在合同谈判阶段确定的主要机械设备和试验检测设备按时到达施工现场。人员、机械、试验仪器设备不得拖延、短缺或任意更换。否则将视为承包人违约。承包人应按有关规定，确保工程及其人员、材料、设备和设施的安全，防止因工程施工造成的人员伤害和财产损失。</w:t>
      </w:r>
    </w:p>
    <w:p w14:paraId="6687BD16">
      <w:pPr>
        <w:autoSpaceDE w:val="0"/>
        <w:autoSpaceDN w:val="0"/>
        <w:spacing w:line="360" w:lineRule="auto"/>
        <w:ind w:left="384" w:right="465" w:firstLine="480" w:firstLineChars="200"/>
        <w:rPr>
          <w:rFonts w:ascii="宋体" w:hAnsi="宋体" w:cs="宋体"/>
          <w:kern w:val="0"/>
          <w:sz w:val="24"/>
          <w:szCs w:val="24"/>
          <w:lang w:val="zh-CN" w:bidi="zh-CN"/>
        </w:rPr>
      </w:pPr>
      <w:r>
        <w:rPr>
          <w:rFonts w:hint="eastAsia" w:ascii="宋体" w:hAnsi="宋体" w:cs="宋体"/>
          <w:kern w:val="0"/>
          <w:sz w:val="24"/>
          <w:szCs w:val="24"/>
          <w:lang w:val="zh-CN" w:bidi="zh-CN"/>
        </w:rPr>
        <w:t>6.9</w:t>
      </w:r>
      <w:r>
        <w:rPr>
          <w:rFonts w:ascii="宋体" w:hAnsi="宋体" w:cs="宋体"/>
          <w:kern w:val="0"/>
          <w:sz w:val="24"/>
          <w:szCs w:val="24"/>
          <w:lang w:val="zh-CN" w:bidi="zh-CN"/>
        </w:rPr>
        <w:t>承包人应按设计图纸及相关资料和规范要求，精心组织施工，并对现场文明施工、环境保护及作业和施工方法的完备性和可靠性负全部责任。不合格的材料及机械设备不得运入现场。</w:t>
      </w:r>
    </w:p>
    <w:p w14:paraId="0A3DBBC2">
      <w:pPr>
        <w:autoSpaceDE w:val="0"/>
        <w:autoSpaceDN w:val="0"/>
        <w:spacing w:line="360" w:lineRule="auto"/>
        <w:ind w:left="384" w:right="465" w:firstLine="480" w:firstLineChars="200"/>
        <w:rPr>
          <w:rFonts w:ascii="宋体" w:hAnsi="宋体" w:cs="宋体"/>
          <w:kern w:val="0"/>
          <w:sz w:val="24"/>
          <w:szCs w:val="24"/>
          <w:lang w:val="zh-CN" w:bidi="zh-CN"/>
        </w:rPr>
      </w:pPr>
      <w:r>
        <w:rPr>
          <w:rFonts w:hint="eastAsia" w:ascii="宋体" w:hAnsi="宋体" w:cs="宋体"/>
          <w:kern w:val="0"/>
          <w:sz w:val="24"/>
          <w:szCs w:val="24"/>
          <w:lang w:val="zh-CN" w:bidi="zh-CN"/>
        </w:rPr>
        <w:t>6.10</w:t>
      </w:r>
      <w:r>
        <w:rPr>
          <w:rFonts w:ascii="宋体" w:hAnsi="宋体" w:cs="宋体"/>
          <w:kern w:val="0"/>
          <w:sz w:val="24"/>
          <w:szCs w:val="24"/>
          <w:lang w:val="zh-CN" w:bidi="zh-CN"/>
        </w:rPr>
        <w:t>承包人不得从为发包人、监理人服务的人员中招聘雇员或工人。雇用员工应订立劳务合同，执行国家有关劳动保障规定，不得无故克扣或拖欠劳务人员的工资。</w:t>
      </w:r>
    </w:p>
    <w:p w14:paraId="1D757D49">
      <w:pPr>
        <w:autoSpaceDE w:val="0"/>
        <w:autoSpaceDN w:val="0"/>
        <w:spacing w:line="360" w:lineRule="auto"/>
        <w:ind w:left="384" w:right="465" w:firstLine="480" w:firstLineChars="200"/>
        <w:rPr>
          <w:rFonts w:ascii="宋体" w:hAnsi="宋体" w:cs="宋体"/>
          <w:kern w:val="0"/>
          <w:sz w:val="24"/>
          <w:szCs w:val="24"/>
          <w:lang w:val="zh-CN" w:bidi="zh-CN"/>
        </w:rPr>
      </w:pPr>
      <w:r>
        <w:rPr>
          <w:rFonts w:hint="eastAsia" w:ascii="宋体" w:hAnsi="宋体" w:cs="宋体"/>
          <w:kern w:val="0"/>
          <w:sz w:val="24"/>
          <w:szCs w:val="24"/>
          <w:lang w:val="zh-CN" w:bidi="zh-CN"/>
        </w:rPr>
        <w:t>6.11</w:t>
      </w:r>
      <w:r>
        <w:rPr>
          <w:rFonts w:ascii="宋体" w:hAnsi="宋体" w:cs="宋体"/>
          <w:kern w:val="0"/>
          <w:sz w:val="24"/>
          <w:szCs w:val="24"/>
          <w:lang w:val="zh-CN" w:bidi="zh-CN"/>
        </w:rPr>
        <w:t>承包人应为本合同的施工建立强有力的质量保证体系和质检体系，建立质量责任制、加强质量监控，完备检验手段，对现场施工的可靠性、安全性承担全部责任。</w:t>
      </w:r>
    </w:p>
    <w:p w14:paraId="581D4AD9">
      <w:pPr>
        <w:autoSpaceDE w:val="0"/>
        <w:autoSpaceDN w:val="0"/>
        <w:spacing w:line="360" w:lineRule="auto"/>
        <w:ind w:left="384" w:right="465" w:firstLine="480" w:firstLineChars="200"/>
        <w:rPr>
          <w:rFonts w:ascii="宋体" w:hAnsi="宋体" w:cs="宋体"/>
          <w:kern w:val="0"/>
          <w:sz w:val="24"/>
          <w:szCs w:val="24"/>
          <w:lang w:val="zh-CN" w:bidi="zh-CN"/>
        </w:rPr>
      </w:pPr>
      <w:r>
        <w:rPr>
          <w:rFonts w:hint="eastAsia" w:ascii="宋体" w:hAnsi="宋体" w:cs="宋体"/>
          <w:kern w:val="0"/>
          <w:sz w:val="24"/>
          <w:szCs w:val="24"/>
          <w:lang w:val="zh-CN" w:bidi="zh-CN"/>
        </w:rPr>
        <w:t>6.12</w:t>
      </w:r>
      <w:r>
        <w:rPr>
          <w:rFonts w:ascii="宋体" w:hAnsi="宋体" w:cs="宋体"/>
          <w:kern w:val="0"/>
          <w:sz w:val="24"/>
          <w:szCs w:val="24"/>
          <w:lang w:val="zh-CN" w:bidi="zh-CN"/>
        </w:rPr>
        <w:t>批准的设计文件中要求的所有事项应视为合同条款所要求的，若有争议， 以监理人发出的指令为准。</w:t>
      </w:r>
    </w:p>
    <w:p w14:paraId="474A8AC4">
      <w:pPr>
        <w:autoSpaceDE w:val="0"/>
        <w:autoSpaceDN w:val="0"/>
        <w:spacing w:line="360" w:lineRule="auto"/>
        <w:ind w:left="384" w:right="465" w:firstLine="480" w:firstLineChars="200"/>
        <w:rPr>
          <w:rFonts w:ascii="宋体" w:hAnsi="宋体" w:cs="宋体"/>
          <w:kern w:val="0"/>
          <w:sz w:val="24"/>
          <w:szCs w:val="24"/>
          <w:lang w:val="zh-CN" w:bidi="zh-CN"/>
        </w:rPr>
      </w:pPr>
      <w:r>
        <w:rPr>
          <w:rFonts w:hint="eastAsia" w:ascii="宋体" w:hAnsi="宋体" w:cs="宋体"/>
          <w:kern w:val="0"/>
          <w:sz w:val="24"/>
          <w:szCs w:val="24"/>
          <w:lang w:val="zh-CN" w:bidi="zh-CN"/>
        </w:rPr>
        <w:t>6.13</w:t>
      </w:r>
      <w:r>
        <w:rPr>
          <w:rFonts w:ascii="宋体" w:hAnsi="宋体" w:cs="宋体"/>
          <w:kern w:val="0"/>
          <w:sz w:val="24"/>
          <w:szCs w:val="24"/>
          <w:lang w:val="zh-CN" w:bidi="zh-CN"/>
        </w:rPr>
        <w:t>承包人应负责工程移交前的照管和维护工作，确保工程正式移交时不受到损坏。</w:t>
      </w:r>
    </w:p>
    <w:p w14:paraId="287CF1D7">
      <w:pPr>
        <w:autoSpaceDE w:val="0"/>
        <w:autoSpaceDN w:val="0"/>
        <w:spacing w:line="360" w:lineRule="auto"/>
        <w:ind w:left="384" w:right="465" w:firstLine="480" w:firstLineChars="200"/>
        <w:rPr>
          <w:rFonts w:ascii="宋体" w:hAnsi="宋体" w:cs="宋体"/>
          <w:kern w:val="0"/>
          <w:sz w:val="24"/>
          <w:szCs w:val="24"/>
          <w:lang w:val="zh-CN" w:bidi="zh-CN"/>
        </w:rPr>
      </w:pPr>
      <w:r>
        <w:rPr>
          <w:rFonts w:hint="eastAsia" w:ascii="宋体" w:hAnsi="宋体" w:cs="宋体"/>
          <w:kern w:val="0"/>
          <w:sz w:val="24"/>
          <w:szCs w:val="24"/>
          <w:lang w:val="zh-CN" w:bidi="zh-CN"/>
        </w:rPr>
        <w:t>6.14</w:t>
      </w:r>
      <w:r>
        <w:rPr>
          <w:rFonts w:ascii="宋体" w:hAnsi="宋体" w:cs="宋体"/>
          <w:kern w:val="0"/>
          <w:sz w:val="24"/>
          <w:szCs w:val="24"/>
          <w:lang w:val="zh-CN" w:bidi="zh-CN"/>
        </w:rPr>
        <w:t>承包人应在工程交工验收合格证书签发后 14 天内完成工地清理并撤离人员、设备和剩余材料。未完成缺陷责任而留置的人员、设备、材料除外。</w:t>
      </w:r>
    </w:p>
    <w:p w14:paraId="5B61E47C">
      <w:pPr>
        <w:autoSpaceDE w:val="0"/>
        <w:autoSpaceDN w:val="0"/>
        <w:spacing w:line="360" w:lineRule="auto"/>
        <w:ind w:left="384" w:right="465" w:firstLine="480" w:firstLineChars="200"/>
        <w:rPr>
          <w:rFonts w:ascii="宋体" w:hAnsi="宋体" w:cs="宋体"/>
          <w:kern w:val="0"/>
          <w:sz w:val="24"/>
          <w:szCs w:val="24"/>
          <w:lang w:val="zh-CN" w:bidi="zh-CN"/>
        </w:rPr>
      </w:pPr>
      <w:r>
        <w:rPr>
          <w:rFonts w:hint="eastAsia" w:ascii="宋体" w:hAnsi="宋体" w:cs="宋体"/>
          <w:kern w:val="0"/>
          <w:sz w:val="24"/>
          <w:szCs w:val="24"/>
          <w:lang w:val="zh-CN" w:bidi="zh-CN"/>
        </w:rPr>
        <w:t>6.15</w:t>
      </w:r>
      <w:r>
        <w:rPr>
          <w:rFonts w:ascii="宋体" w:hAnsi="宋体" w:cs="宋体"/>
          <w:kern w:val="0"/>
          <w:sz w:val="24"/>
          <w:szCs w:val="24"/>
          <w:lang w:val="zh-CN" w:bidi="zh-CN"/>
        </w:rPr>
        <w:t>承包人应按国家有关劳动保护的规定，保障其雇佣人员的合法权益。</w:t>
      </w:r>
    </w:p>
    <w:p w14:paraId="1C957358">
      <w:pPr>
        <w:autoSpaceDE w:val="0"/>
        <w:autoSpaceDN w:val="0"/>
        <w:spacing w:before="74" w:line="360" w:lineRule="auto"/>
        <w:ind w:left="384" w:right="466" w:firstLine="368" w:firstLineChars="200"/>
        <w:rPr>
          <w:rFonts w:ascii="宋体" w:hAnsi="宋体" w:cs="宋体"/>
          <w:kern w:val="0"/>
          <w:sz w:val="24"/>
          <w:szCs w:val="24"/>
          <w:lang w:val="zh-CN" w:bidi="zh-CN"/>
        </w:rPr>
      </w:pPr>
      <w:r>
        <w:rPr>
          <w:rFonts w:ascii="宋体" w:hAnsi="宋体" w:cs="宋体"/>
          <w:spacing w:val="-28"/>
          <w:kern w:val="0"/>
          <w:sz w:val="24"/>
          <w:szCs w:val="24"/>
          <w:lang w:val="zh-CN" w:bidi="zh-CN"/>
        </w:rPr>
        <w:t>（1）</w:t>
      </w:r>
      <w:r>
        <w:rPr>
          <w:rFonts w:ascii="宋体" w:hAnsi="宋体" w:cs="宋体"/>
          <w:kern w:val="0"/>
          <w:sz w:val="24"/>
          <w:szCs w:val="24"/>
          <w:lang w:val="zh-CN" w:bidi="zh-CN"/>
        </w:rPr>
        <w:t>承包人应严格遵守国家及地方政府有关解决拖欠工程款和农民工工资的法律、法规、规章及规范性文件，及时支付工程中的材料、设备货款及农民工工资等费用。对恶意拖欠和拒不按计划支付的，作为不良记录纳入公路建设市场信用信息管理系统；</w:t>
      </w:r>
    </w:p>
    <w:p w14:paraId="32347BA8">
      <w:pPr>
        <w:autoSpaceDE w:val="0"/>
        <w:autoSpaceDN w:val="0"/>
        <w:spacing w:before="11" w:line="360" w:lineRule="auto"/>
        <w:ind w:left="384" w:right="466" w:firstLine="420" w:firstLineChars="200"/>
        <w:rPr>
          <w:rFonts w:ascii="宋体" w:hAnsi="宋体" w:cs="宋体"/>
          <w:kern w:val="0"/>
          <w:sz w:val="24"/>
          <w:szCs w:val="24"/>
          <w:lang w:val="zh-CN" w:bidi="zh-CN"/>
        </w:rPr>
      </w:pPr>
      <w:r>
        <w:rPr>
          <w:rFonts w:ascii="宋体" w:hAnsi="宋体" w:cs="宋体"/>
          <w:spacing w:val="-15"/>
          <w:kern w:val="0"/>
          <w:sz w:val="24"/>
          <w:szCs w:val="24"/>
          <w:lang w:val="zh-CN" w:bidi="zh-CN"/>
        </w:rPr>
        <w:t>（2）</w:t>
      </w:r>
      <w:r>
        <w:rPr>
          <w:rFonts w:ascii="宋体" w:hAnsi="宋体" w:cs="宋体"/>
          <w:spacing w:val="-2"/>
          <w:kern w:val="0"/>
          <w:sz w:val="24"/>
          <w:szCs w:val="24"/>
          <w:lang w:val="zh-CN" w:bidi="zh-CN"/>
        </w:rPr>
        <w:t>承包人应当依法与每一名农民工或具有劳务资质的劳务公司签订合同，合同中应当明确约定工作内容、工作要求、工作条件、工作地点、安全生产要求、劳动报酬（包括工日单价或计量单价）、支付时间和支付方式等内容，在签订劳务或劳动合同后，农民工方可进场。承包人临时或短期聘用农民工的，应当签订短期临时合同。</w:t>
      </w:r>
    </w:p>
    <w:p w14:paraId="252DD293">
      <w:pPr>
        <w:autoSpaceDE w:val="0"/>
        <w:autoSpaceDN w:val="0"/>
        <w:spacing w:line="360" w:lineRule="auto"/>
        <w:ind w:left="384" w:right="466" w:firstLine="440" w:firstLineChars="200"/>
        <w:rPr>
          <w:rFonts w:ascii="宋体" w:hAnsi="宋体" w:cs="宋体"/>
          <w:kern w:val="0"/>
          <w:sz w:val="24"/>
          <w:szCs w:val="24"/>
          <w:lang w:val="zh-CN" w:bidi="zh-CN"/>
        </w:rPr>
      </w:pPr>
      <w:r>
        <w:rPr>
          <w:rFonts w:ascii="宋体" w:hAnsi="宋体" w:cs="宋体"/>
          <w:spacing w:val="-10"/>
          <w:kern w:val="0"/>
          <w:sz w:val="24"/>
          <w:szCs w:val="24"/>
          <w:lang w:val="zh-CN" w:bidi="zh-CN"/>
        </w:rPr>
        <w:t>（3）</w:t>
      </w:r>
      <w:r>
        <w:rPr>
          <w:rFonts w:ascii="宋体" w:hAnsi="宋体" w:cs="宋体"/>
          <w:spacing w:val="-3"/>
          <w:kern w:val="0"/>
          <w:sz w:val="24"/>
          <w:szCs w:val="24"/>
          <w:lang w:val="zh-CN" w:bidi="zh-CN"/>
        </w:rPr>
        <w:t>承包人项目部应当配备劳资专管员，对农民工实行实名制管理，记录施工人员进出场情况和施工现场作业农民工的身份信息、劳动考勤，建立工资结算与支付等管理台账，审核分包人编制的农民工工资支付表，实时掌握施工现场用工及其工资支付情况，不得以包代管。</w:t>
      </w:r>
    </w:p>
    <w:p w14:paraId="6AA5BFDD">
      <w:pPr>
        <w:autoSpaceDE w:val="0"/>
        <w:autoSpaceDN w:val="0"/>
        <w:spacing w:line="360" w:lineRule="auto"/>
        <w:ind w:left="384" w:right="466" w:firstLine="448" w:firstLineChars="200"/>
        <w:rPr>
          <w:rFonts w:ascii="宋体" w:hAnsi="宋体" w:cs="宋体"/>
          <w:kern w:val="0"/>
          <w:sz w:val="24"/>
          <w:szCs w:val="24"/>
          <w:lang w:val="zh-CN" w:bidi="zh-CN"/>
        </w:rPr>
      </w:pPr>
      <w:r>
        <w:rPr>
          <w:rFonts w:ascii="宋体" w:hAnsi="宋体" w:cs="宋体"/>
          <w:spacing w:val="-8"/>
          <w:kern w:val="0"/>
          <w:sz w:val="24"/>
          <w:szCs w:val="24"/>
          <w:lang w:val="zh-CN" w:bidi="zh-CN"/>
        </w:rPr>
        <w:t>（4）</w:t>
      </w:r>
      <w:r>
        <w:rPr>
          <w:rFonts w:ascii="宋体" w:hAnsi="宋体" w:cs="宋体"/>
          <w:spacing w:val="-5"/>
          <w:kern w:val="0"/>
          <w:sz w:val="24"/>
          <w:szCs w:val="24"/>
          <w:lang w:val="zh-CN" w:bidi="zh-CN"/>
        </w:rPr>
        <w:t>农民工工资的发放，应严格按照国家及地方政府有关法律、法规、规章及规范性文件的规定执行。</w:t>
      </w:r>
    </w:p>
    <w:p w14:paraId="70E09CE7">
      <w:pPr>
        <w:autoSpaceDE w:val="0"/>
        <w:autoSpaceDN w:val="0"/>
        <w:spacing w:line="360" w:lineRule="auto"/>
        <w:ind w:left="384" w:right="26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承包人应分解工程价款中的人工费用，在工程项目所在地银行开设农民工工资（劳务费）专用账户，专项用于支付农民工工资。发包人应按照本合同约定的比例或承包人提供的人工费用数额，足额支付人工费用，将应付工程款中的人工费单独拨付到承包人开设的农民工工资（劳务费）专用账户。农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14:paraId="220E5D35">
      <w:pPr>
        <w:autoSpaceDE w:val="0"/>
        <w:autoSpaceDN w:val="0"/>
        <w:spacing w:line="360" w:lineRule="auto"/>
        <w:ind w:left="384" w:right="26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分包人应按月考核农民工工作量并编制工资支付表，经农民工本人签字确认后， 交承包人汇总核定并报发包人。发包人支付工程款中的人工费用后，承包人将核定的分包人工资支付表提交银行，由银行通过专用账户将工资代付到农民工个人银行账户，并向分包人提供代发工资凭证。</w:t>
      </w:r>
    </w:p>
    <w:p w14:paraId="7C1CBAF1">
      <w:pPr>
        <w:autoSpaceDE w:val="0"/>
        <w:autoSpaceDN w:val="0"/>
        <w:spacing w:line="360" w:lineRule="auto"/>
        <w:ind w:left="384" w:right="26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（5）为确保施工过程中农民工工资实时、足额发放到位，承包人应按照项目合同条款约定的时间、金额、形式缴存农民工工资保证金。</w:t>
      </w:r>
    </w:p>
    <w:p w14:paraId="4AB9AF94">
      <w:pPr>
        <w:autoSpaceDE w:val="0"/>
        <w:autoSpaceDN w:val="0"/>
        <w:spacing w:line="360" w:lineRule="auto"/>
        <w:ind w:left="384" w:right="266" w:firstLine="480" w:firstLineChars="200"/>
        <w:jc w:val="left"/>
        <w:rPr>
          <w:rFonts w:hint="eastAsia" w:ascii="宋体" w:hAnsi="宋体" w:cs="宋体"/>
          <w:kern w:val="0"/>
          <w:sz w:val="24"/>
          <w:szCs w:val="24"/>
          <w:lang w:val="zh-CN" w:bidi="zh-CN"/>
        </w:rPr>
      </w:pPr>
      <w:r>
        <w:rPr>
          <w:rFonts w:ascii="宋体" w:hAnsi="宋体" w:cs="宋体"/>
          <w:kern w:val="0"/>
          <w:sz w:val="24"/>
          <w:szCs w:val="24"/>
          <w:lang w:val="zh-CN" w:bidi="zh-CN"/>
        </w:rPr>
        <w:t>农民工工资保证金的缴存时间：承包项目开工前；</w:t>
      </w:r>
    </w:p>
    <w:p w14:paraId="45C198CA">
      <w:pPr>
        <w:autoSpaceDE w:val="0"/>
        <w:autoSpaceDN w:val="0"/>
        <w:spacing w:line="360" w:lineRule="auto"/>
        <w:ind w:left="384" w:right="266" w:firstLine="480" w:firstLineChars="200"/>
        <w:jc w:val="left"/>
        <w:rPr>
          <w:rFonts w:hint="eastAsia" w:ascii="宋体" w:hAnsi="宋体" w:cs="宋体"/>
          <w:kern w:val="0"/>
          <w:sz w:val="24"/>
          <w:szCs w:val="24"/>
          <w:lang w:val="zh-CN" w:bidi="zh-CN"/>
        </w:rPr>
      </w:pPr>
      <w:r>
        <w:rPr>
          <w:rFonts w:ascii="宋体" w:hAnsi="宋体" w:cs="宋体"/>
          <w:kern w:val="0"/>
          <w:sz w:val="24"/>
          <w:szCs w:val="24"/>
          <w:lang w:val="zh-CN" w:bidi="zh-CN"/>
        </w:rPr>
        <w:t>农民工工资保证金的缴存金额：按《</w:t>
      </w:r>
      <w:r>
        <w:rPr>
          <w:rFonts w:hint="eastAsia" w:ascii="宋体" w:hAnsi="宋体" w:cs="宋体"/>
          <w:kern w:val="0"/>
          <w:sz w:val="24"/>
          <w:szCs w:val="24"/>
          <w:lang w:val="zh-CN" w:bidi="zh-CN"/>
        </w:rPr>
        <w:t>新疆维吾尔自治区农民工工资保证金管理暂行办法</w:t>
      </w:r>
      <w:r>
        <w:rPr>
          <w:rFonts w:ascii="宋体" w:hAnsi="宋体" w:cs="宋体"/>
          <w:kern w:val="0"/>
          <w:sz w:val="24"/>
          <w:szCs w:val="24"/>
          <w:lang w:val="zh-CN" w:bidi="zh-CN"/>
        </w:rPr>
        <w:t>》（新政办发[2007]114 号）的有关规定缴纳；</w:t>
      </w:r>
    </w:p>
    <w:p w14:paraId="7788E689">
      <w:pPr>
        <w:autoSpaceDE w:val="0"/>
        <w:autoSpaceDN w:val="0"/>
        <w:spacing w:line="360" w:lineRule="auto"/>
        <w:ind w:left="384" w:right="26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农民工工资保证金的缴存形式：可采用银行保函或现金、支票形式。采用银行保函时，出具保函的银行须具有相应担保能力，且按照发包人批准的格式出具，所需费用由承包人承担。</w:t>
      </w:r>
    </w:p>
    <w:p w14:paraId="68A3D787">
      <w:pPr>
        <w:autoSpaceDE w:val="0"/>
        <w:autoSpaceDN w:val="0"/>
        <w:spacing w:line="360" w:lineRule="auto"/>
        <w:ind w:left="384" w:right="26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若发生拖欠农民工工资的情况，发包人有权动用此保证金支付被拖欠的农民工工资。此保证金不足以支付拖欠的农民工工资，不足金额在履约保证金金及质量保留金中支付。农民工工资保证金的扣留条件、返还时间按照项目合同条款的约定执行：</w:t>
      </w:r>
    </w:p>
    <w:p w14:paraId="41B1D705">
      <w:pPr>
        <w:autoSpaceDE w:val="0"/>
        <w:autoSpaceDN w:val="0"/>
        <w:spacing w:line="360" w:lineRule="auto"/>
        <w:ind w:left="384" w:right="26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农民工工资保证金的扣留条件：承包人拖欠工资被责令限期支付逾期未支付时； 农民工工资保证金的返还时间：交工证书签发后两个月内无农民工工资纠纷发生，发包人将保证金全额退还给承包人。</w:t>
      </w:r>
    </w:p>
    <w:p w14:paraId="20D533CB">
      <w:pPr>
        <w:autoSpaceDE w:val="0"/>
        <w:autoSpaceDN w:val="0"/>
        <w:spacing w:before="76" w:line="360" w:lineRule="auto"/>
        <w:ind w:left="384" w:right="466" w:firstLine="420" w:firstLineChars="200"/>
        <w:rPr>
          <w:rFonts w:ascii="宋体" w:hAnsi="宋体" w:cs="宋体"/>
          <w:kern w:val="0"/>
          <w:sz w:val="24"/>
          <w:szCs w:val="24"/>
          <w:lang w:val="zh-CN" w:bidi="zh-CN"/>
        </w:rPr>
      </w:pPr>
      <w:r>
        <w:rPr>
          <w:rFonts w:ascii="宋体" w:hAnsi="宋体" w:cs="宋体"/>
          <w:spacing w:val="-15"/>
          <w:kern w:val="0"/>
          <w:sz w:val="24"/>
          <w:szCs w:val="24"/>
          <w:lang w:val="zh-CN" w:bidi="zh-CN"/>
        </w:rPr>
        <w:t>（6）</w:t>
      </w:r>
      <w:r>
        <w:rPr>
          <w:rFonts w:ascii="宋体" w:hAnsi="宋体" w:cs="宋体"/>
          <w:spacing w:val="-2"/>
          <w:kern w:val="0"/>
          <w:sz w:val="24"/>
          <w:szCs w:val="24"/>
          <w:lang w:val="zh-CN" w:bidi="zh-CN"/>
        </w:rPr>
        <w:t>承包人应当在施工现场醒目位置设立维权信息告示牌，按照行政监督部门和发包人的要求进行维权信息公示明示。工程通过交工验收后，承包人对无拖欠农</w:t>
      </w:r>
      <w:r>
        <w:rPr>
          <w:rFonts w:ascii="宋体" w:hAnsi="宋体" w:cs="宋体"/>
          <w:spacing w:val="-7"/>
          <w:kern w:val="0"/>
          <w:sz w:val="24"/>
          <w:szCs w:val="24"/>
          <w:lang w:val="zh-CN" w:bidi="zh-CN"/>
        </w:rPr>
        <w:t xml:space="preserve">民工工资情况进行不少于 </w:t>
      </w:r>
      <w:r>
        <w:rPr>
          <w:rFonts w:ascii="宋体" w:hAnsi="宋体" w:cs="宋体"/>
          <w:kern w:val="0"/>
          <w:sz w:val="24"/>
          <w:szCs w:val="24"/>
          <w:lang w:val="zh-CN" w:bidi="zh-CN"/>
        </w:rPr>
        <w:t xml:space="preserve">30 </w:t>
      </w:r>
      <w:r>
        <w:rPr>
          <w:rFonts w:ascii="宋体" w:hAnsi="宋体" w:cs="宋体"/>
          <w:spacing w:val="-10"/>
          <w:kern w:val="0"/>
          <w:sz w:val="24"/>
          <w:szCs w:val="24"/>
          <w:lang w:val="zh-CN" w:bidi="zh-CN"/>
        </w:rPr>
        <w:t>日的公示，公示期间无举报投诉的，持发包人审核确认意见到开户银行办理农民工工资专用账户撤销手续，账户内余额归承包人所有。</w:t>
      </w:r>
    </w:p>
    <w:p w14:paraId="4C71C021">
      <w:pPr>
        <w:autoSpaceDE w:val="0"/>
        <w:autoSpaceDN w:val="0"/>
        <w:spacing w:before="11" w:line="360" w:lineRule="auto"/>
        <w:ind w:left="384" w:right="346" w:firstLine="420" w:firstLineChars="200"/>
        <w:rPr>
          <w:rFonts w:ascii="宋体" w:hAnsi="宋体" w:cs="宋体"/>
          <w:kern w:val="0"/>
          <w:sz w:val="24"/>
          <w:szCs w:val="24"/>
          <w:lang w:val="zh-CN" w:bidi="zh-CN"/>
        </w:rPr>
      </w:pPr>
      <w:r>
        <w:rPr>
          <w:rFonts w:ascii="宋体" w:hAnsi="宋体" w:cs="宋体"/>
          <w:spacing w:val="-15"/>
          <w:kern w:val="0"/>
          <w:sz w:val="24"/>
          <w:szCs w:val="24"/>
          <w:lang w:val="zh-CN" w:bidi="zh-CN"/>
        </w:rPr>
        <w:t>（7）</w:t>
      </w:r>
      <w:r>
        <w:rPr>
          <w:rFonts w:ascii="宋体" w:hAnsi="宋体" w:cs="宋体"/>
          <w:spacing w:val="-4"/>
          <w:kern w:val="0"/>
          <w:sz w:val="24"/>
          <w:szCs w:val="24"/>
          <w:lang w:val="zh-CN" w:bidi="zh-CN"/>
        </w:rPr>
        <w:t>为认真贯彻落实自治区党委、人民政府关于使用农民工解决我区农村劳动力了过剩、增加农民收入有关问题的指示精神，承包人应严格按《关于印发自治区固定资产投资项目促进农村劳动力培训就业工作实施方案的通知</w:t>
      </w:r>
      <w:r>
        <w:rPr>
          <w:rFonts w:ascii="宋体" w:hAnsi="宋体" w:cs="宋体"/>
          <w:spacing w:val="-216"/>
          <w:kern w:val="0"/>
          <w:sz w:val="24"/>
          <w:szCs w:val="24"/>
          <w:lang w:val="zh-CN" w:bidi="zh-CN"/>
        </w:rPr>
        <w:t>》</w:t>
      </w:r>
      <w:r>
        <w:rPr>
          <w:rFonts w:ascii="宋体" w:hAnsi="宋体" w:cs="宋体"/>
          <w:kern w:val="0"/>
          <w:sz w:val="24"/>
          <w:szCs w:val="24"/>
          <w:lang w:val="zh-CN" w:bidi="zh-CN"/>
        </w:rPr>
        <w:t>（</w:t>
      </w:r>
      <w:r>
        <w:rPr>
          <w:rFonts w:ascii="宋体" w:hAnsi="宋体" w:cs="宋体"/>
          <w:spacing w:val="-22"/>
          <w:kern w:val="0"/>
          <w:sz w:val="24"/>
          <w:szCs w:val="24"/>
          <w:lang w:val="zh-CN" w:bidi="zh-CN"/>
        </w:rPr>
        <w:t>新政办发〔</w:t>
      </w:r>
      <w:r>
        <w:rPr>
          <w:rFonts w:ascii="宋体" w:hAnsi="宋体" w:cs="宋体"/>
          <w:kern w:val="0"/>
          <w:sz w:val="24"/>
          <w:szCs w:val="24"/>
          <w:lang w:val="zh-CN" w:bidi="zh-CN"/>
        </w:rPr>
        <w:t>2017〕62 号</w:t>
      </w:r>
      <w:r>
        <w:rPr>
          <w:rFonts w:ascii="宋体" w:hAnsi="宋体" w:cs="宋体"/>
          <w:spacing w:val="-84"/>
          <w:kern w:val="0"/>
          <w:sz w:val="24"/>
          <w:szCs w:val="24"/>
          <w:lang w:val="zh-CN" w:bidi="zh-CN"/>
        </w:rPr>
        <w:t>）</w:t>
      </w:r>
      <w:r>
        <w:rPr>
          <w:rFonts w:ascii="宋体" w:hAnsi="宋体" w:cs="宋体"/>
          <w:spacing w:val="-14"/>
          <w:kern w:val="0"/>
          <w:sz w:val="24"/>
          <w:szCs w:val="24"/>
          <w:lang w:val="zh-CN" w:bidi="zh-CN"/>
        </w:rPr>
        <w:t>、《关于在公路基础设施建设中使用农民工有关意见的通知</w:t>
      </w:r>
      <w:r>
        <w:rPr>
          <w:rFonts w:ascii="宋体" w:hAnsi="宋体" w:cs="宋体"/>
          <w:spacing w:val="-168"/>
          <w:kern w:val="0"/>
          <w:sz w:val="24"/>
          <w:szCs w:val="24"/>
          <w:lang w:val="zh-CN" w:bidi="zh-CN"/>
        </w:rPr>
        <w:t>》</w:t>
      </w:r>
      <w:r>
        <w:rPr>
          <w:rFonts w:ascii="宋体" w:hAnsi="宋体" w:cs="宋体"/>
          <w:spacing w:val="-3"/>
          <w:kern w:val="0"/>
          <w:sz w:val="24"/>
          <w:szCs w:val="24"/>
          <w:lang w:val="zh-CN" w:bidi="zh-CN"/>
        </w:rPr>
        <w:t>（</w:t>
      </w:r>
      <w:r>
        <w:rPr>
          <w:rFonts w:ascii="宋体" w:hAnsi="宋体" w:cs="宋体"/>
          <w:kern w:val="0"/>
          <w:sz w:val="24"/>
          <w:szCs w:val="24"/>
          <w:lang w:val="zh-CN" w:bidi="zh-CN"/>
        </w:rPr>
        <w:t>新交综[2003]42 号文）、《</w:t>
      </w:r>
      <w:r>
        <w:rPr>
          <w:rFonts w:hint="eastAsia" w:ascii="宋体" w:hAnsi="宋体" w:cs="宋体"/>
          <w:kern w:val="0"/>
          <w:sz w:val="24"/>
          <w:szCs w:val="24"/>
          <w:lang w:val="zh-CN" w:bidi="zh-CN"/>
        </w:rPr>
        <w:t>新疆维吾尔自治区交通厅关于交通建设项目防止拖欠工程款和农民工工资管理暂行办法（试行）</w:t>
      </w:r>
      <w:r>
        <w:rPr>
          <w:rFonts w:ascii="宋体" w:hAnsi="宋体" w:cs="宋体"/>
          <w:kern w:val="0"/>
          <w:sz w:val="24"/>
          <w:szCs w:val="24"/>
          <w:lang w:val="zh-CN" w:bidi="zh-CN"/>
        </w:rPr>
        <w:t>》、《</w:t>
      </w:r>
      <w:r>
        <w:rPr>
          <w:rFonts w:hint="eastAsia" w:ascii="宋体" w:hAnsi="宋体" w:cs="宋体"/>
          <w:kern w:val="0"/>
          <w:sz w:val="24"/>
          <w:szCs w:val="24"/>
          <w:lang w:val="zh-CN" w:bidi="zh-CN"/>
        </w:rPr>
        <w:t>新疆维吾尔自治区公路工程建设农民工用工管理办法</w:t>
      </w:r>
      <w:r>
        <w:rPr>
          <w:rFonts w:ascii="宋体" w:hAnsi="宋体" w:cs="宋体"/>
          <w:kern w:val="0"/>
          <w:sz w:val="24"/>
          <w:szCs w:val="24"/>
          <w:lang w:val="zh-CN" w:bidi="zh-CN"/>
        </w:rPr>
        <w:t>（试行）》（新交工程〔2017〕16 号）等相关规定</w:t>
      </w:r>
      <w:r>
        <w:rPr>
          <w:rFonts w:ascii="宋体" w:hAnsi="宋体" w:cs="宋体"/>
          <w:spacing w:val="-1"/>
          <w:kern w:val="0"/>
          <w:sz w:val="24"/>
          <w:szCs w:val="24"/>
          <w:lang w:val="zh-CN" w:bidi="zh-CN"/>
        </w:rPr>
        <w:t>，在施工中选用除技术工以外</w:t>
      </w:r>
      <w:r>
        <w:rPr>
          <w:rFonts w:ascii="宋体" w:hAnsi="宋体" w:cs="宋体"/>
          <w:spacing w:val="-4"/>
          <w:kern w:val="0"/>
          <w:sz w:val="24"/>
          <w:szCs w:val="24"/>
          <w:lang w:val="zh-CN" w:bidi="zh-CN"/>
        </w:rPr>
        <w:t xml:space="preserve">的普工时要使用项目沿线或附近的农民工，且数量不得低于普工总数的 </w:t>
      </w:r>
      <w:r>
        <w:rPr>
          <w:rFonts w:ascii="宋体" w:hAnsi="宋体" w:cs="宋体"/>
          <w:spacing w:val="-3"/>
          <w:kern w:val="0"/>
          <w:sz w:val="24"/>
          <w:szCs w:val="24"/>
          <w:lang w:val="zh-CN" w:bidi="zh-CN"/>
        </w:rPr>
        <w:t>90</w:t>
      </w:r>
      <w:r>
        <w:rPr>
          <w:rFonts w:ascii="宋体" w:hAnsi="宋体" w:cs="宋体"/>
          <w:spacing w:val="-2"/>
          <w:kern w:val="0"/>
          <w:sz w:val="24"/>
          <w:szCs w:val="24"/>
          <w:lang w:val="zh-CN" w:bidi="zh-CN"/>
        </w:rPr>
        <w:t>％；要制定相应的计划和措施。</w:t>
      </w:r>
    </w:p>
    <w:p w14:paraId="5F394869">
      <w:pPr>
        <w:tabs>
          <w:tab w:val="left" w:pos="1523"/>
          <w:tab w:val="left" w:pos="1524"/>
        </w:tabs>
        <w:autoSpaceDE w:val="0"/>
        <w:autoSpaceDN w:val="0"/>
        <w:spacing w:line="360" w:lineRule="auto"/>
        <w:ind w:firstLine="720" w:firstLineChars="300"/>
        <w:jc w:val="left"/>
        <w:rPr>
          <w:rFonts w:ascii="宋体" w:hAnsi="宋体" w:cs="宋体"/>
          <w:kern w:val="0"/>
          <w:sz w:val="24"/>
          <w:szCs w:val="24"/>
          <w:lang w:val="zh-CN" w:bidi="zh-CN"/>
        </w:rPr>
      </w:pPr>
      <w:r>
        <w:rPr>
          <w:rFonts w:hint="eastAsia" w:ascii="宋体" w:hAnsi="宋体" w:cs="宋体"/>
          <w:kern w:val="0"/>
          <w:sz w:val="24"/>
          <w:szCs w:val="24"/>
          <w:lang w:val="zh-CN" w:bidi="zh-CN"/>
        </w:rPr>
        <w:t>6.16</w:t>
      </w:r>
      <w:r>
        <w:rPr>
          <w:rFonts w:ascii="宋体" w:hAnsi="宋体" w:cs="宋体"/>
          <w:kern w:val="0"/>
          <w:sz w:val="24"/>
          <w:szCs w:val="24"/>
          <w:lang w:val="zh-CN" w:bidi="zh-CN"/>
        </w:rPr>
        <w:t>承包人应负责处理其雇佣人员因工伤亡事故的善后事宜。</w:t>
      </w:r>
    </w:p>
    <w:p w14:paraId="7A3907A4">
      <w:pPr>
        <w:autoSpaceDE w:val="0"/>
        <w:autoSpaceDN w:val="0"/>
        <w:spacing w:before="11" w:line="360" w:lineRule="auto"/>
        <w:ind w:left="239" w:leftChars="114" w:right="346" w:firstLine="426" w:firstLineChars="203"/>
        <w:rPr>
          <w:rFonts w:ascii="宋体" w:hAnsi="宋体" w:cs="宋体"/>
          <w:spacing w:val="-15"/>
          <w:kern w:val="0"/>
          <w:sz w:val="24"/>
          <w:szCs w:val="24"/>
          <w:lang w:val="zh-CN" w:bidi="zh-CN"/>
        </w:rPr>
      </w:pPr>
      <w:r>
        <w:rPr>
          <w:rFonts w:hint="eastAsia" w:ascii="宋体" w:hAnsi="宋体" w:cs="宋体"/>
          <w:spacing w:val="-15"/>
          <w:kern w:val="0"/>
          <w:sz w:val="24"/>
          <w:szCs w:val="24"/>
          <w:lang w:val="zh-CN" w:bidi="zh-CN"/>
        </w:rPr>
        <w:t>6.17</w:t>
      </w:r>
      <w:r>
        <w:rPr>
          <w:rFonts w:ascii="宋体" w:hAnsi="宋体" w:cs="宋体"/>
          <w:spacing w:val="-15"/>
          <w:kern w:val="0"/>
          <w:sz w:val="24"/>
          <w:szCs w:val="24"/>
          <w:lang w:val="zh-CN" w:bidi="zh-CN"/>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6721C086">
      <w:pPr>
        <w:autoSpaceDE w:val="0"/>
        <w:autoSpaceDN w:val="0"/>
        <w:spacing w:before="11" w:line="360" w:lineRule="auto"/>
        <w:ind w:left="218" w:leftChars="104" w:right="346" w:firstLine="392" w:firstLineChars="187"/>
        <w:rPr>
          <w:rFonts w:ascii="宋体" w:hAnsi="宋体" w:cs="宋体"/>
          <w:spacing w:val="-15"/>
          <w:kern w:val="0"/>
          <w:sz w:val="24"/>
          <w:szCs w:val="24"/>
          <w:lang w:val="zh-CN" w:bidi="zh-CN"/>
        </w:rPr>
      </w:pPr>
      <w:r>
        <w:rPr>
          <w:rFonts w:hint="eastAsia" w:ascii="宋体" w:hAnsi="宋体" w:cs="宋体"/>
          <w:spacing w:val="-15"/>
          <w:kern w:val="0"/>
          <w:sz w:val="24"/>
          <w:szCs w:val="24"/>
          <w:lang w:val="zh-CN" w:bidi="zh-CN"/>
        </w:rPr>
        <w:t>6.18</w:t>
      </w:r>
      <w:r>
        <w:rPr>
          <w:rFonts w:ascii="宋体" w:hAnsi="宋体" w:cs="宋体"/>
          <w:spacing w:val="-15"/>
          <w:kern w:val="0"/>
          <w:sz w:val="24"/>
          <w:szCs w:val="24"/>
          <w:lang w:val="zh-CN" w:bidi="zh-CN"/>
        </w:rPr>
        <w:t>承包人应为其雇佣人员提供必要的食宿条件，以及符合环境保护和卫生要求的生活环境，在远离城镇的施工场地，还应配备必要的伤病防治和急救的医务人员与医疗设施。</w:t>
      </w:r>
    </w:p>
    <w:p w14:paraId="38F2B4D2">
      <w:pPr>
        <w:autoSpaceDE w:val="0"/>
        <w:autoSpaceDN w:val="0"/>
        <w:spacing w:before="11" w:line="360" w:lineRule="auto"/>
        <w:ind w:left="0" w:leftChars="0" w:right="346" w:firstLine="638" w:firstLineChars="304"/>
        <w:rPr>
          <w:rFonts w:ascii="宋体" w:hAnsi="宋体" w:cs="宋体"/>
          <w:spacing w:val="-15"/>
          <w:kern w:val="0"/>
          <w:sz w:val="24"/>
          <w:szCs w:val="24"/>
          <w:lang w:val="zh-CN" w:bidi="zh-CN"/>
        </w:rPr>
      </w:pPr>
      <w:r>
        <w:rPr>
          <w:rFonts w:hint="eastAsia" w:ascii="宋体" w:hAnsi="宋体" w:cs="宋体"/>
          <w:spacing w:val="-15"/>
          <w:kern w:val="0"/>
          <w:sz w:val="24"/>
          <w:szCs w:val="24"/>
          <w:lang w:val="zh-CN" w:bidi="zh-CN"/>
        </w:rPr>
        <w:t>6.19</w:t>
      </w:r>
      <w:r>
        <w:rPr>
          <w:rFonts w:ascii="宋体" w:hAnsi="宋体" w:cs="宋体"/>
          <w:spacing w:val="-15"/>
          <w:kern w:val="0"/>
          <w:sz w:val="24"/>
          <w:szCs w:val="24"/>
          <w:lang w:val="zh-CN" w:bidi="zh-CN"/>
        </w:rPr>
        <w:t>承包人应履行的其他义务</w:t>
      </w:r>
    </w:p>
    <w:p w14:paraId="5CBB3B7C">
      <w:pPr>
        <w:autoSpaceDE w:val="0"/>
        <w:autoSpaceDN w:val="0"/>
        <w:spacing w:before="11" w:line="360" w:lineRule="auto"/>
        <w:ind w:left="420" w:leftChars="200" w:right="346" w:firstLine="210" w:firstLineChars="100"/>
        <w:rPr>
          <w:rFonts w:ascii="宋体" w:hAnsi="宋体" w:cs="宋体"/>
          <w:spacing w:val="-6"/>
          <w:kern w:val="0"/>
          <w:sz w:val="24"/>
          <w:szCs w:val="24"/>
          <w:lang w:val="zh-CN" w:bidi="zh-CN"/>
        </w:rPr>
      </w:pPr>
      <w:r>
        <w:rPr>
          <w:rFonts w:ascii="宋体" w:hAnsi="宋体" w:cs="宋体"/>
          <w:spacing w:val="-15"/>
          <w:kern w:val="0"/>
          <w:sz w:val="24"/>
          <w:szCs w:val="24"/>
          <w:lang w:val="zh-CN" w:bidi="zh-CN"/>
        </w:rPr>
        <w:t>（1）凡是与已建铁路、公路、堤防、通讯及电力缆线、供水、输油、输气管道、居民住宅</w:t>
      </w:r>
      <w:r>
        <w:rPr>
          <w:rFonts w:ascii="宋体" w:hAnsi="宋体" w:cs="宋体"/>
          <w:spacing w:val="-6"/>
          <w:kern w:val="0"/>
          <w:sz w:val="24"/>
          <w:szCs w:val="24"/>
          <w:lang w:val="zh-CN" w:bidi="zh-CN"/>
        </w:rPr>
        <w:t>区等有交叉、干扰的地段，承包人应在不干扰铁路、公路正常营运以及注意保护地下管线、不干扰附近居民的正常生活的前提下合理安排施工组织计划，采取有效措施保证施工安全，在现场设置施工和安全标志，并在必要时疏导现有交通流；凡</w:t>
      </w:r>
      <w:r>
        <w:rPr>
          <w:rFonts w:hint="eastAsia" w:ascii="宋体" w:hAnsi="宋体" w:cs="宋体"/>
          <w:spacing w:val="-6"/>
          <w:kern w:val="0"/>
          <w:sz w:val="24"/>
          <w:szCs w:val="24"/>
          <w:lang w:val="zh-CN" w:bidi="zh-CN"/>
        </w:rPr>
        <w:t>是</w:t>
      </w:r>
      <w:r>
        <w:rPr>
          <w:rFonts w:ascii="宋体" w:hAnsi="宋体" w:cs="宋体"/>
          <w:spacing w:val="-6"/>
          <w:kern w:val="0"/>
          <w:sz w:val="24"/>
          <w:szCs w:val="24"/>
          <w:lang w:val="zh-CN" w:bidi="zh-CN"/>
        </w:rPr>
        <w:t>标段内与其他在建工程有互扰的地段，承包人应做好与其他施工单位的协调工作； 凡是标段内地形复杂、存在软土路基、场地狭窄的地段，承包人应按照施工要求制定完善的施工组织计划。承包人应对上述所有工作负责，发包人将根据承包人的要求给予适当协助。承包人应将其采取上述措施而可能发生的全部费用视为已包括在或计入在本合同工程已标价的工程量清单的各相关工程细目的单价或总额价中，发包人将不另行支付。</w:t>
      </w:r>
    </w:p>
    <w:p w14:paraId="15156F78">
      <w:pPr>
        <w:autoSpaceDE w:val="0"/>
        <w:autoSpaceDN w:val="0"/>
        <w:spacing w:line="360" w:lineRule="auto"/>
        <w:ind w:left="384" w:right="346" w:firstLine="456" w:firstLineChars="200"/>
        <w:jc w:val="left"/>
        <w:rPr>
          <w:rFonts w:ascii="宋体" w:hAnsi="宋体" w:cs="宋体"/>
          <w:kern w:val="0"/>
          <w:sz w:val="24"/>
          <w:szCs w:val="24"/>
          <w:lang w:val="zh-CN" w:bidi="zh-CN"/>
        </w:rPr>
      </w:pPr>
      <w:r>
        <w:rPr>
          <w:rFonts w:ascii="宋体" w:hAnsi="宋体" w:cs="宋体"/>
          <w:spacing w:val="-6"/>
          <w:kern w:val="0"/>
          <w:sz w:val="24"/>
          <w:szCs w:val="24"/>
          <w:lang w:val="zh-CN" w:bidi="zh-CN"/>
        </w:rPr>
        <w:t>如因承包人采取的措施不利，影响铁路、公路、通讯及电力缆线、供水、输油、输气管道等正常安全营运、居民的正常生活而给其它部门或个人造成的一切损失， 或由于上述原因造成本工程工期的拖延或施工费用的增加，均由承包人自行负责， 发包人不承担任何责任。</w:t>
      </w:r>
    </w:p>
    <w:p w14:paraId="793F8C03">
      <w:pPr>
        <w:autoSpaceDE w:val="0"/>
        <w:autoSpaceDN w:val="0"/>
        <w:spacing w:line="360" w:lineRule="auto"/>
        <w:ind w:left="384" w:right="466" w:firstLine="440" w:firstLineChars="200"/>
        <w:rPr>
          <w:rFonts w:ascii="宋体" w:hAnsi="宋体" w:cs="宋体"/>
          <w:kern w:val="0"/>
          <w:sz w:val="24"/>
          <w:szCs w:val="24"/>
          <w:lang w:val="zh-CN" w:bidi="zh-CN"/>
        </w:rPr>
      </w:pPr>
      <w:r>
        <w:rPr>
          <w:rFonts w:ascii="宋体" w:hAnsi="宋体" w:cs="宋体"/>
          <w:spacing w:val="-10"/>
          <w:kern w:val="0"/>
          <w:sz w:val="24"/>
          <w:szCs w:val="24"/>
          <w:lang w:val="zh-CN" w:bidi="zh-CN"/>
        </w:rPr>
        <w:t>（2）</w:t>
      </w:r>
      <w:r>
        <w:rPr>
          <w:rFonts w:ascii="宋体" w:hAnsi="宋体" w:cs="宋体"/>
          <w:spacing w:val="-3"/>
          <w:kern w:val="0"/>
          <w:sz w:val="24"/>
          <w:szCs w:val="24"/>
          <w:lang w:val="zh-CN" w:bidi="zh-CN"/>
        </w:rPr>
        <w:t>承包人在进场前及进场施工后，应充分了解工程所在地的民族习惯、宗教信仰、饮食禁忌等情况，并尊重当地居民的各种习俗，在施工队伍中做好宣传教育工作，否则，因承包人的员工破坏当地风俗习惯造成的恶劣影响及给发包人带来的损失由承包人承担。</w:t>
      </w:r>
    </w:p>
    <w:p w14:paraId="54D91D63">
      <w:pPr>
        <w:keepNext/>
        <w:keepLines/>
        <w:widowControl/>
        <w:spacing w:before="260" w:after="260" w:line="415" w:lineRule="auto"/>
        <w:jc w:val="left"/>
        <w:outlineLvl w:val="2"/>
        <w:rPr>
          <w:rFonts w:ascii="宋体" w:hAnsi="宋体" w:cs="宋体"/>
          <w:b/>
          <w:bCs/>
          <w:kern w:val="0"/>
          <w:sz w:val="24"/>
          <w:szCs w:val="24"/>
          <w:lang w:val="zh-CN" w:bidi="zh-CN"/>
        </w:rPr>
      </w:pPr>
      <w:bookmarkStart w:id="144" w:name="_Toc256000049"/>
      <w:r>
        <w:rPr>
          <w:rFonts w:ascii="宋体" w:hAnsi="宋体" w:cs="宋体"/>
          <w:b/>
          <w:bCs/>
          <w:kern w:val="0"/>
          <w:sz w:val="24"/>
          <w:szCs w:val="24"/>
          <w:lang w:val="zh-CN" w:bidi="zh-CN"/>
        </w:rPr>
        <w:t>三、施工组织计划和工期</w:t>
      </w:r>
      <w:bookmarkEnd w:id="144"/>
    </w:p>
    <w:p w14:paraId="75464E11">
      <w:pPr>
        <w:keepLines/>
        <w:widowControl/>
        <w:tabs>
          <w:tab w:val="left" w:pos="567"/>
        </w:tabs>
        <w:autoSpaceDE w:val="0"/>
        <w:autoSpaceDN w:val="0"/>
        <w:spacing w:before="120" w:after="120" w:line="360" w:lineRule="auto"/>
        <w:ind w:left="567"/>
        <w:jc w:val="left"/>
        <w:outlineLvl w:val="3"/>
        <w:rPr>
          <w:rFonts w:ascii="宋体" w:hAnsi="宋体"/>
          <w:b/>
          <w:bCs/>
          <w:kern w:val="0"/>
          <w:sz w:val="24"/>
          <w:szCs w:val="24"/>
          <w:lang w:val="zh-CN" w:bidi="zh-CN"/>
        </w:rPr>
      </w:pPr>
      <w:r>
        <w:rPr>
          <w:rFonts w:ascii="宋体" w:hAnsi="宋体"/>
          <w:b/>
          <w:bCs/>
          <w:kern w:val="0"/>
          <w:sz w:val="24"/>
          <w:szCs w:val="24"/>
          <w:lang w:val="zh-CN" w:bidi="zh-CN"/>
        </w:rPr>
        <w:t>7.进度计划</w:t>
      </w:r>
    </w:p>
    <w:p w14:paraId="1E3CC3D0">
      <w:pPr>
        <w:autoSpaceDE w:val="0"/>
        <w:autoSpaceDN w:val="0"/>
        <w:spacing w:line="360" w:lineRule="auto"/>
        <w:ind w:left="384" w:right="466" w:firstLine="440" w:firstLineChars="200"/>
        <w:rPr>
          <w:rFonts w:ascii="宋体" w:hAnsi="宋体" w:cs="宋体"/>
          <w:spacing w:val="-10"/>
          <w:kern w:val="0"/>
          <w:sz w:val="24"/>
          <w:szCs w:val="24"/>
          <w:lang w:val="zh-CN" w:bidi="zh-CN"/>
        </w:rPr>
      </w:pPr>
      <w:r>
        <w:rPr>
          <w:rFonts w:hint="eastAsia" w:ascii="宋体" w:hAnsi="宋体" w:cs="宋体"/>
          <w:spacing w:val="-10"/>
          <w:kern w:val="0"/>
          <w:sz w:val="24"/>
          <w:szCs w:val="24"/>
          <w:lang w:val="zh-CN" w:bidi="zh-CN"/>
        </w:rPr>
        <w:t>7.1</w:t>
      </w:r>
      <w:r>
        <w:rPr>
          <w:rFonts w:ascii="宋体" w:hAnsi="宋体" w:cs="宋体"/>
          <w:spacing w:val="-10"/>
          <w:kern w:val="0"/>
          <w:sz w:val="24"/>
          <w:szCs w:val="24"/>
          <w:lang w:val="zh-CN" w:bidi="zh-CN"/>
        </w:rPr>
        <w:t>承包人应在签订合同协议书后 14 天内，向监理人提交两份其格式和内容符合规定的施工计划，以及为完成该计划而建议采用的实施性施工安排和施工方案的说明。监理人应在 14 天内对承包人施工进度计划和施工方案说明予以批复或提出修改意见；经监理人审查后报发包人批准。经批准的施工进度计划是控制合同工程进度的依据。</w:t>
      </w:r>
    </w:p>
    <w:p w14:paraId="1331635A">
      <w:pPr>
        <w:autoSpaceDE w:val="0"/>
        <w:autoSpaceDN w:val="0"/>
        <w:spacing w:line="360" w:lineRule="auto"/>
        <w:ind w:left="384" w:right="466" w:firstLine="440" w:firstLineChars="200"/>
        <w:rPr>
          <w:rFonts w:ascii="宋体" w:hAnsi="宋体" w:cs="宋体"/>
          <w:spacing w:val="-10"/>
          <w:kern w:val="0"/>
          <w:sz w:val="24"/>
          <w:szCs w:val="24"/>
          <w:lang w:val="zh-CN" w:bidi="zh-CN"/>
        </w:rPr>
      </w:pPr>
      <w:r>
        <w:rPr>
          <w:rFonts w:hint="eastAsia" w:ascii="宋体" w:hAnsi="宋体" w:cs="宋体"/>
          <w:spacing w:val="-10"/>
          <w:kern w:val="0"/>
          <w:sz w:val="24"/>
          <w:szCs w:val="24"/>
          <w:lang w:val="zh-CN" w:bidi="zh-CN"/>
        </w:rPr>
        <w:t>7.2</w:t>
      </w:r>
      <w:r>
        <w:rPr>
          <w:rFonts w:ascii="宋体" w:hAnsi="宋体" w:cs="宋体"/>
          <w:spacing w:val="-10"/>
          <w:kern w:val="0"/>
          <w:sz w:val="24"/>
          <w:szCs w:val="24"/>
          <w:lang w:val="zh-CN" w:bidi="zh-CN"/>
        </w:rPr>
        <w:t>承包人应在确保合同工期的前提下，每月对进度计划修订一次，并应在每月的 25 日前提交给监理人审查；监理人批复修订合同进度计划的期限：收到修订合同进度计划后 3 天内。</w:t>
      </w:r>
    </w:p>
    <w:p w14:paraId="5A6055CD">
      <w:pPr>
        <w:autoSpaceDE w:val="0"/>
        <w:autoSpaceDN w:val="0"/>
        <w:spacing w:line="360" w:lineRule="auto"/>
        <w:ind w:left="384" w:right="466" w:firstLine="440" w:firstLineChars="200"/>
        <w:rPr>
          <w:rFonts w:ascii="宋体" w:hAnsi="宋体" w:cs="宋体"/>
          <w:spacing w:val="-10"/>
          <w:kern w:val="0"/>
          <w:sz w:val="24"/>
          <w:szCs w:val="24"/>
          <w:lang w:val="zh-CN" w:bidi="zh-CN"/>
        </w:rPr>
      </w:pPr>
      <w:r>
        <w:rPr>
          <w:rFonts w:hint="eastAsia" w:ascii="宋体" w:hAnsi="宋体" w:cs="宋体"/>
          <w:spacing w:val="-10"/>
          <w:kern w:val="0"/>
          <w:sz w:val="24"/>
          <w:szCs w:val="24"/>
          <w:lang w:val="zh-CN" w:bidi="zh-CN"/>
        </w:rPr>
        <w:t>7.3</w:t>
      </w:r>
      <w:r>
        <w:rPr>
          <w:rFonts w:ascii="宋体" w:hAnsi="宋体" w:cs="宋体"/>
          <w:spacing w:val="-10"/>
          <w:kern w:val="0"/>
          <w:sz w:val="24"/>
          <w:szCs w:val="24"/>
          <w:lang w:val="zh-CN" w:bidi="zh-CN"/>
        </w:rPr>
        <w:t>承包人编制施工方案中要有确保工程顺利实施的保证措施。</w:t>
      </w:r>
    </w:p>
    <w:p w14:paraId="03E938E8">
      <w:pPr>
        <w:autoSpaceDE w:val="0"/>
        <w:autoSpaceDN w:val="0"/>
        <w:spacing w:line="360" w:lineRule="auto"/>
        <w:ind w:left="384" w:right="466" w:firstLine="440" w:firstLineChars="200"/>
        <w:rPr>
          <w:rFonts w:ascii="宋体" w:hAnsi="宋体" w:cs="宋体"/>
          <w:spacing w:val="-10"/>
          <w:kern w:val="0"/>
          <w:sz w:val="24"/>
          <w:szCs w:val="24"/>
          <w:lang w:val="zh-CN" w:bidi="zh-CN"/>
        </w:rPr>
      </w:pPr>
    </w:p>
    <w:p w14:paraId="7272D6FF">
      <w:pPr>
        <w:keepLines/>
        <w:widowControl/>
        <w:tabs>
          <w:tab w:val="left" w:pos="567"/>
        </w:tabs>
        <w:autoSpaceDE w:val="0"/>
        <w:autoSpaceDN w:val="0"/>
        <w:spacing w:before="120" w:after="120" w:line="360" w:lineRule="auto"/>
        <w:ind w:left="567"/>
        <w:jc w:val="left"/>
        <w:outlineLvl w:val="3"/>
        <w:rPr>
          <w:rFonts w:ascii="宋体" w:hAnsi="宋体"/>
          <w:b/>
          <w:bCs/>
          <w:kern w:val="0"/>
          <w:sz w:val="24"/>
          <w:szCs w:val="24"/>
          <w:lang w:val="zh-CN" w:bidi="zh-CN"/>
        </w:rPr>
      </w:pPr>
      <w:r>
        <w:rPr>
          <w:rFonts w:ascii="宋体" w:hAnsi="宋体"/>
          <w:b/>
          <w:bCs/>
          <w:kern w:val="0"/>
          <w:sz w:val="24"/>
          <w:szCs w:val="24"/>
          <w:lang w:val="zh-CN" w:bidi="zh-CN"/>
        </w:rPr>
        <w:t>8.开工和延误</w:t>
      </w:r>
    </w:p>
    <w:p w14:paraId="34475794">
      <w:pPr>
        <w:tabs>
          <w:tab w:val="left" w:pos="1403"/>
          <w:tab w:val="left" w:pos="1404"/>
        </w:tabs>
        <w:autoSpaceDE w:val="0"/>
        <w:autoSpaceDN w:val="0"/>
        <w:spacing w:line="360" w:lineRule="auto"/>
        <w:ind w:left="806"/>
        <w:jc w:val="left"/>
        <w:rPr>
          <w:rFonts w:ascii="宋体" w:hAnsi="宋体" w:cs="宋体"/>
          <w:kern w:val="0"/>
          <w:sz w:val="24"/>
          <w:szCs w:val="24"/>
          <w:lang w:val="zh-CN" w:bidi="zh-CN"/>
        </w:rPr>
      </w:pPr>
      <w:r>
        <w:rPr>
          <w:rFonts w:hint="eastAsia" w:ascii="宋体" w:hAnsi="宋体" w:cs="宋体"/>
          <w:kern w:val="0"/>
          <w:sz w:val="24"/>
          <w:szCs w:val="24"/>
          <w:lang w:val="zh-CN" w:bidi="zh-CN"/>
        </w:rPr>
        <w:t>8.1</w:t>
      </w:r>
      <w:r>
        <w:rPr>
          <w:rFonts w:ascii="宋体" w:hAnsi="宋体" w:cs="宋体"/>
          <w:kern w:val="0"/>
          <w:sz w:val="24"/>
          <w:szCs w:val="24"/>
          <w:lang w:val="zh-CN" w:bidi="zh-CN"/>
        </w:rPr>
        <w:t>工程开工分项目开工和分部工程开工两种：</w:t>
      </w:r>
    </w:p>
    <w:p w14:paraId="35F39D9B">
      <w:pPr>
        <w:autoSpaceDE w:val="0"/>
        <w:autoSpaceDN w:val="0"/>
        <w:spacing w:before="91" w:line="360" w:lineRule="auto"/>
        <w:ind w:left="384" w:right="465" w:firstLine="480" w:firstLineChars="200"/>
        <w:rPr>
          <w:rFonts w:ascii="宋体" w:hAnsi="宋体" w:cs="宋体"/>
          <w:spacing w:val="-15"/>
          <w:kern w:val="0"/>
          <w:sz w:val="24"/>
          <w:szCs w:val="24"/>
          <w:lang w:val="zh-CN" w:bidi="zh-CN"/>
        </w:rPr>
      </w:pPr>
      <w:r>
        <w:rPr>
          <w:rFonts w:ascii="宋体" w:hAnsi="宋体" w:cs="宋体"/>
          <w:kern w:val="0"/>
          <w:sz w:val="24"/>
          <w:szCs w:val="24"/>
          <w:lang w:val="zh-CN" w:bidi="zh-CN"/>
        </w:rPr>
        <w:t>（1）</w:t>
      </w:r>
      <w:r>
        <w:rPr>
          <w:rFonts w:ascii="宋体" w:hAnsi="宋体" w:cs="宋体"/>
          <w:spacing w:val="-3"/>
          <w:kern w:val="0"/>
          <w:sz w:val="24"/>
          <w:szCs w:val="24"/>
          <w:lang w:val="zh-CN" w:bidi="zh-CN"/>
        </w:rPr>
        <w:t xml:space="preserve">项目开工：承包人应在签订合同协议后 </w:t>
      </w:r>
      <w:r>
        <w:rPr>
          <w:rFonts w:ascii="宋体" w:hAnsi="宋体" w:cs="宋体"/>
          <w:kern w:val="0"/>
          <w:sz w:val="24"/>
          <w:szCs w:val="24"/>
          <w:lang w:val="zh-CN" w:bidi="zh-CN"/>
        </w:rPr>
        <w:t>14</w:t>
      </w:r>
      <w:r>
        <w:rPr>
          <w:rFonts w:ascii="宋体" w:hAnsi="宋体" w:cs="宋体"/>
          <w:spacing w:val="12"/>
          <w:kern w:val="0"/>
          <w:sz w:val="24"/>
          <w:szCs w:val="24"/>
          <w:lang w:val="zh-CN" w:bidi="zh-CN"/>
        </w:rPr>
        <w:t xml:space="preserve"> </w:t>
      </w:r>
      <w:r>
        <w:rPr>
          <w:rFonts w:ascii="宋体" w:hAnsi="宋体" w:cs="宋体"/>
          <w:kern w:val="0"/>
          <w:sz w:val="24"/>
          <w:szCs w:val="24"/>
          <w:lang w:val="zh-CN" w:bidi="zh-CN"/>
        </w:rPr>
        <w:t>天内向监理人提交开工报告， 主要内容应包括：施工管理机构的建立，劳务、机械设备、材料的进场情况，临时设施的修建及总体施工组织计划等；</w:t>
      </w:r>
      <w:r>
        <w:rPr>
          <w:rFonts w:ascii="宋体" w:hAnsi="宋体" w:cs="宋体"/>
          <w:spacing w:val="-15"/>
          <w:kern w:val="0"/>
          <w:sz w:val="24"/>
          <w:szCs w:val="24"/>
          <w:lang w:val="zh-CN" w:bidi="zh-CN"/>
        </w:rPr>
        <w:t xml:space="preserve"> </w:t>
      </w:r>
    </w:p>
    <w:p w14:paraId="190E21F8">
      <w:pPr>
        <w:autoSpaceDE w:val="0"/>
        <w:autoSpaceDN w:val="0"/>
        <w:spacing w:before="74" w:line="360" w:lineRule="auto"/>
        <w:ind w:left="384" w:right="466" w:firstLine="420" w:firstLineChars="200"/>
        <w:rPr>
          <w:rFonts w:ascii="宋体" w:hAnsi="宋体" w:cs="宋体"/>
          <w:kern w:val="0"/>
          <w:sz w:val="24"/>
          <w:szCs w:val="24"/>
          <w:lang w:val="zh-CN" w:bidi="zh-CN"/>
        </w:rPr>
      </w:pPr>
      <w:r>
        <w:rPr>
          <w:rFonts w:ascii="宋体" w:hAnsi="宋体" w:cs="宋体"/>
          <w:spacing w:val="-15"/>
          <w:kern w:val="0"/>
          <w:sz w:val="24"/>
          <w:szCs w:val="24"/>
          <w:lang w:val="zh-CN" w:bidi="zh-CN"/>
        </w:rPr>
        <w:t>（2）</w:t>
      </w:r>
      <w:r>
        <w:rPr>
          <w:rFonts w:ascii="宋体" w:hAnsi="宋体" w:cs="宋体"/>
          <w:spacing w:val="-9"/>
          <w:kern w:val="0"/>
          <w:sz w:val="24"/>
          <w:szCs w:val="24"/>
          <w:lang w:val="zh-CN" w:bidi="zh-CN"/>
        </w:rPr>
        <w:t xml:space="preserve">分部工程开工：承包人应在分部工程开工前 </w:t>
      </w:r>
      <w:r>
        <w:rPr>
          <w:rFonts w:ascii="宋体" w:hAnsi="宋体" w:cs="宋体"/>
          <w:kern w:val="0"/>
          <w:sz w:val="24"/>
          <w:szCs w:val="24"/>
          <w:lang w:val="zh-CN" w:bidi="zh-CN"/>
        </w:rPr>
        <w:t>7 天向监理人提交分部工程开工报告，若承包人的开工准备、工作计划和质量控制方法是可接受的，经监理人书面同意，分部工程才能开工。</w:t>
      </w:r>
    </w:p>
    <w:p w14:paraId="7FE1F957">
      <w:pPr>
        <w:tabs>
          <w:tab w:val="left" w:pos="1403"/>
          <w:tab w:val="left" w:pos="1404"/>
        </w:tabs>
        <w:autoSpaceDE w:val="0"/>
        <w:autoSpaceDN w:val="0"/>
        <w:spacing w:before="1" w:line="360" w:lineRule="auto"/>
        <w:ind w:left="802" w:right="466"/>
        <w:jc w:val="left"/>
        <w:rPr>
          <w:rFonts w:ascii="宋体" w:hAnsi="宋体" w:cs="宋体"/>
          <w:kern w:val="0"/>
          <w:sz w:val="24"/>
          <w:szCs w:val="24"/>
          <w:lang w:val="zh-CN" w:bidi="zh-CN"/>
        </w:rPr>
      </w:pPr>
      <w:r>
        <w:rPr>
          <w:rFonts w:hint="eastAsia" w:ascii="宋体" w:hAnsi="宋体" w:cs="宋体"/>
          <w:spacing w:val="-2"/>
          <w:kern w:val="0"/>
          <w:sz w:val="24"/>
          <w:szCs w:val="24"/>
          <w:lang w:val="zh-CN" w:bidi="zh-CN"/>
        </w:rPr>
        <w:t>8.2</w:t>
      </w:r>
      <w:r>
        <w:rPr>
          <w:rFonts w:ascii="宋体" w:hAnsi="宋体" w:cs="宋体"/>
          <w:spacing w:val="-2"/>
          <w:kern w:val="0"/>
          <w:sz w:val="24"/>
          <w:szCs w:val="24"/>
          <w:lang w:val="zh-CN" w:bidi="zh-CN"/>
        </w:rPr>
        <w:t>由于下述原因之一而影响施工进度，承包人有权要求延长工期和</w:t>
      </w:r>
      <w:r>
        <w:rPr>
          <w:rFonts w:ascii="宋体" w:hAnsi="宋体" w:cs="宋体"/>
          <w:kern w:val="0"/>
          <w:sz w:val="24"/>
          <w:szCs w:val="24"/>
          <w:lang w:val="zh-CN" w:bidi="zh-CN"/>
        </w:rPr>
        <w:t>（或</w:t>
      </w:r>
      <w:r>
        <w:rPr>
          <w:rFonts w:ascii="宋体" w:hAnsi="宋体" w:cs="宋体"/>
          <w:spacing w:val="-10"/>
          <w:kern w:val="0"/>
          <w:sz w:val="24"/>
          <w:szCs w:val="24"/>
          <w:lang w:val="zh-CN" w:bidi="zh-CN"/>
        </w:rPr>
        <w:t>）</w:t>
      </w:r>
      <w:r>
        <w:rPr>
          <w:rFonts w:ascii="宋体" w:hAnsi="宋体" w:cs="宋体"/>
          <w:kern w:val="0"/>
          <w:sz w:val="24"/>
          <w:szCs w:val="24"/>
          <w:lang w:val="zh-CN" w:bidi="zh-CN"/>
        </w:rPr>
        <w:t>增加费用。</w:t>
      </w:r>
    </w:p>
    <w:p w14:paraId="670AF615">
      <w:pPr>
        <w:autoSpaceDE w:val="0"/>
        <w:autoSpaceDN w:val="0"/>
        <w:spacing w:line="360" w:lineRule="auto"/>
        <w:ind w:left="864"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（1）增加合同工作内容；</w:t>
      </w:r>
    </w:p>
    <w:p w14:paraId="6CD25160">
      <w:pPr>
        <w:autoSpaceDE w:val="0"/>
        <w:autoSpaceDN w:val="0"/>
        <w:spacing w:before="93" w:line="360" w:lineRule="auto"/>
        <w:ind w:left="864"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（2）改变合同中任何一项工作的质量要求或其他特性；</w:t>
      </w:r>
    </w:p>
    <w:p w14:paraId="6E9F2A51">
      <w:pPr>
        <w:autoSpaceDE w:val="0"/>
        <w:autoSpaceDN w:val="0"/>
        <w:spacing w:before="74" w:line="360" w:lineRule="auto"/>
        <w:ind w:left="384" w:leftChars="183" w:right="466" w:firstLine="1050" w:firstLineChars="500"/>
        <w:rPr>
          <w:rFonts w:ascii="宋体" w:hAnsi="宋体" w:cs="宋体"/>
          <w:spacing w:val="-15"/>
          <w:kern w:val="0"/>
          <w:sz w:val="24"/>
          <w:szCs w:val="24"/>
          <w:lang w:val="zh-CN" w:bidi="zh-CN"/>
        </w:rPr>
      </w:pPr>
      <w:r>
        <w:rPr>
          <w:rFonts w:ascii="宋体" w:hAnsi="宋体" w:cs="宋体"/>
          <w:spacing w:val="-15"/>
          <w:kern w:val="0"/>
          <w:sz w:val="24"/>
          <w:szCs w:val="24"/>
          <w:lang w:val="zh-CN" w:bidi="zh-CN"/>
        </w:rPr>
        <w:t>（3）连续降大雨 3 天以上或特大洪水；连续 7 天 8 级以上的大风；或出现其他异常恶劣的气候条件(是指项目所在地 30 年以上一遇的罕见气候现象，包括温度、降水、降雪、风等)；</w:t>
      </w:r>
    </w:p>
    <w:p w14:paraId="4B850B68">
      <w:pPr>
        <w:autoSpaceDE w:val="0"/>
        <w:autoSpaceDN w:val="0"/>
        <w:spacing w:before="3" w:line="360" w:lineRule="auto"/>
        <w:ind w:left="864"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（4）提供图纸延误；</w:t>
      </w:r>
    </w:p>
    <w:p w14:paraId="5A7E4564">
      <w:pPr>
        <w:autoSpaceDE w:val="0"/>
        <w:autoSpaceDN w:val="0"/>
        <w:spacing w:before="90" w:line="360" w:lineRule="auto"/>
        <w:ind w:left="864"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（5）未按合同约定及时支付预付款、进度款；</w:t>
      </w:r>
    </w:p>
    <w:p w14:paraId="379D59C2">
      <w:pPr>
        <w:autoSpaceDE w:val="0"/>
        <w:autoSpaceDN w:val="0"/>
        <w:spacing w:before="90" w:line="360" w:lineRule="auto"/>
        <w:ind w:left="864"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（6）由于发包人原因导致的暂停施工；</w:t>
      </w:r>
    </w:p>
    <w:p w14:paraId="20ACB9D9">
      <w:pPr>
        <w:autoSpaceDE w:val="0"/>
        <w:autoSpaceDN w:val="0"/>
        <w:spacing w:before="90" w:line="360" w:lineRule="auto"/>
        <w:ind w:left="864"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（7）不是由于承包人的失误或违约而发生的其他特殊情况。</w:t>
      </w:r>
    </w:p>
    <w:p w14:paraId="55667D77">
      <w:pPr>
        <w:autoSpaceDE w:val="0"/>
        <w:autoSpaceDN w:val="0"/>
        <w:spacing w:before="74" w:line="360" w:lineRule="auto"/>
        <w:ind w:left="384" w:right="466" w:firstLine="420" w:firstLineChars="200"/>
        <w:rPr>
          <w:rFonts w:ascii="宋体" w:hAnsi="宋体" w:cs="宋体"/>
          <w:spacing w:val="-15"/>
          <w:kern w:val="0"/>
          <w:sz w:val="24"/>
          <w:szCs w:val="24"/>
          <w:lang w:val="zh-CN" w:bidi="zh-CN"/>
        </w:rPr>
      </w:pPr>
      <w:r>
        <w:rPr>
          <w:rFonts w:hint="eastAsia" w:ascii="宋体" w:hAnsi="宋体" w:cs="宋体"/>
          <w:spacing w:val="-15"/>
          <w:kern w:val="0"/>
          <w:sz w:val="24"/>
          <w:szCs w:val="24"/>
          <w:lang w:val="zh-CN" w:bidi="zh-CN"/>
        </w:rPr>
        <w:t>8.4</w:t>
      </w:r>
      <w:r>
        <w:rPr>
          <w:rFonts w:ascii="宋体" w:hAnsi="宋体" w:cs="宋体"/>
          <w:spacing w:val="-15"/>
          <w:kern w:val="0"/>
          <w:sz w:val="24"/>
          <w:szCs w:val="24"/>
          <w:lang w:val="zh-CN" w:bidi="zh-CN"/>
        </w:rPr>
        <w:t>承包人应在上述情况发生后 7 天内向监理人发出要求延期的申请，并提交延期的详细情况与缘由，监理人在收到最后详细资料后 7 天内调查核实并经发包人批准后予以答复，逾期不答复也不提出修改意见，则应视为承包人延期请求已获得发包人批准。</w:t>
      </w:r>
    </w:p>
    <w:p w14:paraId="516253CC">
      <w:pPr>
        <w:tabs>
          <w:tab w:val="left" w:pos="1409"/>
        </w:tabs>
        <w:autoSpaceDE w:val="0"/>
        <w:autoSpaceDN w:val="0"/>
        <w:spacing w:before="2" w:line="360" w:lineRule="auto"/>
        <w:ind w:left="384" w:right="467" w:firstLine="480"/>
        <w:jc w:val="left"/>
        <w:rPr>
          <w:rFonts w:ascii="宋体" w:hAnsi="宋体" w:cs="宋体"/>
          <w:kern w:val="0"/>
          <w:sz w:val="24"/>
          <w:szCs w:val="24"/>
          <w:lang w:val="zh-CN" w:bidi="zh-CN"/>
        </w:rPr>
      </w:pPr>
      <w:r>
        <w:rPr>
          <w:rFonts w:ascii="宋体" w:hAnsi="宋体" w:cs="宋体"/>
          <w:spacing w:val="3"/>
          <w:kern w:val="0"/>
          <w:sz w:val="24"/>
          <w:szCs w:val="24"/>
          <w:lang w:val="zh-CN" w:bidi="zh-CN"/>
        </w:rPr>
        <w:t>由于承包人原因，未能按合同进度计划完成工作，或监理人认为承包人</w:t>
      </w:r>
      <w:r>
        <w:rPr>
          <w:rFonts w:ascii="宋体" w:hAnsi="宋体" w:cs="宋体"/>
          <w:spacing w:val="-6"/>
          <w:kern w:val="0"/>
          <w:sz w:val="24"/>
          <w:szCs w:val="24"/>
          <w:lang w:val="zh-CN" w:bidi="zh-CN"/>
        </w:rPr>
        <w:t>施工进度不能满足合同工期要求的，承包人应采取措施加快进度，并承担加快进度所增加的费用。由于承包人原因造成工期延误，承包人应支付逾期违约金。逾期交</w:t>
      </w:r>
      <w:r>
        <w:rPr>
          <w:rFonts w:ascii="宋体" w:hAnsi="宋体" w:cs="宋体"/>
          <w:spacing w:val="-5"/>
          <w:kern w:val="0"/>
          <w:sz w:val="24"/>
          <w:szCs w:val="24"/>
          <w:lang w:val="zh-CN" w:bidi="zh-CN"/>
        </w:rPr>
        <w:t>工违约金的计算方法在合同条款数据表中约定，时间自预定的交工日期起到交工验</w:t>
      </w:r>
      <w:r>
        <w:rPr>
          <w:rFonts w:ascii="宋体" w:hAnsi="宋体" w:cs="宋体"/>
          <w:spacing w:val="-2"/>
          <w:kern w:val="0"/>
          <w:sz w:val="24"/>
          <w:szCs w:val="24"/>
          <w:lang w:val="zh-CN" w:bidi="zh-CN"/>
        </w:rPr>
        <w:t>收证书中写明的实际交工日期止</w:t>
      </w:r>
      <w:r>
        <w:rPr>
          <w:rFonts w:ascii="宋体" w:hAnsi="宋体" w:cs="宋体"/>
          <w:spacing w:val="4"/>
          <w:kern w:val="0"/>
          <w:sz w:val="24"/>
          <w:szCs w:val="24"/>
          <w:lang w:val="zh-CN" w:bidi="zh-CN"/>
        </w:rPr>
        <w:t>（</w:t>
      </w:r>
      <w:r>
        <w:rPr>
          <w:rFonts w:ascii="宋体" w:hAnsi="宋体" w:cs="宋体"/>
          <w:kern w:val="0"/>
          <w:sz w:val="24"/>
          <w:szCs w:val="24"/>
          <w:lang w:val="zh-CN" w:bidi="zh-CN"/>
        </w:rPr>
        <w:t>扣除已批准的延长工期</w:t>
      </w:r>
      <w:r>
        <w:rPr>
          <w:rFonts w:ascii="宋体" w:hAnsi="宋体" w:cs="宋体"/>
          <w:spacing w:val="-23"/>
          <w:kern w:val="0"/>
          <w:sz w:val="24"/>
          <w:szCs w:val="24"/>
          <w:lang w:val="zh-CN" w:bidi="zh-CN"/>
        </w:rPr>
        <w:t>）</w:t>
      </w:r>
      <w:r>
        <w:rPr>
          <w:rFonts w:ascii="宋体" w:hAnsi="宋体" w:cs="宋体"/>
          <w:spacing w:val="-5"/>
          <w:kern w:val="0"/>
          <w:sz w:val="24"/>
          <w:szCs w:val="24"/>
          <w:lang w:val="zh-CN" w:bidi="zh-CN"/>
        </w:rPr>
        <w:t>，按天计算。逾期交工违约金累计金额最高不超过合同条款数据表中写明的限额。但不免除承包人完成工</w:t>
      </w:r>
      <w:r>
        <w:rPr>
          <w:rFonts w:ascii="宋体" w:hAnsi="宋体" w:cs="宋体"/>
          <w:kern w:val="0"/>
          <w:sz w:val="24"/>
          <w:szCs w:val="24"/>
          <w:lang w:val="zh-CN" w:bidi="zh-CN"/>
        </w:rPr>
        <w:t>程及修补缺陷的义务。</w:t>
      </w:r>
    </w:p>
    <w:p w14:paraId="6AAAE9E5">
      <w:pPr>
        <w:keepLines/>
        <w:widowControl/>
        <w:tabs>
          <w:tab w:val="left" w:pos="567"/>
        </w:tabs>
        <w:autoSpaceDE w:val="0"/>
        <w:autoSpaceDN w:val="0"/>
        <w:spacing w:before="120" w:after="120" w:line="360" w:lineRule="auto"/>
        <w:ind w:left="567"/>
        <w:jc w:val="left"/>
        <w:outlineLvl w:val="3"/>
        <w:rPr>
          <w:rFonts w:ascii="宋体" w:hAnsi="宋体"/>
          <w:b/>
          <w:bCs/>
          <w:kern w:val="0"/>
          <w:sz w:val="24"/>
          <w:szCs w:val="24"/>
          <w:lang w:val="zh-CN" w:bidi="zh-CN"/>
        </w:rPr>
      </w:pPr>
      <w:r>
        <w:rPr>
          <w:rFonts w:ascii="宋体" w:hAnsi="宋体"/>
          <w:b/>
          <w:bCs/>
          <w:kern w:val="0"/>
          <w:sz w:val="24"/>
          <w:szCs w:val="24"/>
          <w:lang w:val="zh-CN" w:bidi="zh-CN"/>
        </w:rPr>
        <w:t>9.工期提前</w:t>
      </w:r>
    </w:p>
    <w:p w14:paraId="30209133">
      <w:pPr>
        <w:autoSpaceDE w:val="0"/>
        <w:autoSpaceDN w:val="0"/>
        <w:spacing w:line="360" w:lineRule="auto"/>
        <w:ind w:left="384" w:right="26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发包人不得随意要求承包人提前交工，承包人也不得随意提出提前交工的建议。如遇特殊情况，发包人确需将工期提前的，发生的费用由发包人承担，发包人和承包人必须采取有效措施，确保工程质量。</w:t>
      </w:r>
    </w:p>
    <w:p w14:paraId="4C6CF00C">
      <w:pPr>
        <w:keepLines/>
        <w:widowControl/>
        <w:tabs>
          <w:tab w:val="left" w:pos="567"/>
        </w:tabs>
        <w:autoSpaceDE w:val="0"/>
        <w:autoSpaceDN w:val="0"/>
        <w:spacing w:before="120" w:after="120" w:line="360" w:lineRule="auto"/>
        <w:ind w:left="567"/>
        <w:jc w:val="left"/>
        <w:outlineLvl w:val="3"/>
        <w:rPr>
          <w:rFonts w:ascii="宋体" w:hAnsi="宋体"/>
          <w:b/>
          <w:bCs/>
          <w:kern w:val="0"/>
          <w:sz w:val="24"/>
          <w:szCs w:val="24"/>
          <w:lang w:val="zh-CN" w:bidi="zh-CN"/>
        </w:rPr>
      </w:pPr>
      <w:r>
        <w:rPr>
          <w:rFonts w:ascii="宋体" w:hAnsi="宋体"/>
          <w:b/>
          <w:bCs/>
          <w:kern w:val="0"/>
          <w:sz w:val="24"/>
          <w:szCs w:val="24"/>
          <w:lang w:val="zh-CN" w:bidi="zh-CN"/>
        </w:rPr>
        <w:t>10.暂停施工及复工</w:t>
      </w:r>
    </w:p>
    <w:p w14:paraId="508A0E86">
      <w:pPr>
        <w:tabs>
          <w:tab w:val="left" w:pos="1523"/>
          <w:tab w:val="left" w:pos="1524"/>
        </w:tabs>
        <w:autoSpaceDE w:val="0"/>
        <w:autoSpaceDN w:val="0"/>
        <w:spacing w:line="360" w:lineRule="auto"/>
        <w:ind w:left="806"/>
        <w:jc w:val="left"/>
        <w:rPr>
          <w:rFonts w:ascii="宋体" w:hAnsi="宋体" w:cs="宋体"/>
          <w:kern w:val="0"/>
          <w:sz w:val="24"/>
          <w:szCs w:val="24"/>
          <w:lang w:val="zh-CN" w:bidi="zh-CN"/>
        </w:rPr>
      </w:pPr>
      <w:r>
        <w:rPr>
          <w:rFonts w:hint="eastAsia" w:ascii="宋体" w:hAnsi="宋体" w:cs="宋体"/>
          <w:kern w:val="0"/>
          <w:sz w:val="24"/>
          <w:szCs w:val="24"/>
          <w:lang w:val="zh-CN" w:bidi="zh-CN"/>
        </w:rPr>
        <w:t>10.1</w:t>
      </w:r>
      <w:r>
        <w:rPr>
          <w:rFonts w:ascii="宋体" w:hAnsi="宋体" w:cs="宋体"/>
          <w:kern w:val="0"/>
          <w:sz w:val="24"/>
          <w:szCs w:val="24"/>
          <w:lang w:val="zh-CN" w:bidi="zh-CN"/>
        </w:rPr>
        <w:t>承包人暂停施工增加的费用和（或）工期延误由承包人承担，包括：</w:t>
      </w:r>
    </w:p>
    <w:p w14:paraId="762358E5">
      <w:pPr>
        <w:autoSpaceDE w:val="0"/>
        <w:autoSpaceDN w:val="0"/>
        <w:spacing w:before="93" w:line="360" w:lineRule="auto"/>
        <w:ind w:left="864"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（1）承包人违约引起的暂停施工；</w:t>
      </w:r>
    </w:p>
    <w:p w14:paraId="36A1C646">
      <w:pPr>
        <w:autoSpaceDE w:val="0"/>
        <w:autoSpaceDN w:val="0"/>
        <w:spacing w:before="74" w:line="360" w:lineRule="auto"/>
        <w:ind w:left="864"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（2）由于承包人原因为工程合理施工和安全保障所必需的暂停施工；</w:t>
      </w:r>
    </w:p>
    <w:p w14:paraId="678F872F">
      <w:pPr>
        <w:autoSpaceDE w:val="0"/>
        <w:autoSpaceDN w:val="0"/>
        <w:spacing w:before="74" w:line="360" w:lineRule="auto"/>
        <w:ind w:left="864"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（3）承包人擅自暂停施工；</w:t>
      </w:r>
    </w:p>
    <w:p w14:paraId="4B140114">
      <w:pPr>
        <w:autoSpaceDE w:val="0"/>
        <w:autoSpaceDN w:val="0"/>
        <w:spacing w:before="74" w:line="360" w:lineRule="auto"/>
        <w:ind w:left="864"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（4）承包人其他原因引起的暂停施工；</w:t>
      </w:r>
    </w:p>
    <w:p w14:paraId="34AF2B4A">
      <w:pPr>
        <w:autoSpaceDE w:val="0"/>
        <w:autoSpaceDN w:val="0"/>
        <w:spacing w:before="74" w:line="360" w:lineRule="auto"/>
        <w:ind w:left="864" w:firstLine="480" w:firstLineChars="200"/>
        <w:jc w:val="left"/>
        <w:rPr>
          <w:rFonts w:ascii="宋体" w:hAnsi="宋体" w:cs="宋体"/>
          <w:kern w:val="0"/>
          <w:sz w:val="24"/>
          <w:szCs w:val="24"/>
          <w:lang w:val="zh-CN" w:bidi="zh-CN"/>
        </w:rPr>
      </w:pPr>
      <w:r>
        <w:rPr>
          <w:rFonts w:hint="eastAsia" w:ascii="宋体" w:hAnsi="宋体" w:cs="宋体"/>
          <w:kern w:val="0"/>
          <w:sz w:val="24"/>
          <w:szCs w:val="24"/>
          <w:lang w:val="zh-CN" w:bidi="zh-CN"/>
        </w:rPr>
        <w:t>（5）</w:t>
      </w:r>
      <w:r>
        <w:rPr>
          <w:rFonts w:ascii="宋体" w:hAnsi="宋体" w:cs="宋体"/>
          <w:kern w:val="0"/>
          <w:sz w:val="24"/>
          <w:szCs w:val="24"/>
          <w:lang w:val="zh-CN" w:bidi="zh-CN"/>
        </w:rPr>
        <w:t>现场气候条件导致的必要停工（异常恶劣气候条件除外）。</w:t>
      </w:r>
    </w:p>
    <w:p w14:paraId="26D254C2">
      <w:pPr>
        <w:tabs>
          <w:tab w:val="left" w:pos="1529"/>
        </w:tabs>
        <w:autoSpaceDE w:val="0"/>
        <w:autoSpaceDN w:val="0"/>
        <w:spacing w:line="360" w:lineRule="auto"/>
        <w:ind w:left="384" w:right="466" w:firstLine="480"/>
        <w:jc w:val="left"/>
        <w:rPr>
          <w:rFonts w:ascii="宋体" w:hAnsi="宋体" w:cs="宋体"/>
          <w:kern w:val="0"/>
          <w:sz w:val="24"/>
          <w:szCs w:val="24"/>
          <w:lang w:val="zh-CN" w:bidi="zh-CN"/>
        </w:rPr>
      </w:pPr>
      <w:r>
        <w:rPr>
          <w:rFonts w:hint="eastAsia" w:ascii="宋体" w:hAnsi="宋体" w:cs="宋体"/>
          <w:kern w:val="0"/>
          <w:sz w:val="24"/>
          <w:szCs w:val="24"/>
          <w:lang w:val="zh-CN" w:bidi="zh-CN"/>
        </w:rPr>
        <w:t>10.2</w:t>
      </w:r>
      <w:r>
        <w:rPr>
          <w:rFonts w:ascii="宋体" w:hAnsi="宋体" w:cs="宋体"/>
          <w:kern w:val="0"/>
          <w:sz w:val="24"/>
          <w:szCs w:val="24"/>
          <w:lang w:val="zh-CN" w:bidi="zh-CN"/>
        </w:rPr>
        <w:t>监理人认为有必要时，可向承包人作出暂停施工的指示，承包人应按监理人指示暂停施工。不论由于何种原因引起的暂停施工，暂停施工期间承包人应负责妥善保护工程并提供安全保障。因发包人或监理人的行为或失误引起的停工，由发包人承担相应的费用补偿，相应工期顺延；由承包人原因造成的停工由承包人承担发生的费用，工期不予顺延。</w:t>
      </w:r>
    </w:p>
    <w:p w14:paraId="018B4A86">
      <w:pPr>
        <w:tabs>
          <w:tab w:val="left" w:pos="1529"/>
        </w:tabs>
        <w:autoSpaceDE w:val="0"/>
        <w:autoSpaceDN w:val="0"/>
        <w:spacing w:line="360" w:lineRule="auto"/>
        <w:ind w:left="384" w:right="466" w:firstLine="480"/>
        <w:jc w:val="left"/>
        <w:rPr>
          <w:rFonts w:ascii="宋体" w:hAnsi="宋体" w:cs="宋体"/>
          <w:kern w:val="0"/>
          <w:sz w:val="24"/>
          <w:szCs w:val="24"/>
          <w:lang w:val="zh-CN" w:bidi="zh-CN"/>
        </w:rPr>
      </w:pPr>
      <w:r>
        <w:rPr>
          <w:rFonts w:hint="eastAsia" w:ascii="宋体" w:hAnsi="宋体" w:cs="宋体"/>
          <w:kern w:val="0"/>
          <w:sz w:val="24"/>
          <w:szCs w:val="24"/>
          <w:lang w:val="zh-CN" w:bidi="zh-CN"/>
        </w:rPr>
        <w:t>10.3</w:t>
      </w:r>
      <w:r>
        <w:rPr>
          <w:rFonts w:ascii="宋体" w:hAnsi="宋体" w:cs="宋体"/>
          <w:kern w:val="0"/>
          <w:sz w:val="24"/>
          <w:szCs w:val="24"/>
          <w:lang w:val="zh-CN" w:bidi="zh-CN"/>
        </w:rPr>
        <w:t>由于发包人原因引起的暂停施工造成工期延误的，承包人有权要求发包人延长工期和(或)</w:t>
      </w:r>
      <w:r>
        <w:rPr>
          <w:rFonts w:ascii="宋体" w:hAnsi="宋体" w:cs="宋体"/>
          <w:spacing w:val="-4"/>
          <w:kern w:val="0"/>
          <w:sz w:val="24"/>
          <w:szCs w:val="24"/>
          <w:lang w:val="zh-CN" w:bidi="zh-CN"/>
        </w:rPr>
        <w:t xml:space="preserve">增加费用，并支付合理利润。在自暂时停工之日起 </w:t>
      </w:r>
      <w:r>
        <w:rPr>
          <w:rFonts w:ascii="宋体" w:hAnsi="宋体" w:cs="宋体"/>
          <w:kern w:val="0"/>
          <w:sz w:val="24"/>
          <w:szCs w:val="24"/>
          <w:lang w:val="zh-CN" w:bidi="zh-CN"/>
        </w:rPr>
        <w:t xml:space="preserve">28 </w:t>
      </w:r>
      <w:r>
        <w:rPr>
          <w:rFonts w:ascii="宋体" w:hAnsi="宋体" w:cs="宋体"/>
          <w:spacing w:val="-1"/>
          <w:kern w:val="0"/>
          <w:sz w:val="24"/>
          <w:szCs w:val="24"/>
          <w:lang w:val="zh-CN" w:bidi="zh-CN"/>
        </w:rPr>
        <w:t>天内，监理</w:t>
      </w:r>
      <w:r>
        <w:rPr>
          <w:rFonts w:ascii="宋体" w:hAnsi="宋体" w:cs="宋体"/>
          <w:spacing w:val="-10"/>
          <w:kern w:val="0"/>
          <w:sz w:val="24"/>
          <w:szCs w:val="24"/>
          <w:lang w:val="zh-CN" w:bidi="zh-CN"/>
        </w:rPr>
        <w:t xml:space="preserve">人仍未发出复工通知，承包人可向监理人提交书面通知，要求自收到该通知后 </w:t>
      </w:r>
      <w:r>
        <w:rPr>
          <w:rFonts w:ascii="宋体" w:hAnsi="宋体" w:cs="宋体"/>
          <w:kern w:val="0"/>
          <w:sz w:val="24"/>
          <w:szCs w:val="24"/>
          <w:lang w:val="zh-CN" w:bidi="zh-CN"/>
        </w:rPr>
        <w:t>14 天内准许已经暂停的工程（或其部分工程）继续施工。如果监理人逾期不予批准，则承包人可以（但并非必须）作如下选择：</w:t>
      </w:r>
    </w:p>
    <w:p w14:paraId="01EF20BD">
      <w:pPr>
        <w:autoSpaceDE w:val="0"/>
        <w:autoSpaceDN w:val="0"/>
        <w:spacing w:before="1" w:line="360" w:lineRule="auto"/>
        <w:ind w:left="384" w:right="38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（1）如果暂停施工仅涉及本工程的一部分时，则可将该部分工程从本合同中取消，同时将此事通知监理人；</w:t>
      </w:r>
    </w:p>
    <w:p w14:paraId="57DF3404">
      <w:pPr>
        <w:autoSpaceDE w:val="0"/>
        <w:autoSpaceDN w:val="0"/>
        <w:spacing w:before="1" w:line="360" w:lineRule="auto"/>
        <w:ind w:left="384" w:right="38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（2）如果暂停施工影响到整个合同工程时，可视为发包人违约，并由发包人承担违约责任。</w:t>
      </w:r>
    </w:p>
    <w:p w14:paraId="3E333781">
      <w:pPr>
        <w:tabs>
          <w:tab w:val="left" w:pos="1523"/>
          <w:tab w:val="left" w:pos="1524"/>
        </w:tabs>
        <w:autoSpaceDE w:val="0"/>
        <w:autoSpaceDN w:val="0"/>
        <w:spacing w:line="360" w:lineRule="auto"/>
        <w:ind w:left="384" w:firstLine="480"/>
        <w:jc w:val="left"/>
        <w:rPr>
          <w:rFonts w:ascii="宋体" w:hAnsi="宋体" w:cs="宋体"/>
          <w:kern w:val="0"/>
          <w:sz w:val="24"/>
          <w:szCs w:val="24"/>
          <w:lang w:val="zh-CN" w:bidi="zh-CN"/>
        </w:rPr>
      </w:pPr>
      <w:r>
        <w:rPr>
          <w:rFonts w:hint="eastAsia" w:ascii="宋体" w:hAnsi="宋体" w:cs="宋体"/>
          <w:kern w:val="0"/>
          <w:sz w:val="24"/>
          <w:szCs w:val="24"/>
          <w:lang w:val="zh-CN" w:bidi="zh-CN"/>
        </w:rPr>
        <w:t xml:space="preserve">10.4 </w:t>
      </w:r>
      <w:r>
        <w:rPr>
          <w:rFonts w:ascii="宋体" w:hAnsi="宋体" w:cs="宋体"/>
          <w:kern w:val="0"/>
          <w:sz w:val="24"/>
          <w:szCs w:val="24"/>
          <w:lang w:val="zh-CN" w:bidi="zh-CN"/>
        </w:rPr>
        <w:t>复工</w:t>
      </w:r>
    </w:p>
    <w:p w14:paraId="3F8FA1DB">
      <w:pPr>
        <w:autoSpaceDE w:val="0"/>
        <w:autoSpaceDN w:val="0"/>
        <w:spacing w:before="84" w:line="360" w:lineRule="auto"/>
        <w:ind w:left="384" w:right="346" w:firstLine="448" w:firstLineChars="200"/>
        <w:jc w:val="left"/>
        <w:rPr>
          <w:rFonts w:ascii="宋体" w:hAnsi="宋体" w:cs="宋体"/>
          <w:kern w:val="0"/>
          <w:sz w:val="24"/>
          <w:szCs w:val="24"/>
          <w:lang w:val="zh-CN" w:bidi="zh-CN"/>
        </w:rPr>
      </w:pPr>
      <w:r>
        <w:rPr>
          <w:rFonts w:ascii="宋体" w:hAnsi="宋体" w:cs="宋体"/>
          <w:spacing w:val="-8"/>
          <w:kern w:val="0"/>
          <w:sz w:val="24"/>
          <w:szCs w:val="24"/>
          <w:lang w:val="zh-CN" w:bidi="zh-CN"/>
        </w:rPr>
        <w:t>（1）</w:t>
      </w:r>
      <w:r>
        <w:rPr>
          <w:rFonts w:ascii="宋体" w:hAnsi="宋体" w:cs="宋体"/>
          <w:spacing w:val="-7"/>
          <w:kern w:val="0"/>
          <w:sz w:val="24"/>
          <w:szCs w:val="24"/>
          <w:lang w:val="zh-CN" w:bidi="zh-CN"/>
        </w:rPr>
        <w:t>暂停施工后，发包人、监理人和承包人应积极协商，采取有效措施积极消</w:t>
      </w:r>
      <w:r>
        <w:rPr>
          <w:rFonts w:ascii="宋体" w:hAnsi="宋体" w:cs="宋体"/>
          <w:spacing w:val="-12"/>
          <w:kern w:val="0"/>
          <w:sz w:val="24"/>
          <w:szCs w:val="24"/>
          <w:lang w:val="zh-CN" w:bidi="zh-CN"/>
        </w:rPr>
        <w:t>除暂停施工的影响。当工程具备复工条件时，监理人应立即向承包人发出复工通知。承包人收到复工通知后，应在监理人指定的期限内复工；</w:t>
      </w:r>
    </w:p>
    <w:p w14:paraId="3327C2A4">
      <w:pPr>
        <w:autoSpaceDE w:val="0"/>
        <w:autoSpaceDN w:val="0"/>
        <w:spacing w:line="360" w:lineRule="auto"/>
        <w:ind w:left="384" w:right="34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（2</w:t>
      </w:r>
      <w:r>
        <w:rPr>
          <w:rFonts w:ascii="宋体" w:hAnsi="宋体" w:cs="宋体"/>
          <w:spacing w:val="-104"/>
          <w:kern w:val="0"/>
          <w:sz w:val="24"/>
          <w:szCs w:val="24"/>
          <w:lang w:val="zh-CN" w:bidi="zh-CN"/>
        </w:rPr>
        <w:t>）</w:t>
      </w:r>
      <w:r>
        <w:rPr>
          <w:rFonts w:ascii="宋体" w:hAnsi="宋体" w:cs="宋体"/>
          <w:spacing w:val="-8"/>
          <w:kern w:val="0"/>
          <w:sz w:val="24"/>
          <w:szCs w:val="24"/>
          <w:lang w:val="zh-CN" w:bidi="zh-CN"/>
        </w:rPr>
        <w:t>承包人无故拖延和拒绝复工的，由此增加的费用和工期延误由承包人承担；</w:t>
      </w:r>
      <w:r>
        <w:rPr>
          <w:rFonts w:ascii="宋体" w:hAnsi="宋体" w:cs="宋体"/>
          <w:spacing w:val="-1"/>
          <w:kern w:val="0"/>
          <w:sz w:val="24"/>
          <w:szCs w:val="24"/>
          <w:lang w:val="zh-CN" w:bidi="zh-CN"/>
        </w:rPr>
        <w:t>因发包人原因无法按时复工的，承包人有权要求发包人延长工期和</w:t>
      </w:r>
      <w:r>
        <w:rPr>
          <w:rFonts w:ascii="宋体" w:hAnsi="宋体" w:cs="宋体"/>
          <w:spacing w:val="4"/>
          <w:kern w:val="0"/>
          <w:sz w:val="24"/>
          <w:szCs w:val="24"/>
          <w:lang w:val="zh-CN" w:bidi="zh-CN"/>
        </w:rPr>
        <w:t>(</w:t>
      </w:r>
      <w:r>
        <w:rPr>
          <w:rFonts w:ascii="宋体" w:hAnsi="宋体" w:cs="宋体"/>
          <w:kern w:val="0"/>
          <w:sz w:val="24"/>
          <w:szCs w:val="24"/>
          <w:lang w:val="zh-CN" w:bidi="zh-CN"/>
        </w:rPr>
        <w:t>或</w:t>
      </w:r>
      <w:r>
        <w:rPr>
          <w:rFonts w:ascii="宋体" w:hAnsi="宋体" w:cs="宋体"/>
          <w:spacing w:val="4"/>
          <w:kern w:val="0"/>
          <w:sz w:val="24"/>
          <w:szCs w:val="24"/>
          <w:lang w:val="zh-CN" w:bidi="zh-CN"/>
        </w:rPr>
        <w:t>)</w:t>
      </w:r>
      <w:r>
        <w:rPr>
          <w:rFonts w:ascii="宋体" w:hAnsi="宋体" w:cs="宋体"/>
          <w:kern w:val="0"/>
          <w:sz w:val="24"/>
          <w:szCs w:val="24"/>
          <w:lang w:val="zh-CN" w:bidi="zh-CN"/>
        </w:rPr>
        <w:t>增加费用， 并支付合理利润。</w:t>
      </w:r>
    </w:p>
    <w:p w14:paraId="2BBAE93D">
      <w:pPr>
        <w:keepLines/>
        <w:widowControl/>
        <w:tabs>
          <w:tab w:val="left" w:pos="567"/>
        </w:tabs>
        <w:autoSpaceDE w:val="0"/>
        <w:autoSpaceDN w:val="0"/>
        <w:spacing w:before="120" w:after="120" w:line="360" w:lineRule="auto"/>
        <w:ind w:left="567"/>
        <w:jc w:val="left"/>
        <w:outlineLvl w:val="3"/>
        <w:rPr>
          <w:rFonts w:ascii="宋体" w:hAnsi="宋体"/>
          <w:b/>
          <w:bCs/>
          <w:kern w:val="0"/>
          <w:sz w:val="24"/>
          <w:szCs w:val="24"/>
          <w:lang w:val="zh-CN" w:bidi="zh-CN"/>
        </w:rPr>
      </w:pPr>
      <w:r>
        <w:rPr>
          <w:rFonts w:ascii="宋体" w:hAnsi="宋体"/>
          <w:b/>
          <w:bCs/>
          <w:kern w:val="0"/>
          <w:sz w:val="24"/>
          <w:szCs w:val="24"/>
          <w:lang w:val="zh-CN" w:bidi="zh-CN"/>
        </w:rPr>
        <w:t>11.工程竣（交）工</w:t>
      </w:r>
    </w:p>
    <w:p w14:paraId="3DB0EB4F">
      <w:pPr>
        <w:autoSpaceDE w:val="0"/>
        <w:autoSpaceDN w:val="0"/>
        <w:spacing w:line="360" w:lineRule="auto"/>
        <w:ind w:left="384" w:right="346" w:firstLine="480" w:firstLineChars="200"/>
        <w:jc w:val="left"/>
        <w:rPr>
          <w:rFonts w:ascii="宋体" w:hAnsi="宋体" w:cs="宋体"/>
          <w:kern w:val="0"/>
          <w:sz w:val="24"/>
          <w:szCs w:val="24"/>
          <w:lang w:val="zh-CN" w:bidi="zh-CN"/>
        </w:rPr>
      </w:pPr>
      <w:r>
        <w:rPr>
          <w:rFonts w:hint="eastAsia" w:ascii="宋体" w:hAnsi="宋体" w:cs="宋体"/>
          <w:kern w:val="0"/>
          <w:sz w:val="24"/>
          <w:szCs w:val="24"/>
          <w:lang w:val="zh-CN" w:bidi="zh-CN"/>
        </w:rPr>
        <w:t>11.1</w:t>
      </w:r>
      <w:r>
        <w:rPr>
          <w:rFonts w:ascii="宋体" w:hAnsi="宋体" w:cs="宋体"/>
          <w:kern w:val="0"/>
          <w:sz w:val="24"/>
          <w:szCs w:val="24"/>
          <w:lang w:val="zh-CN" w:bidi="zh-CN"/>
        </w:rPr>
        <w:t>工程完工，通过交工验收质量达到合格，并已按《</w:t>
      </w:r>
      <w:r>
        <w:rPr>
          <w:rFonts w:hint="eastAsia" w:ascii="宋体" w:hAnsi="宋体" w:cs="宋体"/>
          <w:kern w:val="0"/>
          <w:sz w:val="24"/>
          <w:szCs w:val="24"/>
          <w:lang w:bidi="zh-CN"/>
        </w:rPr>
        <w:t>新疆维吾尔自治区</w:t>
      </w:r>
      <w:r>
        <w:rPr>
          <w:rFonts w:ascii="宋体" w:hAnsi="宋体" w:cs="宋体"/>
          <w:kern w:val="0"/>
          <w:sz w:val="24"/>
          <w:szCs w:val="24"/>
          <w:lang w:val="zh-CN" w:bidi="zh-CN"/>
        </w:rPr>
        <w:t>重要农村公路竣（交）工验收办法（试行）》的规定和地方交通主管部门的规定编制了竣工图表和竣工资料后，承包人可就此向监理人申请交工验收，同时抄送发包人。监理人在收到该申请后，应在 7 天内审核并报发包人，发包人在收到申请后 14 天内应组织交工验收，并写出交工验收报告报上级主管部门备案，同时发包人在交工验收合格后 14 天内，向承包人签发交工证书，各合同段交工验收工作所需费用由承包人承担。并办理合同工程移交管养工作。工程进入缺陷责任期。</w:t>
      </w:r>
    </w:p>
    <w:p w14:paraId="45CDFAB4">
      <w:pPr>
        <w:autoSpaceDE w:val="0"/>
        <w:autoSpaceDN w:val="0"/>
        <w:spacing w:line="360" w:lineRule="auto"/>
        <w:ind w:left="384" w:right="346" w:firstLine="480" w:firstLineChars="200"/>
        <w:jc w:val="left"/>
        <w:rPr>
          <w:rFonts w:ascii="宋体" w:hAnsi="宋体" w:cs="宋体"/>
          <w:kern w:val="0"/>
          <w:sz w:val="24"/>
          <w:szCs w:val="24"/>
          <w:lang w:val="zh-CN" w:bidi="zh-CN"/>
        </w:rPr>
      </w:pPr>
      <w:r>
        <w:rPr>
          <w:rFonts w:hint="eastAsia" w:ascii="宋体" w:hAnsi="宋体" w:cs="宋体"/>
          <w:kern w:val="0"/>
          <w:sz w:val="24"/>
          <w:szCs w:val="24"/>
          <w:lang w:val="zh-CN" w:bidi="zh-CN"/>
        </w:rPr>
        <w:t>11.2</w:t>
      </w:r>
      <w:r>
        <w:rPr>
          <w:rFonts w:ascii="宋体" w:hAnsi="宋体" w:cs="宋体"/>
          <w:kern w:val="0"/>
          <w:sz w:val="24"/>
          <w:szCs w:val="24"/>
          <w:lang w:val="zh-CN" w:bidi="zh-CN"/>
        </w:rPr>
        <w:t>全部工程完工后，在全部工程交工证书签发之前，承包人须向发包人提交 3 套完整、合格的竣工文件与施工文件。在缺陷责任期内应补充的竣工资料应在签发缺陷责任证书之前提交。在承包人实施和完成本合同工程及其缺陷修复的义务后，应由监理人根据合同规定核查缺陷责任修复完成后填写缺陷责任终止证书，报发包人同意后，由发包人在缺陷责任期终止后 21 天之内发出。</w:t>
      </w:r>
    </w:p>
    <w:p w14:paraId="4B0E7B8B">
      <w:pPr>
        <w:autoSpaceDE w:val="0"/>
        <w:autoSpaceDN w:val="0"/>
        <w:spacing w:line="360" w:lineRule="auto"/>
        <w:ind w:left="384" w:right="346" w:firstLine="480" w:firstLineChars="200"/>
        <w:jc w:val="left"/>
        <w:rPr>
          <w:rFonts w:ascii="宋体" w:hAnsi="宋体" w:cs="宋体"/>
          <w:kern w:val="0"/>
          <w:sz w:val="24"/>
          <w:szCs w:val="24"/>
          <w:lang w:val="zh-CN" w:bidi="zh-CN"/>
        </w:rPr>
      </w:pPr>
      <w:r>
        <w:rPr>
          <w:rFonts w:hint="eastAsia" w:ascii="宋体" w:hAnsi="宋体" w:cs="宋体"/>
          <w:kern w:val="0"/>
          <w:sz w:val="24"/>
          <w:szCs w:val="24"/>
          <w:lang w:val="zh-CN" w:bidi="zh-CN"/>
        </w:rPr>
        <w:t>11.3</w:t>
      </w:r>
      <w:r>
        <w:rPr>
          <w:rFonts w:ascii="宋体" w:hAnsi="宋体" w:cs="宋体"/>
          <w:kern w:val="0"/>
          <w:sz w:val="24"/>
          <w:szCs w:val="24"/>
          <w:lang w:val="zh-CN" w:bidi="zh-CN"/>
        </w:rPr>
        <w:t>工程全部完工并通过交工验收后，发包人应向上级主管部门申请进行竣工验收。组织办理竣工验收的费用，由发包人承担。</w:t>
      </w:r>
    </w:p>
    <w:p w14:paraId="712AE144">
      <w:pPr>
        <w:autoSpaceDE w:val="0"/>
        <w:autoSpaceDN w:val="0"/>
        <w:spacing w:line="360" w:lineRule="auto"/>
        <w:ind w:left="384" w:right="346" w:firstLine="480" w:firstLineChars="200"/>
        <w:jc w:val="left"/>
        <w:rPr>
          <w:rFonts w:ascii="宋体" w:hAnsi="宋体" w:cs="宋体"/>
          <w:kern w:val="0"/>
          <w:sz w:val="24"/>
          <w:szCs w:val="24"/>
          <w:lang w:val="zh-CN" w:bidi="zh-CN"/>
        </w:rPr>
      </w:pPr>
      <w:r>
        <w:rPr>
          <w:rFonts w:hint="eastAsia" w:ascii="宋体" w:hAnsi="宋体" w:cs="宋体"/>
          <w:kern w:val="0"/>
          <w:sz w:val="24"/>
          <w:szCs w:val="24"/>
          <w:lang w:val="zh-CN" w:bidi="zh-CN"/>
        </w:rPr>
        <w:t>11.4</w:t>
      </w:r>
      <w:r>
        <w:rPr>
          <w:rFonts w:ascii="宋体" w:hAnsi="宋体" w:cs="宋体"/>
          <w:kern w:val="0"/>
          <w:sz w:val="24"/>
          <w:szCs w:val="24"/>
          <w:lang w:val="zh-CN" w:bidi="zh-CN"/>
        </w:rPr>
        <w:t>工程接收证书颁发后，承包人应按要求对施工场地进行清理，直至监理人检验合格为止。竣工清场费用由承包人承担。</w:t>
      </w:r>
    </w:p>
    <w:p w14:paraId="79CBE48D">
      <w:pPr>
        <w:autoSpaceDE w:val="0"/>
        <w:autoSpaceDN w:val="0"/>
        <w:spacing w:line="360" w:lineRule="auto"/>
        <w:ind w:left="384" w:right="346" w:firstLine="480" w:firstLineChars="200"/>
        <w:jc w:val="left"/>
        <w:rPr>
          <w:rFonts w:ascii="宋体" w:hAnsi="宋体" w:cs="宋体"/>
          <w:kern w:val="0"/>
          <w:sz w:val="24"/>
          <w:szCs w:val="24"/>
          <w:lang w:val="zh-CN" w:bidi="zh-CN"/>
        </w:rPr>
      </w:pPr>
      <w:r>
        <w:rPr>
          <w:rFonts w:hint="eastAsia" w:ascii="宋体" w:hAnsi="宋体" w:cs="宋体"/>
          <w:kern w:val="0"/>
          <w:sz w:val="24"/>
          <w:szCs w:val="24"/>
          <w:lang w:val="zh-CN" w:bidi="zh-CN"/>
        </w:rPr>
        <w:t>11.5</w:t>
      </w:r>
      <w:r>
        <w:rPr>
          <w:rFonts w:ascii="宋体" w:hAnsi="宋体" w:cs="宋体"/>
          <w:kern w:val="0"/>
          <w:sz w:val="24"/>
          <w:szCs w:val="24"/>
          <w:lang w:val="zh-CN" w:bidi="zh-CN"/>
        </w:rPr>
        <w:t>施工期运行</w:t>
      </w:r>
    </w:p>
    <w:p w14:paraId="5B67E517">
      <w:pPr>
        <w:autoSpaceDE w:val="0"/>
        <w:autoSpaceDN w:val="0"/>
        <w:spacing w:line="360" w:lineRule="auto"/>
        <w:ind w:left="384" w:right="346" w:firstLine="480" w:firstLineChars="200"/>
        <w:jc w:val="left"/>
        <w:rPr>
          <w:rFonts w:ascii="宋体" w:hAnsi="宋体" w:cs="宋体"/>
          <w:kern w:val="0"/>
          <w:sz w:val="24"/>
          <w:szCs w:val="24"/>
          <w:lang w:val="zh-CN" w:bidi="zh-CN"/>
        </w:rPr>
      </w:pPr>
      <w:r>
        <w:rPr>
          <w:rFonts w:hint="eastAsia" w:ascii="宋体" w:hAnsi="宋体" w:cs="宋体"/>
          <w:kern w:val="0"/>
          <w:sz w:val="24"/>
          <w:szCs w:val="24"/>
          <w:lang w:val="zh-CN" w:bidi="zh-CN"/>
        </w:rPr>
        <w:t>11.5.1</w:t>
      </w:r>
      <w:r>
        <w:rPr>
          <w:rFonts w:ascii="宋体" w:hAnsi="宋体" w:cs="宋体"/>
          <w:kern w:val="0"/>
          <w:sz w:val="24"/>
          <w:szCs w:val="24"/>
          <w:lang w:val="zh-CN" w:bidi="zh-CN"/>
        </w:rPr>
        <w:t>施工期运行是指合同工程尚未全部竣工，其中某项或某几项单位工程或工程设备安装已竣工，根据专用合同条款约定，需要投入施工期运行的，经发包人按第 11.1 款的约定验收合格，证明能确保安全后，才能在施工期投入运行。</w:t>
      </w:r>
    </w:p>
    <w:p w14:paraId="7136BFF1">
      <w:pPr>
        <w:autoSpaceDE w:val="0"/>
        <w:autoSpaceDN w:val="0"/>
        <w:spacing w:line="360" w:lineRule="auto"/>
        <w:ind w:left="384" w:right="346" w:firstLine="480" w:firstLineChars="200"/>
        <w:jc w:val="left"/>
        <w:rPr>
          <w:rFonts w:ascii="宋体" w:hAnsi="宋体" w:cs="宋体"/>
          <w:kern w:val="0"/>
          <w:sz w:val="24"/>
          <w:szCs w:val="24"/>
          <w:lang w:val="zh-CN" w:bidi="zh-CN"/>
        </w:rPr>
      </w:pPr>
      <w:r>
        <w:rPr>
          <w:rFonts w:hint="eastAsia" w:ascii="宋体" w:hAnsi="宋体" w:cs="宋体"/>
          <w:kern w:val="0"/>
          <w:sz w:val="24"/>
          <w:szCs w:val="24"/>
          <w:lang w:val="zh-CN" w:bidi="zh-CN"/>
        </w:rPr>
        <w:t>11.5.2</w:t>
      </w:r>
      <w:r>
        <w:rPr>
          <w:rFonts w:ascii="宋体" w:hAnsi="宋体" w:cs="宋体"/>
          <w:kern w:val="0"/>
          <w:sz w:val="24"/>
          <w:szCs w:val="24"/>
          <w:lang w:val="zh-CN" w:bidi="zh-CN"/>
        </w:rPr>
        <w:t>在施工期运行中发现工程或工程设备损坏或存在缺陷的，由承包人按第21.2 款约定进行修复。</w:t>
      </w:r>
    </w:p>
    <w:p w14:paraId="2EDCE68F">
      <w:pPr>
        <w:tabs>
          <w:tab w:val="left" w:pos="1404"/>
        </w:tabs>
        <w:autoSpaceDE w:val="0"/>
        <w:autoSpaceDN w:val="0"/>
        <w:spacing w:before="84" w:line="360" w:lineRule="auto"/>
        <w:ind w:left="384" w:firstLine="480"/>
        <w:jc w:val="left"/>
        <w:rPr>
          <w:rFonts w:ascii="宋体" w:hAnsi="宋体" w:cs="宋体"/>
          <w:kern w:val="0"/>
          <w:sz w:val="24"/>
          <w:szCs w:val="24"/>
          <w:lang w:val="zh-CN" w:bidi="zh-CN"/>
        </w:rPr>
      </w:pPr>
      <w:r>
        <w:rPr>
          <w:rFonts w:ascii="宋体" w:hAnsi="宋体" w:cs="宋体"/>
          <w:kern w:val="0"/>
          <w:sz w:val="24"/>
          <w:szCs w:val="24"/>
          <w:lang w:val="zh-CN" w:bidi="zh-CN"/>
        </w:rPr>
        <w:t>11.6试运行</w:t>
      </w:r>
    </w:p>
    <w:p w14:paraId="77563C0E">
      <w:pPr>
        <w:autoSpaceDE w:val="0"/>
        <w:autoSpaceDN w:val="0"/>
        <w:spacing w:line="360" w:lineRule="auto"/>
        <w:ind w:left="384" w:right="34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11.6.1除专用合同条款另有约定外，承包人应按专用合同条款约定进行工程及工程设备试运行，负责提供试运行所需的人员、器材和必要的条件，并承担全部试运行费用。</w:t>
      </w:r>
    </w:p>
    <w:p w14:paraId="5671F482">
      <w:pPr>
        <w:autoSpaceDE w:val="0"/>
        <w:autoSpaceDN w:val="0"/>
        <w:spacing w:line="360" w:lineRule="auto"/>
        <w:ind w:left="384" w:right="34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11.6.2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302D1DFA">
      <w:pPr>
        <w:keepNext/>
        <w:keepLines/>
        <w:widowControl/>
        <w:spacing w:before="260" w:after="260" w:line="415" w:lineRule="auto"/>
        <w:jc w:val="left"/>
        <w:outlineLvl w:val="2"/>
        <w:rPr>
          <w:rFonts w:ascii="宋体" w:hAnsi="宋体" w:cs="宋体"/>
          <w:b/>
          <w:bCs/>
          <w:kern w:val="0"/>
          <w:sz w:val="24"/>
          <w:szCs w:val="24"/>
          <w:lang w:val="zh-CN" w:bidi="zh-CN"/>
        </w:rPr>
      </w:pPr>
      <w:bookmarkStart w:id="145" w:name="_Toc256000050"/>
      <w:r>
        <w:rPr>
          <w:rFonts w:ascii="宋体" w:hAnsi="宋体" w:cs="宋体"/>
          <w:b/>
          <w:bCs/>
          <w:kern w:val="0"/>
          <w:sz w:val="24"/>
          <w:szCs w:val="24"/>
          <w:lang w:val="zh-CN" w:bidi="zh-CN"/>
        </w:rPr>
        <w:t>四、质量与检验</w:t>
      </w:r>
      <w:bookmarkEnd w:id="145"/>
    </w:p>
    <w:p w14:paraId="70E158A0">
      <w:pPr>
        <w:keepLines/>
        <w:widowControl/>
        <w:tabs>
          <w:tab w:val="left" w:pos="567"/>
        </w:tabs>
        <w:autoSpaceDE w:val="0"/>
        <w:autoSpaceDN w:val="0"/>
        <w:spacing w:before="120" w:after="120" w:line="360" w:lineRule="auto"/>
        <w:ind w:left="567"/>
        <w:jc w:val="left"/>
        <w:outlineLvl w:val="3"/>
        <w:rPr>
          <w:rFonts w:ascii="宋体" w:hAnsi="宋体"/>
          <w:b/>
          <w:bCs/>
          <w:kern w:val="0"/>
          <w:sz w:val="24"/>
          <w:szCs w:val="24"/>
          <w:lang w:val="zh-CN" w:bidi="zh-CN"/>
        </w:rPr>
      </w:pPr>
      <w:r>
        <w:rPr>
          <w:rFonts w:ascii="宋体" w:hAnsi="宋体"/>
          <w:b/>
          <w:bCs/>
          <w:kern w:val="0"/>
          <w:sz w:val="24"/>
          <w:szCs w:val="24"/>
          <w:lang w:val="zh-CN" w:bidi="zh-CN"/>
        </w:rPr>
        <w:t>12.工程质量与检验</w:t>
      </w:r>
    </w:p>
    <w:p w14:paraId="3045653F">
      <w:pPr>
        <w:autoSpaceDE w:val="0"/>
        <w:autoSpaceDN w:val="0"/>
        <w:spacing w:line="360" w:lineRule="auto"/>
        <w:ind w:left="384" w:right="346" w:firstLine="480" w:firstLineChars="200"/>
        <w:jc w:val="left"/>
        <w:rPr>
          <w:rFonts w:ascii="宋体" w:hAnsi="宋体" w:cs="宋体"/>
          <w:kern w:val="0"/>
          <w:sz w:val="24"/>
          <w:szCs w:val="24"/>
          <w:lang w:val="zh-CN" w:bidi="zh-CN"/>
        </w:rPr>
      </w:pPr>
      <w:r>
        <w:rPr>
          <w:rFonts w:hint="eastAsia" w:ascii="宋体" w:hAnsi="宋体" w:cs="宋体"/>
          <w:kern w:val="0"/>
          <w:sz w:val="24"/>
          <w:szCs w:val="24"/>
          <w:lang w:val="zh-CN" w:bidi="zh-CN"/>
        </w:rPr>
        <w:t>12.1</w:t>
      </w:r>
      <w:r>
        <w:rPr>
          <w:rFonts w:ascii="宋体" w:hAnsi="宋体" w:cs="宋体"/>
          <w:kern w:val="0"/>
          <w:sz w:val="24"/>
          <w:szCs w:val="24"/>
          <w:lang w:val="zh-CN" w:bidi="zh-CN"/>
        </w:rPr>
        <w:t>承包人应保证其实施的工程质量达到约定的质量标准，质量标准的评定以交通运输部及</w:t>
      </w:r>
      <w:r>
        <w:rPr>
          <w:rFonts w:hint="eastAsia" w:ascii="宋体" w:hAnsi="宋体" w:cs="宋体"/>
          <w:kern w:val="0"/>
          <w:sz w:val="24"/>
          <w:szCs w:val="24"/>
          <w:lang w:bidi="zh-CN"/>
        </w:rPr>
        <w:t>新疆</w:t>
      </w:r>
      <w:r>
        <w:rPr>
          <w:rFonts w:ascii="宋体" w:hAnsi="宋体" w:cs="宋体"/>
          <w:kern w:val="0"/>
          <w:sz w:val="24"/>
          <w:szCs w:val="24"/>
          <w:lang w:val="zh-CN" w:bidi="zh-CN"/>
        </w:rPr>
        <w:t>交通运输厅有关质量检验评定标准规定为依据。因承包人原因， 工程质量达不到合同约定验收标准的，监理人有权要求承包人返工直至符合合同要求为止，承包人承担由此造成的费用增加和（或）工期延误。</w:t>
      </w:r>
    </w:p>
    <w:p w14:paraId="530BD729">
      <w:pPr>
        <w:autoSpaceDE w:val="0"/>
        <w:autoSpaceDN w:val="0"/>
        <w:spacing w:line="360" w:lineRule="auto"/>
        <w:ind w:left="384" w:right="34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因发包人原因造成工程质量达不到合同约定验收标准的，发包人应承担由于承包人返工造成的费用增加和（或）工期延误，并支付承包人合理利润。</w:t>
      </w:r>
    </w:p>
    <w:p w14:paraId="572E6CD5">
      <w:pPr>
        <w:autoSpaceDE w:val="0"/>
        <w:autoSpaceDN w:val="0"/>
        <w:spacing w:line="360" w:lineRule="auto"/>
        <w:ind w:left="384" w:right="346" w:firstLine="480" w:firstLineChars="200"/>
        <w:jc w:val="left"/>
        <w:rPr>
          <w:rFonts w:ascii="宋体" w:hAnsi="宋体" w:cs="宋体"/>
          <w:kern w:val="0"/>
          <w:sz w:val="24"/>
          <w:szCs w:val="24"/>
          <w:lang w:val="zh-CN" w:bidi="zh-CN"/>
        </w:rPr>
      </w:pPr>
      <w:r>
        <w:rPr>
          <w:rFonts w:hint="eastAsia" w:ascii="宋体" w:hAnsi="宋体" w:cs="宋体"/>
          <w:kern w:val="0"/>
          <w:sz w:val="24"/>
          <w:szCs w:val="24"/>
          <w:lang w:val="zh-CN" w:bidi="zh-CN"/>
        </w:rPr>
        <w:t>12.2</w:t>
      </w:r>
      <w:r>
        <w:rPr>
          <w:rFonts w:ascii="宋体" w:hAnsi="宋体" w:cs="宋体"/>
          <w:kern w:val="0"/>
          <w:sz w:val="24"/>
          <w:szCs w:val="24"/>
          <w:lang w:val="zh-CN" w:bidi="zh-CN"/>
        </w:rPr>
        <w:t>承包人的质量管理</w:t>
      </w:r>
    </w:p>
    <w:p w14:paraId="4B65BC4C">
      <w:pPr>
        <w:autoSpaceDE w:val="0"/>
        <w:autoSpaceDN w:val="0"/>
        <w:spacing w:line="360" w:lineRule="auto"/>
        <w:ind w:left="384" w:right="34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（1）承包人应在施工场地设置专门的质量检查机构，配备专职质量检查人员， 建立完善的质量检查制度。承包人应在合同约定的期限内，提交工程质量保证措施文件，包括质量检查机构的组织和岗位责任、质检人员的组成、质量检查程序和实施细则等，报送监理人审批；</w:t>
      </w:r>
    </w:p>
    <w:p w14:paraId="5D1B8154">
      <w:pPr>
        <w:autoSpaceDE w:val="0"/>
        <w:autoSpaceDN w:val="0"/>
        <w:spacing w:line="360" w:lineRule="auto"/>
        <w:ind w:left="384" w:right="34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（2）发包人和承包人应严格遵守交通运输部和</w:t>
      </w:r>
      <w:r>
        <w:rPr>
          <w:rFonts w:hint="eastAsia" w:ascii="宋体" w:hAnsi="宋体" w:cs="宋体"/>
          <w:kern w:val="0"/>
          <w:sz w:val="24"/>
          <w:szCs w:val="24"/>
          <w:lang w:bidi="zh-CN"/>
        </w:rPr>
        <w:t>新疆</w:t>
      </w:r>
      <w:r>
        <w:rPr>
          <w:rFonts w:ascii="宋体" w:hAnsi="宋体" w:cs="宋体"/>
          <w:kern w:val="0"/>
          <w:sz w:val="24"/>
          <w:szCs w:val="24"/>
          <w:lang w:val="zh-CN" w:bidi="zh-CN"/>
        </w:rPr>
        <w:t>交通运输厅有关公路工程质量责任制和质量问题责任追究的相关规定，施行质量责任终身制，制定相关质量保证措施；</w:t>
      </w:r>
    </w:p>
    <w:p w14:paraId="6F9FC62A">
      <w:pPr>
        <w:autoSpaceDE w:val="0"/>
        <w:autoSpaceDN w:val="0"/>
        <w:spacing w:line="360" w:lineRule="auto"/>
        <w:ind w:left="384" w:right="34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（3）用于本工程的材料和设备进场以前，承包人必须向监理人提交生产厂商出具的质量合格证书和承包人检验合格证书，证明材料、设备质量符合技术规范的规定；</w:t>
      </w:r>
    </w:p>
    <w:p w14:paraId="6CD1B243">
      <w:pPr>
        <w:autoSpaceDE w:val="0"/>
        <w:autoSpaceDN w:val="0"/>
        <w:spacing w:line="360" w:lineRule="auto"/>
        <w:ind w:left="384" w:right="34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（4）承包人应随时按监理人的指令在制造、加工或施工现场对材料和设备进行检验；</w:t>
      </w:r>
    </w:p>
    <w:p w14:paraId="6C84C7C1">
      <w:pPr>
        <w:autoSpaceDE w:val="0"/>
        <w:autoSpaceDN w:val="0"/>
        <w:spacing w:line="360" w:lineRule="auto"/>
        <w:ind w:left="384" w:right="34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（5）承包人应为监理人对材料或设备的检验提供一切必要的协助，在材料用于工程之前，应按监理人的要求提供材料样品以供检验；</w:t>
      </w:r>
    </w:p>
    <w:p w14:paraId="320558AB">
      <w:pPr>
        <w:autoSpaceDE w:val="0"/>
        <w:autoSpaceDN w:val="0"/>
        <w:spacing w:line="360" w:lineRule="auto"/>
        <w:ind w:left="384" w:right="34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（6）承包人应加强质量监控，确保规范规定的检验、抽检频率，现场质检的原始资料必须真实、准确、可靠，不得追记，接受质量检查时必须出示原始资料；</w:t>
      </w:r>
    </w:p>
    <w:p w14:paraId="66EDD5BA">
      <w:pPr>
        <w:autoSpaceDE w:val="0"/>
        <w:autoSpaceDN w:val="0"/>
        <w:spacing w:line="360" w:lineRule="auto"/>
        <w:ind w:left="384" w:right="34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7）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14:paraId="65C12AEC">
      <w:pPr>
        <w:autoSpaceDE w:val="0"/>
        <w:autoSpaceDN w:val="0"/>
        <w:spacing w:line="360" w:lineRule="auto"/>
        <w:ind w:left="384" w:right="34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（8）所有施工操作工艺应符合本合同的规定以及监理人的指令；</w:t>
      </w:r>
    </w:p>
    <w:p w14:paraId="14A60D0E">
      <w:pPr>
        <w:autoSpaceDE w:val="0"/>
        <w:autoSpaceDN w:val="0"/>
        <w:spacing w:line="360" w:lineRule="auto"/>
        <w:ind w:left="384" w:right="34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（9）对工程质量有争议，监理人可委托独立的工程质量检测机构鉴定，所需费用及因此造成的损失，由责任方承担。双方均有责任的，由双方根据其责任大小分别承担；</w:t>
      </w:r>
    </w:p>
    <w:p w14:paraId="35747DAE">
      <w:pPr>
        <w:autoSpaceDE w:val="0"/>
        <w:autoSpaceDN w:val="0"/>
        <w:spacing w:line="360" w:lineRule="auto"/>
        <w:ind w:left="384" w:right="34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（10）承包人应合理安排施工计划，合理安排工期，尽量避免工程越冬施工。如必须越冬，要采取必要的措施，保证工程质量；所发生的费用，承包人在报价中要充分考虑，发包人不单独支付。</w:t>
      </w:r>
    </w:p>
    <w:p w14:paraId="37A191B5">
      <w:pPr>
        <w:autoSpaceDE w:val="0"/>
        <w:autoSpaceDN w:val="0"/>
        <w:spacing w:line="360" w:lineRule="auto"/>
        <w:ind w:left="384" w:right="346" w:firstLine="480" w:firstLineChars="200"/>
        <w:jc w:val="left"/>
        <w:rPr>
          <w:rFonts w:ascii="宋体" w:hAnsi="宋体" w:cs="宋体"/>
          <w:kern w:val="0"/>
          <w:sz w:val="24"/>
          <w:szCs w:val="24"/>
          <w:lang w:val="zh-CN" w:bidi="zh-CN"/>
        </w:rPr>
      </w:pPr>
      <w:r>
        <w:rPr>
          <w:rFonts w:hint="eastAsia" w:ascii="宋体" w:hAnsi="宋体" w:cs="宋体"/>
          <w:kern w:val="0"/>
          <w:sz w:val="24"/>
          <w:szCs w:val="24"/>
          <w:lang w:val="zh-CN" w:bidi="zh-CN"/>
        </w:rPr>
        <w:t>12.3</w:t>
      </w:r>
      <w:r>
        <w:rPr>
          <w:rFonts w:ascii="宋体" w:hAnsi="宋体" w:cs="宋体"/>
          <w:kern w:val="0"/>
          <w:sz w:val="24"/>
          <w:szCs w:val="24"/>
          <w:lang w:val="zh-CN" w:bidi="zh-CN"/>
        </w:rPr>
        <w:t>监理人根据检查或检验结果可以拒收有缺陷或不符合合同要求的材料或设备，并通知承包人说明拒收的理由；承包人应立即修复所述缺陷或替换被拒收材料或设备使其符合合同规定；如果监理人要求在相同条件下进行被拒收材料或设备的检验，其检验所发生的费用由承包人承担。</w:t>
      </w:r>
    </w:p>
    <w:p w14:paraId="2B1C3723">
      <w:pPr>
        <w:autoSpaceDE w:val="0"/>
        <w:autoSpaceDN w:val="0"/>
        <w:spacing w:line="360" w:lineRule="auto"/>
        <w:ind w:left="384" w:right="346" w:firstLine="480" w:firstLineChars="200"/>
        <w:jc w:val="left"/>
        <w:rPr>
          <w:rFonts w:ascii="宋体" w:hAnsi="宋体" w:cs="宋体"/>
          <w:kern w:val="0"/>
          <w:sz w:val="24"/>
          <w:szCs w:val="24"/>
          <w:lang w:val="zh-CN" w:bidi="zh-CN"/>
        </w:rPr>
      </w:pPr>
      <w:r>
        <w:rPr>
          <w:rFonts w:hint="eastAsia" w:ascii="宋体" w:hAnsi="宋体" w:cs="宋体"/>
          <w:kern w:val="0"/>
          <w:sz w:val="24"/>
          <w:szCs w:val="24"/>
          <w:lang w:val="zh-CN" w:bidi="zh-CN"/>
        </w:rPr>
        <w:t>12.4</w:t>
      </w:r>
      <w:r>
        <w:rPr>
          <w:rFonts w:ascii="宋体" w:hAnsi="宋体" w:cs="宋体"/>
          <w:kern w:val="0"/>
          <w:sz w:val="24"/>
          <w:szCs w:val="24"/>
          <w:lang w:val="zh-CN" w:bidi="zh-CN"/>
        </w:rPr>
        <w:t>监理人有权随时就下述事项发出指令：</w:t>
      </w:r>
    </w:p>
    <w:p w14:paraId="7C1D6850">
      <w:pPr>
        <w:autoSpaceDE w:val="0"/>
        <w:autoSpaceDN w:val="0"/>
        <w:spacing w:line="360" w:lineRule="auto"/>
        <w:ind w:left="384" w:right="34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（1）责成承包人在规定的时间内，一次或分次将不符合合同规定的材料或设备从现场运走，并用合格适用的材料或设备取代；</w:t>
      </w:r>
    </w:p>
    <w:p w14:paraId="1296FE22">
      <w:pPr>
        <w:autoSpaceDE w:val="0"/>
        <w:autoSpaceDN w:val="0"/>
        <w:spacing w:line="360" w:lineRule="auto"/>
        <w:ind w:left="384" w:right="34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（2）不管先前是否已经检验或中期付款，如果监理人认为工程的任何部分由于材料、设备或操作工艺或承包人设计的局部工程不符合合同规定时，由承包人将这些工程拆除并彻底重做；</w:t>
      </w:r>
    </w:p>
    <w:p w14:paraId="4D11E0E7">
      <w:pPr>
        <w:autoSpaceDE w:val="0"/>
        <w:autoSpaceDN w:val="0"/>
        <w:spacing w:line="360" w:lineRule="auto"/>
        <w:ind w:left="384" w:right="346" w:firstLine="448" w:firstLineChars="200"/>
        <w:jc w:val="left"/>
        <w:rPr>
          <w:rFonts w:ascii="宋体" w:hAnsi="宋体" w:cs="宋体"/>
          <w:kern w:val="0"/>
          <w:sz w:val="24"/>
          <w:szCs w:val="24"/>
          <w:lang w:val="zh-CN" w:bidi="zh-CN"/>
        </w:rPr>
      </w:pPr>
      <w:r>
        <w:rPr>
          <w:rFonts w:ascii="宋体" w:hAnsi="宋体" w:cs="宋体"/>
          <w:spacing w:val="-8"/>
          <w:kern w:val="0"/>
          <w:sz w:val="24"/>
          <w:szCs w:val="24"/>
          <w:lang w:val="zh-CN" w:bidi="zh-CN"/>
        </w:rPr>
        <w:t>（3）</w:t>
      </w:r>
      <w:r>
        <w:rPr>
          <w:rFonts w:ascii="宋体" w:hAnsi="宋体" w:cs="宋体"/>
          <w:spacing w:val="-5"/>
          <w:kern w:val="0"/>
          <w:sz w:val="24"/>
          <w:szCs w:val="24"/>
          <w:lang w:val="zh-CN" w:bidi="zh-CN"/>
        </w:rPr>
        <w:t>承包人使用不合格材料、工程设备，或采用不适当的施工工艺，或施工不当，造成工程不合格的，监理人可以随时发出指示，要求承包人立即采取措施进行</w:t>
      </w:r>
      <w:r>
        <w:rPr>
          <w:rFonts w:ascii="宋体" w:hAnsi="宋体" w:cs="宋体"/>
          <w:kern w:val="0"/>
          <w:sz w:val="24"/>
          <w:szCs w:val="24"/>
          <w:lang w:val="zh-CN" w:bidi="zh-CN"/>
        </w:rPr>
        <w:t>替换、补救或拆除重建，直至达到合同要求的质量标准，由此增加的费用和(或</w:t>
      </w:r>
      <w:r>
        <w:rPr>
          <w:rFonts w:ascii="宋体" w:hAnsi="宋体" w:cs="宋体"/>
          <w:spacing w:val="4"/>
          <w:kern w:val="0"/>
          <w:sz w:val="24"/>
          <w:szCs w:val="24"/>
          <w:lang w:val="zh-CN" w:bidi="zh-CN"/>
        </w:rPr>
        <w:t>)</w:t>
      </w:r>
      <w:r>
        <w:rPr>
          <w:rFonts w:ascii="宋体" w:hAnsi="宋体" w:cs="宋体"/>
          <w:kern w:val="0"/>
          <w:sz w:val="24"/>
          <w:szCs w:val="24"/>
          <w:lang w:val="zh-CN" w:bidi="zh-CN"/>
        </w:rPr>
        <w:t>工期延误由承包人承担；</w:t>
      </w:r>
    </w:p>
    <w:p w14:paraId="2ABA705E">
      <w:pPr>
        <w:autoSpaceDE w:val="0"/>
        <w:autoSpaceDN w:val="0"/>
        <w:spacing w:before="5" w:line="360" w:lineRule="auto"/>
        <w:ind w:left="384" w:right="34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（4</w:t>
      </w:r>
      <w:r>
        <w:rPr>
          <w:rFonts w:ascii="宋体" w:hAnsi="宋体" w:cs="宋体"/>
          <w:spacing w:val="-104"/>
          <w:kern w:val="0"/>
          <w:sz w:val="24"/>
          <w:szCs w:val="24"/>
          <w:lang w:val="zh-CN" w:bidi="zh-CN"/>
        </w:rPr>
        <w:t>）</w:t>
      </w:r>
      <w:r>
        <w:rPr>
          <w:rFonts w:ascii="宋体" w:hAnsi="宋体" w:cs="宋体"/>
          <w:spacing w:val="-5"/>
          <w:kern w:val="0"/>
          <w:sz w:val="24"/>
          <w:szCs w:val="24"/>
          <w:lang w:val="zh-CN" w:bidi="zh-CN"/>
        </w:rPr>
        <w:t>如果承包人未在规定时间内执行监理人的指示，发包人有权雇用他人执行，由此增加的费用和(或)工期延误由承包人承担。</w:t>
      </w:r>
    </w:p>
    <w:p w14:paraId="4B7A11D2">
      <w:pPr>
        <w:tabs>
          <w:tab w:val="left" w:pos="1523"/>
          <w:tab w:val="left" w:pos="1524"/>
        </w:tabs>
        <w:autoSpaceDE w:val="0"/>
        <w:autoSpaceDN w:val="0"/>
        <w:spacing w:line="360" w:lineRule="auto"/>
        <w:ind w:firstLine="720" w:firstLineChars="300"/>
        <w:jc w:val="left"/>
        <w:rPr>
          <w:rFonts w:ascii="宋体" w:hAnsi="宋体" w:cs="宋体"/>
          <w:kern w:val="0"/>
          <w:sz w:val="24"/>
          <w:szCs w:val="24"/>
          <w:lang w:val="zh-CN" w:bidi="zh-CN"/>
        </w:rPr>
      </w:pPr>
      <w:r>
        <w:rPr>
          <w:rFonts w:hint="eastAsia" w:ascii="宋体" w:hAnsi="宋体" w:cs="宋体"/>
          <w:kern w:val="0"/>
          <w:sz w:val="24"/>
          <w:szCs w:val="24"/>
          <w:lang w:val="zh-CN" w:bidi="zh-CN"/>
        </w:rPr>
        <w:t>12.5</w:t>
      </w:r>
      <w:r>
        <w:rPr>
          <w:rFonts w:ascii="宋体" w:hAnsi="宋体" w:cs="宋体"/>
          <w:kern w:val="0"/>
          <w:sz w:val="24"/>
          <w:szCs w:val="24"/>
          <w:lang w:val="zh-CN" w:bidi="zh-CN"/>
        </w:rPr>
        <w:t>工程隐蔽部位覆盖前的检查</w:t>
      </w:r>
    </w:p>
    <w:p w14:paraId="02B9C33C">
      <w:pPr>
        <w:autoSpaceDE w:val="0"/>
        <w:autoSpaceDN w:val="0"/>
        <w:spacing w:before="84" w:line="360" w:lineRule="auto"/>
        <w:ind w:left="384" w:right="466" w:firstLine="440" w:firstLineChars="200"/>
        <w:rPr>
          <w:rFonts w:ascii="宋体" w:hAnsi="宋体" w:cs="宋体"/>
          <w:kern w:val="0"/>
          <w:sz w:val="24"/>
          <w:szCs w:val="24"/>
          <w:lang w:val="zh-CN" w:bidi="zh-CN"/>
        </w:rPr>
      </w:pPr>
      <w:r>
        <w:rPr>
          <w:rFonts w:ascii="宋体" w:hAnsi="宋体" w:cs="宋体"/>
          <w:spacing w:val="-10"/>
          <w:kern w:val="0"/>
          <w:sz w:val="24"/>
          <w:szCs w:val="24"/>
          <w:lang w:val="zh-CN" w:bidi="zh-CN"/>
        </w:rPr>
        <w:t>（1）</w:t>
      </w:r>
      <w:r>
        <w:rPr>
          <w:rFonts w:ascii="宋体" w:hAnsi="宋体" w:cs="宋体"/>
          <w:spacing w:val="-6"/>
          <w:kern w:val="0"/>
          <w:sz w:val="24"/>
          <w:szCs w:val="24"/>
          <w:lang w:val="zh-CN" w:bidi="zh-CN"/>
        </w:rPr>
        <w:t>没有监理人的批准，任何隐蔽工程均不得覆盖或掩蔽。当任何一部分工程或基础已经或即将为检查做好准备时，承包人应事先通知监理人，并约定检查的时间，监理人则应按时派员参加上述工程或基础的检查和量测；如果监理人认为没有</w:t>
      </w:r>
      <w:r>
        <w:rPr>
          <w:rFonts w:ascii="宋体" w:hAnsi="宋体" w:cs="宋体"/>
          <w:spacing w:val="-8"/>
          <w:kern w:val="0"/>
          <w:sz w:val="24"/>
          <w:szCs w:val="24"/>
          <w:lang w:val="zh-CN" w:bidi="zh-CN"/>
        </w:rPr>
        <w:t xml:space="preserve">必要参与检查，应就此通知承包人；如果上述约定时间后的 </w:t>
      </w:r>
      <w:r>
        <w:rPr>
          <w:rFonts w:ascii="宋体" w:hAnsi="宋体" w:cs="宋体"/>
          <w:kern w:val="0"/>
          <w:sz w:val="24"/>
          <w:szCs w:val="24"/>
          <w:lang w:val="zh-CN" w:bidi="zh-CN"/>
        </w:rPr>
        <w:t>6 小时内，监理人或其代表未能到场对上述工程或基础进行检查和量测，承包人即可自行检查，并如实作出自检报告后覆盖或掩蔽，监理人事后应予以认可；</w:t>
      </w:r>
    </w:p>
    <w:p w14:paraId="71BE48F7">
      <w:pPr>
        <w:autoSpaceDE w:val="0"/>
        <w:autoSpaceDN w:val="0"/>
        <w:spacing w:line="360" w:lineRule="auto"/>
        <w:ind w:firstLine="858" w:firstLineChars="390"/>
        <w:jc w:val="left"/>
        <w:rPr>
          <w:rFonts w:ascii="宋体" w:hAnsi="宋体" w:cs="宋体"/>
          <w:spacing w:val="-10"/>
          <w:kern w:val="0"/>
          <w:sz w:val="24"/>
          <w:szCs w:val="24"/>
          <w:lang w:val="zh-CN" w:bidi="zh-CN"/>
        </w:rPr>
      </w:pPr>
      <w:r>
        <w:rPr>
          <w:rFonts w:ascii="宋体" w:hAnsi="宋体" w:cs="宋体"/>
          <w:spacing w:val="-10"/>
          <w:kern w:val="0"/>
          <w:sz w:val="24"/>
          <w:szCs w:val="24"/>
          <w:lang w:val="zh-CN" w:bidi="zh-CN"/>
        </w:rPr>
        <w:t>（2）重新检验</w:t>
      </w:r>
    </w:p>
    <w:p w14:paraId="3EB1AB29">
      <w:pPr>
        <w:autoSpaceDE w:val="0"/>
        <w:autoSpaceDN w:val="0"/>
        <w:spacing w:before="86" w:line="360" w:lineRule="auto"/>
        <w:ind w:left="384" w:right="465" w:firstLine="480" w:firstLineChars="200"/>
        <w:rPr>
          <w:rFonts w:ascii="宋体" w:hAnsi="宋体" w:cs="宋体"/>
          <w:kern w:val="0"/>
          <w:sz w:val="24"/>
          <w:szCs w:val="24"/>
          <w:lang w:val="zh-CN" w:bidi="zh-CN"/>
        </w:rPr>
      </w:pPr>
      <w:r>
        <w:rPr>
          <w:rFonts w:ascii="宋体" w:hAnsi="宋体" w:cs="宋体"/>
          <w:kern w:val="0"/>
          <w:sz w:val="24"/>
          <w:szCs w:val="24"/>
          <w:lang w:val="zh-CN" w:bidi="zh-CN"/>
        </w:rPr>
        <w:t>承包人应按监理人发出的指示，剥开工程的任何一部分或开孔，并负责使该部分恢复原状。检验符合合同规定，监理人在同发包人和承包人适当协商后，应确定剥开或开孔及恢复原状的费用，由发包人承担由此增加的费用和(或)工期延误，并支付承包人合理利润。如检验不符合合同规定，所发生的相关费用由承包人承担；</w:t>
      </w:r>
    </w:p>
    <w:p w14:paraId="24D2A4BF">
      <w:pPr>
        <w:autoSpaceDE w:val="0"/>
        <w:autoSpaceDN w:val="0"/>
        <w:spacing w:before="5" w:line="360" w:lineRule="auto"/>
        <w:ind w:left="384" w:right="466" w:firstLine="440" w:firstLineChars="200"/>
        <w:rPr>
          <w:rFonts w:ascii="宋体" w:hAnsi="宋体" w:cs="宋体"/>
          <w:kern w:val="0"/>
          <w:sz w:val="24"/>
          <w:szCs w:val="24"/>
          <w:lang w:val="zh-CN" w:bidi="zh-CN"/>
        </w:rPr>
      </w:pPr>
      <w:r>
        <w:rPr>
          <w:rFonts w:ascii="宋体" w:hAnsi="宋体" w:cs="宋体"/>
          <w:spacing w:val="-10"/>
          <w:kern w:val="0"/>
          <w:sz w:val="24"/>
          <w:szCs w:val="24"/>
          <w:lang w:val="zh-CN" w:bidi="zh-CN"/>
        </w:rPr>
        <w:t>（3）</w:t>
      </w:r>
      <w:r>
        <w:rPr>
          <w:rFonts w:ascii="宋体" w:hAnsi="宋体" w:cs="宋体"/>
          <w:spacing w:val="-3"/>
          <w:kern w:val="0"/>
          <w:sz w:val="24"/>
          <w:szCs w:val="24"/>
          <w:lang w:val="zh-CN" w:bidi="zh-CN"/>
        </w:rPr>
        <w:t>承包人未通知监理人到场检查，私自将工程隐蔽部位覆盖的，监理人有权指示承包人钻孔探测或揭开检查，由此增加的费用和(或)工期延误由承包人承担。</w:t>
      </w:r>
    </w:p>
    <w:p w14:paraId="3C253881">
      <w:pPr>
        <w:keepNext/>
        <w:keepLines/>
        <w:widowControl/>
        <w:spacing w:before="260" w:after="260" w:line="415" w:lineRule="auto"/>
        <w:jc w:val="left"/>
        <w:outlineLvl w:val="2"/>
        <w:rPr>
          <w:rFonts w:ascii="宋体" w:hAnsi="宋体" w:cs="宋体"/>
          <w:b/>
          <w:bCs/>
          <w:kern w:val="0"/>
          <w:sz w:val="24"/>
          <w:szCs w:val="24"/>
          <w:lang w:val="zh-CN" w:bidi="zh-CN"/>
        </w:rPr>
      </w:pPr>
      <w:bookmarkStart w:id="146" w:name="_Toc256000051"/>
      <w:r>
        <w:rPr>
          <w:rFonts w:ascii="宋体" w:hAnsi="宋体" w:cs="宋体"/>
          <w:b/>
          <w:bCs/>
          <w:kern w:val="0"/>
          <w:sz w:val="24"/>
          <w:szCs w:val="24"/>
          <w:lang w:val="zh-CN" w:bidi="zh-CN"/>
        </w:rPr>
        <w:t>五、施工安全、治安保卫与环境保护</w:t>
      </w:r>
      <w:bookmarkEnd w:id="146"/>
    </w:p>
    <w:p w14:paraId="7E5E0FB5">
      <w:pPr>
        <w:keepLines/>
        <w:widowControl/>
        <w:tabs>
          <w:tab w:val="left" w:pos="567"/>
        </w:tabs>
        <w:autoSpaceDE w:val="0"/>
        <w:autoSpaceDN w:val="0"/>
        <w:spacing w:before="120" w:after="120" w:line="360" w:lineRule="auto"/>
        <w:ind w:left="567"/>
        <w:jc w:val="left"/>
        <w:outlineLvl w:val="3"/>
        <w:rPr>
          <w:rFonts w:ascii="宋体" w:hAnsi="宋体"/>
          <w:b/>
          <w:bCs/>
          <w:kern w:val="0"/>
          <w:sz w:val="24"/>
          <w:szCs w:val="24"/>
          <w:lang w:val="zh-CN" w:bidi="zh-CN"/>
        </w:rPr>
      </w:pPr>
      <w:r>
        <w:rPr>
          <w:rFonts w:ascii="宋体" w:hAnsi="宋体"/>
          <w:b/>
          <w:bCs/>
          <w:kern w:val="0"/>
          <w:sz w:val="24"/>
          <w:szCs w:val="24"/>
          <w:lang w:val="zh-CN" w:bidi="zh-CN"/>
        </w:rPr>
        <w:t>13.施工安全、治安保卫</w:t>
      </w:r>
    </w:p>
    <w:p w14:paraId="59A4C646">
      <w:pPr>
        <w:numPr>
          <w:ilvl w:val="0"/>
          <w:numId w:val="0"/>
        </w:numPr>
        <w:tabs>
          <w:tab w:val="left" w:pos="1404"/>
        </w:tabs>
        <w:autoSpaceDE w:val="0"/>
        <w:autoSpaceDN w:val="0"/>
        <w:spacing w:line="360" w:lineRule="auto"/>
        <w:ind w:leftChars="-308" w:firstLine="1200" w:firstLineChars="500"/>
        <w:jc w:val="both"/>
        <w:rPr>
          <w:rFonts w:ascii="宋体" w:hAnsi="宋体" w:cs="宋体"/>
          <w:kern w:val="0"/>
          <w:sz w:val="24"/>
          <w:szCs w:val="24"/>
          <w:lang w:val="zh-CN" w:bidi="zh-CN"/>
        </w:rPr>
      </w:pPr>
      <w:r>
        <w:rPr>
          <w:rFonts w:hint="eastAsia" w:ascii="宋体" w:hAnsi="宋体" w:cs="宋体"/>
          <w:kern w:val="0"/>
          <w:sz w:val="24"/>
          <w:szCs w:val="24"/>
          <w:lang w:val="en-US" w:bidi="zh-CN"/>
        </w:rPr>
        <w:t>13.1</w:t>
      </w:r>
      <w:r>
        <w:rPr>
          <w:rFonts w:ascii="宋体" w:hAnsi="宋体" w:cs="宋体"/>
          <w:kern w:val="0"/>
          <w:sz w:val="24"/>
          <w:szCs w:val="24"/>
          <w:lang w:val="zh-CN" w:bidi="zh-CN"/>
        </w:rPr>
        <w:t>发包人的施工安全责任</w:t>
      </w:r>
    </w:p>
    <w:p w14:paraId="456FE71F">
      <w:pPr>
        <w:autoSpaceDE w:val="0"/>
        <w:autoSpaceDN w:val="0"/>
        <w:spacing w:before="84" w:line="360" w:lineRule="auto"/>
        <w:ind w:left="384" w:right="466" w:firstLine="420" w:firstLineChars="200"/>
        <w:rPr>
          <w:rFonts w:ascii="宋体" w:hAnsi="宋体" w:cs="宋体"/>
          <w:kern w:val="0"/>
          <w:sz w:val="24"/>
          <w:szCs w:val="24"/>
          <w:lang w:val="zh-CN" w:bidi="zh-CN"/>
        </w:rPr>
      </w:pPr>
      <w:r>
        <w:rPr>
          <w:rFonts w:ascii="宋体" w:hAnsi="宋体" w:cs="宋体"/>
          <w:spacing w:val="-15"/>
          <w:kern w:val="0"/>
          <w:sz w:val="24"/>
          <w:szCs w:val="24"/>
          <w:lang w:val="zh-CN" w:bidi="zh-CN"/>
        </w:rPr>
        <w:t>（1）</w:t>
      </w:r>
      <w:r>
        <w:rPr>
          <w:rFonts w:ascii="宋体" w:hAnsi="宋体" w:cs="宋体"/>
          <w:spacing w:val="-3"/>
          <w:kern w:val="0"/>
          <w:sz w:val="24"/>
          <w:szCs w:val="24"/>
          <w:lang w:val="zh-CN" w:bidi="zh-CN"/>
        </w:rPr>
        <w:t>发包人应按合同约定履行安全职责，授权监理人按合同约定的安全工作内容监督、检查承包人安全工作的实施，组织承包人和有关单位进行安全检查；</w:t>
      </w:r>
    </w:p>
    <w:p w14:paraId="05E43EB7">
      <w:pPr>
        <w:autoSpaceDE w:val="0"/>
        <w:autoSpaceDN w:val="0"/>
        <w:spacing w:line="360" w:lineRule="auto"/>
        <w:ind w:left="384" w:right="466" w:firstLine="420" w:firstLineChars="200"/>
        <w:rPr>
          <w:rFonts w:ascii="宋体" w:hAnsi="宋体" w:cs="宋体"/>
          <w:kern w:val="0"/>
          <w:sz w:val="24"/>
          <w:szCs w:val="24"/>
          <w:lang w:val="zh-CN" w:bidi="zh-CN"/>
        </w:rPr>
      </w:pPr>
      <w:r>
        <w:rPr>
          <w:rFonts w:ascii="宋体" w:hAnsi="宋体" w:cs="宋体"/>
          <w:spacing w:val="-15"/>
          <w:kern w:val="0"/>
          <w:sz w:val="24"/>
          <w:szCs w:val="24"/>
          <w:lang w:val="zh-CN" w:bidi="zh-CN"/>
        </w:rPr>
        <w:t>（2）</w:t>
      </w:r>
      <w:r>
        <w:rPr>
          <w:rFonts w:ascii="宋体" w:hAnsi="宋体" w:cs="宋体"/>
          <w:spacing w:val="-2"/>
          <w:kern w:val="0"/>
          <w:sz w:val="24"/>
          <w:szCs w:val="24"/>
          <w:lang w:val="zh-CN" w:bidi="zh-CN"/>
        </w:rPr>
        <w:t>发包人应对其现场机构雇佣的全部人员的工伤事故承担责任，但由于承包人原因造成发包人人员工伤的，应由承包人承担责任；</w:t>
      </w:r>
    </w:p>
    <w:p w14:paraId="7E2CC944">
      <w:pPr>
        <w:autoSpaceDE w:val="0"/>
        <w:autoSpaceDN w:val="0"/>
        <w:spacing w:line="360" w:lineRule="auto"/>
        <w:ind w:left="384" w:right="466" w:firstLine="420" w:firstLineChars="200"/>
        <w:rPr>
          <w:rFonts w:ascii="宋体" w:hAnsi="宋体" w:cs="宋体"/>
          <w:spacing w:val="-15"/>
          <w:kern w:val="0"/>
          <w:sz w:val="24"/>
          <w:szCs w:val="24"/>
          <w:lang w:val="zh-CN" w:bidi="zh-CN"/>
        </w:rPr>
      </w:pPr>
      <w:r>
        <w:rPr>
          <w:rFonts w:ascii="宋体" w:hAnsi="宋体" w:cs="宋体"/>
          <w:spacing w:val="-15"/>
          <w:kern w:val="0"/>
          <w:sz w:val="24"/>
          <w:szCs w:val="24"/>
          <w:lang w:val="zh-CN" w:bidi="zh-CN"/>
        </w:rPr>
        <w:t>（3）发包人应负责赔偿以下各种情况造成的第三者人身伤亡和财产损失： 工程或工程的任何部分对土地的占用所造成的第三者财产损失；</w:t>
      </w:r>
    </w:p>
    <w:p w14:paraId="418308B2">
      <w:pPr>
        <w:autoSpaceDE w:val="0"/>
        <w:autoSpaceDN w:val="0"/>
        <w:spacing w:before="2" w:line="360" w:lineRule="auto"/>
        <w:ind w:firstLine="1176" w:firstLineChars="490"/>
        <w:jc w:val="left"/>
        <w:rPr>
          <w:rFonts w:ascii="宋体" w:hAnsi="宋体" w:cs="宋体"/>
          <w:kern w:val="0"/>
          <w:sz w:val="24"/>
          <w:szCs w:val="24"/>
          <w:lang w:val="zh-CN" w:bidi="zh-CN"/>
        </w:rPr>
      </w:pPr>
      <w:r>
        <w:rPr>
          <w:rFonts w:ascii="宋体" w:hAnsi="宋体" w:cs="宋体"/>
          <w:kern w:val="0"/>
          <w:sz w:val="24"/>
          <w:szCs w:val="24"/>
          <w:lang w:val="zh-CN" w:bidi="zh-CN"/>
        </w:rPr>
        <w:t>由于发包人原因在施工场地及其毗邻地带造成的第三者人身伤亡和财产损失。</w:t>
      </w:r>
    </w:p>
    <w:p w14:paraId="1257AA2A">
      <w:pPr>
        <w:numPr>
          <w:ilvl w:val="0"/>
          <w:numId w:val="0"/>
        </w:numPr>
        <w:tabs>
          <w:tab w:val="left" w:pos="1529"/>
        </w:tabs>
        <w:autoSpaceDE w:val="0"/>
        <w:autoSpaceDN w:val="0"/>
        <w:spacing w:before="86" w:line="360" w:lineRule="auto"/>
        <w:ind w:leftChars="200" w:right="465" w:rightChars="0" w:firstLine="480" w:firstLineChars="200"/>
        <w:rPr>
          <w:rFonts w:ascii="宋体" w:hAnsi="宋体" w:cs="宋体"/>
          <w:kern w:val="0"/>
          <w:sz w:val="24"/>
          <w:szCs w:val="24"/>
          <w:lang w:val="zh-CN" w:bidi="zh-CN"/>
        </w:rPr>
      </w:pPr>
      <w:r>
        <w:rPr>
          <w:rFonts w:hint="eastAsia" w:ascii="宋体" w:hAnsi="宋体" w:cs="宋体"/>
          <w:kern w:val="0"/>
          <w:sz w:val="24"/>
          <w:szCs w:val="24"/>
          <w:lang w:val="en-US" w:bidi="zh-CN"/>
        </w:rPr>
        <w:t>13.2</w:t>
      </w:r>
      <w:r>
        <w:rPr>
          <w:rFonts w:ascii="宋体" w:hAnsi="宋体" w:cs="宋体"/>
          <w:kern w:val="0"/>
          <w:sz w:val="24"/>
          <w:szCs w:val="24"/>
          <w:lang w:val="zh-CN" w:bidi="zh-CN"/>
        </w:rPr>
        <w:t>承包人应遵守工程建设安全生产有关规定，采取有效的安全防护措施， 消除事故隐患，确保所有在现场工作人员及机械设备的安全。由于承包人安全措施不力造成事故的责任和由此发生的费用，由承包人承担。承包人还应该：</w:t>
      </w:r>
    </w:p>
    <w:p w14:paraId="28B31392">
      <w:pPr>
        <w:autoSpaceDE w:val="0"/>
        <w:autoSpaceDN w:val="0"/>
        <w:spacing w:before="74" w:line="360" w:lineRule="auto"/>
        <w:ind w:left="384" w:right="466" w:firstLine="448" w:firstLineChars="200"/>
        <w:rPr>
          <w:rFonts w:ascii="宋体" w:hAnsi="宋体" w:cs="宋体"/>
          <w:kern w:val="0"/>
          <w:sz w:val="24"/>
          <w:szCs w:val="24"/>
          <w:lang w:val="zh-CN" w:bidi="zh-CN"/>
        </w:rPr>
      </w:pPr>
      <w:r>
        <w:rPr>
          <w:rFonts w:ascii="宋体" w:hAnsi="宋体" w:cs="宋体"/>
          <w:spacing w:val="-8"/>
          <w:kern w:val="0"/>
          <w:sz w:val="24"/>
          <w:szCs w:val="24"/>
          <w:lang w:val="zh-CN" w:bidi="zh-CN"/>
        </w:rPr>
        <w:t>（1）</w:t>
      </w:r>
      <w:r>
        <w:rPr>
          <w:rFonts w:ascii="宋体" w:hAnsi="宋体" w:cs="宋体"/>
          <w:spacing w:val="-5"/>
          <w:kern w:val="0"/>
          <w:sz w:val="24"/>
          <w:szCs w:val="24"/>
          <w:lang w:val="zh-CN" w:bidi="zh-CN"/>
        </w:rPr>
        <w:t>专职安全员的配备按《公路水运工程安全生产监督管理办法》</w:t>
      </w:r>
      <w:r>
        <w:rPr>
          <w:rFonts w:ascii="宋体" w:hAnsi="宋体" w:cs="宋体"/>
          <w:kern w:val="0"/>
          <w:sz w:val="24"/>
          <w:szCs w:val="24"/>
          <w:lang w:val="zh-CN" w:bidi="zh-CN"/>
        </w:rPr>
        <w:t>（交通运输</w:t>
      </w:r>
      <w:r>
        <w:rPr>
          <w:rFonts w:ascii="宋体" w:hAnsi="宋体" w:cs="宋体"/>
          <w:spacing w:val="-20"/>
          <w:kern w:val="0"/>
          <w:sz w:val="24"/>
          <w:szCs w:val="24"/>
          <w:lang w:val="zh-CN" w:bidi="zh-CN"/>
        </w:rPr>
        <w:t xml:space="preserve">部令 </w:t>
      </w:r>
      <w:r>
        <w:rPr>
          <w:rFonts w:ascii="宋体" w:hAnsi="宋体" w:cs="宋体"/>
          <w:kern w:val="0"/>
          <w:sz w:val="24"/>
          <w:szCs w:val="24"/>
          <w:lang w:val="zh-CN" w:bidi="zh-CN"/>
        </w:rPr>
        <w:t xml:space="preserve">2017 </w:t>
      </w:r>
      <w:r>
        <w:rPr>
          <w:rFonts w:ascii="宋体" w:hAnsi="宋体" w:cs="宋体"/>
          <w:spacing w:val="-20"/>
          <w:kern w:val="0"/>
          <w:sz w:val="24"/>
          <w:szCs w:val="24"/>
          <w:lang w:val="zh-CN" w:bidi="zh-CN"/>
        </w:rPr>
        <w:t xml:space="preserve">年第 </w:t>
      </w:r>
      <w:r>
        <w:rPr>
          <w:rFonts w:ascii="宋体" w:hAnsi="宋体" w:cs="宋体"/>
          <w:kern w:val="0"/>
          <w:sz w:val="24"/>
          <w:szCs w:val="24"/>
          <w:lang w:val="zh-CN" w:bidi="zh-CN"/>
        </w:rPr>
        <w:t>25 号）的规定执行；</w:t>
      </w:r>
    </w:p>
    <w:p w14:paraId="5EA417D8">
      <w:pPr>
        <w:autoSpaceDE w:val="0"/>
        <w:autoSpaceDN w:val="0"/>
        <w:spacing w:before="4" w:line="360" w:lineRule="auto"/>
        <w:ind w:left="384" w:right="466" w:firstLine="480" w:firstLineChars="200"/>
        <w:rPr>
          <w:rFonts w:ascii="宋体" w:hAnsi="宋体" w:cs="宋体"/>
          <w:kern w:val="0"/>
          <w:sz w:val="24"/>
          <w:szCs w:val="24"/>
          <w:lang w:val="zh-CN" w:bidi="zh-CN"/>
        </w:rPr>
      </w:pPr>
      <w:r>
        <w:rPr>
          <w:rFonts w:ascii="宋体" w:hAnsi="宋体" w:cs="宋体"/>
          <w:kern w:val="0"/>
          <w:sz w:val="24"/>
          <w:szCs w:val="24"/>
          <w:lang w:val="zh-CN" w:bidi="zh-CN"/>
        </w:rPr>
        <w:t>（2）特殊工种(电工、电梯工、起重工、电焊工、车船驾驶员、爆破工等)要经专业培训，并持有专业主管部门签发的合格证上岗；</w:t>
      </w:r>
    </w:p>
    <w:p w14:paraId="70D94B1E">
      <w:pPr>
        <w:autoSpaceDE w:val="0"/>
        <w:autoSpaceDN w:val="0"/>
        <w:spacing w:line="360" w:lineRule="auto"/>
        <w:ind w:left="384" w:right="466" w:firstLine="440" w:firstLineChars="200"/>
        <w:rPr>
          <w:rFonts w:ascii="宋体" w:hAnsi="宋体" w:cs="宋体"/>
          <w:kern w:val="0"/>
          <w:sz w:val="24"/>
          <w:szCs w:val="24"/>
          <w:lang w:val="zh-CN" w:bidi="zh-CN"/>
        </w:rPr>
      </w:pPr>
      <w:r>
        <w:rPr>
          <w:rFonts w:ascii="宋体" w:hAnsi="宋体" w:cs="宋体"/>
          <w:spacing w:val="-10"/>
          <w:kern w:val="0"/>
          <w:sz w:val="24"/>
          <w:szCs w:val="24"/>
          <w:lang w:val="zh-CN" w:bidi="zh-CN"/>
        </w:rPr>
        <w:t>（3）</w:t>
      </w:r>
      <w:r>
        <w:rPr>
          <w:rFonts w:ascii="宋体" w:hAnsi="宋体" w:cs="宋体"/>
          <w:spacing w:val="-4"/>
          <w:kern w:val="0"/>
          <w:sz w:val="24"/>
          <w:szCs w:val="24"/>
          <w:lang w:val="zh-CN" w:bidi="zh-CN"/>
        </w:rPr>
        <w:t>对于易燃易爆材料的运输、保管必须符合当地安全部门的有关规定，除应专门妥善保管外，并应配有足够的消防设备，所有施工人员都应熟悉消防设备的性能和使用方法；</w:t>
      </w:r>
    </w:p>
    <w:p w14:paraId="19428747">
      <w:pPr>
        <w:autoSpaceDE w:val="0"/>
        <w:autoSpaceDN w:val="0"/>
        <w:spacing w:line="360" w:lineRule="auto"/>
        <w:ind w:left="384" w:right="466" w:firstLine="368" w:firstLineChars="200"/>
        <w:rPr>
          <w:rFonts w:ascii="宋体" w:hAnsi="宋体" w:cs="宋体"/>
          <w:kern w:val="0"/>
          <w:sz w:val="24"/>
          <w:szCs w:val="24"/>
          <w:lang w:val="zh-CN" w:bidi="zh-CN"/>
        </w:rPr>
      </w:pPr>
      <w:r>
        <w:rPr>
          <w:rFonts w:ascii="宋体" w:hAnsi="宋体" w:cs="宋体"/>
          <w:spacing w:val="-28"/>
          <w:kern w:val="0"/>
          <w:sz w:val="24"/>
          <w:szCs w:val="24"/>
          <w:lang w:val="zh-CN" w:bidi="zh-CN"/>
        </w:rPr>
        <w:t>（4）</w:t>
      </w:r>
      <w:r>
        <w:rPr>
          <w:rFonts w:ascii="宋体" w:hAnsi="宋体" w:cs="宋体"/>
          <w:kern w:val="0"/>
          <w:sz w:val="24"/>
          <w:szCs w:val="24"/>
          <w:lang w:val="zh-CN" w:bidi="zh-CN"/>
        </w:rPr>
        <w:t>承包人应严格按照国家安全标准关于公路工程施工安全技术规范制定的施工安全操作规程，配备必要的安全生产和劳动保护设施，加强对承包人人员的安全教育，并发放安全工作手册和劳动保护用具。由于承包人原因在施工场地内及其毗邻地带造成的第三者人员伤亡和财产损失，由承包人负责赔偿；</w:t>
      </w:r>
    </w:p>
    <w:p w14:paraId="35E662DF">
      <w:pPr>
        <w:autoSpaceDE w:val="0"/>
        <w:autoSpaceDN w:val="0"/>
        <w:spacing w:line="360" w:lineRule="auto"/>
        <w:ind w:left="384" w:right="466" w:firstLine="420" w:firstLineChars="200"/>
        <w:rPr>
          <w:rFonts w:ascii="宋体" w:hAnsi="宋体" w:cs="宋体"/>
          <w:kern w:val="0"/>
          <w:sz w:val="24"/>
          <w:szCs w:val="24"/>
          <w:lang w:val="zh-CN" w:bidi="zh-CN"/>
        </w:rPr>
      </w:pPr>
      <w:r>
        <w:rPr>
          <w:rFonts w:ascii="宋体" w:hAnsi="宋体" w:cs="宋体"/>
          <w:spacing w:val="-15"/>
          <w:kern w:val="0"/>
          <w:sz w:val="24"/>
          <w:szCs w:val="24"/>
          <w:lang w:val="zh-CN" w:bidi="zh-CN"/>
        </w:rPr>
        <w:t>（5）</w:t>
      </w:r>
      <w:r>
        <w:rPr>
          <w:rFonts w:ascii="宋体" w:hAnsi="宋体" w:cs="宋体"/>
          <w:spacing w:val="-2"/>
          <w:kern w:val="0"/>
          <w:sz w:val="24"/>
          <w:szCs w:val="24"/>
          <w:lang w:val="zh-CN" w:bidi="zh-CN"/>
        </w:rPr>
        <w:t>所有施工机具设备和高空作业的设备均应定期检查，并有安全员的签字记录。</w:t>
      </w:r>
    </w:p>
    <w:p w14:paraId="60362D64">
      <w:pPr>
        <w:autoSpaceDE w:val="0"/>
        <w:autoSpaceDN w:val="0"/>
        <w:spacing w:before="1" w:line="360" w:lineRule="auto"/>
        <w:ind w:left="384" w:right="346" w:firstLine="440" w:firstLineChars="200"/>
        <w:jc w:val="left"/>
        <w:rPr>
          <w:rFonts w:ascii="宋体" w:hAnsi="宋体" w:cs="宋体"/>
          <w:kern w:val="0"/>
          <w:sz w:val="24"/>
          <w:szCs w:val="24"/>
          <w:lang w:val="zh-CN" w:bidi="zh-CN"/>
        </w:rPr>
      </w:pPr>
      <w:r>
        <w:rPr>
          <w:rFonts w:ascii="宋体" w:hAnsi="宋体" w:cs="宋体"/>
          <w:spacing w:val="-10"/>
          <w:kern w:val="0"/>
          <w:sz w:val="24"/>
          <w:szCs w:val="24"/>
          <w:lang w:val="zh-CN" w:bidi="zh-CN"/>
        </w:rPr>
        <w:t>（6）</w:t>
      </w:r>
      <w:r>
        <w:rPr>
          <w:rFonts w:ascii="宋体" w:hAnsi="宋体" w:cs="宋体"/>
          <w:spacing w:val="-4"/>
          <w:kern w:val="0"/>
          <w:sz w:val="24"/>
          <w:szCs w:val="24"/>
          <w:lang w:val="zh-CN" w:bidi="zh-CN"/>
        </w:rPr>
        <w:t>除项目专用合同条款另有约定外，安全生产费用应为投标价</w:t>
      </w:r>
      <w:r>
        <w:rPr>
          <w:rFonts w:ascii="宋体" w:hAnsi="宋体" w:cs="宋体"/>
          <w:kern w:val="0"/>
          <w:sz w:val="24"/>
          <w:szCs w:val="24"/>
          <w:lang w:val="zh-CN" w:bidi="zh-CN"/>
        </w:rPr>
        <w:t>（不含安全生</w:t>
      </w:r>
      <w:r>
        <w:rPr>
          <w:rFonts w:ascii="宋体" w:hAnsi="宋体" w:cs="宋体"/>
          <w:spacing w:val="2"/>
          <w:kern w:val="0"/>
          <w:sz w:val="24"/>
          <w:szCs w:val="24"/>
          <w:lang w:val="zh-CN" w:bidi="zh-CN"/>
        </w:rPr>
        <w:t>产费</w:t>
      </w:r>
      <w:r>
        <w:rPr>
          <w:rFonts w:ascii="宋体" w:hAnsi="宋体" w:cs="宋体"/>
          <w:spacing w:val="4"/>
          <w:kern w:val="0"/>
          <w:sz w:val="24"/>
          <w:szCs w:val="24"/>
          <w:lang w:val="zh-CN" w:bidi="zh-CN"/>
        </w:rPr>
        <w:t>）</w:t>
      </w:r>
      <w:r>
        <w:rPr>
          <w:rFonts w:ascii="宋体" w:hAnsi="宋体" w:cs="宋体"/>
          <w:spacing w:val="-25"/>
          <w:kern w:val="0"/>
          <w:sz w:val="24"/>
          <w:szCs w:val="24"/>
          <w:lang w:val="zh-CN" w:bidi="zh-CN"/>
        </w:rPr>
        <w:t xml:space="preserve">的 </w:t>
      </w:r>
      <w:r>
        <w:rPr>
          <w:rFonts w:ascii="宋体" w:hAnsi="宋体" w:cs="宋体"/>
          <w:kern w:val="0"/>
          <w:sz w:val="24"/>
          <w:szCs w:val="24"/>
          <w:lang w:val="zh-CN" w:bidi="zh-CN"/>
        </w:rPr>
        <w:t>1.5%（</w:t>
      </w:r>
      <w:r>
        <w:rPr>
          <w:rFonts w:ascii="宋体" w:hAnsi="宋体" w:cs="宋体"/>
          <w:spacing w:val="-3"/>
          <w:kern w:val="0"/>
          <w:sz w:val="24"/>
          <w:szCs w:val="24"/>
          <w:lang w:val="zh-CN" w:bidi="zh-CN"/>
        </w:rPr>
        <w:t xml:space="preserve">若发包人公布了最高投标限价时，按最高投标限价的 </w:t>
      </w:r>
      <w:r>
        <w:rPr>
          <w:rFonts w:ascii="宋体" w:hAnsi="宋体" w:cs="宋体"/>
          <w:kern w:val="0"/>
          <w:sz w:val="24"/>
          <w:szCs w:val="24"/>
          <w:lang w:val="zh-CN" w:bidi="zh-CN"/>
        </w:rPr>
        <w:t>1.5%</w:t>
      </w:r>
      <w:r>
        <w:rPr>
          <w:rFonts w:ascii="宋体" w:hAnsi="宋体" w:cs="宋体"/>
          <w:spacing w:val="4"/>
          <w:kern w:val="0"/>
          <w:sz w:val="24"/>
          <w:szCs w:val="24"/>
          <w:lang w:val="zh-CN" w:bidi="zh-CN"/>
        </w:rPr>
        <w:t>计</w:t>
      </w:r>
      <w:r>
        <w:rPr>
          <w:rFonts w:ascii="宋体" w:hAnsi="宋体" w:cs="宋体"/>
          <w:kern w:val="0"/>
          <w:sz w:val="24"/>
          <w:szCs w:val="24"/>
          <w:lang w:val="zh-CN" w:bidi="zh-CN"/>
        </w:rPr>
        <w:t>）。</w:t>
      </w:r>
      <w:r>
        <w:rPr>
          <w:rFonts w:ascii="宋体" w:hAnsi="宋体" w:cs="宋体"/>
          <w:spacing w:val="-4"/>
          <w:kern w:val="0"/>
          <w:sz w:val="24"/>
          <w:szCs w:val="24"/>
          <w:lang w:val="zh-CN" w:bidi="zh-CN"/>
        </w:rPr>
        <w:t>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 由监理人商定或确定。</w:t>
      </w:r>
    </w:p>
    <w:p w14:paraId="3E32DF4E">
      <w:pPr>
        <w:numPr>
          <w:ilvl w:val="0"/>
          <w:numId w:val="0"/>
        </w:numPr>
        <w:tabs>
          <w:tab w:val="left" w:pos="1529"/>
        </w:tabs>
        <w:autoSpaceDE w:val="0"/>
        <w:autoSpaceDN w:val="0"/>
        <w:spacing w:before="5" w:line="360" w:lineRule="auto"/>
        <w:ind w:leftChars="200" w:right="465" w:rightChars="0" w:firstLine="480" w:firstLineChars="200"/>
        <w:rPr>
          <w:rFonts w:ascii="宋体" w:hAnsi="宋体" w:cs="宋体"/>
          <w:kern w:val="0"/>
          <w:sz w:val="24"/>
          <w:szCs w:val="24"/>
          <w:lang w:val="zh-CN" w:bidi="zh-CN"/>
        </w:rPr>
      </w:pPr>
      <w:r>
        <w:rPr>
          <w:rFonts w:hint="eastAsia" w:ascii="宋体" w:hAnsi="宋体" w:cs="宋体"/>
          <w:kern w:val="0"/>
          <w:sz w:val="24"/>
          <w:szCs w:val="24"/>
          <w:lang w:val="en-US" w:bidi="zh-CN"/>
        </w:rPr>
        <w:t>13.3</w:t>
      </w:r>
      <w:r>
        <w:rPr>
          <w:rFonts w:ascii="宋体" w:hAnsi="宋体" w:cs="宋体"/>
          <w:kern w:val="0"/>
          <w:sz w:val="24"/>
          <w:szCs w:val="24"/>
          <w:lang w:val="zh-CN" w:bidi="zh-CN"/>
        </w:rPr>
        <w:t>为了保护本合同工程免遭破坏或为了现场附近过往人群的安全、方便， 在确有必要的时间和地方，当监理人或有关主管部门要求时，应自费提供照明、警卫、护栅、警告标志等安全防护措施。发包人或监理人不得以任何理由要求承包人违反安全管理的规定进行施工，由此导致的安全事故，由发包人承担相应责任及发生的费用。</w:t>
      </w:r>
    </w:p>
    <w:p w14:paraId="6EE083C5">
      <w:pPr>
        <w:numPr>
          <w:ilvl w:val="0"/>
          <w:numId w:val="0"/>
        </w:numPr>
        <w:tabs>
          <w:tab w:val="left" w:pos="1529"/>
        </w:tabs>
        <w:autoSpaceDE w:val="0"/>
        <w:autoSpaceDN w:val="0"/>
        <w:spacing w:before="4" w:line="360" w:lineRule="auto"/>
        <w:ind w:leftChars="200" w:right="465" w:rightChars="0" w:firstLine="480" w:firstLineChars="200"/>
        <w:rPr>
          <w:rFonts w:ascii="宋体" w:hAnsi="宋体" w:cs="宋体"/>
          <w:kern w:val="0"/>
          <w:sz w:val="24"/>
          <w:szCs w:val="24"/>
          <w:lang w:val="zh-CN" w:bidi="zh-CN"/>
        </w:rPr>
      </w:pPr>
      <w:r>
        <w:rPr>
          <w:rFonts w:hint="eastAsia" w:ascii="宋体" w:hAnsi="宋体" w:cs="宋体"/>
          <w:kern w:val="0"/>
          <w:sz w:val="24"/>
          <w:szCs w:val="24"/>
          <w:lang w:val="en-US" w:bidi="zh-CN"/>
        </w:rPr>
        <w:t>13.4</w:t>
      </w:r>
      <w:r>
        <w:rPr>
          <w:rFonts w:ascii="宋体" w:hAnsi="宋体" w:cs="宋体"/>
          <w:kern w:val="0"/>
          <w:sz w:val="24"/>
          <w:szCs w:val="24"/>
          <w:lang w:val="zh-CN" w:bidi="zh-CN"/>
        </w:rPr>
        <w:t>承包人应按监理人的指示制定应对灾害的紧急预案，报送监理人审批。承包人还应按预案做好安全检查，配置必要的救助物资和器材，切实保护好有关人员的人身和财产安全。</w:t>
      </w:r>
    </w:p>
    <w:p w14:paraId="43FCCCED">
      <w:pPr>
        <w:numPr>
          <w:ilvl w:val="0"/>
          <w:numId w:val="0"/>
        </w:numPr>
        <w:tabs>
          <w:tab w:val="left" w:pos="1529"/>
        </w:tabs>
        <w:autoSpaceDE w:val="0"/>
        <w:autoSpaceDN w:val="0"/>
        <w:spacing w:before="1" w:line="360" w:lineRule="auto"/>
        <w:ind w:leftChars="200" w:right="467" w:rightChars="0" w:firstLine="480" w:firstLineChars="200"/>
        <w:rPr>
          <w:rFonts w:ascii="宋体" w:hAnsi="宋体" w:cs="宋体"/>
          <w:kern w:val="0"/>
          <w:sz w:val="24"/>
          <w:szCs w:val="24"/>
          <w:lang w:val="zh-CN" w:bidi="zh-CN"/>
        </w:rPr>
      </w:pPr>
      <w:r>
        <w:rPr>
          <w:rFonts w:hint="eastAsia" w:ascii="宋体" w:hAnsi="宋体" w:cs="宋体"/>
          <w:kern w:val="0"/>
          <w:sz w:val="24"/>
          <w:szCs w:val="24"/>
          <w:lang w:val="en-US" w:bidi="zh-CN"/>
        </w:rPr>
        <w:t>13.5</w:t>
      </w:r>
      <w:r>
        <w:rPr>
          <w:rFonts w:ascii="宋体" w:hAnsi="宋体" w:cs="宋体"/>
          <w:kern w:val="0"/>
          <w:sz w:val="24"/>
          <w:szCs w:val="24"/>
          <w:lang w:val="zh-CN" w:bidi="zh-CN"/>
        </w:rPr>
        <w:t>合同约定的安全作业环境及安全施工措施所需费用应遵守有关规定，并包括在相关工作的合同价格中。</w:t>
      </w:r>
    </w:p>
    <w:p w14:paraId="184392EF">
      <w:pPr>
        <w:numPr>
          <w:ilvl w:val="0"/>
          <w:numId w:val="0"/>
        </w:numPr>
        <w:tabs>
          <w:tab w:val="left" w:pos="1529"/>
        </w:tabs>
        <w:autoSpaceDE w:val="0"/>
        <w:autoSpaceDN w:val="0"/>
        <w:spacing w:line="360" w:lineRule="auto"/>
        <w:ind w:leftChars="200" w:right="467" w:rightChars="0" w:firstLine="480" w:firstLineChars="200"/>
        <w:rPr>
          <w:rFonts w:ascii="宋体" w:hAnsi="宋体" w:cs="宋体"/>
          <w:kern w:val="0"/>
          <w:sz w:val="24"/>
          <w:szCs w:val="24"/>
          <w:lang w:val="zh-CN" w:bidi="zh-CN"/>
        </w:rPr>
      </w:pPr>
      <w:r>
        <w:rPr>
          <w:rFonts w:hint="eastAsia" w:ascii="宋体" w:hAnsi="宋体" w:cs="宋体"/>
          <w:kern w:val="0"/>
          <w:sz w:val="24"/>
          <w:szCs w:val="24"/>
          <w:lang w:val="en-US" w:bidi="zh-CN"/>
        </w:rPr>
        <w:t>13.6</w:t>
      </w:r>
      <w:r>
        <w:rPr>
          <w:rFonts w:ascii="宋体" w:hAnsi="宋体" w:cs="宋体"/>
          <w:kern w:val="0"/>
          <w:sz w:val="24"/>
          <w:szCs w:val="24"/>
          <w:lang w:val="zh-CN" w:bidi="zh-CN"/>
        </w:rPr>
        <w:t>承包人应充分关注和保障所有在现场工作的人员安全，采取有效措施， 使现场和本合同工程的实施保持有条不紊，以免使上述人员的安全受到威胁。</w:t>
      </w:r>
    </w:p>
    <w:p w14:paraId="4E2D38C6">
      <w:pPr>
        <w:numPr>
          <w:ilvl w:val="0"/>
          <w:numId w:val="0"/>
        </w:numPr>
        <w:tabs>
          <w:tab w:val="left" w:pos="1529"/>
        </w:tabs>
        <w:autoSpaceDE w:val="0"/>
        <w:autoSpaceDN w:val="0"/>
        <w:spacing w:before="67" w:line="360" w:lineRule="auto"/>
        <w:ind w:left="479" w:leftChars="228" w:right="465" w:rightChars="0" w:firstLine="480" w:firstLineChars="200"/>
        <w:rPr>
          <w:rFonts w:ascii="宋体" w:hAnsi="宋体" w:cs="宋体"/>
          <w:kern w:val="0"/>
          <w:sz w:val="24"/>
          <w:szCs w:val="24"/>
          <w:lang w:val="zh-CN" w:bidi="zh-CN"/>
        </w:rPr>
      </w:pPr>
      <w:r>
        <w:rPr>
          <w:rFonts w:hint="eastAsia" w:ascii="宋体" w:hAnsi="宋体" w:cs="宋体"/>
          <w:kern w:val="0"/>
          <w:sz w:val="24"/>
          <w:szCs w:val="24"/>
          <w:lang w:val="en-US" w:bidi="zh-CN"/>
        </w:rPr>
        <w:t>13.7</w:t>
      </w:r>
      <w:r>
        <w:rPr>
          <w:rFonts w:ascii="宋体" w:hAnsi="宋体" w:cs="宋体"/>
          <w:kern w:val="0"/>
          <w:sz w:val="24"/>
          <w:szCs w:val="24"/>
          <w:lang w:val="zh-CN" w:bidi="zh-CN"/>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5A4EE815">
      <w:pPr>
        <w:tabs>
          <w:tab w:val="left" w:pos="1523"/>
          <w:tab w:val="left" w:pos="1524"/>
        </w:tabs>
        <w:autoSpaceDE w:val="0"/>
        <w:autoSpaceDN w:val="0"/>
        <w:spacing w:line="360" w:lineRule="auto"/>
        <w:ind w:firstLine="960" w:firstLineChars="400"/>
        <w:jc w:val="left"/>
        <w:rPr>
          <w:rFonts w:ascii="宋体" w:hAnsi="宋体" w:cs="宋体"/>
          <w:kern w:val="0"/>
          <w:sz w:val="24"/>
          <w:szCs w:val="24"/>
          <w:lang w:val="zh-CN" w:bidi="zh-CN"/>
        </w:rPr>
      </w:pPr>
      <w:r>
        <w:rPr>
          <w:rFonts w:hint="eastAsia" w:ascii="宋体" w:hAnsi="宋体" w:cs="宋体"/>
          <w:kern w:val="0"/>
          <w:sz w:val="24"/>
          <w:szCs w:val="24"/>
          <w:lang w:val="zh-CN" w:bidi="zh-CN"/>
        </w:rPr>
        <w:t>13.8</w:t>
      </w:r>
      <w:r>
        <w:rPr>
          <w:rFonts w:ascii="宋体" w:hAnsi="宋体" w:cs="宋体"/>
          <w:kern w:val="0"/>
          <w:sz w:val="24"/>
          <w:szCs w:val="24"/>
          <w:lang w:val="zh-CN" w:bidi="zh-CN"/>
        </w:rPr>
        <w:t>治安保卫</w:t>
      </w:r>
    </w:p>
    <w:p w14:paraId="3F3FEBED">
      <w:pPr>
        <w:autoSpaceDE w:val="0"/>
        <w:autoSpaceDN w:val="0"/>
        <w:spacing w:before="74" w:line="360" w:lineRule="auto"/>
        <w:ind w:left="384" w:right="38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（1）发包人应与当地公安部门协商，在现场建立治安管理机构或联防组织，统一管理施工场地的治安保卫事项，履行合同工程的治安保卫职责；</w:t>
      </w:r>
    </w:p>
    <w:p w14:paraId="66ED9067">
      <w:pPr>
        <w:autoSpaceDE w:val="0"/>
        <w:autoSpaceDN w:val="0"/>
        <w:spacing w:before="3" w:line="360" w:lineRule="auto"/>
        <w:ind w:left="384" w:right="38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（2）发包人和承包人除应协助现场治安管理机构或联防组织维护施工场地的社会治安外，还应做好包括生活区在内的各自管辖区的治安保卫工作；</w:t>
      </w:r>
    </w:p>
    <w:p w14:paraId="5C73F982">
      <w:pPr>
        <w:autoSpaceDE w:val="0"/>
        <w:autoSpaceDN w:val="0"/>
        <w:spacing w:before="1" w:line="360" w:lineRule="auto"/>
        <w:ind w:left="384" w:right="346" w:firstLine="440" w:firstLineChars="200"/>
        <w:jc w:val="left"/>
        <w:rPr>
          <w:rFonts w:ascii="宋体" w:hAnsi="宋体" w:cs="宋体"/>
          <w:kern w:val="0"/>
          <w:sz w:val="24"/>
          <w:szCs w:val="24"/>
          <w:lang w:val="zh-CN" w:bidi="zh-CN"/>
        </w:rPr>
      </w:pPr>
      <w:r>
        <w:rPr>
          <w:rFonts w:ascii="宋体" w:hAnsi="宋体" w:cs="宋体"/>
          <w:spacing w:val="-10"/>
          <w:kern w:val="0"/>
          <w:sz w:val="24"/>
          <w:szCs w:val="24"/>
          <w:lang w:val="zh-CN" w:bidi="zh-CN"/>
        </w:rPr>
        <w:t>（3）</w:t>
      </w:r>
      <w:r>
        <w:rPr>
          <w:rFonts w:ascii="宋体" w:hAnsi="宋体" w:cs="宋体"/>
          <w:spacing w:val="-3"/>
          <w:kern w:val="0"/>
          <w:sz w:val="24"/>
          <w:szCs w:val="24"/>
          <w:lang w:val="zh-CN" w:bidi="zh-CN"/>
        </w:rPr>
        <w:t>发包人和承包人应在工程开工后，共同编制施工场地治安管理计划，并制</w:t>
      </w:r>
      <w:r>
        <w:rPr>
          <w:rFonts w:ascii="宋体" w:hAnsi="宋体" w:cs="宋体"/>
          <w:spacing w:val="-7"/>
          <w:kern w:val="0"/>
          <w:sz w:val="24"/>
          <w:szCs w:val="24"/>
          <w:lang w:val="zh-CN" w:bidi="zh-CN"/>
        </w:rPr>
        <w:t xml:space="preserve">定应对突发治安事件的紧急预案。在工程施工过程中，发生暴乱、爆炸等恐怖事件， </w:t>
      </w:r>
      <w:r>
        <w:rPr>
          <w:rFonts w:ascii="宋体" w:hAnsi="宋体" w:cs="宋体"/>
          <w:spacing w:val="-11"/>
          <w:kern w:val="0"/>
          <w:sz w:val="24"/>
          <w:szCs w:val="24"/>
          <w:lang w:val="zh-CN" w:bidi="zh-CN"/>
        </w:rPr>
        <w:t>以及群殴、械斗等群体性突发治安事件的，发包人和承包人应立即向当地政府报告。发包人和承包人应积极协助当地有关部门采取措施平息事态，防止事态扩大，尽量减少财产损失和避免人员伤亡。</w:t>
      </w:r>
    </w:p>
    <w:p w14:paraId="3CD59C18">
      <w:pPr>
        <w:keepLines/>
        <w:widowControl/>
        <w:tabs>
          <w:tab w:val="left" w:pos="567"/>
        </w:tabs>
        <w:autoSpaceDE w:val="0"/>
        <w:autoSpaceDN w:val="0"/>
        <w:spacing w:before="120" w:after="120" w:line="360" w:lineRule="auto"/>
        <w:ind w:left="567"/>
        <w:jc w:val="left"/>
        <w:outlineLvl w:val="3"/>
        <w:rPr>
          <w:rFonts w:ascii="宋体" w:hAnsi="宋体"/>
          <w:b/>
          <w:bCs/>
          <w:kern w:val="0"/>
          <w:sz w:val="24"/>
          <w:szCs w:val="24"/>
          <w:lang w:val="zh-CN" w:bidi="zh-CN"/>
        </w:rPr>
      </w:pPr>
      <w:r>
        <w:rPr>
          <w:rFonts w:ascii="宋体" w:hAnsi="宋体"/>
          <w:b/>
          <w:bCs/>
          <w:kern w:val="0"/>
          <w:sz w:val="24"/>
          <w:szCs w:val="24"/>
          <w:lang w:val="zh-CN" w:bidi="zh-CN"/>
        </w:rPr>
        <w:t>14.环境保护</w:t>
      </w:r>
    </w:p>
    <w:p w14:paraId="18A9C312">
      <w:pPr>
        <w:numPr>
          <w:ilvl w:val="0"/>
          <w:numId w:val="0"/>
        </w:numPr>
        <w:tabs>
          <w:tab w:val="left" w:pos="1529"/>
        </w:tabs>
        <w:autoSpaceDE w:val="0"/>
        <w:autoSpaceDN w:val="0"/>
        <w:spacing w:line="360" w:lineRule="auto"/>
        <w:ind w:leftChars="200" w:right="465" w:rightChars="0" w:firstLine="480" w:firstLineChars="200"/>
        <w:rPr>
          <w:rFonts w:ascii="宋体" w:hAnsi="宋体" w:cs="宋体"/>
          <w:kern w:val="0"/>
          <w:sz w:val="24"/>
          <w:szCs w:val="24"/>
          <w:lang w:val="zh-CN" w:bidi="zh-CN"/>
        </w:rPr>
      </w:pPr>
      <w:r>
        <w:rPr>
          <w:rFonts w:hint="eastAsia" w:ascii="宋体" w:hAnsi="宋体" w:cs="宋体"/>
          <w:kern w:val="0"/>
          <w:sz w:val="24"/>
          <w:szCs w:val="24"/>
          <w:lang w:val="en-US" w:bidi="zh-CN"/>
        </w:rPr>
        <w:t>14.1</w:t>
      </w:r>
      <w:r>
        <w:rPr>
          <w:rFonts w:ascii="宋体" w:hAnsi="宋体" w:cs="宋体"/>
          <w:kern w:val="0"/>
          <w:sz w:val="24"/>
          <w:szCs w:val="24"/>
          <w:lang w:val="zh-CN" w:bidi="zh-CN"/>
        </w:rPr>
        <w:t>承包人在施工过程中，应遵守有关环境保护的法律，并切实执行环境保护方面的要求和规定，并对违反法律和合同约定的义务所造成的环境破坏、人为伤害和财产损失负责。</w:t>
      </w:r>
    </w:p>
    <w:p w14:paraId="6C2E2BC3">
      <w:pPr>
        <w:autoSpaceDE w:val="0"/>
        <w:autoSpaceDN w:val="0"/>
        <w:spacing w:line="360" w:lineRule="auto"/>
        <w:ind w:left="384" w:right="466" w:firstLine="440" w:firstLineChars="200"/>
        <w:rPr>
          <w:rFonts w:ascii="宋体" w:hAnsi="宋体" w:cs="宋体"/>
          <w:kern w:val="0"/>
          <w:sz w:val="24"/>
          <w:szCs w:val="24"/>
          <w:lang w:val="zh-CN" w:bidi="zh-CN"/>
        </w:rPr>
      </w:pPr>
      <w:r>
        <w:rPr>
          <w:rFonts w:ascii="宋体" w:hAnsi="宋体" w:cs="宋体"/>
          <w:spacing w:val="-10"/>
          <w:kern w:val="0"/>
          <w:sz w:val="24"/>
          <w:szCs w:val="24"/>
          <w:lang w:val="zh-CN" w:bidi="zh-CN"/>
        </w:rPr>
        <w:t>（1）</w:t>
      </w:r>
      <w:r>
        <w:rPr>
          <w:rFonts w:ascii="宋体" w:hAnsi="宋体" w:cs="宋体"/>
          <w:spacing w:val="-4"/>
          <w:kern w:val="0"/>
          <w:sz w:val="24"/>
          <w:szCs w:val="24"/>
          <w:lang w:val="zh-CN" w:bidi="zh-CN"/>
        </w:rPr>
        <w:t>对于来自施工机械和运输车辆的施工噪声，应遵守《中华人民共和国环境噪声污染防治法》并依据《工业企业噪声卫生标准》合理安排工作人员轮流操作筑路机械，减少接触高噪声的时间或穿插安排高噪声的工作。对距噪声源较近的施工人员，除取得防护罩或头盔等有效措施外并应当缩短其劳动时间保护施工人员的健</w:t>
      </w:r>
      <w:r>
        <w:rPr>
          <w:rFonts w:ascii="宋体" w:hAnsi="宋体" w:cs="宋体"/>
          <w:spacing w:val="-5"/>
          <w:kern w:val="0"/>
          <w:sz w:val="24"/>
          <w:szCs w:val="24"/>
          <w:lang w:val="zh-CN" w:bidi="zh-CN"/>
        </w:rPr>
        <w:t xml:space="preserve">康。为保护施工现场附近的居民的夜间休息，对居民区 </w:t>
      </w:r>
      <w:r>
        <w:rPr>
          <w:rFonts w:ascii="宋体" w:hAnsi="宋体" w:cs="宋体"/>
          <w:kern w:val="0"/>
          <w:sz w:val="24"/>
          <w:szCs w:val="24"/>
          <w:lang w:val="zh-CN" w:bidi="zh-CN"/>
        </w:rPr>
        <w:t>150m 以内的施工现场、施工时间应加以控制。同时，要注意对机械的经常性保养，尽量使其噪声降低到最低水平；</w:t>
      </w:r>
    </w:p>
    <w:p w14:paraId="417549FE">
      <w:pPr>
        <w:autoSpaceDE w:val="0"/>
        <w:autoSpaceDN w:val="0"/>
        <w:spacing w:before="7" w:line="360" w:lineRule="auto"/>
        <w:ind w:left="384" w:right="38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（2）应采取有效措施减轻施工现场的灰土拌合、施工车辆和筑路机械运转和运输产生的扬尘污染，保护人民健康，如：</w:t>
      </w:r>
    </w:p>
    <w:p w14:paraId="4CE0772A">
      <w:pPr>
        <w:autoSpaceDE w:val="0"/>
        <w:autoSpaceDN w:val="0"/>
        <w:spacing w:before="1" w:line="360" w:lineRule="auto"/>
        <w:ind w:left="864"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—拌合设备应有较好密封或有防尘设备。</w:t>
      </w:r>
    </w:p>
    <w:p w14:paraId="5BC27705">
      <w:pPr>
        <w:autoSpaceDE w:val="0"/>
        <w:autoSpaceDN w:val="0"/>
        <w:spacing w:before="87" w:line="360" w:lineRule="auto"/>
        <w:ind w:left="864"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—施工道路、沥青混凝土拌合站及稳定灰土拌合站应经常进行洒水处理。</w:t>
      </w:r>
    </w:p>
    <w:p w14:paraId="49986AED">
      <w:pPr>
        <w:autoSpaceDE w:val="0"/>
        <w:autoSpaceDN w:val="0"/>
        <w:spacing w:before="83" w:line="360" w:lineRule="auto"/>
        <w:ind w:left="864"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—路面施工应注意保持水分，以免扬尘。</w:t>
      </w:r>
    </w:p>
    <w:p w14:paraId="55A391BF">
      <w:pPr>
        <w:autoSpaceDE w:val="0"/>
        <w:autoSpaceDN w:val="0"/>
        <w:spacing w:before="84" w:line="360" w:lineRule="auto"/>
        <w:ind w:left="864"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—桥梁钻孔灌注桩施工时排除的泥浆要作妥善处理，严禁向河流或农田排放；</w:t>
      </w:r>
    </w:p>
    <w:p w14:paraId="4DFA4B96">
      <w:pPr>
        <w:autoSpaceDE w:val="0"/>
        <w:autoSpaceDN w:val="0"/>
        <w:spacing w:before="86" w:line="360" w:lineRule="auto"/>
        <w:ind w:left="384" w:right="38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（3）采取可靠措施保证原有交通的正常通行和维护沿线村镇的居民饮水、农田灌溉、生产生活用电及通讯等管线的正常使用。</w:t>
      </w:r>
    </w:p>
    <w:p w14:paraId="35715C00">
      <w:pPr>
        <w:numPr>
          <w:ilvl w:val="0"/>
          <w:numId w:val="0"/>
        </w:numPr>
        <w:tabs>
          <w:tab w:val="left" w:pos="1529"/>
        </w:tabs>
        <w:autoSpaceDE w:val="0"/>
        <w:autoSpaceDN w:val="0"/>
        <w:spacing w:before="74" w:line="360" w:lineRule="auto"/>
        <w:ind w:leftChars="200" w:right="465" w:rightChars="0" w:firstLine="480" w:firstLineChars="200"/>
        <w:rPr>
          <w:rFonts w:ascii="宋体" w:hAnsi="宋体" w:cs="宋体"/>
          <w:kern w:val="0"/>
          <w:sz w:val="24"/>
          <w:szCs w:val="24"/>
          <w:lang w:val="zh-CN" w:bidi="zh-CN"/>
        </w:rPr>
      </w:pPr>
      <w:r>
        <w:rPr>
          <w:rFonts w:hint="eastAsia" w:ascii="宋体" w:hAnsi="宋体" w:cs="宋体"/>
          <w:kern w:val="0"/>
          <w:sz w:val="24"/>
          <w:szCs w:val="24"/>
          <w:lang w:val="en-US" w:bidi="zh-CN"/>
        </w:rPr>
        <w:t>14.2</w:t>
      </w:r>
      <w:r>
        <w:rPr>
          <w:rFonts w:ascii="宋体" w:hAnsi="宋体" w:cs="宋体"/>
          <w:kern w:val="0"/>
          <w:sz w:val="24"/>
          <w:szCs w:val="24"/>
          <w:lang w:val="zh-CN" w:bidi="zh-CN"/>
        </w:rPr>
        <w:t>承包人应按合同约定的环保工作内容，编制施工环保措施计划，报送监理人审批。在施工期间，承包人应合理设置取土场和弃土场，做好施工防护措施， 防止水土流失。施工过程中要采取有效措施防止污染农田，项目完工后承包人应将临时占地自费恢复到临时占地使用前的状况。</w:t>
      </w:r>
    </w:p>
    <w:p w14:paraId="0BEE47BA">
      <w:pPr>
        <w:numPr>
          <w:ilvl w:val="0"/>
          <w:numId w:val="0"/>
        </w:numPr>
        <w:tabs>
          <w:tab w:val="left" w:pos="1528"/>
          <w:tab w:val="left" w:pos="1529"/>
        </w:tabs>
        <w:autoSpaceDE w:val="0"/>
        <w:autoSpaceDN w:val="0"/>
        <w:spacing w:line="360" w:lineRule="auto"/>
        <w:ind w:leftChars="200" w:right="346" w:rightChars="0" w:firstLine="480" w:firstLineChars="200"/>
        <w:jc w:val="left"/>
        <w:rPr>
          <w:rFonts w:ascii="宋体" w:hAnsi="宋体" w:cs="宋体"/>
          <w:kern w:val="0"/>
          <w:sz w:val="24"/>
          <w:szCs w:val="24"/>
          <w:lang w:val="zh-CN" w:bidi="zh-CN"/>
        </w:rPr>
      </w:pPr>
      <w:r>
        <w:rPr>
          <w:rFonts w:hint="eastAsia" w:ascii="宋体" w:hAnsi="宋体" w:cs="宋体"/>
          <w:kern w:val="0"/>
          <w:sz w:val="24"/>
          <w:szCs w:val="24"/>
          <w:lang w:val="en-US" w:bidi="zh-CN"/>
        </w:rPr>
        <w:t>14.3</w:t>
      </w:r>
      <w:r>
        <w:rPr>
          <w:rFonts w:ascii="宋体" w:hAnsi="宋体" w:cs="宋体"/>
          <w:kern w:val="0"/>
          <w:sz w:val="24"/>
          <w:szCs w:val="24"/>
          <w:lang w:val="zh-CN" w:bidi="zh-CN"/>
        </w:rPr>
        <w:t>承包人应严格按照国家有关法规要求，做好施工过程中的生态保护和水土保持工作。施工中要尽可能减少对原地面的扰动，减少对地面草木的破坏，需要</w:t>
      </w:r>
      <w:r>
        <w:rPr>
          <w:rFonts w:ascii="宋体" w:hAnsi="宋体" w:cs="宋体"/>
          <w:spacing w:val="-8"/>
          <w:kern w:val="0"/>
          <w:sz w:val="24"/>
          <w:szCs w:val="24"/>
          <w:lang w:val="zh-CN" w:bidi="zh-CN"/>
        </w:rPr>
        <w:t>爆破作业的，应按规定进行控爆设计。加强施工便道的管理，严禁在指定的取</w:t>
      </w:r>
      <w:r>
        <w:rPr>
          <w:rFonts w:ascii="宋体" w:hAnsi="宋体" w:cs="宋体"/>
          <w:spacing w:val="-3"/>
          <w:kern w:val="0"/>
          <w:sz w:val="24"/>
          <w:szCs w:val="24"/>
          <w:lang w:val="zh-CN" w:bidi="zh-CN"/>
        </w:rPr>
        <w:t>（</w:t>
      </w:r>
      <w:r>
        <w:rPr>
          <w:rFonts w:ascii="宋体" w:hAnsi="宋体" w:cs="宋体"/>
          <w:kern w:val="0"/>
          <w:sz w:val="24"/>
          <w:szCs w:val="24"/>
          <w:lang w:val="zh-CN" w:bidi="zh-CN"/>
        </w:rPr>
        <w:t>弃） 土场以外的地方乱挖乱弃。</w:t>
      </w:r>
    </w:p>
    <w:p w14:paraId="67D62596">
      <w:pPr>
        <w:numPr>
          <w:ilvl w:val="0"/>
          <w:numId w:val="0"/>
        </w:numPr>
        <w:tabs>
          <w:tab w:val="left" w:pos="1529"/>
        </w:tabs>
        <w:autoSpaceDE w:val="0"/>
        <w:autoSpaceDN w:val="0"/>
        <w:spacing w:line="360" w:lineRule="auto"/>
        <w:ind w:leftChars="200" w:right="465" w:rightChars="0" w:firstLine="480" w:firstLineChars="200"/>
        <w:rPr>
          <w:rFonts w:ascii="宋体" w:hAnsi="宋体" w:cs="宋体"/>
          <w:kern w:val="0"/>
          <w:sz w:val="24"/>
          <w:szCs w:val="24"/>
          <w:lang w:val="zh-CN" w:bidi="zh-CN"/>
        </w:rPr>
      </w:pPr>
      <w:r>
        <w:rPr>
          <w:rFonts w:hint="eastAsia" w:ascii="宋体" w:hAnsi="宋体" w:cs="宋体"/>
          <w:kern w:val="0"/>
          <w:sz w:val="24"/>
          <w:szCs w:val="24"/>
          <w:lang w:val="en-US" w:bidi="zh-CN"/>
        </w:rPr>
        <w:t>14.4</w:t>
      </w:r>
      <w:r>
        <w:rPr>
          <w:rFonts w:ascii="宋体" w:hAnsi="宋体" w:cs="宋体"/>
          <w:kern w:val="0"/>
          <w:sz w:val="24"/>
          <w:szCs w:val="24"/>
          <w:lang w:val="zh-CN" w:bidi="zh-CN"/>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0844D05A">
      <w:pPr>
        <w:keepLines/>
        <w:widowControl/>
        <w:tabs>
          <w:tab w:val="left" w:pos="567"/>
        </w:tabs>
        <w:autoSpaceDE w:val="0"/>
        <w:autoSpaceDN w:val="0"/>
        <w:spacing w:before="120" w:after="120" w:line="360" w:lineRule="auto"/>
        <w:ind w:left="567"/>
        <w:jc w:val="left"/>
        <w:outlineLvl w:val="3"/>
        <w:rPr>
          <w:rFonts w:ascii="宋体" w:hAnsi="宋体"/>
          <w:b/>
          <w:bCs/>
          <w:kern w:val="0"/>
          <w:sz w:val="24"/>
          <w:szCs w:val="24"/>
          <w:lang w:val="zh-CN" w:bidi="zh-CN"/>
        </w:rPr>
      </w:pPr>
      <w:r>
        <w:rPr>
          <w:rFonts w:ascii="宋体" w:hAnsi="宋体"/>
          <w:b/>
          <w:bCs/>
          <w:kern w:val="0"/>
          <w:sz w:val="24"/>
          <w:szCs w:val="24"/>
          <w:lang w:val="zh-CN" w:bidi="zh-CN"/>
        </w:rPr>
        <w:t>15.事故处理</w:t>
      </w:r>
    </w:p>
    <w:p w14:paraId="0405447C">
      <w:pPr>
        <w:autoSpaceDE w:val="0"/>
        <w:autoSpaceDN w:val="0"/>
        <w:spacing w:line="360" w:lineRule="auto"/>
        <w:ind w:left="384" w:right="466" w:firstLine="472" w:firstLineChars="200"/>
        <w:rPr>
          <w:rFonts w:ascii="宋体" w:hAnsi="宋体" w:cs="宋体"/>
          <w:kern w:val="0"/>
          <w:sz w:val="24"/>
          <w:szCs w:val="24"/>
          <w:lang w:val="zh-CN" w:bidi="zh-CN"/>
        </w:rPr>
      </w:pPr>
      <w:r>
        <w:rPr>
          <w:rFonts w:ascii="宋体" w:hAnsi="宋体" w:cs="宋体"/>
          <w:spacing w:val="-2"/>
          <w:kern w:val="0"/>
          <w:sz w:val="24"/>
          <w:szCs w:val="24"/>
          <w:lang w:val="zh-CN" w:bidi="zh-CN"/>
        </w:rPr>
        <w:t xml:space="preserve">如果工程施工过程中，发生重大安全事故、质量事故，承包人必须在 </w:t>
      </w:r>
      <w:r>
        <w:rPr>
          <w:rFonts w:ascii="宋体" w:hAnsi="宋体" w:cs="宋体"/>
          <w:kern w:val="0"/>
          <w:sz w:val="24"/>
          <w:szCs w:val="24"/>
          <w:lang w:val="zh-CN" w:bidi="zh-CN"/>
        </w:rPr>
        <w:t>2 小时内</w:t>
      </w:r>
      <w:r>
        <w:rPr>
          <w:rFonts w:ascii="宋体" w:hAnsi="宋体" w:cs="宋体"/>
          <w:spacing w:val="-1"/>
          <w:kern w:val="0"/>
          <w:sz w:val="24"/>
          <w:szCs w:val="24"/>
          <w:lang w:val="zh-CN" w:bidi="zh-CN"/>
        </w:rPr>
        <w:t>口头报告，</w:t>
      </w:r>
      <w:r>
        <w:rPr>
          <w:rFonts w:ascii="宋体" w:hAnsi="宋体" w:cs="宋体"/>
          <w:spacing w:val="-4"/>
          <w:kern w:val="0"/>
          <w:sz w:val="24"/>
          <w:szCs w:val="24"/>
          <w:lang w:val="zh-CN" w:bidi="zh-CN"/>
        </w:rPr>
        <w:t xml:space="preserve">24 </w:t>
      </w:r>
      <w:r>
        <w:rPr>
          <w:rFonts w:ascii="宋体" w:hAnsi="宋体" w:cs="宋体"/>
          <w:spacing w:val="-1"/>
          <w:kern w:val="0"/>
          <w:sz w:val="24"/>
          <w:szCs w:val="24"/>
          <w:lang w:val="zh-CN" w:bidi="zh-CN"/>
        </w:rPr>
        <w:t>小时内将事故详细情况书面报监理人和发包人。如果现场发生一般安</w:t>
      </w:r>
      <w:r>
        <w:rPr>
          <w:rFonts w:ascii="宋体" w:hAnsi="宋体" w:cs="宋体"/>
          <w:spacing w:val="-4"/>
          <w:kern w:val="0"/>
          <w:sz w:val="24"/>
          <w:szCs w:val="24"/>
          <w:lang w:val="zh-CN" w:bidi="zh-CN"/>
        </w:rPr>
        <w:t xml:space="preserve">全事故，或质量事故，承包人必须在 </w:t>
      </w:r>
      <w:r>
        <w:rPr>
          <w:rFonts w:ascii="宋体" w:hAnsi="宋体" w:cs="宋体"/>
          <w:kern w:val="0"/>
          <w:sz w:val="24"/>
          <w:szCs w:val="24"/>
          <w:lang w:val="zh-CN" w:bidi="zh-CN"/>
        </w:rPr>
        <w:t>3 天内将事故详细情况书面报告监理人和发包人。如果现场(包括临时道路)发生重大交通事故，承包人应尽快报告监理人，同时应迅速报告当地交通安全管理部门。质量事故等级划分遵照交通运输部公路工程质量管理办法的规定。</w:t>
      </w:r>
    </w:p>
    <w:p w14:paraId="7E1DE1CA">
      <w:pPr>
        <w:keepNext/>
        <w:keepLines/>
        <w:widowControl/>
        <w:spacing w:before="260" w:after="260" w:line="415" w:lineRule="auto"/>
        <w:jc w:val="left"/>
        <w:outlineLvl w:val="2"/>
        <w:rPr>
          <w:rFonts w:ascii="宋体" w:hAnsi="宋体" w:cs="宋体"/>
          <w:b/>
          <w:bCs/>
          <w:kern w:val="0"/>
          <w:sz w:val="24"/>
          <w:szCs w:val="24"/>
          <w:lang w:val="zh-CN" w:bidi="zh-CN"/>
        </w:rPr>
      </w:pPr>
      <w:bookmarkStart w:id="147" w:name="_Toc256000052"/>
      <w:r>
        <w:rPr>
          <w:rFonts w:ascii="宋体" w:hAnsi="宋体" w:cs="宋体"/>
          <w:b/>
          <w:bCs/>
          <w:kern w:val="0"/>
          <w:sz w:val="24"/>
          <w:szCs w:val="24"/>
          <w:lang w:val="zh-CN" w:bidi="zh-CN"/>
        </w:rPr>
        <w:t>六、合同价款支付</w:t>
      </w:r>
      <w:bookmarkEnd w:id="147"/>
    </w:p>
    <w:p w14:paraId="7B8A2441">
      <w:pPr>
        <w:keepLines/>
        <w:widowControl/>
        <w:tabs>
          <w:tab w:val="left" w:pos="567"/>
        </w:tabs>
        <w:autoSpaceDE w:val="0"/>
        <w:autoSpaceDN w:val="0"/>
        <w:spacing w:before="120" w:after="120" w:line="360" w:lineRule="auto"/>
        <w:ind w:left="567"/>
        <w:jc w:val="left"/>
        <w:outlineLvl w:val="3"/>
        <w:rPr>
          <w:rFonts w:ascii="宋体" w:hAnsi="宋体"/>
          <w:b/>
          <w:bCs/>
          <w:kern w:val="0"/>
          <w:sz w:val="24"/>
          <w:szCs w:val="24"/>
          <w:lang w:val="zh-CN" w:bidi="zh-CN"/>
        </w:rPr>
      </w:pPr>
      <w:r>
        <w:rPr>
          <w:rFonts w:ascii="宋体" w:hAnsi="宋体"/>
          <w:b/>
          <w:bCs/>
          <w:kern w:val="0"/>
          <w:sz w:val="24"/>
          <w:szCs w:val="24"/>
          <w:lang w:val="zh-CN" w:bidi="zh-CN"/>
        </w:rPr>
        <w:t>16.合同价款支付</w:t>
      </w:r>
    </w:p>
    <w:p w14:paraId="76354DDD">
      <w:pPr>
        <w:numPr>
          <w:ilvl w:val="0"/>
          <w:numId w:val="0"/>
        </w:numPr>
        <w:tabs>
          <w:tab w:val="left" w:pos="1523"/>
          <w:tab w:val="left" w:pos="1524"/>
        </w:tabs>
        <w:autoSpaceDE w:val="0"/>
        <w:autoSpaceDN w:val="0"/>
        <w:spacing w:line="360" w:lineRule="auto"/>
        <w:ind w:firstLine="960" w:firstLineChars="400"/>
        <w:jc w:val="left"/>
        <w:rPr>
          <w:rFonts w:ascii="宋体" w:hAnsi="宋体" w:cs="宋体"/>
          <w:kern w:val="0"/>
          <w:sz w:val="24"/>
          <w:szCs w:val="24"/>
          <w:lang w:val="zh-CN" w:bidi="zh-CN"/>
        </w:rPr>
      </w:pPr>
      <w:r>
        <w:rPr>
          <w:rFonts w:hint="eastAsia" w:ascii="宋体" w:hAnsi="宋体" w:cs="宋体"/>
          <w:kern w:val="0"/>
          <w:sz w:val="24"/>
          <w:szCs w:val="24"/>
          <w:lang w:val="en-US" w:bidi="zh-CN"/>
        </w:rPr>
        <w:t>16.1</w:t>
      </w:r>
      <w:r>
        <w:rPr>
          <w:rFonts w:ascii="宋体" w:hAnsi="宋体" w:cs="宋体"/>
          <w:kern w:val="0"/>
          <w:sz w:val="24"/>
          <w:szCs w:val="24"/>
          <w:lang w:val="zh-CN" w:bidi="zh-CN"/>
        </w:rPr>
        <w:t>发包人与承包人依据中标价在合同协议书内约定合同价款。</w:t>
      </w:r>
    </w:p>
    <w:p w14:paraId="61B9051E">
      <w:pPr>
        <w:numPr>
          <w:ilvl w:val="0"/>
          <w:numId w:val="0"/>
        </w:numPr>
        <w:tabs>
          <w:tab w:val="left" w:pos="1524"/>
        </w:tabs>
        <w:autoSpaceDE w:val="0"/>
        <w:autoSpaceDN w:val="0"/>
        <w:spacing w:before="86" w:line="360" w:lineRule="auto"/>
        <w:ind w:left="479" w:leftChars="228" w:right="442" w:rightChars="0" w:firstLine="452" w:firstLineChars="200"/>
        <w:rPr>
          <w:rFonts w:ascii="宋体" w:hAnsi="宋体" w:cs="宋体"/>
          <w:kern w:val="0"/>
          <w:sz w:val="24"/>
          <w:szCs w:val="24"/>
          <w:lang w:val="zh-CN" w:bidi="zh-CN"/>
        </w:rPr>
      </w:pPr>
      <w:r>
        <w:rPr>
          <w:rFonts w:hint="eastAsia" w:ascii="宋体" w:hAnsi="宋体" w:cs="宋体"/>
          <w:spacing w:val="-7"/>
          <w:kern w:val="0"/>
          <w:sz w:val="24"/>
          <w:szCs w:val="24"/>
          <w:lang w:val="en-US" w:bidi="zh-CN"/>
        </w:rPr>
        <w:t>16.2</w:t>
      </w:r>
      <w:r>
        <w:rPr>
          <w:rFonts w:ascii="宋体" w:hAnsi="宋体" w:cs="宋体"/>
          <w:spacing w:val="-7"/>
          <w:kern w:val="0"/>
          <w:sz w:val="24"/>
          <w:szCs w:val="24"/>
          <w:lang w:val="zh-CN" w:bidi="zh-CN"/>
        </w:rPr>
        <w:t xml:space="preserve">承包人应在每月的 </w:t>
      </w:r>
      <w:r>
        <w:rPr>
          <w:rFonts w:ascii="宋体" w:hAnsi="宋体" w:cs="宋体"/>
          <w:kern w:val="0"/>
          <w:sz w:val="24"/>
          <w:szCs w:val="24"/>
          <w:lang w:val="zh-CN" w:bidi="zh-CN"/>
        </w:rPr>
        <w:t>25 日前，按监理人审定的《工程进度中期支付报表》的工程数量及相关的支付额报发包人，发包人据以支付工程进度款。除不可抗拒的自然灾害、特殊社会风险及发包人批准的设计变更外，工程总支付金额不应超过合同价（不包括暂列金额）。</w:t>
      </w:r>
    </w:p>
    <w:p w14:paraId="5A9D42C2">
      <w:pPr>
        <w:keepLines/>
        <w:widowControl/>
        <w:tabs>
          <w:tab w:val="left" w:pos="567"/>
        </w:tabs>
        <w:autoSpaceDE w:val="0"/>
        <w:autoSpaceDN w:val="0"/>
        <w:spacing w:before="120" w:after="120" w:line="360" w:lineRule="auto"/>
        <w:ind w:left="567"/>
        <w:jc w:val="left"/>
        <w:outlineLvl w:val="3"/>
        <w:rPr>
          <w:rFonts w:ascii="宋体" w:hAnsi="宋体"/>
          <w:b/>
          <w:bCs/>
          <w:kern w:val="0"/>
          <w:sz w:val="24"/>
          <w:szCs w:val="24"/>
          <w:lang w:val="zh-CN" w:bidi="zh-CN"/>
        </w:rPr>
      </w:pPr>
      <w:r>
        <w:rPr>
          <w:rFonts w:ascii="宋体" w:hAnsi="宋体"/>
          <w:b/>
          <w:bCs/>
          <w:kern w:val="0"/>
          <w:sz w:val="24"/>
          <w:szCs w:val="24"/>
          <w:lang w:val="zh-CN" w:bidi="zh-CN"/>
        </w:rPr>
        <w:t>17.预付款</w:t>
      </w:r>
    </w:p>
    <w:p w14:paraId="5A0830C4">
      <w:pPr>
        <w:numPr>
          <w:ilvl w:val="0"/>
          <w:numId w:val="0"/>
        </w:numPr>
        <w:tabs>
          <w:tab w:val="left" w:pos="1529"/>
        </w:tabs>
        <w:autoSpaceDE w:val="0"/>
        <w:autoSpaceDN w:val="0"/>
        <w:spacing w:line="360" w:lineRule="auto"/>
        <w:ind w:leftChars="200" w:right="467" w:rightChars="0" w:firstLine="480" w:firstLineChars="200"/>
        <w:rPr>
          <w:rFonts w:ascii="宋体" w:hAnsi="宋体" w:cs="宋体"/>
          <w:kern w:val="0"/>
          <w:sz w:val="24"/>
          <w:szCs w:val="24"/>
          <w:lang w:val="zh-CN" w:bidi="zh-CN"/>
        </w:rPr>
      </w:pPr>
      <w:r>
        <w:rPr>
          <w:rFonts w:hint="eastAsia" w:ascii="宋体" w:hAnsi="宋体" w:cs="宋体"/>
          <w:kern w:val="0"/>
          <w:sz w:val="24"/>
          <w:szCs w:val="24"/>
          <w:lang w:val="en-US" w:bidi="zh-CN"/>
        </w:rPr>
        <w:t>17.1</w:t>
      </w:r>
      <w:r>
        <w:rPr>
          <w:rFonts w:ascii="宋体" w:hAnsi="宋体" w:cs="宋体"/>
          <w:kern w:val="0"/>
          <w:sz w:val="24"/>
          <w:szCs w:val="24"/>
          <w:lang w:val="zh-CN" w:bidi="zh-CN"/>
        </w:rPr>
        <w:t>承包人在合同文件载明的人员、主要设备进场后，可得到预付款支付， 预付款必须专用于合同工程。</w:t>
      </w:r>
    </w:p>
    <w:p w14:paraId="24BB5392">
      <w:pPr>
        <w:numPr>
          <w:ilvl w:val="0"/>
          <w:numId w:val="0"/>
        </w:numPr>
        <w:tabs>
          <w:tab w:val="left" w:pos="1529"/>
        </w:tabs>
        <w:autoSpaceDE w:val="0"/>
        <w:autoSpaceDN w:val="0"/>
        <w:spacing w:line="360" w:lineRule="auto"/>
        <w:ind w:leftChars="200" w:right="465" w:rightChars="0" w:firstLine="480" w:firstLineChars="200"/>
        <w:rPr>
          <w:rFonts w:ascii="宋体" w:hAnsi="宋体" w:cs="宋体"/>
          <w:kern w:val="0"/>
          <w:sz w:val="24"/>
          <w:szCs w:val="24"/>
          <w:lang w:val="zh-CN" w:bidi="zh-CN"/>
        </w:rPr>
      </w:pPr>
      <w:r>
        <w:rPr>
          <w:rFonts w:hint="eastAsia" w:ascii="宋体" w:hAnsi="宋体" w:cs="宋体"/>
          <w:kern w:val="0"/>
          <w:sz w:val="24"/>
          <w:szCs w:val="24"/>
          <w:lang w:val="en-US" w:bidi="zh-CN"/>
        </w:rPr>
        <w:t>17.2</w:t>
      </w:r>
      <w:r>
        <w:rPr>
          <w:rFonts w:ascii="宋体" w:hAnsi="宋体" w:cs="宋体"/>
          <w:kern w:val="0"/>
          <w:sz w:val="24"/>
          <w:szCs w:val="24"/>
          <w:lang w:val="zh-CN" w:bidi="zh-CN"/>
        </w:rPr>
        <w:t>预付款在进度付款中扣回，在颁发工程接收证书前，由于不可抗力或其他原因解除合同时，预付款尚未扣清的，尚未扣清的预付款余额应作为承包人的到期应付款。</w:t>
      </w:r>
    </w:p>
    <w:p w14:paraId="641335F7">
      <w:pPr>
        <w:numPr>
          <w:ilvl w:val="0"/>
          <w:numId w:val="0"/>
        </w:numPr>
        <w:tabs>
          <w:tab w:val="left" w:pos="1409"/>
        </w:tabs>
        <w:autoSpaceDE w:val="0"/>
        <w:autoSpaceDN w:val="0"/>
        <w:spacing w:before="76" w:line="360" w:lineRule="auto"/>
        <w:ind w:left="439" w:leftChars="209" w:right="462" w:rightChars="0" w:firstLine="520" w:firstLineChars="215"/>
        <w:rPr>
          <w:rFonts w:ascii="宋体" w:hAnsi="宋体" w:cs="宋体"/>
          <w:kern w:val="0"/>
          <w:sz w:val="24"/>
          <w:szCs w:val="24"/>
          <w:lang w:val="zh-CN" w:bidi="zh-CN"/>
        </w:rPr>
      </w:pPr>
      <w:r>
        <w:rPr>
          <w:rFonts w:hint="eastAsia" w:ascii="宋体" w:hAnsi="宋体" w:cs="宋体"/>
          <w:spacing w:val="1"/>
          <w:kern w:val="0"/>
          <w:sz w:val="24"/>
          <w:szCs w:val="24"/>
          <w:lang w:val="en-US" w:bidi="zh-CN"/>
        </w:rPr>
        <w:t>17.3</w:t>
      </w:r>
      <w:r>
        <w:rPr>
          <w:rFonts w:ascii="宋体" w:hAnsi="宋体" w:cs="宋体"/>
          <w:spacing w:val="1"/>
          <w:kern w:val="0"/>
          <w:sz w:val="24"/>
          <w:szCs w:val="24"/>
          <w:lang w:val="zh-CN" w:bidi="zh-CN"/>
        </w:rPr>
        <w:t xml:space="preserve">开工预付款在进度付款证书的累计金额未达到签约合同价的 </w:t>
      </w:r>
      <w:r>
        <w:rPr>
          <w:rFonts w:ascii="宋体" w:hAnsi="宋体" w:cs="宋体"/>
          <w:kern w:val="0"/>
          <w:sz w:val="24"/>
          <w:szCs w:val="24"/>
          <w:lang w:val="zh-CN" w:bidi="zh-CN"/>
        </w:rPr>
        <w:t>30%</w:t>
      </w:r>
      <w:r>
        <w:rPr>
          <w:rFonts w:ascii="宋体" w:hAnsi="宋体" w:cs="宋体"/>
          <w:spacing w:val="3"/>
          <w:kern w:val="0"/>
          <w:sz w:val="24"/>
          <w:szCs w:val="24"/>
          <w:lang w:val="zh-CN" w:bidi="zh-CN"/>
        </w:rPr>
        <w:t>之前不</w:t>
      </w:r>
      <w:r>
        <w:rPr>
          <w:rFonts w:ascii="宋体" w:hAnsi="宋体" w:cs="宋体"/>
          <w:spacing w:val="-10"/>
          <w:kern w:val="0"/>
          <w:sz w:val="24"/>
          <w:szCs w:val="24"/>
          <w:lang w:val="zh-CN" w:bidi="zh-CN"/>
        </w:rPr>
        <w:t xml:space="preserve">予扣回，在达到签约合同价 </w:t>
      </w:r>
      <w:r>
        <w:rPr>
          <w:rFonts w:ascii="宋体" w:hAnsi="宋体" w:cs="宋体"/>
          <w:kern w:val="0"/>
          <w:sz w:val="24"/>
          <w:szCs w:val="24"/>
          <w:lang w:val="zh-CN" w:bidi="zh-CN"/>
        </w:rPr>
        <w:t>30%</w:t>
      </w:r>
      <w:r>
        <w:rPr>
          <w:rFonts w:ascii="宋体" w:hAnsi="宋体" w:cs="宋体"/>
          <w:spacing w:val="-6"/>
          <w:kern w:val="0"/>
          <w:sz w:val="24"/>
          <w:szCs w:val="24"/>
          <w:lang w:val="zh-CN" w:bidi="zh-CN"/>
        </w:rPr>
        <w:t>之后，开始按工程进度以固定比例</w:t>
      </w:r>
      <w:r>
        <w:rPr>
          <w:rFonts w:ascii="宋体" w:hAnsi="宋体" w:cs="宋体"/>
          <w:kern w:val="0"/>
          <w:sz w:val="24"/>
          <w:szCs w:val="24"/>
          <w:lang w:val="zh-CN" w:bidi="zh-CN"/>
        </w:rPr>
        <w:t>(即每完成签约合</w:t>
      </w:r>
      <w:r>
        <w:rPr>
          <w:rFonts w:ascii="宋体" w:hAnsi="宋体" w:cs="宋体"/>
          <w:spacing w:val="-15"/>
          <w:kern w:val="0"/>
          <w:sz w:val="24"/>
          <w:szCs w:val="24"/>
          <w:lang w:val="zh-CN" w:bidi="zh-CN"/>
        </w:rPr>
        <w:t xml:space="preserve">同价的 </w:t>
      </w:r>
      <w:r>
        <w:rPr>
          <w:rFonts w:ascii="宋体" w:hAnsi="宋体" w:cs="宋体"/>
          <w:spacing w:val="-14"/>
          <w:kern w:val="0"/>
          <w:sz w:val="24"/>
          <w:szCs w:val="24"/>
          <w:lang w:val="zh-CN" w:bidi="zh-CN"/>
        </w:rPr>
        <w:t>1%</w:t>
      </w:r>
      <w:r>
        <w:rPr>
          <w:rFonts w:ascii="宋体" w:hAnsi="宋体" w:cs="宋体"/>
          <w:spacing w:val="-10"/>
          <w:kern w:val="0"/>
          <w:sz w:val="24"/>
          <w:szCs w:val="24"/>
          <w:lang w:val="zh-CN" w:bidi="zh-CN"/>
        </w:rPr>
        <w:t xml:space="preserve">，扣回开工预付款的 </w:t>
      </w:r>
      <w:r>
        <w:rPr>
          <w:rFonts w:ascii="宋体" w:hAnsi="宋体" w:cs="宋体"/>
          <w:kern w:val="0"/>
          <w:sz w:val="24"/>
          <w:szCs w:val="24"/>
          <w:lang w:val="zh-CN" w:bidi="zh-CN"/>
        </w:rPr>
        <w:t>2%)</w:t>
      </w:r>
      <w:r>
        <w:rPr>
          <w:rFonts w:ascii="宋体" w:hAnsi="宋体" w:cs="宋体"/>
          <w:spacing w:val="-4"/>
          <w:kern w:val="0"/>
          <w:sz w:val="24"/>
          <w:szCs w:val="24"/>
          <w:lang w:val="zh-CN" w:bidi="zh-CN"/>
        </w:rPr>
        <w:t>分期从各月的进度付款证书中扣回，全部金额在</w:t>
      </w:r>
      <w:r>
        <w:rPr>
          <w:rFonts w:ascii="宋体" w:hAnsi="宋体" w:cs="宋体"/>
          <w:spacing w:val="-7"/>
          <w:kern w:val="0"/>
          <w:sz w:val="24"/>
          <w:szCs w:val="24"/>
          <w:lang w:val="zh-CN" w:bidi="zh-CN"/>
        </w:rPr>
        <w:t xml:space="preserve">进度付款证书的累计金额达到签约合同价的 </w:t>
      </w:r>
      <w:r>
        <w:rPr>
          <w:rFonts w:ascii="宋体" w:hAnsi="宋体" w:cs="宋体"/>
          <w:kern w:val="0"/>
          <w:sz w:val="24"/>
          <w:szCs w:val="24"/>
          <w:lang w:val="zh-CN" w:bidi="zh-CN"/>
        </w:rPr>
        <w:t>80%时扣完。</w:t>
      </w:r>
    </w:p>
    <w:p w14:paraId="7AB8B7DF">
      <w:pPr>
        <w:numPr>
          <w:ilvl w:val="0"/>
          <w:numId w:val="0"/>
        </w:numPr>
        <w:tabs>
          <w:tab w:val="left" w:pos="1528"/>
          <w:tab w:val="left" w:pos="1529"/>
        </w:tabs>
        <w:autoSpaceDE w:val="0"/>
        <w:autoSpaceDN w:val="0"/>
        <w:spacing w:before="3" w:line="360" w:lineRule="auto"/>
        <w:ind w:leftChars="200" w:right="346" w:rightChars="0"/>
        <w:jc w:val="left"/>
        <w:rPr>
          <w:rFonts w:ascii="宋体" w:hAnsi="宋体" w:cs="宋体"/>
          <w:kern w:val="0"/>
          <w:sz w:val="24"/>
          <w:szCs w:val="24"/>
          <w:lang w:val="zh-CN" w:bidi="zh-CN"/>
        </w:rPr>
      </w:pPr>
      <w:r>
        <w:rPr>
          <w:rFonts w:hint="eastAsia" w:ascii="宋体" w:hAnsi="宋体" w:cs="宋体"/>
          <w:kern w:val="0"/>
          <w:sz w:val="24"/>
          <w:szCs w:val="24"/>
          <w:lang w:val="en-US" w:bidi="zh-CN"/>
        </w:rPr>
        <w:t>17.4</w:t>
      </w:r>
      <w:r>
        <w:rPr>
          <w:rFonts w:ascii="宋体" w:hAnsi="宋体" w:cs="宋体"/>
          <w:kern w:val="0"/>
          <w:sz w:val="24"/>
          <w:szCs w:val="24"/>
          <w:lang w:val="zh-CN" w:bidi="zh-CN"/>
        </w:rPr>
        <w:t>材料预付款按合同条款数据表中所列主要材料单据费用（进口的材料、</w:t>
      </w:r>
      <w:r>
        <w:rPr>
          <w:rFonts w:ascii="宋体" w:hAnsi="宋体" w:cs="宋体"/>
          <w:spacing w:val="-11"/>
          <w:kern w:val="0"/>
          <w:sz w:val="24"/>
          <w:szCs w:val="24"/>
          <w:lang w:val="zh-CN" w:bidi="zh-CN"/>
        </w:rPr>
        <w:t>设备为到岸价，国内采购的为出厂价或销售价，地方材料为堆场价</w:t>
      </w:r>
      <w:r>
        <w:rPr>
          <w:rFonts w:ascii="宋体" w:hAnsi="宋体" w:cs="宋体"/>
          <w:kern w:val="0"/>
          <w:sz w:val="22"/>
          <w:lang w:val="zh-CN" w:bidi="zh-CN"/>
        </w:rPr>
        <w:fldChar w:fldCharType="begin"/>
      </w:r>
      <w:r>
        <w:rPr>
          <w:rFonts w:ascii="宋体" w:hAnsi="宋体" w:cs="宋体"/>
          <w:kern w:val="0"/>
          <w:sz w:val="22"/>
          <w:lang w:val="zh-CN" w:bidi="zh-CN"/>
        </w:rPr>
        <w:instrText xml:space="preserve"> HYPERLINK \l "_bookmark43" </w:instrText>
      </w:r>
      <w:r>
        <w:rPr>
          <w:rFonts w:ascii="宋体" w:hAnsi="宋体" w:cs="宋体"/>
          <w:kern w:val="0"/>
          <w:sz w:val="22"/>
          <w:lang w:val="zh-CN" w:bidi="zh-CN"/>
        </w:rPr>
        <w:fldChar w:fldCharType="separate"/>
      </w:r>
      <w:r>
        <w:rPr>
          <w:rFonts w:ascii="宋体" w:hAnsi="宋体" w:cs="宋体"/>
          <w:spacing w:val="-1"/>
          <w:w w:val="98"/>
          <w:kern w:val="0"/>
          <w:position w:val="9"/>
          <w:sz w:val="24"/>
          <w:szCs w:val="24"/>
          <w:lang w:val="zh-CN" w:bidi="zh-CN"/>
        </w:rPr>
        <w:t>①</w:t>
      </w:r>
      <w:r>
        <w:rPr>
          <w:rFonts w:ascii="宋体" w:hAnsi="宋体" w:cs="宋体"/>
          <w:spacing w:val="-1"/>
          <w:w w:val="98"/>
          <w:kern w:val="0"/>
          <w:position w:val="9"/>
          <w:sz w:val="24"/>
          <w:szCs w:val="24"/>
          <w:lang w:val="zh-CN" w:bidi="zh-CN"/>
        </w:rPr>
        <w:fldChar w:fldCharType="end"/>
      </w:r>
      <w:r>
        <w:rPr>
          <w:rFonts w:ascii="宋体" w:hAnsi="宋体" w:cs="宋体"/>
          <w:spacing w:val="-58"/>
          <w:kern w:val="0"/>
          <w:sz w:val="24"/>
          <w:szCs w:val="24"/>
          <w:lang w:val="zh-CN" w:bidi="zh-CN"/>
        </w:rPr>
        <w:t>）</w:t>
      </w:r>
      <w:r>
        <w:rPr>
          <w:rFonts w:ascii="宋体" w:hAnsi="宋体" w:cs="宋体"/>
          <w:kern w:val="0"/>
          <w:sz w:val="24"/>
          <w:szCs w:val="24"/>
          <w:lang w:val="zh-CN" w:bidi="zh-CN"/>
        </w:rPr>
        <w:t>的百分比支付，预付款比例按照项目专用合同条款数据表的规定计算。其余附加条件为：</w:t>
      </w:r>
    </w:p>
    <w:p w14:paraId="23950EE5">
      <w:pPr>
        <w:autoSpaceDE w:val="0"/>
        <w:autoSpaceDN w:val="0"/>
        <w:spacing w:line="360" w:lineRule="auto"/>
        <w:ind w:left="864"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（1）材料符合规范要求并经监理人认可；</w:t>
      </w:r>
    </w:p>
    <w:p w14:paraId="61B64FFE">
      <w:pPr>
        <w:autoSpaceDE w:val="0"/>
        <w:autoSpaceDN w:val="0"/>
        <w:spacing w:before="86" w:line="360" w:lineRule="auto"/>
        <w:ind w:left="864"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（2）承包人已出具材料费用凭证或支付单据；</w:t>
      </w:r>
    </w:p>
    <w:p w14:paraId="16C9A799">
      <w:pPr>
        <w:autoSpaceDE w:val="0"/>
        <w:autoSpaceDN w:val="0"/>
        <w:spacing w:before="86" w:line="360" w:lineRule="auto"/>
        <w:ind w:left="864" w:right="382"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（3）材料已在现场交货，且存储良好，监理人认为材料的存储方法符合要求。则监理人应将此项金额作为材料预付款计入下一次的进度付款证书中，在预计交工前 3 个月，将不再支付材料预付款。</w:t>
      </w:r>
    </w:p>
    <w:p w14:paraId="2B558C20">
      <w:pPr>
        <w:keepLines/>
        <w:widowControl/>
        <w:tabs>
          <w:tab w:val="left" w:pos="567"/>
        </w:tabs>
        <w:autoSpaceDE w:val="0"/>
        <w:autoSpaceDN w:val="0"/>
        <w:spacing w:before="120" w:after="120" w:line="360" w:lineRule="auto"/>
        <w:ind w:left="567"/>
        <w:jc w:val="left"/>
        <w:outlineLvl w:val="3"/>
        <w:rPr>
          <w:rFonts w:ascii="宋体" w:hAnsi="宋体"/>
          <w:b/>
          <w:bCs/>
          <w:kern w:val="0"/>
          <w:sz w:val="24"/>
          <w:szCs w:val="24"/>
          <w:lang w:val="zh-CN" w:bidi="zh-CN"/>
        </w:rPr>
      </w:pPr>
      <w:r>
        <w:rPr>
          <w:rFonts w:ascii="宋体" w:hAnsi="宋体"/>
          <w:b/>
          <w:bCs/>
          <w:kern w:val="0"/>
          <w:sz w:val="24"/>
          <w:szCs w:val="24"/>
          <w:lang w:val="zh-CN" w:bidi="zh-CN"/>
        </w:rPr>
        <w:t>18.计量与支付</w:t>
      </w:r>
    </w:p>
    <w:p w14:paraId="4DD9FA1B">
      <w:pPr>
        <w:tabs>
          <w:tab w:val="left" w:pos="1523"/>
          <w:tab w:val="left" w:pos="1524"/>
        </w:tabs>
        <w:autoSpaceDE w:val="0"/>
        <w:autoSpaceDN w:val="0"/>
        <w:spacing w:before="1" w:line="360" w:lineRule="auto"/>
        <w:ind w:left="864" w:right="466" w:firstLine="448" w:firstLineChars="200"/>
        <w:jc w:val="left"/>
        <w:rPr>
          <w:rFonts w:ascii="宋体" w:hAnsi="宋体" w:cs="宋体"/>
          <w:kern w:val="0"/>
          <w:sz w:val="24"/>
          <w:szCs w:val="24"/>
          <w:lang w:val="zh-CN" w:bidi="zh-CN"/>
        </w:rPr>
      </w:pPr>
      <w:r>
        <w:rPr>
          <w:rFonts w:hint="eastAsia" w:ascii="宋体" w:hAnsi="宋体" w:cs="宋体"/>
          <w:spacing w:val="-8"/>
          <w:kern w:val="0"/>
          <w:sz w:val="24"/>
          <w:szCs w:val="24"/>
          <w:lang w:val="zh-CN" w:bidi="zh-CN"/>
        </w:rPr>
        <w:t>18.1</w:t>
      </w:r>
      <w:r>
        <w:rPr>
          <w:rFonts w:ascii="宋体" w:hAnsi="宋体" w:cs="宋体"/>
          <w:spacing w:val="-8"/>
          <w:kern w:val="0"/>
          <w:sz w:val="24"/>
          <w:szCs w:val="24"/>
          <w:lang w:val="zh-CN" w:bidi="zh-CN"/>
        </w:rPr>
        <w:t xml:space="preserve">承包人应在每月 </w:t>
      </w:r>
      <w:r>
        <w:rPr>
          <w:rFonts w:ascii="宋体" w:hAnsi="宋体" w:cs="宋体"/>
          <w:kern w:val="0"/>
          <w:sz w:val="24"/>
          <w:szCs w:val="24"/>
          <w:lang w:val="zh-CN" w:bidi="zh-CN"/>
        </w:rPr>
        <w:t xml:space="preserve">25 </w:t>
      </w:r>
      <w:r>
        <w:rPr>
          <w:rFonts w:ascii="宋体" w:hAnsi="宋体" w:cs="宋体"/>
          <w:spacing w:val="-4"/>
          <w:kern w:val="0"/>
          <w:sz w:val="24"/>
          <w:szCs w:val="24"/>
          <w:lang w:val="zh-CN" w:bidi="zh-CN"/>
        </w:rPr>
        <w:t>日前，经监理人现场核实已完成的合格工程数量，确定其价款，监理人签字后作为工程价款支付的依据。</w:t>
      </w:r>
    </w:p>
    <w:p w14:paraId="3287BBC5">
      <w:pPr>
        <w:autoSpaceDE w:val="0"/>
        <w:autoSpaceDN w:val="0"/>
        <w:spacing w:line="360" w:lineRule="auto"/>
        <w:ind w:left="384" w:right="465"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本项目工程量清单中总额价子目的支付原则和支付进度按实际完成工程量及时限计量支付，并执行以下原则：</w:t>
      </w:r>
    </w:p>
    <w:p w14:paraId="4FBE99BB">
      <w:pPr>
        <w:tabs>
          <w:tab w:val="left" w:pos="1484"/>
        </w:tabs>
        <w:autoSpaceDE w:val="0"/>
        <w:autoSpaceDN w:val="0"/>
        <w:spacing w:before="2" w:line="360" w:lineRule="auto"/>
        <w:ind w:left="794" w:right="462" w:firstLine="456" w:firstLineChars="200"/>
        <w:jc w:val="left"/>
        <w:rPr>
          <w:rFonts w:ascii="宋体" w:hAnsi="宋体" w:cs="宋体"/>
          <w:spacing w:val="-6"/>
          <w:kern w:val="0"/>
          <w:sz w:val="24"/>
          <w:szCs w:val="24"/>
          <w:lang w:val="zh-CN" w:bidi="zh-CN"/>
        </w:rPr>
      </w:pPr>
      <w:r>
        <w:rPr>
          <w:rFonts w:hint="eastAsia" w:ascii="宋体" w:hAnsi="宋体" w:cs="宋体"/>
          <w:spacing w:val="-6"/>
          <w:kern w:val="0"/>
          <w:sz w:val="24"/>
          <w:szCs w:val="24"/>
          <w:lang w:val="zh-CN" w:bidi="zh-CN"/>
        </w:rPr>
        <w:t>102-1</w:t>
      </w:r>
      <w:r>
        <w:rPr>
          <w:rFonts w:ascii="宋体" w:hAnsi="宋体" w:cs="宋体"/>
          <w:spacing w:val="-6"/>
          <w:kern w:val="0"/>
          <w:sz w:val="24"/>
          <w:szCs w:val="24"/>
          <w:lang w:val="zh-CN" w:bidi="zh-CN"/>
        </w:rPr>
        <w:t>竣工文件：按交通运输部及</w:t>
      </w:r>
      <w:r>
        <w:rPr>
          <w:rFonts w:hint="eastAsia" w:ascii="宋体" w:hAnsi="宋体" w:cs="宋体"/>
          <w:spacing w:val="-6"/>
          <w:kern w:val="0"/>
          <w:sz w:val="24"/>
          <w:szCs w:val="24"/>
          <w:lang w:bidi="zh-CN"/>
        </w:rPr>
        <w:t>新疆</w:t>
      </w:r>
      <w:r>
        <w:rPr>
          <w:rFonts w:ascii="宋体" w:hAnsi="宋体" w:cs="宋体"/>
          <w:spacing w:val="-6"/>
          <w:kern w:val="0"/>
          <w:sz w:val="24"/>
          <w:szCs w:val="24"/>
          <w:lang w:val="zh-CN" w:bidi="zh-CN"/>
        </w:rPr>
        <w:t>交通运输厅规定的竣工文件和施工文件编制的有关规定，编制出 3 套完整合格的竣工文件；装订尺寸及方法符合档案管理的有关规定。竣工验收后支付此项费用的 90%，剩余部分在缺陷责任期满、应补齐的资料补齐后支付。</w:t>
      </w:r>
    </w:p>
    <w:p w14:paraId="07E63CE5">
      <w:pPr>
        <w:tabs>
          <w:tab w:val="left" w:pos="1484"/>
        </w:tabs>
        <w:autoSpaceDE w:val="0"/>
        <w:autoSpaceDN w:val="0"/>
        <w:spacing w:before="2" w:line="360" w:lineRule="auto"/>
        <w:ind w:left="794" w:right="462" w:firstLine="456" w:firstLineChars="200"/>
        <w:jc w:val="left"/>
        <w:rPr>
          <w:rFonts w:ascii="宋体" w:hAnsi="宋体" w:cs="宋体"/>
          <w:spacing w:val="-11"/>
          <w:kern w:val="0"/>
          <w:sz w:val="24"/>
          <w:szCs w:val="24"/>
          <w:lang w:val="zh-CN" w:bidi="zh-CN"/>
        </w:rPr>
      </w:pPr>
      <w:r>
        <w:rPr>
          <w:rFonts w:hint="eastAsia" w:ascii="宋体" w:hAnsi="宋体" w:cs="宋体"/>
          <w:spacing w:val="-6"/>
          <w:kern w:val="0"/>
          <w:sz w:val="24"/>
          <w:szCs w:val="24"/>
          <w:lang w:val="zh-CN" w:bidi="zh-CN"/>
        </w:rPr>
        <w:t>102-2</w:t>
      </w:r>
      <w:r>
        <w:rPr>
          <w:rFonts w:ascii="宋体" w:hAnsi="宋体" w:cs="宋体"/>
          <w:spacing w:val="-6"/>
          <w:kern w:val="0"/>
          <w:sz w:val="24"/>
          <w:szCs w:val="24"/>
          <w:lang w:val="zh-CN" w:bidi="zh-CN"/>
        </w:rPr>
        <w:t>施工环保费：施工过程中注意保护工程范围以外的土地植被、当地水源、灌溉渠道，污水排放达到国家规定标准；沥青混合料拌合场必须设置在离居民区、学校、医院 300m 以外的下风处；将扬尘、噪音控制在最低水平。工程开工后，监理人对承包人实施环保措施满意，支付此项费</w:t>
      </w:r>
      <w:r>
        <w:rPr>
          <w:rFonts w:ascii="宋体" w:hAnsi="宋体" w:cs="宋体"/>
          <w:spacing w:val="-11"/>
          <w:kern w:val="0"/>
          <w:sz w:val="24"/>
          <w:szCs w:val="24"/>
          <w:lang w:val="zh-CN" w:bidi="zh-CN"/>
        </w:rPr>
        <w:t>用的 30%，工程交工验收时没有被投诉，支付剩余的 70%。如被罚款费用自负。</w:t>
      </w:r>
    </w:p>
    <w:p w14:paraId="413CE2A9">
      <w:pPr>
        <w:numPr>
          <w:ilvl w:val="0"/>
          <w:numId w:val="0"/>
        </w:numPr>
        <w:tabs>
          <w:tab w:val="left" w:pos="1484"/>
        </w:tabs>
        <w:autoSpaceDE w:val="0"/>
        <w:autoSpaceDN w:val="0"/>
        <w:spacing w:before="2" w:line="360" w:lineRule="auto"/>
        <w:ind w:left="899" w:leftChars="428" w:right="462" w:rightChars="0" w:firstLine="456" w:firstLineChars="200"/>
        <w:jc w:val="left"/>
        <w:rPr>
          <w:rFonts w:ascii="宋体" w:hAnsi="宋体" w:cs="宋体"/>
          <w:kern w:val="0"/>
          <w:sz w:val="24"/>
          <w:szCs w:val="24"/>
          <w:lang w:val="zh-CN" w:bidi="zh-CN"/>
        </w:rPr>
      </w:pPr>
      <w:r>
        <w:rPr>
          <w:rFonts w:hint="eastAsia" w:ascii="宋体" w:hAnsi="宋体" w:cs="宋体"/>
          <w:spacing w:val="-6"/>
          <w:kern w:val="0"/>
          <w:sz w:val="24"/>
          <w:szCs w:val="24"/>
          <w:lang w:val="en-US" w:bidi="zh-CN"/>
        </w:rPr>
        <w:t>103-1</w:t>
      </w:r>
      <w:r>
        <w:rPr>
          <w:rFonts w:ascii="宋体" w:hAnsi="宋体" w:cs="宋体"/>
          <w:spacing w:val="-6"/>
          <w:kern w:val="0"/>
          <w:sz w:val="24"/>
          <w:szCs w:val="24"/>
          <w:lang w:val="zh-CN" w:bidi="zh-CN"/>
        </w:rPr>
        <w:t>临时道路修建、养护与拆除</w:t>
      </w:r>
      <w:r>
        <w:rPr>
          <w:rFonts w:ascii="宋体" w:hAnsi="宋体" w:cs="宋体"/>
          <w:kern w:val="0"/>
          <w:sz w:val="24"/>
          <w:szCs w:val="24"/>
          <w:lang w:val="zh-CN" w:bidi="zh-CN"/>
        </w:rPr>
        <w:t>（包括原道路的养护</w:t>
      </w:r>
      <w:r>
        <w:rPr>
          <w:rFonts w:ascii="宋体" w:hAnsi="宋体" w:cs="宋体"/>
          <w:spacing w:val="-26"/>
          <w:kern w:val="0"/>
          <w:sz w:val="24"/>
          <w:szCs w:val="24"/>
          <w:lang w:val="zh-CN" w:bidi="zh-CN"/>
        </w:rPr>
        <w:t>）</w:t>
      </w:r>
      <w:r>
        <w:rPr>
          <w:rFonts w:ascii="宋体" w:hAnsi="宋体" w:cs="宋体"/>
          <w:spacing w:val="-5"/>
          <w:kern w:val="0"/>
          <w:sz w:val="24"/>
          <w:szCs w:val="24"/>
          <w:lang w:val="zh-CN" w:bidi="zh-CN"/>
        </w:rPr>
        <w:t>：承包人根据需求和需要修建的社会交通便道和施工现场的临时道路，并设置必要的交通标志，临时道路</w:t>
      </w:r>
      <w:r>
        <w:rPr>
          <w:rFonts w:ascii="宋体" w:hAnsi="宋体" w:cs="宋体"/>
          <w:kern w:val="0"/>
          <w:sz w:val="24"/>
          <w:szCs w:val="24"/>
          <w:lang w:val="zh-CN" w:bidi="zh-CN"/>
        </w:rPr>
        <w:t>（包括原有道路）应加强养护、降低扬尘。临时道路修建后经监理人签认后支付此项费用的 80%，交工后拆除恢复原地貌，工程交工验收后支付剩余的 20%。临时工程用地：承包人根据现场考察和施工组织计划确定临时工程用地及费用。该项费用包含承包人生产、生活用地，施工中取土场、料场用地，临时及附属工作临时用地。经监理人签认后支付此项费用的 80%，交工后拆除恢复原地貌后，工程交工验收后支付剩余的 20%。</w:t>
      </w:r>
    </w:p>
    <w:p w14:paraId="2F07C11C">
      <w:pPr>
        <w:numPr>
          <w:ilvl w:val="0"/>
          <w:numId w:val="0"/>
        </w:numPr>
        <w:tabs>
          <w:tab w:val="left" w:pos="1484"/>
        </w:tabs>
        <w:autoSpaceDE w:val="0"/>
        <w:autoSpaceDN w:val="0"/>
        <w:spacing w:line="360" w:lineRule="auto"/>
        <w:ind w:left="899" w:leftChars="428" w:right="466" w:rightChars="0" w:firstLine="660" w:firstLineChars="300"/>
        <w:rPr>
          <w:rFonts w:ascii="宋体" w:hAnsi="宋体" w:cs="宋体"/>
          <w:kern w:val="0"/>
          <w:sz w:val="24"/>
          <w:szCs w:val="24"/>
          <w:lang w:val="zh-CN" w:bidi="zh-CN"/>
        </w:rPr>
      </w:pPr>
      <w:r>
        <w:rPr>
          <w:rFonts w:hint="eastAsia" w:ascii="宋体" w:hAnsi="宋体" w:cs="宋体"/>
          <w:spacing w:val="-10"/>
          <w:kern w:val="0"/>
          <w:sz w:val="24"/>
          <w:szCs w:val="24"/>
          <w:lang w:val="en-US" w:bidi="zh-CN"/>
        </w:rPr>
        <w:t>10</w:t>
      </w:r>
      <w:r>
        <w:rPr>
          <w:rFonts w:hint="eastAsia" w:ascii="宋体" w:hAnsi="宋体" w:cs="宋体"/>
          <w:kern w:val="0"/>
          <w:sz w:val="24"/>
          <w:szCs w:val="24"/>
          <w:lang w:val="en-US" w:bidi="zh-CN"/>
        </w:rPr>
        <w:t>4-1</w:t>
      </w:r>
      <w:r>
        <w:rPr>
          <w:rFonts w:ascii="宋体" w:hAnsi="宋体" w:cs="宋体"/>
          <w:spacing w:val="-10"/>
          <w:kern w:val="0"/>
          <w:sz w:val="24"/>
          <w:szCs w:val="24"/>
          <w:lang w:val="zh-CN" w:bidi="zh-CN"/>
        </w:rPr>
        <w:t>临时供电设施架设、维护与拆除：开工报告批准的临时供电设施安装后支</w:t>
      </w:r>
      <w:r>
        <w:rPr>
          <w:rFonts w:ascii="宋体" w:hAnsi="宋体" w:cs="宋体"/>
          <w:spacing w:val="-16"/>
          <w:kern w:val="0"/>
          <w:sz w:val="24"/>
          <w:szCs w:val="24"/>
          <w:lang w:val="zh-CN" w:bidi="zh-CN"/>
        </w:rPr>
        <w:t xml:space="preserve">付此项费用的 </w:t>
      </w:r>
      <w:r>
        <w:rPr>
          <w:rFonts w:ascii="宋体" w:hAnsi="宋体" w:cs="宋体"/>
          <w:kern w:val="0"/>
          <w:sz w:val="24"/>
          <w:szCs w:val="24"/>
          <w:lang w:val="zh-CN" w:bidi="zh-CN"/>
        </w:rPr>
        <w:t>80%，交工后拆除所安装设备及系统恢复到工程实施前的状态，工程</w:t>
      </w:r>
      <w:r>
        <w:rPr>
          <w:rFonts w:ascii="宋体" w:hAnsi="宋体" w:cs="宋体"/>
          <w:spacing w:val="-6"/>
          <w:kern w:val="0"/>
          <w:sz w:val="24"/>
          <w:szCs w:val="24"/>
          <w:lang w:val="zh-CN" w:bidi="zh-CN"/>
        </w:rPr>
        <w:t xml:space="preserve">交工验收后支付剩余的 </w:t>
      </w:r>
      <w:r>
        <w:rPr>
          <w:rFonts w:ascii="宋体" w:hAnsi="宋体" w:cs="宋体"/>
          <w:kern w:val="0"/>
          <w:sz w:val="24"/>
          <w:szCs w:val="24"/>
          <w:lang w:val="zh-CN" w:bidi="zh-CN"/>
        </w:rPr>
        <w:t>20%。</w:t>
      </w:r>
    </w:p>
    <w:p w14:paraId="58C7E2EE">
      <w:pPr>
        <w:numPr>
          <w:ilvl w:val="0"/>
          <w:numId w:val="0"/>
        </w:numPr>
        <w:tabs>
          <w:tab w:val="left" w:pos="1484"/>
        </w:tabs>
        <w:autoSpaceDE w:val="0"/>
        <w:autoSpaceDN w:val="0"/>
        <w:spacing w:before="3" w:line="360" w:lineRule="auto"/>
        <w:ind w:left="899" w:leftChars="428" w:right="466" w:rightChars="0" w:firstLine="654" w:firstLineChars="300"/>
        <w:rPr>
          <w:rFonts w:ascii="宋体" w:hAnsi="宋体" w:cs="宋体"/>
          <w:kern w:val="0"/>
          <w:sz w:val="24"/>
          <w:szCs w:val="24"/>
          <w:lang w:val="zh-CN" w:bidi="zh-CN"/>
        </w:rPr>
      </w:pPr>
      <w:r>
        <w:rPr>
          <w:rFonts w:hint="eastAsia" w:ascii="宋体" w:hAnsi="宋体" w:cs="宋体"/>
          <w:spacing w:val="-11"/>
          <w:kern w:val="0"/>
          <w:sz w:val="24"/>
          <w:szCs w:val="24"/>
          <w:lang w:val="en-US" w:bidi="zh-CN"/>
        </w:rPr>
        <w:t>105-1</w:t>
      </w:r>
      <w:r>
        <w:rPr>
          <w:rFonts w:ascii="宋体" w:hAnsi="宋体" w:cs="宋体"/>
          <w:spacing w:val="-11"/>
          <w:kern w:val="0"/>
          <w:sz w:val="24"/>
          <w:szCs w:val="24"/>
          <w:lang w:val="zh-CN" w:bidi="zh-CN"/>
        </w:rPr>
        <w:t>电信设施的提供、维护与拆除：开工报告批准的临时电信设施安装后支付</w:t>
      </w:r>
      <w:r>
        <w:rPr>
          <w:rFonts w:ascii="宋体" w:hAnsi="宋体" w:cs="宋体"/>
          <w:spacing w:val="-18"/>
          <w:kern w:val="0"/>
          <w:sz w:val="24"/>
          <w:szCs w:val="24"/>
          <w:lang w:val="zh-CN" w:bidi="zh-CN"/>
        </w:rPr>
        <w:t xml:space="preserve">此项费用的 </w:t>
      </w:r>
      <w:r>
        <w:rPr>
          <w:rFonts w:ascii="宋体" w:hAnsi="宋体" w:cs="宋体"/>
          <w:kern w:val="0"/>
          <w:sz w:val="24"/>
          <w:szCs w:val="24"/>
          <w:lang w:val="zh-CN" w:bidi="zh-CN"/>
        </w:rPr>
        <w:t>80%，交工后拆除所安装设备及系统恢复到工程实施前的状态，工程交</w:t>
      </w:r>
      <w:r>
        <w:rPr>
          <w:rFonts w:ascii="宋体" w:hAnsi="宋体" w:cs="宋体"/>
          <w:spacing w:val="-7"/>
          <w:kern w:val="0"/>
          <w:sz w:val="24"/>
          <w:szCs w:val="24"/>
          <w:lang w:val="zh-CN" w:bidi="zh-CN"/>
        </w:rPr>
        <w:t xml:space="preserve">工验收后支付剩余的 </w:t>
      </w:r>
      <w:r>
        <w:rPr>
          <w:rFonts w:ascii="宋体" w:hAnsi="宋体" w:cs="宋体"/>
          <w:kern w:val="0"/>
          <w:sz w:val="24"/>
          <w:szCs w:val="24"/>
          <w:lang w:val="zh-CN" w:bidi="zh-CN"/>
        </w:rPr>
        <w:t>20%。</w:t>
      </w:r>
    </w:p>
    <w:p w14:paraId="2E9C0C04">
      <w:pPr>
        <w:numPr>
          <w:ilvl w:val="0"/>
          <w:numId w:val="0"/>
        </w:numPr>
        <w:tabs>
          <w:tab w:val="left" w:pos="1484"/>
        </w:tabs>
        <w:autoSpaceDE w:val="0"/>
        <w:autoSpaceDN w:val="0"/>
        <w:spacing w:line="360" w:lineRule="auto"/>
        <w:ind w:left="958" w:leftChars="456" w:right="466" w:rightChars="0" w:firstLine="521" w:firstLineChars="237"/>
        <w:rPr>
          <w:rFonts w:ascii="宋体" w:hAnsi="宋体" w:cs="宋体"/>
          <w:kern w:val="0"/>
          <w:sz w:val="24"/>
          <w:szCs w:val="24"/>
          <w:lang w:val="zh-CN" w:bidi="zh-CN"/>
        </w:rPr>
      </w:pPr>
      <w:r>
        <w:rPr>
          <w:rFonts w:hint="eastAsia" w:ascii="宋体" w:hAnsi="宋体" w:cs="宋体"/>
          <w:spacing w:val="-10"/>
          <w:kern w:val="0"/>
          <w:sz w:val="24"/>
          <w:szCs w:val="24"/>
          <w:lang w:val="en-US" w:bidi="zh-CN"/>
        </w:rPr>
        <w:t>106-1</w:t>
      </w:r>
      <w:r>
        <w:rPr>
          <w:rFonts w:ascii="宋体" w:hAnsi="宋体" w:cs="宋体"/>
          <w:spacing w:val="-10"/>
          <w:kern w:val="0"/>
          <w:sz w:val="24"/>
          <w:szCs w:val="24"/>
          <w:lang w:val="zh-CN" w:bidi="zh-CN"/>
        </w:rPr>
        <w:t>临时供水与排污设施：供水与排污设施实施经监理人签认后支付此项费用</w:t>
      </w:r>
      <w:r>
        <w:rPr>
          <w:rFonts w:ascii="宋体" w:hAnsi="宋体" w:cs="宋体"/>
          <w:spacing w:val="-31"/>
          <w:kern w:val="0"/>
          <w:sz w:val="24"/>
          <w:szCs w:val="24"/>
          <w:lang w:val="zh-CN" w:bidi="zh-CN"/>
        </w:rPr>
        <w:t xml:space="preserve">的 </w:t>
      </w:r>
      <w:r>
        <w:rPr>
          <w:rFonts w:ascii="宋体" w:hAnsi="宋体" w:cs="宋体"/>
          <w:kern w:val="0"/>
          <w:sz w:val="24"/>
          <w:szCs w:val="24"/>
          <w:lang w:val="zh-CN" w:bidi="zh-CN"/>
        </w:rPr>
        <w:t>90%，交工后拆除其全部临时排污设施恢复到工程实施前的状态，工程交工验收</w:t>
      </w:r>
      <w:r>
        <w:rPr>
          <w:rFonts w:ascii="宋体" w:hAnsi="宋体" w:cs="宋体"/>
          <w:spacing w:val="-9"/>
          <w:kern w:val="0"/>
          <w:sz w:val="24"/>
          <w:szCs w:val="24"/>
          <w:lang w:val="zh-CN" w:bidi="zh-CN"/>
        </w:rPr>
        <w:t xml:space="preserve">后支付剩余的 </w:t>
      </w:r>
      <w:r>
        <w:rPr>
          <w:rFonts w:ascii="宋体" w:hAnsi="宋体" w:cs="宋体"/>
          <w:kern w:val="0"/>
          <w:sz w:val="24"/>
          <w:szCs w:val="24"/>
          <w:lang w:val="zh-CN" w:bidi="zh-CN"/>
        </w:rPr>
        <w:t>10%。</w:t>
      </w:r>
    </w:p>
    <w:p w14:paraId="64F2E084">
      <w:pPr>
        <w:autoSpaceDE w:val="0"/>
        <w:autoSpaceDN w:val="0"/>
        <w:spacing w:before="2" w:line="360" w:lineRule="auto"/>
        <w:ind w:left="861" w:leftChars="410" w:right="466" w:firstLine="616" w:firstLineChars="257"/>
        <w:rPr>
          <w:rFonts w:ascii="宋体" w:hAnsi="宋体" w:cs="宋体"/>
          <w:kern w:val="0"/>
          <w:sz w:val="24"/>
          <w:szCs w:val="24"/>
          <w:lang w:val="zh-CN" w:bidi="zh-CN"/>
        </w:rPr>
      </w:pPr>
      <w:r>
        <w:rPr>
          <w:rFonts w:hint="eastAsia" w:ascii="宋体" w:hAnsi="宋体" w:cs="宋体"/>
          <w:kern w:val="0"/>
          <w:sz w:val="24"/>
          <w:szCs w:val="24"/>
          <w:lang w:val="en-US" w:bidi="zh-CN"/>
        </w:rPr>
        <w:t>107-1</w:t>
      </w:r>
      <w:r>
        <w:rPr>
          <w:rFonts w:ascii="宋体" w:hAnsi="宋体" w:cs="宋体"/>
          <w:spacing w:val="-10"/>
          <w:kern w:val="0"/>
          <w:sz w:val="24"/>
          <w:szCs w:val="24"/>
          <w:lang w:val="zh-CN" w:bidi="zh-CN"/>
        </w:rPr>
        <w:t>承包人驻地建设：驻地建设完成、开工报告批准、工地试验室制备齐全后</w:t>
      </w:r>
      <w:r>
        <w:rPr>
          <w:rFonts w:ascii="宋体" w:hAnsi="宋体" w:cs="宋体"/>
          <w:spacing w:val="-15"/>
          <w:kern w:val="0"/>
          <w:sz w:val="24"/>
          <w:szCs w:val="24"/>
          <w:lang w:val="zh-CN" w:bidi="zh-CN"/>
        </w:rPr>
        <w:t xml:space="preserve">支付此项费用的 </w:t>
      </w:r>
      <w:r>
        <w:rPr>
          <w:rFonts w:ascii="宋体" w:hAnsi="宋体" w:cs="宋体"/>
          <w:kern w:val="0"/>
          <w:sz w:val="24"/>
          <w:szCs w:val="24"/>
          <w:lang w:val="zh-CN" w:bidi="zh-CN"/>
        </w:rPr>
        <w:t>90%，按照合同或协议将驻地移走、清除、恢复原貌后，工程交工</w:t>
      </w:r>
      <w:r>
        <w:rPr>
          <w:rFonts w:ascii="宋体" w:hAnsi="宋体" w:cs="宋体"/>
          <w:spacing w:val="-7"/>
          <w:kern w:val="0"/>
          <w:sz w:val="24"/>
          <w:szCs w:val="24"/>
          <w:lang w:val="zh-CN" w:bidi="zh-CN"/>
        </w:rPr>
        <w:t xml:space="preserve">验收后支付剩余的 </w:t>
      </w:r>
      <w:r>
        <w:rPr>
          <w:rFonts w:ascii="宋体" w:hAnsi="宋体" w:cs="宋体"/>
          <w:kern w:val="0"/>
          <w:sz w:val="24"/>
          <w:szCs w:val="24"/>
          <w:lang w:val="zh-CN" w:bidi="zh-CN"/>
        </w:rPr>
        <w:t>10%。</w:t>
      </w:r>
    </w:p>
    <w:p w14:paraId="4AF293EB">
      <w:pPr>
        <w:autoSpaceDE w:val="0"/>
        <w:autoSpaceDN w:val="0"/>
        <w:spacing w:line="360" w:lineRule="auto"/>
        <w:ind w:left="863" w:leftChars="411" w:right="466" w:firstLine="480" w:firstLineChars="200"/>
        <w:rPr>
          <w:rFonts w:ascii="宋体" w:hAnsi="宋体" w:cs="宋体"/>
          <w:kern w:val="0"/>
          <w:sz w:val="24"/>
          <w:szCs w:val="24"/>
          <w:lang w:val="zh-CN" w:bidi="zh-CN"/>
        </w:rPr>
      </w:pPr>
      <w:r>
        <w:rPr>
          <w:rFonts w:ascii="宋体" w:hAnsi="宋体" w:cs="宋体"/>
          <w:kern w:val="0"/>
          <w:sz w:val="24"/>
          <w:szCs w:val="24"/>
          <w:lang w:val="zh-CN" w:bidi="zh-CN"/>
        </w:rPr>
        <w:t>10</w:t>
      </w:r>
      <w:r>
        <w:rPr>
          <w:rFonts w:hint="eastAsia" w:ascii="宋体" w:hAnsi="宋体" w:cs="宋体"/>
          <w:kern w:val="0"/>
          <w:sz w:val="24"/>
          <w:szCs w:val="24"/>
          <w:lang w:val="en-US" w:bidi="zh-CN"/>
        </w:rPr>
        <w:t>8</w:t>
      </w:r>
      <w:r>
        <w:rPr>
          <w:rFonts w:ascii="宋体" w:hAnsi="宋体" w:cs="宋体"/>
          <w:kern w:val="0"/>
          <w:sz w:val="24"/>
          <w:szCs w:val="24"/>
          <w:lang w:val="zh-CN" w:bidi="zh-CN"/>
        </w:rPr>
        <w:t>-1</w:t>
      </w:r>
      <w:r>
        <w:rPr>
          <w:rFonts w:ascii="宋体" w:hAnsi="宋体" w:cs="宋体"/>
          <w:spacing w:val="-11"/>
          <w:kern w:val="0"/>
          <w:sz w:val="24"/>
          <w:szCs w:val="24"/>
          <w:lang w:val="zh-CN" w:bidi="zh-CN"/>
        </w:rPr>
        <w:t>安全生产费：施工安全设施费用及与此有关的一切作业经监理人对工程安</w:t>
      </w:r>
      <w:r>
        <w:rPr>
          <w:rFonts w:ascii="宋体" w:hAnsi="宋体" w:cs="宋体"/>
          <w:spacing w:val="-13"/>
          <w:kern w:val="0"/>
          <w:sz w:val="24"/>
          <w:szCs w:val="24"/>
          <w:lang w:val="zh-CN" w:bidi="zh-CN"/>
        </w:rPr>
        <w:t xml:space="preserve">全生产情况检查达到安全合格标准后，以总额的 </w:t>
      </w:r>
      <w:r>
        <w:rPr>
          <w:rFonts w:ascii="宋体" w:hAnsi="宋体" w:cs="宋体"/>
          <w:kern w:val="0"/>
          <w:sz w:val="24"/>
          <w:szCs w:val="24"/>
          <w:lang w:val="zh-CN" w:bidi="zh-CN"/>
        </w:rPr>
        <w:t>90%按月（合同工期）平均分次支</w:t>
      </w:r>
      <w:r>
        <w:rPr>
          <w:rFonts w:ascii="宋体" w:hAnsi="宋体" w:cs="宋体"/>
          <w:spacing w:val="-3"/>
          <w:kern w:val="0"/>
          <w:sz w:val="24"/>
          <w:szCs w:val="24"/>
          <w:lang w:val="zh-CN" w:bidi="zh-CN"/>
        </w:rPr>
        <w:t xml:space="preserve">付。交工验收后经监理人同意后支付剩余的 </w:t>
      </w:r>
      <w:r>
        <w:rPr>
          <w:rFonts w:ascii="宋体" w:hAnsi="宋体" w:cs="宋体"/>
          <w:kern w:val="0"/>
          <w:sz w:val="24"/>
          <w:szCs w:val="24"/>
          <w:lang w:val="zh-CN" w:bidi="zh-CN"/>
        </w:rPr>
        <w:t>10%。如承包人在此基础上增加安全生产费用以满足项目施工需要，则承包人应在本项目工程量清单其他相关子目的单价或总额价中予以考虑，发包人不再另行支付。</w:t>
      </w:r>
    </w:p>
    <w:p w14:paraId="56080577">
      <w:pPr>
        <w:tabs>
          <w:tab w:val="left" w:pos="1529"/>
        </w:tabs>
        <w:autoSpaceDE w:val="0"/>
        <w:autoSpaceDN w:val="0"/>
        <w:spacing w:line="360" w:lineRule="auto"/>
        <w:ind w:left="863" w:leftChars="411" w:right="467" w:firstLine="540" w:firstLineChars="225"/>
        <w:rPr>
          <w:rFonts w:ascii="宋体" w:hAnsi="宋体" w:cs="宋体"/>
          <w:kern w:val="0"/>
          <w:sz w:val="24"/>
          <w:szCs w:val="24"/>
          <w:lang w:val="zh-CN" w:bidi="zh-CN"/>
        </w:rPr>
      </w:pPr>
      <w:r>
        <w:rPr>
          <w:rFonts w:hint="eastAsia" w:ascii="宋体" w:hAnsi="宋体" w:cs="宋体"/>
          <w:kern w:val="0"/>
          <w:sz w:val="24"/>
          <w:szCs w:val="24"/>
          <w:lang w:val="zh-CN" w:bidi="zh-CN"/>
        </w:rPr>
        <w:t>18.2</w:t>
      </w:r>
      <w:r>
        <w:rPr>
          <w:rFonts w:ascii="宋体" w:hAnsi="宋体" w:cs="宋体"/>
          <w:kern w:val="0"/>
          <w:sz w:val="24"/>
          <w:szCs w:val="24"/>
          <w:lang w:val="zh-CN" w:bidi="zh-CN"/>
        </w:rPr>
        <w:t>对承包人超出设计图纸范围和因承包人原因造成返工的工程量，不予计量。</w:t>
      </w:r>
    </w:p>
    <w:p w14:paraId="0C2A0701">
      <w:pPr>
        <w:tabs>
          <w:tab w:val="left" w:pos="1523"/>
          <w:tab w:val="left" w:pos="1524"/>
        </w:tabs>
        <w:autoSpaceDE w:val="0"/>
        <w:autoSpaceDN w:val="0"/>
        <w:spacing w:line="360" w:lineRule="auto"/>
        <w:ind w:left="384" w:firstLine="1022" w:firstLineChars="426"/>
        <w:jc w:val="left"/>
        <w:rPr>
          <w:rFonts w:ascii="宋体" w:hAnsi="宋体" w:cs="宋体"/>
          <w:kern w:val="0"/>
          <w:sz w:val="24"/>
          <w:szCs w:val="24"/>
          <w:lang w:val="zh-CN" w:bidi="zh-CN"/>
        </w:rPr>
      </w:pPr>
      <w:r>
        <w:rPr>
          <w:rFonts w:hint="eastAsia" w:ascii="宋体" w:hAnsi="宋体" w:cs="宋体"/>
          <w:kern w:val="0"/>
          <w:sz w:val="24"/>
          <w:szCs w:val="24"/>
          <w:lang w:val="zh-CN" w:bidi="zh-CN"/>
        </w:rPr>
        <w:t>18.3</w:t>
      </w:r>
      <w:r>
        <w:rPr>
          <w:rFonts w:ascii="宋体" w:hAnsi="宋体" w:cs="宋体"/>
          <w:kern w:val="0"/>
          <w:sz w:val="24"/>
          <w:szCs w:val="24"/>
          <w:lang w:val="zh-CN" w:bidi="zh-CN"/>
        </w:rPr>
        <w:t>月支付：</w:t>
      </w:r>
    </w:p>
    <w:p w14:paraId="14671CD1">
      <w:pPr>
        <w:autoSpaceDE w:val="0"/>
        <w:autoSpaceDN w:val="0"/>
        <w:spacing w:before="84" w:line="360" w:lineRule="auto"/>
        <w:ind w:left="864"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（1）承包人应在每月 25 日前向监理人提交由其项目经理签署的按《工程进度计量报表》格式填写月结账单一式 6 份；</w:t>
      </w:r>
    </w:p>
    <w:p w14:paraId="503104A5">
      <w:pPr>
        <w:autoSpaceDE w:val="0"/>
        <w:autoSpaceDN w:val="0"/>
        <w:spacing w:before="84" w:line="360" w:lineRule="auto"/>
        <w:ind w:left="864"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（2）监理人在收到月结账单后 7 天内签发中期支付证书，签发时应写明其认为应该到期结算的价款及需要扣留和扣回的款额并报发包人审批；</w:t>
      </w:r>
    </w:p>
    <w:p w14:paraId="202EFE1C">
      <w:pPr>
        <w:autoSpaceDE w:val="0"/>
        <w:autoSpaceDN w:val="0"/>
        <w:spacing w:before="3" w:line="360" w:lineRule="auto"/>
        <w:ind w:left="864"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（3）</w:t>
      </w:r>
      <w:r>
        <w:rPr>
          <w:rFonts w:ascii="宋体" w:hAnsi="宋体" w:cs="宋体"/>
          <w:spacing w:val="-3"/>
          <w:kern w:val="0"/>
          <w:sz w:val="24"/>
          <w:szCs w:val="24"/>
          <w:lang w:val="zh-CN" w:bidi="zh-CN"/>
        </w:rPr>
        <w:t xml:space="preserve">发包人应在收到该中期支付证书后 </w:t>
      </w:r>
      <w:r>
        <w:rPr>
          <w:rFonts w:ascii="宋体" w:hAnsi="宋体" w:cs="宋体"/>
          <w:kern w:val="0"/>
          <w:sz w:val="24"/>
          <w:szCs w:val="24"/>
          <w:lang w:val="zh-CN" w:bidi="zh-CN"/>
        </w:rPr>
        <w:t>14</w:t>
      </w:r>
      <w:r>
        <w:rPr>
          <w:rFonts w:ascii="宋体" w:hAnsi="宋体" w:cs="宋体"/>
          <w:spacing w:val="13"/>
          <w:kern w:val="0"/>
          <w:sz w:val="24"/>
          <w:szCs w:val="24"/>
          <w:lang w:val="zh-CN" w:bidi="zh-CN"/>
        </w:rPr>
        <w:t xml:space="preserve"> </w:t>
      </w:r>
      <w:r>
        <w:rPr>
          <w:rFonts w:ascii="宋体" w:hAnsi="宋体" w:cs="宋体"/>
          <w:kern w:val="0"/>
          <w:sz w:val="24"/>
          <w:szCs w:val="24"/>
          <w:lang w:val="zh-CN" w:bidi="zh-CN"/>
        </w:rPr>
        <w:t>天内支付给承包人。如果发包人在</w:t>
      </w:r>
      <w:r>
        <w:rPr>
          <w:rFonts w:ascii="宋体" w:hAnsi="宋体" w:cs="宋体"/>
          <w:spacing w:val="-2"/>
          <w:kern w:val="0"/>
          <w:sz w:val="24"/>
          <w:szCs w:val="24"/>
          <w:lang w:val="zh-CN" w:bidi="zh-CN"/>
        </w:rPr>
        <w:t xml:space="preserve">上述期限内未能付款，发包人应按全国银行间同业拆借中心公布的 </w:t>
      </w:r>
      <w:r>
        <w:rPr>
          <w:rFonts w:ascii="宋体" w:hAnsi="宋体" w:cs="宋体"/>
          <w:kern w:val="0"/>
          <w:sz w:val="24"/>
          <w:szCs w:val="24"/>
          <w:lang w:val="zh-CN" w:bidi="zh-CN"/>
        </w:rPr>
        <w:t>1</w:t>
      </w:r>
      <w:r>
        <w:rPr>
          <w:rFonts w:ascii="宋体" w:hAnsi="宋体" w:cs="宋体"/>
          <w:spacing w:val="11"/>
          <w:kern w:val="0"/>
          <w:sz w:val="24"/>
          <w:szCs w:val="24"/>
          <w:lang w:val="zh-CN" w:bidi="zh-CN"/>
        </w:rPr>
        <w:t xml:space="preserve"> </w:t>
      </w:r>
      <w:r>
        <w:rPr>
          <w:rFonts w:ascii="宋体" w:hAnsi="宋体" w:cs="宋体"/>
          <w:kern w:val="0"/>
          <w:sz w:val="24"/>
          <w:szCs w:val="24"/>
          <w:lang w:val="zh-CN" w:bidi="zh-CN"/>
        </w:rPr>
        <w:t>年期贷款市场报价利率向承包人支付未付款额的利息，付息时间从应付而未付该款额之日算起。</w:t>
      </w:r>
    </w:p>
    <w:p w14:paraId="77FE088D">
      <w:pPr>
        <w:tabs>
          <w:tab w:val="left" w:pos="1524"/>
        </w:tabs>
        <w:autoSpaceDE w:val="0"/>
        <w:autoSpaceDN w:val="0"/>
        <w:spacing w:before="4" w:line="360" w:lineRule="auto"/>
        <w:ind w:left="864" w:right="466" w:firstLine="460" w:firstLineChars="200"/>
        <w:rPr>
          <w:rFonts w:ascii="宋体" w:hAnsi="宋体" w:cs="宋体"/>
          <w:kern w:val="0"/>
          <w:sz w:val="24"/>
          <w:szCs w:val="24"/>
          <w:lang w:val="zh-CN" w:bidi="zh-CN"/>
        </w:rPr>
      </w:pPr>
      <w:r>
        <w:rPr>
          <w:rFonts w:hint="eastAsia" w:ascii="宋体" w:hAnsi="宋体" w:cs="宋体"/>
          <w:spacing w:val="-5"/>
          <w:kern w:val="0"/>
          <w:sz w:val="24"/>
          <w:szCs w:val="24"/>
          <w:lang w:val="zh-CN" w:bidi="zh-CN"/>
        </w:rPr>
        <w:t>18.4</w:t>
      </w:r>
      <w:r>
        <w:rPr>
          <w:rFonts w:ascii="宋体" w:hAnsi="宋体" w:cs="宋体"/>
          <w:spacing w:val="-5"/>
          <w:kern w:val="0"/>
          <w:sz w:val="24"/>
          <w:szCs w:val="24"/>
          <w:lang w:val="zh-CN" w:bidi="zh-CN"/>
        </w:rPr>
        <w:t xml:space="preserve">在合同工程交工证书签发后 </w:t>
      </w:r>
      <w:r>
        <w:rPr>
          <w:rFonts w:ascii="宋体" w:hAnsi="宋体" w:cs="宋体"/>
          <w:kern w:val="0"/>
          <w:sz w:val="24"/>
          <w:szCs w:val="24"/>
          <w:lang w:val="zh-CN" w:bidi="zh-CN"/>
        </w:rPr>
        <w:t xml:space="preserve">42 </w:t>
      </w:r>
      <w:r>
        <w:rPr>
          <w:rFonts w:ascii="宋体" w:hAnsi="宋体" w:cs="宋体"/>
          <w:spacing w:val="-5"/>
          <w:kern w:val="0"/>
          <w:sz w:val="24"/>
          <w:szCs w:val="24"/>
          <w:lang w:val="zh-CN" w:bidi="zh-CN"/>
        </w:rPr>
        <w:t>天之内，承包人应向监理人提交一份交工结算单，并附上详细文件，表明：</w:t>
      </w:r>
    </w:p>
    <w:p w14:paraId="0948FA03">
      <w:pPr>
        <w:autoSpaceDE w:val="0"/>
        <w:autoSpaceDN w:val="0"/>
        <w:spacing w:before="1" w:line="360" w:lineRule="auto"/>
        <w:ind w:left="864"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（1）按交工证书中写明的交工日期，完成的合同全部工程的最终价值；</w:t>
      </w:r>
    </w:p>
    <w:p w14:paraId="788C1444">
      <w:pPr>
        <w:autoSpaceDE w:val="0"/>
        <w:autoSpaceDN w:val="0"/>
        <w:spacing w:before="1" w:line="360" w:lineRule="auto"/>
        <w:ind w:left="864"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（2）承包人认为应支付的其他款项。</w:t>
      </w:r>
    </w:p>
    <w:p w14:paraId="4F2B3539">
      <w:pPr>
        <w:tabs>
          <w:tab w:val="left" w:pos="1523"/>
          <w:tab w:val="left" w:pos="1524"/>
        </w:tabs>
        <w:autoSpaceDE w:val="0"/>
        <w:autoSpaceDN w:val="0"/>
        <w:spacing w:before="84" w:line="360" w:lineRule="auto"/>
        <w:ind w:left="864" w:right="346" w:firstLine="448" w:firstLineChars="200"/>
        <w:jc w:val="left"/>
        <w:rPr>
          <w:rFonts w:ascii="宋体" w:hAnsi="宋体" w:cs="宋体"/>
          <w:kern w:val="0"/>
          <w:sz w:val="24"/>
          <w:szCs w:val="24"/>
          <w:lang w:val="zh-CN" w:bidi="zh-CN"/>
        </w:rPr>
      </w:pPr>
      <w:r>
        <w:rPr>
          <w:rFonts w:hint="eastAsia" w:ascii="宋体" w:hAnsi="宋体" w:cs="宋体"/>
          <w:spacing w:val="-8"/>
          <w:kern w:val="0"/>
          <w:sz w:val="24"/>
          <w:szCs w:val="24"/>
          <w:lang w:val="zh-CN" w:bidi="zh-CN"/>
        </w:rPr>
        <w:t>18.5</w:t>
      </w:r>
      <w:r>
        <w:rPr>
          <w:rFonts w:ascii="宋体" w:hAnsi="宋体" w:cs="宋体"/>
          <w:spacing w:val="-8"/>
          <w:kern w:val="0"/>
          <w:sz w:val="24"/>
          <w:szCs w:val="24"/>
          <w:lang w:val="zh-CN" w:bidi="zh-CN"/>
        </w:rPr>
        <w:t xml:space="preserve">在缺陷责任期满的 </w:t>
      </w:r>
      <w:r>
        <w:rPr>
          <w:rFonts w:ascii="宋体" w:hAnsi="宋体" w:cs="宋体"/>
          <w:kern w:val="0"/>
          <w:sz w:val="24"/>
          <w:szCs w:val="24"/>
          <w:lang w:val="zh-CN" w:bidi="zh-CN"/>
        </w:rPr>
        <w:t>14</w:t>
      </w:r>
      <w:r>
        <w:rPr>
          <w:rFonts w:ascii="宋体" w:hAnsi="宋体" w:cs="宋体"/>
          <w:spacing w:val="-12"/>
          <w:kern w:val="0"/>
          <w:sz w:val="24"/>
          <w:szCs w:val="24"/>
          <w:lang w:val="zh-CN" w:bidi="zh-CN"/>
        </w:rPr>
        <w:t xml:space="preserve"> 天内，承包人应向监理人提交一份最后结账单草案， 并附上详细的证明文件，供监理人考虑，表明：</w:t>
      </w:r>
      <w:r>
        <w:rPr>
          <w:rFonts w:ascii="宋体" w:hAnsi="宋体" w:cs="宋体"/>
          <w:kern w:val="0"/>
          <w:sz w:val="24"/>
          <w:szCs w:val="24"/>
          <w:lang w:val="zh-CN" w:bidi="zh-CN"/>
        </w:rPr>
        <w:t xml:space="preserve"> </w:t>
      </w:r>
    </w:p>
    <w:p w14:paraId="35021FAA">
      <w:pPr>
        <w:autoSpaceDE w:val="0"/>
        <w:autoSpaceDN w:val="0"/>
        <w:spacing w:before="1" w:line="360" w:lineRule="auto"/>
        <w:ind w:left="864"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（1）根据合同规定已经完成的全部工程价值；</w:t>
      </w:r>
    </w:p>
    <w:p w14:paraId="4315DA34">
      <w:pPr>
        <w:autoSpaceDE w:val="0"/>
        <w:autoSpaceDN w:val="0"/>
        <w:spacing w:before="1" w:line="360" w:lineRule="auto"/>
        <w:ind w:left="864"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（2）承包人根据合同规定认为应该支付的任何其他的款项。</w:t>
      </w:r>
    </w:p>
    <w:p w14:paraId="49380BA8">
      <w:pPr>
        <w:tabs>
          <w:tab w:val="left" w:pos="1529"/>
        </w:tabs>
        <w:autoSpaceDE w:val="0"/>
        <w:autoSpaceDN w:val="0"/>
        <w:spacing w:before="86" w:line="360" w:lineRule="auto"/>
        <w:ind w:left="864" w:right="467" w:firstLine="480" w:firstLineChars="200"/>
        <w:rPr>
          <w:rFonts w:ascii="宋体" w:hAnsi="宋体" w:cs="宋体"/>
          <w:kern w:val="0"/>
          <w:sz w:val="24"/>
          <w:szCs w:val="24"/>
          <w:lang w:val="zh-CN" w:bidi="zh-CN"/>
        </w:rPr>
      </w:pPr>
      <w:r>
        <w:rPr>
          <w:rFonts w:hint="eastAsia" w:ascii="宋体" w:hAnsi="宋体" w:cs="宋体"/>
          <w:kern w:val="0"/>
          <w:sz w:val="24"/>
          <w:szCs w:val="24"/>
          <w:lang w:val="zh-CN" w:bidi="zh-CN"/>
        </w:rPr>
        <w:t>18.6</w:t>
      </w:r>
      <w:r>
        <w:rPr>
          <w:rFonts w:ascii="宋体" w:hAnsi="宋体" w:cs="宋体"/>
          <w:kern w:val="0"/>
          <w:sz w:val="24"/>
          <w:szCs w:val="24"/>
          <w:lang w:val="zh-CN" w:bidi="zh-CN"/>
        </w:rPr>
        <w:t>在提交最后结账单的同时，承包人应给发包人一份书面清账书并抄送监理人，确认最后结账单中的总额作为应付给承包人的全部款项的最后结算。</w:t>
      </w:r>
    </w:p>
    <w:p w14:paraId="759863A3">
      <w:pPr>
        <w:autoSpaceDE w:val="0"/>
        <w:autoSpaceDN w:val="0"/>
        <w:spacing w:before="1" w:line="360" w:lineRule="auto"/>
        <w:ind w:left="384" w:right="465" w:firstLine="456" w:firstLineChars="200"/>
        <w:rPr>
          <w:rFonts w:ascii="宋体" w:hAnsi="宋体" w:cs="宋体"/>
          <w:kern w:val="0"/>
          <w:sz w:val="24"/>
          <w:szCs w:val="24"/>
          <w:lang w:val="zh-CN" w:bidi="zh-CN"/>
        </w:rPr>
      </w:pPr>
      <w:r>
        <w:rPr>
          <w:rFonts w:ascii="宋体" w:hAnsi="宋体" w:cs="宋体"/>
          <w:spacing w:val="-6"/>
          <w:kern w:val="0"/>
          <w:sz w:val="24"/>
          <w:szCs w:val="24"/>
          <w:lang w:val="zh-CN" w:bidi="zh-CN"/>
        </w:rPr>
        <w:t xml:space="preserve">在最后结账单收到 </w:t>
      </w:r>
      <w:r>
        <w:rPr>
          <w:rFonts w:ascii="宋体" w:hAnsi="宋体" w:cs="宋体"/>
          <w:kern w:val="0"/>
          <w:sz w:val="24"/>
          <w:szCs w:val="24"/>
          <w:lang w:val="zh-CN" w:bidi="zh-CN"/>
        </w:rPr>
        <w:t>7 天内，监理人应该签发一份最后支付证书报发包人批准， 并抄送承包人，说明：</w:t>
      </w:r>
    </w:p>
    <w:p w14:paraId="530B5F3A">
      <w:pPr>
        <w:autoSpaceDE w:val="0"/>
        <w:autoSpaceDN w:val="0"/>
        <w:spacing w:line="360" w:lineRule="auto"/>
        <w:ind w:left="864"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（1）根据合同规定的最后应付的款额；</w:t>
      </w:r>
    </w:p>
    <w:p w14:paraId="4A0B8DD4">
      <w:pPr>
        <w:autoSpaceDE w:val="0"/>
        <w:autoSpaceDN w:val="0"/>
        <w:spacing w:line="360" w:lineRule="auto"/>
        <w:ind w:left="864"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（2）在对发包人以前所付的全部款额和发包人根据合同规定应得的全部款项予以确认后，发包人欠承包人或承包人欠发包人的差额；</w:t>
      </w:r>
    </w:p>
    <w:p w14:paraId="0FA831D8">
      <w:pPr>
        <w:autoSpaceDE w:val="0"/>
        <w:autoSpaceDN w:val="0"/>
        <w:spacing w:line="360" w:lineRule="auto"/>
        <w:ind w:left="864"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3）工程进度付款的修正，在对以往历次已签发的进度付款证书进行汇总和审核中发现错、漏或重复的，监理人有权修正，承包人也有权提出修正申请。经双方复核同意的修正，应在本次进度付款中支付或扣除。</w:t>
      </w:r>
    </w:p>
    <w:p w14:paraId="08777EFB">
      <w:pPr>
        <w:tabs>
          <w:tab w:val="left" w:pos="1523"/>
          <w:tab w:val="left" w:pos="1524"/>
        </w:tabs>
        <w:autoSpaceDE w:val="0"/>
        <w:autoSpaceDN w:val="0"/>
        <w:spacing w:line="360" w:lineRule="auto"/>
        <w:ind w:firstLine="1440" w:firstLineChars="600"/>
        <w:jc w:val="left"/>
        <w:rPr>
          <w:rFonts w:ascii="宋体" w:hAnsi="宋体" w:cs="宋体"/>
          <w:kern w:val="0"/>
          <w:sz w:val="24"/>
          <w:szCs w:val="24"/>
          <w:lang w:val="zh-CN" w:bidi="zh-CN"/>
        </w:rPr>
      </w:pPr>
      <w:r>
        <w:rPr>
          <w:rFonts w:hint="eastAsia" w:ascii="宋体" w:hAnsi="宋体" w:cs="宋体"/>
          <w:kern w:val="0"/>
          <w:sz w:val="24"/>
          <w:szCs w:val="24"/>
          <w:lang w:val="zh-CN" w:bidi="zh-CN"/>
        </w:rPr>
        <w:t>18.7</w:t>
      </w:r>
      <w:r>
        <w:rPr>
          <w:rFonts w:ascii="宋体" w:hAnsi="宋体" w:cs="宋体"/>
          <w:kern w:val="0"/>
          <w:sz w:val="24"/>
          <w:szCs w:val="24"/>
          <w:lang w:val="zh-CN" w:bidi="zh-CN"/>
        </w:rPr>
        <w:t>质量保证金</w:t>
      </w:r>
    </w:p>
    <w:p w14:paraId="6D507BF4">
      <w:pPr>
        <w:autoSpaceDE w:val="0"/>
        <w:autoSpaceDN w:val="0"/>
        <w:spacing w:before="81" w:line="360" w:lineRule="auto"/>
        <w:ind w:left="384" w:right="465" w:firstLine="480" w:firstLineChars="200"/>
        <w:rPr>
          <w:rFonts w:ascii="宋体" w:hAnsi="宋体" w:cs="宋体"/>
          <w:kern w:val="0"/>
          <w:sz w:val="24"/>
          <w:szCs w:val="24"/>
          <w:lang w:val="zh-CN" w:bidi="zh-CN"/>
        </w:rPr>
      </w:pPr>
      <w:r>
        <w:rPr>
          <w:rFonts w:ascii="宋体" w:hAnsi="宋体" w:cs="宋体"/>
          <w:kern w:val="0"/>
          <w:sz w:val="24"/>
          <w:szCs w:val="24"/>
          <w:lang w:val="zh-CN" w:bidi="zh-CN"/>
        </w:rPr>
        <w:t>（1）</w:t>
      </w:r>
      <w:r>
        <w:rPr>
          <w:rFonts w:ascii="宋体" w:hAnsi="宋体" w:cs="宋体"/>
          <w:spacing w:val="-5"/>
          <w:kern w:val="0"/>
          <w:sz w:val="24"/>
          <w:szCs w:val="24"/>
          <w:lang w:val="zh-CN" w:bidi="zh-CN"/>
        </w:rPr>
        <w:t xml:space="preserve">交工验收证书签发后 </w:t>
      </w:r>
      <w:r>
        <w:rPr>
          <w:rFonts w:ascii="宋体" w:hAnsi="宋体" w:cs="宋体"/>
          <w:kern w:val="0"/>
          <w:sz w:val="24"/>
          <w:szCs w:val="24"/>
          <w:lang w:val="zh-CN" w:bidi="zh-CN"/>
        </w:rPr>
        <w:t>14 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14:paraId="3C5070C8">
      <w:pPr>
        <w:autoSpaceDE w:val="0"/>
        <w:autoSpaceDN w:val="0"/>
        <w:spacing w:before="8" w:line="360" w:lineRule="auto"/>
        <w:ind w:left="384" w:right="465" w:firstLine="480" w:firstLineChars="200"/>
        <w:rPr>
          <w:rFonts w:ascii="宋体" w:hAnsi="宋体" w:cs="宋体"/>
          <w:kern w:val="0"/>
          <w:sz w:val="24"/>
          <w:szCs w:val="24"/>
          <w:lang w:val="zh-CN" w:bidi="zh-CN"/>
        </w:rPr>
      </w:pPr>
      <w:r>
        <w:rPr>
          <w:rFonts w:ascii="宋体" w:hAnsi="宋体" w:cs="宋体"/>
          <w:kern w:val="0"/>
          <w:sz w:val="24"/>
          <w:szCs w:val="24"/>
          <w:lang w:val="zh-CN" w:bidi="zh-CN"/>
        </w:rPr>
        <w:t>质量保证金采用现金、支票形式提交的，发包人应在项目专用合同条款数据表中明确是否计付利息以及利息的计算方式。</w:t>
      </w:r>
    </w:p>
    <w:p w14:paraId="0A823B8A">
      <w:pPr>
        <w:autoSpaceDE w:val="0"/>
        <w:autoSpaceDN w:val="0"/>
        <w:spacing w:before="1" w:line="360" w:lineRule="auto"/>
        <w:ind w:left="384" w:right="466" w:firstLine="440" w:firstLineChars="200"/>
        <w:rPr>
          <w:rFonts w:ascii="宋体" w:hAnsi="宋体" w:cs="宋体"/>
          <w:kern w:val="0"/>
          <w:sz w:val="24"/>
          <w:szCs w:val="24"/>
          <w:lang w:val="zh-CN" w:bidi="zh-CN"/>
        </w:rPr>
      </w:pPr>
      <w:r>
        <w:rPr>
          <w:rFonts w:ascii="宋体" w:hAnsi="宋体" w:cs="宋体"/>
          <w:spacing w:val="-10"/>
          <w:kern w:val="0"/>
          <w:sz w:val="24"/>
          <w:szCs w:val="24"/>
          <w:lang w:val="zh-CN" w:bidi="zh-CN"/>
        </w:rPr>
        <w:t>（2）</w:t>
      </w:r>
      <w:r>
        <w:rPr>
          <w:rFonts w:ascii="宋体" w:hAnsi="宋体" w:cs="宋体"/>
          <w:spacing w:val="-5"/>
          <w:kern w:val="0"/>
          <w:sz w:val="24"/>
          <w:szCs w:val="24"/>
          <w:lang w:val="zh-CN" w:bidi="zh-CN"/>
        </w:rPr>
        <w:t>在缺陷责任期满，且质量监督机构已按规定对工程质量检测鉴定合格，承</w:t>
      </w:r>
      <w:r>
        <w:rPr>
          <w:rFonts w:ascii="宋体" w:hAnsi="宋体" w:cs="宋体"/>
          <w:spacing w:val="-10"/>
          <w:kern w:val="0"/>
          <w:sz w:val="24"/>
          <w:szCs w:val="24"/>
          <w:lang w:val="zh-CN" w:bidi="zh-CN"/>
        </w:rPr>
        <w:t xml:space="preserve">包人向发包人申请到期应返还承包人剩余的质量保证金金额，发包人应在 </w:t>
      </w:r>
      <w:r>
        <w:rPr>
          <w:rFonts w:ascii="宋体" w:hAnsi="宋体" w:cs="宋体"/>
          <w:kern w:val="0"/>
          <w:sz w:val="24"/>
          <w:szCs w:val="24"/>
          <w:lang w:val="zh-CN" w:bidi="zh-CN"/>
        </w:rPr>
        <w:t>14 天内会同承包人按照合同约定的内容核实承包人是否完成缺陷责任。如无异议，发包人应当在核实后将剩余的质量保证金返还承包人。</w:t>
      </w:r>
    </w:p>
    <w:p w14:paraId="5FBC4678">
      <w:pPr>
        <w:autoSpaceDE w:val="0"/>
        <w:autoSpaceDN w:val="0"/>
        <w:spacing w:before="7" w:line="360" w:lineRule="auto"/>
        <w:ind w:left="384" w:right="466" w:firstLine="440" w:firstLineChars="200"/>
        <w:rPr>
          <w:rFonts w:ascii="宋体" w:hAnsi="宋体" w:cs="宋体"/>
          <w:kern w:val="0"/>
          <w:sz w:val="24"/>
          <w:szCs w:val="24"/>
          <w:lang w:val="zh-CN" w:bidi="zh-CN"/>
        </w:rPr>
      </w:pPr>
      <w:r>
        <w:rPr>
          <w:rFonts w:ascii="宋体" w:hAnsi="宋体" w:cs="宋体"/>
          <w:spacing w:val="-10"/>
          <w:kern w:val="0"/>
          <w:sz w:val="24"/>
          <w:szCs w:val="24"/>
          <w:lang w:val="zh-CN" w:bidi="zh-CN"/>
        </w:rPr>
        <w:t>（3）</w:t>
      </w:r>
      <w:r>
        <w:rPr>
          <w:rFonts w:ascii="宋体" w:hAnsi="宋体" w:cs="宋体"/>
          <w:spacing w:val="-6"/>
          <w:kern w:val="0"/>
          <w:sz w:val="24"/>
          <w:szCs w:val="24"/>
          <w:lang w:val="zh-CN" w:bidi="zh-CN"/>
        </w:rPr>
        <w:t>在缺陷责任期满时，承包人没有完成缺陷责任的，发包人有权扣留与未履</w:t>
      </w:r>
      <w:r>
        <w:rPr>
          <w:rFonts w:ascii="宋体" w:hAnsi="宋体" w:cs="宋体"/>
          <w:spacing w:val="-9"/>
          <w:kern w:val="0"/>
          <w:sz w:val="24"/>
          <w:szCs w:val="24"/>
          <w:lang w:val="zh-CN" w:bidi="zh-CN"/>
        </w:rPr>
        <w:t xml:space="preserve">行责任剩余工作所需金额相应的质量保证金余额，并有权根据第 </w:t>
      </w:r>
      <w:r>
        <w:rPr>
          <w:rFonts w:ascii="宋体" w:hAnsi="宋体" w:cs="宋体"/>
          <w:kern w:val="0"/>
          <w:sz w:val="24"/>
          <w:szCs w:val="24"/>
          <w:lang w:val="zh-CN" w:bidi="zh-CN"/>
        </w:rPr>
        <w:t>21.4 款约定要求延长缺陷责任期，直至完成剩余工作为止。</w:t>
      </w:r>
    </w:p>
    <w:p w14:paraId="6B2C96F9">
      <w:pPr>
        <w:keepNext/>
        <w:keepLines/>
        <w:widowControl/>
        <w:spacing w:before="260" w:after="260" w:line="415" w:lineRule="auto"/>
        <w:jc w:val="left"/>
        <w:outlineLvl w:val="2"/>
        <w:rPr>
          <w:rFonts w:ascii="宋体" w:hAnsi="宋体" w:cs="宋体"/>
          <w:b/>
          <w:bCs/>
          <w:kern w:val="0"/>
          <w:sz w:val="24"/>
          <w:szCs w:val="24"/>
          <w:lang w:val="zh-CN" w:bidi="zh-CN"/>
        </w:rPr>
      </w:pPr>
      <w:bookmarkStart w:id="148" w:name="_Toc256000053"/>
      <w:r>
        <w:rPr>
          <w:rFonts w:hint="eastAsia" w:ascii="宋体" w:hAnsi="宋体" w:cs="宋体"/>
          <w:b/>
          <w:bCs/>
          <w:kern w:val="0"/>
          <w:sz w:val="24"/>
          <w:szCs w:val="24"/>
          <w:lang w:val="zh-CN" w:bidi="zh-CN"/>
        </w:rPr>
        <w:t xml:space="preserve">七 </w:t>
      </w:r>
      <w:r>
        <w:rPr>
          <w:rFonts w:ascii="宋体" w:hAnsi="宋体" w:cs="宋体"/>
          <w:b/>
          <w:bCs/>
          <w:kern w:val="0"/>
          <w:sz w:val="24"/>
          <w:szCs w:val="24"/>
          <w:lang w:val="zh-CN" w:bidi="zh-CN"/>
        </w:rPr>
        <w:t>试验和检验</w:t>
      </w:r>
      <w:bookmarkEnd w:id="148"/>
    </w:p>
    <w:p w14:paraId="63A1F290">
      <w:pPr>
        <w:keepLines/>
        <w:widowControl/>
        <w:tabs>
          <w:tab w:val="left" w:pos="567"/>
        </w:tabs>
        <w:autoSpaceDE w:val="0"/>
        <w:autoSpaceDN w:val="0"/>
        <w:spacing w:before="120" w:after="120" w:line="360" w:lineRule="auto"/>
        <w:ind w:left="567"/>
        <w:jc w:val="left"/>
        <w:outlineLvl w:val="3"/>
        <w:rPr>
          <w:rFonts w:ascii="宋体" w:hAnsi="宋体"/>
          <w:b/>
          <w:bCs/>
          <w:kern w:val="0"/>
          <w:sz w:val="24"/>
          <w:szCs w:val="24"/>
          <w:lang w:val="zh-CN" w:eastAsia="en-US" w:bidi="zh-CN"/>
        </w:rPr>
      </w:pPr>
      <w:r>
        <w:rPr>
          <w:rFonts w:hint="eastAsia" w:ascii="宋体" w:hAnsi="宋体"/>
          <w:b/>
          <w:bCs/>
          <w:kern w:val="0"/>
          <w:sz w:val="24"/>
          <w:szCs w:val="24"/>
          <w:lang w:val="zh-CN" w:bidi="zh-CN"/>
        </w:rPr>
        <w:t xml:space="preserve">19 </w:t>
      </w:r>
      <w:r>
        <w:rPr>
          <w:rFonts w:ascii="宋体" w:hAnsi="宋体"/>
          <w:b/>
          <w:bCs/>
          <w:kern w:val="0"/>
          <w:sz w:val="24"/>
          <w:szCs w:val="24"/>
          <w:lang w:val="zh-CN" w:bidi="zh-CN"/>
        </w:rPr>
        <w:t>试验和检验</w:t>
      </w:r>
    </w:p>
    <w:p w14:paraId="3E72F0A4">
      <w:pPr>
        <w:tabs>
          <w:tab w:val="left" w:pos="1523"/>
          <w:tab w:val="left" w:pos="1524"/>
        </w:tabs>
        <w:autoSpaceDE w:val="0"/>
        <w:autoSpaceDN w:val="0"/>
        <w:spacing w:before="1" w:line="360" w:lineRule="auto"/>
        <w:ind w:left="806"/>
        <w:jc w:val="left"/>
        <w:rPr>
          <w:rFonts w:ascii="宋体" w:hAnsi="宋体" w:cs="宋体"/>
          <w:kern w:val="0"/>
          <w:sz w:val="24"/>
          <w:szCs w:val="24"/>
          <w:lang w:val="zh-CN" w:bidi="zh-CN"/>
        </w:rPr>
      </w:pPr>
      <w:r>
        <w:rPr>
          <w:rFonts w:hint="eastAsia" w:ascii="宋体" w:hAnsi="宋体" w:cs="宋体"/>
          <w:kern w:val="0"/>
          <w:sz w:val="24"/>
          <w:szCs w:val="24"/>
          <w:lang w:val="zh-CN" w:bidi="zh-CN"/>
        </w:rPr>
        <w:t>19.1</w:t>
      </w:r>
      <w:r>
        <w:rPr>
          <w:rFonts w:ascii="宋体" w:hAnsi="宋体" w:cs="宋体"/>
          <w:kern w:val="0"/>
          <w:sz w:val="24"/>
          <w:szCs w:val="24"/>
          <w:lang w:val="zh-CN" w:bidi="zh-CN"/>
        </w:rPr>
        <w:t>材料、工程设备和工程的试验和检验</w:t>
      </w:r>
    </w:p>
    <w:p w14:paraId="7D5B74CC">
      <w:pPr>
        <w:autoSpaceDE w:val="0"/>
        <w:autoSpaceDN w:val="0"/>
        <w:spacing w:before="83" w:line="360" w:lineRule="auto"/>
        <w:ind w:left="384" w:right="466" w:firstLine="440" w:firstLineChars="200"/>
        <w:rPr>
          <w:rFonts w:ascii="宋体" w:hAnsi="宋体" w:cs="宋体"/>
          <w:kern w:val="0"/>
          <w:sz w:val="24"/>
          <w:szCs w:val="24"/>
          <w:lang w:val="zh-CN" w:bidi="zh-CN"/>
        </w:rPr>
      </w:pPr>
      <w:r>
        <w:rPr>
          <w:rFonts w:ascii="宋体" w:hAnsi="宋体" w:cs="宋体"/>
          <w:spacing w:val="-10"/>
          <w:kern w:val="0"/>
          <w:sz w:val="24"/>
          <w:szCs w:val="24"/>
          <w:lang w:val="zh-CN" w:bidi="zh-CN"/>
        </w:rPr>
        <w:t>（1）</w:t>
      </w:r>
      <w:r>
        <w:rPr>
          <w:rFonts w:ascii="宋体" w:hAnsi="宋体" w:cs="宋体"/>
          <w:spacing w:val="-3"/>
          <w:kern w:val="0"/>
          <w:sz w:val="24"/>
          <w:szCs w:val="24"/>
          <w:lang w:val="zh-CN" w:bidi="zh-CN"/>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ADD225E">
      <w:pPr>
        <w:autoSpaceDE w:val="0"/>
        <w:autoSpaceDN w:val="0"/>
        <w:spacing w:before="74" w:line="360" w:lineRule="auto"/>
        <w:ind w:left="384" w:right="346" w:firstLine="440" w:firstLineChars="200"/>
        <w:jc w:val="left"/>
        <w:rPr>
          <w:rFonts w:ascii="宋体" w:hAnsi="宋体" w:cs="宋体"/>
          <w:kern w:val="0"/>
          <w:sz w:val="24"/>
          <w:szCs w:val="24"/>
          <w:lang w:val="zh-CN" w:bidi="zh-CN"/>
        </w:rPr>
      </w:pPr>
      <w:r>
        <w:rPr>
          <w:rFonts w:ascii="宋体" w:hAnsi="宋体" w:cs="宋体"/>
          <w:spacing w:val="-10"/>
          <w:kern w:val="0"/>
          <w:sz w:val="24"/>
          <w:szCs w:val="24"/>
          <w:lang w:val="zh-CN" w:bidi="zh-CN"/>
        </w:rPr>
        <w:t>（2）</w:t>
      </w:r>
      <w:r>
        <w:rPr>
          <w:rFonts w:ascii="宋体" w:hAnsi="宋体" w:cs="宋体"/>
          <w:spacing w:val="-3"/>
          <w:kern w:val="0"/>
          <w:sz w:val="24"/>
          <w:szCs w:val="24"/>
          <w:lang w:val="zh-CN" w:bidi="zh-CN"/>
        </w:rPr>
        <w:t>监理人未按合同约定派员参加试验和检验的，除监理人另有指示外，承包</w:t>
      </w:r>
      <w:r>
        <w:rPr>
          <w:rFonts w:ascii="宋体" w:hAnsi="宋体" w:cs="宋体"/>
          <w:spacing w:val="-10"/>
          <w:kern w:val="0"/>
          <w:sz w:val="24"/>
          <w:szCs w:val="24"/>
          <w:lang w:val="zh-CN" w:bidi="zh-CN"/>
        </w:rPr>
        <w:t>人可自行试验和检验，并应立即将试验和检验结果报送监理人，监理人应签字确认；</w:t>
      </w:r>
    </w:p>
    <w:p w14:paraId="1EF80C83">
      <w:pPr>
        <w:autoSpaceDE w:val="0"/>
        <w:autoSpaceDN w:val="0"/>
        <w:spacing w:before="4" w:line="360" w:lineRule="auto"/>
        <w:ind w:left="384" w:right="466" w:firstLine="420" w:firstLineChars="200"/>
        <w:rPr>
          <w:rFonts w:ascii="宋体" w:hAnsi="宋体" w:cs="宋体"/>
          <w:kern w:val="0"/>
          <w:sz w:val="24"/>
          <w:szCs w:val="24"/>
          <w:lang w:val="zh-CN" w:bidi="zh-CN"/>
        </w:rPr>
      </w:pPr>
      <w:r>
        <w:rPr>
          <w:rFonts w:ascii="宋体" w:hAnsi="宋体" w:cs="宋体"/>
          <w:spacing w:val="-15"/>
          <w:kern w:val="0"/>
          <w:sz w:val="24"/>
          <w:szCs w:val="24"/>
          <w:lang w:val="zh-CN" w:bidi="zh-CN"/>
        </w:rPr>
        <w:t>（3）</w:t>
      </w:r>
      <w:r>
        <w:rPr>
          <w:rFonts w:ascii="宋体" w:hAnsi="宋体" w:cs="宋体"/>
          <w:spacing w:val="-3"/>
          <w:kern w:val="0"/>
          <w:sz w:val="24"/>
          <w:szCs w:val="24"/>
          <w:lang w:val="zh-CN" w:bidi="zh-CN"/>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w:t>
      </w:r>
      <w:r>
        <w:rPr>
          <w:rFonts w:ascii="宋体" w:hAnsi="宋体" w:cs="宋体"/>
          <w:kern w:val="0"/>
          <w:sz w:val="24"/>
          <w:szCs w:val="24"/>
          <w:lang w:val="zh-CN" w:bidi="zh-CN"/>
        </w:rPr>
        <w:t>求的，由此增加的费用和(</w:t>
      </w:r>
      <w:r>
        <w:rPr>
          <w:rFonts w:ascii="宋体" w:hAnsi="宋体" w:cs="宋体"/>
          <w:spacing w:val="4"/>
          <w:kern w:val="0"/>
          <w:sz w:val="24"/>
          <w:szCs w:val="24"/>
          <w:lang w:val="zh-CN" w:bidi="zh-CN"/>
        </w:rPr>
        <w:t>或</w:t>
      </w:r>
      <w:r>
        <w:rPr>
          <w:rFonts w:ascii="宋体" w:hAnsi="宋体" w:cs="宋体"/>
          <w:kern w:val="0"/>
          <w:sz w:val="24"/>
          <w:szCs w:val="24"/>
          <w:lang w:val="zh-CN" w:bidi="zh-CN"/>
        </w:rPr>
        <w:t>)工期延误由承包人承担；重新试验和检验结果证明该项材料、工程设备和工程符合合同要求，由发包人承担由此增加的费用和</w:t>
      </w:r>
      <w:r>
        <w:rPr>
          <w:rFonts w:ascii="宋体" w:hAnsi="宋体" w:cs="宋体"/>
          <w:spacing w:val="4"/>
          <w:kern w:val="0"/>
          <w:sz w:val="24"/>
          <w:szCs w:val="24"/>
          <w:lang w:val="zh-CN" w:bidi="zh-CN"/>
        </w:rPr>
        <w:t>(</w:t>
      </w:r>
      <w:r>
        <w:rPr>
          <w:rFonts w:ascii="宋体" w:hAnsi="宋体" w:cs="宋体"/>
          <w:kern w:val="0"/>
          <w:sz w:val="24"/>
          <w:szCs w:val="24"/>
          <w:lang w:val="zh-CN" w:bidi="zh-CN"/>
        </w:rPr>
        <w:t>或</w:t>
      </w:r>
      <w:r>
        <w:rPr>
          <w:rFonts w:ascii="宋体" w:hAnsi="宋体" w:cs="宋体"/>
          <w:spacing w:val="4"/>
          <w:kern w:val="0"/>
          <w:sz w:val="24"/>
          <w:szCs w:val="24"/>
          <w:lang w:val="zh-CN" w:bidi="zh-CN"/>
        </w:rPr>
        <w:t>)</w:t>
      </w:r>
      <w:r>
        <w:rPr>
          <w:rFonts w:ascii="宋体" w:hAnsi="宋体" w:cs="宋体"/>
          <w:kern w:val="0"/>
          <w:sz w:val="24"/>
          <w:szCs w:val="24"/>
          <w:lang w:val="zh-CN" w:bidi="zh-CN"/>
        </w:rPr>
        <w:t>工期延误，并支付承包人合理利润。</w:t>
      </w:r>
    </w:p>
    <w:p w14:paraId="06ABA744">
      <w:pPr>
        <w:tabs>
          <w:tab w:val="left" w:pos="1523"/>
          <w:tab w:val="left" w:pos="1524"/>
        </w:tabs>
        <w:autoSpaceDE w:val="0"/>
        <w:autoSpaceDN w:val="0"/>
        <w:spacing w:before="9" w:line="360" w:lineRule="auto"/>
        <w:ind w:left="384" w:firstLine="480"/>
        <w:jc w:val="left"/>
        <w:rPr>
          <w:rFonts w:ascii="宋体" w:hAnsi="宋体" w:cs="宋体"/>
          <w:kern w:val="0"/>
          <w:sz w:val="24"/>
          <w:szCs w:val="24"/>
          <w:lang w:val="zh-CN" w:bidi="zh-CN"/>
        </w:rPr>
      </w:pPr>
      <w:r>
        <w:rPr>
          <w:rFonts w:hint="eastAsia" w:ascii="宋体" w:hAnsi="宋体" w:cs="宋体"/>
          <w:kern w:val="0"/>
          <w:sz w:val="24"/>
          <w:szCs w:val="24"/>
          <w:lang w:val="zh-CN" w:bidi="zh-CN"/>
        </w:rPr>
        <w:t>19.2</w:t>
      </w:r>
      <w:r>
        <w:rPr>
          <w:rFonts w:ascii="宋体" w:hAnsi="宋体" w:cs="宋体"/>
          <w:kern w:val="0"/>
          <w:sz w:val="24"/>
          <w:szCs w:val="24"/>
          <w:lang w:val="zh-CN" w:bidi="zh-CN"/>
        </w:rPr>
        <w:t>现场材料试验</w:t>
      </w:r>
    </w:p>
    <w:p w14:paraId="7E8813E6">
      <w:pPr>
        <w:autoSpaceDE w:val="0"/>
        <w:autoSpaceDN w:val="0"/>
        <w:spacing w:before="83" w:line="360" w:lineRule="auto"/>
        <w:ind w:left="384" w:right="38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（1）承包人根据合同约定或监理人指示进行的现场材料试验，应由承包人提供试验场所、试验人员、试验设备器材以及其他必要的试验条件；</w:t>
      </w:r>
    </w:p>
    <w:p w14:paraId="505FE45C">
      <w:pPr>
        <w:autoSpaceDE w:val="0"/>
        <w:autoSpaceDN w:val="0"/>
        <w:spacing w:before="4" w:line="360" w:lineRule="auto"/>
        <w:ind w:left="384" w:right="38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（2）监理人在必要时可以使用承包人的试验场所、试验设备器材以及其他试验条件，进行以工程质量检查为目的的复核性材料试验，承包人应予以协助。</w:t>
      </w:r>
    </w:p>
    <w:p w14:paraId="00E4BD4B">
      <w:pPr>
        <w:tabs>
          <w:tab w:val="left" w:pos="1344"/>
        </w:tabs>
        <w:autoSpaceDE w:val="0"/>
        <w:autoSpaceDN w:val="0"/>
        <w:spacing w:before="1" w:line="360" w:lineRule="auto"/>
        <w:ind w:left="384" w:firstLine="480"/>
        <w:jc w:val="left"/>
        <w:rPr>
          <w:rFonts w:ascii="宋体" w:hAnsi="宋体" w:cs="宋体"/>
          <w:kern w:val="0"/>
          <w:sz w:val="24"/>
          <w:szCs w:val="24"/>
          <w:lang w:val="zh-CN" w:bidi="zh-CN"/>
        </w:rPr>
      </w:pPr>
      <w:r>
        <w:rPr>
          <w:rFonts w:hint="eastAsia" w:ascii="宋体" w:hAnsi="宋体" w:cs="宋体"/>
          <w:kern w:val="0"/>
          <w:sz w:val="24"/>
          <w:szCs w:val="24"/>
          <w:lang w:val="zh-CN" w:bidi="zh-CN"/>
        </w:rPr>
        <w:t>19.3</w:t>
      </w:r>
      <w:r>
        <w:rPr>
          <w:rFonts w:ascii="宋体" w:hAnsi="宋体" w:cs="宋体"/>
          <w:kern w:val="0"/>
          <w:sz w:val="24"/>
          <w:szCs w:val="24"/>
          <w:lang w:val="zh-CN" w:bidi="zh-CN"/>
        </w:rPr>
        <w:t>承包人采购材料设备</w:t>
      </w:r>
    </w:p>
    <w:p w14:paraId="5AF2295E">
      <w:pPr>
        <w:autoSpaceDE w:val="0"/>
        <w:autoSpaceDN w:val="0"/>
        <w:spacing w:before="86" w:line="360" w:lineRule="auto"/>
        <w:ind w:left="384" w:right="38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（1）除合同另有规定外，为完成本合同各项工作所需的材料和工程设备，均由承包人负责采购、验收、运输和保管；</w:t>
      </w:r>
    </w:p>
    <w:p w14:paraId="7D300862">
      <w:pPr>
        <w:autoSpaceDE w:val="0"/>
        <w:autoSpaceDN w:val="0"/>
        <w:spacing w:before="86" w:line="360" w:lineRule="auto"/>
        <w:ind w:left="384" w:right="38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（2）承包人与供货厂家的供货协议一经签订，应将一份副本提交监理人。</w:t>
      </w:r>
    </w:p>
    <w:p w14:paraId="4A6494CD">
      <w:pPr>
        <w:tabs>
          <w:tab w:val="left" w:pos="1528"/>
          <w:tab w:val="left" w:pos="1529"/>
        </w:tabs>
        <w:autoSpaceDE w:val="0"/>
        <w:autoSpaceDN w:val="0"/>
        <w:spacing w:before="86" w:line="360" w:lineRule="auto"/>
        <w:ind w:left="384" w:right="466" w:firstLine="480"/>
        <w:jc w:val="left"/>
        <w:rPr>
          <w:rFonts w:ascii="宋体" w:hAnsi="宋体" w:cs="宋体"/>
          <w:kern w:val="0"/>
          <w:sz w:val="24"/>
          <w:szCs w:val="24"/>
          <w:lang w:val="zh-CN" w:bidi="zh-CN"/>
        </w:rPr>
      </w:pPr>
      <w:r>
        <w:rPr>
          <w:rFonts w:hint="eastAsia" w:ascii="宋体" w:hAnsi="宋体" w:cs="宋体"/>
          <w:kern w:val="0"/>
          <w:sz w:val="24"/>
          <w:szCs w:val="24"/>
          <w:lang w:val="zh-CN" w:bidi="zh-CN"/>
        </w:rPr>
        <w:t>19.4</w:t>
      </w:r>
      <w:r>
        <w:rPr>
          <w:rFonts w:ascii="宋体" w:hAnsi="宋体" w:cs="宋体"/>
          <w:kern w:val="0"/>
          <w:sz w:val="24"/>
          <w:szCs w:val="24"/>
          <w:lang w:val="zh-CN" w:bidi="zh-CN"/>
        </w:rPr>
        <w:t>进场材料、设备必须符合合同规定，并经监理人认可。不合格的材料、设备应立即搬运出施工场地，不得用于本合同工程。</w:t>
      </w:r>
    </w:p>
    <w:p w14:paraId="3EC29467">
      <w:pPr>
        <w:keepNext/>
        <w:keepLines/>
        <w:widowControl/>
        <w:spacing w:before="260" w:after="260" w:line="415" w:lineRule="auto"/>
        <w:jc w:val="left"/>
        <w:outlineLvl w:val="2"/>
        <w:rPr>
          <w:rFonts w:ascii="宋体" w:hAnsi="宋体" w:cs="宋体"/>
          <w:b/>
          <w:bCs/>
          <w:kern w:val="0"/>
          <w:sz w:val="24"/>
          <w:szCs w:val="24"/>
          <w:lang w:val="zh-CN" w:bidi="zh-CN"/>
        </w:rPr>
      </w:pPr>
      <w:bookmarkStart w:id="149" w:name="_Toc256000054"/>
      <w:r>
        <w:rPr>
          <w:rFonts w:ascii="宋体" w:hAnsi="宋体" w:cs="宋体"/>
          <w:b/>
          <w:bCs/>
          <w:kern w:val="0"/>
          <w:sz w:val="24"/>
          <w:szCs w:val="24"/>
          <w:lang w:val="zh-CN" w:bidi="zh-CN"/>
        </w:rPr>
        <w:t>八、工程变更</w:t>
      </w:r>
      <w:bookmarkEnd w:id="149"/>
    </w:p>
    <w:p w14:paraId="55577A6D">
      <w:pPr>
        <w:keepLines/>
        <w:widowControl/>
        <w:tabs>
          <w:tab w:val="left" w:pos="567"/>
        </w:tabs>
        <w:autoSpaceDE w:val="0"/>
        <w:autoSpaceDN w:val="0"/>
        <w:spacing w:before="120" w:after="120" w:line="360" w:lineRule="auto"/>
        <w:ind w:left="567"/>
        <w:jc w:val="left"/>
        <w:outlineLvl w:val="3"/>
        <w:rPr>
          <w:rFonts w:ascii="宋体" w:hAnsi="宋体"/>
          <w:b/>
          <w:bCs/>
          <w:kern w:val="0"/>
          <w:sz w:val="24"/>
          <w:szCs w:val="24"/>
          <w:lang w:val="zh-CN" w:bidi="zh-CN"/>
        </w:rPr>
      </w:pPr>
      <w:r>
        <w:rPr>
          <w:rFonts w:ascii="宋体" w:hAnsi="宋体"/>
          <w:b/>
          <w:bCs/>
          <w:kern w:val="0"/>
          <w:sz w:val="24"/>
          <w:szCs w:val="24"/>
          <w:lang w:val="zh-CN" w:bidi="zh-CN"/>
        </w:rPr>
        <w:t>20.工程数量及价格的变更</w:t>
      </w:r>
    </w:p>
    <w:p w14:paraId="014B427F">
      <w:pPr>
        <w:numPr>
          <w:ilvl w:val="0"/>
          <w:numId w:val="0"/>
        </w:numPr>
        <w:tabs>
          <w:tab w:val="left" w:pos="1528"/>
          <w:tab w:val="left" w:pos="1529"/>
        </w:tabs>
        <w:autoSpaceDE w:val="0"/>
        <w:autoSpaceDN w:val="0"/>
        <w:spacing w:line="360" w:lineRule="auto"/>
        <w:ind w:leftChars="200" w:right="467" w:rightChars="0" w:firstLine="480" w:firstLineChars="200"/>
        <w:jc w:val="left"/>
        <w:rPr>
          <w:rFonts w:ascii="宋体" w:hAnsi="宋体" w:cs="宋体"/>
          <w:kern w:val="0"/>
          <w:sz w:val="24"/>
          <w:szCs w:val="24"/>
          <w:lang w:val="zh-CN" w:bidi="zh-CN"/>
        </w:rPr>
      </w:pPr>
      <w:r>
        <w:rPr>
          <w:rFonts w:hint="eastAsia" w:ascii="宋体" w:hAnsi="宋体" w:cs="宋体"/>
          <w:kern w:val="0"/>
          <w:sz w:val="24"/>
          <w:szCs w:val="24"/>
          <w:lang w:val="en-US" w:bidi="zh-CN"/>
        </w:rPr>
        <w:t>20.1</w:t>
      </w:r>
      <w:r>
        <w:rPr>
          <w:rFonts w:ascii="宋体" w:hAnsi="宋体" w:cs="宋体"/>
          <w:kern w:val="0"/>
          <w:sz w:val="24"/>
          <w:szCs w:val="24"/>
          <w:lang w:val="zh-CN" w:bidi="zh-CN"/>
        </w:rPr>
        <w:t>发包人或监理人如认为有必要时，可根据规定对本合同工程中任何部分的结构形式、质量、等级或数量作出变更，包括：</w:t>
      </w:r>
    </w:p>
    <w:p w14:paraId="5B29DEB7">
      <w:pPr>
        <w:autoSpaceDE w:val="0"/>
        <w:autoSpaceDN w:val="0"/>
        <w:spacing w:before="86" w:line="360" w:lineRule="auto"/>
        <w:ind w:left="384" w:right="38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（1）增加或减少本合同中的任何工程的数量；</w:t>
      </w:r>
    </w:p>
    <w:p w14:paraId="2570B075">
      <w:pPr>
        <w:autoSpaceDE w:val="0"/>
        <w:autoSpaceDN w:val="0"/>
        <w:spacing w:before="86" w:line="360" w:lineRule="auto"/>
        <w:ind w:left="384" w:right="38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（2）取消合同中的任何单项工程，但被取消的工程不能转由发包人或其他人实施，由于承包人违约造成的情况除外；</w:t>
      </w:r>
    </w:p>
    <w:p w14:paraId="1DEE0423">
      <w:pPr>
        <w:numPr>
          <w:ilvl w:val="0"/>
          <w:numId w:val="7"/>
        </w:numPr>
        <w:autoSpaceDE w:val="0"/>
        <w:autoSpaceDN w:val="0"/>
        <w:spacing w:before="86" w:line="360" w:lineRule="auto"/>
        <w:ind w:right="386"/>
        <w:jc w:val="left"/>
        <w:rPr>
          <w:rFonts w:ascii="宋体" w:hAnsi="宋体" w:cs="宋体"/>
          <w:kern w:val="0"/>
          <w:sz w:val="24"/>
          <w:szCs w:val="24"/>
          <w:lang w:val="zh-CN" w:bidi="zh-CN"/>
        </w:rPr>
      </w:pPr>
      <w:r>
        <w:rPr>
          <w:rFonts w:ascii="宋体" w:hAnsi="宋体" w:cs="宋体"/>
          <w:kern w:val="0"/>
          <w:sz w:val="24"/>
          <w:szCs w:val="24"/>
          <w:lang w:val="zh-CN" w:bidi="zh-CN"/>
        </w:rPr>
        <w:t>改变合同中的任何一项工作的质量或其他特性；</w:t>
      </w:r>
    </w:p>
    <w:p w14:paraId="1F8ADBC7">
      <w:pPr>
        <w:autoSpaceDE w:val="0"/>
        <w:autoSpaceDN w:val="0"/>
        <w:spacing w:before="86" w:line="360" w:lineRule="auto"/>
        <w:ind w:left="864" w:right="386"/>
        <w:jc w:val="left"/>
        <w:rPr>
          <w:rFonts w:ascii="宋体" w:hAnsi="宋体" w:cs="宋体"/>
          <w:kern w:val="0"/>
          <w:sz w:val="24"/>
          <w:szCs w:val="24"/>
          <w:lang w:val="zh-CN" w:bidi="zh-CN"/>
        </w:rPr>
      </w:pPr>
      <w:r>
        <w:rPr>
          <w:rFonts w:ascii="宋体" w:hAnsi="宋体" w:cs="宋体"/>
          <w:kern w:val="0"/>
          <w:sz w:val="24"/>
          <w:szCs w:val="24"/>
          <w:lang w:val="zh-CN" w:bidi="zh-CN"/>
        </w:rPr>
        <w:t>（</w:t>
      </w:r>
      <w:r>
        <w:rPr>
          <w:rFonts w:hint="eastAsia" w:ascii="宋体" w:hAnsi="宋体" w:cs="宋体"/>
          <w:kern w:val="0"/>
          <w:sz w:val="24"/>
          <w:szCs w:val="24"/>
          <w:lang w:val="zh-CN" w:bidi="zh-CN"/>
        </w:rPr>
        <w:t>4</w:t>
      </w:r>
      <w:r>
        <w:rPr>
          <w:rFonts w:ascii="宋体" w:hAnsi="宋体" w:cs="宋体"/>
          <w:kern w:val="0"/>
          <w:sz w:val="24"/>
          <w:szCs w:val="24"/>
          <w:lang w:val="zh-CN" w:bidi="zh-CN"/>
        </w:rPr>
        <w:t>）改变本工程任何部分的标高、基线、位置或尺寸；</w:t>
      </w:r>
    </w:p>
    <w:p w14:paraId="4F46D05C">
      <w:pPr>
        <w:autoSpaceDE w:val="0"/>
        <w:autoSpaceDN w:val="0"/>
        <w:spacing w:before="86" w:line="360" w:lineRule="auto"/>
        <w:ind w:left="384" w:right="386" w:firstLine="480" w:firstLineChars="200"/>
        <w:jc w:val="left"/>
        <w:rPr>
          <w:rFonts w:hint="eastAsia" w:ascii="宋体" w:hAnsi="宋体" w:cs="宋体"/>
          <w:kern w:val="0"/>
          <w:sz w:val="24"/>
          <w:szCs w:val="24"/>
          <w:lang w:val="zh-CN" w:bidi="zh-CN"/>
        </w:rPr>
      </w:pPr>
      <w:r>
        <w:rPr>
          <w:rFonts w:ascii="宋体" w:hAnsi="宋体" w:cs="宋体"/>
          <w:kern w:val="0"/>
          <w:sz w:val="24"/>
          <w:szCs w:val="24"/>
          <w:lang w:val="zh-CN" w:bidi="zh-CN"/>
        </w:rPr>
        <w:t>（5）改变合同中任何一项工作的施工时间或改变已批准的施工工艺或顺序；</w:t>
      </w:r>
    </w:p>
    <w:p w14:paraId="20C0BE9D">
      <w:pPr>
        <w:autoSpaceDE w:val="0"/>
        <w:autoSpaceDN w:val="0"/>
        <w:spacing w:before="86" w:line="360" w:lineRule="auto"/>
        <w:ind w:left="384" w:right="386" w:firstLine="480" w:firstLineChars="200"/>
        <w:jc w:val="left"/>
        <w:rPr>
          <w:rFonts w:ascii="宋体" w:hAnsi="宋体" w:cs="宋体"/>
          <w:kern w:val="0"/>
          <w:sz w:val="24"/>
          <w:szCs w:val="24"/>
          <w:lang w:val="zh-CN" w:bidi="zh-CN"/>
        </w:rPr>
      </w:pPr>
      <w:r>
        <w:rPr>
          <w:rFonts w:hint="eastAsia" w:ascii="宋体" w:hAnsi="宋体" w:cs="宋体"/>
          <w:kern w:val="0"/>
          <w:sz w:val="24"/>
          <w:szCs w:val="24"/>
          <w:lang w:val="zh-CN" w:bidi="zh-CN"/>
        </w:rPr>
        <w:t>（6）</w:t>
      </w:r>
      <w:r>
        <w:rPr>
          <w:rFonts w:ascii="宋体" w:hAnsi="宋体" w:cs="宋体"/>
          <w:kern w:val="0"/>
          <w:sz w:val="24"/>
          <w:szCs w:val="24"/>
          <w:lang w:val="zh-CN" w:bidi="zh-CN"/>
        </w:rPr>
        <w:t>完成本工程需要追加的额外工作。</w:t>
      </w:r>
    </w:p>
    <w:p w14:paraId="4F1950DD">
      <w:pPr>
        <w:tabs>
          <w:tab w:val="left" w:pos="1523"/>
          <w:tab w:val="left" w:pos="1524"/>
        </w:tabs>
        <w:autoSpaceDE w:val="0"/>
        <w:autoSpaceDN w:val="0"/>
        <w:spacing w:before="87" w:line="360" w:lineRule="auto"/>
        <w:ind w:left="384" w:firstLine="480"/>
        <w:jc w:val="left"/>
        <w:rPr>
          <w:rFonts w:ascii="宋体" w:hAnsi="宋体" w:cs="宋体"/>
          <w:kern w:val="0"/>
          <w:sz w:val="24"/>
          <w:szCs w:val="24"/>
          <w:lang w:val="zh-CN" w:bidi="zh-CN"/>
        </w:rPr>
      </w:pPr>
      <w:r>
        <w:rPr>
          <w:rFonts w:hint="eastAsia" w:ascii="宋体" w:hAnsi="宋体" w:cs="宋体"/>
          <w:kern w:val="0"/>
          <w:sz w:val="24"/>
          <w:szCs w:val="24"/>
          <w:lang w:val="zh-CN" w:bidi="zh-CN"/>
        </w:rPr>
        <w:t>20.2</w:t>
      </w:r>
      <w:r>
        <w:rPr>
          <w:rFonts w:ascii="宋体" w:hAnsi="宋体" w:cs="宋体"/>
          <w:kern w:val="0"/>
          <w:sz w:val="24"/>
          <w:szCs w:val="24"/>
          <w:lang w:val="zh-CN" w:bidi="zh-CN"/>
        </w:rPr>
        <w:t>价格调整</w:t>
      </w:r>
    </w:p>
    <w:p w14:paraId="364D2010">
      <w:pPr>
        <w:autoSpaceDE w:val="0"/>
        <w:autoSpaceDN w:val="0"/>
        <w:spacing w:before="66" w:line="360" w:lineRule="auto"/>
        <w:ind w:left="384" w:right="465" w:firstLine="480" w:firstLineChars="200"/>
        <w:rPr>
          <w:rFonts w:ascii="宋体" w:hAnsi="宋体" w:cs="宋体"/>
          <w:kern w:val="0"/>
          <w:sz w:val="24"/>
          <w:szCs w:val="24"/>
          <w:lang w:val="zh-CN" w:bidi="zh-CN"/>
        </w:rPr>
      </w:pPr>
      <w:r>
        <w:rPr>
          <w:rFonts w:ascii="宋体" w:hAnsi="宋体" w:cs="宋体"/>
          <w:kern w:val="0"/>
          <w:sz w:val="24"/>
          <w:szCs w:val="24"/>
          <w:lang w:val="zh-CN" w:bidi="zh-CN"/>
        </w:rPr>
        <w:t>在合同实施期间，投标人填写的单价、合价和总额价不会由于物价波动进行价格调整；由于法律变化引起的价格调整，监理人应根据法律、国家或自治区有关部门的规定，商定确定需调整的合同价款。</w:t>
      </w:r>
    </w:p>
    <w:p w14:paraId="72498361">
      <w:pPr>
        <w:tabs>
          <w:tab w:val="left" w:pos="1529"/>
        </w:tabs>
        <w:autoSpaceDE w:val="0"/>
        <w:autoSpaceDN w:val="0"/>
        <w:spacing w:line="360" w:lineRule="auto"/>
        <w:ind w:left="384" w:right="467" w:firstLine="480"/>
        <w:jc w:val="left"/>
        <w:rPr>
          <w:rFonts w:ascii="宋体" w:hAnsi="宋体" w:cs="宋体"/>
          <w:kern w:val="0"/>
          <w:sz w:val="24"/>
          <w:szCs w:val="24"/>
          <w:lang w:val="zh-CN" w:bidi="zh-CN"/>
        </w:rPr>
      </w:pPr>
      <w:r>
        <w:rPr>
          <w:rFonts w:hint="eastAsia" w:ascii="宋体" w:hAnsi="宋体" w:cs="宋体"/>
          <w:kern w:val="0"/>
          <w:sz w:val="24"/>
          <w:szCs w:val="24"/>
          <w:lang w:val="zh-CN" w:bidi="zh-CN"/>
        </w:rPr>
        <w:t>20.3</w:t>
      </w:r>
      <w:r>
        <w:rPr>
          <w:rFonts w:ascii="宋体" w:hAnsi="宋体" w:cs="宋体"/>
          <w:kern w:val="0"/>
          <w:sz w:val="24"/>
          <w:szCs w:val="24"/>
          <w:lang w:val="zh-CN" w:bidi="zh-CN"/>
        </w:rPr>
        <w:t>如果发出本工程的变更指令是因承包人过错，承包人违反合同或因承包人责任造成的，则这种违约引起的任何额外费用应由承包人承担。</w:t>
      </w:r>
    </w:p>
    <w:p w14:paraId="64469800">
      <w:pPr>
        <w:tabs>
          <w:tab w:val="left" w:pos="1529"/>
        </w:tabs>
        <w:autoSpaceDE w:val="0"/>
        <w:autoSpaceDN w:val="0"/>
        <w:spacing w:line="360" w:lineRule="auto"/>
        <w:ind w:left="384" w:right="465" w:firstLine="480"/>
        <w:jc w:val="left"/>
        <w:rPr>
          <w:rFonts w:ascii="宋体" w:hAnsi="宋体" w:cs="宋体"/>
          <w:kern w:val="0"/>
          <w:sz w:val="24"/>
          <w:szCs w:val="24"/>
          <w:lang w:val="zh-CN" w:bidi="zh-CN"/>
        </w:rPr>
      </w:pPr>
      <w:r>
        <w:rPr>
          <w:rFonts w:hint="eastAsia" w:ascii="宋体" w:hAnsi="宋体" w:cs="宋体"/>
          <w:kern w:val="0"/>
          <w:sz w:val="24"/>
          <w:szCs w:val="24"/>
          <w:lang w:val="zh-CN" w:bidi="zh-CN"/>
        </w:rPr>
        <w:t>20.4</w:t>
      </w:r>
      <w:r>
        <w:rPr>
          <w:rFonts w:ascii="宋体" w:hAnsi="宋体" w:cs="宋体"/>
          <w:kern w:val="0"/>
          <w:sz w:val="24"/>
          <w:szCs w:val="24"/>
          <w:lang w:val="zh-CN" w:bidi="zh-CN"/>
        </w:rPr>
        <w:t>没有监理人指令，承包人不得擅自变更。变更指令应说明变更的目的、范围、变更内容以及变更的工程量及其进度和技术要求，并附有关图纸和文件。承包人收到变更指令后，应按变更指令进行变更工作。</w:t>
      </w:r>
    </w:p>
    <w:p w14:paraId="7AC7EEA0">
      <w:pPr>
        <w:tabs>
          <w:tab w:val="left" w:pos="1529"/>
        </w:tabs>
        <w:autoSpaceDE w:val="0"/>
        <w:autoSpaceDN w:val="0"/>
        <w:spacing w:before="4" w:line="360" w:lineRule="auto"/>
        <w:ind w:left="384" w:right="465" w:firstLine="480"/>
        <w:jc w:val="left"/>
        <w:rPr>
          <w:rFonts w:ascii="宋体" w:hAnsi="宋体" w:cs="宋体"/>
          <w:kern w:val="0"/>
          <w:sz w:val="24"/>
          <w:szCs w:val="24"/>
          <w:lang w:val="zh-CN" w:bidi="zh-CN"/>
        </w:rPr>
      </w:pPr>
      <w:r>
        <w:rPr>
          <w:rFonts w:hint="eastAsia" w:ascii="宋体" w:hAnsi="宋体" w:cs="宋体"/>
          <w:kern w:val="0"/>
          <w:sz w:val="24"/>
          <w:szCs w:val="24"/>
          <w:lang w:val="zh-CN" w:bidi="zh-CN"/>
        </w:rPr>
        <w:t>20.5</w:t>
      </w:r>
      <w:r>
        <w:rPr>
          <w:rFonts w:ascii="宋体" w:hAnsi="宋体" w:cs="宋体"/>
          <w:kern w:val="0"/>
          <w:sz w:val="24"/>
          <w:szCs w:val="24"/>
          <w:lang w:val="zh-CN" w:bidi="zh-CN"/>
        </w:rPr>
        <w:t>变更工程的价格增加或减少额，应以已标价工程量清单中的单价或合计为依据。除专用合同条款另有约定外，因变更引起的价格调整按照以下约定处理。</w:t>
      </w:r>
    </w:p>
    <w:p w14:paraId="53685FF1">
      <w:pPr>
        <w:autoSpaceDE w:val="0"/>
        <w:autoSpaceDN w:val="0"/>
        <w:spacing w:before="93" w:line="360" w:lineRule="auto"/>
        <w:ind w:left="384" w:right="466" w:firstLine="440" w:firstLineChars="200"/>
        <w:rPr>
          <w:rFonts w:ascii="宋体" w:hAnsi="宋体" w:cs="宋体"/>
          <w:kern w:val="0"/>
          <w:sz w:val="24"/>
          <w:szCs w:val="24"/>
          <w:lang w:val="zh-CN" w:bidi="zh-CN"/>
        </w:rPr>
      </w:pPr>
      <w:r>
        <w:rPr>
          <w:rFonts w:ascii="宋体" w:hAnsi="宋体" w:cs="宋体"/>
          <w:spacing w:val="-10"/>
          <w:kern w:val="0"/>
          <w:sz w:val="24"/>
          <w:szCs w:val="24"/>
          <w:lang w:val="zh-CN" w:bidi="zh-CN"/>
        </w:rPr>
        <w:t>（1）已标价工程量清单中有适用于变更工作的子目的，采用该子目的单价。</w:t>
      </w:r>
    </w:p>
    <w:p w14:paraId="44D5BF39">
      <w:pPr>
        <w:autoSpaceDE w:val="0"/>
        <w:autoSpaceDN w:val="0"/>
        <w:spacing w:before="93" w:line="360" w:lineRule="auto"/>
        <w:ind w:left="384" w:right="466" w:firstLine="440" w:firstLineChars="200"/>
        <w:rPr>
          <w:rFonts w:ascii="宋体" w:hAnsi="宋体" w:cs="宋体"/>
          <w:kern w:val="0"/>
          <w:sz w:val="24"/>
          <w:szCs w:val="24"/>
          <w:lang w:val="zh-CN" w:bidi="zh-CN"/>
        </w:rPr>
      </w:pPr>
      <w:r>
        <w:rPr>
          <w:rFonts w:ascii="宋体" w:hAnsi="宋体" w:cs="宋体"/>
          <w:spacing w:val="-10"/>
          <w:kern w:val="0"/>
          <w:sz w:val="24"/>
          <w:szCs w:val="24"/>
          <w:lang w:val="zh-CN" w:bidi="zh-CN"/>
        </w:rPr>
        <w:t>（2）</w:t>
      </w:r>
      <w:r>
        <w:rPr>
          <w:rFonts w:ascii="宋体" w:hAnsi="宋体" w:cs="宋体"/>
          <w:spacing w:val="-3"/>
          <w:kern w:val="0"/>
          <w:sz w:val="24"/>
          <w:szCs w:val="24"/>
          <w:lang w:val="zh-CN" w:bidi="zh-CN"/>
        </w:rPr>
        <w:t>已标价工程量清单中无适用于变更工作的子目，但有类似子目的，可在合理范围内参照类似子目的单价，由监理人按商定或确定原则变更工作的单价。</w:t>
      </w:r>
    </w:p>
    <w:p w14:paraId="301CE781">
      <w:pPr>
        <w:autoSpaceDE w:val="0"/>
        <w:autoSpaceDN w:val="0"/>
        <w:spacing w:before="93" w:line="360" w:lineRule="auto"/>
        <w:ind w:left="384" w:right="466" w:firstLine="440" w:firstLineChars="200"/>
        <w:rPr>
          <w:rFonts w:ascii="宋体" w:hAnsi="宋体" w:cs="宋体"/>
          <w:spacing w:val="-10"/>
          <w:kern w:val="0"/>
          <w:sz w:val="24"/>
          <w:szCs w:val="24"/>
          <w:lang w:val="zh-CN" w:bidi="zh-CN"/>
        </w:rPr>
      </w:pPr>
      <w:r>
        <w:rPr>
          <w:rFonts w:ascii="宋体" w:hAnsi="宋体" w:cs="宋体"/>
          <w:spacing w:val="-10"/>
          <w:kern w:val="0"/>
          <w:sz w:val="24"/>
          <w:szCs w:val="24"/>
          <w:lang w:val="zh-CN" w:bidi="zh-CN"/>
        </w:rPr>
        <w:t>（3）已标价工程量清单中无适用或类似子目的单价，可按照成本加利润的原则，</w:t>
      </w:r>
    </w:p>
    <w:p w14:paraId="7062BF07">
      <w:pPr>
        <w:autoSpaceDE w:val="0"/>
        <w:autoSpaceDN w:val="0"/>
        <w:spacing w:before="93" w:line="360" w:lineRule="auto"/>
        <w:ind w:left="384" w:right="466" w:firstLine="440" w:firstLineChars="200"/>
        <w:rPr>
          <w:rFonts w:ascii="宋体" w:hAnsi="宋体" w:cs="宋体"/>
          <w:spacing w:val="-10"/>
          <w:kern w:val="0"/>
          <w:sz w:val="24"/>
          <w:szCs w:val="24"/>
          <w:lang w:val="zh-CN" w:bidi="zh-CN"/>
        </w:rPr>
      </w:pPr>
      <w:r>
        <w:rPr>
          <w:rFonts w:ascii="宋体" w:hAnsi="宋体" w:cs="宋体"/>
          <w:spacing w:val="-10"/>
          <w:kern w:val="0"/>
          <w:sz w:val="24"/>
          <w:szCs w:val="24"/>
          <w:lang w:val="zh-CN" w:bidi="zh-CN"/>
        </w:rPr>
        <w:t>由监理人依据交通运输部或</w:t>
      </w:r>
      <w:r>
        <w:rPr>
          <w:rFonts w:hint="eastAsia" w:ascii="宋体" w:hAnsi="宋体" w:cs="宋体"/>
          <w:spacing w:val="-10"/>
          <w:kern w:val="0"/>
          <w:sz w:val="24"/>
          <w:szCs w:val="24"/>
          <w:lang w:bidi="zh-CN"/>
        </w:rPr>
        <w:t>新疆</w:t>
      </w:r>
      <w:r>
        <w:rPr>
          <w:rFonts w:ascii="宋体" w:hAnsi="宋体" w:cs="宋体"/>
          <w:spacing w:val="-10"/>
          <w:kern w:val="0"/>
          <w:sz w:val="24"/>
          <w:szCs w:val="24"/>
          <w:lang w:val="zh-CN" w:bidi="zh-CN"/>
        </w:rPr>
        <w:t>交通运输厅的相关概算预算编制办法及定额编制编制单价，按商定或确定原则变更工作的单价。</w:t>
      </w:r>
    </w:p>
    <w:p w14:paraId="48ACA70C">
      <w:pPr>
        <w:tabs>
          <w:tab w:val="left" w:pos="1523"/>
          <w:tab w:val="left" w:pos="1524"/>
        </w:tabs>
        <w:autoSpaceDE w:val="0"/>
        <w:autoSpaceDN w:val="0"/>
        <w:spacing w:before="1" w:line="360" w:lineRule="auto"/>
        <w:ind w:left="384" w:firstLine="480"/>
        <w:jc w:val="left"/>
        <w:rPr>
          <w:rFonts w:ascii="宋体" w:hAnsi="宋体" w:cs="宋体"/>
          <w:kern w:val="0"/>
          <w:sz w:val="24"/>
          <w:szCs w:val="24"/>
          <w:lang w:val="zh-CN" w:bidi="zh-CN"/>
        </w:rPr>
      </w:pPr>
      <w:r>
        <w:rPr>
          <w:rFonts w:hint="eastAsia" w:ascii="宋体" w:hAnsi="宋体" w:cs="宋体"/>
          <w:kern w:val="0"/>
          <w:sz w:val="24"/>
          <w:szCs w:val="24"/>
          <w:lang w:val="zh-CN" w:bidi="zh-CN"/>
        </w:rPr>
        <w:t>20.6</w:t>
      </w:r>
      <w:r>
        <w:rPr>
          <w:rFonts w:ascii="宋体" w:hAnsi="宋体" w:cs="宋体"/>
          <w:kern w:val="0"/>
          <w:sz w:val="24"/>
          <w:szCs w:val="24"/>
          <w:lang w:val="zh-CN" w:bidi="zh-CN"/>
        </w:rPr>
        <w:t>暂列金额只能按监理人的批示使用，并对合同价款进行相应调整。</w:t>
      </w:r>
    </w:p>
    <w:p w14:paraId="6C4400D5">
      <w:pPr>
        <w:tabs>
          <w:tab w:val="left" w:pos="1523"/>
          <w:tab w:val="left" w:pos="1524"/>
        </w:tabs>
        <w:autoSpaceDE w:val="0"/>
        <w:autoSpaceDN w:val="0"/>
        <w:spacing w:before="87" w:line="360" w:lineRule="auto"/>
        <w:ind w:left="384" w:firstLine="480"/>
        <w:jc w:val="left"/>
        <w:rPr>
          <w:rFonts w:ascii="宋体" w:hAnsi="宋体" w:cs="宋体"/>
          <w:kern w:val="0"/>
          <w:sz w:val="24"/>
          <w:szCs w:val="24"/>
          <w:lang w:val="zh-CN" w:bidi="zh-CN"/>
        </w:rPr>
      </w:pPr>
      <w:r>
        <w:rPr>
          <w:rFonts w:hint="eastAsia" w:ascii="宋体" w:hAnsi="宋体" w:cs="宋体"/>
          <w:kern w:val="0"/>
          <w:sz w:val="24"/>
          <w:szCs w:val="24"/>
          <w:lang w:val="zh-CN" w:bidi="zh-CN"/>
        </w:rPr>
        <w:t>20.7</w:t>
      </w:r>
      <w:r>
        <w:rPr>
          <w:rFonts w:ascii="宋体" w:hAnsi="宋体" w:cs="宋体"/>
          <w:kern w:val="0"/>
          <w:sz w:val="24"/>
          <w:szCs w:val="24"/>
          <w:lang w:val="zh-CN" w:bidi="zh-CN"/>
        </w:rPr>
        <w:t>未经批准的设计变更，其费用不得进入决算。</w:t>
      </w:r>
    </w:p>
    <w:p w14:paraId="56B20041">
      <w:pPr>
        <w:tabs>
          <w:tab w:val="left" w:pos="1529"/>
        </w:tabs>
        <w:autoSpaceDE w:val="0"/>
        <w:autoSpaceDN w:val="0"/>
        <w:spacing w:before="83" w:line="360" w:lineRule="auto"/>
        <w:ind w:left="384" w:right="467" w:firstLine="480"/>
        <w:jc w:val="left"/>
        <w:rPr>
          <w:rFonts w:ascii="宋体" w:hAnsi="宋体" w:cs="宋体"/>
          <w:kern w:val="0"/>
          <w:sz w:val="24"/>
          <w:szCs w:val="24"/>
          <w:lang w:val="zh-CN" w:bidi="zh-CN"/>
        </w:rPr>
      </w:pPr>
      <w:r>
        <w:rPr>
          <w:rFonts w:hint="eastAsia" w:ascii="宋体" w:hAnsi="宋体" w:cs="宋体"/>
          <w:kern w:val="0"/>
          <w:sz w:val="24"/>
          <w:szCs w:val="24"/>
          <w:lang w:val="zh-CN" w:bidi="zh-CN"/>
        </w:rPr>
        <w:t>20.8</w:t>
      </w:r>
      <w:r>
        <w:rPr>
          <w:rFonts w:ascii="宋体" w:hAnsi="宋体" w:cs="宋体"/>
          <w:kern w:val="0"/>
          <w:sz w:val="24"/>
          <w:szCs w:val="24"/>
          <w:lang w:val="zh-CN" w:bidi="zh-CN"/>
        </w:rPr>
        <w:t>变更类型及程序依照《</w:t>
      </w:r>
      <w:r>
        <w:rPr>
          <w:rFonts w:hint="eastAsia" w:ascii="宋体" w:hAnsi="宋体" w:cs="宋体"/>
          <w:kern w:val="0"/>
          <w:sz w:val="24"/>
          <w:szCs w:val="24"/>
          <w:lang w:bidi="zh-CN"/>
        </w:rPr>
        <w:t>新疆维吾尔自治区</w:t>
      </w:r>
      <w:r>
        <w:rPr>
          <w:rFonts w:ascii="宋体" w:hAnsi="宋体" w:cs="宋体"/>
          <w:kern w:val="0"/>
          <w:sz w:val="24"/>
          <w:szCs w:val="24"/>
          <w:lang w:val="zh-CN" w:bidi="zh-CN"/>
        </w:rPr>
        <w:t>农村公路工程设计变更管理办法（试行）》的规定施行。</w:t>
      </w:r>
    </w:p>
    <w:p w14:paraId="4966841B">
      <w:pPr>
        <w:keepNext/>
        <w:keepLines/>
        <w:widowControl/>
        <w:spacing w:before="260" w:after="260" w:line="415" w:lineRule="auto"/>
        <w:jc w:val="left"/>
        <w:outlineLvl w:val="2"/>
        <w:rPr>
          <w:rFonts w:ascii="宋体" w:hAnsi="宋体" w:cs="宋体"/>
          <w:b/>
          <w:bCs/>
          <w:kern w:val="0"/>
          <w:sz w:val="24"/>
          <w:szCs w:val="24"/>
          <w:lang w:val="zh-CN" w:bidi="zh-CN"/>
        </w:rPr>
      </w:pPr>
      <w:bookmarkStart w:id="150" w:name="_Toc256000055"/>
      <w:r>
        <w:rPr>
          <w:rFonts w:ascii="宋体" w:hAnsi="宋体" w:cs="宋体"/>
          <w:b/>
          <w:bCs/>
          <w:kern w:val="0"/>
          <w:sz w:val="24"/>
          <w:szCs w:val="24"/>
          <w:lang w:val="zh-CN" w:bidi="zh-CN"/>
        </w:rPr>
        <w:t>九、缺陷责任</w:t>
      </w:r>
      <w:bookmarkEnd w:id="150"/>
    </w:p>
    <w:p w14:paraId="7FE1E883">
      <w:pPr>
        <w:keepLines/>
        <w:widowControl/>
        <w:tabs>
          <w:tab w:val="left" w:pos="567"/>
        </w:tabs>
        <w:autoSpaceDE w:val="0"/>
        <w:autoSpaceDN w:val="0"/>
        <w:spacing w:before="120" w:after="120" w:line="360" w:lineRule="auto"/>
        <w:ind w:left="567"/>
        <w:jc w:val="left"/>
        <w:outlineLvl w:val="3"/>
        <w:rPr>
          <w:rFonts w:ascii="宋体" w:hAnsi="宋体"/>
          <w:b/>
          <w:bCs/>
          <w:kern w:val="0"/>
          <w:sz w:val="24"/>
          <w:szCs w:val="24"/>
          <w:lang w:val="zh-CN" w:bidi="zh-CN"/>
        </w:rPr>
      </w:pPr>
      <w:r>
        <w:rPr>
          <w:rFonts w:ascii="宋体" w:hAnsi="宋体"/>
          <w:b/>
          <w:bCs/>
          <w:kern w:val="0"/>
          <w:sz w:val="24"/>
          <w:szCs w:val="24"/>
          <w:lang w:val="zh-CN" w:bidi="zh-CN"/>
        </w:rPr>
        <w:t>21</w:t>
      </w:r>
      <w:r>
        <w:rPr>
          <w:rFonts w:hint="eastAsia" w:ascii="宋体" w:hAnsi="宋体"/>
          <w:b/>
          <w:bCs/>
          <w:kern w:val="0"/>
          <w:sz w:val="24"/>
          <w:szCs w:val="24"/>
          <w:lang w:val="zh-CN" w:bidi="zh-CN"/>
        </w:rPr>
        <w:t xml:space="preserve"> </w:t>
      </w:r>
      <w:r>
        <w:rPr>
          <w:rFonts w:ascii="宋体" w:hAnsi="宋体"/>
          <w:b/>
          <w:bCs/>
          <w:kern w:val="0"/>
          <w:sz w:val="24"/>
          <w:szCs w:val="24"/>
          <w:lang w:val="zh-CN" w:bidi="zh-CN"/>
        </w:rPr>
        <w:t>缺陷责任及修复</w:t>
      </w:r>
    </w:p>
    <w:p w14:paraId="2D09AE38">
      <w:pPr>
        <w:numPr>
          <w:ilvl w:val="0"/>
          <w:numId w:val="0"/>
        </w:numPr>
        <w:tabs>
          <w:tab w:val="left" w:pos="1529"/>
        </w:tabs>
        <w:autoSpaceDE w:val="0"/>
        <w:autoSpaceDN w:val="0"/>
        <w:spacing w:before="1" w:line="360" w:lineRule="auto"/>
        <w:ind w:leftChars="200" w:right="467" w:rightChars="0" w:firstLine="480" w:firstLineChars="200"/>
        <w:rPr>
          <w:rFonts w:ascii="宋体" w:hAnsi="宋体" w:cs="宋体"/>
          <w:kern w:val="0"/>
          <w:sz w:val="24"/>
          <w:szCs w:val="24"/>
          <w:lang w:val="zh-CN" w:bidi="zh-CN"/>
        </w:rPr>
      </w:pPr>
      <w:r>
        <w:rPr>
          <w:rFonts w:hint="eastAsia" w:ascii="宋体" w:hAnsi="宋体" w:cs="宋体"/>
          <w:kern w:val="0"/>
          <w:sz w:val="24"/>
          <w:szCs w:val="24"/>
          <w:lang w:val="en-US" w:bidi="zh-CN"/>
        </w:rPr>
        <w:t>21.1</w:t>
      </w:r>
      <w:r>
        <w:rPr>
          <w:rFonts w:ascii="宋体" w:hAnsi="宋体" w:cs="宋体"/>
          <w:kern w:val="0"/>
          <w:sz w:val="24"/>
          <w:szCs w:val="24"/>
          <w:lang w:val="zh-CN" w:bidi="zh-CN"/>
        </w:rPr>
        <w:t>缺陷责任期从本合同工程交工证书签发之日起计算。承包人应在缺陷责任期内对已交付使用的工程承担缺陷责任。</w:t>
      </w:r>
    </w:p>
    <w:p w14:paraId="4D6509F9">
      <w:pPr>
        <w:numPr>
          <w:ilvl w:val="0"/>
          <w:numId w:val="0"/>
        </w:numPr>
        <w:tabs>
          <w:tab w:val="left" w:pos="1529"/>
        </w:tabs>
        <w:autoSpaceDE w:val="0"/>
        <w:autoSpaceDN w:val="0"/>
        <w:spacing w:before="3" w:line="360" w:lineRule="auto"/>
        <w:ind w:leftChars="200" w:right="465" w:rightChars="0" w:firstLine="480" w:firstLineChars="200"/>
        <w:rPr>
          <w:rFonts w:ascii="宋体" w:hAnsi="宋体" w:cs="宋体"/>
          <w:kern w:val="0"/>
          <w:sz w:val="24"/>
          <w:szCs w:val="24"/>
          <w:lang w:val="zh-CN" w:bidi="zh-CN"/>
        </w:rPr>
      </w:pPr>
      <w:r>
        <w:rPr>
          <w:rFonts w:hint="eastAsia" w:ascii="宋体" w:hAnsi="宋体" w:cs="宋体"/>
          <w:kern w:val="0"/>
          <w:sz w:val="24"/>
          <w:szCs w:val="24"/>
          <w:lang w:val="en-US" w:bidi="zh-CN"/>
        </w:rPr>
        <w:t>21.2</w:t>
      </w:r>
      <w:r>
        <w:rPr>
          <w:rFonts w:ascii="宋体" w:hAnsi="宋体" w:cs="宋体"/>
          <w:kern w:val="0"/>
          <w:sz w:val="24"/>
          <w:szCs w:val="24"/>
          <w:lang w:val="zh-CN" w:bidi="zh-CN"/>
        </w:rPr>
        <w:t>在缺陷责任期满前，由发包人会同监理人在有关部门参加下，对工程进行一次全面核查，使本工程按合同所要求的条件，达到发包人和监理人认为合格的程度。要求承包人：</w:t>
      </w:r>
    </w:p>
    <w:p w14:paraId="5D95CADD">
      <w:pPr>
        <w:autoSpaceDE w:val="0"/>
        <w:autoSpaceDN w:val="0"/>
        <w:spacing w:before="5" w:line="360" w:lineRule="auto"/>
        <w:ind w:left="384" w:right="466" w:firstLine="440" w:firstLineChars="200"/>
        <w:rPr>
          <w:rFonts w:ascii="宋体" w:hAnsi="宋体" w:cs="宋体"/>
          <w:kern w:val="0"/>
          <w:sz w:val="24"/>
          <w:szCs w:val="24"/>
          <w:lang w:val="zh-CN" w:bidi="zh-CN"/>
        </w:rPr>
      </w:pPr>
      <w:r>
        <w:rPr>
          <w:rFonts w:ascii="宋体" w:hAnsi="宋体" w:cs="宋体"/>
          <w:spacing w:val="-10"/>
          <w:kern w:val="0"/>
          <w:sz w:val="24"/>
          <w:szCs w:val="24"/>
          <w:lang w:val="zh-CN" w:bidi="zh-CN"/>
        </w:rPr>
        <w:t>（1）</w:t>
      </w:r>
      <w:r>
        <w:rPr>
          <w:rFonts w:ascii="宋体" w:hAnsi="宋体" w:cs="宋体"/>
          <w:spacing w:val="-5"/>
          <w:kern w:val="0"/>
          <w:sz w:val="24"/>
          <w:szCs w:val="24"/>
          <w:lang w:val="zh-CN" w:bidi="zh-CN"/>
        </w:rPr>
        <w:t>在缺陷责任期内，尽快完成在交工证书中写明的未完工作，并完成对本工程缺陷的修复或监理人指令的修补工作；</w:t>
      </w:r>
    </w:p>
    <w:p w14:paraId="79DE2A84">
      <w:pPr>
        <w:autoSpaceDE w:val="0"/>
        <w:autoSpaceDN w:val="0"/>
        <w:spacing w:before="1" w:line="360" w:lineRule="auto"/>
        <w:ind w:left="384" w:right="465" w:firstLine="480" w:firstLineChars="200"/>
        <w:rPr>
          <w:rFonts w:ascii="宋体" w:hAnsi="宋体" w:cs="宋体"/>
          <w:kern w:val="0"/>
          <w:sz w:val="24"/>
          <w:szCs w:val="24"/>
          <w:lang w:val="zh-CN" w:bidi="zh-CN"/>
        </w:rPr>
      </w:pPr>
      <w:r>
        <w:rPr>
          <w:rFonts w:ascii="宋体" w:hAnsi="宋体" w:cs="宋体"/>
          <w:kern w:val="0"/>
          <w:sz w:val="24"/>
          <w:szCs w:val="24"/>
          <w:lang w:val="zh-CN" w:bidi="zh-CN"/>
        </w:rPr>
        <w:t>（2）</w:t>
      </w:r>
      <w:r>
        <w:rPr>
          <w:rFonts w:ascii="宋体" w:hAnsi="宋体" w:cs="宋体"/>
          <w:spacing w:val="-5"/>
          <w:kern w:val="0"/>
          <w:sz w:val="24"/>
          <w:szCs w:val="24"/>
          <w:lang w:val="zh-CN" w:bidi="zh-CN"/>
        </w:rPr>
        <w:t xml:space="preserve">在缺陷责任期满后的 </w:t>
      </w:r>
      <w:r>
        <w:rPr>
          <w:rFonts w:ascii="宋体" w:hAnsi="宋体" w:cs="宋体"/>
          <w:kern w:val="0"/>
          <w:sz w:val="24"/>
          <w:szCs w:val="24"/>
          <w:lang w:val="zh-CN" w:bidi="zh-CN"/>
        </w:rPr>
        <w:t>14 天内，按照发包人和监理人在缺陷责任期满前检查结果而发出的指令，对存在的缺陷或其他不合格之处进行修补、重建及修复。承包人不能在合理时间内修复缺陷的，发包人可自行修复或委托其他人修复，所需费用和利润由承包人承担。</w:t>
      </w:r>
    </w:p>
    <w:p w14:paraId="46301763">
      <w:pPr>
        <w:numPr>
          <w:ilvl w:val="0"/>
          <w:numId w:val="0"/>
        </w:numPr>
        <w:tabs>
          <w:tab w:val="left" w:pos="1529"/>
        </w:tabs>
        <w:autoSpaceDE w:val="0"/>
        <w:autoSpaceDN w:val="0"/>
        <w:spacing w:before="74" w:line="360" w:lineRule="auto"/>
        <w:ind w:leftChars="200" w:right="465" w:rightChars="0" w:firstLine="480" w:firstLineChars="200"/>
        <w:rPr>
          <w:rFonts w:ascii="宋体" w:hAnsi="宋体" w:cs="宋体"/>
          <w:kern w:val="0"/>
          <w:sz w:val="24"/>
          <w:szCs w:val="24"/>
          <w:lang w:val="zh-CN" w:bidi="zh-CN"/>
        </w:rPr>
      </w:pPr>
      <w:r>
        <w:rPr>
          <w:rFonts w:hint="eastAsia" w:ascii="宋体" w:hAnsi="宋体" w:cs="宋体"/>
          <w:kern w:val="0"/>
          <w:sz w:val="24"/>
          <w:szCs w:val="24"/>
          <w:lang w:val="en-US" w:bidi="zh-CN"/>
        </w:rPr>
        <w:t>21.3</w:t>
      </w:r>
      <w:r>
        <w:rPr>
          <w:rFonts w:ascii="宋体" w:hAnsi="宋体" w:cs="宋体"/>
          <w:kern w:val="0"/>
          <w:sz w:val="24"/>
          <w:szCs w:val="24"/>
          <w:lang w:val="zh-CN" w:bidi="zh-CN"/>
        </w:rPr>
        <w:t>在缺陷责任期内，因承包人原因造成的缺陷修复费用和复验费用应由承包人自行负责；不属于承包人原因造成的缺陷修复费用由监理人同承包人协商并报发包人批准。</w:t>
      </w:r>
    </w:p>
    <w:p w14:paraId="59E497ED">
      <w:pPr>
        <w:numPr>
          <w:ilvl w:val="0"/>
          <w:numId w:val="0"/>
        </w:numPr>
        <w:tabs>
          <w:tab w:val="left" w:pos="1529"/>
        </w:tabs>
        <w:autoSpaceDE w:val="0"/>
        <w:autoSpaceDN w:val="0"/>
        <w:spacing w:line="360" w:lineRule="auto"/>
        <w:ind w:leftChars="200" w:right="465" w:rightChars="0" w:firstLine="480" w:firstLineChars="200"/>
        <w:rPr>
          <w:rFonts w:ascii="宋体" w:hAnsi="宋体" w:cs="宋体"/>
          <w:kern w:val="0"/>
          <w:sz w:val="24"/>
          <w:szCs w:val="24"/>
          <w:lang w:val="zh-CN" w:bidi="zh-CN"/>
        </w:rPr>
      </w:pPr>
      <w:r>
        <w:rPr>
          <w:rFonts w:hint="eastAsia" w:ascii="宋体" w:hAnsi="宋体" w:cs="宋体"/>
          <w:kern w:val="0"/>
          <w:sz w:val="24"/>
          <w:szCs w:val="24"/>
          <w:lang w:val="en-US" w:bidi="zh-CN"/>
        </w:rPr>
        <w:t>21.4</w:t>
      </w:r>
      <w:r>
        <w:rPr>
          <w:rFonts w:ascii="宋体" w:hAnsi="宋体" w:cs="宋体"/>
          <w:kern w:val="0"/>
          <w:sz w:val="24"/>
          <w:szCs w:val="24"/>
          <w:lang w:val="zh-CN" w:bidi="zh-CN"/>
        </w:rPr>
        <w:t>由于承包人原因造成某项缺陷或损坏使某项工程不能按原定目标使用而需要再次检查、检验和修复的，发包人有权要求承包人相应延长缺陷责任期，但缺</w:t>
      </w:r>
      <w:r>
        <w:rPr>
          <w:rFonts w:ascii="宋体" w:hAnsi="宋体" w:cs="宋体"/>
          <w:spacing w:val="-6"/>
          <w:kern w:val="0"/>
          <w:sz w:val="24"/>
          <w:szCs w:val="24"/>
          <w:lang w:val="zh-CN" w:bidi="zh-CN"/>
        </w:rPr>
        <w:t xml:space="preserve">陷责任期最长不超过 </w:t>
      </w:r>
      <w:r>
        <w:rPr>
          <w:rFonts w:ascii="宋体" w:hAnsi="宋体" w:cs="宋体"/>
          <w:kern w:val="0"/>
          <w:sz w:val="24"/>
          <w:szCs w:val="24"/>
          <w:lang w:val="zh-CN" w:bidi="zh-CN"/>
        </w:rPr>
        <w:t>2 年，自该项工程或设备修复之日算起。</w:t>
      </w:r>
    </w:p>
    <w:p w14:paraId="6827119F">
      <w:pPr>
        <w:numPr>
          <w:ilvl w:val="0"/>
          <w:numId w:val="0"/>
        </w:numPr>
        <w:tabs>
          <w:tab w:val="left" w:pos="1523"/>
          <w:tab w:val="left" w:pos="1524"/>
        </w:tabs>
        <w:autoSpaceDE w:val="0"/>
        <w:autoSpaceDN w:val="0"/>
        <w:spacing w:line="360" w:lineRule="auto"/>
        <w:ind w:leftChars="200" w:right="467" w:rightChars="0" w:firstLine="480" w:firstLineChars="200"/>
        <w:jc w:val="left"/>
        <w:rPr>
          <w:rFonts w:ascii="宋体" w:hAnsi="宋体" w:cs="宋体"/>
          <w:kern w:val="0"/>
          <w:sz w:val="24"/>
          <w:szCs w:val="24"/>
          <w:lang w:val="zh-CN" w:bidi="zh-CN"/>
        </w:rPr>
      </w:pPr>
      <w:r>
        <w:rPr>
          <w:rFonts w:hint="eastAsia" w:ascii="宋体" w:hAnsi="宋体" w:cs="宋体"/>
          <w:kern w:val="0"/>
          <w:sz w:val="24"/>
          <w:szCs w:val="24"/>
          <w:lang w:val="en-US" w:bidi="zh-CN"/>
        </w:rPr>
        <w:t>21.5</w:t>
      </w:r>
      <w:r>
        <w:rPr>
          <w:rFonts w:ascii="宋体" w:hAnsi="宋体" w:cs="宋体"/>
          <w:kern w:val="0"/>
          <w:sz w:val="24"/>
          <w:szCs w:val="24"/>
          <w:lang w:val="zh-CN" w:bidi="zh-CN"/>
        </w:rPr>
        <w:t>保修期自实际交工日期起计算，具体期限在合同条款数据表中约定。在保修期内承包人应对由于施工质量原因造成的损坏自费进行修复。</w:t>
      </w:r>
    </w:p>
    <w:p w14:paraId="17D267C4">
      <w:pPr>
        <w:numPr>
          <w:ilvl w:val="0"/>
          <w:numId w:val="0"/>
        </w:numPr>
        <w:tabs>
          <w:tab w:val="left" w:pos="1523"/>
          <w:tab w:val="left" w:pos="1524"/>
        </w:tabs>
        <w:autoSpaceDE w:val="0"/>
        <w:autoSpaceDN w:val="0"/>
        <w:spacing w:line="360" w:lineRule="auto"/>
        <w:ind w:leftChars="200" w:right="467" w:rightChars="0" w:firstLine="452" w:firstLineChars="200"/>
        <w:jc w:val="left"/>
        <w:rPr>
          <w:rFonts w:ascii="宋体" w:hAnsi="宋体" w:cs="宋体"/>
          <w:kern w:val="0"/>
          <w:sz w:val="24"/>
          <w:szCs w:val="24"/>
          <w:lang w:val="zh-CN" w:bidi="zh-CN"/>
        </w:rPr>
      </w:pPr>
      <w:r>
        <w:rPr>
          <w:rFonts w:hint="eastAsia" w:ascii="宋体" w:hAnsi="宋体" w:cs="宋体"/>
          <w:spacing w:val="-7"/>
          <w:kern w:val="0"/>
          <w:sz w:val="24"/>
          <w:szCs w:val="24"/>
          <w:lang w:val="en-US" w:bidi="zh-CN"/>
        </w:rPr>
        <w:t>21.6</w:t>
      </w:r>
      <w:r>
        <w:rPr>
          <w:rFonts w:ascii="宋体" w:hAnsi="宋体" w:cs="宋体"/>
          <w:spacing w:val="-7"/>
          <w:kern w:val="0"/>
          <w:sz w:val="24"/>
          <w:szCs w:val="24"/>
          <w:lang w:val="zh-CN" w:bidi="zh-CN"/>
        </w:rPr>
        <w:t>工</w:t>
      </w:r>
      <w:r>
        <w:rPr>
          <w:rFonts w:ascii="宋体" w:hAnsi="宋体" w:cs="宋体"/>
          <w:kern w:val="0"/>
          <w:sz w:val="24"/>
          <w:szCs w:val="24"/>
          <w:lang w:val="zh-CN" w:bidi="zh-CN"/>
        </w:rPr>
        <w:t>程保修期终止后 28 天内，监理人签发保修期终止证书。</w:t>
      </w:r>
    </w:p>
    <w:p w14:paraId="5263C509">
      <w:pPr>
        <w:numPr>
          <w:ilvl w:val="0"/>
          <w:numId w:val="0"/>
        </w:numPr>
        <w:tabs>
          <w:tab w:val="left" w:pos="1529"/>
        </w:tabs>
        <w:autoSpaceDE w:val="0"/>
        <w:autoSpaceDN w:val="0"/>
        <w:spacing w:before="78" w:line="360" w:lineRule="auto"/>
        <w:ind w:leftChars="200" w:right="465" w:rightChars="0" w:firstLine="480" w:firstLineChars="200"/>
        <w:rPr>
          <w:rFonts w:ascii="宋体" w:hAnsi="宋体" w:cs="宋体"/>
          <w:kern w:val="0"/>
          <w:sz w:val="24"/>
          <w:szCs w:val="24"/>
          <w:lang w:val="zh-CN" w:bidi="zh-CN"/>
        </w:rPr>
      </w:pPr>
      <w:r>
        <w:rPr>
          <w:rFonts w:hint="eastAsia" w:ascii="宋体" w:hAnsi="宋体" w:cs="宋体"/>
          <w:kern w:val="0"/>
          <w:sz w:val="24"/>
          <w:szCs w:val="24"/>
          <w:lang w:val="en-US" w:bidi="zh-CN"/>
        </w:rPr>
        <w:t>21.7</w:t>
      </w:r>
      <w:r>
        <w:rPr>
          <w:rFonts w:ascii="宋体" w:hAnsi="宋体" w:cs="宋体"/>
          <w:kern w:val="0"/>
          <w:sz w:val="24"/>
          <w:szCs w:val="24"/>
          <w:lang w:val="zh-CN" w:bidi="zh-CN"/>
        </w:rPr>
        <w:t>若承包人不履行保修义务和责任，则承包人应承担由于违约造成的法律后果，并由发包人将其违约行为上报交通运输主管部门，并作为不良记录纳入公路建设市场信用信息管理系统。</w:t>
      </w:r>
    </w:p>
    <w:p w14:paraId="63E3FC21">
      <w:pPr>
        <w:numPr>
          <w:ilvl w:val="0"/>
          <w:numId w:val="0"/>
        </w:numPr>
        <w:tabs>
          <w:tab w:val="left" w:pos="1533"/>
          <w:tab w:val="left" w:pos="1534"/>
        </w:tabs>
        <w:autoSpaceDE w:val="0"/>
        <w:autoSpaceDN w:val="0"/>
        <w:spacing w:line="360" w:lineRule="auto"/>
        <w:ind w:leftChars="200" w:right="467" w:rightChars="0" w:firstLine="460" w:firstLineChars="200"/>
        <w:jc w:val="left"/>
        <w:rPr>
          <w:rFonts w:ascii="宋体" w:hAnsi="宋体" w:cs="宋体"/>
          <w:kern w:val="0"/>
          <w:sz w:val="24"/>
          <w:szCs w:val="24"/>
          <w:lang w:val="zh-CN" w:bidi="zh-CN"/>
        </w:rPr>
      </w:pPr>
      <w:r>
        <w:rPr>
          <w:rFonts w:hint="eastAsia" w:ascii="宋体" w:hAnsi="宋体" w:cs="宋体"/>
          <w:spacing w:val="-5"/>
          <w:kern w:val="0"/>
          <w:sz w:val="24"/>
          <w:szCs w:val="24"/>
          <w:lang w:val="en-US" w:bidi="zh-CN"/>
        </w:rPr>
        <w:t>21.8</w:t>
      </w:r>
      <w:r>
        <w:rPr>
          <w:rFonts w:ascii="宋体" w:hAnsi="宋体" w:cs="宋体"/>
          <w:spacing w:val="-5"/>
          <w:kern w:val="0"/>
          <w:sz w:val="24"/>
          <w:szCs w:val="24"/>
          <w:lang w:val="zh-CN" w:bidi="zh-CN"/>
        </w:rPr>
        <w:t xml:space="preserve">缺陷责任期满后 </w:t>
      </w:r>
      <w:r>
        <w:rPr>
          <w:rFonts w:ascii="宋体" w:hAnsi="宋体" w:cs="宋体"/>
          <w:kern w:val="0"/>
          <w:sz w:val="24"/>
          <w:szCs w:val="24"/>
          <w:lang w:val="zh-CN" w:bidi="zh-CN"/>
        </w:rPr>
        <w:t>14</w:t>
      </w:r>
      <w:r>
        <w:rPr>
          <w:rFonts w:ascii="宋体" w:hAnsi="宋体" w:cs="宋体"/>
          <w:spacing w:val="4"/>
          <w:kern w:val="0"/>
          <w:sz w:val="24"/>
          <w:szCs w:val="24"/>
          <w:lang w:val="zh-CN" w:bidi="zh-CN"/>
        </w:rPr>
        <w:t xml:space="preserve"> 天内,</w:t>
      </w:r>
      <w:r>
        <w:rPr>
          <w:rFonts w:ascii="宋体" w:hAnsi="宋体" w:cs="宋体"/>
          <w:spacing w:val="3"/>
          <w:kern w:val="0"/>
          <w:sz w:val="24"/>
          <w:szCs w:val="24"/>
          <w:lang w:val="zh-CN" w:bidi="zh-CN"/>
        </w:rPr>
        <w:t>由监理人向承包人出具经发包人签认的缺陷责任终止证书，并退还剩余的质量保证金。</w:t>
      </w:r>
    </w:p>
    <w:p w14:paraId="313CEA15">
      <w:pPr>
        <w:keepNext/>
        <w:keepLines/>
        <w:widowControl/>
        <w:spacing w:before="260" w:after="260" w:line="415" w:lineRule="auto"/>
        <w:jc w:val="left"/>
        <w:outlineLvl w:val="2"/>
        <w:rPr>
          <w:rFonts w:ascii="宋体" w:hAnsi="宋体" w:cs="宋体"/>
          <w:b/>
          <w:bCs/>
          <w:kern w:val="0"/>
          <w:sz w:val="24"/>
          <w:szCs w:val="24"/>
          <w:lang w:val="zh-CN" w:bidi="zh-CN"/>
        </w:rPr>
      </w:pPr>
      <w:bookmarkStart w:id="151" w:name="_Toc256000056"/>
      <w:r>
        <w:rPr>
          <w:rFonts w:ascii="宋体" w:hAnsi="宋体" w:cs="宋体"/>
          <w:b/>
          <w:bCs/>
          <w:kern w:val="0"/>
          <w:sz w:val="24"/>
          <w:szCs w:val="24"/>
          <w:lang w:val="zh-CN" w:bidi="zh-CN"/>
        </w:rPr>
        <w:t>十、违约、索赔和争议</w:t>
      </w:r>
      <w:bookmarkEnd w:id="151"/>
    </w:p>
    <w:p w14:paraId="088EB574">
      <w:pPr>
        <w:keepLines/>
        <w:widowControl/>
        <w:tabs>
          <w:tab w:val="left" w:pos="567"/>
        </w:tabs>
        <w:autoSpaceDE w:val="0"/>
        <w:autoSpaceDN w:val="0"/>
        <w:spacing w:before="120" w:after="120" w:line="360" w:lineRule="auto"/>
        <w:ind w:left="567"/>
        <w:jc w:val="left"/>
        <w:outlineLvl w:val="3"/>
        <w:rPr>
          <w:rFonts w:ascii="宋体" w:hAnsi="宋体"/>
          <w:b/>
          <w:bCs/>
          <w:kern w:val="0"/>
          <w:sz w:val="24"/>
          <w:szCs w:val="24"/>
          <w:lang w:val="zh-CN" w:bidi="zh-CN"/>
        </w:rPr>
      </w:pPr>
      <w:r>
        <w:rPr>
          <w:rFonts w:ascii="宋体" w:hAnsi="宋体"/>
          <w:b/>
          <w:bCs/>
          <w:kern w:val="0"/>
          <w:sz w:val="24"/>
          <w:szCs w:val="24"/>
          <w:lang w:val="zh-CN" w:bidi="zh-CN"/>
        </w:rPr>
        <w:t>22.违约</w:t>
      </w:r>
    </w:p>
    <w:p w14:paraId="039B73C9">
      <w:pPr>
        <w:tabs>
          <w:tab w:val="left" w:pos="1523"/>
          <w:tab w:val="left" w:pos="1524"/>
        </w:tabs>
        <w:autoSpaceDE w:val="0"/>
        <w:autoSpaceDN w:val="0"/>
        <w:spacing w:line="360" w:lineRule="auto"/>
        <w:ind w:left="384" w:firstLine="480"/>
        <w:jc w:val="left"/>
        <w:rPr>
          <w:rFonts w:ascii="宋体" w:hAnsi="宋体" w:cs="宋体"/>
          <w:kern w:val="0"/>
          <w:sz w:val="24"/>
          <w:szCs w:val="24"/>
          <w:lang w:val="zh-CN" w:bidi="zh-CN"/>
        </w:rPr>
      </w:pPr>
      <w:r>
        <w:rPr>
          <w:rFonts w:hint="eastAsia" w:ascii="宋体" w:hAnsi="宋体" w:cs="宋体"/>
          <w:kern w:val="0"/>
          <w:sz w:val="24"/>
          <w:szCs w:val="24"/>
          <w:lang w:val="zh-CN" w:bidi="zh-CN"/>
        </w:rPr>
        <w:t>22.1</w:t>
      </w:r>
      <w:r>
        <w:rPr>
          <w:rFonts w:ascii="宋体" w:hAnsi="宋体" w:cs="宋体"/>
          <w:kern w:val="0"/>
          <w:sz w:val="24"/>
          <w:szCs w:val="24"/>
          <w:lang w:val="zh-CN" w:bidi="zh-CN"/>
        </w:rPr>
        <w:t>发包人违约</w:t>
      </w:r>
    </w:p>
    <w:p w14:paraId="0DB1C7BA">
      <w:pPr>
        <w:numPr>
          <w:ilvl w:val="0"/>
          <w:numId w:val="0"/>
        </w:numPr>
        <w:tabs>
          <w:tab w:val="left" w:pos="1703"/>
          <w:tab w:val="left" w:pos="1704"/>
        </w:tabs>
        <w:autoSpaceDE w:val="0"/>
        <w:autoSpaceDN w:val="0"/>
        <w:spacing w:before="84" w:line="360" w:lineRule="auto"/>
        <w:ind w:leftChars="200" w:firstLine="480" w:firstLineChars="200"/>
        <w:jc w:val="left"/>
        <w:rPr>
          <w:rFonts w:ascii="宋体" w:hAnsi="宋体" w:cs="宋体"/>
          <w:kern w:val="0"/>
          <w:sz w:val="24"/>
          <w:szCs w:val="24"/>
          <w:lang w:val="zh-CN" w:bidi="zh-CN"/>
        </w:rPr>
      </w:pPr>
      <w:r>
        <w:rPr>
          <w:rFonts w:hint="eastAsia" w:ascii="宋体" w:hAnsi="宋体" w:cs="宋体"/>
          <w:kern w:val="0"/>
          <w:sz w:val="24"/>
          <w:szCs w:val="24"/>
          <w:lang w:val="en-US" w:bidi="zh-CN"/>
        </w:rPr>
        <w:t>22.1.1</w:t>
      </w:r>
      <w:r>
        <w:rPr>
          <w:rFonts w:ascii="宋体" w:hAnsi="宋体" w:cs="宋体"/>
          <w:kern w:val="0"/>
          <w:sz w:val="24"/>
          <w:szCs w:val="24"/>
          <w:lang w:val="zh-CN" w:bidi="zh-CN"/>
        </w:rPr>
        <w:t>下列情况属发包人违约：</w:t>
      </w:r>
    </w:p>
    <w:p w14:paraId="65C8CA04">
      <w:pPr>
        <w:numPr>
          <w:ilvl w:val="0"/>
          <w:numId w:val="8"/>
        </w:numPr>
        <w:autoSpaceDE w:val="0"/>
        <w:autoSpaceDN w:val="0"/>
        <w:spacing w:before="86" w:line="360" w:lineRule="auto"/>
        <w:ind w:left="384" w:right="346" w:firstLine="436" w:firstLineChars="200"/>
        <w:jc w:val="left"/>
        <w:rPr>
          <w:rFonts w:ascii="宋体" w:hAnsi="宋体" w:cs="宋体"/>
          <w:kern w:val="0"/>
          <w:sz w:val="24"/>
          <w:szCs w:val="24"/>
          <w:lang w:val="zh-CN" w:bidi="zh-CN"/>
        </w:rPr>
      </w:pPr>
      <w:r>
        <w:rPr>
          <w:rFonts w:ascii="宋体" w:hAnsi="宋体" w:cs="宋体"/>
          <w:spacing w:val="-11"/>
          <w:kern w:val="0"/>
          <w:sz w:val="24"/>
          <w:szCs w:val="24"/>
          <w:lang w:val="zh-CN" w:bidi="zh-CN"/>
        </w:rPr>
        <w:t>按合同约定，未向承包人支付根据监理人签发的支付证书项下的应付款额，或拖延、拒绝批准付款申请和支付凭证，导致付款延误的；</w:t>
      </w:r>
    </w:p>
    <w:p w14:paraId="566C13EC">
      <w:pPr>
        <w:autoSpaceDE w:val="0"/>
        <w:autoSpaceDN w:val="0"/>
        <w:spacing w:before="86" w:line="360" w:lineRule="auto"/>
        <w:ind w:left="384" w:right="34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（2）发包人原因造成停工的；</w:t>
      </w:r>
    </w:p>
    <w:p w14:paraId="7A1F826F">
      <w:pPr>
        <w:autoSpaceDE w:val="0"/>
        <w:autoSpaceDN w:val="0"/>
        <w:spacing w:before="86" w:line="360" w:lineRule="auto"/>
        <w:ind w:left="384" w:right="38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（3）监理人无正当理由没有在约定期限内，发出复工指示，导致承包人无法复工的；</w:t>
      </w:r>
    </w:p>
    <w:p w14:paraId="1BEBA3A9">
      <w:pPr>
        <w:autoSpaceDE w:val="0"/>
        <w:autoSpaceDN w:val="0"/>
        <w:spacing w:before="1" w:line="360" w:lineRule="auto"/>
        <w:ind w:left="384" w:right="466" w:firstLine="496" w:firstLineChars="200"/>
        <w:rPr>
          <w:rFonts w:ascii="宋体" w:hAnsi="宋体" w:cs="宋体"/>
          <w:kern w:val="0"/>
          <w:sz w:val="24"/>
          <w:szCs w:val="24"/>
          <w:lang w:val="zh-CN" w:bidi="zh-CN"/>
        </w:rPr>
      </w:pPr>
      <w:r>
        <w:rPr>
          <w:rFonts w:ascii="宋体" w:hAnsi="宋体" w:cs="宋体"/>
          <w:spacing w:val="4"/>
          <w:kern w:val="0"/>
          <w:sz w:val="24"/>
          <w:szCs w:val="24"/>
          <w:lang w:val="zh-CN" w:bidi="zh-CN"/>
        </w:rPr>
        <w:t>（4）</w:t>
      </w:r>
      <w:r>
        <w:rPr>
          <w:rFonts w:ascii="宋体" w:hAnsi="宋体" w:cs="宋体"/>
          <w:spacing w:val="2"/>
          <w:kern w:val="0"/>
          <w:sz w:val="24"/>
          <w:szCs w:val="24"/>
          <w:lang w:val="zh-CN" w:bidi="zh-CN"/>
        </w:rPr>
        <w:t>未根据本合同任何条款而无理阻碍或拒绝对任何上述证书颁发的所需批准，则承包人有权终止对本合同项下的承包，并通知发包人，抄送监理人，该终止</w:t>
      </w:r>
      <w:r>
        <w:rPr>
          <w:rFonts w:ascii="宋体" w:hAnsi="宋体" w:cs="宋体"/>
          <w:spacing w:val="-9"/>
          <w:kern w:val="0"/>
          <w:sz w:val="24"/>
          <w:szCs w:val="24"/>
          <w:lang w:val="zh-CN" w:bidi="zh-CN"/>
        </w:rPr>
        <w:t xml:space="preserve">在发出通知 </w:t>
      </w:r>
      <w:r>
        <w:rPr>
          <w:rFonts w:ascii="宋体" w:hAnsi="宋体" w:cs="宋体"/>
          <w:kern w:val="0"/>
          <w:sz w:val="24"/>
          <w:szCs w:val="24"/>
          <w:lang w:val="zh-CN" w:bidi="zh-CN"/>
        </w:rPr>
        <w:t xml:space="preserve">14 </w:t>
      </w:r>
      <w:r>
        <w:rPr>
          <w:rFonts w:ascii="宋体" w:hAnsi="宋体" w:cs="宋体"/>
          <w:spacing w:val="-10"/>
          <w:kern w:val="0"/>
          <w:sz w:val="24"/>
          <w:szCs w:val="24"/>
          <w:lang w:val="zh-CN" w:bidi="zh-CN"/>
        </w:rPr>
        <w:t>天后生效，发包人应承担违约责任，赔偿因其违约给承包人造成的损失，顺延延误的工期。</w:t>
      </w:r>
    </w:p>
    <w:p w14:paraId="0A9E376D">
      <w:pPr>
        <w:numPr>
          <w:ilvl w:val="0"/>
          <w:numId w:val="0"/>
        </w:numPr>
        <w:tabs>
          <w:tab w:val="left" w:pos="1703"/>
          <w:tab w:val="left" w:pos="1704"/>
        </w:tabs>
        <w:autoSpaceDE w:val="0"/>
        <w:autoSpaceDN w:val="0"/>
        <w:spacing w:before="8" w:line="360" w:lineRule="auto"/>
        <w:ind w:leftChars="200" w:right="346" w:rightChars="0" w:firstLine="456" w:firstLineChars="200"/>
        <w:jc w:val="left"/>
        <w:rPr>
          <w:rFonts w:ascii="宋体" w:hAnsi="宋体" w:cs="宋体"/>
          <w:kern w:val="0"/>
          <w:sz w:val="24"/>
          <w:szCs w:val="24"/>
          <w:lang w:val="zh-CN" w:bidi="zh-CN"/>
        </w:rPr>
      </w:pPr>
      <w:r>
        <w:rPr>
          <w:rFonts w:hint="eastAsia" w:ascii="宋体" w:hAnsi="宋体" w:cs="宋体"/>
          <w:spacing w:val="-6"/>
          <w:kern w:val="0"/>
          <w:sz w:val="24"/>
          <w:szCs w:val="24"/>
          <w:lang w:val="en-US" w:bidi="zh-CN"/>
        </w:rPr>
        <w:t>22.1.2</w:t>
      </w:r>
      <w:r>
        <w:rPr>
          <w:rFonts w:ascii="宋体" w:hAnsi="宋体" w:cs="宋体"/>
          <w:spacing w:val="-6"/>
          <w:kern w:val="0"/>
          <w:sz w:val="24"/>
          <w:szCs w:val="24"/>
          <w:lang w:val="zh-CN" w:bidi="zh-CN"/>
        </w:rPr>
        <w:t>发包人发生违约情况时，承包人可向发包人发出通知，要求发包人采取</w:t>
      </w:r>
      <w:r>
        <w:rPr>
          <w:rFonts w:ascii="宋体" w:hAnsi="宋体" w:cs="宋体"/>
          <w:spacing w:val="-13"/>
          <w:kern w:val="0"/>
          <w:sz w:val="24"/>
          <w:szCs w:val="24"/>
          <w:lang w:val="zh-CN" w:bidi="zh-CN"/>
        </w:rPr>
        <w:t xml:space="preserve">有效措施纠正违约行为。发包人收到承包人通知后的 </w:t>
      </w:r>
      <w:r>
        <w:rPr>
          <w:rFonts w:ascii="宋体" w:hAnsi="宋体" w:cs="宋体"/>
          <w:kern w:val="0"/>
          <w:sz w:val="24"/>
          <w:szCs w:val="24"/>
          <w:lang w:val="zh-CN" w:bidi="zh-CN"/>
        </w:rPr>
        <w:t xml:space="preserve">28 </w:t>
      </w:r>
      <w:r>
        <w:rPr>
          <w:rFonts w:ascii="宋体" w:hAnsi="宋体" w:cs="宋体"/>
          <w:spacing w:val="-4"/>
          <w:kern w:val="0"/>
          <w:sz w:val="24"/>
          <w:szCs w:val="24"/>
          <w:lang w:val="zh-CN" w:bidi="zh-CN"/>
        </w:rPr>
        <w:t>天内仍不履行合同义务，承包人有权暂停施工，并通知监理人，发包人应承担由此增加的费用和</w:t>
      </w:r>
      <w:r>
        <w:rPr>
          <w:rFonts w:ascii="宋体" w:hAnsi="宋体" w:cs="宋体"/>
          <w:kern w:val="0"/>
          <w:sz w:val="24"/>
          <w:szCs w:val="24"/>
          <w:lang w:val="zh-CN" w:bidi="zh-CN"/>
        </w:rPr>
        <w:t>(或)工期延误， 并支付承包人合理利润。</w:t>
      </w:r>
    </w:p>
    <w:p w14:paraId="40CE5461">
      <w:pPr>
        <w:tabs>
          <w:tab w:val="left" w:pos="1523"/>
          <w:tab w:val="left" w:pos="1524"/>
        </w:tabs>
        <w:autoSpaceDE w:val="0"/>
        <w:autoSpaceDN w:val="0"/>
        <w:spacing w:before="5" w:line="360" w:lineRule="auto"/>
        <w:ind w:left="384" w:firstLine="480"/>
        <w:jc w:val="left"/>
        <w:rPr>
          <w:rFonts w:ascii="宋体" w:hAnsi="宋体" w:cs="宋体"/>
          <w:kern w:val="0"/>
          <w:sz w:val="24"/>
          <w:szCs w:val="24"/>
          <w:lang w:val="zh-CN" w:bidi="zh-CN"/>
        </w:rPr>
      </w:pPr>
      <w:r>
        <w:rPr>
          <w:rFonts w:hint="eastAsia" w:ascii="宋体" w:hAnsi="宋体" w:cs="宋体"/>
          <w:kern w:val="0"/>
          <w:sz w:val="24"/>
          <w:szCs w:val="24"/>
          <w:lang w:val="zh-CN" w:bidi="zh-CN"/>
        </w:rPr>
        <w:t xml:space="preserve">22.2 </w:t>
      </w:r>
      <w:r>
        <w:rPr>
          <w:rFonts w:ascii="宋体" w:hAnsi="宋体" w:cs="宋体"/>
          <w:kern w:val="0"/>
          <w:sz w:val="24"/>
          <w:szCs w:val="24"/>
          <w:lang w:val="zh-CN" w:bidi="zh-CN"/>
        </w:rPr>
        <w:t>承包人违约</w:t>
      </w:r>
    </w:p>
    <w:p w14:paraId="6AC0B398">
      <w:pPr>
        <w:numPr>
          <w:ilvl w:val="0"/>
          <w:numId w:val="0"/>
        </w:numPr>
        <w:tabs>
          <w:tab w:val="left" w:pos="1703"/>
          <w:tab w:val="left" w:pos="1704"/>
        </w:tabs>
        <w:autoSpaceDE w:val="0"/>
        <w:autoSpaceDN w:val="0"/>
        <w:spacing w:before="83" w:line="360" w:lineRule="auto"/>
        <w:ind w:leftChars="200" w:firstLine="480" w:firstLineChars="200"/>
        <w:jc w:val="left"/>
        <w:rPr>
          <w:rFonts w:ascii="宋体" w:hAnsi="宋体" w:cs="宋体"/>
          <w:kern w:val="0"/>
          <w:sz w:val="24"/>
          <w:szCs w:val="24"/>
          <w:lang w:val="zh-CN" w:bidi="zh-CN"/>
        </w:rPr>
      </w:pPr>
      <w:r>
        <w:rPr>
          <w:rFonts w:hint="eastAsia" w:ascii="宋体" w:hAnsi="宋体" w:cs="宋体"/>
          <w:kern w:val="0"/>
          <w:sz w:val="24"/>
          <w:szCs w:val="24"/>
          <w:lang w:val="en-US" w:bidi="zh-CN"/>
        </w:rPr>
        <w:t>22.2.1</w:t>
      </w:r>
      <w:r>
        <w:rPr>
          <w:rFonts w:ascii="宋体" w:hAnsi="宋体" w:cs="宋体"/>
          <w:kern w:val="0"/>
          <w:sz w:val="24"/>
          <w:szCs w:val="24"/>
          <w:lang w:val="zh-CN" w:bidi="zh-CN"/>
        </w:rPr>
        <w:t>下列情况属承包人违约：</w:t>
      </w:r>
    </w:p>
    <w:p w14:paraId="5EBA7DB7">
      <w:pPr>
        <w:autoSpaceDE w:val="0"/>
        <w:autoSpaceDN w:val="0"/>
        <w:spacing w:before="84" w:line="360" w:lineRule="auto"/>
        <w:ind w:left="384" w:right="38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（1）无视监理人事先的书面警告，不履行其合同规定的义务；</w:t>
      </w:r>
    </w:p>
    <w:p w14:paraId="16CB0B7D">
      <w:pPr>
        <w:autoSpaceDE w:val="0"/>
        <w:autoSpaceDN w:val="0"/>
        <w:spacing w:before="84" w:line="360" w:lineRule="auto"/>
        <w:ind w:left="384" w:right="38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（2）违反合同规定，私自将合同的全部或部分权利转让给其他人，或私自将合同的全部或部分义务转让给其他人；</w:t>
      </w:r>
    </w:p>
    <w:p w14:paraId="5427F94E">
      <w:pPr>
        <w:autoSpaceDE w:val="0"/>
        <w:autoSpaceDN w:val="0"/>
        <w:spacing w:line="360" w:lineRule="auto"/>
        <w:ind w:left="384" w:right="466" w:firstLine="420" w:firstLineChars="200"/>
        <w:rPr>
          <w:rFonts w:ascii="宋体" w:hAnsi="宋体" w:cs="宋体"/>
          <w:kern w:val="0"/>
          <w:sz w:val="24"/>
          <w:szCs w:val="24"/>
          <w:lang w:val="zh-CN" w:bidi="zh-CN"/>
        </w:rPr>
      </w:pPr>
      <w:r>
        <w:rPr>
          <w:rFonts w:ascii="宋体" w:hAnsi="宋体" w:cs="宋体"/>
          <w:spacing w:val="-15"/>
          <w:kern w:val="0"/>
          <w:sz w:val="24"/>
          <w:szCs w:val="24"/>
          <w:lang w:val="zh-CN" w:bidi="zh-CN"/>
        </w:rPr>
        <w:t>（3）</w:t>
      </w:r>
      <w:r>
        <w:rPr>
          <w:rFonts w:ascii="宋体" w:hAnsi="宋体" w:cs="宋体"/>
          <w:spacing w:val="-2"/>
          <w:kern w:val="0"/>
          <w:sz w:val="24"/>
          <w:szCs w:val="24"/>
          <w:lang w:val="zh-CN" w:bidi="zh-CN"/>
        </w:rPr>
        <w:t>未按在合同谈判阶段确定的内容配备其他管理和技术人员、主要机械设备和试验检测设备、未按期提交施工组织计划；私自将已按合同约定进入场地的施工设备、临时设备或材料撤离施工场地；</w:t>
      </w:r>
    </w:p>
    <w:p w14:paraId="6575D0B2">
      <w:pPr>
        <w:autoSpaceDE w:val="0"/>
        <w:autoSpaceDN w:val="0"/>
        <w:spacing w:line="360" w:lineRule="auto"/>
        <w:ind w:left="384" w:right="41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（4）在监理人通知或指令发出 28 天内不遵守该通知或指令修复或运走、替换不合格材料、设备的；</w:t>
      </w:r>
    </w:p>
    <w:p w14:paraId="1D24804E">
      <w:pPr>
        <w:autoSpaceDE w:val="0"/>
        <w:autoSpaceDN w:val="0"/>
        <w:spacing w:line="360" w:lineRule="auto"/>
        <w:ind w:left="384" w:right="41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（5）无正当理由延期开工或因进度滞后，在接到监理人加快进度通知 28 天内无正当理由、未能采取措施加快进行本工程或其关键部分的施工；</w:t>
      </w:r>
    </w:p>
    <w:p w14:paraId="2BBDCFC3">
      <w:pPr>
        <w:autoSpaceDE w:val="0"/>
        <w:autoSpaceDN w:val="0"/>
        <w:spacing w:line="360" w:lineRule="auto"/>
        <w:ind w:left="384" w:right="41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（6）未达到规定质量目标的；</w:t>
      </w:r>
    </w:p>
    <w:p w14:paraId="1B290A0A">
      <w:pPr>
        <w:autoSpaceDE w:val="0"/>
        <w:autoSpaceDN w:val="0"/>
        <w:spacing w:line="360" w:lineRule="auto"/>
        <w:ind w:left="384" w:right="41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（7）出现三级一般质量事故以上的；</w:t>
      </w:r>
    </w:p>
    <w:p w14:paraId="76985F4F">
      <w:pPr>
        <w:autoSpaceDE w:val="0"/>
        <w:autoSpaceDN w:val="0"/>
        <w:spacing w:line="360" w:lineRule="auto"/>
        <w:ind w:left="384" w:right="41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（8）发生野蛮施工，造成环保事件或损坏原有建筑物的；</w:t>
      </w:r>
    </w:p>
    <w:p w14:paraId="42DE521A">
      <w:pPr>
        <w:autoSpaceDE w:val="0"/>
        <w:autoSpaceDN w:val="0"/>
        <w:spacing w:line="360" w:lineRule="auto"/>
        <w:ind w:left="384" w:right="41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（9）因通行便道维护不力，造成社会恶劣影响的；</w:t>
      </w:r>
    </w:p>
    <w:p w14:paraId="760C1E98">
      <w:pPr>
        <w:autoSpaceDE w:val="0"/>
        <w:autoSpaceDN w:val="0"/>
        <w:spacing w:line="360" w:lineRule="auto"/>
        <w:ind w:left="384" w:right="41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（10）拖欠劳务工资、设备、材料款，造成恶劣影响的；</w:t>
      </w:r>
    </w:p>
    <w:p w14:paraId="39800719">
      <w:pPr>
        <w:autoSpaceDE w:val="0"/>
        <w:autoSpaceDN w:val="0"/>
        <w:spacing w:line="360" w:lineRule="auto"/>
        <w:ind w:left="384" w:right="41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（11）违反分包、转包规定的；</w:t>
      </w:r>
    </w:p>
    <w:p w14:paraId="3C6C3C3D">
      <w:pPr>
        <w:autoSpaceDE w:val="0"/>
        <w:autoSpaceDN w:val="0"/>
        <w:spacing w:line="360" w:lineRule="auto"/>
        <w:ind w:left="384" w:right="41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（12）承包人在缺陷责任期内，未能对工程接收证书所列的缺陷清单的内容或缺陷责任期内发生的缺陷进行修复，而又拒绝按监理人指示再进行修补的；</w:t>
      </w:r>
    </w:p>
    <w:p w14:paraId="75480C79">
      <w:pPr>
        <w:autoSpaceDE w:val="0"/>
        <w:autoSpaceDN w:val="0"/>
        <w:spacing w:line="360" w:lineRule="auto"/>
        <w:ind w:left="384" w:right="41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（13）违反其他合同规定履约义务的。</w:t>
      </w:r>
    </w:p>
    <w:p w14:paraId="6DFB6D93">
      <w:pPr>
        <w:numPr>
          <w:ilvl w:val="0"/>
          <w:numId w:val="0"/>
        </w:numPr>
        <w:tabs>
          <w:tab w:val="left" w:pos="1703"/>
          <w:tab w:val="left" w:pos="1704"/>
        </w:tabs>
        <w:autoSpaceDE w:val="0"/>
        <w:autoSpaceDN w:val="0"/>
        <w:spacing w:before="83" w:line="360" w:lineRule="auto"/>
        <w:ind w:leftChars="200" w:firstLine="480" w:firstLineChars="200"/>
        <w:jc w:val="left"/>
        <w:rPr>
          <w:rFonts w:ascii="宋体" w:hAnsi="宋体" w:cs="宋体"/>
          <w:kern w:val="0"/>
          <w:sz w:val="24"/>
          <w:szCs w:val="24"/>
          <w:lang w:val="zh-CN" w:bidi="zh-CN"/>
        </w:rPr>
      </w:pPr>
      <w:r>
        <w:rPr>
          <w:rFonts w:hint="eastAsia" w:ascii="宋体" w:hAnsi="宋体" w:cs="宋体"/>
          <w:kern w:val="0"/>
          <w:sz w:val="24"/>
          <w:szCs w:val="24"/>
          <w:lang w:val="en-US" w:bidi="zh-CN"/>
        </w:rPr>
        <w:t>22.2.2</w:t>
      </w:r>
      <w:r>
        <w:rPr>
          <w:rFonts w:ascii="宋体" w:hAnsi="宋体" w:cs="宋体"/>
          <w:kern w:val="0"/>
          <w:sz w:val="24"/>
          <w:szCs w:val="24"/>
          <w:lang w:val="zh-CN" w:bidi="zh-CN"/>
        </w:rPr>
        <w:t>承包人承担违约责任，赔偿因其违约给发包人造成的损失。</w:t>
      </w:r>
    </w:p>
    <w:p w14:paraId="22D00379">
      <w:pPr>
        <w:numPr>
          <w:ilvl w:val="0"/>
          <w:numId w:val="0"/>
        </w:numPr>
        <w:tabs>
          <w:tab w:val="left" w:pos="1707"/>
        </w:tabs>
        <w:autoSpaceDE w:val="0"/>
        <w:autoSpaceDN w:val="0"/>
        <w:spacing w:before="86" w:line="360" w:lineRule="auto"/>
        <w:ind w:leftChars="200" w:right="465" w:rightChars="0" w:firstLine="460" w:firstLineChars="200"/>
        <w:rPr>
          <w:rFonts w:ascii="宋体" w:hAnsi="宋体" w:cs="宋体"/>
          <w:kern w:val="0"/>
          <w:sz w:val="24"/>
          <w:szCs w:val="24"/>
          <w:lang w:val="zh-CN" w:bidi="zh-CN"/>
        </w:rPr>
      </w:pPr>
      <w:r>
        <w:rPr>
          <w:rFonts w:hint="eastAsia" w:ascii="宋体" w:hAnsi="宋体" w:cs="宋体"/>
          <w:spacing w:val="-5"/>
          <w:kern w:val="0"/>
          <w:sz w:val="24"/>
          <w:szCs w:val="24"/>
          <w:lang w:val="en-US" w:bidi="zh-CN"/>
        </w:rPr>
        <w:t>22.2.3</w:t>
      </w:r>
      <w:r>
        <w:rPr>
          <w:rFonts w:ascii="宋体" w:hAnsi="宋体" w:cs="宋体"/>
          <w:spacing w:val="-5"/>
          <w:kern w:val="0"/>
          <w:sz w:val="24"/>
          <w:szCs w:val="24"/>
          <w:lang w:val="zh-CN" w:bidi="zh-CN"/>
        </w:rPr>
        <w:t xml:space="preserve">监理人发出整改通知 </w:t>
      </w:r>
      <w:r>
        <w:rPr>
          <w:rFonts w:ascii="宋体" w:hAnsi="宋体" w:cs="宋体"/>
          <w:kern w:val="0"/>
          <w:sz w:val="24"/>
          <w:szCs w:val="24"/>
          <w:lang w:val="zh-CN" w:bidi="zh-CN"/>
        </w:rPr>
        <w:t>28</w:t>
      </w:r>
      <w:r>
        <w:rPr>
          <w:rFonts w:ascii="宋体" w:hAnsi="宋体" w:cs="宋体"/>
          <w:spacing w:val="12"/>
          <w:kern w:val="0"/>
          <w:sz w:val="24"/>
          <w:szCs w:val="24"/>
          <w:lang w:val="zh-CN" w:bidi="zh-CN"/>
        </w:rPr>
        <w:t xml:space="preserve"> </w:t>
      </w:r>
      <w:r>
        <w:rPr>
          <w:rFonts w:ascii="宋体" w:hAnsi="宋体" w:cs="宋体"/>
          <w:kern w:val="0"/>
          <w:sz w:val="24"/>
          <w:szCs w:val="24"/>
          <w:lang w:val="zh-CN" w:bidi="zh-CN"/>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为不免除承包人应承担的违约责任，也不影响发包人根据合同约定享有的索赔权利。</w:t>
      </w:r>
    </w:p>
    <w:p w14:paraId="691FEC1A">
      <w:pPr>
        <w:numPr>
          <w:ilvl w:val="0"/>
          <w:numId w:val="0"/>
        </w:numPr>
        <w:tabs>
          <w:tab w:val="left" w:pos="1529"/>
        </w:tabs>
        <w:autoSpaceDE w:val="0"/>
        <w:autoSpaceDN w:val="0"/>
        <w:spacing w:before="6" w:line="360" w:lineRule="auto"/>
        <w:ind w:leftChars="200" w:right="465" w:rightChars="0" w:firstLine="480" w:firstLineChars="200"/>
        <w:rPr>
          <w:rFonts w:ascii="宋体" w:hAnsi="宋体" w:cs="宋体"/>
          <w:kern w:val="0"/>
          <w:sz w:val="24"/>
          <w:szCs w:val="24"/>
          <w:lang w:val="zh-CN" w:bidi="zh-CN"/>
        </w:rPr>
      </w:pPr>
      <w:r>
        <w:rPr>
          <w:rFonts w:hint="eastAsia" w:ascii="宋体" w:hAnsi="宋体" w:cs="宋体"/>
          <w:kern w:val="0"/>
          <w:sz w:val="24"/>
          <w:szCs w:val="24"/>
          <w:lang w:val="en-US" w:bidi="zh-CN"/>
        </w:rPr>
        <w:t>22.2.4</w:t>
      </w:r>
      <w:r>
        <w:rPr>
          <w:rFonts w:ascii="宋体" w:hAnsi="宋体" w:cs="宋体"/>
          <w:kern w:val="0"/>
          <w:sz w:val="24"/>
          <w:szCs w:val="24"/>
          <w:lang w:val="zh-CN" w:bidi="zh-CN"/>
        </w:rPr>
        <w:t>在履行合同过程中，一方当事人因第三人的原因造成违约的，应当向对方当事人承担违约责任。一方当事人和第三人之间的纠纷，依照法律规定或者按照约定解决。</w:t>
      </w:r>
    </w:p>
    <w:p w14:paraId="33963857">
      <w:pPr>
        <w:tabs>
          <w:tab w:val="left" w:pos="1523"/>
          <w:tab w:val="left" w:pos="1524"/>
        </w:tabs>
        <w:autoSpaceDE w:val="0"/>
        <w:autoSpaceDN w:val="0"/>
        <w:spacing w:line="360" w:lineRule="auto"/>
        <w:ind w:left="384" w:firstLine="480"/>
        <w:jc w:val="left"/>
        <w:rPr>
          <w:rFonts w:ascii="宋体" w:hAnsi="宋体" w:cs="宋体"/>
          <w:kern w:val="0"/>
          <w:sz w:val="24"/>
          <w:szCs w:val="24"/>
          <w:lang w:val="zh-CN" w:bidi="zh-CN"/>
        </w:rPr>
      </w:pPr>
      <w:r>
        <w:rPr>
          <w:rFonts w:hint="eastAsia" w:ascii="宋体" w:hAnsi="宋体" w:cs="宋体"/>
          <w:kern w:val="0"/>
          <w:sz w:val="24"/>
          <w:szCs w:val="24"/>
          <w:lang w:val="zh-CN" w:bidi="zh-CN"/>
        </w:rPr>
        <w:t xml:space="preserve">22.4 </w:t>
      </w:r>
      <w:r>
        <w:rPr>
          <w:rFonts w:ascii="宋体" w:hAnsi="宋体" w:cs="宋体"/>
          <w:kern w:val="0"/>
          <w:sz w:val="24"/>
          <w:szCs w:val="24"/>
          <w:lang w:val="zh-CN" w:bidi="zh-CN"/>
        </w:rPr>
        <w:t>合同解除后的估价、付款和结清</w:t>
      </w:r>
    </w:p>
    <w:p w14:paraId="6F0BDA0E">
      <w:pPr>
        <w:autoSpaceDE w:val="0"/>
        <w:autoSpaceDN w:val="0"/>
        <w:spacing w:before="86" w:line="360" w:lineRule="auto"/>
        <w:ind w:left="384" w:right="38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（1）合同解除后，监理人商定或确定承包人实际完成工作的价值，以及承包人已提供的材料、施工设备、工程设备和临时工程等的价值；</w:t>
      </w:r>
    </w:p>
    <w:p w14:paraId="30D1F65D">
      <w:pPr>
        <w:autoSpaceDE w:val="0"/>
        <w:autoSpaceDN w:val="0"/>
        <w:spacing w:before="2" w:line="360" w:lineRule="auto"/>
        <w:ind w:left="384" w:right="466" w:firstLine="440" w:firstLineChars="200"/>
        <w:jc w:val="left"/>
        <w:rPr>
          <w:rFonts w:ascii="宋体" w:hAnsi="宋体" w:cs="宋体"/>
          <w:kern w:val="0"/>
          <w:sz w:val="24"/>
          <w:szCs w:val="24"/>
          <w:lang w:val="zh-CN" w:bidi="zh-CN"/>
        </w:rPr>
      </w:pPr>
      <w:r>
        <w:rPr>
          <w:rFonts w:ascii="宋体" w:hAnsi="宋体" w:cs="宋体"/>
          <w:spacing w:val="-10"/>
          <w:kern w:val="0"/>
          <w:sz w:val="24"/>
          <w:szCs w:val="24"/>
          <w:lang w:val="zh-CN" w:bidi="zh-CN"/>
        </w:rPr>
        <w:t>（2）</w:t>
      </w:r>
      <w:r>
        <w:rPr>
          <w:rFonts w:ascii="宋体" w:hAnsi="宋体" w:cs="宋体"/>
          <w:spacing w:val="-7"/>
          <w:kern w:val="0"/>
          <w:sz w:val="24"/>
          <w:szCs w:val="24"/>
          <w:lang w:val="zh-CN" w:bidi="zh-CN"/>
        </w:rPr>
        <w:t>合同解除后，发包人应暂停对承包人的一切付款，查清各项付款和已扣款金额，包括承包人应支付的违约金；</w:t>
      </w:r>
    </w:p>
    <w:p w14:paraId="64A9F11D">
      <w:pPr>
        <w:autoSpaceDE w:val="0"/>
        <w:autoSpaceDN w:val="0"/>
        <w:spacing w:line="360" w:lineRule="auto"/>
        <w:ind w:left="384" w:right="466" w:firstLine="420" w:firstLineChars="200"/>
        <w:jc w:val="left"/>
        <w:rPr>
          <w:rFonts w:ascii="宋体" w:hAnsi="宋体" w:cs="宋体"/>
          <w:kern w:val="0"/>
          <w:sz w:val="24"/>
          <w:szCs w:val="24"/>
          <w:lang w:val="zh-CN" w:bidi="zh-CN"/>
        </w:rPr>
      </w:pPr>
      <w:r>
        <w:rPr>
          <w:rFonts w:ascii="宋体" w:hAnsi="宋体" w:cs="宋体"/>
          <w:spacing w:val="-15"/>
          <w:kern w:val="0"/>
          <w:sz w:val="24"/>
          <w:szCs w:val="24"/>
          <w:lang w:val="zh-CN" w:bidi="zh-CN"/>
        </w:rPr>
        <w:t>（3）</w:t>
      </w:r>
      <w:r>
        <w:rPr>
          <w:rFonts w:ascii="宋体" w:hAnsi="宋体" w:cs="宋体"/>
          <w:spacing w:val="-6"/>
          <w:kern w:val="0"/>
          <w:sz w:val="24"/>
          <w:szCs w:val="24"/>
          <w:lang w:val="zh-CN" w:bidi="zh-CN"/>
        </w:rPr>
        <w:t>合同解除后，发包人应约定向承包人索赔由于解除合同给发包人造成的损失；</w:t>
      </w:r>
    </w:p>
    <w:p w14:paraId="5591241E">
      <w:pPr>
        <w:autoSpaceDE w:val="0"/>
        <w:autoSpaceDN w:val="0"/>
        <w:spacing w:before="74" w:line="360" w:lineRule="auto"/>
        <w:ind w:left="384" w:right="38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（4）合同双方确认上述往来款项后，出具最终结清付款证书，结清全部合同款项；</w:t>
      </w:r>
    </w:p>
    <w:p w14:paraId="377BDBED">
      <w:pPr>
        <w:autoSpaceDE w:val="0"/>
        <w:autoSpaceDN w:val="0"/>
        <w:spacing w:before="74" w:line="360" w:lineRule="auto"/>
        <w:ind w:left="384" w:right="38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（5）发包人和承包人未能就解除合同后的结清达成一致而形成争议的，按约定办理。</w:t>
      </w:r>
    </w:p>
    <w:p w14:paraId="5A44B28C">
      <w:pPr>
        <w:keepLines/>
        <w:widowControl/>
        <w:tabs>
          <w:tab w:val="left" w:pos="567"/>
        </w:tabs>
        <w:autoSpaceDE w:val="0"/>
        <w:autoSpaceDN w:val="0"/>
        <w:spacing w:before="120" w:after="120" w:line="360" w:lineRule="auto"/>
        <w:ind w:left="567"/>
        <w:jc w:val="left"/>
        <w:outlineLvl w:val="3"/>
        <w:rPr>
          <w:rFonts w:ascii="宋体" w:hAnsi="宋体"/>
          <w:b/>
          <w:bCs/>
          <w:kern w:val="0"/>
          <w:sz w:val="24"/>
          <w:szCs w:val="24"/>
          <w:lang w:val="zh-CN" w:bidi="zh-CN"/>
        </w:rPr>
      </w:pPr>
      <w:r>
        <w:rPr>
          <w:rFonts w:ascii="宋体" w:hAnsi="宋体"/>
          <w:b/>
          <w:bCs/>
          <w:kern w:val="0"/>
          <w:sz w:val="24"/>
          <w:szCs w:val="24"/>
          <w:lang w:val="zh-CN" w:bidi="zh-CN"/>
        </w:rPr>
        <w:t>23.索赔</w:t>
      </w:r>
    </w:p>
    <w:p w14:paraId="08846683">
      <w:pPr>
        <w:numPr>
          <w:ilvl w:val="0"/>
          <w:numId w:val="0"/>
        </w:numPr>
        <w:tabs>
          <w:tab w:val="left" w:pos="1529"/>
        </w:tabs>
        <w:autoSpaceDE w:val="0"/>
        <w:autoSpaceDN w:val="0"/>
        <w:spacing w:line="360" w:lineRule="auto"/>
        <w:ind w:leftChars="200" w:right="467" w:rightChars="0" w:firstLine="480" w:firstLineChars="200"/>
        <w:rPr>
          <w:rFonts w:ascii="宋体" w:hAnsi="宋体" w:cs="宋体"/>
          <w:kern w:val="0"/>
          <w:sz w:val="24"/>
          <w:szCs w:val="24"/>
          <w:lang w:val="zh-CN" w:bidi="zh-CN"/>
        </w:rPr>
      </w:pPr>
      <w:r>
        <w:rPr>
          <w:rFonts w:hint="eastAsia" w:ascii="宋体" w:hAnsi="宋体" w:cs="宋体"/>
          <w:kern w:val="0"/>
          <w:sz w:val="24"/>
          <w:szCs w:val="24"/>
          <w:lang w:val="en-US" w:bidi="zh-CN"/>
        </w:rPr>
        <w:t>23.1</w:t>
      </w:r>
      <w:r>
        <w:rPr>
          <w:rFonts w:ascii="宋体" w:hAnsi="宋体" w:cs="宋体"/>
          <w:kern w:val="0"/>
          <w:sz w:val="24"/>
          <w:szCs w:val="24"/>
          <w:lang w:val="zh-CN" w:bidi="zh-CN"/>
        </w:rPr>
        <w:t>当一方向另一方提出索赔时，要有正当索赔理由，并向监理人提交索赔事件发生时的有效证据。</w:t>
      </w:r>
    </w:p>
    <w:p w14:paraId="1D95BDA1">
      <w:pPr>
        <w:numPr>
          <w:ilvl w:val="0"/>
          <w:numId w:val="0"/>
        </w:numPr>
        <w:tabs>
          <w:tab w:val="left" w:pos="1529"/>
        </w:tabs>
        <w:autoSpaceDE w:val="0"/>
        <w:autoSpaceDN w:val="0"/>
        <w:spacing w:before="1" w:line="360" w:lineRule="auto"/>
        <w:ind w:leftChars="200" w:right="467" w:rightChars="0" w:firstLine="480" w:firstLineChars="200"/>
        <w:rPr>
          <w:rFonts w:ascii="宋体" w:hAnsi="宋体" w:cs="宋体"/>
          <w:kern w:val="0"/>
          <w:sz w:val="24"/>
          <w:szCs w:val="24"/>
          <w:lang w:val="zh-CN" w:bidi="zh-CN"/>
        </w:rPr>
      </w:pPr>
      <w:r>
        <w:rPr>
          <w:rFonts w:hint="eastAsia" w:ascii="宋体" w:hAnsi="宋体" w:cs="宋体"/>
          <w:kern w:val="0"/>
          <w:sz w:val="24"/>
          <w:szCs w:val="24"/>
          <w:lang w:val="en-US" w:bidi="zh-CN"/>
        </w:rPr>
        <w:t>23.2</w:t>
      </w:r>
      <w:r>
        <w:rPr>
          <w:rFonts w:ascii="宋体" w:hAnsi="宋体" w:cs="宋体"/>
          <w:kern w:val="0"/>
          <w:sz w:val="24"/>
          <w:szCs w:val="24"/>
          <w:lang w:val="zh-CN" w:bidi="zh-CN"/>
        </w:rPr>
        <w:t>发包人未能按合同约定履行自己的各项义务或发生错误，造成工期延误和承包人经济损失，承包人可按下列程序以书面形式申请索赔：</w:t>
      </w:r>
    </w:p>
    <w:p w14:paraId="24B2F744">
      <w:pPr>
        <w:autoSpaceDE w:val="0"/>
        <w:autoSpaceDN w:val="0"/>
        <w:spacing w:line="360" w:lineRule="auto"/>
        <w:ind w:left="384" w:right="467" w:firstLine="480" w:firstLineChars="200"/>
        <w:rPr>
          <w:rFonts w:ascii="宋体" w:hAnsi="宋体" w:cs="宋体"/>
          <w:kern w:val="0"/>
          <w:sz w:val="24"/>
          <w:szCs w:val="24"/>
          <w:lang w:val="zh-CN" w:bidi="zh-CN"/>
        </w:rPr>
      </w:pPr>
      <w:r>
        <w:rPr>
          <w:rFonts w:ascii="宋体" w:hAnsi="宋体" w:cs="宋体"/>
          <w:kern w:val="0"/>
          <w:sz w:val="24"/>
          <w:szCs w:val="24"/>
          <w:lang w:val="zh-CN" w:bidi="zh-CN"/>
        </w:rPr>
        <w:t>（1）</w:t>
      </w:r>
      <w:r>
        <w:rPr>
          <w:rFonts w:ascii="宋体" w:hAnsi="宋体" w:cs="宋体"/>
          <w:spacing w:val="-5"/>
          <w:kern w:val="0"/>
          <w:sz w:val="24"/>
          <w:szCs w:val="24"/>
          <w:lang w:val="zh-CN" w:bidi="zh-CN"/>
        </w:rPr>
        <w:t xml:space="preserve">索赔事件首次发生的 </w:t>
      </w:r>
      <w:r>
        <w:rPr>
          <w:rFonts w:ascii="宋体" w:hAnsi="宋体" w:cs="宋体"/>
          <w:kern w:val="0"/>
          <w:sz w:val="24"/>
          <w:szCs w:val="24"/>
          <w:lang w:val="zh-CN" w:bidi="zh-CN"/>
        </w:rPr>
        <w:t>21 天之内，向监理人提出索赔意向书，并抄送发包人；</w:t>
      </w:r>
    </w:p>
    <w:p w14:paraId="5B193A9E">
      <w:pPr>
        <w:autoSpaceDE w:val="0"/>
        <w:autoSpaceDN w:val="0"/>
        <w:spacing w:before="2" w:line="360" w:lineRule="auto"/>
        <w:ind w:left="384" w:right="467" w:firstLine="480" w:firstLineChars="200"/>
        <w:rPr>
          <w:rFonts w:ascii="宋体" w:hAnsi="宋体" w:cs="宋体"/>
          <w:kern w:val="0"/>
          <w:sz w:val="24"/>
          <w:szCs w:val="24"/>
          <w:lang w:val="zh-CN" w:bidi="zh-CN"/>
        </w:rPr>
      </w:pPr>
      <w:r>
        <w:rPr>
          <w:rFonts w:ascii="宋体" w:hAnsi="宋体" w:cs="宋体"/>
          <w:kern w:val="0"/>
          <w:sz w:val="24"/>
          <w:szCs w:val="24"/>
          <w:lang w:val="zh-CN" w:bidi="zh-CN"/>
        </w:rPr>
        <w:t>（2）</w:t>
      </w:r>
      <w:r>
        <w:rPr>
          <w:rFonts w:ascii="宋体" w:hAnsi="宋体" w:cs="宋体"/>
          <w:spacing w:val="-5"/>
          <w:kern w:val="0"/>
          <w:sz w:val="24"/>
          <w:szCs w:val="24"/>
          <w:lang w:val="zh-CN" w:bidi="zh-CN"/>
        </w:rPr>
        <w:t xml:space="preserve">发出索赔意向通知后 </w:t>
      </w:r>
      <w:r>
        <w:rPr>
          <w:rFonts w:ascii="宋体" w:hAnsi="宋体" w:cs="宋体"/>
          <w:kern w:val="0"/>
          <w:sz w:val="24"/>
          <w:szCs w:val="24"/>
          <w:lang w:val="zh-CN" w:bidi="zh-CN"/>
        </w:rPr>
        <w:t>21 天内或监理人同意的另一期限内，承包人应送交监理人一份拟索赔款额的详细账目，并说明索赔所依据的理由；</w:t>
      </w:r>
    </w:p>
    <w:p w14:paraId="78524C57">
      <w:pPr>
        <w:autoSpaceDE w:val="0"/>
        <w:autoSpaceDN w:val="0"/>
        <w:spacing w:before="1" w:line="360" w:lineRule="auto"/>
        <w:ind w:left="384" w:right="34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（3）</w:t>
      </w:r>
      <w:r>
        <w:rPr>
          <w:rFonts w:ascii="宋体" w:hAnsi="宋体" w:cs="宋体"/>
          <w:spacing w:val="-5"/>
          <w:kern w:val="0"/>
          <w:sz w:val="24"/>
          <w:szCs w:val="24"/>
          <w:lang w:val="zh-CN" w:bidi="zh-CN"/>
        </w:rPr>
        <w:t xml:space="preserve">在索赔事件影响结束后的 </w:t>
      </w:r>
      <w:r>
        <w:rPr>
          <w:rFonts w:ascii="宋体" w:hAnsi="宋体" w:cs="宋体"/>
          <w:kern w:val="0"/>
          <w:sz w:val="24"/>
          <w:szCs w:val="24"/>
          <w:lang w:val="zh-CN" w:bidi="zh-CN"/>
        </w:rPr>
        <w:t>28 天内，承包人应向监理人递交最终索赔通知</w:t>
      </w:r>
      <w:r>
        <w:rPr>
          <w:rFonts w:ascii="宋体" w:hAnsi="宋体" w:cs="宋体"/>
          <w:spacing w:val="-9"/>
          <w:kern w:val="0"/>
          <w:sz w:val="24"/>
          <w:szCs w:val="24"/>
          <w:lang w:val="zh-CN" w:bidi="zh-CN"/>
        </w:rPr>
        <w:t>书，说明最终要求索赔的追加付款金额和延长的工期，并附必要的记录和证明材料；</w:t>
      </w:r>
    </w:p>
    <w:p w14:paraId="6070BE57">
      <w:pPr>
        <w:autoSpaceDE w:val="0"/>
        <w:autoSpaceDN w:val="0"/>
        <w:spacing w:line="360" w:lineRule="auto"/>
        <w:ind w:left="384" w:right="466" w:firstLine="420" w:firstLineChars="200"/>
        <w:rPr>
          <w:rFonts w:ascii="宋体" w:hAnsi="宋体" w:cs="宋体"/>
          <w:kern w:val="0"/>
          <w:sz w:val="24"/>
          <w:szCs w:val="24"/>
          <w:lang w:val="zh-CN" w:bidi="zh-CN"/>
        </w:rPr>
      </w:pPr>
      <w:r>
        <w:rPr>
          <w:rFonts w:ascii="宋体" w:hAnsi="宋体" w:cs="宋体"/>
          <w:spacing w:val="-15"/>
          <w:kern w:val="0"/>
          <w:sz w:val="24"/>
          <w:szCs w:val="24"/>
          <w:lang w:val="zh-CN" w:bidi="zh-CN"/>
        </w:rPr>
        <w:t>（4）</w:t>
      </w:r>
      <w:r>
        <w:rPr>
          <w:rFonts w:ascii="宋体" w:hAnsi="宋体" w:cs="宋体"/>
          <w:spacing w:val="-2"/>
          <w:kern w:val="0"/>
          <w:sz w:val="24"/>
          <w:szCs w:val="24"/>
          <w:lang w:val="zh-CN" w:bidi="zh-CN"/>
        </w:rPr>
        <w:t>监理人应对承包人按规定提供的索赔证据和详细账目进行审查核实，查验承包人的记录和证明材料，必要时监理人可要求承包人提交全部原始记录副本；在与承包人协商并报发包人批准后，确定承包人有权得到的全部的索赔款额，并按规定列入中期支付证书或最后支付证书内予以支付。监理人将此决定通知承包人，并抄送发包人。</w:t>
      </w:r>
    </w:p>
    <w:p w14:paraId="7A5FFE50">
      <w:pPr>
        <w:tabs>
          <w:tab w:val="left" w:pos="1523"/>
          <w:tab w:val="left" w:pos="1524"/>
        </w:tabs>
        <w:autoSpaceDE w:val="0"/>
        <w:autoSpaceDN w:val="0"/>
        <w:spacing w:before="6" w:line="360" w:lineRule="auto"/>
        <w:ind w:left="384" w:firstLine="480"/>
        <w:jc w:val="left"/>
        <w:rPr>
          <w:rFonts w:ascii="宋体" w:hAnsi="宋体" w:cs="宋体"/>
          <w:kern w:val="0"/>
          <w:sz w:val="24"/>
          <w:szCs w:val="24"/>
          <w:lang w:val="zh-CN" w:bidi="zh-CN"/>
        </w:rPr>
      </w:pPr>
      <w:r>
        <w:rPr>
          <w:rFonts w:hint="eastAsia" w:ascii="宋体" w:hAnsi="宋体" w:cs="宋体"/>
          <w:kern w:val="0"/>
          <w:sz w:val="24"/>
          <w:szCs w:val="24"/>
          <w:lang w:val="zh-CN" w:bidi="zh-CN"/>
        </w:rPr>
        <w:t>23.</w:t>
      </w:r>
      <w:r>
        <w:rPr>
          <w:rFonts w:hint="eastAsia" w:ascii="宋体" w:hAnsi="宋体" w:cs="宋体"/>
          <w:kern w:val="0"/>
          <w:sz w:val="24"/>
          <w:szCs w:val="24"/>
          <w:lang w:val="en-US" w:bidi="zh-CN"/>
        </w:rPr>
        <w:t>3</w:t>
      </w:r>
      <w:r>
        <w:rPr>
          <w:rFonts w:ascii="宋体" w:hAnsi="宋体" w:cs="宋体"/>
          <w:kern w:val="0"/>
          <w:sz w:val="24"/>
          <w:szCs w:val="24"/>
          <w:lang w:val="zh-CN" w:bidi="zh-CN"/>
        </w:rPr>
        <w:t>承包人提出索赔的期限</w:t>
      </w:r>
    </w:p>
    <w:p w14:paraId="1CE71005">
      <w:pPr>
        <w:autoSpaceDE w:val="0"/>
        <w:autoSpaceDN w:val="0"/>
        <w:spacing w:before="84" w:line="360" w:lineRule="auto"/>
        <w:ind w:left="384" w:right="466" w:firstLine="420" w:firstLineChars="200"/>
        <w:rPr>
          <w:rFonts w:ascii="宋体" w:hAnsi="宋体" w:cs="宋体"/>
          <w:kern w:val="0"/>
          <w:sz w:val="24"/>
          <w:szCs w:val="24"/>
          <w:lang w:val="zh-CN" w:bidi="zh-CN"/>
        </w:rPr>
      </w:pPr>
      <w:r>
        <w:rPr>
          <w:rFonts w:ascii="宋体" w:hAnsi="宋体" w:cs="宋体"/>
          <w:spacing w:val="-15"/>
          <w:kern w:val="0"/>
          <w:sz w:val="24"/>
          <w:szCs w:val="24"/>
          <w:lang w:val="zh-CN" w:bidi="zh-CN"/>
        </w:rPr>
        <w:t>（1）</w:t>
      </w:r>
      <w:r>
        <w:rPr>
          <w:rFonts w:ascii="宋体" w:hAnsi="宋体" w:cs="宋体"/>
          <w:spacing w:val="-3"/>
          <w:kern w:val="0"/>
          <w:sz w:val="24"/>
          <w:szCs w:val="24"/>
          <w:lang w:val="zh-CN" w:bidi="zh-CN"/>
        </w:rPr>
        <w:t>承包人按约定接受了竣工付款证书后，应被认为已无权再提出在合同工程接收证书颁发前所发生的任何索赔；</w:t>
      </w:r>
    </w:p>
    <w:p w14:paraId="129D34F7">
      <w:pPr>
        <w:autoSpaceDE w:val="0"/>
        <w:autoSpaceDN w:val="0"/>
        <w:spacing w:before="3" w:line="360" w:lineRule="auto"/>
        <w:ind w:left="384" w:right="466" w:firstLine="420" w:firstLineChars="200"/>
        <w:rPr>
          <w:rFonts w:ascii="宋体" w:hAnsi="宋体" w:cs="宋体"/>
          <w:kern w:val="0"/>
          <w:sz w:val="24"/>
          <w:szCs w:val="24"/>
          <w:lang w:val="zh-CN" w:bidi="zh-CN"/>
        </w:rPr>
      </w:pPr>
      <w:r>
        <w:rPr>
          <w:rFonts w:ascii="宋体" w:hAnsi="宋体" w:cs="宋体"/>
          <w:spacing w:val="-15"/>
          <w:kern w:val="0"/>
          <w:sz w:val="24"/>
          <w:szCs w:val="24"/>
          <w:lang w:val="zh-CN" w:bidi="zh-CN"/>
        </w:rPr>
        <w:t>（2）</w:t>
      </w:r>
      <w:r>
        <w:rPr>
          <w:rFonts w:ascii="宋体" w:hAnsi="宋体" w:cs="宋体"/>
          <w:spacing w:val="-3"/>
          <w:kern w:val="0"/>
          <w:sz w:val="24"/>
          <w:szCs w:val="24"/>
          <w:lang w:val="zh-CN" w:bidi="zh-CN"/>
        </w:rPr>
        <w:t>承包人按约定提交的最终结清申请单中，只限于提出工程接收证书颁发后发生的索赔。提出索赔的期限自接受最终结清证书时终止。</w:t>
      </w:r>
    </w:p>
    <w:p w14:paraId="739E52E6">
      <w:pPr>
        <w:tabs>
          <w:tab w:val="left" w:pos="1523"/>
          <w:tab w:val="left" w:pos="1524"/>
        </w:tabs>
        <w:autoSpaceDE w:val="0"/>
        <w:autoSpaceDN w:val="0"/>
        <w:spacing w:before="2" w:line="360" w:lineRule="auto"/>
        <w:ind w:left="384" w:firstLine="480"/>
        <w:jc w:val="left"/>
        <w:rPr>
          <w:rFonts w:ascii="宋体" w:hAnsi="宋体" w:cs="宋体"/>
          <w:kern w:val="0"/>
          <w:sz w:val="24"/>
          <w:szCs w:val="24"/>
          <w:lang w:val="zh-CN" w:bidi="zh-CN"/>
        </w:rPr>
      </w:pPr>
      <w:r>
        <w:rPr>
          <w:rFonts w:hint="eastAsia" w:ascii="宋体" w:hAnsi="宋体" w:cs="宋体"/>
          <w:kern w:val="0"/>
          <w:sz w:val="24"/>
          <w:szCs w:val="24"/>
          <w:lang w:val="zh-CN" w:bidi="zh-CN"/>
        </w:rPr>
        <w:t>23.</w:t>
      </w:r>
      <w:r>
        <w:rPr>
          <w:rFonts w:hint="eastAsia" w:ascii="宋体" w:hAnsi="宋体" w:cs="宋体"/>
          <w:kern w:val="0"/>
          <w:sz w:val="24"/>
          <w:szCs w:val="24"/>
          <w:lang w:val="en-US" w:bidi="zh-CN"/>
        </w:rPr>
        <w:t>4</w:t>
      </w:r>
      <w:r>
        <w:rPr>
          <w:rFonts w:ascii="宋体" w:hAnsi="宋体" w:cs="宋体"/>
          <w:kern w:val="0"/>
          <w:sz w:val="24"/>
          <w:szCs w:val="24"/>
          <w:lang w:val="zh-CN" w:bidi="zh-CN"/>
        </w:rPr>
        <w:t>发包人的索赔</w:t>
      </w:r>
    </w:p>
    <w:p w14:paraId="77E1EB04">
      <w:pPr>
        <w:autoSpaceDE w:val="0"/>
        <w:autoSpaceDN w:val="0"/>
        <w:spacing w:before="86" w:line="360" w:lineRule="auto"/>
        <w:ind w:left="384" w:right="466" w:firstLine="440" w:firstLineChars="200"/>
        <w:rPr>
          <w:rFonts w:ascii="宋体" w:hAnsi="宋体" w:cs="宋体"/>
          <w:kern w:val="0"/>
          <w:sz w:val="24"/>
          <w:szCs w:val="24"/>
          <w:lang w:val="zh-CN" w:bidi="zh-CN"/>
        </w:rPr>
      </w:pPr>
      <w:r>
        <w:rPr>
          <w:rFonts w:ascii="宋体" w:hAnsi="宋体" w:cs="宋体"/>
          <w:spacing w:val="-10"/>
          <w:kern w:val="0"/>
          <w:sz w:val="24"/>
          <w:szCs w:val="24"/>
          <w:lang w:val="zh-CN" w:bidi="zh-CN"/>
        </w:rPr>
        <w:t>（1）</w:t>
      </w:r>
      <w:r>
        <w:rPr>
          <w:rFonts w:ascii="宋体" w:hAnsi="宋体" w:cs="宋体"/>
          <w:spacing w:val="-6"/>
          <w:kern w:val="0"/>
          <w:sz w:val="24"/>
          <w:szCs w:val="24"/>
          <w:lang w:val="zh-CN" w:bidi="zh-CN"/>
        </w:rPr>
        <w:t>发生索赔事件后，监理人应及时书面通知承包人，详细说明发包人有权得</w:t>
      </w:r>
      <w:r>
        <w:rPr>
          <w:rFonts w:ascii="宋体" w:hAnsi="宋体" w:cs="宋体"/>
          <w:kern w:val="0"/>
          <w:sz w:val="24"/>
          <w:szCs w:val="24"/>
          <w:lang w:val="zh-CN" w:bidi="zh-CN"/>
        </w:rPr>
        <w:t>到的索赔金额和</w:t>
      </w:r>
      <w:r>
        <w:rPr>
          <w:rFonts w:ascii="宋体" w:hAnsi="宋体" w:cs="宋体"/>
          <w:spacing w:val="4"/>
          <w:kern w:val="0"/>
          <w:sz w:val="24"/>
          <w:szCs w:val="24"/>
          <w:lang w:val="zh-CN" w:bidi="zh-CN"/>
        </w:rPr>
        <w:t>(</w:t>
      </w:r>
      <w:r>
        <w:rPr>
          <w:rFonts w:ascii="宋体" w:hAnsi="宋体" w:cs="宋体"/>
          <w:kern w:val="0"/>
          <w:sz w:val="24"/>
          <w:szCs w:val="24"/>
          <w:lang w:val="zh-CN" w:bidi="zh-CN"/>
        </w:rPr>
        <w:t>或</w:t>
      </w:r>
      <w:r>
        <w:rPr>
          <w:rFonts w:ascii="宋体" w:hAnsi="宋体" w:cs="宋体"/>
          <w:spacing w:val="4"/>
          <w:kern w:val="0"/>
          <w:sz w:val="24"/>
          <w:szCs w:val="24"/>
          <w:lang w:val="zh-CN" w:bidi="zh-CN"/>
        </w:rPr>
        <w:t>)</w:t>
      </w:r>
      <w:r>
        <w:rPr>
          <w:rFonts w:ascii="宋体" w:hAnsi="宋体" w:cs="宋体"/>
          <w:kern w:val="0"/>
          <w:sz w:val="24"/>
          <w:szCs w:val="24"/>
          <w:lang w:val="zh-CN" w:bidi="zh-CN"/>
        </w:rPr>
        <w:t>延长缺陷责任期的细节和依据。发包人提出索赔的期限和要求与承包人提出索赔期限和要求约定相同，延长缺陷责任期的通知应在缺陷责任期届满前发出；</w:t>
      </w:r>
    </w:p>
    <w:p w14:paraId="6CDF04D4">
      <w:pPr>
        <w:autoSpaceDE w:val="0"/>
        <w:autoSpaceDN w:val="0"/>
        <w:spacing w:before="5" w:line="360" w:lineRule="auto"/>
        <w:ind w:left="384" w:right="466" w:firstLine="480" w:firstLineChars="200"/>
        <w:rPr>
          <w:rFonts w:ascii="宋体" w:hAnsi="宋体" w:cs="宋体"/>
          <w:kern w:val="0"/>
          <w:sz w:val="24"/>
          <w:szCs w:val="24"/>
          <w:lang w:val="zh-CN" w:bidi="zh-CN"/>
        </w:rPr>
      </w:pPr>
      <w:r>
        <w:rPr>
          <w:rFonts w:ascii="宋体" w:hAnsi="宋体" w:cs="宋体"/>
          <w:kern w:val="0"/>
          <w:sz w:val="24"/>
          <w:szCs w:val="24"/>
          <w:lang w:val="zh-CN" w:bidi="zh-CN"/>
        </w:rPr>
        <w:t>（2）监理人按商定或确定发包人从承包人处得到赔付的金额和(或)缺陷责任期的延长期。承包人应付给发包人的金额可从拟支付给承包人的合同价款中扣除，或由承包人以其他方式支付给发包人</w:t>
      </w:r>
    </w:p>
    <w:p w14:paraId="0470754E">
      <w:pPr>
        <w:keepLines/>
        <w:widowControl/>
        <w:tabs>
          <w:tab w:val="left" w:pos="567"/>
        </w:tabs>
        <w:autoSpaceDE w:val="0"/>
        <w:autoSpaceDN w:val="0"/>
        <w:spacing w:before="120" w:after="120" w:line="360" w:lineRule="auto"/>
        <w:ind w:left="567"/>
        <w:jc w:val="left"/>
        <w:outlineLvl w:val="3"/>
        <w:rPr>
          <w:rFonts w:ascii="宋体" w:hAnsi="宋体"/>
          <w:b/>
          <w:bCs/>
          <w:kern w:val="0"/>
          <w:sz w:val="24"/>
          <w:szCs w:val="24"/>
          <w:lang w:val="zh-CN" w:bidi="zh-CN"/>
        </w:rPr>
      </w:pPr>
      <w:r>
        <w:rPr>
          <w:rFonts w:ascii="宋体" w:hAnsi="宋体"/>
          <w:b/>
          <w:bCs/>
          <w:kern w:val="0"/>
          <w:sz w:val="24"/>
          <w:szCs w:val="24"/>
          <w:lang w:val="zh-CN" w:bidi="zh-CN"/>
        </w:rPr>
        <w:t>24.争议</w:t>
      </w:r>
    </w:p>
    <w:p w14:paraId="50AE1009">
      <w:pPr>
        <w:tabs>
          <w:tab w:val="left" w:pos="1529"/>
        </w:tabs>
        <w:autoSpaceDE w:val="0"/>
        <w:autoSpaceDN w:val="0"/>
        <w:spacing w:before="1" w:line="360" w:lineRule="auto"/>
        <w:ind w:left="479" w:leftChars="228" w:right="465" w:firstLine="480" w:firstLineChars="200"/>
        <w:rPr>
          <w:rFonts w:ascii="宋体" w:hAnsi="宋体" w:cs="宋体"/>
          <w:kern w:val="0"/>
          <w:sz w:val="24"/>
          <w:szCs w:val="24"/>
          <w:lang w:val="zh-CN" w:bidi="zh-CN"/>
        </w:rPr>
      </w:pPr>
      <w:r>
        <w:rPr>
          <w:rFonts w:hint="eastAsia" w:ascii="宋体" w:hAnsi="宋体" w:cs="宋体"/>
          <w:kern w:val="0"/>
          <w:sz w:val="24"/>
          <w:szCs w:val="24"/>
          <w:lang w:val="zh-CN" w:bidi="zh-CN"/>
        </w:rPr>
        <w:t>24.1</w:t>
      </w:r>
      <w:r>
        <w:rPr>
          <w:rFonts w:ascii="宋体" w:hAnsi="宋体" w:cs="宋体"/>
          <w:kern w:val="0"/>
          <w:sz w:val="24"/>
          <w:szCs w:val="24"/>
          <w:lang w:val="zh-CN" w:bidi="zh-CN"/>
        </w:rPr>
        <w:t>无论在施工过程中或在工程竣工之后，无论在本合同的失效或终止之前或之后，如果发包人和承包人之间就本合同文件的条款、规定、规范、图纸、质量与进度要求，支付与扣除，延期与索赔发生任何法律上、经济上或技术上的纠纷， 包括对监理人作出指示、指令、决定、评定、认证和价格发生的纠纷，纠纷中的问题，首先应根据本条款规定书面提交给监理人解决，并抄送另一方。监理人在收到</w:t>
      </w:r>
      <w:r>
        <w:rPr>
          <w:rFonts w:ascii="宋体" w:hAnsi="宋体" w:cs="宋体"/>
          <w:spacing w:val="-9"/>
          <w:kern w:val="0"/>
          <w:sz w:val="24"/>
          <w:szCs w:val="24"/>
          <w:lang w:val="zh-CN" w:bidi="zh-CN"/>
        </w:rPr>
        <w:t xml:space="preserve">此提交文件后 </w:t>
      </w:r>
      <w:r>
        <w:rPr>
          <w:rFonts w:ascii="宋体" w:hAnsi="宋体" w:cs="宋体"/>
          <w:kern w:val="0"/>
          <w:sz w:val="24"/>
          <w:szCs w:val="24"/>
          <w:lang w:val="zh-CN" w:bidi="zh-CN"/>
        </w:rPr>
        <w:t>42 天之内应将自己的裁定通知发包人和承包人。</w:t>
      </w:r>
    </w:p>
    <w:p w14:paraId="4656FF0F">
      <w:pPr>
        <w:tabs>
          <w:tab w:val="left" w:pos="1528"/>
          <w:tab w:val="left" w:pos="1529"/>
        </w:tabs>
        <w:autoSpaceDE w:val="0"/>
        <w:autoSpaceDN w:val="0"/>
        <w:spacing w:line="360" w:lineRule="auto"/>
        <w:ind w:left="479" w:leftChars="228" w:right="382" w:firstLine="480" w:firstLineChars="200"/>
        <w:jc w:val="left"/>
        <w:rPr>
          <w:rFonts w:ascii="宋体" w:hAnsi="宋体" w:cs="宋体"/>
          <w:kern w:val="0"/>
          <w:sz w:val="24"/>
          <w:szCs w:val="24"/>
          <w:lang w:val="zh-CN" w:bidi="zh-CN"/>
        </w:rPr>
      </w:pPr>
      <w:r>
        <w:rPr>
          <w:rFonts w:hint="eastAsia" w:ascii="宋体" w:hAnsi="宋体" w:cs="宋体"/>
          <w:kern w:val="0"/>
          <w:sz w:val="24"/>
          <w:szCs w:val="24"/>
          <w:lang w:val="zh-CN" w:bidi="zh-CN"/>
        </w:rPr>
        <w:t>24.2</w:t>
      </w:r>
      <w:r>
        <w:rPr>
          <w:rFonts w:ascii="宋体" w:hAnsi="宋体" w:cs="宋体"/>
          <w:kern w:val="0"/>
          <w:sz w:val="24"/>
          <w:szCs w:val="24"/>
          <w:lang w:val="zh-CN" w:bidi="zh-CN"/>
        </w:rPr>
        <w:t>如果发包人或承包人有一方对监理人的裁定有异议，或如果监理人在收</w:t>
      </w:r>
      <w:r>
        <w:rPr>
          <w:rFonts w:ascii="宋体" w:hAnsi="宋体" w:cs="宋体"/>
          <w:spacing w:val="-9"/>
          <w:kern w:val="0"/>
          <w:sz w:val="24"/>
          <w:szCs w:val="24"/>
          <w:lang w:val="zh-CN" w:bidi="zh-CN"/>
        </w:rPr>
        <w:t xml:space="preserve">到提交文件后 </w:t>
      </w:r>
      <w:r>
        <w:rPr>
          <w:rFonts w:ascii="宋体" w:hAnsi="宋体" w:cs="宋体"/>
          <w:kern w:val="0"/>
          <w:sz w:val="24"/>
          <w:szCs w:val="24"/>
          <w:lang w:val="zh-CN" w:bidi="zh-CN"/>
        </w:rPr>
        <w:t>42 天内，没有发出自己裁定通知，则双方可采取下列程序解决争议：</w:t>
      </w:r>
    </w:p>
    <w:p w14:paraId="6CD16789">
      <w:pPr>
        <w:tabs>
          <w:tab w:val="left" w:pos="1528"/>
          <w:tab w:val="left" w:pos="1529"/>
        </w:tabs>
        <w:autoSpaceDE w:val="0"/>
        <w:autoSpaceDN w:val="0"/>
        <w:spacing w:line="360" w:lineRule="auto"/>
        <w:ind w:left="864" w:right="382"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（1）双方就纠纷事项进行友好协商解决或通过双方上级主管部门进行调解或争议评审解决；</w:t>
      </w:r>
    </w:p>
    <w:p w14:paraId="572ED3ED">
      <w:pPr>
        <w:tabs>
          <w:tab w:val="left" w:pos="1528"/>
          <w:tab w:val="left" w:pos="1529"/>
        </w:tabs>
        <w:autoSpaceDE w:val="0"/>
        <w:autoSpaceDN w:val="0"/>
        <w:spacing w:line="360" w:lineRule="auto"/>
        <w:ind w:left="864" w:right="382"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（2）发包人和承包人接受评审意见的，由监理人根据评审意见拟定执行协议， 经争议双方签字后作为合同的补充文件，并遵照执行；</w:t>
      </w:r>
    </w:p>
    <w:p w14:paraId="585B0988">
      <w:pPr>
        <w:tabs>
          <w:tab w:val="left" w:pos="1528"/>
          <w:tab w:val="left" w:pos="1529"/>
        </w:tabs>
        <w:autoSpaceDE w:val="0"/>
        <w:autoSpaceDN w:val="0"/>
        <w:spacing w:line="360" w:lineRule="auto"/>
        <w:ind w:left="864" w:right="382"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（3）发包人或承包人不接受评审意见，并要求提交仲裁或提起诉讼的，应在收到评审意见后的 14 天内将仲裁或起诉意向书面通知另一方，并抄送监理人，但在仲裁或诉讼结束前应暂按监理人的确定执行。</w:t>
      </w:r>
    </w:p>
    <w:p w14:paraId="1944FD7D">
      <w:pPr>
        <w:tabs>
          <w:tab w:val="left" w:pos="1529"/>
        </w:tabs>
        <w:autoSpaceDE w:val="0"/>
        <w:autoSpaceDN w:val="0"/>
        <w:spacing w:before="4" w:line="360" w:lineRule="auto"/>
        <w:ind w:left="864" w:right="465" w:firstLine="480" w:firstLineChars="200"/>
        <w:rPr>
          <w:rFonts w:ascii="宋体" w:hAnsi="宋体" w:cs="宋体"/>
          <w:kern w:val="0"/>
          <w:sz w:val="24"/>
          <w:szCs w:val="24"/>
          <w:lang w:val="zh-CN" w:bidi="zh-CN"/>
        </w:rPr>
      </w:pPr>
      <w:r>
        <w:rPr>
          <w:rFonts w:hint="eastAsia" w:ascii="宋体" w:hAnsi="宋体" w:cs="宋体"/>
          <w:kern w:val="0"/>
          <w:sz w:val="24"/>
          <w:szCs w:val="24"/>
          <w:lang w:val="zh-CN" w:bidi="zh-CN"/>
        </w:rPr>
        <w:t>24.3</w:t>
      </w:r>
      <w:r>
        <w:rPr>
          <w:rFonts w:ascii="宋体" w:hAnsi="宋体" w:cs="宋体"/>
          <w:kern w:val="0"/>
          <w:sz w:val="24"/>
          <w:szCs w:val="24"/>
          <w:lang w:val="zh-CN" w:bidi="zh-CN"/>
        </w:rPr>
        <w:t>除非本合同已被终止，承包人无论在什么情况下都应尽一切努力继续完成本工程，承包人和发包人应使监理人的裁定付诸实施，除非监理人对裁定作出新的更改。</w:t>
      </w:r>
    </w:p>
    <w:p w14:paraId="6652323B">
      <w:pPr>
        <w:keepNext/>
        <w:keepLines/>
        <w:widowControl/>
        <w:spacing w:before="260" w:after="260" w:line="415" w:lineRule="auto"/>
        <w:jc w:val="left"/>
        <w:outlineLvl w:val="2"/>
        <w:rPr>
          <w:rFonts w:ascii="宋体" w:hAnsi="宋体" w:cs="宋体"/>
          <w:b/>
          <w:bCs/>
          <w:kern w:val="0"/>
          <w:sz w:val="24"/>
          <w:szCs w:val="24"/>
          <w:lang w:val="zh-CN" w:bidi="zh-CN"/>
        </w:rPr>
      </w:pPr>
      <w:bookmarkStart w:id="152" w:name="_Toc256000057"/>
      <w:r>
        <w:rPr>
          <w:rFonts w:ascii="宋体" w:hAnsi="宋体" w:cs="宋体"/>
          <w:b/>
          <w:bCs/>
          <w:kern w:val="0"/>
          <w:sz w:val="24"/>
          <w:szCs w:val="24"/>
          <w:lang w:val="zh-CN" w:bidi="zh-CN"/>
        </w:rPr>
        <w:t>十一、其他</w:t>
      </w:r>
      <w:bookmarkEnd w:id="152"/>
    </w:p>
    <w:p w14:paraId="0F400BE8">
      <w:pPr>
        <w:keepLines/>
        <w:widowControl/>
        <w:tabs>
          <w:tab w:val="left" w:pos="567"/>
        </w:tabs>
        <w:autoSpaceDE w:val="0"/>
        <w:autoSpaceDN w:val="0"/>
        <w:spacing w:before="120" w:after="120" w:line="360" w:lineRule="auto"/>
        <w:ind w:left="567"/>
        <w:jc w:val="left"/>
        <w:outlineLvl w:val="3"/>
        <w:rPr>
          <w:rFonts w:ascii="宋体" w:hAnsi="宋体"/>
          <w:b/>
          <w:bCs/>
          <w:kern w:val="0"/>
          <w:sz w:val="24"/>
          <w:szCs w:val="24"/>
          <w:lang w:val="zh-CN" w:bidi="zh-CN"/>
        </w:rPr>
      </w:pPr>
      <w:r>
        <w:rPr>
          <w:rFonts w:ascii="宋体" w:hAnsi="宋体"/>
          <w:b/>
          <w:bCs/>
          <w:kern w:val="0"/>
          <w:sz w:val="24"/>
          <w:szCs w:val="24"/>
          <w:lang w:val="zh-CN" w:bidi="zh-CN"/>
        </w:rPr>
        <w:t>25.转让与分包</w:t>
      </w:r>
    </w:p>
    <w:p w14:paraId="1838EE25">
      <w:pPr>
        <w:numPr>
          <w:ilvl w:val="0"/>
          <w:numId w:val="0"/>
        </w:numPr>
        <w:tabs>
          <w:tab w:val="left" w:pos="1523"/>
          <w:tab w:val="left" w:pos="1524"/>
        </w:tabs>
        <w:autoSpaceDE w:val="0"/>
        <w:autoSpaceDN w:val="0"/>
        <w:spacing w:line="360" w:lineRule="auto"/>
        <w:ind w:leftChars="200" w:right="562" w:rightChars="0" w:firstLine="480" w:firstLineChars="200"/>
        <w:jc w:val="left"/>
        <w:rPr>
          <w:rFonts w:ascii="宋体" w:hAnsi="宋体" w:cs="宋体"/>
          <w:kern w:val="0"/>
          <w:sz w:val="24"/>
          <w:szCs w:val="24"/>
          <w:lang w:val="zh-CN" w:bidi="zh-CN"/>
        </w:rPr>
      </w:pPr>
      <w:r>
        <w:rPr>
          <w:rFonts w:hint="eastAsia" w:ascii="宋体" w:hAnsi="宋体" w:cs="宋体"/>
          <w:kern w:val="0"/>
          <w:sz w:val="24"/>
          <w:szCs w:val="24"/>
          <w:lang w:val="en-US" w:bidi="zh-CN"/>
        </w:rPr>
        <w:t>25.1</w:t>
      </w:r>
      <w:r>
        <w:rPr>
          <w:rFonts w:ascii="宋体" w:hAnsi="宋体" w:cs="宋体"/>
          <w:kern w:val="0"/>
          <w:sz w:val="24"/>
          <w:szCs w:val="24"/>
          <w:lang w:val="zh-CN" w:bidi="zh-CN"/>
        </w:rPr>
        <w:t>除合同另有约定外，未经对方当事人同意，一方当事人不得将合同权利全部或部分转让给第三人，也不得全部或部分转移合同义务。</w:t>
      </w:r>
    </w:p>
    <w:p w14:paraId="3F86808F">
      <w:pPr>
        <w:numPr>
          <w:ilvl w:val="0"/>
          <w:numId w:val="0"/>
        </w:numPr>
        <w:tabs>
          <w:tab w:val="left" w:pos="1523"/>
          <w:tab w:val="left" w:pos="1524"/>
        </w:tabs>
        <w:autoSpaceDE w:val="0"/>
        <w:autoSpaceDN w:val="0"/>
        <w:spacing w:line="360" w:lineRule="auto"/>
        <w:ind w:leftChars="200" w:right="346" w:rightChars="0" w:firstLine="480" w:firstLineChars="200"/>
        <w:jc w:val="left"/>
        <w:rPr>
          <w:rFonts w:ascii="宋体" w:hAnsi="宋体" w:cs="宋体"/>
          <w:kern w:val="0"/>
          <w:sz w:val="24"/>
          <w:szCs w:val="24"/>
          <w:lang w:val="zh-CN" w:bidi="zh-CN"/>
        </w:rPr>
      </w:pPr>
      <w:r>
        <w:rPr>
          <w:rFonts w:hint="eastAsia" w:ascii="宋体" w:hAnsi="宋体" w:cs="宋体"/>
          <w:kern w:val="0"/>
          <w:sz w:val="24"/>
          <w:szCs w:val="24"/>
          <w:lang w:val="en-US" w:bidi="zh-CN"/>
        </w:rPr>
        <w:t>25.2</w:t>
      </w:r>
      <w:r>
        <w:rPr>
          <w:rFonts w:ascii="宋体" w:hAnsi="宋体" w:cs="宋体"/>
          <w:kern w:val="0"/>
          <w:sz w:val="24"/>
          <w:szCs w:val="24"/>
          <w:lang w:val="zh-CN" w:bidi="zh-CN"/>
        </w:rPr>
        <w:t>承包人不得将其承包的全部工程转包给第三人，或将其承包的全部工程</w:t>
      </w:r>
      <w:r>
        <w:rPr>
          <w:rFonts w:ascii="宋体" w:hAnsi="宋体" w:cs="宋体"/>
          <w:spacing w:val="-5"/>
          <w:kern w:val="0"/>
          <w:sz w:val="24"/>
          <w:szCs w:val="24"/>
          <w:lang w:val="zh-CN" w:bidi="zh-CN"/>
        </w:rPr>
        <w:t>肢解后以分包的名义转包给第三人。本工程严禁转包和违规分包，且不得再次分包。</w:t>
      </w:r>
    </w:p>
    <w:p w14:paraId="3C305E75">
      <w:pPr>
        <w:numPr>
          <w:ilvl w:val="0"/>
          <w:numId w:val="0"/>
        </w:numPr>
        <w:tabs>
          <w:tab w:val="left" w:pos="1523"/>
          <w:tab w:val="left" w:pos="1524"/>
        </w:tabs>
        <w:autoSpaceDE w:val="0"/>
        <w:autoSpaceDN w:val="0"/>
        <w:spacing w:before="2" w:line="360" w:lineRule="auto"/>
        <w:ind w:leftChars="200" w:right="562" w:rightChars="0" w:firstLine="480" w:firstLineChars="200"/>
        <w:jc w:val="left"/>
        <w:rPr>
          <w:rFonts w:ascii="宋体" w:hAnsi="宋体" w:cs="宋体"/>
          <w:kern w:val="0"/>
          <w:sz w:val="24"/>
          <w:szCs w:val="24"/>
          <w:lang w:val="zh-CN" w:bidi="zh-CN"/>
        </w:rPr>
      </w:pPr>
      <w:r>
        <w:rPr>
          <w:rFonts w:hint="eastAsia" w:ascii="宋体" w:hAnsi="宋体" w:cs="宋体"/>
          <w:kern w:val="0"/>
          <w:sz w:val="24"/>
          <w:szCs w:val="24"/>
          <w:lang w:val="en-US" w:bidi="zh-CN"/>
        </w:rPr>
        <w:t>25.3</w:t>
      </w:r>
      <w:r>
        <w:rPr>
          <w:rFonts w:ascii="宋体" w:hAnsi="宋体" w:cs="宋体"/>
          <w:kern w:val="0"/>
          <w:sz w:val="24"/>
          <w:szCs w:val="24"/>
          <w:lang w:val="zh-CN" w:bidi="zh-CN"/>
        </w:rPr>
        <w:t>承包人不得将工程主体、关键性工作分包给第三人。未经发包人同意， 承包人不得将工程的其他部分或工作分包给第三人。</w:t>
      </w:r>
    </w:p>
    <w:p w14:paraId="63782FAA">
      <w:pPr>
        <w:numPr>
          <w:ilvl w:val="0"/>
          <w:numId w:val="0"/>
        </w:numPr>
        <w:tabs>
          <w:tab w:val="left" w:pos="1523"/>
          <w:tab w:val="left" w:pos="1524"/>
        </w:tabs>
        <w:autoSpaceDE w:val="0"/>
        <w:autoSpaceDN w:val="0"/>
        <w:spacing w:line="360" w:lineRule="auto"/>
        <w:ind w:leftChars="200" w:firstLine="480" w:firstLineChars="200"/>
        <w:jc w:val="left"/>
        <w:rPr>
          <w:rFonts w:ascii="宋体" w:hAnsi="宋体" w:cs="宋体"/>
          <w:kern w:val="0"/>
          <w:sz w:val="24"/>
          <w:szCs w:val="24"/>
          <w:lang w:val="zh-CN" w:bidi="zh-CN"/>
        </w:rPr>
      </w:pPr>
      <w:r>
        <w:rPr>
          <w:rFonts w:hint="eastAsia" w:ascii="宋体" w:hAnsi="宋体" w:cs="宋体"/>
          <w:kern w:val="0"/>
          <w:sz w:val="24"/>
          <w:szCs w:val="24"/>
          <w:lang w:val="en-US" w:bidi="zh-CN"/>
        </w:rPr>
        <w:t>25.4</w:t>
      </w:r>
      <w:r>
        <w:rPr>
          <w:rFonts w:ascii="宋体" w:hAnsi="宋体" w:cs="宋体"/>
          <w:kern w:val="0"/>
          <w:sz w:val="24"/>
          <w:szCs w:val="24"/>
          <w:lang w:val="zh-CN" w:bidi="zh-CN"/>
        </w:rPr>
        <w:t>分包人的资格能力应与其分包工程的标准和规模相适应。</w:t>
      </w:r>
    </w:p>
    <w:p w14:paraId="5765F205">
      <w:pPr>
        <w:numPr>
          <w:ilvl w:val="0"/>
          <w:numId w:val="0"/>
        </w:numPr>
        <w:tabs>
          <w:tab w:val="left" w:pos="1523"/>
          <w:tab w:val="left" w:pos="1524"/>
        </w:tabs>
        <w:autoSpaceDE w:val="0"/>
        <w:autoSpaceDN w:val="0"/>
        <w:spacing w:before="93" w:line="360" w:lineRule="auto"/>
        <w:ind w:leftChars="200" w:firstLine="480" w:firstLineChars="200"/>
        <w:jc w:val="left"/>
        <w:rPr>
          <w:rFonts w:ascii="宋体" w:hAnsi="宋体" w:cs="宋体"/>
          <w:kern w:val="0"/>
          <w:sz w:val="24"/>
          <w:szCs w:val="24"/>
          <w:lang w:val="zh-CN" w:bidi="zh-CN"/>
        </w:rPr>
      </w:pPr>
      <w:r>
        <w:rPr>
          <w:rFonts w:hint="eastAsia" w:ascii="宋体" w:hAnsi="宋体" w:cs="宋体"/>
          <w:kern w:val="0"/>
          <w:sz w:val="24"/>
          <w:szCs w:val="24"/>
          <w:lang w:val="en-US" w:bidi="zh-CN"/>
        </w:rPr>
        <w:t>25.5</w:t>
      </w:r>
      <w:r>
        <w:rPr>
          <w:rFonts w:ascii="宋体" w:hAnsi="宋体" w:cs="宋体"/>
          <w:kern w:val="0"/>
          <w:sz w:val="24"/>
          <w:szCs w:val="24"/>
          <w:lang w:val="zh-CN" w:bidi="zh-CN"/>
        </w:rPr>
        <w:t>承包人应与分包人就分包工程向发包人承担连带责任。</w:t>
      </w:r>
    </w:p>
    <w:p w14:paraId="2A3916EB">
      <w:pPr>
        <w:numPr>
          <w:ilvl w:val="0"/>
          <w:numId w:val="0"/>
        </w:numPr>
        <w:tabs>
          <w:tab w:val="left" w:pos="1545"/>
          <w:tab w:val="left" w:pos="1546"/>
        </w:tabs>
        <w:autoSpaceDE w:val="0"/>
        <w:autoSpaceDN w:val="0"/>
        <w:spacing w:before="91" w:line="360" w:lineRule="auto"/>
        <w:ind w:leftChars="200" w:right="465" w:rightChars="0" w:firstLine="512" w:firstLineChars="200"/>
        <w:jc w:val="left"/>
        <w:rPr>
          <w:rFonts w:ascii="宋体" w:hAnsi="宋体" w:cs="宋体"/>
          <w:kern w:val="0"/>
          <w:sz w:val="24"/>
          <w:szCs w:val="24"/>
          <w:lang w:val="zh-CN" w:bidi="zh-CN"/>
        </w:rPr>
      </w:pPr>
      <w:r>
        <w:rPr>
          <w:rFonts w:hint="eastAsia" w:ascii="宋体" w:hAnsi="宋体" w:cs="宋体"/>
          <w:spacing w:val="8"/>
          <w:kern w:val="0"/>
          <w:sz w:val="24"/>
          <w:szCs w:val="24"/>
          <w:lang w:val="en-US" w:bidi="zh-CN"/>
        </w:rPr>
        <w:t>25.6</w:t>
      </w:r>
      <w:r>
        <w:rPr>
          <w:rFonts w:ascii="宋体" w:hAnsi="宋体" w:cs="宋体"/>
          <w:spacing w:val="8"/>
          <w:kern w:val="0"/>
          <w:sz w:val="24"/>
          <w:szCs w:val="24"/>
          <w:lang w:val="zh-CN" w:bidi="zh-CN"/>
        </w:rPr>
        <w:t>发包人对承包人与分包人之间的法律与经济纠纷不承担任何责任和义务。</w:t>
      </w:r>
    </w:p>
    <w:p w14:paraId="62FCEBAB">
      <w:pPr>
        <w:numPr>
          <w:ilvl w:val="0"/>
          <w:numId w:val="0"/>
        </w:numPr>
        <w:tabs>
          <w:tab w:val="left" w:pos="1523"/>
          <w:tab w:val="left" w:pos="1524"/>
        </w:tabs>
        <w:autoSpaceDE w:val="0"/>
        <w:autoSpaceDN w:val="0"/>
        <w:spacing w:before="2" w:line="360" w:lineRule="auto"/>
        <w:ind w:leftChars="200" w:firstLine="480" w:firstLineChars="200"/>
        <w:jc w:val="left"/>
        <w:rPr>
          <w:rFonts w:ascii="宋体" w:hAnsi="宋体" w:cs="宋体"/>
          <w:kern w:val="0"/>
          <w:sz w:val="24"/>
          <w:szCs w:val="24"/>
          <w:lang w:val="zh-CN" w:bidi="zh-CN"/>
        </w:rPr>
      </w:pPr>
      <w:r>
        <w:rPr>
          <w:rFonts w:hint="eastAsia" w:ascii="宋体" w:hAnsi="宋体" w:cs="宋体"/>
          <w:kern w:val="0"/>
          <w:sz w:val="24"/>
          <w:szCs w:val="24"/>
          <w:lang w:val="en-US" w:bidi="zh-CN"/>
        </w:rPr>
        <w:t>25.7</w:t>
      </w:r>
      <w:r>
        <w:rPr>
          <w:rFonts w:ascii="宋体" w:hAnsi="宋体" w:cs="宋体"/>
          <w:kern w:val="0"/>
          <w:sz w:val="24"/>
          <w:szCs w:val="24"/>
          <w:lang w:val="zh-CN" w:bidi="zh-CN"/>
        </w:rPr>
        <w:t>各项分包工作均应遵守《公路工程施工分包管理办法》的有关规定。</w:t>
      </w:r>
    </w:p>
    <w:p w14:paraId="321C8587">
      <w:pPr>
        <w:keepLines/>
        <w:widowControl/>
        <w:tabs>
          <w:tab w:val="left" w:pos="567"/>
        </w:tabs>
        <w:autoSpaceDE w:val="0"/>
        <w:autoSpaceDN w:val="0"/>
        <w:spacing w:before="120" w:after="120" w:line="360" w:lineRule="auto"/>
        <w:ind w:left="567"/>
        <w:jc w:val="left"/>
        <w:outlineLvl w:val="3"/>
        <w:rPr>
          <w:rFonts w:ascii="宋体" w:hAnsi="宋体"/>
          <w:b/>
          <w:bCs/>
          <w:kern w:val="0"/>
          <w:sz w:val="24"/>
          <w:szCs w:val="24"/>
          <w:lang w:val="zh-CN" w:bidi="zh-CN"/>
        </w:rPr>
      </w:pPr>
      <w:r>
        <w:rPr>
          <w:rFonts w:ascii="宋体" w:hAnsi="宋体"/>
          <w:b/>
          <w:bCs/>
          <w:kern w:val="0"/>
          <w:sz w:val="24"/>
          <w:szCs w:val="24"/>
          <w:lang w:val="zh-CN" w:bidi="zh-CN"/>
        </w:rPr>
        <w:t>26.保险</w:t>
      </w:r>
    </w:p>
    <w:p w14:paraId="023EB69B">
      <w:pPr>
        <w:tabs>
          <w:tab w:val="left" w:pos="1528"/>
          <w:tab w:val="left" w:pos="1529"/>
        </w:tabs>
        <w:autoSpaceDE w:val="0"/>
        <w:autoSpaceDN w:val="0"/>
        <w:spacing w:before="1" w:line="360" w:lineRule="auto"/>
        <w:ind w:left="479" w:leftChars="228" w:right="346" w:firstLine="480" w:firstLineChars="200"/>
        <w:jc w:val="left"/>
        <w:rPr>
          <w:rFonts w:ascii="宋体" w:hAnsi="宋体" w:cs="宋体"/>
          <w:kern w:val="0"/>
          <w:sz w:val="24"/>
          <w:szCs w:val="24"/>
          <w:lang w:val="zh-CN" w:bidi="zh-CN"/>
        </w:rPr>
      </w:pPr>
      <w:r>
        <w:rPr>
          <w:rFonts w:hint="eastAsia" w:ascii="宋体" w:hAnsi="宋体" w:cs="宋体"/>
          <w:kern w:val="0"/>
          <w:sz w:val="24"/>
          <w:szCs w:val="24"/>
          <w:lang w:val="zh-CN" w:bidi="zh-CN"/>
        </w:rPr>
        <w:t>26.1</w:t>
      </w:r>
      <w:r>
        <w:rPr>
          <w:rFonts w:ascii="宋体" w:hAnsi="宋体" w:cs="宋体"/>
          <w:kern w:val="0"/>
          <w:sz w:val="24"/>
          <w:szCs w:val="24"/>
          <w:lang w:val="zh-CN" w:bidi="zh-CN"/>
        </w:rPr>
        <w:t>承包人应为承包工程投保建筑工程一切险、安装工程一切险等工程保险</w:t>
      </w:r>
      <w:r>
        <w:rPr>
          <w:rFonts w:ascii="宋体" w:hAnsi="宋体" w:cs="宋体"/>
          <w:spacing w:val="-9"/>
          <w:kern w:val="0"/>
          <w:sz w:val="24"/>
          <w:szCs w:val="24"/>
          <w:lang w:val="zh-CN" w:bidi="zh-CN"/>
        </w:rPr>
        <w:t>及第三者责任险，保险期限为开工日起直至本合同工程签发缺陷责任期终止证书止。相关费用均包含在工程量清单的单价及总额价中，发包人不单独支付。</w:t>
      </w:r>
    </w:p>
    <w:p w14:paraId="40250D0E">
      <w:pPr>
        <w:tabs>
          <w:tab w:val="left" w:pos="1529"/>
        </w:tabs>
        <w:autoSpaceDE w:val="0"/>
        <w:autoSpaceDN w:val="0"/>
        <w:spacing w:before="4" w:line="360" w:lineRule="auto"/>
        <w:ind w:left="479" w:leftChars="228" w:right="465" w:firstLine="480" w:firstLineChars="200"/>
        <w:rPr>
          <w:rFonts w:ascii="宋体" w:hAnsi="宋体" w:cs="宋体"/>
          <w:kern w:val="0"/>
          <w:sz w:val="24"/>
          <w:szCs w:val="24"/>
          <w:lang w:val="zh-CN" w:bidi="zh-CN"/>
        </w:rPr>
      </w:pPr>
      <w:r>
        <w:rPr>
          <w:rFonts w:hint="eastAsia" w:ascii="宋体" w:hAnsi="宋体" w:cs="宋体"/>
          <w:kern w:val="0"/>
          <w:sz w:val="24"/>
          <w:szCs w:val="24"/>
          <w:lang w:val="zh-CN" w:bidi="zh-CN"/>
        </w:rPr>
        <w:t>26.2</w:t>
      </w:r>
      <w:r>
        <w:rPr>
          <w:rFonts w:ascii="宋体" w:hAnsi="宋体" w:cs="宋体"/>
          <w:kern w:val="0"/>
          <w:sz w:val="24"/>
          <w:szCs w:val="24"/>
          <w:lang w:val="zh-CN" w:bidi="zh-CN"/>
        </w:rPr>
        <w:t>承包人应依照有关法律规定参加工伤保险，为其履行合同所雇用的全部人员缴纳工伤保险费，并要求其分包人也进行此项保险。保险的一切费用应由承包人承担并支付。</w:t>
      </w:r>
    </w:p>
    <w:p w14:paraId="3229A7B0">
      <w:pPr>
        <w:tabs>
          <w:tab w:val="left" w:pos="1529"/>
        </w:tabs>
        <w:autoSpaceDE w:val="0"/>
        <w:autoSpaceDN w:val="0"/>
        <w:spacing w:before="2" w:line="360" w:lineRule="auto"/>
        <w:ind w:left="479" w:leftChars="228" w:right="467" w:firstLine="480" w:firstLineChars="200"/>
        <w:rPr>
          <w:rFonts w:ascii="宋体" w:hAnsi="宋体" w:cs="宋体"/>
          <w:kern w:val="0"/>
          <w:sz w:val="24"/>
          <w:szCs w:val="24"/>
          <w:lang w:val="zh-CN" w:bidi="zh-CN"/>
        </w:rPr>
      </w:pPr>
      <w:r>
        <w:rPr>
          <w:rFonts w:hint="eastAsia" w:ascii="宋体" w:hAnsi="宋体" w:cs="宋体"/>
          <w:kern w:val="0"/>
          <w:sz w:val="24"/>
          <w:szCs w:val="24"/>
          <w:lang w:val="zh-CN" w:bidi="zh-CN"/>
        </w:rPr>
        <w:t>26.3</w:t>
      </w:r>
      <w:r>
        <w:rPr>
          <w:rFonts w:ascii="宋体" w:hAnsi="宋体" w:cs="宋体"/>
          <w:kern w:val="0"/>
          <w:sz w:val="24"/>
          <w:szCs w:val="24"/>
          <w:lang w:val="zh-CN" w:bidi="zh-CN"/>
        </w:rPr>
        <w:t>承包人应在整个施工期间为其现场机构雇用的全部人员，投保人身意外伤害险，缴纳保险费，并要求其分包人也进行此项保险。保险的一切费用应由承包人承担并支付。</w:t>
      </w:r>
    </w:p>
    <w:p w14:paraId="1B6571F6">
      <w:pPr>
        <w:tabs>
          <w:tab w:val="left" w:pos="1529"/>
        </w:tabs>
        <w:autoSpaceDE w:val="0"/>
        <w:autoSpaceDN w:val="0"/>
        <w:spacing w:before="4" w:line="360" w:lineRule="auto"/>
        <w:ind w:left="479" w:leftChars="228" w:right="465" w:firstLine="480" w:firstLineChars="200"/>
        <w:rPr>
          <w:rFonts w:ascii="宋体" w:hAnsi="宋体" w:cs="宋体"/>
          <w:kern w:val="0"/>
          <w:sz w:val="24"/>
          <w:szCs w:val="24"/>
          <w:lang w:val="zh-CN" w:bidi="zh-CN"/>
        </w:rPr>
      </w:pPr>
      <w:r>
        <w:rPr>
          <w:rFonts w:hint="eastAsia" w:ascii="宋体" w:hAnsi="宋体" w:cs="宋体"/>
          <w:kern w:val="0"/>
          <w:sz w:val="24"/>
          <w:szCs w:val="24"/>
          <w:lang w:val="zh-CN" w:bidi="zh-CN"/>
        </w:rPr>
        <w:t>26.4</w:t>
      </w:r>
      <w:r>
        <w:rPr>
          <w:rFonts w:ascii="宋体" w:hAnsi="宋体" w:cs="宋体"/>
          <w:kern w:val="0"/>
          <w:sz w:val="24"/>
          <w:szCs w:val="24"/>
          <w:lang w:val="zh-CN" w:bidi="zh-CN"/>
        </w:rPr>
        <w:t>承包人应为其施工设备等办理保险，其投保金额应足以现场重置。办理本款保险的一切费用均由承包人承担，并包括在工程量清单的单价及总额价中，发包人不单独支付。</w:t>
      </w:r>
    </w:p>
    <w:p w14:paraId="5B33FA7F">
      <w:pPr>
        <w:tabs>
          <w:tab w:val="left" w:pos="1528"/>
          <w:tab w:val="left" w:pos="1529"/>
        </w:tabs>
        <w:autoSpaceDE w:val="0"/>
        <w:autoSpaceDN w:val="0"/>
        <w:spacing w:before="2" w:line="360" w:lineRule="auto"/>
        <w:ind w:left="479" w:leftChars="228" w:right="467" w:firstLine="480" w:firstLineChars="200"/>
        <w:jc w:val="left"/>
        <w:rPr>
          <w:rFonts w:ascii="宋体" w:hAnsi="宋体" w:cs="宋体"/>
          <w:kern w:val="0"/>
          <w:sz w:val="24"/>
          <w:szCs w:val="24"/>
          <w:lang w:val="zh-CN" w:bidi="zh-CN"/>
        </w:rPr>
      </w:pPr>
      <w:r>
        <w:rPr>
          <w:rFonts w:hint="eastAsia" w:ascii="宋体" w:hAnsi="宋体" w:cs="宋体"/>
          <w:kern w:val="0"/>
          <w:sz w:val="24"/>
          <w:szCs w:val="24"/>
          <w:lang w:val="zh-CN" w:bidi="zh-CN"/>
        </w:rPr>
        <w:t>26.5</w:t>
      </w:r>
      <w:r>
        <w:rPr>
          <w:rFonts w:ascii="宋体" w:hAnsi="宋体" w:cs="宋体"/>
          <w:kern w:val="0"/>
          <w:sz w:val="24"/>
          <w:szCs w:val="24"/>
          <w:lang w:val="zh-CN" w:bidi="zh-CN"/>
        </w:rPr>
        <w:t>承包人应在办理有关保险后，尽快向发包人提供按合同要求所报各种保</w:t>
      </w:r>
      <w:r>
        <w:rPr>
          <w:rFonts w:ascii="宋体" w:hAnsi="宋体" w:cs="宋体"/>
          <w:spacing w:val="-5"/>
          <w:kern w:val="0"/>
          <w:sz w:val="24"/>
          <w:szCs w:val="24"/>
          <w:lang w:val="zh-CN" w:bidi="zh-CN"/>
        </w:rPr>
        <w:t xml:space="preserve">险的生效证明，并在开工后 </w:t>
      </w:r>
      <w:r>
        <w:rPr>
          <w:rFonts w:ascii="宋体" w:hAnsi="宋体" w:cs="宋体"/>
          <w:kern w:val="0"/>
          <w:sz w:val="24"/>
          <w:szCs w:val="24"/>
          <w:lang w:val="zh-CN" w:bidi="zh-CN"/>
        </w:rPr>
        <w:t>56 天内提交保险单，同时向监理人提交副本。</w:t>
      </w:r>
    </w:p>
    <w:p w14:paraId="7A12E3EB">
      <w:pPr>
        <w:tabs>
          <w:tab w:val="left" w:pos="1523"/>
          <w:tab w:val="left" w:pos="1524"/>
        </w:tabs>
        <w:autoSpaceDE w:val="0"/>
        <w:autoSpaceDN w:val="0"/>
        <w:spacing w:before="3" w:line="360" w:lineRule="auto"/>
        <w:ind w:firstLine="936" w:firstLineChars="400"/>
        <w:jc w:val="left"/>
        <w:rPr>
          <w:rFonts w:ascii="宋体" w:hAnsi="宋体" w:cs="宋体"/>
          <w:kern w:val="0"/>
          <w:sz w:val="24"/>
          <w:szCs w:val="24"/>
          <w:lang w:val="zh-CN" w:bidi="zh-CN"/>
        </w:rPr>
      </w:pPr>
      <w:r>
        <w:rPr>
          <w:rFonts w:hint="eastAsia" w:ascii="宋体" w:hAnsi="宋体" w:cs="宋体"/>
          <w:spacing w:val="-3"/>
          <w:kern w:val="0"/>
          <w:sz w:val="24"/>
          <w:szCs w:val="24"/>
          <w:lang w:val="zh-CN" w:bidi="zh-CN"/>
        </w:rPr>
        <w:t>26.6</w:t>
      </w:r>
      <w:r>
        <w:rPr>
          <w:rFonts w:ascii="宋体" w:hAnsi="宋体" w:cs="宋体"/>
          <w:spacing w:val="-3"/>
          <w:kern w:val="0"/>
          <w:sz w:val="24"/>
          <w:szCs w:val="24"/>
          <w:lang w:val="zh-CN" w:bidi="zh-CN"/>
        </w:rPr>
        <w:t>保险事故发生时，承包人有责任尽力采取必要措施，防止或者减少损失。</w:t>
      </w:r>
    </w:p>
    <w:p w14:paraId="66BA9984">
      <w:pPr>
        <w:keepLines/>
        <w:widowControl/>
        <w:tabs>
          <w:tab w:val="left" w:pos="567"/>
        </w:tabs>
        <w:autoSpaceDE w:val="0"/>
        <w:autoSpaceDN w:val="0"/>
        <w:spacing w:before="120" w:after="120" w:line="360" w:lineRule="auto"/>
        <w:ind w:left="567"/>
        <w:jc w:val="left"/>
        <w:outlineLvl w:val="3"/>
        <w:rPr>
          <w:rFonts w:ascii="宋体" w:hAnsi="宋体"/>
          <w:b/>
          <w:bCs/>
          <w:kern w:val="0"/>
          <w:sz w:val="24"/>
          <w:szCs w:val="24"/>
          <w:lang w:val="zh-CN" w:bidi="zh-CN"/>
        </w:rPr>
      </w:pPr>
      <w:r>
        <w:rPr>
          <w:rFonts w:ascii="宋体" w:hAnsi="宋体"/>
          <w:b/>
          <w:bCs/>
          <w:kern w:val="0"/>
          <w:sz w:val="24"/>
          <w:szCs w:val="24"/>
          <w:lang w:val="zh-CN" w:bidi="zh-CN"/>
        </w:rPr>
        <w:t>27.不利物质条件</w:t>
      </w:r>
    </w:p>
    <w:p w14:paraId="50874691">
      <w:pPr>
        <w:numPr>
          <w:ilvl w:val="0"/>
          <w:numId w:val="0"/>
        </w:numPr>
        <w:tabs>
          <w:tab w:val="left" w:pos="1523"/>
          <w:tab w:val="left" w:pos="1524"/>
        </w:tabs>
        <w:autoSpaceDE w:val="0"/>
        <w:autoSpaceDN w:val="0"/>
        <w:spacing w:line="360" w:lineRule="auto"/>
        <w:ind w:leftChars="200" w:right="346" w:rightChars="0" w:firstLine="464" w:firstLineChars="200"/>
        <w:jc w:val="left"/>
        <w:rPr>
          <w:rFonts w:ascii="宋体" w:hAnsi="宋体" w:cs="宋体"/>
          <w:kern w:val="0"/>
          <w:sz w:val="24"/>
          <w:szCs w:val="24"/>
          <w:lang w:val="zh-CN" w:bidi="zh-CN"/>
        </w:rPr>
      </w:pPr>
      <w:r>
        <w:rPr>
          <w:rFonts w:hint="eastAsia" w:ascii="宋体" w:hAnsi="宋体" w:cs="宋体"/>
          <w:spacing w:val="-4"/>
          <w:kern w:val="0"/>
          <w:sz w:val="24"/>
          <w:szCs w:val="24"/>
          <w:lang w:val="en-US" w:bidi="zh-CN"/>
        </w:rPr>
        <w:t>27.1</w:t>
      </w:r>
      <w:r>
        <w:rPr>
          <w:rFonts w:ascii="宋体" w:hAnsi="宋体" w:cs="宋体"/>
          <w:spacing w:val="-4"/>
          <w:kern w:val="0"/>
          <w:sz w:val="24"/>
          <w:szCs w:val="24"/>
          <w:lang w:val="zh-CN" w:bidi="zh-CN"/>
        </w:rPr>
        <w:t>不利物质条件，是指承包人在施工场地遇到的不可预见的自然物质条件、非自然的物质障碍和污染物，包括地下和水文条件，但不包括气候条件。</w:t>
      </w:r>
    </w:p>
    <w:p w14:paraId="44B5AD60">
      <w:pPr>
        <w:numPr>
          <w:ilvl w:val="0"/>
          <w:numId w:val="0"/>
        </w:numPr>
        <w:tabs>
          <w:tab w:val="left" w:pos="1528"/>
          <w:tab w:val="left" w:pos="1529"/>
        </w:tabs>
        <w:autoSpaceDE w:val="0"/>
        <w:autoSpaceDN w:val="0"/>
        <w:spacing w:before="3" w:line="360" w:lineRule="auto"/>
        <w:ind w:leftChars="200" w:right="346" w:rightChars="0" w:firstLine="480" w:firstLineChars="200"/>
        <w:jc w:val="left"/>
        <w:rPr>
          <w:rFonts w:ascii="宋体" w:hAnsi="宋体" w:cs="宋体"/>
          <w:kern w:val="0"/>
          <w:sz w:val="24"/>
          <w:szCs w:val="24"/>
          <w:lang w:val="zh-CN" w:bidi="zh-CN"/>
        </w:rPr>
      </w:pPr>
      <w:r>
        <w:rPr>
          <w:rFonts w:hint="eastAsia" w:ascii="宋体" w:hAnsi="宋体" w:cs="宋体"/>
          <w:kern w:val="0"/>
          <w:sz w:val="24"/>
          <w:szCs w:val="24"/>
          <w:lang w:val="en-US" w:bidi="zh-CN"/>
        </w:rPr>
        <w:t>27.2</w:t>
      </w:r>
      <w:r>
        <w:rPr>
          <w:rFonts w:ascii="宋体" w:hAnsi="宋体" w:cs="宋体"/>
          <w:kern w:val="0"/>
          <w:sz w:val="24"/>
          <w:szCs w:val="24"/>
          <w:lang w:val="zh-CN" w:bidi="zh-CN"/>
        </w:rPr>
        <w:t>承包人遇到不利物质条件时，应采取适应不利物质条件的合理措施继续施工，并及时通知监理人。监理人应当及时发出指示，指示构成变更的，按约定办</w:t>
      </w:r>
      <w:r>
        <w:rPr>
          <w:rFonts w:ascii="宋体" w:hAnsi="宋体" w:cs="宋体"/>
          <w:spacing w:val="-3"/>
          <w:kern w:val="0"/>
          <w:sz w:val="24"/>
          <w:szCs w:val="24"/>
          <w:lang w:val="zh-CN" w:bidi="zh-CN"/>
        </w:rPr>
        <w:t>理。监理人没有发出指示的，承包人因采取合理措施而增加的费用和</w:t>
      </w:r>
      <w:r>
        <w:rPr>
          <w:rFonts w:ascii="宋体" w:hAnsi="宋体" w:cs="宋体"/>
          <w:kern w:val="0"/>
          <w:sz w:val="24"/>
          <w:szCs w:val="24"/>
          <w:lang w:val="zh-CN" w:bidi="zh-CN"/>
        </w:rPr>
        <w:t>(或)工期延误， 由发包人承担。</w:t>
      </w:r>
    </w:p>
    <w:p w14:paraId="6E86493A">
      <w:pPr>
        <w:keepLines/>
        <w:widowControl/>
        <w:tabs>
          <w:tab w:val="left" w:pos="567"/>
        </w:tabs>
        <w:autoSpaceDE w:val="0"/>
        <w:autoSpaceDN w:val="0"/>
        <w:spacing w:before="120" w:after="120" w:line="360" w:lineRule="auto"/>
        <w:ind w:left="567"/>
        <w:jc w:val="left"/>
        <w:outlineLvl w:val="3"/>
        <w:rPr>
          <w:rFonts w:ascii="宋体" w:hAnsi="宋体"/>
          <w:b/>
          <w:bCs/>
          <w:kern w:val="0"/>
          <w:sz w:val="24"/>
          <w:szCs w:val="24"/>
          <w:lang w:val="zh-CN" w:bidi="zh-CN"/>
        </w:rPr>
      </w:pPr>
      <w:r>
        <w:rPr>
          <w:rFonts w:ascii="宋体" w:hAnsi="宋体"/>
          <w:b/>
          <w:bCs/>
          <w:kern w:val="0"/>
          <w:sz w:val="24"/>
          <w:szCs w:val="24"/>
          <w:lang w:val="zh-CN" w:bidi="zh-CN"/>
        </w:rPr>
        <w:t>28.不可抗力后果及其处理</w:t>
      </w:r>
    </w:p>
    <w:p w14:paraId="7482499E">
      <w:pPr>
        <w:numPr>
          <w:ilvl w:val="0"/>
          <w:numId w:val="0"/>
        </w:numPr>
        <w:tabs>
          <w:tab w:val="left" w:pos="1528"/>
          <w:tab w:val="left" w:pos="1529"/>
        </w:tabs>
        <w:autoSpaceDE w:val="0"/>
        <w:autoSpaceDN w:val="0"/>
        <w:spacing w:line="360" w:lineRule="auto"/>
        <w:ind w:leftChars="200" w:right="467" w:rightChars="0" w:firstLine="480" w:firstLineChars="200"/>
        <w:jc w:val="left"/>
        <w:rPr>
          <w:rFonts w:ascii="宋体" w:hAnsi="宋体" w:cs="宋体"/>
          <w:kern w:val="0"/>
          <w:sz w:val="24"/>
          <w:szCs w:val="24"/>
          <w:lang w:val="zh-CN" w:bidi="zh-CN"/>
        </w:rPr>
      </w:pPr>
      <w:r>
        <w:rPr>
          <w:rFonts w:hint="eastAsia" w:ascii="宋体" w:hAnsi="宋体" w:cs="宋体"/>
          <w:kern w:val="0"/>
          <w:sz w:val="24"/>
          <w:szCs w:val="24"/>
          <w:lang w:val="en-US" w:bidi="zh-CN"/>
        </w:rPr>
        <w:t>28.1</w:t>
      </w:r>
      <w:r>
        <w:rPr>
          <w:rFonts w:ascii="宋体" w:hAnsi="宋体" w:cs="宋体"/>
          <w:kern w:val="0"/>
          <w:sz w:val="24"/>
          <w:szCs w:val="24"/>
          <w:lang w:val="zh-CN" w:bidi="zh-CN"/>
        </w:rPr>
        <w:t>不可抗力是指承包人和发包人在订立合同时不可预见，在工程施工过程中不可避免发生并不能克服的自然灾害和社会性突发事件。包括但不限于：</w:t>
      </w:r>
    </w:p>
    <w:p w14:paraId="13D04AC4">
      <w:pPr>
        <w:autoSpaceDE w:val="0"/>
        <w:autoSpaceDN w:val="0"/>
        <w:spacing w:line="360" w:lineRule="auto"/>
        <w:ind w:left="384" w:right="462"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（1）地震、海啸、火山爆发、泥石流、暴雨(雪)、台风、龙卷风、水灾等自然灾害；</w:t>
      </w:r>
    </w:p>
    <w:p w14:paraId="1FB81CBC">
      <w:pPr>
        <w:autoSpaceDE w:val="0"/>
        <w:autoSpaceDN w:val="0"/>
        <w:spacing w:before="1" w:line="360" w:lineRule="auto"/>
        <w:ind w:left="384" w:right="462" w:firstLine="448" w:firstLineChars="200"/>
        <w:jc w:val="left"/>
        <w:rPr>
          <w:rFonts w:ascii="宋体" w:hAnsi="宋体" w:cs="宋体"/>
          <w:kern w:val="0"/>
          <w:sz w:val="24"/>
          <w:szCs w:val="24"/>
          <w:lang w:val="zh-CN" w:bidi="zh-CN"/>
        </w:rPr>
      </w:pPr>
      <w:r>
        <w:rPr>
          <w:rFonts w:ascii="宋体" w:hAnsi="宋体" w:cs="宋体"/>
          <w:spacing w:val="-8"/>
          <w:kern w:val="0"/>
          <w:sz w:val="24"/>
          <w:szCs w:val="24"/>
          <w:lang w:val="zh-CN" w:bidi="zh-CN"/>
        </w:rPr>
        <w:t>（2）</w:t>
      </w:r>
      <w:r>
        <w:rPr>
          <w:rFonts w:ascii="宋体" w:hAnsi="宋体" w:cs="宋体"/>
          <w:spacing w:val="-9"/>
          <w:kern w:val="0"/>
          <w:sz w:val="24"/>
          <w:szCs w:val="24"/>
          <w:lang w:val="zh-CN" w:bidi="zh-CN"/>
        </w:rPr>
        <w:t>战争、骚乱、暴动，但纯属承包人或其分包人派遣与雇用的人员由于本合同工程施工原因引起者除外；</w:t>
      </w:r>
    </w:p>
    <w:p w14:paraId="5C649E83">
      <w:pPr>
        <w:autoSpaceDE w:val="0"/>
        <w:autoSpaceDN w:val="0"/>
        <w:spacing w:line="360" w:lineRule="auto"/>
        <w:ind w:left="384" w:right="462"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（3）核反应、辐射或放射性污染；</w:t>
      </w:r>
    </w:p>
    <w:p w14:paraId="727EC58F">
      <w:pPr>
        <w:autoSpaceDE w:val="0"/>
        <w:autoSpaceDN w:val="0"/>
        <w:spacing w:line="360" w:lineRule="auto"/>
        <w:ind w:left="384" w:right="462"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（4）空中飞行物体坠落或非发包人或承包人责任造成的爆炸、火灾；</w:t>
      </w:r>
    </w:p>
    <w:p w14:paraId="272B065F">
      <w:pPr>
        <w:autoSpaceDE w:val="0"/>
        <w:autoSpaceDN w:val="0"/>
        <w:spacing w:line="360" w:lineRule="auto"/>
        <w:ind w:left="384" w:right="462" w:firstLine="480" w:firstLineChars="200"/>
        <w:jc w:val="left"/>
        <w:rPr>
          <w:rFonts w:hint="eastAsia" w:ascii="宋体" w:hAnsi="宋体" w:cs="宋体"/>
          <w:kern w:val="0"/>
          <w:sz w:val="24"/>
          <w:szCs w:val="24"/>
          <w:lang w:val="zh-CN" w:bidi="zh-CN"/>
        </w:rPr>
      </w:pPr>
      <w:r>
        <w:rPr>
          <w:rFonts w:ascii="宋体" w:hAnsi="宋体" w:cs="宋体"/>
          <w:kern w:val="0"/>
          <w:sz w:val="24"/>
          <w:szCs w:val="24"/>
          <w:lang w:val="zh-CN" w:bidi="zh-CN"/>
        </w:rPr>
        <w:t>（5）瘟疫；</w:t>
      </w:r>
    </w:p>
    <w:p w14:paraId="0FABC5C4">
      <w:pPr>
        <w:autoSpaceDE w:val="0"/>
        <w:autoSpaceDN w:val="0"/>
        <w:spacing w:line="360" w:lineRule="auto"/>
        <w:ind w:left="384" w:right="462"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w:t>
      </w:r>
      <w:r>
        <w:rPr>
          <w:rFonts w:hint="eastAsia" w:ascii="宋体" w:hAnsi="宋体" w:cs="宋体"/>
          <w:kern w:val="0"/>
          <w:sz w:val="24"/>
          <w:szCs w:val="24"/>
          <w:lang w:val="zh-CN" w:bidi="zh-CN"/>
        </w:rPr>
        <w:t>6</w:t>
      </w:r>
      <w:r>
        <w:rPr>
          <w:rFonts w:ascii="宋体" w:hAnsi="宋体" w:cs="宋体"/>
          <w:kern w:val="0"/>
          <w:sz w:val="24"/>
          <w:szCs w:val="24"/>
          <w:lang w:val="zh-CN" w:bidi="zh-CN"/>
        </w:rPr>
        <w:t>）合同条款约定的其他情形。</w:t>
      </w:r>
    </w:p>
    <w:p w14:paraId="4B1EB8B8">
      <w:pPr>
        <w:tabs>
          <w:tab w:val="left" w:pos="1523"/>
          <w:tab w:val="left" w:pos="1524"/>
        </w:tabs>
        <w:autoSpaceDE w:val="0"/>
        <w:autoSpaceDN w:val="0"/>
        <w:spacing w:before="83" w:line="360" w:lineRule="auto"/>
        <w:ind w:left="384" w:firstLine="480"/>
        <w:jc w:val="left"/>
        <w:rPr>
          <w:rFonts w:ascii="宋体" w:hAnsi="宋体" w:cs="宋体"/>
          <w:kern w:val="0"/>
          <w:sz w:val="24"/>
          <w:szCs w:val="24"/>
          <w:lang w:val="zh-CN" w:bidi="zh-CN"/>
        </w:rPr>
      </w:pPr>
      <w:r>
        <w:rPr>
          <w:rFonts w:hint="eastAsia" w:ascii="宋体" w:hAnsi="宋体" w:cs="宋体"/>
          <w:kern w:val="0"/>
          <w:sz w:val="24"/>
          <w:szCs w:val="24"/>
          <w:lang w:val="zh-CN" w:bidi="zh-CN"/>
        </w:rPr>
        <w:t xml:space="preserve">28.2 </w:t>
      </w:r>
      <w:r>
        <w:rPr>
          <w:rFonts w:ascii="宋体" w:hAnsi="宋体" w:cs="宋体"/>
          <w:kern w:val="0"/>
          <w:sz w:val="24"/>
          <w:szCs w:val="24"/>
          <w:lang w:val="zh-CN" w:bidi="zh-CN"/>
        </w:rPr>
        <w:t>不可抗力造成损害的责任</w:t>
      </w:r>
    </w:p>
    <w:p w14:paraId="6B99F79C">
      <w:pPr>
        <w:autoSpaceDE w:val="0"/>
        <w:autoSpaceDN w:val="0"/>
        <w:spacing w:before="84" w:line="360" w:lineRule="auto"/>
        <w:ind w:left="384" w:right="465"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不可抗力导致的人员伤亡、财产损失、费用增加和(或)工期延误等后果，由合同双方按以下原则承担：</w:t>
      </w:r>
    </w:p>
    <w:p w14:paraId="23DFE3B8">
      <w:pPr>
        <w:autoSpaceDE w:val="0"/>
        <w:autoSpaceDN w:val="0"/>
        <w:spacing w:line="360" w:lineRule="auto"/>
        <w:ind w:left="384" w:right="38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（1）永久工程，包括已运至施工场地的材料和工程设备的损害，以及因工程损害造成的第三者人员伤亡和财产损失由发包人承担；</w:t>
      </w:r>
    </w:p>
    <w:p w14:paraId="24A7B576">
      <w:pPr>
        <w:autoSpaceDE w:val="0"/>
        <w:autoSpaceDN w:val="0"/>
        <w:spacing w:line="360" w:lineRule="auto"/>
        <w:ind w:left="384" w:right="38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（2）承包人设备的损坏由承包人承担；</w:t>
      </w:r>
    </w:p>
    <w:p w14:paraId="25CF2ED9">
      <w:pPr>
        <w:autoSpaceDE w:val="0"/>
        <w:autoSpaceDN w:val="0"/>
        <w:spacing w:line="360" w:lineRule="auto"/>
        <w:ind w:left="384" w:right="38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（3）发包人和承包人各自承担其人员伤亡和其他财产损失及其相关费用；</w:t>
      </w:r>
    </w:p>
    <w:p w14:paraId="613D5E8E">
      <w:pPr>
        <w:autoSpaceDE w:val="0"/>
        <w:autoSpaceDN w:val="0"/>
        <w:spacing w:before="84" w:line="360" w:lineRule="auto"/>
        <w:ind w:left="384" w:right="38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（4）承包人的停工损失由承包人承担，但停工期间应监理人要求照管工程和清理、修复工程的金额由发包人承担；</w:t>
      </w:r>
    </w:p>
    <w:p w14:paraId="2D9244FB">
      <w:pPr>
        <w:autoSpaceDE w:val="0"/>
        <w:autoSpaceDN w:val="0"/>
        <w:spacing w:line="360" w:lineRule="auto"/>
        <w:ind w:left="384" w:right="38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（5）不能按期竣工的，应合理延长工期，承包人不需支付逾期竣工违约金。发包人要求赶工的，承包人应采取赶工措施，赶工费用由发包人承担。</w:t>
      </w:r>
    </w:p>
    <w:p w14:paraId="3342A225">
      <w:pPr>
        <w:tabs>
          <w:tab w:val="left" w:pos="1523"/>
          <w:tab w:val="left" w:pos="1524"/>
        </w:tabs>
        <w:autoSpaceDE w:val="0"/>
        <w:autoSpaceDN w:val="0"/>
        <w:spacing w:before="1" w:line="360" w:lineRule="auto"/>
        <w:ind w:left="384" w:firstLine="480"/>
        <w:jc w:val="left"/>
        <w:rPr>
          <w:rFonts w:ascii="宋体" w:hAnsi="宋体" w:cs="宋体"/>
          <w:kern w:val="0"/>
          <w:sz w:val="24"/>
          <w:szCs w:val="24"/>
          <w:lang w:val="zh-CN" w:bidi="zh-CN"/>
        </w:rPr>
      </w:pPr>
      <w:r>
        <w:rPr>
          <w:rFonts w:hint="eastAsia" w:ascii="宋体" w:hAnsi="宋体" w:cs="宋体"/>
          <w:kern w:val="0"/>
          <w:sz w:val="24"/>
          <w:szCs w:val="24"/>
          <w:lang w:val="zh-CN" w:bidi="zh-CN"/>
        </w:rPr>
        <w:t>28.3</w:t>
      </w:r>
      <w:r>
        <w:rPr>
          <w:rFonts w:ascii="宋体" w:hAnsi="宋体" w:cs="宋体"/>
          <w:kern w:val="0"/>
          <w:sz w:val="24"/>
          <w:szCs w:val="24"/>
          <w:lang w:val="zh-CN" w:bidi="zh-CN"/>
        </w:rPr>
        <w:t>延迟履行期间发生的不可抗力</w:t>
      </w:r>
    </w:p>
    <w:p w14:paraId="38564AC4">
      <w:pPr>
        <w:autoSpaceDE w:val="0"/>
        <w:autoSpaceDN w:val="0"/>
        <w:spacing w:before="84" w:line="360" w:lineRule="auto"/>
        <w:ind w:firstLine="720" w:firstLineChars="300"/>
        <w:jc w:val="left"/>
        <w:rPr>
          <w:rFonts w:ascii="宋体" w:hAnsi="宋体" w:cs="宋体"/>
          <w:kern w:val="0"/>
          <w:sz w:val="24"/>
          <w:szCs w:val="24"/>
          <w:lang w:val="zh-CN" w:bidi="zh-CN"/>
        </w:rPr>
      </w:pPr>
      <w:r>
        <w:rPr>
          <w:rFonts w:ascii="宋体" w:hAnsi="宋体" w:cs="宋体"/>
          <w:kern w:val="0"/>
          <w:sz w:val="24"/>
          <w:szCs w:val="24"/>
          <w:lang w:val="zh-CN" w:bidi="zh-CN"/>
        </w:rPr>
        <w:t>合同一方当事人延迟履行，在延迟履行期间发生不可抗力的，不免除其责任。</w:t>
      </w:r>
    </w:p>
    <w:p w14:paraId="3D07EF9A">
      <w:pPr>
        <w:tabs>
          <w:tab w:val="left" w:pos="1523"/>
          <w:tab w:val="left" w:pos="1524"/>
        </w:tabs>
        <w:autoSpaceDE w:val="0"/>
        <w:autoSpaceDN w:val="0"/>
        <w:spacing w:before="84" w:line="360" w:lineRule="auto"/>
        <w:ind w:left="384" w:firstLine="480"/>
        <w:jc w:val="left"/>
        <w:rPr>
          <w:rFonts w:ascii="宋体" w:hAnsi="宋体" w:cs="宋体"/>
          <w:kern w:val="0"/>
          <w:sz w:val="24"/>
          <w:szCs w:val="24"/>
          <w:lang w:val="zh-CN" w:bidi="zh-CN"/>
        </w:rPr>
      </w:pPr>
      <w:r>
        <w:rPr>
          <w:rFonts w:hint="eastAsia" w:ascii="宋体" w:hAnsi="宋体" w:cs="宋体"/>
          <w:kern w:val="0"/>
          <w:sz w:val="24"/>
          <w:szCs w:val="24"/>
          <w:lang w:val="zh-CN" w:bidi="zh-CN"/>
        </w:rPr>
        <w:t>28.4</w:t>
      </w:r>
      <w:r>
        <w:rPr>
          <w:rFonts w:ascii="宋体" w:hAnsi="宋体" w:cs="宋体"/>
          <w:kern w:val="0"/>
          <w:sz w:val="24"/>
          <w:szCs w:val="24"/>
          <w:lang w:val="zh-CN" w:bidi="zh-CN"/>
        </w:rPr>
        <w:t>避免和减少不可抗力损失</w:t>
      </w:r>
    </w:p>
    <w:p w14:paraId="726B071D">
      <w:pPr>
        <w:autoSpaceDE w:val="0"/>
        <w:autoSpaceDN w:val="0"/>
        <w:spacing w:before="86" w:line="360" w:lineRule="auto"/>
        <w:ind w:left="384" w:right="465"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不可抗力发生后，发包人和承包人均应采取措施尽量避免和减少损失的扩大， 任何一方没有采取有效措施导致损失扩大的，应对扩大的损失承担责任。</w:t>
      </w:r>
    </w:p>
    <w:p w14:paraId="7DD0DC7B">
      <w:pPr>
        <w:tabs>
          <w:tab w:val="left" w:pos="1523"/>
          <w:tab w:val="left" w:pos="1524"/>
        </w:tabs>
        <w:autoSpaceDE w:val="0"/>
        <w:autoSpaceDN w:val="0"/>
        <w:spacing w:before="1" w:line="360" w:lineRule="auto"/>
        <w:ind w:left="384" w:firstLine="480"/>
        <w:jc w:val="left"/>
        <w:rPr>
          <w:rFonts w:ascii="宋体" w:hAnsi="宋体" w:cs="宋体"/>
          <w:kern w:val="0"/>
          <w:sz w:val="24"/>
          <w:szCs w:val="24"/>
          <w:lang w:val="zh-CN" w:bidi="zh-CN"/>
        </w:rPr>
      </w:pPr>
      <w:r>
        <w:rPr>
          <w:rFonts w:hint="eastAsia" w:ascii="宋体" w:hAnsi="宋体" w:cs="宋体"/>
          <w:kern w:val="0"/>
          <w:sz w:val="24"/>
          <w:szCs w:val="24"/>
          <w:lang w:val="zh-CN" w:bidi="zh-CN"/>
        </w:rPr>
        <w:t>28.5</w:t>
      </w:r>
      <w:r>
        <w:rPr>
          <w:rFonts w:ascii="宋体" w:hAnsi="宋体" w:cs="宋体"/>
          <w:kern w:val="0"/>
          <w:sz w:val="24"/>
          <w:szCs w:val="24"/>
          <w:lang w:val="zh-CN" w:bidi="zh-CN"/>
        </w:rPr>
        <w:t>因不可抗力解除合同</w:t>
      </w:r>
    </w:p>
    <w:p w14:paraId="1F42F50C">
      <w:pPr>
        <w:autoSpaceDE w:val="0"/>
        <w:autoSpaceDN w:val="0"/>
        <w:spacing w:before="86" w:line="360" w:lineRule="auto"/>
        <w:ind w:left="384" w:right="465" w:firstLine="480" w:firstLineChars="200"/>
        <w:rPr>
          <w:rFonts w:ascii="宋体" w:hAnsi="宋体" w:cs="宋体"/>
          <w:kern w:val="0"/>
          <w:sz w:val="24"/>
          <w:szCs w:val="24"/>
          <w:lang w:val="zh-CN" w:bidi="zh-CN"/>
        </w:rPr>
      </w:pPr>
      <w:r>
        <w:rPr>
          <w:rFonts w:ascii="宋体" w:hAnsi="宋体" w:cs="宋体"/>
          <w:kern w:val="0"/>
          <w:sz w:val="24"/>
          <w:szCs w:val="24"/>
          <w:lang w:val="zh-CN" w:bidi="zh-CN"/>
        </w:rPr>
        <w:t>合同一方当事人因不可抗力不能履行合同的，应当及时通知对方解除合同。合同解除后，承包人应按照约定撤离施工场地。已经订货的材料、设备由订货方负责退货或解除订货合同，不能退还的货款和因退货、解除订货合同发生的费用，由发包人承担，因未及时退货造成的损失由责任方承担。合同解除后的付款参照约定， 由监理人按商定确定。</w:t>
      </w:r>
    </w:p>
    <w:p w14:paraId="0899F9C0">
      <w:pPr>
        <w:keepLines/>
        <w:widowControl/>
        <w:tabs>
          <w:tab w:val="left" w:pos="567"/>
        </w:tabs>
        <w:autoSpaceDE w:val="0"/>
        <w:autoSpaceDN w:val="0"/>
        <w:spacing w:before="120" w:after="120" w:line="360" w:lineRule="auto"/>
        <w:ind w:left="567"/>
        <w:jc w:val="left"/>
        <w:outlineLvl w:val="3"/>
        <w:rPr>
          <w:rFonts w:ascii="宋体" w:hAnsi="宋体"/>
          <w:b/>
          <w:bCs/>
          <w:kern w:val="0"/>
          <w:sz w:val="24"/>
          <w:szCs w:val="24"/>
          <w:lang w:val="zh-CN" w:bidi="zh-CN"/>
        </w:rPr>
      </w:pPr>
      <w:r>
        <w:rPr>
          <w:rFonts w:ascii="宋体" w:hAnsi="宋体"/>
          <w:b/>
          <w:bCs/>
          <w:kern w:val="0"/>
          <w:sz w:val="24"/>
          <w:szCs w:val="24"/>
          <w:lang w:val="zh-CN" w:bidi="zh-CN"/>
        </w:rPr>
        <w:t>29.文物</w:t>
      </w:r>
    </w:p>
    <w:p w14:paraId="70B560CF">
      <w:pPr>
        <w:autoSpaceDE w:val="0"/>
        <w:autoSpaceDN w:val="0"/>
        <w:spacing w:line="360" w:lineRule="auto"/>
        <w:ind w:left="384" w:right="266"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在施工场地发掘出的所有文物、古迹以及具有地质研究或考古价值的其他遗迹、化石、钱币或物品属于国家财产。承包人一旦发现上述文物时，应采取一切必要的措施保护现场，防止任何人员移动或损坏任何该类物品，并立即将此发现通知监理人，并执行监理人关于此事的指令。如果由于这样的指令使承包人工期受到拖延和（或）增加了费用，则监理人在与承包人和发包人协商后应确定延长工期和（或） 增加费用，通知承包人并抄送发包人。承包人发现文物不及时报告或隐瞒不报致使文物丢失或损坏的，应赔偿损失并承担相应的法律责任。</w:t>
      </w:r>
    </w:p>
    <w:p w14:paraId="5926DA6C">
      <w:pPr>
        <w:keepLines/>
        <w:widowControl/>
        <w:tabs>
          <w:tab w:val="left" w:pos="567"/>
        </w:tabs>
        <w:autoSpaceDE w:val="0"/>
        <w:autoSpaceDN w:val="0"/>
        <w:spacing w:before="120" w:after="120" w:line="360" w:lineRule="auto"/>
        <w:ind w:left="567"/>
        <w:jc w:val="left"/>
        <w:outlineLvl w:val="3"/>
        <w:rPr>
          <w:rFonts w:ascii="宋体" w:hAnsi="宋体"/>
          <w:b/>
          <w:bCs/>
          <w:kern w:val="0"/>
          <w:sz w:val="24"/>
          <w:szCs w:val="24"/>
          <w:lang w:val="zh-CN" w:bidi="zh-CN"/>
        </w:rPr>
      </w:pPr>
      <w:r>
        <w:rPr>
          <w:rFonts w:ascii="宋体" w:hAnsi="宋体"/>
          <w:b/>
          <w:bCs/>
          <w:kern w:val="0"/>
          <w:sz w:val="24"/>
          <w:szCs w:val="24"/>
          <w:lang w:val="zh-CN" w:bidi="zh-CN"/>
        </w:rPr>
        <w:t>30.违约赔偿</w:t>
      </w:r>
    </w:p>
    <w:p w14:paraId="0DBEB46A">
      <w:pPr>
        <w:autoSpaceDE w:val="0"/>
        <w:autoSpaceDN w:val="0"/>
        <w:spacing w:line="360" w:lineRule="auto"/>
        <w:ind w:left="384" w:right="266" w:firstLine="480" w:firstLineChars="200"/>
        <w:jc w:val="left"/>
        <w:rPr>
          <w:rFonts w:ascii="宋体" w:hAnsi="宋体" w:cs="宋体"/>
          <w:kern w:val="0"/>
          <w:sz w:val="24"/>
          <w:szCs w:val="24"/>
          <w:lang w:val="zh-CN" w:bidi="zh-CN"/>
        </w:rPr>
      </w:pPr>
      <w:r>
        <w:rPr>
          <w:rFonts w:hint="eastAsia" w:ascii="宋体" w:hAnsi="宋体" w:cs="宋体"/>
          <w:kern w:val="0"/>
          <w:sz w:val="24"/>
          <w:szCs w:val="24"/>
          <w:lang w:val="zh-CN" w:bidi="zh-CN"/>
        </w:rPr>
        <w:t>30.1</w:t>
      </w:r>
      <w:r>
        <w:rPr>
          <w:rFonts w:ascii="宋体" w:hAnsi="宋体" w:cs="宋体"/>
          <w:kern w:val="0"/>
          <w:sz w:val="24"/>
          <w:szCs w:val="24"/>
          <w:lang w:val="zh-CN" w:bidi="zh-CN"/>
        </w:rPr>
        <w:t>施工过程中发包人或监理人、质监机构抽检连续 2 个分项工程不合格者， 按合同条款的有关要求，承包人对不合格分项工程补做或返工，使其达到合格标准， 并赔偿每个分项工程 10000 元的违约金。</w:t>
      </w:r>
    </w:p>
    <w:p w14:paraId="4AD049B5">
      <w:pPr>
        <w:autoSpaceDE w:val="0"/>
        <w:autoSpaceDN w:val="0"/>
        <w:spacing w:line="360" w:lineRule="auto"/>
        <w:ind w:left="384" w:right="266" w:firstLine="480" w:firstLineChars="200"/>
        <w:jc w:val="left"/>
        <w:rPr>
          <w:rFonts w:ascii="宋体" w:hAnsi="宋体" w:cs="宋体"/>
          <w:kern w:val="0"/>
          <w:sz w:val="24"/>
          <w:szCs w:val="24"/>
          <w:lang w:val="zh-CN" w:bidi="zh-CN"/>
        </w:rPr>
      </w:pPr>
      <w:r>
        <w:rPr>
          <w:rFonts w:hint="eastAsia" w:ascii="宋体" w:hAnsi="宋体" w:cs="宋体"/>
          <w:kern w:val="0"/>
          <w:sz w:val="24"/>
          <w:szCs w:val="24"/>
          <w:lang w:val="zh-CN" w:bidi="zh-CN"/>
        </w:rPr>
        <w:t>30.2</w:t>
      </w:r>
      <w:r>
        <w:rPr>
          <w:rFonts w:ascii="宋体" w:hAnsi="宋体" w:cs="宋体"/>
          <w:kern w:val="0"/>
          <w:sz w:val="24"/>
          <w:szCs w:val="24"/>
          <w:lang w:val="zh-CN" w:bidi="zh-CN"/>
        </w:rPr>
        <w:t>承包人未按规定工期完成本合同工程，拖期损失赔偿见合同条款数据表。工程进度严重滞后，承包人即使采取措施也不能保证工程按期完工，发包人有权指定分包并没收履约保证金。</w:t>
      </w:r>
    </w:p>
    <w:p w14:paraId="010310E7">
      <w:pPr>
        <w:autoSpaceDE w:val="0"/>
        <w:autoSpaceDN w:val="0"/>
        <w:spacing w:line="360" w:lineRule="auto"/>
        <w:ind w:left="384" w:right="266" w:firstLine="480" w:firstLineChars="200"/>
        <w:jc w:val="left"/>
        <w:rPr>
          <w:rFonts w:ascii="宋体" w:hAnsi="宋体" w:cs="宋体"/>
          <w:kern w:val="0"/>
          <w:sz w:val="24"/>
          <w:szCs w:val="24"/>
          <w:lang w:val="zh-CN" w:bidi="zh-CN"/>
        </w:rPr>
      </w:pPr>
      <w:r>
        <w:rPr>
          <w:rFonts w:hint="eastAsia" w:ascii="宋体" w:hAnsi="宋体" w:cs="宋体"/>
          <w:kern w:val="0"/>
          <w:sz w:val="24"/>
          <w:szCs w:val="24"/>
          <w:lang w:val="zh-CN" w:bidi="zh-CN"/>
        </w:rPr>
        <w:t>30.3</w:t>
      </w:r>
      <w:r>
        <w:rPr>
          <w:rFonts w:ascii="宋体" w:hAnsi="宋体" w:cs="宋体"/>
          <w:kern w:val="0"/>
          <w:sz w:val="24"/>
          <w:szCs w:val="24"/>
          <w:lang w:val="zh-CN" w:bidi="zh-CN"/>
        </w:rPr>
        <w:t>承包人主要管理人员、机械设备未按投标文件约定时间进场，人员按 200 元/人·天，机械设备每天按《公路工程机械台班费用定额》台班基价两倍支付违约赔偿。</w:t>
      </w:r>
    </w:p>
    <w:p w14:paraId="0ED59C3D">
      <w:pPr>
        <w:autoSpaceDE w:val="0"/>
        <w:autoSpaceDN w:val="0"/>
        <w:spacing w:line="360" w:lineRule="auto"/>
        <w:ind w:left="384" w:right="266" w:firstLine="480" w:firstLineChars="200"/>
        <w:jc w:val="left"/>
        <w:rPr>
          <w:rFonts w:ascii="宋体" w:hAnsi="宋体" w:cs="宋体"/>
          <w:kern w:val="0"/>
          <w:sz w:val="24"/>
          <w:szCs w:val="24"/>
          <w:lang w:val="zh-CN" w:bidi="zh-CN"/>
        </w:rPr>
      </w:pPr>
      <w:r>
        <w:rPr>
          <w:rFonts w:hint="eastAsia" w:ascii="宋体" w:hAnsi="宋体" w:cs="宋体"/>
          <w:kern w:val="0"/>
          <w:sz w:val="24"/>
          <w:szCs w:val="24"/>
          <w:lang w:val="zh-CN" w:bidi="zh-CN"/>
        </w:rPr>
        <w:t>30.4</w:t>
      </w:r>
      <w:r>
        <w:rPr>
          <w:rFonts w:ascii="宋体" w:hAnsi="宋体" w:cs="宋体"/>
          <w:kern w:val="0"/>
          <w:sz w:val="24"/>
          <w:szCs w:val="24"/>
          <w:lang w:val="zh-CN" w:bidi="zh-CN"/>
        </w:rPr>
        <w:t>发生克扣、拖欠劳务工资、设备材料款，造成恶劣影响的，承包人在限期内不予支付时，发包人将从其履约保证金中支付。</w:t>
      </w:r>
    </w:p>
    <w:p w14:paraId="4A7A1FA1">
      <w:pPr>
        <w:autoSpaceDE w:val="0"/>
        <w:autoSpaceDN w:val="0"/>
        <w:spacing w:line="360" w:lineRule="auto"/>
        <w:ind w:left="384" w:right="266" w:firstLine="480" w:firstLineChars="200"/>
        <w:jc w:val="left"/>
        <w:rPr>
          <w:rFonts w:ascii="宋体" w:hAnsi="宋体" w:cs="宋体"/>
          <w:kern w:val="0"/>
          <w:sz w:val="24"/>
          <w:szCs w:val="24"/>
          <w:lang w:val="zh-CN" w:bidi="zh-CN"/>
        </w:rPr>
      </w:pPr>
      <w:r>
        <w:rPr>
          <w:rFonts w:hint="eastAsia" w:ascii="宋体" w:hAnsi="宋体" w:cs="宋体"/>
          <w:kern w:val="0"/>
          <w:sz w:val="24"/>
          <w:szCs w:val="24"/>
          <w:lang w:val="zh-CN" w:bidi="zh-CN"/>
        </w:rPr>
        <w:t>30.5</w:t>
      </w:r>
      <w:r>
        <w:rPr>
          <w:rFonts w:ascii="宋体" w:hAnsi="宋体" w:cs="宋体"/>
          <w:kern w:val="0"/>
          <w:sz w:val="24"/>
          <w:szCs w:val="24"/>
          <w:lang w:val="zh-CN" w:bidi="zh-CN"/>
        </w:rPr>
        <w:t>便道未按合同管养，影响社会车辆通行，造成恶劣影响的，承包人在限期内不予整改的，发包人可另行实施，其发生的费用从承包人工程款中扣回。</w:t>
      </w:r>
    </w:p>
    <w:p w14:paraId="6BDB7AC7">
      <w:pPr>
        <w:autoSpaceDE w:val="0"/>
        <w:autoSpaceDN w:val="0"/>
        <w:spacing w:line="360" w:lineRule="auto"/>
        <w:ind w:left="384" w:right="266" w:firstLine="480" w:firstLineChars="200"/>
        <w:jc w:val="left"/>
        <w:rPr>
          <w:rFonts w:ascii="宋体" w:hAnsi="宋体" w:cs="宋体"/>
          <w:kern w:val="0"/>
          <w:sz w:val="24"/>
          <w:szCs w:val="24"/>
          <w:lang w:val="zh-CN" w:bidi="zh-CN"/>
        </w:rPr>
      </w:pPr>
      <w:r>
        <w:rPr>
          <w:rFonts w:hint="eastAsia" w:ascii="宋体" w:hAnsi="宋体" w:cs="宋体"/>
          <w:kern w:val="0"/>
          <w:sz w:val="24"/>
          <w:szCs w:val="24"/>
          <w:lang w:val="zh-CN" w:bidi="zh-CN"/>
        </w:rPr>
        <w:t>30.6</w:t>
      </w:r>
      <w:r>
        <w:rPr>
          <w:rFonts w:ascii="宋体" w:hAnsi="宋体" w:cs="宋体"/>
          <w:kern w:val="0"/>
          <w:sz w:val="24"/>
          <w:szCs w:val="24"/>
          <w:lang w:val="zh-CN" w:bidi="zh-CN"/>
        </w:rPr>
        <w:t>承包人违约转让或变相转让合同，发包人将没收履约保证金，并将其清除出场。</w:t>
      </w:r>
    </w:p>
    <w:p w14:paraId="5BCCCC02">
      <w:pPr>
        <w:autoSpaceDE w:val="0"/>
        <w:autoSpaceDN w:val="0"/>
        <w:spacing w:line="360" w:lineRule="auto"/>
        <w:ind w:left="384" w:right="266" w:firstLine="480" w:firstLineChars="200"/>
        <w:jc w:val="left"/>
        <w:rPr>
          <w:rFonts w:ascii="宋体" w:hAnsi="宋体" w:cs="宋体"/>
          <w:kern w:val="0"/>
          <w:sz w:val="24"/>
          <w:szCs w:val="24"/>
          <w:lang w:val="zh-CN" w:bidi="zh-CN"/>
        </w:rPr>
      </w:pPr>
      <w:r>
        <w:rPr>
          <w:rFonts w:hint="eastAsia" w:ascii="宋体" w:hAnsi="宋体" w:cs="宋体"/>
          <w:kern w:val="0"/>
          <w:sz w:val="24"/>
          <w:szCs w:val="24"/>
          <w:lang w:val="zh-CN" w:bidi="zh-CN"/>
        </w:rPr>
        <w:t>30.7</w:t>
      </w:r>
      <w:r>
        <w:rPr>
          <w:rFonts w:ascii="宋体" w:hAnsi="宋体" w:cs="宋体"/>
          <w:kern w:val="0"/>
          <w:sz w:val="24"/>
          <w:szCs w:val="24"/>
          <w:lang w:val="zh-CN" w:bidi="zh-CN"/>
        </w:rPr>
        <w:t>在工程施工过程中，如监理人或发包人认为承包人主要管理人员及技术人员不能胜任工作，提出更换人员要求，承包人必须执行，且更换人员资格不低于所换人员资格，无论是否征得发包人同意，均按下述规定扣除其违约金：项目经理每人次扣除 6 万元，项目总工每人次扣除 5 万元，路基工程师、路面工程师、结构工程师、计量计划负责人、试验检测工程师每人次扣除 3 万元。即使交纳了违约金， 承包人仍有义务按合同规定纠正其违约行为；更换率达到 50%的按照《</w:t>
      </w:r>
      <w:r>
        <w:rPr>
          <w:rFonts w:hint="eastAsia" w:ascii="宋体" w:hAnsi="宋体" w:cs="宋体"/>
          <w:kern w:val="0"/>
          <w:sz w:val="24"/>
          <w:szCs w:val="24"/>
          <w:lang w:val="zh-CN" w:bidi="zh-CN"/>
        </w:rPr>
        <w:t>新疆维吾尔自治区</w:t>
      </w:r>
      <w:r>
        <w:rPr>
          <w:rFonts w:ascii="宋体" w:hAnsi="宋体" w:cs="宋体"/>
          <w:kern w:val="0"/>
          <w:sz w:val="24"/>
          <w:szCs w:val="24"/>
          <w:lang w:val="zh-CN" w:bidi="zh-CN"/>
        </w:rPr>
        <w:t>农村公路建设从业单位信用评价实施细则》的规定评价。</w:t>
      </w:r>
    </w:p>
    <w:p w14:paraId="6E137655">
      <w:pPr>
        <w:keepLines/>
        <w:widowControl/>
        <w:tabs>
          <w:tab w:val="left" w:pos="567"/>
        </w:tabs>
        <w:autoSpaceDE w:val="0"/>
        <w:autoSpaceDN w:val="0"/>
        <w:spacing w:before="120" w:after="120" w:line="360" w:lineRule="auto"/>
        <w:ind w:left="567"/>
        <w:jc w:val="left"/>
        <w:outlineLvl w:val="3"/>
        <w:rPr>
          <w:rFonts w:ascii="宋体" w:hAnsi="宋体"/>
          <w:b/>
          <w:bCs/>
          <w:kern w:val="0"/>
          <w:sz w:val="24"/>
          <w:szCs w:val="24"/>
          <w:lang w:val="zh-CN" w:bidi="zh-CN"/>
        </w:rPr>
      </w:pPr>
      <w:r>
        <w:rPr>
          <w:rFonts w:ascii="宋体" w:hAnsi="宋体"/>
          <w:b/>
          <w:bCs/>
          <w:kern w:val="0"/>
          <w:sz w:val="24"/>
          <w:szCs w:val="24"/>
          <w:lang w:val="zh-CN" w:bidi="zh-CN"/>
        </w:rPr>
        <w:t>31.承包人需遵循的其他规定和要求</w:t>
      </w:r>
    </w:p>
    <w:p w14:paraId="0E8E93A2">
      <w:pPr>
        <w:tabs>
          <w:tab w:val="left" w:pos="1523"/>
          <w:tab w:val="left" w:pos="1524"/>
        </w:tabs>
        <w:autoSpaceDE w:val="0"/>
        <w:autoSpaceDN w:val="0"/>
        <w:spacing w:line="360" w:lineRule="auto"/>
        <w:ind w:left="384" w:firstLine="480"/>
        <w:jc w:val="left"/>
        <w:rPr>
          <w:rFonts w:ascii="宋体" w:hAnsi="宋体" w:cs="宋体"/>
          <w:kern w:val="0"/>
          <w:sz w:val="24"/>
          <w:szCs w:val="24"/>
          <w:lang w:val="zh-CN" w:bidi="zh-CN"/>
        </w:rPr>
      </w:pPr>
      <w:r>
        <w:rPr>
          <w:rFonts w:ascii="宋体" w:hAnsi="宋体" w:cs="宋体"/>
          <w:kern w:val="0"/>
          <w:sz w:val="24"/>
          <w:szCs w:val="24"/>
          <w:lang w:val="zh-CN" w:bidi="zh-CN"/>
        </w:rPr>
        <w:t>31.1</w:t>
      </w:r>
      <w:r>
        <w:rPr>
          <w:rFonts w:hint="eastAsia" w:ascii="宋体" w:hAnsi="宋体" w:cs="宋体"/>
          <w:kern w:val="0"/>
          <w:sz w:val="24"/>
          <w:szCs w:val="24"/>
          <w:lang w:bidi="zh-CN"/>
        </w:rPr>
        <w:t>新疆</w:t>
      </w:r>
      <w:r>
        <w:rPr>
          <w:rFonts w:ascii="宋体" w:hAnsi="宋体" w:cs="宋体"/>
          <w:kern w:val="0"/>
          <w:sz w:val="24"/>
          <w:szCs w:val="24"/>
          <w:lang w:val="zh-CN" w:bidi="zh-CN"/>
        </w:rPr>
        <w:t>公路工程现行通知、办法详见附件。</w:t>
      </w:r>
    </w:p>
    <w:p w14:paraId="26535674">
      <w:pPr>
        <w:tabs>
          <w:tab w:val="left" w:pos="1523"/>
          <w:tab w:val="left" w:pos="1524"/>
        </w:tabs>
        <w:autoSpaceDE w:val="0"/>
        <w:autoSpaceDN w:val="0"/>
        <w:spacing w:before="83" w:line="360" w:lineRule="auto"/>
        <w:ind w:left="384" w:firstLine="480"/>
        <w:jc w:val="left"/>
        <w:rPr>
          <w:rFonts w:ascii="宋体" w:hAnsi="宋体" w:cs="宋体"/>
          <w:kern w:val="0"/>
          <w:sz w:val="24"/>
          <w:szCs w:val="24"/>
          <w:lang w:val="zh-CN" w:bidi="zh-CN"/>
        </w:rPr>
      </w:pPr>
      <w:r>
        <w:rPr>
          <w:rFonts w:hint="eastAsia" w:ascii="宋体" w:hAnsi="宋体" w:cs="宋体"/>
          <w:kern w:val="0"/>
          <w:sz w:val="24"/>
          <w:szCs w:val="24"/>
          <w:lang w:val="zh-CN" w:bidi="zh-CN"/>
        </w:rPr>
        <w:t>31.2</w:t>
      </w:r>
      <w:r>
        <w:rPr>
          <w:rFonts w:ascii="宋体" w:hAnsi="宋体" w:cs="宋体"/>
          <w:kern w:val="0"/>
          <w:sz w:val="24"/>
          <w:szCs w:val="24"/>
          <w:lang w:val="zh-CN" w:bidi="zh-CN"/>
        </w:rPr>
        <w:t>临时排水设施</w:t>
      </w:r>
    </w:p>
    <w:p w14:paraId="6DB7D0E0">
      <w:pPr>
        <w:autoSpaceDE w:val="0"/>
        <w:autoSpaceDN w:val="0"/>
        <w:spacing w:before="84" w:line="360" w:lineRule="auto"/>
        <w:ind w:left="384" w:right="465"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承包人在施工中，道路的临时排水设施要与路基的施工同步，所需费用报价中要充分考虑。如因承包人排水设施不当，造成的工程损失由承包人承担。</w:t>
      </w:r>
    </w:p>
    <w:p w14:paraId="331EC598">
      <w:pPr>
        <w:tabs>
          <w:tab w:val="left" w:pos="1523"/>
          <w:tab w:val="left" w:pos="1524"/>
        </w:tabs>
        <w:autoSpaceDE w:val="0"/>
        <w:autoSpaceDN w:val="0"/>
        <w:spacing w:line="360" w:lineRule="auto"/>
        <w:ind w:left="384" w:firstLine="480"/>
        <w:jc w:val="left"/>
        <w:rPr>
          <w:rFonts w:ascii="宋体" w:hAnsi="宋体" w:cs="宋体"/>
          <w:kern w:val="0"/>
          <w:sz w:val="24"/>
          <w:szCs w:val="24"/>
          <w:lang w:val="zh-CN" w:bidi="zh-CN"/>
        </w:rPr>
      </w:pPr>
      <w:r>
        <w:rPr>
          <w:rFonts w:hint="eastAsia" w:ascii="宋体" w:hAnsi="宋体" w:cs="宋体"/>
          <w:kern w:val="0"/>
          <w:sz w:val="24"/>
          <w:szCs w:val="24"/>
          <w:lang w:val="zh-CN" w:bidi="zh-CN"/>
        </w:rPr>
        <w:t>31.3</w:t>
      </w:r>
      <w:r>
        <w:rPr>
          <w:rFonts w:ascii="宋体" w:hAnsi="宋体" w:cs="宋体"/>
          <w:kern w:val="0"/>
          <w:sz w:val="24"/>
          <w:szCs w:val="24"/>
          <w:lang w:val="zh-CN" w:bidi="zh-CN"/>
        </w:rPr>
        <w:t>突发公共卫生事件</w:t>
      </w:r>
    </w:p>
    <w:p w14:paraId="03AD7E5F">
      <w:pPr>
        <w:autoSpaceDE w:val="0"/>
        <w:autoSpaceDN w:val="0"/>
        <w:spacing w:before="84" w:line="360" w:lineRule="auto"/>
        <w:ind w:left="384" w:right="465" w:firstLine="480" w:firstLineChars="200"/>
        <w:rPr>
          <w:rFonts w:ascii="宋体" w:hAnsi="宋体" w:cs="宋体"/>
          <w:kern w:val="0"/>
          <w:sz w:val="24"/>
          <w:szCs w:val="24"/>
          <w:lang w:val="zh-CN" w:bidi="zh-CN"/>
        </w:rPr>
      </w:pPr>
      <w:r>
        <w:rPr>
          <w:rFonts w:ascii="宋体" w:hAnsi="宋体" w:cs="宋体"/>
          <w:kern w:val="0"/>
          <w:sz w:val="24"/>
          <w:szCs w:val="24"/>
          <w:lang w:val="zh-CN" w:bidi="zh-CN"/>
        </w:rPr>
        <w:t>为了有效预防、及时控制和消除公共卫生事件的危害，保障全体施工人员（包括雇用劳务人员）及周围群众身体健康和生命安全，维持正常社会秩序，承包人应</w:t>
      </w:r>
      <w:r>
        <w:rPr>
          <w:rFonts w:ascii="宋体" w:hAnsi="宋体" w:cs="宋体"/>
          <w:spacing w:val="-6"/>
          <w:kern w:val="0"/>
          <w:sz w:val="24"/>
          <w:szCs w:val="24"/>
          <w:lang w:val="zh-CN" w:bidi="zh-CN"/>
        </w:rPr>
        <w:t xml:space="preserve">全面贯彻国务院第 </w:t>
      </w:r>
      <w:r>
        <w:rPr>
          <w:rFonts w:ascii="宋体" w:hAnsi="宋体" w:cs="宋体"/>
          <w:kern w:val="0"/>
          <w:sz w:val="24"/>
          <w:szCs w:val="24"/>
          <w:lang w:val="zh-CN" w:bidi="zh-CN"/>
        </w:rPr>
        <w:t>376 号令《突发公共卫生事件应急条例》，其涉及内容均不单独计量与支付，投标人报价时综合考虑其费用，所涉及的费用均包括在与之相关的工程细目的单价之中，发包人不单独支付。</w:t>
      </w:r>
    </w:p>
    <w:p w14:paraId="476A932B">
      <w:pPr>
        <w:tabs>
          <w:tab w:val="left" w:pos="1523"/>
          <w:tab w:val="left" w:pos="1524"/>
        </w:tabs>
        <w:autoSpaceDE w:val="0"/>
        <w:autoSpaceDN w:val="0"/>
        <w:spacing w:before="4" w:line="360" w:lineRule="auto"/>
        <w:ind w:left="384" w:firstLine="480"/>
        <w:jc w:val="left"/>
        <w:rPr>
          <w:rFonts w:ascii="宋体" w:hAnsi="宋体" w:cs="宋体"/>
          <w:kern w:val="0"/>
          <w:sz w:val="24"/>
          <w:szCs w:val="24"/>
          <w:lang w:val="zh-CN" w:bidi="zh-CN"/>
        </w:rPr>
      </w:pPr>
      <w:r>
        <w:rPr>
          <w:rFonts w:hint="eastAsia" w:ascii="宋体" w:hAnsi="宋体" w:cs="宋体"/>
          <w:kern w:val="0"/>
          <w:sz w:val="24"/>
          <w:szCs w:val="24"/>
          <w:lang w:val="zh-CN" w:bidi="zh-CN"/>
        </w:rPr>
        <w:t>31.4</w:t>
      </w:r>
      <w:r>
        <w:rPr>
          <w:rFonts w:ascii="宋体" w:hAnsi="宋体" w:cs="宋体"/>
          <w:kern w:val="0"/>
          <w:sz w:val="24"/>
          <w:szCs w:val="24"/>
          <w:lang w:val="zh-CN" w:bidi="zh-CN"/>
        </w:rPr>
        <w:t>反商业贿赂</w:t>
      </w:r>
    </w:p>
    <w:p w14:paraId="36623766">
      <w:pPr>
        <w:autoSpaceDE w:val="0"/>
        <w:autoSpaceDN w:val="0"/>
        <w:spacing w:before="84" w:line="360" w:lineRule="auto"/>
        <w:ind w:left="384" w:right="467"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严格执行国家、自治区、交通运输厅关于反商业贿赂的有关规定。承包人应严格按照廉政建设责任制度执行，并将廉政合同落到实处，制定相应的计划和措施。</w:t>
      </w:r>
    </w:p>
    <w:p w14:paraId="570FA477">
      <w:pPr>
        <w:autoSpaceDE w:val="0"/>
        <w:autoSpaceDN w:val="0"/>
        <w:spacing w:before="84" w:line="360" w:lineRule="auto"/>
        <w:ind w:left="384" w:right="467"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附件：</w:t>
      </w:r>
    </w:p>
    <w:p w14:paraId="1E895081">
      <w:pPr>
        <w:autoSpaceDE w:val="0"/>
        <w:autoSpaceDN w:val="0"/>
        <w:spacing w:before="84" w:line="360" w:lineRule="auto"/>
        <w:ind w:left="384" w:right="467"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(1)《新疆维吾尔自治区农村公路建设管理办法》</w:t>
      </w:r>
    </w:p>
    <w:p w14:paraId="103A72A0">
      <w:pPr>
        <w:autoSpaceDE w:val="0"/>
        <w:autoSpaceDN w:val="0"/>
        <w:spacing w:before="84" w:line="360" w:lineRule="auto"/>
        <w:ind w:left="384" w:right="467"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(2)《新疆维吾尔自治区农村公路建设工程质量监督机构和人员考核办法》</w:t>
      </w:r>
    </w:p>
    <w:p w14:paraId="55DC5A47">
      <w:pPr>
        <w:autoSpaceDE w:val="0"/>
        <w:autoSpaceDN w:val="0"/>
        <w:spacing w:before="84" w:line="360" w:lineRule="auto"/>
        <w:ind w:left="384" w:right="467"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(3)《新疆维吾尔自治区农村公路工程质量监督管理细则》</w:t>
      </w:r>
    </w:p>
    <w:p w14:paraId="3ABEAFB6">
      <w:pPr>
        <w:autoSpaceDE w:val="0"/>
        <w:autoSpaceDN w:val="0"/>
        <w:spacing w:before="84" w:line="360" w:lineRule="auto"/>
        <w:ind w:left="384" w:right="467"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(4)《新疆维吾尔自治区农村公路工程设计变更管理办法（试行）》</w:t>
      </w:r>
    </w:p>
    <w:p w14:paraId="166B8DBE">
      <w:pPr>
        <w:autoSpaceDE w:val="0"/>
        <w:autoSpaceDN w:val="0"/>
        <w:spacing w:before="84" w:line="360" w:lineRule="auto"/>
        <w:ind w:left="384" w:right="467"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(5)《新疆维吾尔自治区农村公路工程施工监理工作规定》</w:t>
      </w:r>
    </w:p>
    <w:p w14:paraId="49A16B3E">
      <w:pPr>
        <w:autoSpaceDE w:val="0"/>
        <w:autoSpaceDN w:val="0"/>
        <w:spacing w:before="84" w:line="360" w:lineRule="auto"/>
        <w:ind w:left="384" w:right="467"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(6)《新疆维吾尔自治区农村公路工程试验检测工作规定》</w:t>
      </w:r>
    </w:p>
    <w:p w14:paraId="69E10CBB">
      <w:pPr>
        <w:autoSpaceDE w:val="0"/>
        <w:autoSpaceDN w:val="0"/>
        <w:spacing w:before="84" w:line="360" w:lineRule="auto"/>
        <w:ind w:left="384" w:right="467"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(7)《新疆小交通量农村公路工程技术指南》</w:t>
      </w:r>
    </w:p>
    <w:p w14:paraId="1F93E2FA">
      <w:pPr>
        <w:autoSpaceDE w:val="0"/>
        <w:autoSpaceDN w:val="0"/>
        <w:spacing w:before="84" w:line="360" w:lineRule="auto"/>
        <w:ind w:left="384" w:right="467"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(8)《新疆农村公路施工图设计外业勘察验收指南》</w:t>
      </w:r>
    </w:p>
    <w:p w14:paraId="78A9F06B">
      <w:pPr>
        <w:autoSpaceDE w:val="0"/>
        <w:autoSpaceDN w:val="0"/>
        <w:spacing w:before="84" w:line="360" w:lineRule="auto"/>
        <w:ind w:left="384" w:right="467"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(9)《关于在公路改建改造工程中加强便道管理保障通行的通知》（新交监察〔2001〕5 号文）；</w:t>
      </w:r>
    </w:p>
    <w:p w14:paraId="45A16956">
      <w:pPr>
        <w:autoSpaceDE w:val="0"/>
        <w:autoSpaceDN w:val="0"/>
        <w:spacing w:before="84" w:line="360" w:lineRule="auto"/>
        <w:ind w:left="384" w:right="467"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(10)《新疆公路工程台背回填管理办法》；</w:t>
      </w:r>
    </w:p>
    <w:p w14:paraId="4D20002D">
      <w:pPr>
        <w:autoSpaceDE w:val="0"/>
        <w:autoSpaceDN w:val="0"/>
        <w:spacing w:before="84" w:line="360" w:lineRule="auto"/>
        <w:ind w:left="384" w:right="467"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(11)《新疆公路工程建设项目便道管理办法》；</w:t>
      </w:r>
    </w:p>
    <w:p w14:paraId="327A4EBE">
      <w:pPr>
        <w:autoSpaceDE w:val="0"/>
        <w:autoSpaceDN w:val="0"/>
        <w:spacing w:before="84" w:line="360" w:lineRule="auto"/>
        <w:ind w:left="384" w:right="467"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(12)《新疆维吾尔自治区公路工程路基下沉、路面破损、桥涵处跳车等质量问题责任追究》（新交政法〔2001〕20 号）；</w:t>
      </w:r>
    </w:p>
    <w:p w14:paraId="74137B9D">
      <w:pPr>
        <w:autoSpaceDE w:val="0"/>
        <w:autoSpaceDN w:val="0"/>
        <w:spacing w:before="84" w:line="360" w:lineRule="auto"/>
        <w:ind w:left="384" w:right="467"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(13)《关于提高新疆公路工程路基、路面压实度指标的通知》（新交质监〔2002〕2 号）；</w:t>
      </w:r>
    </w:p>
    <w:p w14:paraId="34C50A01">
      <w:pPr>
        <w:autoSpaceDE w:val="0"/>
        <w:autoSpaceDN w:val="0"/>
        <w:spacing w:before="84" w:line="360" w:lineRule="auto"/>
        <w:ind w:left="384" w:right="467"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(14)《新疆维吾尔自治区公路路面透层油和下封层质量控制施工机械配套指导意见》（新交质监〔2008〕22 号）；</w:t>
      </w:r>
    </w:p>
    <w:p w14:paraId="67225F71">
      <w:pPr>
        <w:autoSpaceDE w:val="0"/>
        <w:autoSpaceDN w:val="0"/>
        <w:spacing w:before="84" w:line="360" w:lineRule="auto"/>
        <w:ind w:left="384" w:right="467"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(15)《新疆维吾尔自治区农村公路建设廉政工作实施办法（试行）》（新交办〔2008〕80 号）；</w:t>
      </w:r>
    </w:p>
    <w:p w14:paraId="64953EFA">
      <w:pPr>
        <w:autoSpaceDE w:val="0"/>
        <w:autoSpaceDN w:val="0"/>
        <w:spacing w:before="84" w:line="360" w:lineRule="auto"/>
        <w:ind w:left="384" w:right="467"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(16)关于印发《新疆维吾尔自治区公路工程施工质量责任和责任追究制度》的通知（新交工程〔2016〕28 号）；</w:t>
      </w:r>
    </w:p>
    <w:p w14:paraId="56D4CDFC">
      <w:pPr>
        <w:autoSpaceDE w:val="0"/>
        <w:autoSpaceDN w:val="0"/>
        <w:spacing w:before="84" w:line="360" w:lineRule="auto"/>
        <w:ind w:left="384" w:right="467"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(17)《关于在公路基础设施建设中使用农民工有关意见的通知》（新交综〔2003〕42 号）；</w:t>
      </w:r>
    </w:p>
    <w:p w14:paraId="1681945B">
      <w:pPr>
        <w:autoSpaceDE w:val="0"/>
        <w:autoSpaceDN w:val="0"/>
        <w:spacing w:before="84" w:line="360" w:lineRule="auto"/>
        <w:ind w:left="384" w:right="467"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(18)关于印发《新疆维吾尔自治区交通厅关于交通建设项目防止拖欠工程款和农民工工资管理暂行办法（试行）》（新交综〔2005〕42 号）；</w:t>
      </w:r>
    </w:p>
    <w:p w14:paraId="13D01B79">
      <w:pPr>
        <w:autoSpaceDE w:val="0"/>
        <w:autoSpaceDN w:val="0"/>
        <w:spacing w:before="84" w:line="360" w:lineRule="auto"/>
        <w:ind w:left="384" w:right="467"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(19)《关于在公路基础设施建设中使用农民工有关事宜的通知》（新交综〔2006〕139 号）；</w:t>
      </w:r>
    </w:p>
    <w:p w14:paraId="43E6BAD4">
      <w:pPr>
        <w:autoSpaceDE w:val="0"/>
        <w:autoSpaceDN w:val="0"/>
        <w:spacing w:before="84" w:line="360" w:lineRule="auto"/>
        <w:ind w:right="467" w:firstLine="456" w:firstLineChars="190"/>
        <w:jc w:val="left"/>
        <w:rPr>
          <w:rFonts w:ascii="宋体" w:hAnsi="宋体" w:cs="宋体"/>
          <w:kern w:val="0"/>
          <w:sz w:val="24"/>
          <w:szCs w:val="24"/>
          <w:lang w:val="zh-CN" w:bidi="zh-CN"/>
        </w:rPr>
      </w:pPr>
      <w:r>
        <w:rPr>
          <w:rFonts w:ascii="宋体" w:hAnsi="宋体" w:cs="宋体"/>
          <w:kern w:val="0"/>
          <w:sz w:val="24"/>
          <w:szCs w:val="24"/>
          <w:lang w:val="zh-CN" w:bidi="zh-CN"/>
        </w:rPr>
        <w:t xml:space="preserve"> (20)《新疆维吾尔自治区农民工工资保证金管理暂行办法》（新政办发[2007]114号）</w:t>
      </w:r>
    </w:p>
    <w:p w14:paraId="2EC0C813">
      <w:pPr>
        <w:autoSpaceDE w:val="0"/>
        <w:autoSpaceDN w:val="0"/>
        <w:spacing w:before="84" w:line="360" w:lineRule="auto"/>
        <w:ind w:left="384" w:right="467"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(21)《关于做好农村公路建设项目农民工使用有关事宜的通知》（新交农路〔2016〕16 号）；</w:t>
      </w:r>
    </w:p>
    <w:p w14:paraId="09550897">
      <w:pPr>
        <w:autoSpaceDE w:val="0"/>
        <w:autoSpaceDN w:val="0"/>
        <w:spacing w:before="84" w:line="360" w:lineRule="auto"/>
        <w:ind w:left="384" w:right="467"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(22)新疆维吾尔自治区人社、住建、交通、水利四部门联合印发的《关于在工程建设领域实行农民工工资专用账户管理和银行代发工资制度的通知》（新人社发〔2018〕4 号）</w:t>
      </w:r>
    </w:p>
    <w:p w14:paraId="4E7B677A">
      <w:pPr>
        <w:autoSpaceDE w:val="0"/>
        <w:autoSpaceDN w:val="0"/>
        <w:spacing w:before="84" w:line="360" w:lineRule="auto"/>
        <w:ind w:left="384" w:right="467" w:firstLine="480" w:firstLineChars="200"/>
        <w:jc w:val="left"/>
        <w:rPr>
          <w:rFonts w:ascii="宋体" w:hAnsi="宋体" w:cs="宋体"/>
          <w:kern w:val="0"/>
          <w:sz w:val="24"/>
          <w:szCs w:val="24"/>
          <w:lang w:val="zh-CN" w:bidi="zh-CN"/>
        </w:rPr>
      </w:pPr>
      <w:r>
        <w:rPr>
          <w:rFonts w:ascii="宋体" w:hAnsi="宋体" w:cs="宋体"/>
          <w:kern w:val="0"/>
          <w:sz w:val="24"/>
          <w:szCs w:val="24"/>
          <w:lang w:val="zh-CN" w:bidi="zh-CN"/>
        </w:rPr>
        <w:t>承包人在施工中应严格执行国家、交通运输部、</w:t>
      </w:r>
      <w:r>
        <w:rPr>
          <w:rFonts w:hint="eastAsia" w:ascii="宋体" w:hAnsi="宋体" w:cs="宋体"/>
          <w:kern w:val="0"/>
          <w:sz w:val="24"/>
          <w:szCs w:val="24"/>
          <w:lang w:bidi="zh-CN"/>
        </w:rPr>
        <w:t>新疆维吾尔自治区</w:t>
      </w:r>
      <w:r>
        <w:rPr>
          <w:rFonts w:ascii="宋体" w:hAnsi="宋体" w:cs="宋体"/>
          <w:kern w:val="0"/>
          <w:sz w:val="24"/>
          <w:szCs w:val="24"/>
          <w:lang w:val="zh-CN" w:bidi="zh-CN"/>
        </w:rPr>
        <w:t>、</w:t>
      </w:r>
      <w:r>
        <w:rPr>
          <w:rFonts w:hint="eastAsia" w:ascii="宋体" w:hAnsi="宋体" w:cs="宋体"/>
          <w:kern w:val="0"/>
          <w:sz w:val="24"/>
          <w:szCs w:val="24"/>
          <w:lang w:bidi="zh-CN"/>
        </w:rPr>
        <w:t>新疆</w:t>
      </w:r>
      <w:r>
        <w:rPr>
          <w:rFonts w:ascii="宋体" w:hAnsi="宋体" w:cs="宋体"/>
          <w:kern w:val="0"/>
          <w:sz w:val="24"/>
          <w:szCs w:val="24"/>
          <w:lang w:val="zh-CN" w:bidi="zh-CN"/>
        </w:rPr>
        <w:t>交通运输厅现行通知、办法的相关规定，涉及报价因素的应在投标报价中充分予以考虑， 发包人将不另行支付。</w:t>
      </w:r>
    </w:p>
    <w:p w14:paraId="0A86D511">
      <w:pPr>
        <w:autoSpaceDE w:val="0"/>
        <w:autoSpaceDN w:val="0"/>
        <w:spacing w:before="240" w:after="60" w:line="312" w:lineRule="auto"/>
        <w:jc w:val="center"/>
        <w:outlineLvl w:val="1"/>
        <w:rPr>
          <w:rFonts w:ascii="宋体" w:hAnsi="宋体" w:cs="宋体"/>
          <w:kern w:val="0"/>
          <w:sz w:val="22"/>
          <w:lang w:val="zh-CN" w:bidi="zh-CN"/>
        </w:rPr>
      </w:pPr>
      <w:r>
        <w:rPr>
          <w:rFonts w:ascii="宋体" w:hAnsi="宋体" w:cs="宋体"/>
          <w:kern w:val="0"/>
          <w:sz w:val="22"/>
          <w:lang w:val="zh-CN" w:bidi="zh-CN"/>
        </w:rPr>
        <w:br w:type="page"/>
      </w:r>
    </w:p>
    <w:p w14:paraId="2FEE9A4C">
      <w:pPr>
        <w:autoSpaceDE w:val="0"/>
        <w:autoSpaceDN w:val="0"/>
        <w:spacing w:before="240" w:after="60" w:line="312" w:lineRule="auto"/>
        <w:jc w:val="center"/>
        <w:outlineLvl w:val="1"/>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 xml:space="preserve"> </w:t>
      </w:r>
    </w:p>
    <w:p w14:paraId="2182D013">
      <w:pPr>
        <w:autoSpaceDE w:val="0"/>
        <w:autoSpaceDN w:val="0"/>
        <w:spacing w:before="240" w:after="60" w:line="312" w:lineRule="auto"/>
        <w:jc w:val="center"/>
        <w:outlineLvl w:val="1"/>
        <w:rPr>
          <w:rFonts w:ascii="Cambria" w:hAnsi="Cambria"/>
          <w:b/>
          <w:bCs/>
          <w:kern w:val="28"/>
          <w:sz w:val="32"/>
          <w:szCs w:val="32"/>
          <w:lang w:val="zh-CN" w:bidi="zh-CN"/>
        </w:rPr>
      </w:pPr>
      <w:r>
        <w:rPr>
          <w:rFonts w:hint="eastAsia" w:ascii="宋体" w:hAnsi="宋体"/>
          <w:b/>
          <w:bCs/>
          <w:color w:val="auto"/>
          <w:sz w:val="24"/>
          <w:highlight w:val="none"/>
          <w:lang w:val="en-US" w:eastAsia="zh-CN"/>
        </w:rPr>
        <w:t xml:space="preserve"> </w:t>
      </w:r>
      <w:bookmarkStart w:id="153" w:name="_Toc256000059"/>
      <w:r>
        <w:rPr>
          <w:rFonts w:ascii="Cambria" w:hAnsi="Cambria"/>
          <w:b/>
          <w:bCs/>
          <w:kern w:val="28"/>
          <w:sz w:val="32"/>
          <w:szCs w:val="32"/>
          <w:lang w:val="zh-CN" w:bidi="zh-CN"/>
        </w:rPr>
        <w:t>第二节</w:t>
      </w:r>
      <w:r>
        <w:rPr>
          <w:rFonts w:hint="eastAsia" w:ascii="Cambria" w:hAnsi="Cambria"/>
          <w:b/>
          <w:bCs/>
          <w:kern w:val="28"/>
          <w:sz w:val="32"/>
          <w:szCs w:val="32"/>
          <w:lang w:bidi="zh-CN"/>
        </w:rPr>
        <w:t xml:space="preserve"> </w:t>
      </w:r>
      <w:r>
        <w:rPr>
          <w:rFonts w:ascii="Cambria" w:hAnsi="Cambria"/>
          <w:b/>
          <w:bCs/>
          <w:kern w:val="28"/>
          <w:sz w:val="32"/>
          <w:szCs w:val="32"/>
          <w:lang w:val="zh-CN" w:bidi="zh-CN"/>
        </w:rPr>
        <w:t>专用合同条款</w:t>
      </w:r>
      <w:bookmarkEnd w:id="153"/>
    </w:p>
    <w:p w14:paraId="03FD212F">
      <w:pPr>
        <w:autoSpaceDE w:val="0"/>
        <w:autoSpaceDN w:val="0"/>
        <w:spacing w:before="66" w:line="360" w:lineRule="auto"/>
        <w:jc w:val="left"/>
        <w:rPr>
          <w:rFonts w:ascii="宋体" w:hAnsi="宋体" w:cs="宋体"/>
          <w:kern w:val="0"/>
          <w:szCs w:val="21"/>
          <w:lang w:val="zh-CN" w:bidi="zh-CN"/>
        </w:rPr>
      </w:pPr>
      <w:r>
        <w:rPr>
          <w:rFonts w:ascii="宋体" w:hAnsi="宋体" w:cs="宋体"/>
          <w:kern w:val="0"/>
          <w:szCs w:val="21"/>
          <w:lang w:val="zh-CN" w:bidi="zh-CN"/>
        </w:rPr>
        <w:t>说明：</w:t>
      </w:r>
    </w:p>
    <w:p w14:paraId="1EF20464">
      <w:pPr>
        <w:autoSpaceDE w:val="0"/>
        <w:autoSpaceDN w:val="0"/>
        <w:spacing w:before="84" w:line="360" w:lineRule="auto"/>
        <w:ind w:left="384" w:right="465" w:firstLine="420" w:firstLineChars="200"/>
        <w:rPr>
          <w:rFonts w:ascii="宋体" w:hAnsi="宋体" w:cs="宋体"/>
          <w:kern w:val="0"/>
          <w:szCs w:val="21"/>
          <w:lang w:val="zh-CN" w:bidi="zh-CN"/>
        </w:rPr>
      </w:pPr>
      <w:r>
        <w:rPr>
          <w:rFonts w:ascii="宋体" w:hAnsi="宋体" w:cs="宋体"/>
          <w:kern w:val="0"/>
          <w:szCs w:val="21"/>
          <w:lang w:val="zh-CN" w:bidi="zh-CN"/>
        </w:rPr>
        <w:t>招标人可根据招标项目的具体特点和实际需要，对“通用合同条款”进行补充和细化，补充和细化的内容不得与“通用合同条款”强制性规定相抵触。同时，细化、补充或约定的不同内容，不得违反法律、行政法规的强制性规定和平等、自愿、公平和诚实信用原则。</w:t>
      </w:r>
    </w:p>
    <w:p w14:paraId="29C45DEA">
      <w:pPr>
        <w:autoSpaceDE w:val="0"/>
        <w:autoSpaceDN w:val="0"/>
        <w:spacing w:before="7" w:line="360" w:lineRule="auto"/>
        <w:ind w:firstLine="819" w:firstLineChars="390"/>
        <w:jc w:val="left"/>
        <w:rPr>
          <w:rFonts w:ascii="宋体" w:hAnsi="宋体" w:cs="宋体"/>
          <w:kern w:val="0"/>
          <w:szCs w:val="21"/>
          <w:lang w:val="zh-CN" w:bidi="zh-CN"/>
        </w:rPr>
      </w:pPr>
      <w:r>
        <w:rPr>
          <w:rFonts w:ascii="宋体" w:hAnsi="宋体" w:cs="宋体"/>
          <w:kern w:val="0"/>
          <w:szCs w:val="21"/>
          <w:lang w:val="zh-CN" w:bidi="zh-CN"/>
        </w:rPr>
        <w:t>专用合同条款的编号应与通用合同条款号一致。</w:t>
      </w:r>
    </w:p>
    <w:p w14:paraId="29B50ED9">
      <w:pPr>
        <w:keepNext/>
        <w:keepLines/>
        <w:widowControl/>
        <w:spacing w:before="260" w:after="260"/>
        <w:jc w:val="center"/>
        <w:outlineLvl w:val="2"/>
        <w:rPr>
          <w:rFonts w:ascii="宋体" w:hAnsi="宋体" w:cs="宋体"/>
          <w:b/>
          <w:bCs/>
          <w:kern w:val="0"/>
          <w:szCs w:val="21"/>
          <w:highlight w:val="none"/>
          <w:lang w:val="zh-CN" w:bidi="zh-CN"/>
        </w:rPr>
      </w:pPr>
      <w:r>
        <w:rPr>
          <w:rFonts w:ascii="宋体" w:hAnsi="宋体" w:cs="宋体"/>
          <w:b/>
          <w:bCs/>
          <w:kern w:val="0"/>
          <w:szCs w:val="21"/>
          <w:highlight w:val="none"/>
          <w:lang w:val="zh-CN" w:bidi="zh-CN"/>
        </w:rPr>
        <w:t>合同条款数据表</w:t>
      </w:r>
    </w:p>
    <w:p w14:paraId="0F72E230">
      <w:pPr>
        <w:autoSpaceDE w:val="0"/>
        <w:autoSpaceDN w:val="0"/>
        <w:spacing w:before="84"/>
        <w:ind w:left="384" w:right="382" w:firstLine="420" w:firstLineChars="200"/>
        <w:jc w:val="left"/>
        <w:rPr>
          <w:rFonts w:ascii="宋体" w:hAnsi="宋体" w:cs="宋体"/>
          <w:kern w:val="0"/>
          <w:szCs w:val="21"/>
          <w:highlight w:val="none"/>
          <w:lang w:val="zh-CN" w:bidi="zh-CN"/>
        </w:rPr>
      </w:pPr>
      <w:r>
        <w:rPr>
          <w:rFonts w:ascii="宋体" w:hAnsi="宋体" w:cs="宋体"/>
          <w:kern w:val="0"/>
          <w:szCs w:val="21"/>
          <w:highlight w:val="none"/>
          <w:lang w:val="zh-CN" w:bidi="zh-CN"/>
        </w:rPr>
        <w:t>说明： 本数据表是项目合同条款中适用于本项目的信息和数据的归纳与提示， 是项目合同条款的组成部分。</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8232"/>
      </w:tblGrid>
      <w:tr w14:paraId="5DF7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noWrap w:val="0"/>
            <w:vAlign w:val="top"/>
          </w:tcPr>
          <w:p w14:paraId="69D769B3">
            <w:pPr>
              <w:ind w:right="346"/>
              <w:jc w:val="center"/>
              <w:rPr>
                <w:rFonts w:ascii="宋体" w:hAnsi="宋体" w:cs="宋体"/>
                <w:kern w:val="0"/>
                <w:sz w:val="20"/>
                <w:highlight w:val="none"/>
                <w:lang w:val="zh-CN" w:bidi="zh-CN"/>
              </w:rPr>
            </w:pPr>
            <w:r>
              <w:rPr>
                <w:rFonts w:ascii="宋体" w:hAnsi="宋体" w:cs="宋体"/>
                <w:kern w:val="0"/>
                <w:sz w:val="20"/>
                <w:highlight w:val="none"/>
                <w:lang w:val="zh-CN" w:bidi="zh-CN"/>
              </w:rPr>
              <w:t>条款号</w:t>
            </w:r>
          </w:p>
        </w:tc>
        <w:tc>
          <w:tcPr>
            <w:tcW w:w="8232" w:type="dxa"/>
            <w:noWrap w:val="0"/>
            <w:vAlign w:val="top"/>
          </w:tcPr>
          <w:p w14:paraId="7FB83EEA">
            <w:pPr>
              <w:ind w:right="3242"/>
              <w:jc w:val="center"/>
              <w:rPr>
                <w:rFonts w:ascii="宋体" w:hAnsi="宋体" w:cs="宋体"/>
                <w:kern w:val="0"/>
                <w:sz w:val="20"/>
                <w:highlight w:val="none"/>
                <w:lang w:val="zh-CN" w:bidi="zh-CN"/>
              </w:rPr>
            </w:pPr>
            <w:r>
              <w:rPr>
                <w:rFonts w:ascii="宋体" w:hAnsi="宋体" w:cs="宋体"/>
                <w:kern w:val="0"/>
                <w:sz w:val="20"/>
                <w:highlight w:val="none"/>
                <w:lang w:val="zh-CN" w:bidi="zh-CN"/>
              </w:rPr>
              <w:t>信息或数据</w:t>
            </w:r>
          </w:p>
        </w:tc>
      </w:tr>
      <w:tr w14:paraId="7347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noWrap w:val="0"/>
            <w:vAlign w:val="top"/>
          </w:tcPr>
          <w:p w14:paraId="1F028EBB">
            <w:pPr>
              <w:rPr>
                <w:rFonts w:ascii="Times New Roman" w:hAnsi="宋体" w:cs="宋体"/>
                <w:kern w:val="0"/>
                <w:sz w:val="20"/>
                <w:highlight w:val="none"/>
                <w:lang w:val="zh-CN" w:bidi="zh-CN"/>
              </w:rPr>
            </w:pPr>
          </w:p>
        </w:tc>
        <w:tc>
          <w:tcPr>
            <w:tcW w:w="8232" w:type="dxa"/>
            <w:noWrap w:val="0"/>
            <w:vAlign w:val="top"/>
          </w:tcPr>
          <w:p w14:paraId="6C6EF7CF">
            <w:pPr>
              <w:tabs>
                <w:tab w:val="left" w:pos="4014"/>
              </w:tabs>
              <w:ind w:left="272"/>
              <w:rPr>
                <w:rFonts w:ascii="宋体" w:hAnsi="宋体" w:cs="宋体"/>
                <w:kern w:val="0"/>
                <w:sz w:val="20"/>
                <w:highlight w:val="none"/>
                <w:lang w:val="zh-CN" w:bidi="zh-CN"/>
              </w:rPr>
            </w:pPr>
            <w:r>
              <w:rPr>
                <w:rFonts w:ascii="宋体" w:hAnsi="宋体" w:cs="宋体"/>
                <w:kern w:val="0"/>
                <w:sz w:val="20"/>
                <w:highlight w:val="none"/>
                <w:lang w:val="zh-CN" w:bidi="zh-CN"/>
              </w:rPr>
              <w:t>发包人：</w:t>
            </w:r>
          </w:p>
          <w:p w14:paraId="4F7713DC">
            <w:pPr>
              <w:tabs>
                <w:tab w:val="left" w:pos="4014"/>
              </w:tabs>
              <w:ind w:left="272"/>
              <w:rPr>
                <w:rFonts w:ascii="宋体" w:hAnsi="宋体" w:cs="宋体"/>
                <w:kern w:val="0"/>
                <w:sz w:val="20"/>
                <w:highlight w:val="none"/>
                <w:lang w:val="zh-CN" w:bidi="zh-CN"/>
              </w:rPr>
            </w:pPr>
            <w:r>
              <w:rPr>
                <w:rFonts w:ascii="宋体" w:hAnsi="宋体" w:cs="宋体"/>
                <w:kern w:val="0"/>
                <w:sz w:val="20"/>
                <w:highlight w:val="none"/>
                <w:lang w:val="zh-CN" w:bidi="zh-CN"/>
              </w:rPr>
              <w:t>地址：</w:t>
            </w:r>
            <w:r>
              <w:rPr>
                <w:rFonts w:ascii="宋体" w:hAnsi="宋体" w:cs="宋体"/>
                <w:kern w:val="0"/>
                <w:sz w:val="20"/>
                <w:highlight w:val="none"/>
                <w:lang w:val="zh-CN" w:bidi="zh-CN"/>
              </w:rPr>
              <w:tab/>
            </w:r>
            <w:r>
              <w:rPr>
                <w:rFonts w:ascii="宋体" w:hAnsi="宋体" w:cs="宋体"/>
                <w:kern w:val="0"/>
                <w:sz w:val="20"/>
                <w:highlight w:val="none"/>
                <w:lang w:val="zh-CN" w:bidi="zh-CN"/>
              </w:rPr>
              <w:t>邮政编码：</w:t>
            </w:r>
          </w:p>
        </w:tc>
      </w:tr>
      <w:tr w14:paraId="37F3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noWrap w:val="0"/>
            <w:vAlign w:val="top"/>
          </w:tcPr>
          <w:p w14:paraId="54E16F9C">
            <w:pPr>
              <w:rPr>
                <w:rFonts w:ascii="Times New Roman" w:hAnsi="宋体" w:cs="宋体"/>
                <w:kern w:val="0"/>
                <w:sz w:val="20"/>
                <w:highlight w:val="none"/>
                <w:lang w:val="zh-CN" w:bidi="zh-CN"/>
              </w:rPr>
            </w:pPr>
          </w:p>
        </w:tc>
        <w:tc>
          <w:tcPr>
            <w:tcW w:w="8232" w:type="dxa"/>
            <w:noWrap w:val="0"/>
            <w:vAlign w:val="top"/>
          </w:tcPr>
          <w:p w14:paraId="51C46D8E">
            <w:pPr>
              <w:tabs>
                <w:tab w:val="left" w:pos="4014"/>
              </w:tabs>
              <w:ind w:left="272"/>
              <w:rPr>
                <w:rFonts w:ascii="宋体" w:hAnsi="宋体" w:cs="宋体"/>
                <w:kern w:val="0"/>
                <w:sz w:val="20"/>
                <w:highlight w:val="none"/>
                <w:lang w:val="zh-CN" w:bidi="zh-CN"/>
              </w:rPr>
            </w:pPr>
            <w:r>
              <w:rPr>
                <w:rFonts w:ascii="宋体" w:hAnsi="宋体" w:cs="宋体"/>
                <w:kern w:val="0"/>
                <w:sz w:val="20"/>
                <w:highlight w:val="none"/>
                <w:lang w:val="zh-CN" w:bidi="zh-CN"/>
              </w:rPr>
              <w:t>监理人：</w:t>
            </w:r>
          </w:p>
          <w:p w14:paraId="51B22A86">
            <w:pPr>
              <w:tabs>
                <w:tab w:val="left" w:pos="4014"/>
              </w:tabs>
              <w:ind w:left="272"/>
              <w:rPr>
                <w:rFonts w:ascii="宋体" w:hAnsi="宋体" w:cs="宋体"/>
                <w:kern w:val="0"/>
                <w:sz w:val="20"/>
                <w:highlight w:val="none"/>
                <w:lang w:val="zh-CN" w:bidi="zh-CN"/>
              </w:rPr>
            </w:pPr>
            <w:r>
              <w:rPr>
                <w:rFonts w:ascii="宋体" w:hAnsi="宋体" w:cs="宋体"/>
                <w:kern w:val="0"/>
                <w:sz w:val="20"/>
                <w:highlight w:val="none"/>
                <w:lang w:val="zh-CN" w:bidi="zh-CN"/>
              </w:rPr>
              <w:t>地址：</w:t>
            </w:r>
            <w:r>
              <w:rPr>
                <w:rFonts w:ascii="宋体" w:hAnsi="宋体" w:cs="宋体"/>
                <w:kern w:val="0"/>
                <w:sz w:val="20"/>
                <w:highlight w:val="none"/>
                <w:lang w:val="zh-CN" w:bidi="zh-CN"/>
              </w:rPr>
              <w:tab/>
            </w:r>
            <w:r>
              <w:rPr>
                <w:rFonts w:ascii="宋体" w:hAnsi="宋体" w:cs="宋体"/>
                <w:kern w:val="0"/>
                <w:sz w:val="20"/>
                <w:highlight w:val="none"/>
                <w:lang w:val="zh-CN" w:bidi="zh-CN"/>
              </w:rPr>
              <w:t>邮政编码：</w:t>
            </w:r>
          </w:p>
        </w:tc>
      </w:tr>
      <w:tr w14:paraId="1546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noWrap w:val="0"/>
            <w:vAlign w:val="center"/>
          </w:tcPr>
          <w:p w14:paraId="25307FBA">
            <w:pPr>
              <w:spacing w:before="1"/>
              <w:ind w:left="355" w:right="346"/>
              <w:jc w:val="center"/>
              <w:rPr>
                <w:rFonts w:ascii="Times New Roman" w:hAnsi="宋体" w:cs="宋体"/>
                <w:kern w:val="0"/>
                <w:sz w:val="20"/>
                <w:highlight w:val="none"/>
                <w:lang w:val="zh-CN" w:bidi="zh-CN"/>
              </w:rPr>
            </w:pPr>
            <w:r>
              <w:rPr>
                <w:rFonts w:ascii="Times New Roman" w:hAnsi="宋体" w:cs="宋体"/>
                <w:kern w:val="0"/>
                <w:sz w:val="20"/>
                <w:highlight w:val="none"/>
                <w:lang w:val="zh-CN" w:bidi="zh-CN"/>
              </w:rPr>
              <w:t>21.1</w:t>
            </w:r>
          </w:p>
        </w:tc>
        <w:tc>
          <w:tcPr>
            <w:tcW w:w="8232" w:type="dxa"/>
            <w:noWrap w:val="0"/>
            <w:vAlign w:val="center"/>
          </w:tcPr>
          <w:p w14:paraId="468204B4">
            <w:pPr>
              <w:tabs>
                <w:tab w:val="left" w:pos="4014"/>
              </w:tabs>
              <w:ind w:left="272"/>
              <w:rPr>
                <w:rFonts w:ascii="宋体" w:hAnsi="宋体" w:cs="宋体"/>
                <w:kern w:val="0"/>
                <w:sz w:val="20"/>
                <w:highlight w:val="none"/>
                <w:lang w:val="zh-CN" w:bidi="zh-CN"/>
              </w:rPr>
            </w:pPr>
            <w:r>
              <w:rPr>
                <w:rFonts w:ascii="宋体" w:hAnsi="宋体" w:cs="宋体"/>
                <w:kern w:val="0"/>
                <w:sz w:val="20"/>
                <w:highlight w:val="none"/>
                <w:lang w:val="zh-CN" w:bidi="zh-CN"/>
              </w:rPr>
              <w:t>缺陷责任期：自实际交工日期起计算</w:t>
            </w:r>
            <w:r>
              <w:rPr>
                <w:rFonts w:ascii="宋体" w:hAnsi="宋体" w:cs="宋体"/>
                <w:kern w:val="0"/>
                <w:sz w:val="20"/>
                <w:highlight w:val="none"/>
                <w:u w:val="single"/>
                <w:lang w:val="zh-CN" w:bidi="zh-CN"/>
              </w:rPr>
              <w:t xml:space="preserve"> </w:t>
            </w:r>
            <w:r>
              <w:rPr>
                <w:rFonts w:hint="eastAsia" w:ascii="宋体" w:hAnsi="宋体" w:cs="宋体"/>
                <w:kern w:val="0"/>
                <w:sz w:val="20"/>
                <w:highlight w:val="none"/>
                <w:u w:val="single"/>
                <w:lang w:bidi="zh-CN"/>
              </w:rPr>
              <w:t xml:space="preserve">1 </w:t>
            </w:r>
            <w:r>
              <w:rPr>
                <w:rFonts w:ascii="宋体" w:hAnsi="宋体" w:cs="宋体"/>
                <w:kern w:val="0"/>
                <w:sz w:val="20"/>
                <w:highlight w:val="none"/>
                <w:lang w:val="zh-CN" w:bidi="zh-CN"/>
              </w:rPr>
              <w:t>年</w:t>
            </w:r>
          </w:p>
        </w:tc>
      </w:tr>
      <w:tr w14:paraId="1F93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noWrap w:val="0"/>
            <w:vAlign w:val="center"/>
          </w:tcPr>
          <w:p w14:paraId="0BBAB6C7">
            <w:pPr>
              <w:jc w:val="center"/>
              <w:rPr>
                <w:rFonts w:ascii="Times New Roman" w:hAnsi="宋体" w:cs="宋体"/>
                <w:kern w:val="0"/>
                <w:sz w:val="20"/>
                <w:highlight w:val="none"/>
                <w:lang w:val="zh-CN" w:bidi="zh-CN"/>
              </w:rPr>
            </w:pPr>
          </w:p>
        </w:tc>
        <w:tc>
          <w:tcPr>
            <w:tcW w:w="8232" w:type="dxa"/>
            <w:noWrap w:val="0"/>
            <w:vAlign w:val="center"/>
          </w:tcPr>
          <w:p w14:paraId="3BE603E0">
            <w:pPr>
              <w:tabs>
                <w:tab w:val="left" w:pos="4014"/>
              </w:tabs>
              <w:ind w:left="272"/>
              <w:rPr>
                <w:rFonts w:ascii="宋体" w:hAnsi="宋体" w:cs="宋体"/>
                <w:kern w:val="0"/>
                <w:sz w:val="20"/>
                <w:highlight w:val="none"/>
                <w:lang w:val="zh-CN" w:bidi="zh-CN"/>
              </w:rPr>
            </w:pPr>
            <w:r>
              <w:rPr>
                <w:rFonts w:ascii="宋体" w:hAnsi="宋体" w:cs="宋体"/>
                <w:kern w:val="0"/>
                <w:sz w:val="20"/>
                <w:highlight w:val="none"/>
                <w:lang w:val="zh-CN" w:bidi="zh-CN"/>
              </w:rPr>
              <w:t xml:space="preserve">图纸需要修改和补充的，应由监理人取得发包人同意后，在该工程或工程相应部位施工前 </w:t>
            </w:r>
            <w:r>
              <w:rPr>
                <w:rFonts w:ascii="宋体" w:hAnsi="宋体" w:cs="宋体"/>
                <w:kern w:val="0"/>
                <w:sz w:val="20"/>
                <w:highlight w:val="none"/>
                <w:u w:val="single"/>
                <w:lang w:val="zh-CN" w:bidi="zh-CN"/>
              </w:rPr>
              <w:t xml:space="preserve">7 </w:t>
            </w:r>
            <w:r>
              <w:rPr>
                <w:rFonts w:ascii="宋体" w:hAnsi="宋体" w:cs="宋体"/>
                <w:kern w:val="0"/>
                <w:sz w:val="20"/>
                <w:highlight w:val="none"/>
                <w:lang w:val="zh-CN" w:bidi="zh-CN"/>
              </w:rPr>
              <w:t>天签发图纸修改图给承包人</w:t>
            </w:r>
          </w:p>
        </w:tc>
      </w:tr>
      <w:tr w14:paraId="777F9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noWrap w:val="0"/>
            <w:vAlign w:val="center"/>
          </w:tcPr>
          <w:p w14:paraId="6E014E12">
            <w:pPr>
              <w:jc w:val="center"/>
              <w:rPr>
                <w:rFonts w:ascii="Times New Roman" w:hAnsi="宋体" w:cs="宋体"/>
                <w:kern w:val="0"/>
                <w:sz w:val="20"/>
                <w:highlight w:val="none"/>
                <w:lang w:val="zh-CN" w:bidi="zh-CN"/>
              </w:rPr>
            </w:pPr>
          </w:p>
        </w:tc>
        <w:tc>
          <w:tcPr>
            <w:tcW w:w="8232" w:type="dxa"/>
            <w:noWrap w:val="0"/>
            <w:vAlign w:val="center"/>
          </w:tcPr>
          <w:p w14:paraId="4D79861B">
            <w:pPr>
              <w:tabs>
                <w:tab w:val="left" w:pos="4014"/>
              </w:tabs>
              <w:ind w:left="272"/>
              <w:rPr>
                <w:rFonts w:ascii="宋体" w:hAnsi="宋体" w:cs="宋体"/>
                <w:kern w:val="0"/>
                <w:sz w:val="20"/>
                <w:highlight w:val="none"/>
                <w:lang w:val="zh-CN" w:bidi="zh-CN"/>
              </w:rPr>
            </w:pPr>
            <w:r>
              <w:rPr>
                <w:rFonts w:ascii="宋体" w:hAnsi="宋体" w:cs="宋体"/>
                <w:kern w:val="0"/>
                <w:sz w:val="20"/>
                <w:highlight w:val="none"/>
                <w:lang w:val="zh-CN" w:bidi="zh-CN"/>
              </w:rPr>
              <w:t>监理人在行使变更前需要发包人事先批准</w:t>
            </w:r>
          </w:p>
        </w:tc>
      </w:tr>
      <w:tr w14:paraId="79EB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14" w:type="dxa"/>
            <w:noWrap w:val="0"/>
            <w:vAlign w:val="center"/>
          </w:tcPr>
          <w:p w14:paraId="27147475">
            <w:pPr>
              <w:ind w:left="356" w:right="344"/>
              <w:jc w:val="center"/>
              <w:rPr>
                <w:rFonts w:ascii="Times New Roman" w:hAnsi="宋体" w:cs="宋体"/>
                <w:kern w:val="0"/>
                <w:sz w:val="20"/>
                <w:highlight w:val="none"/>
                <w:lang w:val="zh-CN" w:bidi="zh-CN"/>
              </w:rPr>
            </w:pPr>
            <w:r>
              <w:rPr>
                <w:rFonts w:ascii="Times New Roman" w:hAnsi="宋体" w:cs="宋体"/>
                <w:kern w:val="0"/>
                <w:sz w:val="20"/>
                <w:highlight w:val="none"/>
                <w:lang w:val="zh-CN" w:bidi="zh-CN"/>
              </w:rPr>
              <w:t>6.2</w:t>
            </w:r>
          </w:p>
        </w:tc>
        <w:tc>
          <w:tcPr>
            <w:tcW w:w="8232" w:type="dxa"/>
            <w:noWrap w:val="0"/>
            <w:vAlign w:val="center"/>
          </w:tcPr>
          <w:p w14:paraId="53E83D5D">
            <w:pPr>
              <w:tabs>
                <w:tab w:val="left" w:pos="4014"/>
              </w:tabs>
              <w:ind w:left="272"/>
              <w:rPr>
                <w:rFonts w:ascii="宋体" w:hAnsi="宋体" w:cs="宋体"/>
                <w:kern w:val="0"/>
                <w:sz w:val="20"/>
                <w:highlight w:val="none"/>
                <w:lang w:val="zh-CN" w:bidi="zh-CN"/>
              </w:rPr>
            </w:pPr>
            <w:r>
              <w:rPr>
                <w:rFonts w:ascii="宋体" w:hAnsi="宋体" w:cs="宋体"/>
                <w:kern w:val="0"/>
                <w:sz w:val="20"/>
                <w:highlight w:val="none"/>
                <w:lang w:val="zh-CN" w:bidi="zh-CN"/>
              </w:rPr>
              <w:t>发包人是否提供材料或工程设备：</w:t>
            </w:r>
            <w:r>
              <w:rPr>
                <w:rFonts w:hint="eastAsia" w:ascii="宋体" w:hAnsi="宋体" w:cs="宋体"/>
                <w:kern w:val="0"/>
                <w:sz w:val="20"/>
                <w:highlight w:val="none"/>
                <w:lang w:val="zh-CN" w:bidi="zh-CN"/>
              </w:rPr>
              <w:t>否</w:t>
            </w:r>
          </w:p>
        </w:tc>
      </w:tr>
      <w:tr w14:paraId="2999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noWrap w:val="0"/>
            <w:vAlign w:val="center"/>
          </w:tcPr>
          <w:p w14:paraId="1CBF16E9">
            <w:pPr>
              <w:ind w:left="356" w:right="344"/>
              <w:jc w:val="center"/>
              <w:rPr>
                <w:rFonts w:ascii="Times New Roman" w:hAnsi="宋体" w:cs="宋体"/>
                <w:kern w:val="0"/>
                <w:sz w:val="20"/>
                <w:highlight w:val="none"/>
                <w:lang w:val="zh-CN" w:bidi="zh-CN"/>
              </w:rPr>
            </w:pPr>
            <w:r>
              <w:rPr>
                <w:rFonts w:ascii="Times New Roman" w:hAnsi="宋体" w:cs="宋体"/>
                <w:kern w:val="0"/>
                <w:sz w:val="20"/>
                <w:highlight w:val="none"/>
                <w:lang w:val="zh-CN" w:bidi="zh-CN"/>
              </w:rPr>
              <w:t>6.2</w:t>
            </w:r>
          </w:p>
        </w:tc>
        <w:tc>
          <w:tcPr>
            <w:tcW w:w="8232" w:type="dxa"/>
            <w:noWrap w:val="0"/>
            <w:vAlign w:val="center"/>
          </w:tcPr>
          <w:p w14:paraId="3B568F25">
            <w:pPr>
              <w:tabs>
                <w:tab w:val="left" w:pos="4014"/>
              </w:tabs>
              <w:ind w:left="272"/>
              <w:rPr>
                <w:rFonts w:ascii="宋体" w:hAnsi="宋体" w:cs="宋体"/>
                <w:kern w:val="0"/>
                <w:sz w:val="20"/>
                <w:highlight w:val="none"/>
                <w:lang w:val="zh-CN" w:bidi="zh-CN"/>
              </w:rPr>
            </w:pPr>
            <w:r>
              <w:rPr>
                <w:rFonts w:ascii="宋体" w:hAnsi="宋体" w:cs="宋体"/>
                <w:kern w:val="0"/>
                <w:sz w:val="20"/>
                <w:highlight w:val="none"/>
                <w:lang w:val="zh-CN" w:bidi="zh-CN"/>
              </w:rPr>
              <w:t xml:space="preserve">发包人是否提供施工设备和临时设施： </w:t>
            </w:r>
            <w:r>
              <w:rPr>
                <w:rFonts w:hint="eastAsia" w:ascii="宋体" w:hAnsi="宋体" w:cs="宋体"/>
                <w:kern w:val="0"/>
                <w:sz w:val="20"/>
                <w:highlight w:val="none"/>
                <w:lang w:bidi="zh-CN"/>
              </w:rPr>
              <w:t>否</w:t>
            </w:r>
          </w:p>
        </w:tc>
      </w:tr>
      <w:tr w14:paraId="76B2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noWrap w:val="0"/>
            <w:vAlign w:val="center"/>
          </w:tcPr>
          <w:p w14:paraId="3872AA8E">
            <w:pPr>
              <w:ind w:left="356" w:right="344"/>
              <w:jc w:val="center"/>
              <w:rPr>
                <w:rFonts w:ascii="Times New Roman" w:hAnsi="宋体" w:cs="宋体"/>
                <w:kern w:val="0"/>
                <w:sz w:val="20"/>
                <w:highlight w:val="none"/>
                <w:lang w:val="zh-CN" w:bidi="zh-CN"/>
              </w:rPr>
            </w:pPr>
            <w:r>
              <w:rPr>
                <w:rFonts w:ascii="Times New Roman" w:hAnsi="宋体" w:cs="宋体"/>
                <w:kern w:val="0"/>
                <w:sz w:val="20"/>
                <w:highlight w:val="none"/>
                <w:lang w:val="zh-CN" w:bidi="zh-CN"/>
              </w:rPr>
              <w:t>8.4</w:t>
            </w:r>
          </w:p>
        </w:tc>
        <w:tc>
          <w:tcPr>
            <w:tcW w:w="8232" w:type="dxa"/>
            <w:noWrap w:val="0"/>
            <w:vAlign w:val="center"/>
          </w:tcPr>
          <w:p w14:paraId="3EEFC18E">
            <w:pPr>
              <w:tabs>
                <w:tab w:val="left" w:pos="4014"/>
              </w:tabs>
              <w:ind w:left="272"/>
              <w:rPr>
                <w:rFonts w:ascii="宋体" w:hAnsi="宋体" w:cs="宋体"/>
                <w:kern w:val="0"/>
                <w:sz w:val="20"/>
                <w:highlight w:val="none"/>
                <w:lang w:val="zh-CN" w:bidi="zh-CN"/>
              </w:rPr>
            </w:pPr>
            <w:r>
              <w:rPr>
                <w:rFonts w:ascii="宋体" w:hAnsi="宋体" w:cs="宋体"/>
                <w:kern w:val="0"/>
                <w:sz w:val="20"/>
                <w:highlight w:val="none"/>
                <w:lang w:val="zh-CN" w:bidi="zh-CN"/>
              </w:rPr>
              <w:t xml:space="preserve">逾期交工违约金： </w:t>
            </w:r>
            <w:r>
              <w:rPr>
                <w:rFonts w:hint="eastAsia" w:ascii="宋体" w:hAnsi="宋体" w:cs="宋体"/>
                <w:kern w:val="0"/>
                <w:sz w:val="20"/>
                <w:highlight w:val="none"/>
                <w:lang w:bidi="zh-CN"/>
              </w:rPr>
              <w:t>0.1</w:t>
            </w:r>
            <w:r>
              <w:rPr>
                <w:rFonts w:ascii="宋体" w:hAnsi="宋体" w:cs="宋体"/>
                <w:kern w:val="0"/>
                <w:sz w:val="20"/>
                <w:highlight w:val="none"/>
                <w:lang w:val="zh-CN" w:bidi="zh-CN"/>
              </w:rPr>
              <w:t>%合同价元/天（如由于承包人的原因造成逾期交工，其相应增加监理服务费和发包人管理费由承包人承担）</w:t>
            </w:r>
          </w:p>
        </w:tc>
      </w:tr>
      <w:tr w14:paraId="5A86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noWrap w:val="0"/>
            <w:vAlign w:val="center"/>
          </w:tcPr>
          <w:p w14:paraId="4AFA443A">
            <w:pPr>
              <w:ind w:left="356" w:right="344"/>
              <w:jc w:val="center"/>
              <w:rPr>
                <w:rFonts w:ascii="Times New Roman" w:hAnsi="宋体" w:cs="宋体"/>
                <w:kern w:val="0"/>
                <w:sz w:val="20"/>
                <w:highlight w:val="none"/>
                <w:lang w:val="zh-CN" w:bidi="zh-CN"/>
              </w:rPr>
            </w:pPr>
            <w:r>
              <w:rPr>
                <w:rFonts w:ascii="Times New Roman" w:hAnsi="宋体" w:cs="宋体"/>
                <w:kern w:val="0"/>
                <w:sz w:val="20"/>
                <w:highlight w:val="none"/>
                <w:lang w:val="zh-CN" w:bidi="zh-CN"/>
              </w:rPr>
              <w:t>8.4</w:t>
            </w:r>
          </w:p>
        </w:tc>
        <w:tc>
          <w:tcPr>
            <w:tcW w:w="8232" w:type="dxa"/>
            <w:noWrap w:val="0"/>
            <w:vAlign w:val="center"/>
          </w:tcPr>
          <w:p w14:paraId="2982382E">
            <w:pPr>
              <w:tabs>
                <w:tab w:val="left" w:pos="4014"/>
              </w:tabs>
              <w:ind w:left="272"/>
              <w:rPr>
                <w:rFonts w:ascii="宋体" w:hAnsi="宋体" w:cs="宋体"/>
                <w:kern w:val="0"/>
                <w:sz w:val="20"/>
                <w:highlight w:val="none"/>
                <w:lang w:val="zh-CN" w:bidi="zh-CN"/>
              </w:rPr>
            </w:pPr>
            <w:r>
              <w:rPr>
                <w:rFonts w:ascii="宋体" w:hAnsi="宋体" w:cs="宋体"/>
                <w:kern w:val="0"/>
                <w:sz w:val="20"/>
                <w:highlight w:val="none"/>
                <w:lang w:val="zh-CN" w:bidi="zh-CN"/>
              </w:rPr>
              <w:t>逾期交工违约金限额：</w:t>
            </w:r>
            <w:r>
              <w:rPr>
                <w:rFonts w:hint="eastAsia" w:ascii="宋体" w:hAnsi="宋体" w:cs="宋体"/>
                <w:kern w:val="0"/>
                <w:sz w:val="20"/>
                <w:highlight w:val="none"/>
                <w:u w:val="single"/>
                <w:lang w:val="en-US" w:bidi="zh-CN"/>
              </w:rPr>
              <w:t>5</w:t>
            </w:r>
            <w:r>
              <w:rPr>
                <w:rFonts w:ascii="宋体" w:hAnsi="宋体" w:cs="宋体"/>
                <w:kern w:val="0"/>
                <w:sz w:val="20"/>
                <w:highlight w:val="none"/>
                <w:u w:val="single"/>
                <w:lang w:val="zh-CN" w:bidi="zh-CN"/>
              </w:rPr>
              <w:t>%</w:t>
            </w:r>
            <w:r>
              <w:rPr>
                <w:rFonts w:ascii="宋体" w:hAnsi="宋体" w:cs="宋体"/>
                <w:kern w:val="0"/>
                <w:sz w:val="20"/>
                <w:highlight w:val="none"/>
                <w:lang w:val="zh-CN" w:bidi="zh-CN"/>
              </w:rPr>
              <w:t>签约合同价</w:t>
            </w:r>
          </w:p>
        </w:tc>
      </w:tr>
      <w:tr w14:paraId="1556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noWrap w:val="0"/>
            <w:vAlign w:val="center"/>
          </w:tcPr>
          <w:p w14:paraId="2C8C9797">
            <w:pPr>
              <w:ind w:left="356" w:right="344"/>
              <w:jc w:val="center"/>
              <w:rPr>
                <w:rFonts w:ascii="Times New Roman" w:hAnsi="宋体" w:cs="宋体"/>
                <w:kern w:val="0"/>
                <w:sz w:val="20"/>
                <w:highlight w:val="none"/>
                <w:lang w:val="zh-CN" w:bidi="zh-CN"/>
              </w:rPr>
            </w:pPr>
            <w:r>
              <w:rPr>
                <w:rFonts w:ascii="Times New Roman" w:hAnsi="宋体" w:cs="宋体"/>
                <w:kern w:val="0"/>
                <w:sz w:val="20"/>
                <w:highlight w:val="none"/>
                <w:lang w:val="zh-CN" w:bidi="zh-CN"/>
              </w:rPr>
              <w:t>5.6</w:t>
            </w:r>
          </w:p>
        </w:tc>
        <w:tc>
          <w:tcPr>
            <w:tcW w:w="8232" w:type="dxa"/>
            <w:noWrap w:val="0"/>
            <w:vAlign w:val="center"/>
          </w:tcPr>
          <w:p w14:paraId="4571BDAE">
            <w:pPr>
              <w:tabs>
                <w:tab w:val="left" w:pos="4014"/>
              </w:tabs>
              <w:ind w:left="272"/>
              <w:rPr>
                <w:rFonts w:ascii="宋体" w:hAnsi="宋体" w:cs="宋体"/>
                <w:kern w:val="0"/>
                <w:sz w:val="20"/>
                <w:highlight w:val="none"/>
                <w:lang w:val="zh-CN" w:bidi="zh-CN"/>
              </w:rPr>
            </w:pPr>
            <w:r>
              <w:rPr>
                <w:rFonts w:ascii="宋体" w:hAnsi="宋体" w:cs="宋体"/>
                <w:kern w:val="0"/>
                <w:sz w:val="20"/>
                <w:highlight w:val="none"/>
                <w:lang w:val="zh-CN" w:bidi="zh-CN"/>
              </w:rPr>
              <w:t>开工预付款金额：</w:t>
            </w:r>
            <w:r>
              <w:rPr>
                <w:rFonts w:hint="eastAsia" w:ascii="宋体" w:hAnsi="宋体" w:cs="宋体"/>
                <w:kern w:val="0"/>
                <w:sz w:val="20"/>
                <w:highlight w:val="none"/>
                <w:u w:val="single"/>
                <w:lang w:val="en-US" w:bidi="zh-CN"/>
              </w:rPr>
              <w:t xml:space="preserve"> /  </w:t>
            </w:r>
            <w:r>
              <w:rPr>
                <w:rFonts w:ascii="宋体" w:hAnsi="宋体" w:cs="宋体"/>
                <w:kern w:val="0"/>
                <w:sz w:val="20"/>
                <w:highlight w:val="none"/>
                <w:u w:val="single"/>
                <w:lang w:val="zh-CN" w:bidi="zh-CN"/>
              </w:rPr>
              <w:t>%</w:t>
            </w:r>
            <w:r>
              <w:rPr>
                <w:rFonts w:ascii="宋体" w:hAnsi="宋体" w:cs="宋体"/>
                <w:kern w:val="0"/>
                <w:sz w:val="20"/>
                <w:highlight w:val="none"/>
                <w:lang w:val="zh-CN" w:bidi="zh-CN"/>
              </w:rPr>
              <w:t>签约合同价</w:t>
            </w:r>
          </w:p>
        </w:tc>
      </w:tr>
      <w:tr w14:paraId="7667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noWrap w:val="0"/>
            <w:vAlign w:val="center"/>
          </w:tcPr>
          <w:p w14:paraId="1A102D6E">
            <w:pPr>
              <w:ind w:left="355" w:right="346"/>
              <w:jc w:val="center"/>
              <w:rPr>
                <w:rFonts w:ascii="Times New Roman" w:hAnsi="宋体" w:cs="宋体"/>
                <w:kern w:val="0"/>
                <w:sz w:val="20"/>
                <w:highlight w:val="none"/>
                <w:lang w:val="zh-CN" w:bidi="zh-CN"/>
              </w:rPr>
            </w:pPr>
            <w:r>
              <w:rPr>
                <w:rFonts w:ascii="Times New Roman" w:hAnsi="宋体" w:cs="宋体"/>
                <w:kern w:val="0"/>
                <w:sz w:val="20"/>
                <w:highlight w:val="none"/>
                <w:lang w:val="zh-CN" w:bidi="zh-CN"/>
              </w:rPr>
              <w:t>17.5</w:t>
            </w:r>
          </w:p>
        </w:tc>
        <w:tc>
          <w:tcPr>
            <w:tcW w:w="8232" w:type="dxa"/>
            <w:noWrap w:val="0"/>
            <w:vAlign w:val="center"/>
          </w:tcPr>
          <w:p w14:paraId="05248064">
            <w:pPr>
              <w:tabs>
                <w:tab w:val="left" w:pos="4014"/>
              </w:tabs>
              <w:ind w:left="272"/>
              <w:rPr>
                <w:rFonts w:ascii="宋体" w:hAnsi="宋体" w:cs="宋体"/>
                <w:kern w:val="0"/>
                <w:sz w:val="20"/>
                <w:highlight w:val="none"/>
                <w:lang w:val="zh-CN" w:bidi="zh-CN"/>
              </w:rPr>
            </w:pPr>
            <w:r>
              <w:rPr>
                <w:rFonts w:ascii="宋体" w:hAnsi="宋体" w:cs="宋体"/>
                <w:kern w:val="0"/>
                <w:sz w:val="20"/>
                <w:highlight w:val="none"/>
                <w:lang w:val="zh-CN" w:bidi="zh-CN"/>
              </w:rPr>
              <w:t>材料预付款比例：水泥、钢材、沥青等主要材料单据所列费用的</w:t>
            </w:r>
            <w:r>
              <w:rPr>
                <w:rFonts w:hint="eastAsia" w:ascii="宋体" w:hAnsi="宋体" w:cs="宋体"/>
                <w:kern w:val="0"/>
                <w:sz w:val="20"/>
                <w:highlight w:val="none"/>
                <w:u w:val="single"/>
                <w:lang w:val="en-US" w:bidi="zh-CN"/>
              </w:rPr>
              <w:t xml:space="preserve">  / </w:t>
            </w:r>
            <w:r>
              <w:rPr>
                <w:rFonts w:hint="eastAsia" w:ascii="宋体" w:hAnsi="宋体" w:cs="宋体"/>
                <w:kern w:val="0"/>
                <w:sz w:val="20"/>
                <w:highlight w:val="none"/>
                <w:u w:val="none"/>
                <w:lang w:val="en-US" w:bidi="zh-CN"/>
              </w:rPr>
              <w:t xml:space="preserve"> </w:t>
            </w:r>
            <w:r>
              <w:rPr>
                <w:rFonts w:ascii="宋体" w:hAnsi="宋体" w:cs="宋体"/>
                <w:kern w:val="0"/>
                <w:sz w:val="20"/>
                <w:highlight w:val="none"/>
                <w:u w:val="none"/>
                <w:lang w:val="zh-CN" w:bidi="zh-CN"/>
              </w:rPr>
              <w:t>%</w:t>
            </w:r>
          </w:p>
        </w:tc>
      </w:tr>
      <w:tr w14:paraId="07E2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noWrap w:val="0"/>
            <w:vAlign w:val="center"/>
          </w:tcPr>
          <w:p w14:paraId="774C6CF4">
            <w:pPr>
              <w:ind w:left="355" w:right="346"/>
              <w:jc w:val="center"/>
              <w:rPr>
                <w:rFonts w:ascii="Times New Roman" w:hAnsi="宋体" w:cs="宋体"/>
                <w:kern w:val="0"/>
                <w:sz w:val="20"/>
                <w:highlight w:val="none"/>
                <w:lang w:bidi="zh-CN"/>
              </w:rPr>
            </w:pPr>
            <w:r>
              <w:rPr>
                <w:rFonts w:hint="eastAsia" w:ascii="Times New Roman" w:hAnsi="宋体" w:cs="宋体"/>
                <w:kern w:val="0"/>
                <w:sz w:val="20"/>
                <w:highlight w:val="none"/>
                <w:lang w:bidi="zh-CN"/>
              </w:rPr>
              <w:t>17.6</w:t>
            </w:r>
          </w:p>
        </w:tc>
        <w:tc>
          <w:tcPr>
            <w:tcW w:w="8232" w:type="dxa"/>
            <w:noWrap w:val="0"/>
            <w:vAlign w:val="center"/>
          </w:tcPr>
          <w:p w14:paraId="5B5FFCBA">
            <w:pPr>
              <w:tabs>
                <w:tab w:val="left" w:pos="4014"/>
              </w:tabs>
              <w:ind w:left="272"/>
              <w:rPr>
                <w:rFonts w:ascii="宋体" w:hAnsi="宋体" w:cs="宋体"/>
                <w:kern w:val="0"/>
                <w:sz w:val="20"/>
                <w:highlight w:val="none"/>
                <w:lang w:bidi="zh-CN"/>
              </w:rPr>
            </w:pPr>
            <w:r>
              <w:rPr>
                <w:rFonts w:hint="eastAsia" w:ascii="宋体" w:hAnsi="宋体" w:cs="宋体"/>
                <w:kern w:val="0"/>
                <w:sz w:val="20"/>
                <w:highlight w:val="none"/>
                <w:u w:val="none"/>
                <w:lang w:val="zh-CN" w:bidi="zh-CN"/>
              </w:rPr>
              <w:t>付款方式：</w:t>
            </w:r>
            <w:r>
              <w:rPr>
                <w:rFonts w:hint="eastAsia" w:ascii="宋体" w:hAnsi="宋体" w:cs="宋体"/>
                <w:kern w:val="0"/>
                <w:sz w:val="20"/>
                <w:highlight w:val="none"/>
                <w:u w:val="none"/>
                <w:lang w:val="en-US" w:eastAsia="zh-CN" w:bidi="zh-CN"/>
              </w:rPr>
              <w:t>合同签订后5日内支付合同价30%的预付款，按工程进度付款，工程竣工验收合格后支付到合同价的80%，工程结算审计完成后支付到结算价的97%，留结算价3%的质保金，待1年缺陷责任期满后3日内一次性付清。</w:t>
            </w:r>
          </w:p>
        </w:tc>
      </w:tr>
      <w:tr w14:paraId="71B3F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noWrap w:val="0"/>
            <w:vAlign w:val="center"/>
          </w:tcPr>
          <w:p w14:paraId="1F780897">
            <w:pPr>
              <w:ind w:left="355" w:right="346"/>
              <w:jc w:val="center"/>
              <w:rPr>
                <w:rFonts w:ascii="Times New Roman" w:hAnsi="宋体" w:cs="宋体"/>
                <w:kern w:val="0"/>
                <w:sz w:val="20"/>
                <w:highlight w:val="none"/>
                <w:lang w:val="zh-CN" w:bidi="zh-CN"/>
              </w:rPr>
            </w:pPr>
            <w:r>
              <w:rPr>
                <w:rFonts w:ascii="Times New Roman" w:hAnsi="宋体" w:cs="宋体"/>
                <w:kern w:val="0"/>
                <w:sz w:val="20"/>
                <w:highlight w:val="none"/>
                <w:lang w:val="zh-CN" w:bidi="zh-CN"/>
              </w:rPr>
              <w:t>18.3</w:t>
            </w:r>
          </w:p>
        </w:tc>
        <w:tc>
          <w:tcPr>
            <w:tcW w:w="8232" w:type="dxa"/>
            <w:noWrap w:val="0"/>
            <w:vAlign w:val="center"/>
          </w:tcPr>
          <w:p w14:paraId="04BD6B9C">
            <w:pPr>
              <w:tabs>
                <w:tab w:val="left" w:pos="4014"/>
              </w:tabs>
              <w:ind w:left="272"/>
              <w:rPr>
                <w:rFonts w:ascii="宋体" w:hAnsi="宋体" w:cs="宋体"/>
                <w:kern w:val="0"/>
                <w:sz w:val="20"/>
                <w:highlight w:val="none"/>
                <w:lang w:val="zh-CN" w:bidi="zh-CN"/>
              </w:rPr>
            </w:pPr>
            <w:r>
              <w:rPr>
                <w:rFonts w:ascii="宋体" w:hAnsi="宋体" w:cs="宋体"/>
                <w:kern w:val="0"/>
                <w:sz w:val="20"/>
                <w:highlight w:val="none"/>
                <w:lang w:val="zh-CN" w:bidi="zh-CN"/>
              </w:rPr>
              <w:t xml:space="preserve">承包人在每个付款周期末向监理人提交进度付款申请单的份数： </w:t>
            </w:r>
            <w:r>
              <w:rPr>
                <w:rFonts w:ascii="宋体" w:hAnsi="宋体" w:cs="宋体"/>
                <w:kern w:val="0"/>
                <w:sz w:val="20"/>
                <w:highlight w:val="none"/>
                <w:u w:val="single"/>
                <w:lang w:val="zh-CN" w:bidi="zh-CN"/>
              </w:rPr>
              <w:t xml:space="preserve">6 </w:t>
            </w:r>
            <w:r>
              <w:rPr>
                <w:rFonts w:ascii="宋体" w:hAnsi="宋体" w:cs="宋体"/>
                <w:kern w:val="0"/>
                <w:sz w:val="20"/>
                <w:highlight w:val="none"/>
                <w:lang w:val="zh-CN" w:bidi="zh-CN"/>
              </w:rPr>
              <w:t>份</w:t>
            </w:r>
          </w:p>
        </w:tc>
      </w:tr>
      <w:tr w14:paraId="2EC6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noWrap w:val="0"/>
            <w:vAlign w:val="center"/>
          </w:tcPr>
          <w:p w14:paraId="4F3019B6">
            <w:pPr>
              <w:ind w:left="356" w:right="346"/>
              <w:jc w:val="center"/>
              <w:rPr>
                <w:rFonts w:ascii="Times New Roman" w:hAnsi="宋体" w:cs="宋体"/>
                <w:kern w:val="0"/>
                <w:sz w:val="20"/>
                <w:highlight w:val="none"/>
                <w:lang w:val="zh-CN" w:bidi="zh-CN"/>
              </w:rPr>
            </w:pPr>
            <w:r>
              <w:rPr>
                <w:rFonts w:ascii="Times New Roman" w:hAnsi="宋体" w:cs="宋体"/>
                <w:kern w:val="0"/>
                <w:sz w:val="20"/>
                <w:highlight w:val="none"/>
                <w:lang w:val="zh-CN" w:bidi="zh-CN"/>
              </w:rPr>
              <w:t>18.3(3)</w:t>
            </w:r>
          </w:p>
        </w:tc>
        <w:tc>
          <w:tcPr>
            <w:tcW w:w="8232" w:type="dxa"/>
            <w:noWrap w:val="0"/>
            <w:vAlign w:val="center"/>
          </w:tcPr>
          <w:p w14:paraId="2D4BD17F">
            <w:pPr>
              <w:tabs>
                <w:tab w:val="left" w:pos="4014"/>
              </w:tabs>
              <w:ind w:left="272"/>
              <w:rPr>
                <w:rFonts w:ascii="宋体" w:hAnsi="宋体" w:cs="宋体"/>
                <w:kern w:val="0"/>
                <w:sz w:val="20"/>
                <w:highlight w:val="none"/>
                <w:lang w:val="zh-CN" w:bidi="zh-CN"/>
              </w:rPr>
            </w:pPr>
            <w:r>
              <w:rPr>
                <w:rFonts w:ascii="宋体" w:hAnsi="宋体" w:cs="宋体"/>
                <w:kern w:val="0"/>
                <w:sz w:val="20"/>
                <w:highlight w:val="none"/>
                <w:lang w:val="zh-CN" w:bidi="zh-CN"/>
              </w:rPr>
              <w:t>逾期付款违约金的利率：全国银行间同业拆借中心公布的</w:t>
            </w:r>
            <w:r>
              <w:rPr>
                <w:rFonts w:ascii="宋体" w:hAnsi="宋体" w:cs="宋体"/>
                <w:kern w:val="0"/>
                <w:sz w:val="20"/>
                <w:highlight w:val="none"/>
                <w:u w:val="single"/>
                <w:lang w:val="zh-CN" w:bidi="zh-CN"/>
              </w:rPr>
              <w:t xml:space="preserve">1 </w:t>
            </w:r>
            <w:r>
              <w:rPr>
                <w:rFonts w:ascii="宋体" w:hAnsi="宋体" w:cs="宋体"/>
                <w:kern w:val="0"/>
                <w:sz w:val="20"/>
                <w:highlight w:val="none"/>
                <w:lang w:val="zh-CN" w:bidi="zh-CN"/>
              </w:rPr>
              <w:t>年期贷款市场报价利率</w:t>
            </w:r>
          </w:p>
        </w:tc>
      </w:tr>
      <w:tr w14:paraId="31498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noWrap w:val="0"/>
            <w:vAlign w:val="center"/>
          </w:tcPr>
          <w:p w14:paraId="233DDDDA">
            <w:pPr>
              <w:spacing w:before="183"/>
              <w:ind w:left="356" w:right="346"/>
              <w:jc w:val="center"/>
              <w:rPr>
                <w:rFonts w:ascii="Times New Roman" w:hAnsi="宋体" w:cs="宋体"/>
                <w:kern w:val="0"/>
                <w:sz w:val="20"/>
                <w:highlight w:val="none"/>
                <w:lang w:val="zh-CN" w:bidi="zh-CN"/>
              </w:rPr>
            </w:pPr>
            <w:r>
              <w:rPr>
                <w:rFonts w:ascii="Times New Roman" w:hAnsi="宋体" w:cs="宋体"/>
                <w:kern w:val="0"/>
                <w:sz w:val="20"/>
                <w:highlight w:val="none"/>
                <w:lang w:val="zh-CN" w:bidi="zh-CN"/>
              </w:rPr>
              <w:t>18.7(1)</w:t>
            </w:r>
          </w:p>
        </w:tc>
        <w:tc>
          <w:tcPr>
            <w:tcW w:w="8232" w:type="dxa"/>
            <w:noWrap w:val="0"/>
            <w:vAlign w:val="center"/>
          </w:tcPr>
          <w:p w14:paraId="37134CF0">
            <w:pPr>
              <w:tabs>
                <w:tab w:val="left" w:pos="4014"/>
              </w:tabs>
              <w:ind w:left="272"/>
              <w:rPr>
                <w:rFonts w:ascii="宋体" w:hAnsi="宋体" w:cs="宋体"/>
                <w:kern w:val="0"/>
                <w:sz w:val="20"/>
                <w:highlight w:val="none"/>
                <w:lang w:val="zh-CN" w:bidi="zh-CN"/>
              </w:rPr>
            </w:pPr>
            <w:r>
              <w:rPr>
                <w:rFonts w:ascii="宋体" w:hAnsi="宋体" w:cs="宋体"/>
                <w:kern w:val="0"/>
                <w:sz w:val="20"/>
                <w:highlight w:val="none"/>
                <w:lang w:val="zh-CN" w:bidi="zh-CN"/>
              </w:rPr>
              <w:t>质量保证金限额</w:t>
            </w:r>
            <w:r>
              <w:rPr>
                <w:rFonts w:hint="eastAsia" w:ascii="宋体" w:hAnsi="宋体" w:cs="宋体"/>
                <w:kern w:val="0"/>
                <w:sz w:val="20"/>
                <w:highlight w:val="none"/>
                <w:lang w:val="zh-CN" w:bidi="zh-CN"/>
              </w:rPr>
              <w:t>：</w:t>
            </w:r>
            <w:r>
              <w:rPr>
                <w:rFonts w:hint="eastAsia" w:ascii="宋体" w:hAnsi="宋体" w:cs="宋体"/>
                <w:kern w:val="0"/>
                <w:sz w:val="20"/>
                <w:highlight w:val="none"/>
                <w:lang w:bidi="zh-CN"/>
              </w:rPr>
              <w:t>3</w:t>
            </w:r>
            <w:r>
              <w:rPr>
                <w:rFonts w:ascii="宋体" w:hAnsi="宋体" w:cs="宋体"/>
                <w:kern w:val="0"/>
                <w:sz w:val="20"/>
                <w:highlight w:val="none"/>
                <w:lang w:val="zh-CN" w:bidi="zh-CN"/>
              </w:rPr>
              <w:t>%合同价格，若交工验收时承包人具备交通运输厅农村</w:t>
            </w:r>
          </w:p>
          <w:p w14:paraId="168621F9">
            <w:pPr>
              <w:tabs>
                <w:tab w:val="left" w:pos="4014"/>
              </w:tabs>
              <w:ind w:left="272"/>
              <w:rPr>
                <w:rFonts w:ascii="宋体" w:hAnsi="宋体" w:cs="宋体"/>
                <w:kern w:val="0"/>
                <w:sz w:val="20"/>
                <w:highlight w:val="none"/>
                <w:lang w:val="zh-CN" w:bidi="zh-CN"/>
              </w:rPr>
            </w:pPr>
            <w:r>
              <w:rPr>
                <w:rFonts w:ascii="宋体" w:hAnsi="宋体" w:cs="宋体"/>
                <w:kern w:val="0"/>
                <w:sz w:val="20"/>
                <w:highlight w:val="none"/>
                <w:lang w:val="zh-CN" w:bidi="zh-CN"/>
              </w:rPr>
              <w:t>公路建设从业单位信用信息评价体系评定的最高信用等级，发包人可以给予</w:t>
            </w:r>
            <w:r>
              <w:rPr>
                <w:rFonts w:ascii="宋体" w:hAnsi="宋体" w:cs="宋体"/>
                <w:kern w:val="0"/>
                <w:sz w:val="20"/>
                <w:highlight w:val="none"/>
                <w:u w:val="single"/>
                <w:lang w:val="zh-CN" w:bidi="zh-CN"/>
              </w:rPr>
              <w:t xml:space="preserve"> </w:t>
            </w:r>
            <w:r>
              <w:rPr>
                <w:rFonts w:hint="eastAsia" w:ascii="宋体" w:hAnsi="宋体" w:cs="宋体"/>
                <w:kern w:val="0"/>
                <w:sz w:val="20"/>
                <w:highlight w:val="none"/>
                <w:u w:val="single"/>
                <w:lang w:val="zh-CN" w:bidi="zh-CN"/>
              </w:rPr>
              <w:t>/</w:t>
            </w:r>
            <w:r>
              <w:rPr>
                <w:rFonts w:ascii="宋体" w:hAnsi="宋体" w:cs="宋体"/>
                <w:kern w:val="0"/>
                <w:sz w:val="20"/>
                <w:highlight w:val="none"/>
                <w:u w:val="single"/>
                <w:lang w:val="zh-CN" w:bidi="zh-CN"/>
              </w:rPr>
              <w:tab/>
            </w:r>
            <w:r>
              <w:rPr>
                <w:rFonts w:ascii="宋体" w:hAnsi="宋体" w:cs="宋体"/>
                <w:kern w:val="0"/>
                <w:sz w:val="20"/>
                <w:highlight w:val="none"/>
                <w:u w:val="single"/>
                <w:lang w:val="zh-CN" w:bidi="zh-CN"/>
              </w:rPr>
              <w:t>%</w:t>
            </w:r>
          </w:p>
          <w:p w14:paraId="7ADB37AD">
            <w:pPr>
              <w:tabs>
                <w:tab w:val="left" w:pos="4014"/>
              </w:tabs>
              <w:ind w:left="272"/>
              <w:rPr>
                <w:rFonts w:ascii="宋体" w:hAnsi="宋体" w:cs="宋体"/>
                <w:kern w:val="0"/>
                <w:sz w:val="20"/>
                <w:highlight w:val="none"/>
                <w:lang w:val="zh-CN" w:bidi="zh-CN"/>
              </w:rPr>
            </w:pPr>
            <w:r>
              <w:rPr>
                <w:rFonts w:ascii="宋体" w:hAnsi="宋体" w:cs="宋体"/>
                <w:kern w:val="0"/>
                <w:sz w:val="20"/>
                <w:highlight w:val="none"/>
                <w:lang w:val="zh-CN" w:bidi="zh-CN"/>
              </w:rPr>
              <w:t>合同价格质量保证金的优惠</w:t>
            </w:r>
            <w:r>
              <w:rPr>
                <w:rFonts w:ascii="宋体" w:hAnsi="宋体" w:cs="宋体"/>
                <w:kern w:val="0"/>
                <w:sz w:val="20"/>
                <w:highlight w:val="none"/>
                <w:vertAlign w:val="superscript"/>
                <w:lang w:val="zh-CN" w:bidi="zh-CN"/>
              </w:rPr>
              <w:fldChar w:fldCharType="begin"/>
            </w:r>
            <w:r>
              <w:rPr>
                <w:rFonts w:ascii="宋体" w:hAnsi="宋体" w:cs="宋体"/>
                <w:kern w:val="0"/>
                <w:sz w:val="20"/>
                <w:highlight w:val="none"/>
                <w:vertAlign w:val="superscript"/>
                <w:lang w:val="zh-CN" w:bidi="zh-CN"/>
              </w:rPr>
              <w:instrText xml:space="preserve"> HYPERLINK \l "_bookmark49" </w:instrText>
            </w:r>
            <w:r>
              <w:rPr>
                <w:rFonts w:ascii="宋体" w:hAnsi="宋体" w:cs="宋体"/>
                <w:kern w:val="0"/>
                <w:sz w:val="20"/>
                <w:highlight w:val="none"/>
                <w:vertAlign w:val="superscript"/>
                <w:lang w:val="zh-CN" w:bidi="zh-CN"/>
              </w:rPr>
              <w:fldChar w:fldCharType="separate"/>
            </w:r>
            <w:r>
              <w:rPr>
                <w:rFonts w:ascii="宋体" w:hAnsi="宋体" w:cs="宋体"/>
                <w:kern w:val="0"/>
                <w:sz w:val="20"/>
                <w:highlight w:val="none"/>
                <w:vertAlign w:val="superscript"/>
                <w:lang w:val="zh-CN" w:bidi="zh-CN"/>
              </w:rPr>
              <w:t>⑥</w:t>
            </w:r>
            <w:r>
              <w:rPr>
                <w:rFonts w:ascii="宋体" w:hAnsi="宋体" w:cs="宋体"/>
                <w:kern w:val="0"/>
                <w:sz w:val="20"/>
                <w:highlight w:val="none"/>
                <w:vertAlign w:val="superscript"/>
                <w:lang w:val="zh-CN" w:bidi="zh-CN"/>
              </w:rPr>
              <w:fldChar w:fldCharType="end"/>
            </w:r>
            <w:r>
              <w:rPr>
                <w:rFonts w:ascii="宋体" w:hAnsi="宋体" w:cs="宋体"/>
                <w:kern w:val="0"/>
                <w:sz w:val="20"/>
                <w:highlight w:val="none"/>
                <w:lang w:val="zh-CN" w:bidi="zh-CN"/>
              </w:rPr>
              <w:t xml:space="preserve"> ：</w:t>
            </w:r>
          </w:p>
          <w:p w14:paraId="1D5BA759">
            <w:pPr>
              <w:tabs>
                <w:tab w:val="left" w:pos="4014"/>
              </w:tabs>
              <w:ind w:left="272"/>
              <w:rPr>
                <w:rFonts w:ascii="宋体" w:hAnsi="宋体" w:cs="宋体"/>
                <w:kern w:val="0"/>
                <w:sz w:val="20"/>
                <w:highlight w:val="none"/>
                <w:lang w:val="zh-CN" w:bidi="zh-CN"/>
              </w:rPr>
            </w:pPr>
            <w:r>
              <w:rPr>
                <w:rFonts w:ascii="宋体" w:hAnsi="宋体" w:cs="宋体"/>
                <w:kern w:val="0"/>
                <w:sz w:val="20"/>
                <w:highlight w:val="none"/>
                <w:lang w:val="zh-CN" w:bidi="zh-CN"/>
              </w:rPr>
              <w:t xml:space="preserve">□是，利息的计算方式： </w:t>
            </w:r>
            <w:r>
              <w:rPr>
                <w:rFonts w:ascii="宋体" w:hAnsi="宋体" w:cs="宋体"/>
                <w:kern w:val="0"/>
                <w:sz w:val="20"/>
                <w:highlight w:val="none"/>
                <w:lang w:val="zh-CN" w:bidi="zh-CN"/>
              </w:rPr>
              <w:tab/>
            </w:r>
          </w:p>
          <w:p w14:paraId="4AE0989E">
            <w:pPr>
              <w:tabs>
                <w:tab w:val="left" w:pos="4014"/>
              </w:tabs>
              <w:ind w:left="272"/>
              <w:rPr>
                <w:rFonts w:ascii="宋体" w:hAnsi="宋体" w:cs="宋体"/>
                <w:kern w:val="0"/>
                <w:sz w:val="20"/>
                <w:highlight w:val="none"/>
                <w:lang w:val="zh-CN" w:bidi="zh-CN"/>
              </w:rPr>
            </w:pPr>
            <w:r>
              <w:rPr>
                <w:rFonts w:hint="eastAsia" w:ascii="宋体" w:hAnsi="宋体" w:cs="宋体"/>
                <w:kern w:val="0"/>
                <w:sz w:val="20"/>
                <w:highlight w:val="none"/>
                <w:lang w:val="zh-CN" w:bidi="zh-CN"/>
              </w:rPr>
              <w:t>☑</w:t>
            </w:r>
            <w:r>
              <w:rPr>
                <w:rFonts w:ascii="宋体" w:hAnsi="宋体" w:cs="宋体"/>
                <w:kern w:val="0"/>
                <w:sz w:val="20"/>
                <w:highlight w:val="none"/>
                <w:lang w:val="zh-CN" w:bidi="zh-CN"/>
              </w:rPr>
              <w:t>否</w:t>
            </w:r>
          </w:p>
        </w:tc>
      </w:tr>
      <w:tr w14:paraId="69CF4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noWrap w:val="0"/>
            <w:vAlign w:val="top"/>
          </w:tcPr>
          <w:p w14:paraId="72B2CF84">
            <w:pPr>
              <w:rPr>
                <w:rFonts w:ascii="宋体" w:hAnsi="宋体" w:cs="宋体"/>
                <w:kern w:val="0"/>
                <w:sz w:val="20"/>
                <w:highlight w:val="none"/>
                <w:lang w:val="zh-CN" w:bidi="zh-CN"/>
              </w:rPr>
            </w:pPr>
          </w:p>
        </w:tc>
        <w:tc>
          <w:tcPr>
            <w:tcW w:w="8232" w:type="dxa"/>
            <w:noWrap w:val="0"/>
            <w:vAlign w:val="top"/>
          </w:tcPr>
          <w:p w14:paraId="7184252F">
            <w:pPr>
              <w:tabs>
                <w:tab w:val="left" w:pos="4014"/>
              </w:tabs>
              <w:ind w:left="272"/>
              <w:rPr>
                <w:rFonts w:hint="eastAsia" w:ascii="宋体" w:hAnsi="宋体" w:cs="宋体"/>
                <w:kern w:val="0"/>
                <w:sz w:val="20"/>
                <w:highlight w:val="none"/>
                <w:lang w:val="zh-CN" w:bidi="zh-CN"/>
              </w:rPr>
            </w:pPr>
            <w:r>
              <w:rPr>
                <w:rFonts w:hint="eastAsia" w:ascii="宋体" w:hAnsi="宋体" w:cs="宋体"/>
                <w:kern w:val="0"/>
                <w:sz w:val="20"/>
                <w:highlight w:val="none"/>
                <w:lang w:val="zh-CN" w:bidi="zh-CN"/>
              </w:rPr>
              <w:t>承包人向监理人提交交工付款申请单(包括相关证明材料)的份数：1份</w:t>
            </w:r>
          </w:p>
        </w:tc>
      </w:tr>
      <w:tr w14:paraId="340F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noWrap w:val="0"/>
            <w:vAlign w:val="top"/>
          </w:tcPr>
          <w:p w14:paraId="04C44356">
            <w:pPr>
              <w:ind w:left="356" w:right="346"/>
              <w:jc w:val="center"/>
              <w:rPr>
                <w:rFonts w:ascii="Times New Roman" w:hAnsi="宋体" w:cs="宋体"/>
                <w:kern w:val="0"/>
                <w:sz w:val="20"/>
                <w:highlight w:val="none"/>
                <w:lang w:val="zh-CN" w:bidi="zh-CN"/>
              </w:rPr>
            </w:pPr>
          </w:p>
        </w:tc>
        <w:tc>
          <w:tcPr>
            <w:tcW w:w="8232" w:type="dxa"/>
            <w:noWrap w:val="0"/>
            <w:vAlign w:val="top"/>
          </w:tcPr>
          <w:p w14:paraId="7089DD11">
            <w:pPr>
              <w:tabs>
                <w:tab w:val="left" w:pos="4014"/>
              </w:tabs>
              <w:ind w:left="272"/>
              <w:rPr>
                <w:rFonts w:hint="eastAsia" w:ascii="宋体" w:hAnsi="宋体" w:cs="宋体"/>
                <w:kern w:val="0"/>
                <w:sz w:val="20"/>
                <w:highlight w:val="none"/>
                <w:lang w:val="zh-CN" w:bidi="zh-CN"/>
              </w:rPr>
            </w:pPr>
            <w:r>
              <w:rPr>
                <w:rFonts w:hint="eastAsia" w:ascii="宋体" w:hAnsi="宋体" w:cs="宋体"/>
                <w:kern w:val="0"/>
                <w:sz w:val="20"/>
                <w:highlight w:val="none"/>
                <w:lang w:val="zh-CN" w:bidi="zh-CN"/>
              </w:rPr>
              <w:t>承包人向监理人提交最终结清申请单(包括相关证明材料)的份数：1份</w:t>
            </w:r>
          </w:p>
        </w:tc>
      </w:tr>
      <w:tr w14:paraId="1B63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noWrap w:val="0"/>
            <w:vAlign w:val="center"/>
          </w:tcPr>
          <w:p w14:paraId="461BF679">
            <w:pPr>
              <w:ind w:left="356" w:right="346"/>
              <w:jc w:val="center"/>
              <w:rPr>
                <w:rFonts w:ascii="Times New Roman" w:hAnsi="宋体" w:cs="宋体"/>
                <w:kern w:val="0"/>
                <w:sz w:val="20"/>
                <w:highlight w:val="none"/>
                <w:lang w:val="zh-CN" w:bidi="zh-CN"/>
              </w:rPr>
            </w:pPr>
            <w:r>
              <w:rPr>
                <w:rFonts w:hint="eastAsia" w:ascii="Times New Roman" w:hAnsi="宋体" w:cs="宋体"/>
                <w:kern w:val="0"/>
                <w:sz w:val="20"/>
                <w:highlight w:val="none"/>
                <w:lang w:val="zh-CN" w:bidi="zh-CN"/>
              </w:rPr>
              <w:t>11.2</w:t>
            </w:r>
          </w:p>
        </w:tc>
        <w:tc>
          <w:tcPr>
            <w:tcW w:w="8232" w:type="dxa"/>
            <w:noWrap w:val="0"/>
            <w:vAlign w:val="center"/>
          </w:tcPr>
          <w:p w14:paraId="04C19324">
            <w:pPr>
              <w:tabs>
                <w:tab w:val="left" w:pos="4014"/>
              </w:tabs>
              <w:ind w:left="272"/>
              <w:rPr>
                <w:rFonts w:hint="eastAsia" w:ascii="宋体" w:hAnsi="宋体" w:cs="宋体"/>
                <w:kern w:val="0"/>
                <w:sz w:val="20"/>
                <w:highlight w:val="none"/>
                <w:lang w:val="zh-CN" w:bidi="zh-CN"/>
              </w:rPr>
            </w:pPr>
            <w:r>
              <w:rPr>
                <w:rFonts w:hint="eastAsia" w:ascii="宋体" w:hAnsi="宋体" w:cs="宋体"/>
                <w:kern w:val="0"/>
                <w:sz w:val="20"/>
                <w:highlight w:val="none"/>
                <w:lang w:val="zh-CN" w:bidi="zh-CN"/>
              </w:rPr>
              <w:t>竣工资料的份数：原始资料 1 份，复印件 2 份，电子文件（光盘或 U 盘）2份</w:t>
            </w:r>
          </w:p>
        </w:tc>
      </w:tr>
      <w:tr w14:paraId="174B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noWrap w:val="0"/>
            <w:vAlign w:val="center"/>
          </w:tcPr>
          <w:p w14:paraId="3034F20B">
            <w:pPr>
              <w:ind w:left="356" w:right="346"/>
              <w:jc w:val="center"/>
              <w:rPr>
                <w:rFonts w:ascii="Times New Roman" w:hAnsi="宋体" w:cs="宋体"/>
                <w:kern w:val="0"/>
                <w:sz w:val="20"/>
                <w:highlight w:val="none"/>
                <w:lang w:val="zh-CN" w:bidi="zh-CN"/>
              </w:rPr>
            </w:pPr>
            <w:r>
              <w:rPr>
                <w:rFonts w:hint="eastAsia" w:ascii="Times New Roman" w:hAnsi="宋体" w:cs="宋体"/>
                <w:kern w:val="0"/>
                <w:sz w:val="20"/>
                <w:highlight w:val="none"/>
                <w:lang w:val="zh-CN" w:bidi="zh-CN"/>
              </w:rPr>
              <w:t>11.5</w:t>
            </w:r>
          </w:p>
        </w:tc>
        <w:tc>
          <w:tcPr>
            <w:tcW w:w="8232" w:type="dxa"/>
            <w:noWrap w:val="0"/>
            <w:vAlign w:val="center"/>
          </w:tcPr>
          <w:p w14:paraId="6BED087B">
            <w:pPr>
              <w:tabs>
                <w:tab w:val="left" w:pos="4014"/>
              </w:tabs>
              <w:ind w:left="272"/>
              <w:rPr>
                <w:rFonts w:ascii="宋体" w:hAnsi="宋体" w:cs="宋体"/>
                <w:kern w:val="0"/>
                <w:sz w:val="20"/>
                <w:highlight w:val="none"/>
                <w:lang w:val="zh-CN" w:bidi="zh-CN"/>
              </w:rPr>
            </w:pPr>
            <w:r>
              <w:rPr>
                <w:rFonts w:hint="eastAsia" w:ascii="宋体" w:hAnsi="宋体" w:cs="宋体"/>
                <w:kern w:val="0"/>
                <w:sz w:val="20"/>
                <w:highlight w:val="none"/>
                <w:lang w:val="zh-CN" w:bidi="zh-CN"/>
              </w:rPr>
              <w:t xml:space="preserve">单位工程是否需投入施工期运行： </w:t>
            </w:r>
            <w:r>
              <w:rPr>
                <w:rFonts w:hint="eastAsia" w:ascii="宋体" w:hAnsi="宋体" w:cs="宋体"/>
                <w:kern w:val="0"/>
                <w:sz w:val="20"/>
                <w:highlight w:val="none"/>
                <w:lang w:bidi="zh-CN"/>
              </w:rPr>
              <w:t>否</w:t>
            </w:r>
          </w:p>
          <w:p w14:paraId="09E46866">
            <w:pPr>
              <w:tabs>
                <w:tab w:val="left" w:pos="4014"/>
              </w:tabs>
              <w:ind w:left="272"/>
              <w:rPr>
                <w:rFonts w:hint="eastAsia" w:ascii="宋体" w:hAnsi="宋体" w:cs="宋体"/>
                <w:kern w:val="0"/>
                <w:sz w:val="20"/>
                <w:highlight w:val="none"/>
                <w:lang w:bidi="zh-CN"/>
              </w:rPr>
            </w:pPr>
            <w:r>
              <w:rPr>
                <w:rFonts w:hint="eastAsia" w:ascii="宋体" w:hAnsi="宋体" w:cs="宋体"/>
                <w:kern w:val="0"/>
                <w:sz w:val="20"/>
                <w:highlight w:val="none"/>
                <w:lang w:val="zh-CN" w:bidi="zh-CN"/>
              </w:rPr>
              <w:t xml:space="preserve">如单位工程需要进行施工期运行，需要施工期运行的单位工程规定如下： </w:t>
            </w:r>
            <w:r>
              <w:rPr>
                <w:rFonts w:hint="eastAsia" w:ascii="宋体" w:hAnsi="宋体" w:cs="宋体"/>
                <w:kern w:val="0"/>
                <w:sz w:val="20"/>
                <w:highlight w:val="none"/>
                <w:lang w:bidi="zh-CN"/>
              </w:rPr>
              <w:t xml:space="preserve">/ </w:t>
            </w:r>
          </w:p>
        </w:tc>
      </w:tr>
      <w:tr w14:paraId="7FE5C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noWrap w:val="0"/>
            <w:vAlign w:val="center"/>
          </w:tcPr>
          <w:p w14:paraId="6C64ACE1">
            <w:pPr>
              <w:ind w:left="356" w:right="346"/>
              <w:jc w:val="center"/>
              <w:rPr>
                <w:rFonts w:hint="eastAsia" w:ascii="Times New Roman" w:hAnsi="宋体" w:cs="宋体"/>
                <w:kern w:val="0"/>
                <w:sz w:val="20"/>
                <w:highlight w:val="none"/>
                <w:lang w:val="zh-CN" w:bidi="zh-CN"/>
              </w:rPr>
            </w:pPr>
            <w:r>
              <w:rPr>
                <w:rFonts w:hint="eastAsia" w:ascii="Times New Roman" w:hAnsi="宋体" w:cs="宋体"/>
                <w:kern w:val="0"/>
                <w:sz w:val="20"/>
                <w:highlight w:val="none"/>
                <w:lang w:val="zh-CN" w:bidi="zh-CN"/>
              </w:rPr>
              <w:t>11.6</w:t>
            </w:r>
          </w:p>
        </w:tc>
        <w:tc>
          <w:tcPr>
            <w:tcW w:w="8232" w:type="dxa"/>
            <w:noWrap w:val="0"/>
            <w:vAlign w:val="top"/>
          </w:tcPr>
          <w:p w14:paraId="6D11FB54">
            <w:pPr>
              <w:tabs>
                <w:tab w:val="left" w:pos="4014"/>
              </w:tabs>
              <w:ind w:left="272"/>
              <w:rPr>
                <w:rFonts w:hint="eastAsia" w:ascii="宋体" w:hAnsi="宋体" w:cs="宋体"/>
                <w:kern w:val="0"/>
                <w:sz w:val="20"/>
                <w:highlight w:val="none"/>
                <w:lang w:val="zh-CN" w:bidi="zh-CN"/>
              </w:rPr>
            </w:pPr>
            <w:r>
              <w:rPr>
                <w:rFonts w:hint="eastAsia" w:ascii="宋体" w:hAnsi="宋体" w:cs="宋体"/>
                <w:kern w:val="0"/>
                <w:sz w:val="20"/>
                <w:highlight w:val="none"/>
                <w:lang w:val="zh-CN" w:bidi="zh-CN"/>
              </w:rPr>
              <w:t xml:space="preserve">本工程是否进行试运行： </w:t>
            </w:r>
            <w:r>
              <w:rPr>
                <w:rFonts w:hint="eastAsia" w:ascii="宋体" w:hAnsi="宋体" w:cs="宋体"/>
                <w:kern w:val="0"/>
                <w:sz w:val="20"/>
                <w:highlight w:val="none"/>
                <w:lang w:bidi="zh-CN"/>
              </w:rPr>
              <w:t>否</w:t>
            </w:r>
          </w:p>
          <w:p w14:paraId="332B3B6B">
            <w:pPr>
              <w:tabs>
                <w:tab w:val="left" w:pos="4014"/>
              </w:tabs>
              <w:ind w:left="272"/>
              <w:rPr>
                <w:rFonts w:hint="eastAsia" w:ascii="宋体" w:hAnsi="宋体" w:cs="宋体"/>
                <w:kern w:val="0"/>
                <w:sz w:val="20"/>
                <w:highlight w:val="none"/>
                <w:lang w:bidi="zh-CN"/>
              </w:rPr>
            </w:pPr>
            <w:r>
              <w:rPr>
                <w:rFonts w:hint="eastAsia" w:ascii="宋体" w:hAnsi="宋体" w:cs="宋体"/>
                <w:kern w:val="0"/>
                <w:sz w:val="20"/>
                <w:highlight w:val="none"/>
                <w:lang w:val="zh-CN" w:bidi="zh-CN"/>
              </w:rPr>
              <w:t xml:space="preserve">如本工程需要进行试运行，试运行的具体规定如下： </w:t>
            </w:r>
            <w:r>
              <w:rPr>
                <w:rFonts w:hint="eastAsia" w:ascii="宋体" w:hAnsi="宋体" w:cs="宋体"/>
                <w:kern w:val="0"/>
                <w:sz w:val="20"/>
                <w:highlight w:val="none"/>
                <w:lang w:bidi="zh-CN"/>
              </w:rPr>
              <w:t xml:space="preserve">/ </w:t>
            </w:r>
          </w:p>
        </w:tc>
      </w:tr>
      <w:tr w14:paraId="432D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noWrap w:val="0"/>
            <w:vAlign w:val="center"/>
          </w:tcPr>
          <w:p w14:paraId="4A9F34DE">
            <w:pPr>
              <w:ind w:left="356" w:right="346"/>
              <w:jc w:val="center"/>
              <w:rPr>
                <w:rFonts w:hint="eastAsia" w:ascii="Times New Roman" w:hAnsi="宋体" w:cs="宋体"/>
                <w:kern w:val="0"/>
                <w:sz w:val="20"/>
                <w:highlight w:val="none"/>
                <w:lang w:val="zh-CN" w:bidi="zh-CN"/>
              </w:rPr>
            </w:pPr>
            <w:r>
              <w:rPr>
                <w:rFonts w:hint="eastAsia" w:ascii="Times New Roman" w:hAnsi="宋体" w:cs="宋体"/>
                <w:kern w:val="0"/>
                <w:sz w:val="20"/>
                <w:highlight w:val="none"/>
                <w:lang w:val="zh-CN" w:bidi="zh-CN"/>
              </w:rPr>
              <w:t>21.5</w:t>
            </w:r>
          </w:p>
        </w:tc>
        <w:tc>
          <w:tcPr>
            <w:tcW w:w="8232" w:type="dxa"/>
            <w:noWrap w:val="0"/>
            <w:vAlign w:val="center"/>
          </w:tcPr>
          <w:p w14:paraId="664671C1">
            <w:pPr>
              <w:tabs>
                <w:tab w:val="left" w:pos="4014"/>
              </w:tabs>
              <w:ind w:left="272"/>
              <w:rPr>
                <w:rFonts w:hint="eastAsia" w:ascii="宋体" w:hAnsi="宋体" w:cs="宋体"/>
                <w:kern w:val="0"/>
                <w:sz w:val="20"/>
                <w:highlight w:val="none"/>
                <w:lang w:val="zh-CN" w:bidi="zh-CN"/>
              </w:rPr>
            </w:pPr>
            <w:r>
              <w:rPr>
                <w:rFonts w:hint="eastAsia" w:ascii="宋体" w:hAnsi="宋体" w:cs="宋体"/>
                <w:kern w:val="0"/>
                <w:sz w:val="20"/>
                <w:highlight w:val="none"/>
                <w:lang w:val="zh-CN" w:bidi="zh-CN"/>
              </w:rPr>
              <w:t>保修期：自实际交工日期起计算</w:t>
            </w:r>
            <w:r>
              <w:rPr>
                <w:rFonts w:hint="eastAsia" w:ascii="宋体" w:hAnsi="宋体" w:cs="宋体"/>
                <w:kern w:val="0"/>
                <w:sz w:val="20"/>
                <w:highlight w:val="none"/>
                <w:u w:val="single"/>
                <w:lang w:val="zh-CN" w:bidi="zh-CN"/>
              </w:rPr>
              <w:t xml:space="preserve"> </w:t>
            </w:r>
            <w:r>
              <w:rPr>
                <w:rFonts w:hint="eastAsia" w:ascii="宋体" w:hAnsi="宋体" w:cs="宋体"/>
                <w:kern w:val="0"/>
                <w:sz w:val="20"/>
                <w:highlight w:val="none"/>
                <w:u w:val="single"/>
                <w:lang w:bidi="zh-CN"/>
              </w:rPr>
              <w:t xml:space="preserve">1 </w:t>
            </w:r>
            <w:r>
              <w:rPr>
                <w:rFonts w:hint="eastAsia" w:ascii="宋体" w:hAnsi="宋体" w:cs="宋体"/>
                <w:kern w:val="0"/>
                <w:sz w:val="20"/>
                <w:highlight w:val="none"/>
                <w:lang w:val="zh-CN" w:bidi="zh-CN"/>
              </w:rPr>
              <w:t>年</w:t>
            </w:r>
          </w:p>
        </w:tc>
      </w:tr>
      <w:tr w14:paraId="1C87A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noWrap w:val="0"/>
            <w:vAlign w:val="center"/>
          </w:tcPr>
          <w:p w14:paraId="1E8860C4">
            <w:pPr>
              <w:ind w:left="356" w:right="346"/>
              <w:jc w:val="center"/>
              <w:rPr>
                <w:rFonts w:hint="eastAsia" w:ascii="Times New Roman" w:hAnsi="宋体" w:cs="宋体"/>
                <w:kern w:val="0"/>
                <w:sz w:val="20"/>
                <w:highlight w:val="none"/>
                <w:lang w:val="zh-CN" w:bidi="zh-CN"/>
              </w:rPr>
            </w:pPr>
            <w:r>
              <w:rPr>
                <w:rFonts w:hint="eastAsia" w:ascii="Times New Roman" w:hAnsi="宋体" w:cs="宋体"/>
                <w:kern w:val="0"/>
                <w:sz w:val="20"/>
                <w:highlight w:val="none"/>
                <w:lang w:val="zh-CN" w:bidi="zh-CN"/>
              </w:rPr>
              <w:t>24.2(3)</w:t>
            </w:r>
          </w:p>
        </w:tc>
        <w:tc>
          <w:tcPr>
            <w:tcW w:w="8232" w:type="dxa"/>
            <w:noWrap w:val="0"/>
            <w:vAlign w:val="top"/>
          </w:tcPr>
          <w:p w14:paraId="2177ED85">
            <w:pPr>
              <w:tabs>
                <w:tab w:val="left" w:pos="4014"/>
              </w:tabs>
              <w:ind w:left="272"/>
              <w:rPr>
                <w:rFonts w:hint="eastAsia" w:ascii="宋体" w:hAnsi="宋体" w:cs="宋体"/>
                <w:kern w:val="0"/>
                <w:sz w:val="20"/>
                <w:highlight w:val="none"/>
                <w:lang w:val="zh-CN" w:bidi="zh-CN"/>
              </w:rPr>
            </w:pPr>
            <w:r>
              <w:rPr>
                <w:rFonts w:hint="eastAsia" w:ascii="宋体" w:hAnsi="宋体" w:cs="宋体"/>
                <w:kern w:val="0"/>
                <w:sz w:val="20"/>
                <w:highlight w:val="none"/>
                <w:lang w:val="zh-CN" w:bidi="zh-CN"/>
              </w:rPr>
              <w:t>争议的最终解决方式：诉讼</w:t>
            </w:r>
          </w:p>
          <w:p w14:paraId="72E55EAB">
            <w:pPr>
              <w:tabs>
                <w:tab w:val="left" w:pos="4014"/>
              </w:tabs>
              <w:ind w:left="272"/>
              <w:rPr>
                <w:rFonts w:hint="eastAsia" w:ascii="宋体" w:hAnsi="宋体" w:cs="宋体"/>
                <w:kern w:val="0"/>
                <w:sz w:val="20"/>
                <w:highlight w:val="none"/>
                <w:lang w:val="zh-CN" w:bidi="zh-CN"/>
              </w:rPr>
            </w:pPr>
            <w:r>
              <w:rPr>
                <w:rFonts w:hint="eastAsia" w:ascii="宋体" w:hAnsi="宋体" w:cs="宋体"/>
                <w:kern w:val="0"/>
                <w:sz w:val="20"/>
                <w:highlight w:val="none"/>
                <w:lang w:val="zh-CN" w:bidi="zh-CN"/>
              </w:rPr>
              <w:t xml:space="preserve">如采用仲裁，仲裁委员会名称： </w:t>
            </w:r>
            <w:r>
              <w:rPr>
                <w:rFonts w:hint="eastAsia" w:ascii="宋体" w:hAnsi="宋体" w:cs="宋体"/>
                <w:kern w:val="0"/>
                <w:sz w:val="20"/>
                <w:highlight w:val="none"/>
                <w:lang w:bidi="zh-CN"/>
              </w:rPr>
              <w:t>/</w:t>
            </w:r>
            <w:r>
              <w:rPr>
                <w:rFonts w:hint="eastAsia" w:ascii="宋体" w:hAnsi="宋体" w:cs="宋体"/>
                <w:kern w:val="0"/>
                <w:sz w:val="20"/>
                <w:highlight w:val="none"/>
                <w:lang w:val="zh-CN" w:bidi="zh-CN"/>
              </w:rPr>
              <w:tab/>
            </w:r>
          </w:p>
        </w:tc>
      </w:tr>
    </w:tbl>
    <w:p w14:paraId="5A80DEC3">
      <w:pPr>
        <w:autoSpaceDE w:val="0"/>
        <w:autoSpaceDN w:val="0"/>
        <w:spacing w:line="360" w:lineRule="auto"/>
        <w:ind w:firstLine="400" w:firstLineChars="200"/>
        <w:jc w:val="left"/>
        <w:rPr>
          <w:rFonts w:ascii="宋体" w:hAnsi="宋体" w:cs="宋体"/>
          <w:kern w:val="0"/>
          <w:sz w:val="20"/>
          <w:szCs w:val="20"/>
          <w:highlight w:val="none"/>
          <w:lang w:val="zh-CN" w:bidi="zh-CN"/>
        </w:rPr>
      </w:pPr>
      <w:r>
        <w:rPr>
          <w:rFonts w:hint="eastAsia" w:ascii="宋体" w:hAnsi="宋体" w:cs="宋体"/>
          <w:kern w:val="0"/>
          <w:sz w:val="20"/>
          <w:szCs w:val="21"/>
          <w:highlight w:val="none"/>
          <w:lang w:val="zh-CN" w:bidi="zh-CN"/>
        </w:rPr>
        <w:t>说明：招标人编制的“项目合同条款”不限于本部分所列内容。</w:t>
      </w:r>
    </w:p>
    <w:p w14:paraId="1FD271FA">
      <w:pPr>
        <w:keepNext/>
        <w:keepLines/>
        <w:widowControl/>
        <w:numPr>
          <w:ilvl w:val="0"/>
          <w:numId w:val="9"/>
        </w:numPr>
        <w:spacing w:before="260" w:after="260" w:line="415" w:lineRule="auto"/>
        <w:jc w:val="center"/>
        <w:outlineLvl w:val="1"/>
        <w:rPr>
          <w:rFonts w:ascii="Cambria" w:hAnsi="Cambria"/>
          <w:b/>
          <w:bCs/>
          <w:kern w:val="28"/>
          <w:sz w:val="32"/>
          <w:szCs w:val="32"/>
          <w:lang w:val="zh-CN" w:bidi="zh-CN"/>
        </w:rPr>
      </w:pPr>
      <w:bookmarkStart w:id="154" w:name="_Toc256000073"/>
      <w:r>
        <w:rPr>
          <w:rFonts w:ascii="Cambria" w:hAnsi="Cambria"/>
          <w:b/>
          <w:bCs/>
          <w:kern w:val="28"/>
          <w:sz w:val="32"/>
          <w:szCs w:val="32"/>
          <w:lang w:val="zh-CN" w:bidi="zh-CN"/>
        </w:rPr>
        <w:t>合同附件格式</w:t>
      </w:r>
      <w:bookmarkEnd w:id="154"/>
    </w:p>
    <w:p w14:paraId="714CED06">
      <w:pPr>
        <w:keepNext/>
        <w:keepLines/>
        <w:widowControl/>
        <w:spacing w:before="260" w:after="260" w:line="415" w:lineRule="auto"/>
        <w:jc w:val="left"/>
        <w:outlineLvl w:val="2"/>
        <w:rPr>
          <w:rFonts w:ascii="宋体" w:hAnsi="宋体" w:cs="宋体"/>
          <w:b/>
          <w:bCs/>
          <w:kern w:val="0"/>
          <w:szCs w:val="21"/>
          <w:lang w:val="zh-CN" w:bidi="zh-CN"/>
        </w:rPr>
      </w:pPr>
      <w:r>
        <w:rPr>
          <w:rFonts w:ascii="宋体" w:hAnsi="宋体" w:cs="宋体"/>
          <w:b/>
          <w:bCs/>
          <w:kern w:val="0"/>
          <w:szCs w:val="21"/>
          <w:lang w:val="zh-CN" w:bidi="zh-CN"/>
        </w:rPr>
        <w:t>附件一</w:t>
      </w:r>
      <w:r>
        <w:rPr>
          <w:rFonts w:ascii="宋体" w:hAnsi="宋体" w:cs="宋体"/>
          <w:b/>
          <w:bCs/>
          <w:kern w:val="0"/>
          <w:szCs w:val="21"/>
          <w:lang w:val="zh-CN" w:bidi="zh-CN"/>
        </w:rPr>
        <w:tab/>
      </w:r>
      <w:r>
        <w:rPr>
          <w:rFonts w:ascii="宋体" w:hAnsi="宋体" w:cs="宋体"/>
          <w:b/>
          <w:bCs/>
          <w:kern w:val="0"/>
          <w:szCs w:val="21"/>
          <w:lang w:val="zh-CN" w:bidi="zh-CN"/>
        </w:rPr>
        <w:t>合同协议书</w:t>
      </w:r>
    </w:p>
    <w:p w14:paraId="42821956">
      <w:pPr>
        <w:autoSpaceDE w:val="0"/>
        <w:autoSpaceDN w:val="0"/>
        <w:spacing w:line="360" w:lineRule="auto"/>
        <w:ind w:firstLine="420" w:firstLineChars="200"/>
        <w:jc w:val="left"/>
        <w:rPr>
          <w:rFonts w:ascii="宋体" w:hAnsi="宋体" w:cs="宋体"/>
          <w:kern w:val="0"/>
          <w:szCs w:val="21"/>
          <w:lang w:val="zh-CN" w:bidi="zh-CN"/>
        </w:rPr>
      </w:pPr>
    </w:p>
    <w:p w14:paraId="25F961B1">
      <w:pPr>
        <w:autoSpaceDE w:val="0"/>
        <w:autoSpaceDN w:val="0"/>
        <w:spacing w:line="360" w:lineRule="auto"/>
        <w:ind w:left="473" w:right="556" w:firstLine="420" w:firstLineChars="200"/>
        <w:jc w:val="center"/>
        <w:rPr>
          <w:rFonts w:ascii="宋体" w:hAnsi="宋体" w:cs="宋体"/>
          <w:kern w:val="0"/>
          <w:szCs w:val="21"/>
          <w:lang w:val="zh-CN" w:bidi="zh-CN"/>
        </w:rPr>
      </w:pPr>
      <w:r>
        <w:rPr>
          <w:rFonts w:ascii="宋体" w:hAnsi="宋体" w:cs="宋体"/>
          <w:kern w:val="0"/>
          <w:szCs w:val="21"/>
          <w:lang w:val="zh-CN" w:bidi="zh-CN"/>
        </w:rPr>
        <w:t>合同协议书</w:t>
      </w:r>
    </w:p>
    <w:p w14:paraId="5807178A">
      <w:pPr>
        <w:tabs>
          <w:tab w:val="left" w:pos="3203"/>
          <w:tab w:val="left" w:pos="8975"/>
        </w:tabs>
        <w:autoSpaceDE w:val="0"/>
        <w:autoSpaceDN w:val="0"/>
        <w:spacing w:before="221" w:line="360" w:lineRule="auto"/>
        <w:ind w:left="864" w:firstLine="420" w:firstLineChars="200"/>
        <w:jc w:val="left"/>
        <w:rPr>
          <w:rFonts w:ascii="宋体" w:hAnsi="宋体" w:cs="宋体"/>
          <w:kern w:val="0"/>
          <w:szCs w:val="21"/>
          <w:lang w:val="zh-CN" w:bidi="zh-CN"/>
        </w:rPr>
      </w:pPr>
      <w:r>
        <w:rPr>
          <w:rFonts w:ascii="宋体" w:hAnsi="宋体" w:cs="宋体"/>
          <w:kern w:val="0"/>
          <w:szCs w:val="21"/>
          <w:u w:val="single"/>
          <w:lang w:val="zh-CN" w:bidi="zh-CN"/>
        </w:rPr>
        <w:tab/>
      </w:r>
      <w:r>
        <w:rPr>
          <w:rFonts w:ascii="宋体" w:hAnsi="宋体" w:cs="宋体"/>
          <w:kern w:val="0"/>
          <w:szCs w:val="21"/>
          <w:lang w:val="zh-CN" w:bidi="zh-CN"/>
        </w:rPr>
        <w:t xml:space="preserve"> </w:t>
      </w:r>
      <w:r>
        <w:rPr>
          <w:rFonts w:ascii="宋体" w:hAnsi="宋体" w:cs="宋体"/>
          <w:spacing w:val="-1"/>
          <w:kern w:val="0"/>
          <w:szCs w:val="21"/>
          <w:lang w:val="zh-CN" w:bidi="zh-CN"/>
        </w:rPr>
        <w:t>(发</w:t>
      </w:r>
      <w:r>
        <w:rPr>
          <w:rFonts w:ascii="宋体" w:hAnsi="宋体" w:cs="宋体"/>
          <w:kern w:val="0"/>
          <w:szCs w:val="21"/>
          <w:lang w:val="zh-CN" w:bidi="zh-CN"/>
        </w:rPr>
        <w:t>包人名称，以下简称“发包人”)为实施</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p>
    <w:p w14:paraId="574F3B4F">
      <w:pPr>
        <w:tabs>
          <w:tab w:val="left" w:pos="1523"/>
          <w:tab w:val="left" w:pos="4382"/>
          <w:tab w:val="left" w:pos="9119"/>
        </w:tabs>
        <w:autoSpaceDE w:val="0"/>
        <w:autoSpaceDN w:val="0"/>
        <w:spacing w:before="84" w:line="360" w:lineRule="auto"/>
        <w:ind w:left="384" w:firstLine="420" w:firstLineChars="200"/>
        <w:jc w:val="left"/>
        <w:rPr>
          <w:rFonts w:ascii="宋体" w:hAnsi="宋体" w:cs="宋体"/>
          <w:kern w:val="0"/>
          <w:szCs w:val="21"/>
          <w:lang w:val="zh-CN" w:bidi="zh-CN"/>
        </w:rPr>
      </w:pP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 xml:space="preserve"> (项目名称)，已接受</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spacing w:val="-1"/>
          <w:kern w:val="0"/>
          <w:szCs w:val="21"/>
          <w:lang w:val="zh-CN" w:bidi="zh-CN"/>
        </w:rPr>
        <w:t>(</w:t>
      </w:r>
      <w:r>
        <w:rPr>
          <w:rFonts w:ascii="宋体" w:hAnsi="宋体" w:cs="宋体"/>
          <w:kern w:val="0"/>
          <w:szCs w:val="21"/>
          <w:lang w:val="zh-CN" w:bidi="zh-CN"/>
        </w:rPr>
        <w:t>承包人名称，以下简称“承包人”)对该项目</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p>
    <w:p w14:paraId="00756A93">
      <w:pPr>
        <w:tabs>
          <w:tab w:val="left" w:pos="2303"/>
        </w:tabs>
        <w:autoSpaceDE w:val="0"/>
        <w:autoSpaceDN w:val="0"/>
        <w:spacing w:before="84" w:line="360" w:lineRule="auto"/>
        <w:ind w:left="384" w:firstLine="420" w:firstLineChars="200"/>
        <w:jc w:val="left"/>
        <w:rPr>
          <w:rFonts w:ascii="宋体" w:hAnsi="宋体" w:cs="宋体"/>
          <w:kern w:val="0"/>
          <w:szCs w:val="21"/>
          <w:lang w:val="zh-CN" w:bidi="zh-CN"/>
        </w:rPr>
      </w:pP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标段施工的投标。发包人和承包人共同达成如下协议：</w:t>
      </w:r>
    </w:p>
    <w:p w14:paraId="145BA853">
      <w:pPr>
        <w:tabs>
          <w:tab w:val="left" w:pos="1343"/>
          <w:tab w:val="left" w:pos="1763"/>
          <w:tab w:val="left" w:pos="2063"/>
          <w:tab w:val="left" w:pos="2776"/>
          <w:tab w:val="left" w:pos="2843"/>
          <w:tab w:val="left" w:pos="3196"/>
          <w:tab w:val="left" w:pos="3916"/>
          <w:tab w:val="left" w:pos="4211"/>
          <w:tab w:val="left" w:pos="4288"/>
          <w:tab w:val="left" w:pos="4871"/>
          <w:tab w:val="left" w:pos="5171"/>
          <w:tab w:val="left" w:pos="5591"/>
          <w:tab w:val="left" w:pos="5787"/>
          <w:tab w:val="left" w:pos="6752"/>
          <w:tab w:val="left" w:pos="6847"/>
          <w:tab w:val="left" w:pos="8341"/>
          <w:tab w:val="left" w:pos="8939"/>
        </w:tabs>
        <w:autoSpaceDE w:val="0"/>
        <w:autoSpaceDN w:val="0"/>
        <w:spacing w:before="86" w:line="360" w:lineRule="auto"/>
        <w:ind w:left="384" w:right="346" w:firstLine="420" w:firstLineChars="200"/>
        <w:jc w:val="left"/>
        <w:rPr>
          <w:rFonts w:ascii="宋体" w:hAnsi="宋体" w:cs="宋体"/>
          <w:kern w:val="0"/>
          <w:szCs w:val="21"/>
          <w:lang w:val="zh-CN" w:bidi="zh-CN"/>
        </w:rPr>
      </w:pPr>
      <w:r>
        <w:rPr>
          <w:rFonts w:ascii="宋体" w:hAnsi="宋体" w:cs="宋体"/>
          <w:kern w:val="0"/>
          <w:szCs w:val="21"/>
          <w:lang w:val="zh-CN" w:bidi="zh-CN"/>
        </w:rPr>
        <w:t>1.第</w:t>
      </w:r>
      <w:r>
        <w:rPr>
          <w:rFonts w:ascii="宋体" w:hAnsi="宋体" w:cs="宋体"/>
          <w:kern w:val="0"/>
          <w:szCs w:val="21"/>
          <w:u w:val="single"/>
          <w:lang w:val="zh-CN" w:bidi="zh-CN"/>
        </w:rPr>
        <w:t xml:space="preserve"> </w:t>
      </w:r>
      <w:r>
        <w:rPr>
          <w:rFonts w:hint="eastAsia" w:ascii="宋体" w:hAnsi="宋体" w:cs="宋体"/>
          <w:kern w:val="0"/>
          <w:szCs w:val="21"/>
          <w:u w:val="single"/>
          <w:lang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标段由</w:t>
      </w:r>
      <w:r>
        <w:rPr>
          <w:rFonts w:ascii="宋体" w:hAnsi="宋体" w:cs="宋体"/>
          <w:spacing w:val="-60"/>
          <w:kern w:val="0"/>
          <w:szCs w:val="21"/>
          <w:lang w:val="zh-CN" w:bidi="zh-CN"/>
        </w:rPr>
        <w:t xml:space="preserve"> </w:t>
      </w:r>
      <w:r>
        <w:rPr>
          <w:rFonts w:ascii="宋体" w:hAnsi="宋体" w:cs="宋体"/>
          <w:spacing w:val="-2"/>
          <w:kern w:val="0"/>
          <w:szCs w:val="21"/>
          <w:lang w:val="zh-CN" w:bidi="zh-CN"/>
        </w:rPr>
        <w:t>K</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u w:val="single"/>
          <w:lang w:val="zh-CN" w:bidi="zh-CN"/>
        </w:rPr>
        <w:tab/>
      </w:r>
      <w:r>
        <w:rPr>
          <w:rFonts w:ascii="宋体" w:hAnsi="宋体" w:cs="宋体"/>
          <w:kern w:val="0"/>
          <w:szCs w:val="21"/>
          <w:u w:val="single"/>
          <w:lang w:val="zh-CN" w:bidi="zh-CN"/>
        </w:rPr>
        <w:tab/>
      </w:r>
      <w:r>
        <w:rPr>
          <w:rFonts w:ascii="宋体" w:hAnsi="宋体" w:cs="宋体"/>
          <w:spacing w:val="-1"/>
          <w:kern w:val="0"/>
          <w:szCs w:val="21"/>
          <w:lang w:val="zh-CN" w:bidi="zh-CN"/>
        </w:rPr>
        <w:t>＋</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至</w:t>
      </w:r>
      <w:r>
        <w:rPr>
          <w:rFonts w:ascii="宋体" w:hAnsi="宋体" w:cs="宋体"/>
          <w:spacing w:val="-60"/>
          <w:kern w:val="0"/>
          <w:szCs w:val="21"/>
          <w:lang w:val="zh-CN" w:bidi="zh-CN"/>
        </w:rPr>
        <w:t xml:space="preserve"> </w:t>
      </w:r>
      <w:r>
        <w:rPr>
          <w:rFonts w:ascii="宋体" w:hAnsi="宋体" w:cs="宋体"/>
          <w:spacing w:val="1"/>
          <w:kern w:val="0"/>
          <w:szCs w:val="21"/>
          <w:lang w:val="zh-CN" w:bidi="zh-CN"/>
        </w:rPr>
        <w:t>K</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spacing w:val="-99"/>
          <w:kern w:val="0"/>
          <w:szCs w:val="21"/>
          <w:lang w:val="zh-CN" w:bidi="zh-CN"/>
        </w:rPr>
        <w:t>，</w:t>
      </w:r>
      <w:r>
        <w:rPr>
          <w:rFonts w:ascii="宋体" w:hAnsi="宋体" w:cs="宋体"/>
          <w:kern w:val="0"/>
          <w:szCs w:val="21"/>
          <w:lang w:val="zh-CN" w:bidi="zh-CN"/>
        </w:rPr>
        <w:t>长</w:t>
      </w:r>
      <w:r>
        <w:rPr>
          <w:rFonts w:ascii="宋体" w:hAnsi="宋体" w:cs="宋体"/>
          <w:spacing w:val="-1"/>
          <w:kern w:val="0"/>
          <w:szCs w:val="21"/>
          <w:lang w:val="zh-CN" w:bidi="zh-CN"/>
        </w:rPr>
        <w:t>约</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 xml:space="preserve"> km</w:t>
      </w:r>
      <w:r>
        <w:rPr>
          <w:rFonts w:ascii="宋体" w:hAnsi="宋体" w:cs="宋体"/>
          <w:spacing w:val="-101"/>
          <w:kern w:val="0"/>
          <w:szCs w:val="21"/>
          <w:lang w:val="zh-CN" w:bidi="zh-CN"/>
        </w:rPr>
        <w:t>，</w:t>
      </w:r>
      <w:r>
        <w:rPr>
          <w:rFonts w:ascii="宋体" w:hAnsi="宋体" w:cs="宋体"/>
          <w:kern w:val="0"/>
          <w:szCs w:val="21"/>
          <w:lang w:val="zh-CN" w:bidi="zh-CN"/>
        </w:rPr>
        <w:t>公路等级为</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，设计时速为</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u w:val="single"/>
          <w:lang w:val="zh-CN" w:bidi="zh-CN"/>
        </w:rPr>
        <w:tab/>
      </w:r>
      <w:r>
        <w:rPr>
          <w:rFonts w:ascii="宋体" w:hAnsi="宋体" w:cs="宋体"/>
          <w:spacing w:val="-8"/>
          <w:kern w:val="0"/>
          <w:szCs w:val="21"/>
          <w:lang w:val="zh-CN" w:bidi="zh-CN"/>
        </w:rPr>
        <w:t>，</w:t>
      </w:r>
      <w:r>
        <w:rPr>
          <w:rFonts w:ascii="宋体" w:hAnsi="宋体" w:cs="宋体"/>
          <w:spacing w:val="-8"/>
          <w:kern w:val="0"/>
          <w:szCs w:val="21"/>
          <w:u w:val="single"/>
          <w:lang w:val="zh-CN" w:bidi="zh-CN"/>
        </w:rPr>
        <w:t xml:space="preserve"> </w:t>
      </w:r>
      <w:r>
        <w:rPr>
          <w:rFonts w:hint="eastAsia" w:ascii="宋体" w:hAnsi="宋体" w:cs="宋体"/>
          <w:spacing w:val="-8"/>
          <w:kern w:val="0"/>
          <w:szCs w:val="21"/>
          <w:u w:val="single"/>
          <w:lang w:bidi="zh-CN"/>
        </w:rPr>
        <w:t xml:space="preserve"> </w:t>
      </w:r>
      <w:r>
        <w:rPr>
          <w:rFonts w:ascii="宋体" w:hAnsi="宋体" w:cs="宋体"/>
          <w:spacing w:val="-8"/>
          <w:kern w:val="0"/>
          <w:szCs w:val="21"/>
          <w:u w:val="single"/>
          <w:lang w:val="zh-CN" w:bidi="zh-CN"/>
        </w:rPr>
        <w:tab/>
      </w:r>
      <w:r>
        <w:rPr>
          <w:rFonts w:ascii="宋体" w:hAnsi="宋体" w:cs="宋体"/>
          <w:kern w:val="0"/>
          <w:szCs w:val="21"/>
          <w:lang w:val="zh-CN" w:bidi="zh-CN"/>
        </w:rPr>
        <w:t>路面</w:t>
      </w:r>
      <w:r>
        <w:rPr>
          <w:rFonts w:ascii="宋体" w:hAnsi="宋体" w:cs="宋体"/>
          <w:spacing w:val="-5"/>
          <w:kern w:val="0"/>
          <w:szCs w:val="21"/>
          <w:lang w:val="zh-CN" w:bidi="zh-CN"/>
        </w:rPr>
        <w:t>，</w:t>
      </w:r>
      <w:r>
        <w:rPr>
          <w:rFonts w:ascii="宋体" w:hAnsi="宋体" w:cs="宋体"/>
          <w:kern w:val="0"/>
          <w:szCs w:val="21"/>
          <w:lang w:val="zh-CN" w:bidi="zh-CN"/>
        </w:rPr>
        <w:t>有</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u w:val="single"/>
          <w:lang w:val="zh-CN" w:bidi="zh-CN"/>
        </w:rPr>
        <w:tab/>
      </w:r>
      <w:r>
        <w:rPr>
          <w:rFonts w:ascii="宋体" w:hAnsi="宋体" w:cs="宋体"/>
          <w:kern w:val="0"/>
          <w:szCs w:val="21"/>
          <w:lang w:val="zh-CN" w:bidi="zh-CN"/>
        </w:rPr>
        <w:t>立交</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u w:val="single"/>
          <w:lang w:val="zh-CN" w:bidi="zh-CN"/>
        </w:rPr>
        <w:tab/>
      </w:r>
      <w:r>
        <w:rPr>
          <w:rFonts w:ascii="宋体" w:hAnsi="宋体" w:cs="宋体"/>
          <w:kern w:val="0"/>
          <w:szCs w:val="21"/>
          <w:lang w:val="zh-CN" w:bidi="zh-CN"/>
        </w:rPr>
        <w:t>处</w:t>
      </w:r>
      <w:r>
        <w:rPr>
          <w:rFonts w:ascii="宋体" w:hAnsi="宋体" w:cs="宋体"/>
          <w:spacing w:val="-5"/>
          <w:kern w:val="0"/>
          <w:szCs w:val="21"/>
          <w:lang w:val="zh-CN" w:bidi="zh-CN"/>
        </w:rPr>
        <w:t>；</w:t>
      </w:r>
      <w:r>
        <w:rPr>
          <w:rFonts w:ascii="宋体" w:hAnsi="宋体" w:cs="宋体"/>
          <w:kern w:val="0"/>
          <w:szCs w:val="21"/>
          <w:lang w:val="zh-CN" w:bidi="zh-CN"/>
        </w:rPr>
        <w:t>特大桥</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u w:val="single"/>
          <w:lang w:val="zh-CN" w:bidi="zh-CN"/>
        </w:rPr>
        <w:tab/>
      </w:r>
      <w:r>
        <w:rPr>
          <w:rFonts w:ascii="宋体" w:hAnsi="宋体" w:cs="宋体"/>
          <w:kern w:val="0"/>
          <w:szCs w:val="21"/>
          <w:lang w:val="zh-CN" w:bidi="zh-CN"/>
        </w:rPr>
        <w:t>座</w:t>
      </w:r>
      <w:r>
        <w:rPr>
          <w:rFonts w:ascii="宋体" w:hAnsi="宋体" w:cs="宋体"/>
          <w:spacing w:val="-8"/>
          <w:kern w:val="0"/>
          <w:szCs w:val="21"/>
          <w:lang w:val="zh-CN" w:bidi="zh-CN"/>
        </w:rPr>
        <w:t>，</w:t>
      </w:r>
      <w:r>
        <w:rPr>
          <w:rFonts w:ascii="宋体" w:hAnsi="宋体" w:cs="宋体"/>
          <w:kern w:val="0"/>
          <w:szCs w:val="21"/>
          <w:lang w:val="zh-CN" w:bidi="zh-CN"/>
        </w:rPr>
        <w:t>计长</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spacing w:val="-4"/>
          <w:kern w:val="0"/>
          <w:szCs w:val="21"/>
          <w:lang w:val="zh-CN" w:bidi="zh-CN"/>
        </w:rPr>
        <w:t>m；</w:t>
      </w:r>
      <w:r>
        <w:rPr>
          <w:rFonts w:ascii="宋体" w:hAnsi="宋体" w:cs="宋体"/>
          <w:kern w:val="0"/>
          <w:szCs w:val="21"/>
          <w:lang w:val="zh-CN" w:bidi="zh-CN"/>
        </w:rPr>
        <w:t>大中桥</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座，计长</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u w:val="single"/>
          <w:lang w:val="zh-CN" w:bidi="zh-CN"/>
        </w:rPr>
        <w:tab/>
      </w:r>
      <w:r>
        <w:rPr>
          <w:rFonts w:ascii="宋体" w:hAnsi="宋体" w:cs="宋体"/>
          <w:kern w:val="0"/>
          <w:szCs w:val="21"/>
          <w:lang w:val="zh-CN" w:bidi="zh-CN"/>
        </w:rPr>
        <w:t>m；隧道</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u w:val="single"/>
          <w:lang w:val="zh-CN" w:bidi="zh-CN"/>
        </w:rPr>
        <w:tab/>
      </w:r>
      <w:r>
        <w:rPr>
          <w:rFonts w:ascii="宋体" w:hAnsi="宋体" w:cs="宋体"/>
          <w:kern w:val="0"/>
          <w:szCs w:val="21"/>
          <w:lang w:val="zh-CN" w:bidi="zh-CN"/>
        </w:rPr>
        <w:t>座，计长</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u w:val="single"/>
          <w:lang w:val="zh-CN" w:bidi="zh-CN"/>
        </w:rPr>
        <w:tab/>
      </w:r>
      <w:r>
        <w:rPr>
          <w:rFonts w:ascii="宋体" w:hAnsi="宋体" w:cs="宋体"/>
          <w:kern w:val="0"/>
          <w:szCs w:val="21"/>
          <w:lang w:val="zh-CN" w:bidi="zh-CN"/>
        </w:rPr>
        <w:t>m 以及其他构造物工程等。</w:t>
      </w:r>
    </w:p>
    <w:p w14:paraId="42F6AD10">
      <w:pPr>
        <w:tabs>
          <w:tab w:val="left" w:pos="1164"/>
        </w:tabs>
        <w:autoSpaceDE w:val="0"/>
        <w:autoSpaceDN w:val="0"/>
        <w:spacing w:before="4" w:line="360" w:lineRule="auto"/>
        <w:ind w:left="806"/>
        <w:jc w:val="left"/>
        <w:rPr>
          <w:rFonts w:ascii="宋体" w:hAnsi="宋体" w:cs="宋体"/>
          <w:kern w:val="0"/>
          <w:szCs w:val="21"/>
          <w:lang w:val="zh-CN" w:bidi="zh-CN"/>
        </w:rPr>
      </w:pPr>
      <w:r>
        <w:rPr>
          <w:rFonts w:hint="eastAsia" w:ascii="宋体" w:hAnsi="宋体" w:cs="宋体"/>
          <w:kern w:val="0"/>
          <w:szCs w:val="21"/>
          <w:lang w:val="zh-CN" w:bidi="zh-CN"/>
        </w:rPr>
        <w:t>2.</w:t>
      </w:r>
      <w:r>
        <w:rPr>
          <w:rFonts w:ascii="宋体" w:hAnsi="宋体" w:cs="宋体"/>
          <w:kern w:val="0"/>
          <w:szCs w:val="21"/>
          <w:lang w:val="zh-CN" w:bidi="zh-CN"/>
        </w:rPr>
        <w:t>下列文件应视为构成合同文件的组成部分：</w:t>
      </w:r>
    </w:p>
    <w:p w14:paraId="36900607">
      <w:pPr>
        <w:autoSpaceDE w:val="0"/>
        <w:autoSpaceDN w:val="0"/>
        <w:spacing w:before="101" w:line="360" w:lineRule="auto"/>
        <w:ind w:left="384" w:right="386" w:firstLine="420" w:firstLineChars="200"/>
        <w:jc w:val="left"/>
        <w:rPr>
          <w:rFonts w:ascii="宋体" w:hAnsi="宋体" w:cs="宋体"/>
          <w:kern w:val="0"/>
          <w:szCs w:val="21"/>
          <w:lang w:val="zh-CN" w:bidi="zh-CN"/>
        </w:rPr>
      </w:pPr>
      <w:r>
        <w:rPr>
          <w:rFonts w:ascii="宋体" w:hAnsi="宋体" w:cs="宋体"/>
          <w:kern w:val="0"/>
          <w:szCs w:val="21"/>
          <w:lang w:val="zh-CN" w:bidi="zh-CN"/>
        </w:rPr>
        <w:t>（1）合同协议书及各种合同附件（含评标期间和合同谈判过程中的澄清文件和补充资料）；</w:t>
      </w:r>
    </w:p>
    <w:p w14:paraId="3A2302E6">
      <w:pPr>
        <w:autoSpaceDE w:val="0"/>
        <w:autoSpaceDN w:val="0"/>
        <w:spacing w:before="101" w:line="360" w:lineRule="auto"/>
        <w:ind w:left="384" w:right="386" w:firstLine="420" w:firstLineChars="200"/>
        <w:jc w:val="left"/>
        <w:rPr>
          <w:rFonts w:ascii="宋体" w:hAnsi="宋体" w:cs="宋体"/>
          <w:kern w:val="0"/>
          <w:szCs w:val="21"/>
          <w:lang w:val="zh-CN" w:bidi="zh-CN"/>
        </w:rPr>
      </w:pPr>
      <w:r>
        <w:rPr>
          <w:rFonts w:ascii="宋体" w:hAnsi="宋体" w:cs="宋体"/>
          <w:kern w:val="0"/>
          <w:szCs w:val="21"/>
          <w:lang w:val="zh-CN" w:bidi="zh-CN"/>
        </w:rPr>
        <w:t>（2）中标通知书；</w:t>
      </w:r>
    </w:p>
    <w:p w14:paraId="2E594DE0">
      <w:pPr>
        <w:autoSpaceDE w:val="0"/>
        <w:autoSpaceDN w:val="0"/>
        <w:spacing w:before="101" w:line="360" w:lineRule="auto"/>
        <w:ind w:left="384" w:right="386" w:firstLine="420" w:firstLineChars="200"/>
        <w:jc w:val="left"/>
        <w:rPr>
          <w:rFonts w:ascii="宋体" w:hAnsi="宋体" w:cs="宋体"/>
          <w:kern w:val="0"/>
          <w:szCs w:val="21"/>
          <w:lang w:val="zh-CN" w:bidi="zh-CN"/>
        </w:rPr>
      </w:pPr>
      <w:r>
        <w:rPr>
          <w:rFonts w:ascii="宋体" w:hAnsi="宋体" w:cs="宋体"/>
          <w:kern w:val="0"/>
          <w:szCs w:val="21"/>
          <w:lang w:val="zh-CN" w:bidi="zh-CN"/>
        </w:rPr>
        <w:t>（3）投标函及投标函附录；</w:t>
      </w:r>
    </w:p>
    <w:p w14:paraId="2808C7CD">
      <w:pPr>
        <w:autoSpaceDE w:val="0"/>
        <w:autoSpaceDN w:val="0"/>
        <w:spacing w:before="101" w:line="360" w:lineRule="auto"/>
        <w:ind w:left="384" w:right="386" w:firstLine="420" w:firstLineChars="200"/>
        <w:jc w:val="left"/>
        <w:rPr>
          <w:rFonts w:ascii="宋体" w:hAnsi="宋体" w:cs="宋体"/>
          <w:kern w:val="0"/>
          <w:szCs w:val="21"/>
          <w:lang w:val="zh-CN" w:bidi="zh-CN"/>
        </w:rPr>
      </w:pPr>
      <w:r>
        <w:rPr>
          <w:rFonts w:ascii="宋体" w:hAnsi="宋体" w:cs="宋体"/>
          <w:kern w:val="0"/>
          <w:szCs w:val="21"/>
          <w:lang w:val="zh-CN" w:bidi="zh-CN"/>
        </w:rPr>
        <w:t>（4）专用合同条款；</w:t>
      </w:r>
    </w:p>
    <w:p w14:paraId="7F49193F">
      <w:pPr>
        <w:autoSpaceDE w:val="0"/>
        <w:autoSpaceDN w:val="0"/>
        <w:spacing w:before="101" w:line="360" w:lineRule="auto"/>
        <w:ind w:left="384" w:right="386" w:firstLine="420" w:firstLineChars="200"/>
        <w:jc w:val="left"/>
        <w:rPr>
          <w:rFonts w:ascii="宋体" w:hAnsi="宋体" w:cs="宋体"/>
          <w:kern w:val="0"/>
          <w:szCs w:val="21"/>
          <w:lang w:val="zh-CN" w:bidi="zh-CN"/>
        </w:rPr>
      </w:pPr>
      <w:r>
        <w:rPr>
          <w:rFonts w:ascii="宋体" w:hAnsi="宋体" w:cs="宋体"/>
          <w:kern w:val="0"/>
          <w:szCs w:val="21"/>
          <w:lang w:val="zh-CN" w:bidi="zh-CN"/>
        </w:rPr>
        <w:t>（5）通用合同条款；</w:t>
      </w:r>
    </w:p>
    <w:p w14:paraId="7394033A">
      <w:pPr>
        <w:autoSpaceDE w:val="0"/>
        <w:autoSpaceDN w:val="0"/>
        <w:spacing w:before="101" w:line="360" w:lineRule="auto"/>
        <w:ind w:left="384" w:right="386" w:firstLine="420" w:firstLineChars="200"/>
        <w:jc w:val="left"/>
        <w:rPr>
          <w:rFonts w:ascii="宋体" w:hAnsi="宋体" w:cs="宋体"/>
          <w:kern w:val="0"/>
          <w:szCs w:val="21"/>
          <w:lang w:val="zh-CN" w:bidi="zh-CN"/>
        </w:rPr>
      </w:pPr>
      <w:r>
        <w:rPr>
          <w:rFonts w:ascii="宋体" w:hAnsi="宋体" w:cs="宋体"/>
          <w:kern w:val="0"/>
          <w:szCs w:val="21"/>
          <w:lang w:val="zh-CN" w:bidi="zh-CN"/>
        </w:rPr>
        <w:t>（6）工程量清单计量规则；</w:t>
      </w:r>
    </w:p>
    <w:p w14:paraId="63C0E8A7">
      <w:pPr>
        <w:autoSpaceDE w:val="0"/>
        <w:autoSpaceDN w:val="0"/>
        <w:spacing w:before="101" w:line="360" w:lineRule="auto"/>
        <w:ind w:left="384" w:right="386" w:firstLine="420" w:firstLineChars="200"/>
        <w:jc w:val="left"/>
        <w:rPr>
          <w:rFonts w:ascii="宋体" w:hAnsi="宋体" w:cs="宋体"/>
          <w:kern w:val="0"/>
          <w:szCs w:val="21"/>
          <w:lang w:val="zh-CN" w:bidi="zh-CN"/>
        </w:rPr>
      </w:pPr>
      <w:r>
        <w:rPr>
          <w:rFonts w:ascii="宋体" w:hAnsi="宋体" w:cs="宋体"/>
          <w:kern w:val="0"/>
          <w:szCs w:val="21"/>
          <w:lang w:val="zh-CN" w:bidi="zh-CN"/>
        </w:rPr>
        <w:t>（7）技术规范；</w:t>
      </w:r>
    </w:p>
    <w:p w14:paraId="518F46BD">
      <w:pPr>
        <w:autoSpaceDE w:val="0"/>
        <w:autoSpaceDN w:val="0"/>
        <w:spacing w:before="101" w:line="360" w:lineRule="auto"/>
        <w:ind w:left="384" w:right="386" w:firstLine="420" w:firstLineChars="200"/>
        <w:jc w:val="left"/>
        <w:rPr>
          <w:rFonts w:ascii="宋体" w:hAnsi="宋体" w:cs="宋体"/>
          <w:kern w:val="0"/>
          <w:szCs w:val="21"/>
          <w:lang w:val="zh-CN" w:bidi="zh-CN"/>
        </w:rPr>
      </w:pPr>
      <w:r>
        <w:rPr>
          <w:rFonts w:ascii="宋体" w:hAnsi="宋体" w:cs="宋体"/>
          <w:kern w:val="0"/>
          <w:szCs w:val="21"/>
          <w:lang w:val="zh-CN" w:bidi="zh-CN"/>
        </w:rPr>
        <w:t>（8）图纸；</w:t>
      </w:r>
    </w:p>
    <w:p w14:paraId="5B2BA502">
      <w:pPr>
        <w:autoSpaceDE w:val="0"/>
        <w:autoSpaceDN w:val="0"/>
        <w:spacing w:before="101" w:line="360" w:lineRule="auto"/>
        <w:ind w:left="384" w:right="386" w:firstLine="420" w:firstLineChars="200"/>
        <w:jc w:val="left"/>
        <w:rPr>
          <w:rFonts w:ascii="宋体" w:hAnsi="宋体" w:cs="宋体"/>
          <w:kern w:val="0"/>
          <w:szCs w:val="21"/>
          <w:lang w:val="zh-CN" w:bidi="zh-CN"/>
        </w:rPr>
      </w:pPr>
      <w:r>
        <w:rPr>
          <w:rFonts w:ascii="宋体" w:hAnsi="宋体" w:cs="宋体"/>
          <w:kern w:val="0"/>
          <w:szCs w:val="21"/>
          <w:lang w:val="zh-CN" w:bidi="zh-CN"/>
        </w:rPr>
        <w:t>（9）已标价工程量清单；</w:t>
      </w:r>
    </w:p>
    <w:p w14:paraId="3DDE9DA7">
      <w:pPr>
        <w:autoSpaceDE w:val="0"/>
        <w:autoSpaceDN w:val="0"/>
        <w:spacing w:before="101" w:line="360" w:lineRule="auto"/>
        <w:ind w:left="384" w:right="386" w:firstLine="420" w:firstLineChars="200"/>
        <w:jc w:val="left"/>
        <w:rPr>
          <w:rFonts w:ascii="宋体" w:hAnsi="宋体" w:cs="宋体"/>
          <w:kern w:val="0"/>
          <w:szCs w:val="21"/>
          <w:lang w:val="zh-CN" w:bidi="zh-CN"/>
        </w:rPr>
      </w:pPr>
      <w:r>
        <w:rPr>
          <w:rFonts w:ascii="宋体" w:hAnsi="宋体" w:cs="宋体"/>
          <w:kern w:val="0"/>
          <w:szCs w:val="21"/>
          <w:lang w:val="zh-CN" w:bidi="zh-CN"/>
        </w:rPr>
        <w:t>（10）承包人有关人员、设备投入的承诺及投标文件中的施工组织设计；</w:t>
      </w:r>
    </w:p>
    <w:p w14:paraId="40C4911F">
      <w:pPr>
        <w:autoSpaceDE w:val="0"/>
        <w:autoSpaceDN w:val="0"/>
        <w:spacing w:before="101" w:line="360" w:lineRule="auto"/>
        <w:ind w:left="384" w:right="386" w:firstLine="420" w:firstLineChars="200"/>
        <w:jc w:val="left"/>
        <w:rPr>
          <w:rFonts w:ascii="宋体" w:hAnsi="宋体" w:cs="宋体"/>
          <w:kern w:val="0"/>
          <w:szCs w:val="21"/>
          <w:lang w:val="zh-CN" w:bidi="zh-CN"/>
        </w:rPr>
      </w:pPr>
      <w:r>
        <w:rPr>
          <w:rFonts w:ascii="宋体" w:hAnsi="宋体" w:cs="宋体"/>
          <w:kern w:val="0"/>
          <w:szCs w:val="21"/>
          <w:lang w:val="zh-CN" w:bidi="zh-CN"/>
        </w:rPr>
        <w:t>（11）其他合同文件。</w:t>
      </w:r>
    </w:p>
    <w:p w14:paraId="70E56796">
      <w:pPr>
        <w:tabs>
          <w:tab w:val="left" w:pos="1164"/>
        </w:tabs>
        <w:autoSpaceDE w:val="0"/>
        <w:autoSpaceDN w:val="0"/>
        <w:spacing w:line="360" w:lineRule="auto"/>
        <w:ind w:left="802" w:right="466"/>
        <w:jc w:val="left"/>
        <w:rPr>
          <w:rFonts w:ascii="宋体" w:hAnsi="宋体" w:cs="宋体"/>
          <w:kern w:val="0"/>
          <w:szCs w:val="21"/>
          <w:lang w:val="zh-CN" w:bidi="zh-CN"/>
        </w:rPr>
      </w:pPr>
      <w:r>
        <w:rPr>
          <w:rFonts w:ascii="宋体" w:hAnsi="宋体" w:cs="宋体"/>
          <w:spacing w:val="-2"/>
          <w:kern w:val="0"/>
          <w:szCs w:val="21"/>
          <w:lang w:val="zh-CN" w:bidi="zh-CN"/>
        </w:rPr>
        <w:t>3.上述文件互相补充和解释，如有不明确或不一致之处，以合同约定次序在先者为准。</w:t>
      </w:r>
    </w:p>
    <w:p w14:paraId="5413ED8C">
      <w:pPr>
        <w:tabs>
          <w:tab w:val="left" w:pos="1164"/>
        </w:tabs>
        <w:autoSpaceDE w:val="0"/>
        <w:autoSpaceDN w:val="0"/>
        <w:spacing w:before="2" w:line="360" w:lineRule="auto"/>
        <w:ind w:left="804"/>
        <w:jc w:val="left"/>
        <w:rPr>
          <w:rFonts w:ascii="宋体" w:hAnsi="宋体" w:cs="宋体"/>
          <w:kern w:val="0"/>
          <w:szCs w:val="21"/>
          <w:lang w:val="zh-CN" w:bidi="zh-CN"/>
        </w:rPr>
      </w:pPr>
      <w:r>
        <w:rPr>
          <w:rFonts w:hint="eastAsia" w:ascii="宋体" w:hAnsi="宋体" w:cs="宋体"/>
          <w:spacing w:val="-1"/>
          <w:kern w:val="0"/>
          <w:szCs w:val="21"/>
          <w:lang w:val="zh-CN" w:bidi="zh-CN"/>
        </w:rPr>
        <w:t>4.</w:t>
      </w:r>
      <w:r>
        <w:rPr>
          <w:rFonts w:ascii="宋体" w:hAnsi="宋体" w:cs="宋体"/>
          <w:spacing w:val="-1"/>
          <w:kern w:val="0"/>
          <w:szCs w:val="21"/>
          <w:lang w:val="zh-CN" w:bidi="zh-CN"/>
        </w:rPr>
        <w:t>根据工程量清单所列的预计数量和单价或总额价计算的签约合同价：人民币</w:t>
      </w:r>
    </w:p>
    <w:p w14:paraId="760A8DE4">
      <w:pPr>
        <w:tabs>
          <w:tab w:val="left" w:pos="2462"/>
          <w:tab w:val="left" w:pos="4463"/>
        </w:tabs>
        <w:autoSpaceDE w:val="0"/>
        <w:autoSpaceDN w:val="0"/>
        <w:spacing w:before="86" w:line="360" w:lineRule="auto"/>
        <w:ind w:left="384" w:firstLine="420" w:firstLineChars="200"/>
        <w:jc w:val="left"/>
        <w:rPr>
          <w:rFonts w:ascii="宋体" w:hAnsi="宋体" w:cs="宋体"/>
          <w:kern w:val="0"/>
          <w:szCs w:val="21"/>
          <w:lang w:val="zh-CN" w:bidi="zh-CN"/>
        </w:rPr>
      </w:pPr>
      <w:r>
        <w:rPr>
          <w:rFonts w:ascii="宋体" w:hAnsi="宋体" w:cs="宋体"/>
          <w:kern w:val="0"/>
          <w:szCs w:val="21"/>
          <w:lang w:val="zh-CN" w:bidi="zh-CN"/>
        </w:rPr>
        <w:t>(大写)</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元(￥</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w:t>
      </w:r>
    </w:p>
    <w:p w14:paraId="34C048D5">
      <w:pPr>
        <w:tabs>
          <w:tab w:val="left" w:pos="1164"/>
          <w:tab w:val="left" w:pos="4523"/>
          <w:tab w:val="left" w:pos="8123"/>
        </w:tabs>
        <w:autoSpaceDE w:val="0"/>
        <w:autoSpaceDN w:val="0"/>
        <w:spacing w:before="84" w:line="360" w:lineRule="auto"/>
        <w:ind w:left="806"/>
        <w:jc w:val="left"/>
        <w:rPr>
          <w:rFonts w:ascii="宋体" w:hAnsi="宋体" w:cs="宋体"/>
          <w:kern w:val="0"/>
          <w:szCs w:val="21"/>
          <w:lang w:val="zh-CN" w:bidi="zh-CN"/>
        </w:rPr>
      </w:pPr>
      <w:r>
        <w:rPr>
          <w:rFonts w:hint="eastAsia" w:ascii="宋体" w:hAnsi="宋体" w:cs="宋体"/>
          <w:kern w:val="0"/>
          <w:szCs w:val="21"/>
          <w:lang w:val="zh-CN" w:bidi="zh-CN"/>
        </w:rPr>
        <w:t>5.</w:t>
      </w:r>
      <w:r>
        <w:rPr>
          <w:rFonts w:ascii="宋体" w:hAnsi="宋体" w:cs="宋体"/>
          <w:kern w:val="0"/>
          <w:szCs w:val="21"/>
          <w:lang w:val="zh-CN" w:bidi="zh-CN"/>
        </w:rPr>
        <w:t>承包人项目经理：</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。承包人项目总工：</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w:t>
      </w:r>
    </w:p>
    <w:p w14:paraId="602B751C">
      <w:pPr>
        <w:tabs>
          <w:tab w:val="left" w:pos="1164"/>
          <w:tab w:val="left" w:pos="4523"/>
          <w:tab w:val="left" w:pos="8123"/>
        </w:tabs>
        <w:autoSpaceDE w:val="0"/>
        <w:autoSpaceDN w:val="0"/>
        <w:spacing w:before="84" w:line="360" w:lineRule="auto"/>
        <w:ind w:left="806"/>
        <w:jc w:val="left"/>
        <w:rPr>
          <w:rFonts w:ascii="宋体" w:hAnsi="宋体" w:cs="宋体"/>
          <w:kern w:val="0"/>
          <w:szCs w:val="21"/>
          <w:lang w:val="zh-CN" w:bidi="zh-CN"/>
        </w:rPr>
      </w:pPr>
      <w:r>
        <w:rPr>
          <w:rFonts w:ascii="宋体" w:hAnsi="宋体" w:cs="宋体"/>
          <w:kern w:val="0"/>
          <w:szCs w:val="21"/>
          <w:lang w:val="zh-CN" w:bidi="zh-CN"/>
        </w:rPr>
        <w:t xml:space="preserve">6.工程质量符合 </w:t>
      </w:r>
      <w:r>
        <w:rPr>
          <w:rFonts w:ascii="宋体" w:hAnsi="宋体" w:cs="宋体"/>
          <w:kern w:val="0"/>
          <w:szCs w:val="21"/>
          <w:u w:val="single"/>
          <w:lang w:val="zh-CN" w:bidi="zh-CN"/>
        </w:rPr>
        <w:tab/>
      </w:r>
      <w:r>
        <w:rPr>
          <w:rFonts w:ascii="宋体" w:hAnsi="宋体" w:cs="宋体"/>
          <w:kern w:val="0"/>
          <w:szCs w:val="21"/>
          <w:lang w:val="zh-CN" w:bidi="zh-CN"/>
        </w:rPr>
        <w:t>标准。工程安全目标：</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w:t>
      </w:r>
    </w:p>
    <w:p w14:paraId="310FBEB5">
      <w:pPr>
        <w:tabs>
          <w:tab w:val="left" w:pos="1164"/>
          <w:tab w:val="left" w:pos="4523"/>
          <w:tab w:val="left" w:pos="8123"/>
        </w:tabs>
        <w:autoSpaceDE w:val="0"/>
        <w:autoSpaceDN w:val="0"/>
        <w:spacing w:before="84" w:line="360" w:lineRule="auto"/>
        <w:ind w:left="806"/>
        <w:jc w:val="left"/>
        <w:rPr>
          <w:rFonts w:ascii="宋体" w:hAnsi="宋体" w:cs="宋体"/>
          <w:kern w:val="0"/>
          <w:szCs w:val="21"/>
          <w:lang w:val="zh-CN" w:bidi="zh-CN"/>
        </w:rPr>
      </w:pPr>
      <w:r>
        <w:rPr>
          <w:rFonts w:ascii="宋体" w:hAnsi="宋体" w:cs="宋体"/>
          <w:kern w:val="0"/>
          <w:szCs w:val="21"/>
          <w:lang w:val="zh-CN" w:bidi="zh-CN"/>
        </w:rPr>
        <w:t>7.承包人承诺按合同约定承担工程的实施、完成及缺陷修复。</w:t>
      </w:r>
    </w:p>
    <w:p w14:paraId="6EF8273D">
      <w:pPr>
        <w:tabs>
          <w:tab w:val="left" w:pos="1164"/>
          <w:tab w:val="left" w:pos="4523"/>
          <w:tab w:val="left" w:pos="8123"/>
        </w:tabs>
        <w:autoSpaceDE w:val="0"/>
        <w:autoSpaceDN w:val="0"/>
        <w:spacing w:before="84" w:line="360" w:lineRule="auto"/>
        <w:ind w:left="806"/>
        <w:jc w:val="left"/>
        <w:rPr>
          <w:rFonts w:ascii="宋体" w:hAnsi="宋体" w:cs="宋体"/>
          <w:kern w:val="0"/>
          <w:szCs w:val="21"/>
          <w:lang w:val="zh-CN" w:bidi="zh-CN"/>
        </w:rPr>
      </w:pPr>
      <w:r>
        <w:rPr>
          <w:rFonts w:ascii="宋体" w:hAnsi="宋体" w:cs="宋体"/>
          <w:kern w:val="0"/>
          <w:szCs w:val="21"/>
          <w:lang w:val="zh-CN" w:bidi="zh-CN"/>
        </w:rPr>
        <w:t>8.发包人承诺按合同约定的条件、时间和方式向承包人支付合同价款。</w:t>
      </w:r>
    </w:p>
    <w:p w14:paraId="1BF8E241">
      <w:pPr>
        <w:tabs>
          <w:tab w:val="left" w:pos="1164"/>
          <w:tab w:val="left" w:pos="4523"/>
          <w:tab w:val="left" w:pos="7490"/>
        </w:tabs>
        <w:autoSpaceDE w:val="0"/>
        <w:autoSpaceDN w:val="0"/>
        <w:spacing w:before="84" w:line="360" w:lineRule="auto"/>
        <w:ind w:left="806"/>
        <w:jc w:val="left"/>
        <w:rPr>
          <w:rFonts w:ascii="宋体" w:hAnsi="宋体" w:cs="宋体"/>
          <w:kern w:val="0"/>
          <w:szCs w:val="21"/>
          <w:lang w:val="zh-CN" w:bidi="zh-CN"/>
        </w:rPr>
      </w:pPr>
      <w:r>
        <w:rPr>
          <w:rFonts w:ascii="宋体" w:hAnsi="宋体" w:cs="宋体"/>
          <w:kern w:val="0"/>
          <w:szCs w:val="21"/>
          <w:lang w:val="zh-CN" w:bidi="zh-CN"/>
        </w:rPr>
        <w:t xml:space="preserve">9.承包人应按照监理人指示开工，工期为 </w:t>
      </w:r>
      <w:r>
        <w:rPr>
          <w:rFonts w:hint="eastAsia" w:ascii="宋体" w:hAnsi="宋体" w:cs="宋体"/>
          <w:kern w:val="0"/>
          <w:szCs w:val="21"/>
          <w:u w:val="single"/>
          <w:lang w:val="zh-CN" w:bidi="zh-CN"/>
        </w:rPr>
        <w:t xml:space="preserve">        </w:t>
      </w:r>
      <w:r>
        <w:rPr>
          <w:rFonts w:ascii="宋体" w:hAnsi="宋体" w:cs="宋体"/>
          <w:kern w:val="0"/>
          <w:szCs w:val="21"/>
          <w:lang w:val="zh-CN" w:bidi="zh-CN"/>
        </w:rPr>
        <w:t>日历天。</w:t>
      </w:r>
    </w:p>
    <w:p w14:paraId="5704BFC1">
      <w:pPr>
        <w:tabs>
          <w:tab w:val="left" w:pos="1164"/>
          <w:tab w:val="left" w:pos="4523"/>
          <w:tab w:val="left" w:pos="8123"/>
        </w:tabs>
        <w:autoSpaceDE w:val="0"/>
        <w:autoSpaceDN w:val="0"/>
        <w:spacing w:before="84" w:line="360" w:lineRule="auto"/>
        <w:ind w:left="806"/>
        <w:jc w:val="left"/>
        <w:rPr>
          <w:rFonts w:ascii="宋体" w:hAnsi="宋体" w:cs="宋体"/>
          <w:kern w:val="0"/>
          <w:szCs w:val="21"/>
          <w:lang w:val="zh-CN" w:bidi="zh-CN"/>
        </w:rPr>
      </w:pPr>
      <w:r>
        <w:rPr>
          <w:rFonts w:ascii="宋体" w:hAnsi="宋体" w:cs="宋体"/>
          <w:kern w:val="0"/>
          <w:szCs w:val="21"/>
          <w:lang w:val="zh-CN" w:bidi="zh-CN"/>
        </w:rPr>
        <w:t>10.本协议书在承包人提供履约保证金后，由双方法定代表人或其委托代理人签署并加盖单位章后生效。全部工程完工后经交工验收合格、缺陷责任期满签发缺陷责任终止证书后失效。</w:t>
      </w:r>
    </w:p>
    <w:p w14:paraId="451B83B6">
      <w:pPr>
        <w:tabs>
          <w:tab w:val="left" w:pos="1164"/>
          <w:tab w:val="left" w:pos="4523"/>
          <w:tab w:val="left" w:pos="8123"/>
        </w:tabs>
        <w:autoSpaceDE w:val="0"/>
        <w:autoSpaceDN w:val="0"/>
        <w:spacing w:before="84" w:line="360" w:lineRule="auto"/>
        <w:ind w:left="806"/>
        <w:jc w:val="left"/>
        <w:rPr>
          <w:rFonts w:ascii="宋体" w:hAnsi="宋体" w:cs="宋体"/>
          <w:kern w:val="0"/>
          <w:szCs w:val="21"/>
          <w:lang w:val="zh-CN" w:bidi="zh-CN"/>
        </w:rPr>
      </w:pPr>
      <w:r>
        <w:rPr>
          <w:rFonts w:ascii="宋体" w:hAnsi="宋体" w:cs="宋体"/>
          <w:kern w:val="0"/>
          <w:szCs w:val="21"/>
          <w:lang w:val="zh-CN" w:bidi="zh-CN"/>
        </w:rPr>
        <w:t>11.本协议书正本二份、副本   份，合同双方各执正本一份，副本   份，当正本与副本的内容不一致时，以正本为准。</w:t>
      </w:r>
    </w:p>
    <w:p w14:paraId="11071BCD">
      <w:pPr>
        <w:tabs>
          <w:tab w:val="left" w:pos="1164"/>
          <w:tab w:val="left" w:pos="4523"/>
          <w:tab w:val="left" w:pos="8123"/>
        </w:tabs>
        <w:autoSpaceDE w:val="0"/>
        <w:autoSpaceDN w:val="0"/>
        <w:spacing w:before="84" w:line="360" w:lineRule="auto"/>
        <w:ind w:left="806"/>
        <w:jc w:val="left"/>
        <w:rPr>
          <w:rFonts w:ascii="宋体" w:hAnsi="宋体" w:cs="宋体"/>
          <w:kern w:val="0"/>
          <w:szCs w:val="21"/>
          <w:lang w:val="zh-CN" w:bidi="zh-CN"/>
        </w:rPr>
      </w:pPr>
      <w:r>
        <w:rPr>
          <w:rFonts w:ascii="宋体" w:hAnsi="宋体" w:cs="宋体"/>
          <w:kern w:val="0"/>
          <w:szCs w:val="21"/>
          <w:lang w:val="zh-CN" w:bidi="zh-CN"/>
        </w:rPr>
        <w:t>12.合同未尽事宜，双方另行签订补充协议。补充协议是合同的组成部分。</w:t>
      </w:r>
    </w:p>
    <w:p w14:paraId="1F5AE023">
      <w:pPr>
        <w:autoSpaceDE w:val="0"/>
        <w:autoSpaceDN w:val="0"/>
        <w:spacing w:line="360" w:lineRule="auto"/>
        <w:ind w:firstLine="420" w:firstLineChars="200"/>
        <w:jc w:val="left"/>
        <w:rPr>
          <w:rFonts w:ascii="宋体" w:hAnsi="宋体" w:cs="宋体"/>
          <w:kern w:val="0"/>
          <w:szCs w:val="21"/>
          <w:lang w:val="zh-CN" w:bidi="zh-CN"/>
        </w:rPr>
      </w:pPr>
    </w:p>
    <w:p w14:paraId="5AD60C9E">
      <w:pPr>
        <w:tabs>
          <w:tab w:val="left" w:pos="3503"/>
          <w:tab w:val="left" w:pos="5063"/>
          <w:tab w:val="left" w:pos="5102"/>
          <w:tab w:val="left" w:pos="7742"/>
        </w:tabs>
        <w:autoSpaceDE w:val="0"/>
        <w:autoSpaceDN w:val="0"/>
        <w:spacing w:line="360" w:lineRule="auto"/>
        <w:ind w:left="864" w:right="661" w:firstLine="420" w:firstLineChars="200"/>
        <w:jc w:val="left"/>
        <w:rPr>
          <w:rFonts w:ascii="宋体" w:hAnsi="宋体" w:cs="宋体"/>
          <w:kern w:val="0"/>
          <w:szCs w:val="21"/>
          <w:lang w:val="zh-CN" w:bidi="zh-CN"/>
        </w:rPr>
      </w:pPr>
      <w:r>
        <w:rPr>
          <w:rFonts w:ascii="宋体" w:hAnsi="宋体" w:cs="宋体"/>
          <w:kern w:val="0"/>
          <w:szCs w:val="21"/>
          <w:lang w:val="zh-CN" w:bidi="zh-CN"/>
        </w:rPr>
        <w:t>发包人：</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(盖单位章)</w:t>
      </w:r>
      <w:r>
        <w:rPr>
          <w:rFonts w:ascii="宋体" w:hAnsi="宋体" w:cs="宋体"/>
          <w:kern w:val="0"/>
          <w:szCs w:val="21"/>
          <w:lang w:val="zh-CN" w:bidi="zh-CN"/>
        </w:rPr>
        <w:tab/>
      </w:r>
      <w:r>
        <w:rPr>
          <w:rFonts w:ascii="宋体" w:hAnsi="宋体" w:cs="宋体"/>
          <w:kern w:val="0"/>
          <w:szCs w:val="21"/>
          <w:lang w:val="zh-CN" w:bidi="zh-CN"/>
        </w:rPr>
        <w:tab/>
      </w:r>
      <w:r>
        <w:rPr>
          <w:rFonts w:ascii="宋体" w:hAnsi="宋体" w:cs="宋体"/>
          <w:kern w:val="0"/>
          <w:szCs w:val="21"/>
          <w:lang w:val="zh-CN" w:bidi="zh-CN"/>
        </w:rPr>
        <w:t>承包人：</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(盖单位章) 法定代表人</w:t>
      </w:r>
      <w:r>
        <w:rPr>
          <w:rFonts w:ascii="宋体" w:hAnsi="宋体" w:cs="宋体"/>
          <w:kern w:val="0"/>
          <w:szCs w:val="21"/>
          <w:lang w:val="zh-CN" w:bidi="zh-CN"/>
        </w:rPr>
        <w:tab/>
      </w:r>
      <w:r>
        <w:rPr>
          <w:rFonts w:ascii="宋体" w:hAnsi="宋体" w:cs="宋体"/>
          <w:kern w:val="0"/>
          <w:szCs w:val="21"/>
          <w:lang w:val="zh-CN" w:bidi="zh-CN"/>
        </w:rPr>
        <w:tab/>
      </w:r>
      <w:r>
        <w:rPr>
          <w:rFonts w:ascii="宋体" w:hAnsi="宋体" w:cs="宋体"/>
          <w:kern w:val="0"/>
          <w:szCs w:val="21"/>
          <w:lang w:val="zh-CN" w:bidi="zh-CN"/>
        </w:rPr>
        <w:t>法定代表人</w:t>
      </w:r>
    </w:p>
    <w:p w14:paraId="31546CCE">
      <w:pPr>
        <w:tabs>
          <w:tab w:val="left" w:pos="3503"/>
          <w:tab w:val="left" w:pos="5102"/>
          <w:tab w:val="left" w:pos="7742"/>
        </w:tabs>
        <w:autoSpaceDE w:val="0"/>
        <w:autoSpaceDN w:val="0"/>
        <w:spacing w:line="360" w:lineRule="auto"/>
        <w:ind w:left="864" w:firstLine="420" w:firstLineChars="200"/>
        <w:jc w:val="left"/>
        <w:rPr>
          <w:rFonts w:ascii="宋体" w:hAnsi="宋体" w:cs="宋体"/>
          <w:kern w:val="0"/>
          <w:szCs w:val="21"/>
          <w:lang w:val="zh-CN" w:bidi="zh-CN"/>
        </w:rPr>
      </w:pPr>
      <w:r>
        <w:rPr>
          <w:rFonts w:ascii="宋体" w:hAnsi="宋体" w:cs="宋体"/>
          <w:kern w:val="0"/>
          <w:szCs w:val="21"/>
          <w:lang w:val="zh-CN" w:bidi="zh-CN"/>
        </w:rPr>
        <w:t>或其委托代理人：</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(签字)</w:t>
      </w:r>
      <w:r>
        <w:rPr>
          <w:rFonts w:ascii="宋体" w:hAnsi="宋体" w:cs="宋体"/>
          <w:kern w:val="0"/>
          <w:szCs w:val="21"/>
          <w:lang w:val="zh-CN" w:bidi="zh-CN"/>
        </w:rPr>
        <w:tab/>
      </w:r>
      <w:r>
        <w:rPr>
          <w:rFonts w:ascii="宋体" w:hAnsi="宋体" w:cs="宋体"/>
          <w:kern w:val="0"/>
          <w:szCs w:val="21"/>
          <w:lang w:val="zh-CN" w:bidi="zh-CN"/>
        </w:rPr>
        <w:t>或其委托代理人：</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(签字)</w:t>
      </w:r>
    </w:p>
    <w:p w14:paraId="0C8CB442">
      <w:pPr>
        <w:autoSpaceDE w:val="0"/>
        <w:autoSpaceDN w:val="0"/>
        <w:spacing w:line="360" w:lineRule="auto"/>
        <w:ind w:firstLine="420" w:firstLineChars="200"/>
        <w:jc w:val="left"/>
        <w:rPr>
          <w:rFonts w:ascii="宋体" w:hAnsi="宋体" w:cs="宋体"/>
          <w:kern w:val="0"/>
          <w:szCs w:val="21"/>
          <w:lang w:val="zh-CN" w:bidi="zh-CN"/>
        </w:rPr>
      </w:pPr>
    </w:p>
    <w:p w14:paraId="5C32FC95">
      <w:pPr>
        <w:autoSpaceDE w:val="0"/>
        <w:autoSpaceDN w:val="0"/>
        <w:spacing w:before="8" w:line="360" w:lineRule="auto"/>
        <w:ind w:firstLine="420" w:firstLineChars="200"/>
        <w:jc w:val="left"/>
        <w:rPr>
          <w:rFonts w:ascii="宋体" w:hAnsi="宋体" w:cs="宋体"/>
          <w:kern w:val="0"/>
          <w:szCs w:val="21"/>
          <w:lang w:val="zh-CN" w:bidi="zh-CN"/>
        </w:rPr>
      </w:pPr>
    </w:p>
    <w:p w14:paraId="7DC97A6C">
      <w:pPr>
        <w:tabs>
          <w:tab w:val="left" w:pos="2543"/>
          <w:tab w:val="left" w:pos="3263"/>
          <w:tab w:val="left" w:pos="3983"/>
          <w:tab w:val="left" w:pos="6143"/>
          <w:tab w:val="left" w:pos="7103"/>
          <w:tab w:val="left" w:pos="7823"/>
          <w:tab w:val="left" w:pos="8543"/>
        </w:tabs>
        <w:autoSpaceDE w:val="0"/>
        <w:autoSpaceDN w:val="0"/>
        <w:spacing w:before="67" w:line="360" w:lineRule="auto"/>
        <w:ind w:left="1583" w:firstLine="420" w:firstLineChars="200"/>
        <w:jc w:val="left"/>
        <w:rPr>
          <w:rFonts w:ascii="宋体" w:hAnsi="宋体" w:cs="宋体"/>
          <w:kern w:val="0"/>
          <w:szCs w:val="21"/>
          <w:lang w:val="zh-CN" w:bidi="zh-CN"/>
        </w:rPr>
      </w:pP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年</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月</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日</w:t>
      </w:r>
      <w:r>
        <w:rPr>
          <w:rFonts w:ascii="宋体" w:hAnsi="宋体" w:cs="宋体"/>
          <w:kern w:val="0"/>
          <w:szCs w:val="21"/>
          <w:lang w:val="zh-CN" w:bidi="zh-CN"/>
        </w:rPr>
        <w:tab/>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年</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月</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日</w:t>
      </w:r>
    </w:p>
    <w:p w14:paraId="63AEA442">
      <w:pPr>
        <w:autoSpaceDE w:val="0"/>
        <w:autoSpaceDN w:val="0"/>
        <w:spacing w:before="10" w:line="360" w:lineRule="auto"/>
        <w:ind w:firstLine="420" w:firstLineChars="200"/>
        <w:jc w:val="left"/>
        <w:rPr>
          <w:rFonts w:ascii="宋体" w:hAnsi="宋体" w:cs="宋体"/>
          <w:kern w:val="0"/>
          <w:szCs w:val="21"/>
          <w:lang w:val="zh-CN" w:bidi="zh-CN"/>
        </w:rPr>
      </w:pPr>
    </w:p>
    <w:p w14:paraId="264E0B80">
      <w:pPr>
        <w:widowControl/>
        <w:jc w:val="left"/>
        <w:rPr>
          <w:rFonts w:ascii="宋体" w:hAnsi="宋体" w:cs="宋体"/>
          <w:kern w:val="0"/>
          <w:szCs w:val="21"/>
          <w:lang w:val="zh-CN" w:bidi="zh-CN"/>
        </w:rPr>
      </w:pPr>
      <w:r>
        <w:rPr>
          <w:rFonts w:ascii="宋体" w:hAnsi="宋体" w:cs="宋体"/>
          <w:kern w:val="0"/>
          <w:szCs w:val="21"/>
          <w:lang w:val="zh-CN" w:bidi="zh-CN"/>
        </w:rPr>
        <w:br w:type="page"/>
      </w:r>
    </w:p>
    <w:p w14:paraId="5930A4AD">
      <w:pPr>
        <w:keepNext/>
        <w:keepLines/>
        <w:widowControl/>
        <w:spacing w:before="260" w:after="260" w:line="415" w:lineRule="auto"/>
        <w:jc w:val="left"/>
        <w:outlineLvl w:val="2"/>
        <w:rPr>
          <w:rFonts w:ascii="宋体" w:hAnsi="宋体" w:cs="宋体"/>
          <w:b/>
          <w:bCs/>
          <w:kern w:val="0"/>
          <w:szCs w:val="21"/>
          <w:lang w:val="zh-CN" w:bidi="zh-CN"/>
        </w:rPr>
      </w:pPr>
      <w:bookmarkStart w:id="155" w:name="_Toc256000075"/>
      <w:r>
        <w:rPr>
          <w:rFonts w:ascii="宋体" w:hAnsi="宋体" w:cs="宋体"/>
          <w:b/>
          <w:bCs/>
          <w:kern w:val="0"/>
          <w:szCs w:val="21"/>
          <w:lang w:val="zh-CN" w:bidi="zh-CN"/>
        </w:rPr>
        <w:t>附件二 廉政合同</w:t>
      </w:r>
      <w:bookmarkEnd w:id="155"/>
    </w:p>
    <w:p w14:paraId="082FF1C7">
      <w:pPr>
        <w:autoSpaceDE w:val="0"/>
        <w:autoSpaceDN w:val="0"/>
        <w:spacing w:line="360" w:lineRule="auto"/>
        <w:jc w:val="center"/>
        <w:rPr>
          <w:rFonts w:ascii="宋体" w:hAnsi="宋体" w:cs="宋体"/>
          <w:kern w:val="0"/>
          <w:szCs w:val="21"/>
          <w:lang w:val="zh-CN" w:bidi="zh-CN"/>
        </w:rPr>
      </w:pPr>
      <w:r>
        <w:rPr>
          <w:rFonts w:ascii="宋体" w:hAnsi="宋体" w:cs="宋体"/>
          <w:kern w:val="0"/>
          <w:szCs w:val="21"/>
          <w:lang w:val="zh-CN" w:bidi="zh-CN"/>
        </w:rPr>
        <w:t>廉 政 合 同</w:t>
      </w:r>
    </w:p>
    <w:p w14:paraId="1FD28BFC">
      <w:pPr>
        <w:autoSpaceDE w:val="0"/>
        <w:autoSpaceDN w:val="0"/>
        <w:spacing w:line="360" w:lineRule="auto"/>
        <w:ind w:firstLine="420" w:firstLineChars="200"/>
        <w:jc w:val="left"/>
        <w:rPr>
          <w:rFonts w:ascii="宋体" w:hAnsi="宋体" w:cs="宋体"/>
          <w:kern w:val="0"/>
          <w:szCs w:val="21"/>
          <w:lang w:val="zh-CN" w:bidi="zh-CN"/>
        </w:rPr>
      </w:pPr>
    </w:p>
    <w:p w14:paraId="373B6E9F">
      <w:pPr>
        <w:tabs>
          <w:tab w:val="left" w:pos="2443"/>
          <w:tab w:val="left" w:pos="2783"/>
          <w:tab w:val="left" w:pos="7132"/>
          <w:tab w:val="left" w:pos="8095"/>
        </w:tabs>
        <w:autoSpaceDE w:val="0"/>
        <w:autoSpaceDN w:val="0"/>
        <w:spacing w:line="360" w:lineRule="auto"/>
        <w:ind w:left="384" w:right="346" w:firstLine="420" w:firstLineChars="200"/>
        <w:jc w:val="left"/>
        <w:rPr>
          <w:rFonts w:ascii="宋体" w:hAnsi="宋体" w:cs="宋体"/>
          <w:kern w:val="0"/>
          <w:szCs w:val="21"/>
          <w:lang w:val="zh-CN" w:bidi="zh-CN"/>
        </w:rPr>
      </w:pPr>
      <w:r>
        <w:rPr>
          <w:rFonts w:ascii="宋体" w:hAnsi="宋体" w:cs="宋体"/>
          <w:kern w:val="0"/>
          <w:szCs w:val="21"/>
          <w:lang w:val="zh-CN" w:bidi="zh-CN"/>
        </w:rPr>
        <w:t>根据《关于在交通基础设施建设中加强廉政建设的若干意见》以及有关工程建设</w:t>
      </w:r>
      <w:r>
        <w:rPr>
          <w:rFonts w:ascii="宋体" w:hAnsi="宋体" w:cs="宋体"/>
          <w:spacing w:val="-29"/>
          <w:kern w:val="0"/>
          <w:szCs w:val="21"/>
          <w:lang w:val="zh-CN" w:bidi="zh-CN"/>
        </w:rPr>
        <w:t>、</w:t>
      </w:r>
      <w:r>
        <w:rPr>
          <w:rFonts w:ascii="宋体" w:hAnsi="宋体" w:cs="宋体"/>
          <w:kern w:val="0"/>
          <w:szCs w:val="21"/>
          <w:lang w:val="zh-CN" w:bidi="zh-CN"/>
        </w:rPr>
        <w:t>廉政建设的规定</w:t>
      </w:r>
      <w:r>
        <w:rPr>
          <w:rFonts w:ascii="宋体" w:hAnsi="宋体" w:cs="宋体"/>
          <w:spacing w:val="-29"/>
          <w:kern w:val="0"/>
          <w:szCs w:val="21"/>
          <w:lang w:val="zh-CN" w:bidi="zh-CN"/>
        </w:rPr>
        <w:t>，</w:t>
      </w:r>
      <w:r>
        <w:rPr>
          <w:rFonts w:ascii="宋体" w:hAnsi="宋体" w:cs="宋体"/>
          <w:kern w:val="0"/>
          <w:szCs w:val="21"/>
          <w:lang w:val="zh-CN" w:bidi="zh-CN"/>
        </w:rPr>
        <w:t>为做好工程建设中的党风廉政建设</w:t>
      </w:r>
      <w:r>
        <w:rPr>
          <w:rFonts w:ascii="宋体" w:hAnsi="宋体" w:cs="宋体"/>
          <w:spacing w:val="-29"/>
          <w:kern w:val="0"/>
          <w:szCs w:val="21"/>
          <w:lang w:val="zh-CN" w:bidi="zh-CN"/>
        </w:rPr>
        <w:t>，</w:t>
      </w:r>
      <w:r>
        <w:rPr>
          <w:rFonts w:ascii="宋体" w:hAnsi="宋体" w:cs="宋体"/>
          <w:kern w:val="0"/>
          <w:szCs w:val="21"/>
          <w:lang w:val="zh-CN" w:bidi="zh-CN"/>
        </w:rPr>
        <w:t>保证工程建设高效优质， 保证建设资金的安全和有效使用以及投资效益，</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（项目名称）的项目法人</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（项目法人名称，以下简称“发包人”）与该项目</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标段的施工单位</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u w:val="single"/>
          <w:lang w:val="zh-CN" w:bidi="zh-CN"/>
        </w:rPr>
        <w:tab/>
      </w:r>
      <w:r>
        <w:rPr>
          <w:rFonts w:ascii="宋体" w:hAnsi="宋体" w:cs="宋体"/>
          <w:kern w:val="0"/>
          <w:szCs w:val="21"/>
          <w:lang w:val="zh-CN" w:bidi="zh-CN"/>
        </w:rPr>
        <w:t>（施工单位名称，以下简称“承包人”），特订立如下合同。</w:t>
      </w:r>
    </w:p>
    <w:p w14:paraId="557DCA63">
      <w:pPr>
        <w:numPr>
          <w:ilvl w:val="0"/>
          <w:numId w:val="10"/>
        </w:numPr>
        <w:tabs>
          <w:tab w:val="left" w:pos="1164"/>
        </w:tabs>
        <w:autoSpaceDE w:val="0"/>
        <w:autoSpaceDN w:val="0"/>
        <w:spacing w:before="3"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发包人和承包人双方的权利和义务</w:t>
      </w:r>
    </w:p>
    <w:p w14:paraId="5C7D8707">
      <w:pPr>
        <w:autoSpaceDE w:val="0"/>
        <w:autoSpaceDN w:val="0"/>
        <w:spacing w:line="360" w:lineRule="auto"/>
        <w:ind w:left="384" w:right="466" w:firstLine="396" w:firstLineChars="200"/>
        <w:rPr>
          <w:rFonts w:ascii="宋体" w:hAnsi="宋体" w:cs="宋体"/>
          <w:spacing w:val="-6"/>
          <w:kern w:val="0"/>
          <w:szCs w:val="21"/>
          <w:lang w:val="zh-CN" w:bidi="zh-CN"/>
        </w:rPr>
      </w:pPr>
      <w:r>
        <w:rPr>
          <w:rFonts w:ascii="宋体" w:hAnsi="宋体" w:cs="宋体"/>
          <w:spacing w:val="-6"/>
          <w:kern w:val="0"/>
          <w:szCs w:val="21"/>
          <w:lang w:val="zh-CN" w:bidi="zh-CN"/>
        </w:rPr>
        <w:t>（1）严格遵守党的政策规定和国家有关法律法规及交通运输部的有关规定。</w:t>
      </w:r>
    </w:p>
    <w:p w14:paraId="50067DC1">
      <w:pPr>
        <w:tabs>
          <w:tab w:val="left" w:pos="3460"/>
          <w:tab w:val="left" w:pos="5481"/>
        </w:tabs>
        <w:autoSpaceDE w:val="0"/>
        <w:autoSpaceDN w:val="0"/>
        <w:spacing w:before="93" w:line="360" w:lineRule="auto"/>
        <w:ind w:left="384" w:right="466" w:firstLine="388" w:firstLineChars="200"/>
        <w:jc w:val="left"/>
        <w:rPr>
          <w:rFonts w:ascii="宋体" w:hAnsi="宋体" w:cs="宋体"/>
          <w:kern w:val="0"/>
          <w:szCs w:val="21"/>
          <w:lang w:val="zh-CN" w:bidi="zh-CN"/>
        </w:rPr>
      </w:pPr>
      <w:r>
        <w:rPr>
          <w:rFonts w:ascii="宋体" w:hAnsi="宋体" w:cs="宋体"/>
          <w:spacing w:val="-8"/>
          <w:kern w:val="0"/>
          <w:szCs w:val="21"/>
          <w:lang w:val="zh-CN" w:bidi="zh-CN"/>
        </w:rPr>
        <w:t>（2）</w:t>
      </w:r>
      <w:r>
        <w:rPr>
          <w:rFonts w:ascii="宋体" w:hAnsi="宋体" w:cs="宋体"/>
          <w:kern w:val="0"/>
          <w:szCs w:val="21"/>
          <w:lang w:val="zh-CN" w:bidi="zh-CN"/>
        </w:rPr>
        <w:t>严格执行</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（项目名称</w:t>
      </w:r>
      <w:r>
        <w:rPr>
          <w:rFonts w:ascii="宋体" w:hAnsi="宋体" w:cs="宋体"/>
          <w:spacing w:val="-23"/>
          <w:kern w:val="0"/>
          <w:szCs w:val="21"/>
          <w:lang w:val="zh-CN" w:bidi="zh-CN"/>
        </w:rPr>
        <w:t>）</w:t>
      </w:r>
      <w:r>
        <w:rPr>
          <w:rFonts w:ascii="宋体" w:hAnsi="宋体" w:cs="宋体"/>
          <w:spacing w:val="-23"/>
          <w:kern w:val="0"/>
          <w:szCs w:val="21"/>
          <w:u w:val="single"/>
          <w:lang w:val="zh-CN" w:bidi="zh-CN"/>
        </w:rPr>
        <w:t xml:space="preserve"> </w:t>
      </w:r>
      <w:r>
        <w:rPr>
          <w:rFonts w:ascii="宋体" w:hAnsi="宋体" w:cs="宋体"/>
          <w:spacing w:val="-23"/>
          <w:kern w:val="0"/>
          <w:szCs w:val="21"/>
          <w:u w:val="single"/>
          <w:lang w:val="zh-CN" w:bidi="zh-CN"/>
        </w:rPr>
        <w:tab/>
      </w:r>
      <w:r>
        <w:rPr>
          <w:rFonts w:ascii="宋体" w:hAnsi="宋体" w:cs="宋体"/>
          <w:kern w:val="0"/>
          <w:szCs w:val="21"/>
          <w:lang w:val="zh-CN" w:bidi="zh-CN"/>
        </w:rPr>
        <w:t>标段施工合同文件</w:t>
      </w:r>
      <w:r>
        <w:rPr>
          <w:rFonts w:ascii="宋体" w:hAnsi="宋体" w:cs="宋体"/>
          <w:spacing w:val="-22"/>
          <w:kern w:val="0"/>
          <w:szCs w:val="21"/>
          <w:lang w:val="zh-CN" w:bidi="zh-CN"/>
        </w:rPr>
        <w:t>，</w:t>
      </w:r>
      <w:r>
        <w:rPr>
          <w:rFonts w:ascii="宋体" w:hAnsi="宋体" w:cs="宋体"/>
          <w:kern w:val="0"/>
          <w:szCs w:val="21"/>
          <w:lang w:val="zh-CN" w:bidi="zh-CN"/>
        </w:rPr>
        <w:t>自觉按合同办事。</w:t>
      </w:r>
    </w:p>
    <w:p w14:paraId="5142E5C0">
      <w:pPr>
        <w:autoSpaceDE w:val="0"/>
        <w:autoSpaceDN w:val="0"/>
        <w:spacing w:line="360" w:lineRule="auto"/>
        <w:ind w:left="384" w:right="466" w:firstLine="396" w:firstLineChars="200"/>
        <w:rPr>
          <w:rFonts w:ascii="宋体" w:hAnsi="宋体" w:cs="宋体"/>
          <w:kern w:val="0"/>
          <w:szCs w:val="21"/>
          <w:lang w:val="zh-CN" w:bidi="zh-CN"/>
        </w:rPr>
      </w:pPr>
      <w:r>
        <w:rPr>
          <w:rFonts w:ascii="宋体" w:hAnsi="宋体" w:cs="宋体"/>
          <w:spacing w:val="-6"/>
          <w:kern w:val="0"/>
          <w:szCs w:val="21"/>
          <w:lang w:val="zh-CN" w:bidi="zh-CN"/>
        </w:rPr>
        <w:t>（3）</w:t>
      </w:r>
      <w:r>
        <w:rPr>
          <w:rFonts w:ascii="宋体" w:hAnsi="宋体" w:cs="宋体"/>
          <w:spacing w:val="-5"/>
          <w:kern w:val="0"/>
          <w:szCs w:val="21"/>
          <w:lang w:val="zh-CN" w:bidi="zh-CN"/>
        </w:rPr>
        <w:t>双方的业务活动坚持公开、公正、诚信、透明的原则</w:t>
      </w:r>
      <w:r>
        <w:rPr>
          <w:rFonts w:ascii="宋体" w:hAnsi="宋体" w:cs="宋体"/>
          <w:kern w:val="0"/>
          <w:szCs w:val="21"/>
          <w:lang w:val="zh-CN" w:bidi="zh-CN"/>
        </w:rPr>
        <w:t>（法律认定的商业秘密和合同文件另有规定除外），不得损害国家和集体利益，不得违反工程建设管理规章制度。</w:t>
      </w:r>
    </w:p>
    <w:p w14:paraId="65FE510E">
      <w:pPr>
        <w:autoSpaceDE w:val="0"/>
        <w:autoSpaceDN w:val="0"/>
        <w:spacing w:line="360" w:lineRule="auto"/>
        <w:ind w:left="384" w:right="386" w:firstLine="420" w:firstLineChars="200"/>
        <w:jc w:val="left"/>
        <w:rPr>
          <w:rFonts w:ascii="宋体" w:hAnsi="宋体" w:cs="宋体"/>
          <w:kern w:val="0"/>
          <w:szCs w:val="21"/>
          <w:lang w:val="zh-CN" w:bidi="zh-CN"/>
        </w:rPr>
      </w:pPr>
      <w:r>
        <w:rPr>
          <w:rFonts w:ascii="宋体" w:hAnsi="宋体" w:cs="宋体"/>
          <w:kern w:val="0"/>
          <w:szCs w:val="21"/>
          <w:lang w:val="zh-CN" w:bidi="zh-CN"/>
        </w:rPr>
        <w:t>（4）建立健全廉政制度，开展廉政教育，设立廉政告示牌，公布举报电话，监督并认真查处违法违纪行为。</w:t>
      </w:r>
    </w:p>
    <w:p w14:paraId="3EF79E82">
      <w:pPr>
        <w:autoSpaceDE w:val="0"/>
        <w:autoSpaceDN w:val="0"/>
        <w:spacing w:before="2" w:line="360" w:lineRule="auto"/>
        <w:ind w:left="384" w:right="386" w:firstLine="420" w:firstLineChars="200"/>
        <w:jc w:val="left"/>
        <w:rPr>
          <w:rFonts w:ascii="宋体" w:hAnsi="宋体" w:cs="宋体"/>
          <w:kern w:val="0"/>
          <w:szCs w:val="21"/>
          <w:lang w:val="zh-CN" w:bidi="zh-CN"/>
        </w:rPr>
      </w:pPr>
      <w:r>
        <w:rPr>
          <w:rFonts w:ascii="宋体" w:hAnsi="宋体" w:cs="宋体"/>
          <w:kern w:val="0"/>
          <w:szCs w:val="21"/>
          <w:lang w:val="zh-CN" w:bidi="zh-CN"/>
        </w:rPr>
        <w:t>（5）发现对方在业务活动中有违反廉政规定的行为，有及时提醒对方纠正的权利和义务。</w:t>
      </w:r>
    </w:p>
    <w:p w14:paraId="6A014339">
      <w:pPr>
        <w:autoSpaceDE w:val="0"/>
        <w:autoSpaceDN w:val="0"/>
        <w:spacing w:line="360" w:lineRule="auto"/>
        <w:ind w:left="384" w:right="386" w:firstLine="420" w:firstLineChars="200"/>
        <w:jc w:val="left"/>
        <w:rPr>
          <w:rFonts w:ascii="宋体" w:hAnsi="宋体" w:cs="宋体"/>
          <w:kern w:val="0"/>
          <w:szCs w:val="21"/>
          <w:lang w:val="zh-CN" w:bidi="zh-CN"/>
        </w:rPr>
      </w:pPr>
      <w:r>
        <w:rPr>
          <w:rFonts w:ascii="宋体" w:hAnsi="宋体" w:cs="宋体"/>
          <w:kern w:val="0"/>
          <w:szCs w:val="21"/>
          <w:lang w:val="zh-CN" w:bidi="zh-CN"/>
        </w:rPr>
        <w:t>（6）发现对方严重违反本合同义务条款的行为，有向其上级有关部门举报、建议给予处理并要求告知处理结果的权利。</w:t>
      </w:r>
    </w:p>
    <w:p w14:paraId="75F95A9F">
      <w:pPr>
        <w:numPr>
          <w:ilvl w:val="0"/>
          <w:numId w:val="10"/>
        </w:numPr>
        <w:tabs>
          <w:tab w:val="left" w:pos="1164"/>
        </w:tabs>
        <w:autoSpaceDE w:val="0"/>
        <w:autoSpaceDN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发包人的义务</w:t>
      </w:r>
    </w:p>
    <w:p w14:paraId="0FDECCBE">
      <w:pPr>
        <w:autoSpaceDE w:val="0"/>
        <w:autoSpaceDN w:val="0"/>
        <w:spacing w:before="93" w:line="360" w:lineRule="auto"/>
        <w:ind w:left="384" w:right="346" w:firstLine="420" w:firstLineChars="200"/>
        <w:jc w:val="left"/>
        <w:rPr>
          <w:rFonts w:ascii="宋体" w:hAnsi="宋体" w:cs="宋体"/>
          <w:kern w:val="0"/>
          <w:szCs w:val="21"/>
          <w:lang w:val="zh-CN" w:bidi="zh-CN"/>
        </w:rPr>
      </w:pPr>
      <w:r>
        <w:rPr>
          <w:rFonts w:ascii="宋体" w:hAnsi="宋体" w:cs="宋体"/>
          <w:kern w:val="0"/>
          <w:szCs w:val="21"/>
          <w:lang w:val="zh-CN" w:bidi="zh-CN"/>
        </w:rPr>
        <w:t>（1</w:t>
      </w:r>
      <w:r>
        <w:rPr>
          <w:rFonts w:ascii="宋体" w:hAnsi="宋体" w:cs="宋体"/>
          <w:spacing w:val="-104"/>
          <w:kern w:val="0"/>
          <w:szCs w:val="21"/>
          <w:lang w:val="zh-CN" w:bidi="zh-CN"/>
        </w:rPr>
        <w:t>）</w:t>
      </w:r>
      <w:r>
        <w:rPr>
          <w:rFonts w:ascii="宋体" w:hAnsi="宋体" w:cs="宋体"/>
          <w:spacing w:val="-5"/>
          <w:kern w:val="0"/>
          <w:szCs w:val="21"/>
          <w:lang w:val="zh-CN" w:bidi="zh-CN"/>
        </w:rPr>
        <w:t>发包人及其工作人员不得索要或接受承包人的礼金、有价证券和贵重物品，不得让承包人报销任何应由发包人或发包人工作人员个人支付的费用等。</w:t>
      </w:r>
    </w:p>
    <w:p w14:paraId="7A0AF488">
      <w:pPr>
        <w:autoSpaceDE w:val="0"/>
        <w:autoSpaceDN w:val="0"/>
        <w:spacing w:line="360" w:lineRule="auto"/>
        <w:ind w:left="384" w:right="386" w:firstLine="420" w:firstLineChars="200"/>
        <w:jc w:val="left"/>
        <w:rPr>
          <w:rFonts w:ascii="宋体" w:hAnsi="宋体" w:cs="宋体"/>
          <w:kern w:val="0"/>
          <w:szCs w:val="21"/>
          <w:lang w:val="zh-CN" w:bidi="zh-CN"/>
        </w:rPr>
      </w:pPr>
      <w:r>
        <w:rPr>
          <w:rFonts w:ascii="宋体" w:hAnsi="宋体" w:cs="宋体"/>
          <w:kern w:val="0"/>
          <w:szCs w:val="21"/>
          <w:lang w:val="zh-CN" w:bidi="zh-CN"/>
        </w:rPr>
        <w:t>（2）发包人工作人员不得参加承包人安排的超标准宴请和娱乐活动；不得接受承包人提供的通信工具、交通工具和高档办公用品等。</w:t>
      </w:r>
    </w:p>
    <w:p w14:paraId="364CCCF6">
      <w:pPr>
        <w:autoSpaceDE w:val="0"/>
        <w:autoSpaceDN w:val="0"/>
        <w:spacing w:before="2" w:line="360" w:lineRule="auto"/>
        <w:ind w:left="384" w:right="386" w:firstLine="420" w:firstLineChars="200"/>
        <w:jc w:val="left"/>
        <w:rPr>
          <w:rFonts w:ascii="宋体" w:hAnsi="宋体" w:cs="宋体"/>
          <w:kern w:val="0"/>
          <w:szCs w:val="21"/>
          <w:lang w:val="zh-CN" w:bidi="zh-CN"/>
        </w:rPr>
      </w:pPr>
      <w:r>
        <w:rPr>
          <w:rFonts w:ascii="宋体" w:hAnsi="宋体" w:cs="宋体"/>
          <w:kern w:val="0"/>
          <w:szCs w:val="21"/>
          <w:lang w:val="zh-CN" w:bidi="zh-CN"/>
        </w:rPr>
        <w:t>（3）发包人及其工作人员不得要求或者接受承包人为其住房装修、婚丧嫁娶活动、配偶子女的工作安排以及出国出境、旅游等提供方便等。</w:t>
      </w:r>
    </w:p>
    <w:p w14:paraId="2B84066E">
      <w:pPr>
        <w:autoSpaceDE w:val="0"/>
        <w:autoSpaceDN w:val="0"/>
        <w:spacing w:line="360" w:lineRule="auto"/>
        <w:ind w:left="384" w:right="386" w:firstLine="420" w:firstLineChars="200"/>
        <w:jc w:val="left"/>
        <w:rPr>
          <w:rFonts w:ascii="宋体" w:hAnsi="宋体" w:cs="宋体"/>
          <w:kern w:val="0"/>
          <w:szCs w:val="21"/>
          <w:lang w:val="zh-CN" w:bidi="zh-CN"/>
        </w:rPr>
      </w:pPr>
      <w:r>
        <w:rPr>
          <w:rFonts w:ascii="宋体" w:hAnsi="宋体" w:cs="宋体"/>
          <w:kern w:val="0"/>
          <w:szCs w:val="21"/>
          <w:lang w:val="zh-CN" w:bidi="zh-CN"/>
        </w:rPr>
        <w:t>（4）发包人工作人员及其配偶、子女不得从事与发包人工程有关的材料设备供应、工程分包、劳务等经济活动等。</w:t>
      </w:r>
    </w:p>
    <w:p w14:paraId="01CD2F0B">
      <w:pPr>
        <w:autoSpaceDE w:val="0"/>
        <w:autoSpaceDN w:val="0"/>
        <w:spacing w:line="360" w:lineRule="auto"/>
        <w:ind w:left="384" w:right="382" w:firstLine="420" w:firstLineChars="200"/>
        <w:jc w:val="left"/>
        <w:rPr>
          <w:rFonts w:ascii="宋体" w:hAnsi="宋体" w:cs="宋体"/>
          <w:kern w:val="0"/>
          <w:szCs w:val="21"/>
          <w:lang w:val="zh-CN" w:bidi="zh-CN"/>
        </w:rPr>
      </w:pPr>
      <w:r>
        <w:rPr>
          <w:rFonts w:ascii="宋体" w:hAnsi="宋体" w:cs="宋体"/>
          <w:kern w:val="0"/>
          <w:szCs w:val="21"/>
          <w:lang w:val="zh-CN" w:bidi="zh-CN"/>
        </w:rPr>
        <w:t>（5）发包人及其工作人员不得以任何理由向承包人推荐分包单位或推销材料， 不得要求承包人购买合同规定外的材料和设备。</w:t>
      </w:r>
    </w:p>
    <w:p w14:paraId="3E880CE2">
      <w:pPr>
        <w:autoSpaceDE w:val="0"/>
        <w:autoSpaceDN w:val="0"/>
        <w:spacing w:before="2" w:line="360" w:lineRule="auto"/>
        <w:ind w:left="384" w:right="386" w:firstLine="420" w:firstLineChars="200"/>
        <w:jc w:val="left"/>
        <w:rPr>
          <w:rFonts w:ascii="宋体" w:hAnsi="宋体" w:cs="宋体"/>
          <w:kern w:val="0"/>
          <w:szCs w:val="21"/>
          <w:lang w:val="zh-CN" w:bidi="zh-CN"/>
        </w:rPr>
      </w:pPr>
      <w:r>
        <w:rPr>
          <w:rFonts w:ascii="宋体" w:hAnsi="宋体" w:cs="宋体"/>
          <w:kern w:val="0"/>
          <w:szCs w:val="21"/>
          <w:lang w:val="zh-CN" w:bidi="zh-CN"/>
        </w:rPr>
        <w:t>（6）发包人工作人员要秉公办事，不准营私舞弊，不准利用职权从事各种个人有偿中介活动和安排个人施工队伍。</w:t>
      </w:r>
    </w:p>
    <w:p w14:paraId="475A2D37">
      <w:pPr>
        <w:numPr>
          <w:ilvl w:val="0"/>
          <w:numId w:val="10"/>
        </w:numPr>
        <w:tabs>
          <w:tab w:val="left" w:pos="1164"/>
        </w:tabs>
        <w:autoSpaceDE w:val="0"/>
        <w:autoSpaceDN w:val="0"/>
        <w:spacing w:before="74"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承包人的义务</w:t>
      </w:r>
    </w:p>
    <w:p w14:paraId="377F7706">
      <w:pPr>
        <w:autoSpaceDE w:val="0"/>
        <w:autoSpaceDN w:val="0"/>
        <w:spacing w:before="93" w:line="360" w:lineRule="auto"/>
        <w:ind w:left="384" w:right="346" w:firstLine="420" w:firstLineChars="200"/>
        <w:jc w:val="left"/>
        <w:rPr>
          <w:rFonts w:ascii="宋体" w:hAnsi="宋体" w:cs="宋体"/>
          <w:kern w:val="0"/>
          <w:szCs w:val="21"/>
          <w:lang w:val="zh-CN" w:bidi="zh-CN"/>
        </w:rPr>
      </w:pPr>
      <w:r>
        <w:rPr>
          <w:rFonts w:ascii="宋体" w:hAnsi="宋体" w:cs="宋体"/>
          <w:kern w:val="0"/>
          <w:szCs w:val="21"/>
          <w:lang w:val="zh-CN" w:bidi="zh-CN"/>
        </w:rPr>
        <w:t>（1</w:t>
      </w:r>
      <w:r>
        <w:rPr>
          <w:rFonts w:ascii="宋体" w:hAnsi="宋体" w:cs="宋体"/>
          <w:spacing w:val="-104"/>
          <w:kern w:val="0"/>
          <w:szCs w:val="21"/>
          <w:lang w:val="zh-CN" w:bidi="zh-CN"/>
        </w:rPr>
        <w:t>）</w:t>
      </w:r>
      <w:r>
        <w:rPr>
          <w:rFonts w:ascii="宋体" w:hAnsi="宋体" w:cs="宋体"/>
          <w:spacing w:val="-4"/>
          <w:kern w:val="0"/>
          <w:szCs w:val="21"/>
          <w:lang w:val="zh-CN" w:bidi="zh-CN"/>
        </w:rPr>
        <w:t>承包人不得以任何理由向发包人及其工作人员行贿或馈赠礼金、有价证券、贵重礼品。</w:t>
      </w:r>
    </w:p>
    <w:p w14:paraId="59DF8525">
      <w:pPr>
        <w:autoSpaceDE w:val="0"/>
        <w:autoSpaceDN w:val="0"/>
        <w:spacing w:line="360" w:lineRule="auto"/>
        <w:ind w:left="384" w:right="386" w:firstLine="420" w:firstLineChars="200"/>
        <w:jc w:val="left"/>
        <w:rPr>
          <w:rFonts w:ascii="宋体" w:hAnsi="宋体" w:cs="宋体"/>
          <w:kern w:val="0"/>
          <w:szCs w:val="21"/>
          <w:lang w:val="zh-CN" w:bidi="zh-CN"/>
        </w:rPr>
      </w:pPr>
      <w:r>
        <w:rPr>
          <w:rFonts w:ascii="宋体" w:hAnsi="宋体" w:cs="宋体"/>
          <w:kern w:val="0"/>
          <w:szCs w:val="21"/>
          <w:lang w:val="zh-CN" w:bidi="zh-CN"/>
        </w:rPr>
        <w:t>（2）承包人不得以任何名义为发包人及其工作人员报销应由发包人单位或个人支付的任何费用。</w:t>
      </w:r>
    </w:p>
    <w:p w14:paraId="7C9AF69B">
      <w:pPr>
        <w:autoSpaceDE w:val="0"/>
        <w:autoSpaceDN w:val="0"/>
        <w:spacing w:line="360" w:lineRule="auto"/>
        <w:ind w:left="384" w:right="386" w:firstLine="420" w:firstLineChars="200"/>
        <w:jc w:val="left"/>
        <w:rPr>
          <w:rFonts w:ascii="宋体" w:hAnsi="宋体" w:cs="宋体"/>
          <w:kern w:val="0"/>
          <w:szCs w:val="21"/>
          <w:lang w:val="zh-CN" w:bidi="zh-CN"/>
        </w:rPr>
      </w:pPr>
      <w:r>
        <w:rPr>
          <w:rFonts w:ascii="宋体" w:hAnsi="宋体" w:cs="宋体"/>
          <w:kern w:val="0"/>
          <w:szCs w:val="21"/>
          <w:lang w:val="zh-CN" w:bidi="zh-CN"/>
        </w:rPr>
        <w:t>（3）承包人不得以任何理由安排发包人工作人员参加超标准宴请及娱乐活动。</w:t>
      </w:r>
    </w:p>
    <w:p w14:paraId="6C29316F">
      <w:pPr>
        <w:autoSpaceDE w:val="0"/>
        <w:autoSpaceDN w:val="0"/>
        <w:spacing w:before="93" w:line="360" w:lineRule="auto"/>
        <w:ind w:left="384" w:right="386" w:firstLine="420" w:firstLineChars="200"/>
        <w:jc w:val="left"/>
        <w:rPr>
          <w:rFonts w:ascii="宋体" w:hAnsi="宋体" w:cs="宋体"/>
          <w:kern w:val="0"/>
          <w:szCs w:val="21"/>
          <w:lang w:val="zh-CN" w:bidi="zh-CN"/>
        </w:rPr>
      </w:pPr>
      <w:r>
        <w:rPr>
          <w:rFonts w:ascii="宋体" w:hAnsi="宋体" w:cs="宋体"/>
          <w:kern w:val="0"/>
          <w:szCs w:val="21"/>
          <w:lang w:val="zh-CN" w:bidi="zh-CN"/>
        </w:rPr>
        <w:t>（4）承包人不得为发包人单位和个人购置或提供通信工具、交通工具和高档办公用品等。</w:t>
      </w:r>
    </w:p>
    <w:p w14:paraId="16620956">
      <w:pPr>
        <w:numPr>
          <w:ilvl w:val="0"/>
          <w:numId w:val="10"/>
        </w:numPr>
        <w:tabs>
          <w:tab w:val="left" w:pos="1164"/>
        </w:tabs>
        <w:autoSpaceDE w:val="0"/>
        <w:autoSpaceDN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违约责任</w:t>
      </w:r>
    </w:p>
    <w:p w14:paraId="39F044C1">
      <w:pPr>
        <w:autoSpaceDE w:val="0"/>
        <w:autoSpaceDN w:val="0"/>
        <w:spacing w:before="94" w:line="360" w:lineRule="auto"/>
        <w:ind w:left="384" w:right="465" w:firstLine="420" w:firstLineChars="200"/>
        <w:rPr>
          <w:rFonts w:ascii="宋体" w:hAnsi="宋体" w:cs="宋体"/>
          <w:kern w:val="0"/>
          <w:szCs w:val="21"/>
          <w:lang w:val="zh-CN" w:bidi="zh-CN"/>
        </w:rPr>
      </w:pPr>
      <w:r>
        <w:rPr>
          <w:rFonts w:ascii="宋体" w:hAnsi="宋体" w:cs="宋体"/>
          <w:kern w:val="0"/>
          <w:szCs w:val="21"/>
          <w:lang w:val="zh-CN" w:bidi="zh-CN"/>
        </w:rPr>
        <w:t>（1）</w:t>
      </w:r>
      <w:r>
        <w:rPr>
          <w:rFonts w:ascii="宋体" w:hAnsi="宋体" w:cs="宋体"/>
          <w:spacing w:val="-3"/>
          <w:kern w:val="0"/>
          <w:szCs w:val="21"/>
          <w:lang w:val="zh-CN" w:bidi="zh-CN"/>
        </w:rPr>
        <w:t xml:space="preserve">发包人及其工作人员违反本合同第 </w:t>
      </w:r>
      <w:r>
        <w:rPr>
          <w:rFonts w:ascii="宋体" w:hAnsi="宋体" w:cs="宋体"/>
          <w:kern w:val="0"/>
          <w:szCs w:val="21"/>
          <w:lang w:val="zh-CN" w:bidi="zh-CN"/>
        </w:rPr>
        <w:t>1、2 条，按管理权限，依据有关规定给予党纪、政纪或组织处理；涉嫌犯罪的，移交司法机关追究刑事责任；给承包人单位造成经济损失的，应予以赔偿。</w:t>
      </w:r>
    </w:p>
    <w:p w14:paraId="1128FFB2">
      <w:pPr>
        <w:autoSpaceDE w:val="0"/>
        <w:autoSpaceDN w:val="0"/>
        <w:spacing w:line="360" w:lineRule="auto"/>
        <w:ind w:left="384" w:right="465" w:firstLine="420" w:firstLineChars="200"/>
        <w:rPr>
          <w:rFonts w:ascii="宋体" w:hAnsi="宋体" w:cs="宋体"/>
          <w:kern w:val="0"/>
          <w:szCs w:val="21"/>
          <w:lang w:val="zh-CN" w:bidi="zh-CN"/>
        </w:rPr>
      </w:pPr>
      <w:r>
        <w:rPr>
          <w:rFonts w:ascii="宋体" w:hAnsi="宋体" w:cs="宋体"/>
          <w:kern w:val="0"/>
          <w:szCs w:val="21"/>
          <w:lang w:val="zh-CN" w:bidi="zh-CN"/>
        </w:rPr>
        <w:t>（2）</w:t>
      </w:r>
      <w:r>
        <w:rPr>
          <w:rFonts w:ascii="宋体" w:hAnsi="宋体" w:cs="宋体"/>
          <w:spacing w:val="-3"/>
          <w:kern w:val="0"/>
          <w:szCs w:val="21"/>
          <w:lang w:val="zh-CN" w:bidi="zh-CN"/>
        </w:rPr>
        <w:t xml:space="preserve">承包人及其工作人员违反本合同第 </w:t>
      </w:r>
      <w:r>
        <w:rPr>
          <w:rFonts w:ascii="宋体" w:hAnsi="宋体" w:cs="宋体"/>
          <w:kern w:val="0"/>
          <w:szCs w:val="21"/>
          <w:lang w:val="zh-CN" w:bidi="zh-CN"/>
        </w:rPr>
        <w:t>1、3 条，按管理权限，依据有关规定给予党纪、政纪或组织处理；给发包人单位造成经济损失的，应予以赔偿；情节严重的，发包人建议交通运输主管部门给予承包人一至三年内不得进入其主管的公路建设市场的处罚。</w:t>
      </w:r>
    </w:p>
    <w:p w14:paraId="30236100">
      <w:pPr>
        <w:numPr>
          <w:ilvl w:val="0"/>
          <w:numId w:val="10"/>
        </w:numPr>
        <w:tabs>
          <w:tab w:val="left" w:pos="1164"/>
        </w:tabs>
        <w:autoSpaceDE w:val="0"/>
        <w:autoSpaceDN w:val="0"/>
        <w:spacing w:before="2" w:line="360" w:lineRule="auto"/>
        <w:ind w:right="466" w:firstLine="404" w:firstLineChars="200"/>
        <w:rPr>
          <w:rFonts w:ascii="宋体" w:hAnsi="宋体" w:cs="宋体"/>
          <w:kern w:val="0"/>
          <w:szCs w:val="21"/>
          <w:lang w:val="zh-CN" w:bidi="zh-CN"/>
        </w:rPr>
      </w:pPr>
      <w:r>
        <w:rPr>
          <w:rFonts w:ascii="宋体" w:hAnsi="宋体" w:cs="宋体"/>
          <w:spacing w:val="-4"/>
          <w:kern w:val="0"/>
          <w:szCs w:val="21"/>
          <w:lang w:val="zh-CN" w:bidi="zh-CN"/>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7275EF01">
      <w:pPr>
        <w:numPr>
          <w:ilvl w:val="0"/>
          <w:numId w:val="10"/>
        </w:numPr>
        <w:tabs>
          <w:tab w:val="left" w:pos="1164"/>
        </w:tabs>
        <w:autoSpaceDE w:val="0"/>
        <w:autoSpaceDN w:val="0"/>
        <w:spacing w:before="1"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本合同有效期为发包人和承包人签署之日起至该工程项目竣工验收后止。</w:t>
      </w:r>
    </w:p>
    <w:p w14:paraId="0727A07C">
      <w:pPr>
        <w:numPr>
          <w:ilvl w:val="0"/>
          <w:numId w:val="10"/>
        </w:numPr>
        <w:tabs>
          <w:tab w:val="left" w:pos="1164"/>
          <w:tab w:val="left" w:pos="3436"/>
          <w:tab w:val="left" w:pos="5467"/>
        </w:tabs>
        <w:autoSpaceDE w:val="0"/>
        <w:autoSpaceDN w:val="0"/>
        <w:spacing w:before="91" w:line="360" w:lineRule="auto"/>
        <w:ind w:right="466" w:firstLine="420" w:firstLineChars="200"/>
        <w:jc w:val="left"/>
        <w:rPr>
          <w:rFonts w:ascii="宋体" w:hAnsi="宋体" w:cs="宋体"/>
          <w:kern w:val="0"/>
          <w:szCs w:val="21"/>
          <w:lang w:val="zh-CN" w:bidi="zh-CN"/>
        </w:rPr>
      </w:pPr>
      <w:r>
        <w:rPr>
          <w:rFonts w:ascii="宋体" w:hAnsi="宋体" w:cs="宋体"/>
          <w:kern w:val="0"/>
          <w:szCs w:val="21"/>
          <w:lang w:val="zh-CN" w:bidi="zh-CN"/>
        </w:rPr>
        <w:t>本合同作为</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（项目名称</w:t>
      </w:r>
      <w:r>
        <w:rPr>
          <w:rFonts w:ascii="宋体" w:hAnsi="宋体" w:cs="宋体"/>
          <w:spacing w:val="-10"/>
          <w:kern w:val="0"/>
          <w:szCs w:val="21"/>
          <w:lang w:val="zh-CN" w:bidi="zh-CN"/>
        </w:rPr>
        <w:t>）</w:t>
      </w:r>
      <w:r>
        <w:rPr>
          <w:rFonts w:ascii="宋体" w:hAnsi="宋体" w:cs="宋体"/>
          <w:spacing w:val="-10"/>
          <w:kern w:val="0"/>
          <w:szCs w:val="21"/>
          <w:u w:val="single"/>
          <w:lang w:val="zh-CN" w:bidi="zh-CN"/>
        </w:rPr>
        <w:t xml:space="preserve"> </w:t>
      </w:r>
      <w:r>
        <w:rPr>
          <w:rFonts w:ascii="宋体" w:hAnsi="宋体" w:cs="宋体"/>
          <w:spacing w:val="-10"/>
          <w:kern w:val="0"/>
          <w:szCs w:val="21"/>
          <w:u w:val="single"/>
          <w:lang w:val="zh-CN" w:bidi="zh-CN"/>
        </w:rPr>
        <w:tab/>
      </w:r>
      <w:r>
        <w:rPr>
          <w:rFonts w:ascii="宋体" w:hAnsi="宋体" w:cs="宋体"/>
          <w:kern w:val="0"/>
          <w:szCs w:val="21"/>
          <w:lang w:val="zh-CN" w:bidi="zh-CN"/>
        </w:rPr>
        <w:t>标段施工合同的附件</w:t>
      </w:r>
      <w:r>
        <w:rPr>
          <w:rFonts w:ascii="宋体" w:hAnsi="宋体" w:cs="宋体"/>
          <w:spacing w:val="-10"/>
          <w:kern w:val="0"/>
          <w:szCs w:val="21"/>
          <w:lang w:val="zh-CN" w:bidi="zh-CN"/>
        </w:rPr>
        <w:t>，</w:t>
      </w:r>
      <w:r>
        <w:rPr>
          <w:rFonts w:ascii="宋体" w:hAnsi="宋体" w:cs="宋体"/>
          <w:kern w:val="0"/>
          <w:szCs w:val="21"/>
          <w:lang w:val="zh-CN" w:bidi="zh-CN"/>
        </w:rPr>
        <w:t>与工程施工合同具有同等的法律效力，经合同双方签署后立即生效。</w:t>
      </w:r>
    </w:p>
    <w:p w14:paraId="737C4196">
      <w:pPr>
        <w:numPr>
          <w:ilvl w:val="0"/>
          <w:numId w:val="10"/>
        </w:numPr>
        <w:tabs>
          <w:tab w:val="left" w:pos="1164"/>
        </w:tabs>
        <w:autoSpaceDE w:val="0"/>
        <w:autoSpaceDN w:val="0"/>
        <w:spacing w:before="2" w:line="360" w:lineRule="auto"/>
        <w:ind w:right="466" w:firstLine="408" w:firstLineChars="200"/>
        <w:jc w:val="left"/>
        <w:rPr>
          <w:rFonts w:ascii="宋体" w:hAnsi="宋体" w:cs="宋体"/>
          <w:kern w:val="0"/>
          <w:szCs w:val="21"/>
          <w:lang w:val="zh-CN" w:bidi="zh-CN"/>
        </w:rPr>
      </w:pPr>
      <w:r>
        <w:rPr>
          <w:rFonts w:ascii="宋体" w:hAnsi="宋体" w:cs="宋体"/>
          <w:spacing w:val="-3"/>
          <w:kern w:val="0"/>
          <w:szCs w:val="21"/>
          <w:lang w:val="zh-CN" w:bidi="zh-CN"/>
        </w:rPr>
        <w:t>本合同一式四份，由发包人和承包人各执一份，送交发包人和承包人的监督单位各一份。</w:t>
      </w:r>
    </w:p>
    <w:p w14:paraId="01CD366B">
      <w:pPr>
        <w:autoSpaceDE w:val="0"/>
        <w:autoSpaceDN w:val="0"/>
        <w:spacing w:before="12" w:line="360" w:lineRule="auto"/>
        <w:ind w:firstLine="420" w:firstLineChars="200"/>
        <w:jc w:val="left"/>
        <w:rPr>
          <w:rFonts w:ascii="宋体" w:hAnsi="宋体" w:cs="宋体"/>
          <w:kern w:val="0"/>
          <w:szCs w:val="21"/>
          <w:lang w:val="zh-CN" w:bidi="zh-CN"/>
        </w:rPr>
      </w:pPr>
    </w:p>
    <w:p w14:paraId="1B7758B9">
      <w:pPr>
        <w:tabs>
          <w:tab w:val="left" w:pos="3110"/>
          <w:tab w:val="left" w:pos="5133"/>
          <w:tab w:val="left" w:pos="7739"/>
          <w:tab w:val="left" w:pos="8219"/>
        </w:tabs>
        <w:autoSpaceDE w:val="0"/>
        <w:autoSpaceDN w:val="0"/>
        <w:spacing w:line="360" w:lineRule="auto"/>
        <w:ind w:left="384" w:right="346" w:firstLine="420" w:firstLineChars="200"/>
        <w:jc w:val="left"/>
        <w:rPr>
          <w:rFonts w:ascii="宋体" w:hAnsi="宋体" w:cs="宋体"/>
          <w:kern w:val="0"/>
          <w:szCs w:val="21"/>
          <w:lang w:val="zh-CN" w:bidi="zh-CN"/>
        </w:rPr>
      </w:pPr>
      <w:r>
        <w:rPr>
          <w:rFonts w:ascii="宋体" w:hAnsi="宋体" w:cs="宋体"/>
          <w:kern w:val="0"/>
          <w:szCs w:val="21"/>
          <w:lang w:val="zh-CN" w:bidi="zh-CN"/>
        </w:rPr>
        <w:t>发包人</w:t>
      </w:r>
      <w:r>
        <w:rPr>
          <w:rFonts w:ascii="宋体" w:hAnsi="宋体" w:cs="宋体"/>
          <w:spacing w:val="-17"/>
          <w:kern w:val="0"/>
          <w:szCs w:val="21"/>
          <w:lang w:val="zh-CN" w:bidi="zh-CN"/>
        </w:rPr>
        <w:t>：</w:t>
      </w:r>
      <w:r>
        <w:rPr>
          <w:rFonts w:ascii="宋体" w:hAnsi="宋体" w:cs="宋体"/>
          <w:spacing w:val="-17"/>
          <w:kern w:val="0"/>
          <w:szCs w:val="21"/>
          <w:u w:val="single"/>
          <w:lang w:val="zh-CN" w:bidi="zh-CN"/>
        </w:rPr>
        <w:t xml:space="preserve"> </w:t>
      </w:r>
      <w:r>
        <w:rPr>
          <w:rFonts w:ascii="宋体" w:hAnsi="宋体" w:cs="宋体"/>
          <w:spacing w:val="-17"/>
          <w:kern w:val="0"/>
          <w:szCs w:val="21"/>
          <w:u w:val="single"/>
          <w:lang w:val="zh-CN" w:bidi="zh-CN"/>
        </w:rPr>
        <w:tab/>
      </w:r>
      <w:r>
        <w:rPr>
          <w:rFonts w:ascii="宋体" w:hAnsi="宋体" w:cs="宋体"/>
          <w:kern w:val="0"/>
          <w:szCs w:val="21"/>
          <w:lang w:val="zh-CN" w:bidi="zh-CN"/>
        </w:rPr>
        <w:t>（盖单位章）</w:t>
      </w:r>
      <w:r>
        <w:rPr>
          <w:rFonts w:ascii="宋体" w:hAnsi="宋体" w:cs="宋体"/>
          <w:kern w:val="0"/>
          <w:szCs w:val="21"/>
          <w:lang w:val="zh-CN" w:bidi="zh-CN"/>
        </w:rPr>
        <w:tab/>
      </w:r>
      <w:r>
        <w:rPr>
          <w:rFonts w:ascii="宋体" w:hAnsi="宋体" w:cs="宋体"/>
          <w:kern w:val="0"/>
          <w:szCs w:val="21"/>
          <w:lang w:val="zh-CN" w:bidi="zh-CN"/>
        </w:rPr>
        <w:t>承包人</w:t>
      </w:r>
      <w:r>
        <w:rPr>
          <w:rFonts w:ascii="宋体" w:hAnsi="宋体" w:cs="宋体"/>
          <w:spacing w:val="-18"/>
          <w:kern w:val="0"/>
          <w:szCs w:val="21"/>
          <w:lang w:val="zh-CN" w:bidi="zh-CN"/>
        </w:rPr>
        <w:t>：</w:t>
      </w:r>
      <w:r>
        <w:rPr>
          <w:rFonts w:ascii="宋体" w:hAnsi="宋体" w:cs="宋体"/>
          <w:spacing w:val="-18"/>
          <w:kern w:val="0"/>
          <w:szCs w:val="21"/>
          <w:u w:val="single"/>
          <w:lang w:val="zh-CN" w:bidi="zh-CN"/>
        </w:rPr>
        <w:t xml:space="preserve"> </w:t>
      </w:r>
      <w:r>
        <w:rPr>
          <w:rFonts w:ascii="宋体" w:hAnsi="宋体" w:cs="宋体"/>
          <w:spacing w:val="-18"/>
          <w:kern w:val="0"/>
          <w:szCs w:val="21"/>
          <w:u w:val="single"/>
          <w:lang w:val="zh-CN" w:bidi="zh-CN"/>
        </w:rPr>
        <w:tab/>
      </w:r>
      <w:r>
        <w:rPr>
          <w:rFonts w:ascii="宋体" w:hAnsi="宋体" w:cs="宋体"/>
          <w:kern w:val="0"/>
          <w:szCs w:val="21"/>
          <w:lang w:val="zh-CN" w:bidi="zh-CN"/>
        </w:rPr>
        <w:t>（盖单位章） 法定代表人或其委托代理人：</w:t>
      </w:r>
      <w:r>
        <w:rPr>
          <w:rFonts w:ascii="宋体" w:hAnsi="宋体" w:cs="宋体"/>
          <w:spacing w:val="38"/>
          <w:kern w:val="0"/>
          <w:szCs w:val="21"/>
          <w:lang w:val="zh-CN" w:bidi="zh-CN"/>
        </w:rPr>
        <w:t xml:space="preserve"> </w:t>
      </w:r>
      <w:r>
        <w:rPr>
          <w:rFonts w:ascii="宋体" w:hAnsi="宋体" w:cs="宋体"/>
          <w:kern w:val="0"/>
          <w:szCs w:val="21"/>
          <w:u w:val="single"/>
          <w:lang w:val="zh-CN" w:bidi="zh-CN"/>
        </w:rPr>
        <w:t>（</w:t>
      </w:r>
      <w:r>
        <w:rPr>
          <w:rFonts w:ascii="宋体" w:hAnsi="宋体" w:cs="宋体"/>
          <w:kern w:val="0"/>
          <w:szCs w:val="21"/>
          <w:lang w:val="zh-CN" w:bidi="zh-CN"/>
        </w:rPr>
        <w:t>签字）</w:t>
      </w:r>
      <w:r>
        <w:rPr>
          <w:rFonts w:ascii="宋体" w:hAnsi="宋体" w:cs="宋体"/>
          <w:spacing w:val="79"/>
          <w:kern w:val="0"/>
          <w:szCs w:val="21"/>
          <w:lang w:val="zh-CN" w:bidi="zh-CN"/>
        </w:rPr>
        <w:t xml:space="preserve"> </w:t>
      </w:r>
      <w:r>
        <w:rPr>
          <w:rFonts w:ascii="宋体" w:hAnsi="宋体" w:cs="宋体"/>
          <w:kern w:val="0"/>
          <w:szCs w:val="21"/>
          <w:lang w:val="zh-CN" w:bidi="zh-CN"/>
        </w:rPr>
        <w:t>法定代表人或其委托代理人：</w:t>
      </w:r>
      <w:r>
        <w:rPr>
          <w:rFonts w:ascii="宋体" w:hAnsi="宋体" w:cs="宋体"/>
          <w:kern w:val="0"/>
          <w:szCs w:val="21"/>
          <w:lang w:val="zh-CN" w:bidi="zh-CN"/>
        </w:rPr>
        <w:tab/>
      </w:r>
      <w:r>
        <w:rPr>
          <w:rFonts w:ascii="宋体" w:hAnsi="宋体" w:cs="宋体"/>
          <w:kern w:val="0"/>
          <w:szCs w:val="21"/>
          <w:lang w:val="zh-CN" w:bidi="zh-CN"/>
        </w:rPr>
        <w:t>（签字）</w:t>
      </w:r>
    </w:p>
    <w:p w14:paraId="183A1DEB">
      <w:pPr>
        <w:tabs>
          <w:tab w:val="left" w:pos="2303"/>
          <w:tab w:val="left" w:pos="3143"/>
          <w:tab w:val="left" w:pos="3983"/>
          <w:tab w:val="left" w:pos="4948"/>
          <w:tab w:val="left" w:pos="5903"/>
          <w:tab w:val="left" w:pos="6983"/>
          <w:tab w:val="left" w:pos="7823"/>
          <w:tab w:val="left" w:pos="8663"/>
        </w:tabs>
        <w:autoSpaceDE w:val="0"/>
        <w:autoSpaceDN w:val="0"/>
        <w:spacing w:before="1" w:line="360" w:lineRule="auto"/>
        <w:ind w:left="384" w:right="346" w:firstLine="420" w:firstLineChars="200"/>
        <w:jc w:val="left"/>
        <w:rPr>
          <w:rFonts w:ascii="宋体" w:hAnsi="宋体" w:cs="宋体"/>
          <w:kern w:val="0"/>
          <w:szCs w:val="21"/>
          <w:lang w:val="zh-CN" w:bidi="zh-CN"/>
        </w:rPr>
      </w:pP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年</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月</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日</w:t>
      </w:r>
      <w:r>
        <w:rPr>
          <w:rFonts w:ascii="宋体" w:hAnsi="宋体" w:cs="宋体"/>
          <w:kern w:val="0"/>
          <w:szCs w:val="21"/>
          <w:lang w:val="zh-CN" w:bidi="zh-CN"/>
        </w:rPr>
        <w:tab/>
      </w:r>
      <w:r>
        <w:rPr>
          <w:rFonts w:ascii="宋体" w:hAnsi="宋体" w:cs="宋体"/>
          <w:kern w:val="0"/>
          <w:szCs w:val="21"/>
          <w:lang w:val="zh-CN" w:bidi="zh-CN"/>
        </w:rPr>
        <w:tab/>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年</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月</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 xml:space="preserve">日 </w:t>
      </w:r>
    </w:p>
    <w:p w14:paraId="51562D66">
      <w:pPr>
        <w:tabs>
          <w:tab w:val="left" w:pos="2303"/>
          <w:tab w:val="left" w:pos="3143"/>
          <w:tab w:val="left" w:pos="3983"/>
          <w:tab w:val="left" w:pos="4948"/>
          <w:tab w:val="left" w:pos="5903"/>
          <w:tab w:val="left" w:pos="6983"/>
          <w:tab w:val="left" w:pos="7823"/>
          <w:tab w:val="left" w:pos="8663"/>
        </w:tabs>
        <w:autoSpaceDE w:val="0"/>
        <w:autoSpaceDN w:val="0"/>
        <w:spacing w:before="1" w:line="360" w:lineRule="auto"/>
        <w:ind w:left="384" w:right="346" w:firstLine="420" w:firstLineChars="200"/>
        <w:jc w:val="left"/>
        <w:rPr>
          <w:rFonts w:ascii="宋体" w:hAnsi="宋体" w:cs="宋体"/>
          <w:kern w:val="0"/>
          <w:szCs w:val="21"/>
          <w:u w:val="single"/>
          <w:lang w:val="zh-CN" w:bidi="zh-CN"/>
        </w:rPr>
      </w:pPr>
      <w:r>
        <w:rPr>
          <w:rFonts w:ascii="宋体" w:hAnsi="宋体" w:cs="宋体"/>
          <w:kern w:val="0"/>
          <w:szCs w:val="21"/>
          <w:lang w:val="zh-CN" w:bidi="zh-CN"/>
        </w:rPr>
        <w:t>发包人监督单位</w:t>
      </w:r>
      <w:r>
        <w:rPr>
          <w:rFonts w:ascii="宋体" w:hAnsi="宋体" w:cs="宋体"/>
          <w:spacing w:val="-23"/>
          <w:kern w:val="0"/>
          <w:szCs w:val="21"/>
          <w:lang w:val="zh-CN" w:bidi="zh-CN"/>
        </w:rPr>
        <w:t>：</w:t>
      </w:r>
      <w:r>
        <w:rPr>
          <w:rFonts w:ascii="宋体" w:hAnsi="宋体" w:cs="宋体"/>
          <w:spacing w:val="-23"/>
          <w:kern w:val="0"/>
          <w:szCs w:val="21"/>
          <w:u w:val="single"/>
          <w:lang w:val="zh-CN" w:bidi="zh-CN"/>
        </w:rPr>
        <w:t>（</w:t>
      </w:r>
      <w:r>
        <w:rPr>
          <w:rFonts w:ascii="宋体" w:hAnsi="宋体" w:cs="宋体"/>
          <w:kern w:val="0"/>
          <w:szCs w:val="21"/>
          <w:u w:val="single"/>
          <w:lang w:val="zh-CN" w:bidi="zh-CN"/>
        </w:rPr>
        <w:t>全称</w:t>
      </w:r>
      <w:r>
        <w:rPr>
          <w:rFonts w:ascii="宋体" w:hAnsi="宋体" w:cs="宋体"/>
          <w:spacing w:val="-23"/>
          <w:kern w:val="0"/>
          <w:szCs w:val="21"/>
          <w:u w:val="single"/>
          <w:lang w:val="zh-CN" w:bidi="zh-CN"/>
        </w:rPr>
        <w:t>）（</w:t>
      </w:r>
      <w:r>
        <w:rPr>
          <w:rFonts w:ascii="宋体" w:hAnsi="宋体" w:cs="宋体"/>
          <w:kern w:val="0"/>
          <w:szCs w:val="21"/>
          <w:u w:val="single"/>
          <w:lang w:val="zh-CN" w:bidi="zh-CN"/>
        </w:rPr>
        <w:t>盖单位章）</w:t>
      </w:r>
      <w:r>
        <w:rPr>
          <w:rFonts w:ascii="宋体" w:hAnsi="宋体" w:cs="宋体"/>
          <w:kern w:val="0"/>
          <w:szCs w:val="21"/>
          <w:lang w:val="zh-CN" w:bidi="zh-CN"/>
        </w:rPr>
        <w:tab/>
      </w:r>
      <w:r>
        <w:rPr>
          <w:rFonts w:ascii="宋体" w:hAnsi="宋体" w:cs="宋体"/>
          <w:kern w:val="0"/>
          <w:szCs w:val="21"/>
          <w:lang w:val="zh-CN" w:bidi="zh-CN"/>
        </w:rPr>
        <w:t>承包人监督单位</w:t>
      </w:r>
      <w:r>
        <w:rPr>
          <w:rFonts w:ascii="宋体" w:hAnsi="宋体" w:cs="宋体"/>
          <w:spacing w:val="-24"/>
          <w:kern w:val="0"/>
          <w:szCs w:val="21"/>
          <w:lang w:val="zh-CN" w:bidi="zh-CN"/>
        </w:rPr>
        <w:t>：</w:t>
      </w:r>
      <w:r>
        <w:rPr>
          <w:rFonts w:ascii="宋体" w:hAnsi="宋体" w:cs="宋体"/>
          <w:spacing w:val="-24"/>
          <w:kern w:val="0"/>
          <w:szCs w:val="21"/>
          <w:u w:val="single"/>
          <w:lang w:val="zh-CN" w:bidi="zh-CN"/>
        </w:rPr>
        <w:t>（</w:t>
      </w:r>
      <w:r>
        <w:rPr>
          <w:rFonts w:ascii="宋体" w:hAnsi="宋体" w:cs="宋体"/>
          <w:kern w:val="0"/>
          <w:szCs w:val="21"/>
          <w:u w:val="single"/>
          <w:lang w:val="zh-CN" w:bidi="zh-CN"/>
        </w:rPr>
        <w:t>全称</w:t>
      </w:r>
      <w:r>
        <w:rPr>
          <w:rFonts w:ascii="宋体" w:hAnsi="宋体" w:cs="宋体"/>
          <w:spacing w:val="-22"/>
          <w:kern w:val="0"/>
          <w:szCs w:val="21"/>
          <w:u w:val="single"/>
          <w:lang w:val="zh-CN" w:bidi="zh-CN"/>
        </w:rPr>
        <w:t>）（</w:t>
      </w:r>
      <w:r>
        <w:rPr>
          <w:rFonts w:ascii="宋体" w:hAnsi="宋体" w:cs="宋体"/>
          <w:kern w:val="0"/>
          <w:szCs w:val="21"/>
          <w:u w:val="single"/>
          <w:lang w:val="zh-CN" w:bidi="zh-CN"/>
        </w:rPr>
        <w:t>盖单位章）</w:t>
      </w:r>
      <w:bookmarkStart w:id="156" w:name="_Toc256000081"/>
    </w:p>
    <w:p w14:paraId="013B8999">
      <w:pPr>
        <w:tabs>
          <w:tab w:val="left" w:pos="2303"/>
          <w:tab w:val="left" w:pos="3143"/>
          <w:tab w:val="left" w:pos="3983"/>
          <w:tab w:val="left" w:pos="4948"/>
          <w:tab w:val="left" w:pos="5903"/>
          <w:tab w:val="left" w:pos="6983"/>
          <w:tab w:val="left" w:pos="7823"/>
          <w:tab w:val="left" w:pos="8663"/>
        </w:tabs>
        <w:autoSpaceDE w:val="0"/>
        <w:autoSpaceDN w:val="0"/>
        <w:spacing w:before="1" w:line="360" w:lineRule="auto"/>
        <w:ind w:left="384" w:right="346" w:firstLine="420" w:firstLineChars="200"/>
        <w:jc w:val="left"/>
        <w:rPr>
          <w:rFonts w:ascii="宋体" w:hAnsi="宋体" w:cs="宋体"/>
          <w:kern w:val="0"/>
          <w:szCs w:val="21"/>
          <w:u w:val="single"/>
          <w:lang w:val="zh-CN" w:bidi="zh-CN"/>
        </w:rPr>
      </w:pPr>
    </w:p>
    <w:p w14:paraId="6A38DC5A">
      <w:pPr>
        <w:tabs>
          <w:tab w:val="left" w:pos="2303"/>
          <w:tab w:val="left" w:pos="3143"/>
          <w:tab w:val="left" w:pos="3983"/>
          <w:tab w:val="left" w:pos="4948"/>
          <w:tab w:val="left" w:pos="5903"/>
          <w:tab w:val="left" w:pos="6983"/>
          <w:tab w:val="left" w:pos="7823"/>
          <w:tab w:val="left" w:pos="8663"/>
        </w:tabs>
        <w:autoSpaceDE w:val="0"/>
        <w:autoSpaceDN w:val="0"/>
        <w:spacing w:before="1" w:line="360" w:lineRule="auto"/>
        <w:ind w:left="384" w:right="346" w:firstLine="420" w:firstLineChars="200"/>
        <w:jc w:val="left"/>
        <w:rPr>
          <w:rFonts w:ascii="宋体" w:hAnsi="宋体" w:cs="宋体"/>
          <w:kern w:val="0"/>
          <w:szCs w:val="21"/>
          <w:u w:val="single"/>
          <w:lang w:val="zh-CN" w:bidi="zh-CN"/>
        </w:rPr>
      </w:pPr>
    </w:p>
    <w:p w14:paraId="1329165F">
      <w:pPr>
        <w:tabs>
          <w:tab w:val="left" w:pos="2303"/>
          <w:tab w:val="left" w:pos="3143"/>
          <w:tab w:val="left" w:pos="3983"/>
          <w:tab w:val="left" w:pos="4948"/>
          <w:tab w:val="left" w:pos="5903"/>
          <w:tab w:val="left" w:pos="6983"/>
          <w:tab w:val="left" w:pos="7823"/>
          <w:tab w:val="left" w:pos="8663"/>
        </w:tabs>
        <w:autoSpaceDE w:val="0"/>
        <w:autoSpaceDN w:val="0"/>
        <w:spacing w:before="1" w:line="360" w:lineRule="auto"/>
        <w:ind w:left="384" w:right="346" w:firstLine="420" w:firstLineChars="200"/>
        <w:jc w:val="left"/>
        <w:rPr>
          <w:rFonts w:ascii="宋体" w:hAnsi="宋体" w:cs="宋体"/>
          <w:kern w:val="0"/>
          <w:szCs w:val="21"/>
          <w:u w:val="single"/>
          <w:lang w:val="zh-CN" w:bidi="zh-CN"/>
        </w:rPr>
      </w:pPr>
    </w:p>
    <w:p w14:paraId="29242505">
      <w:pPr>
        <w:tabs>
          <w:tab w:val="left" w:pos="2303"/>
          <w:tab w:val="left" w:pos="3143"/>
          <w:tab w:val="left" w:pos="3983"/>
          <w:tab w:val="left" w:pos="4948"/>
          <w:tab w:val="left" w:pos="5903"/>
          <w:tab w:val="left" w:pos="6983"/>
          <w:tab w:val="left" w:pos="7823"/>
          <w:tab w:val="left" w:pos="8663"/>
        </w:tabs>
        <w:autoSpaceDE w:val="0"/>
        <w:autoSpaceDN w:val="0"/>
        <w:spacing w:before="1" w:line="360" w:lineRule="auto"/>
        <w:ind w:left="384" w:right="346" w:firstLine="420" w:firstLineChars="200"/>
        <w:jc w:val="left"/>
        <w:rPr>
          <w:rFonts w:ascii="宋体" w:hAnsi="宋体" w:cs="宋体"/>
          <w:kern w:val="0"/>
          <w:szCs w:val="21"/>
          <w:u w:val="single"/>
          <w:lang w:val="zh-CN" w:bidi="zh-CN"/>
        </w:rPr>
      </w:pPr>
    </w:p>
    <w:p w14:paraId="76F842B6">
      <w:pPr>
        <w:tabs>
          <w:tab w:val="left" w:pos="2303"/>
          <w:tab w:val="left" w:pos="3143"/>
          <w:tab w:val="left" w:pos="3983"/>
          <w:tab w:val="left" w:pos="4948"/>
          <w:tab w:val="left" w:pos="5903"/>
          <w:tab w:val="left" w:pos="6983"/>
          <w:tab w:val="left" w:pos="7823"/>
          <w:tab w:val="left" w:pos="8663"/>
        </w:tabs>
        <w:autoSpaceDE w:val="0"/>
        <w:autoSpaceDN w:val="0"/>
        <w:spacing w:before="1" w:line="360" w:lineRule="auto"/>
        <w:ind w:left="384" w:right="346" w:firstLine="420" w:firstLineChars="200"/>
        <w:jc w:val="left"/>
        <w:rPr>
          <w:rFonts w:ascii="宋体" w:hAnsi="宋体" w:cs="宋体"/>
          <w:kern w:val="0"/>
          <w:szCs w:val="21"/>
          <w:u w:val="single"/>
          <w:lang w:val="zh-CN" w:bidi="zh-CN"/>
        </w:rPr>
      </w:pPr>
    </w:p>
    <w:p w14:paraId="640AABC1">
      <w:pPr>
        <w:tabs>
          <w:tab w:val="left" w:pos="2303"/>
          <w:tab w:val="left" w:pos="3143"/>
          <w:tab w:val="left" w:pos="3983"/>
          <w:tab w:val="left" w:pos="4948"/>
          <w:tab w:val="left" w:pos="5903"/>
          <w:tab w:val="left" w:pos="6983"/>
          <w:tab w:val="left" w:pos="7823"/>
          <w:tab w:val="left" w:pos="8663"/>
        </w:tabs>
        <w:autoSpaceDE w:val="0"/>
        <w:autoSpaceDN w:val="0"/>
        <w:spacing w:before="1" w:line="360" w:lineRule="auto"/>
        <w:ind w:left="384" w:right="346" w:firstLine="420" w:firstLineChars="200"/>
        <w:jc w:val="left"/>
        <w:rPr>
          <w:rFonts w:ascii="宋体" w:hAnsi="宋体" w:cs="宋体"/>
          <w:kern w:val="0"/>
          <w:szCs w:val="21"/>
          <w:u w:val="single"/>
          <w:lang w:val="zh-CN" w:bidi="zh-CN"/>
        </w:rPr>
      </w:pPr>
    </w:p>
    <w:p w14:paraId="11B03754">
      <w:pPr>
        <w:tabs>
          <w:tab w:val="left" w:pos="2303"/>
          <w:tab w:val="left" w:pos="3143"/>
          <w:tab w:val="left" w:pos="3983"/>
          <w:tab w:val="left" w:pos="4948"/>
          <w:tab w:val="left" w:pos="5903"/>
          <w:tab w:val="left" w:pos="6983"/>
          <w:tab w:val="left" w:pos="7823"/>
          <w:tab w:val="left" w:pos="8663"/>
        </w:tabs>
        <w:autoSpaceDE w:val="0"/>
        <w:autoSpaceDN w:val="0"/>
        <w:spacing w:before="1" w:line="360" w:lineRule="auto"/>
        <w:ind w:left="384" w:right="346" w:firstLine="420" w:firstLineChars="200"/>
        <w:jc w:val="left"/>
        <w:rPr>
          <w:rFonts w:ascii="宋体" w:hAnsi="宋体" w:cs="宋体"/>
          <w:kern w:val="0"/>
          <w:szCs w:val="21"/>
          <w:u w:val="single"/>
          <w:lang w:val="zh-CN" w:bidi="zh-CN"/>
        </w:rPr>
      </w:pPr>
    </w:p>
    <w:p w14:paraId="0074D94B">
      <w:pPr>
        <w:tabs>
          <w:tab w:val="left" w:pos="2303"/>
          <w:tab w:val="left" w:pos="3143"/>
          <w:tab w:val="left" w:pos="3983"/>
          <w:tab w:val="left" w:pos="4948"/>
          <w:tab w:val="left" w:pos="5903"/>
          <w:tab w:val="left" w:pos="6983"/>
          <w:tab w:val="left" w:pos="7823"/>
          <w:tab w:val="left" w:pos="8663"/>
        </w:tabs>
        <w:autoSpaceDE w:val="0"/>
        <w:autoSpaceDN w:val="0"/>
        <w:spacing w:before="1" w:line="360" w:lineRule="auto"/>
        <w:ind w:left="384" w:right="346" w:firstLine="420" w:firstLineChars="200"/>
        <w:jc w:val="left"/>
        <w:rPr>
          <w:rFonts w:ascii="宋体" w:hAnsi="宋体" w:cs="宋体"/>
          <w:kern w:val="0"/>
          <w:szCs w:val="21"/>
          <w:u w:val="single"/>
          <w:lang w:val="zh-CN" w:bidi="zh-CN"/>
        </w:rPr>
      </w:pPr>
    </w:p>
    <w:p w14:paraId="0A095259">
      <w:pPr>
        <w:tabs>
          <w:tab w:val="left" w:pos="2303"/>
          <w:tab w:val="left" w:pos="3143"/>
          <w:tab w:val="left" w:pos="3983"/>
          <w:tab w:val="left" w:pos="4948"/>
          <w:tab w:val="left" w:pos="5903"/>
          <w:tab w:val="left" w:pos="6983"/>
          <w:tab w:val="left" w:pos="7823"/>
          <w:tab w:val="left" w:pos="8663"/>
        </w:tabs>
        <w:autoSpaceDE w:val="0"/>
        <w:autoSpaceDN w:val="0"/>
        <w:spacing w:before="1" w:line="360" w:lineRule="auto"/>
        <w:ind w:left="384" w:right="346" w:firstLine="420" w:firstLineChars="200"/>
        <w:jc w:val="left"/>
        <w:rPr>
          <w:rFonts w:ascii="宋体" w:hAnsi="宋体" w:cs="宋体"/>
          <w:kern w:val="0"/>
          <w:szCs w:val="21"/>
          <w:u w:val="single"/>
          <w:lang w:val="zh-CN" w:bidi="zh-CN"/>
        </w:rPr>
      </w:pPr>
    </w:p>
    <w:p w14:paraId="56F1BAEC">
      <w:pPr>
        <w:tabs>
          <w:tab w:val="left" w:pos="2303"/>
          <w:tab w:val="left" w:pos="3143"/>
          <w:tab w:val="left" w:pos="3983"/>
          <w:tab w:val="left" w:pos="4948"/>
          <w:tab w:val="left" w:pos="5903"/>
          <w:tab w:val="left" w:pos="6983"/>
          <w:tab w:val="left" w:pos="7823"/>
          <w:tab w:val="left" w:pos="8663"/>
        </w:tabs>
        <w:autoSpaceDE w:val="0"/>
        <w:autoSpaceDN w:val="0"/>
        <w:spacing w:before="1" w:line="360" w:lineRule="auto"/>
        <w:ind w:left="384" w:right="346" w:firstLine="420" w:firstLineChars="200"/>
        <w:jc w:val="left"/>
        <w:rPr>
          <w:rFonts w:ascii="宋体" w:hAnsi="宋体" w:cs="宋体"/>
          <w:kern w:val="0"/>
          <w:szCs w:val="21"/>
          <w:u w:val="single"/>
          <w:lang w:val="zh-CN" w:bidi="zh-CN"/>
        </w:rPr>
      </w:pPr>
    </w:p>
    <w:p w14:paraId="3A2206C0">
      <w:pPr>
        <w:tabs>
          <w:tab w:val="left" w:pos="2303"/>
          <w:tab w:val="left" w:pos="3143"/>
          <w:tab w:val="left" w:pos="3983"/>
          <w:tab w:val="left" w:pos="4948"/>
          <w:tab w:val="left" w:pos="5903"/>
          <w:tab w:val="left" w:pos="6983"/>
          <w:tab w:val="left" w:pos="7823"/>
          <w:tab w:val="left" w:pos="8663"/>
        </w:tabs>
        <w:autoSpaceDE w:val="0"/>
        <w:autoSpaceDN w:val="0"/>
        <w:spacing w:before="1" w:line="360" w:lineRule="auto"/>
        <w:ind w:left="384" w:right="346" w:firstLine="420" w:firstLineChars="200"/>
        <w:jc w:val="left"/>
        <w:rPr>
          <w:rFonts w:ascii="宋体" w:hAnsi="宋体" w:cs="宋体"/>
          <w:kern w:val="0"/>
          <w:szCs w:val="21"/>
          <w:u w:val="single"/>
          <w:lang w:val="zh-CN" w:bidi="zh-CN"/>
        </w:rPr>
      </w:pPr>
    </w:p>
    <w:p w14:paraId="32950748">
      <w:pPr>
        <w:tabs>
          <w:tab w:val="left" w:pos="2303"/>
          <w:tab w:val="left" w:pos="3143"/>
          <w:tab w:val="left" w:pos="3983"/>
          <w:tab w:val="left" w:pos="4948"/>
          <w:tab w:val="left" w:pos="5903"/>
          <w:tab w:val="left" w:pos="6983"/>
          <w:tab w:val="left" w:pos="7823"/>
          <w:tab w:val="left" w:pos="8663"/>
        </w:tabs>
        <w:autoSpaceDE w:val="0"/>
        <w:autoSpaceDN w:val="0"/>
        <w:spacing w:before="1" w:line="360" w:lineRule="auto"/>
        <w:ind w:left="384" w:right="346" w:firstLine="420" w:firstLineChars="200"/>
        <w:jc w:val="left"/>
        <w:rPr>
          <w:rFonts w:ascii="宋体" w:hAnsi="宋体" w:cs="宋体"/>
          <w:kern w:val="0"/>
          <w:szCs w:val="21"/>
          <w:u w:val="single"/>
          <w:lang w:val="zh-CN" w:bidi="zh-CN"/>
        </w:rPr>
      </w:pPr>
    </w:p>
    <w:p w14:paraId="6F84CA41">
      <w:pPr>
        <w:tabs>
          <w:tab w:val="left" w:pos="2303"/>
          <w:tab w:val="left" w:pos="3143"/>
          <w:tab w:val="left" w:pos="3983"/>
          <w:tab w:val="left" w:pos="4948"/>
          <w:tab w:val="left" w:pos="5903"/>
          <w:tab w:val="left" w:pos="6983"/>
          <w:tab w:val="left" w:pos="7823"/>
          <w:tab w:val="left" w:pos="8663"/>
        </w:tabs>
        <w:autoSpaceDE w:val="0"/>
        <w:autoSpaceDN w:val="0"/>
        <w:spacing w:before="1" w:line="360" w:lineRule="auto"/>
        <w:ind w:left="384" w:right="346" w:firstLine="420" w:firstLineChars="200"/>
        <w:jc w:val="left"/>
        <w:rPr>
          <w:rFonts w:ascii="宋体" w:hAnsi="宋体" w:cs="宋体"/>
          <w:kern w:val="0"/>
          <w:szCs w:val="21"/>
          <w:u w:val="single"/>
          <w:lang w:val="zh-CN" w:bidi="zh-CN"/>
        </w:rPr>
      </w:pPr>
    </w:p>
    <w:p w14:paraId="2F630B45">
      <w:pPr>
        <w:tabs>
          <w:tab w:val="left" w:pos="2303"/>
          <w:tab w:val="left" w:pos="3143"/>
          <w:tab w:val="left" w:pos="3983"/>
          <w:tab w:val="left" w:pos="4948"/>
          <w:tab w:val="left" w:pos="5903"/>
          <w:tab w:val="left" w:pos="6983"/>
          <w:tab w:val="left" w:pos="7823"/>
          <w:tab w:val="left" w:pos="8663"/>
        </w:tabs>
        <w:autoSpaceDE w:val="0"/>
        <w:autoSpaceDN w:val="0"/>
        <w:spacing w:before="1" w:line="360" w:lineRule="auto"/>
        <w:ind w:left="384" w:right="346" w:firstLine="420" w:firstLineChars="200"/>
        <w:jc w:val="left"/>
        <w:rPr>
          <w:rFonts w:ascii="宋体" w:hAnsi="宋体" w:cs="宋体"/>
          <w:kern w:val="0"/>
          <w:szCs w:val="21"/>
          <w:u w:val="single"/>
          <w:lang w:val="zh-CN" w:bidi="zh-CN"/>
        </w:rPr>
      </w:pPr>
    </w:p>
    <w:p w14:paraId="5C539652">
      <w:pPr>
        <w:tabs>
          <w:tab w:val="left" w:pos="2303"/>
          <w:tab w:val="left" w:pos="3143"/>
          <w:tab w:val="left" w:pos="3983"/>
          <w:tab w:val="left" w:pos="4948"/>
          <w:tab w:val="left" w:pos="5903"/>
          <w:tab w:val="left" w:pos="6983"/>
          <w:tab w:val="left" w:pos="7823"/>
          <w:tab w:val="left" w:pos="8663"/>
        </w:tabs>
        <w:autoSpaceDE w:val="0"/>
        <w:autoSpaceDN w:val="0"/>
        <w:spacing w:before="1" w:line="360" w:lineRule="auto"/>
        <w:ind w:left="384" w:right="346" w:firstLine="420" w:firstLineChars="200"/>
        <w:jc w:val="left"/>
        <w:rPr>
          <w:rFonts w:ascii="宋体" w:hAnsi="宋体" w:cs="宋体"/>
          <w:kern w:val="0"/>
          <w:szCs w:val="21"/>
          <w:u w:val="single"/>
          <w:lang w:val="zh-CN" w:bidi="zh-CN"/>
        </w:rPr>
      </w:pPr>
    </w:p>
    <w:p w14:paraId="12F69148">
      <w:pPr>
        <w:tabs>
          <w:tab w:val="left" w:pos="2303"/>
          <w:tab w:val="left" w:pos="3143"/>
          <w:tab w:val="left" w:pos="3983"/>
          <w:tab w:val="left" w:pos="4948"/>
          <w:tab w:val="left" w:pos="5903"/>
          <w:tab w:val="left" w:pos="6983"/>
          <w:tab w:val="left" w:pos="7823"/>
          <w:tab w:val="left" w:pos="8663"/>
        </w:tabs>
        <w:autoSpaceDE w:val="0"/>
        <w:autoSpaceDN w:val="0"/>
        <w:spacing w:before="1" w:line="360" w:lineRule="auto"/>
        <w:ind w:left="384" w:leftChars="0" w:right="346" w:firstLine="36" w:firstLineChars="17"/>
        <w:jc w:val="left"/>
        <w:rPr>
          <w:rFonts w:ascii="宋体" w:hAnsi="宋体" w:cs="宋体"/>
          <w:b/>
          <w:bCs/>
          <w:kern w:val="0"/>
          <w:szCs w:val="21"/>
          <w:lang w:val="zh-CN" w:bidi="zh-CN"/>
        </w:rPr>
      </w:pPr>
      <w:r>
        <w:rPr>
          <w:rFonts w:ascii="宋体" w:hAnsi="宋体" w:cs="宋体"/>
          <w:b/>
          <w:bCs/>
          <w:kern w:val="0"/>
          <w:szCs w:val="21"/>
          <w:lang w:val="zh-CN" w:bidi="zh-CN"/>
        </w:rPr>
        <w:t>附件三 安全生产合同</w:t>
      </w:r>
    </w:p>
    <w:bookmarkEnd w:id="156"/>
    <w:p w14:paraId="7EC0337E">
      <w:pPr>
        <w:autoSpaceDE w:val="0"/>
        <w:autoSpaceDN w:val="0"/>
        <w:spacing w:before="1" w:line="360" w:lineRule="auto"/>
        <w:jc w:val="center"/>
        <w:rPr>
          <w:rFonts w:ascii="宋体" w:hAnsi="宋体" w:cs="宋体"/>
          <w:kern w:val="0"/>
          <w:szCs w:val="21"/>
          <w:lang w:val="zh-CN" w:bidi="zh-CN"/>
        </w:rPr>
      </w:pPr>
      <w:r>
        <w:rPr>
          <w:rFonts w:ascii="宋体" w:hAnsi="宋体" w:cs="宋体"/>
          <w:kern w:val="0"/>
          <w:szCs w:val="21"/>
          <w:lang w:val="zh-CN" w:bidi="zh-CN"/>
        </w:rPr>
        <w:t>安全生产合同</w:t>
      </w:r>
    </w:p>
    <w:p w14:paraId="46AA7E0A">
      <w:pPr>
        <w:tabs>
          <w:tab w:val="left" w:pos="2915"/>
          <w:tab w:val="left" w:pos="6086"/>
          <w:tab w:val="left" w:pos="8579"/>
        </w:tabs>
        <w:autoSpaceDE w:val="0"/>
        <w:autoSpaceDN w:val="0"/>
        <w:spacing w:before="214" w:line="360" w:lineRule="auto"/>
        <w:ind w:left="384" w:right="462" w:firstLine="420" w:firstLineChars="200"/>
        <w:rPr>
          <w:rFonts w:ascii="宋体" w:hAnsi="宋体" w:cs="宋体"/>
          <w:kern w:val="0"/>
          <w:szCs w:val="21"/>
          <w:lang w:val="zh-CN" w:bidi="zh-CN"/>
        </w:rPr>
      </w:pPr>
      <w:r>
        <w:rPr>
          <w:rFonts w:ascii="宋体" w:hAnsi="宋体" w:cs="宋体"/>
          <w:kern w:val="0"/>
          <w:szCs w:val="21"/>
          <w:lang w:val="zh-CN" w:bidi="zh-CN"/>
        </w:rPr>
        <w:t>为在</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（项目名称）</w:t>
      </w:r>
      <w:r>
        <w:rPr>
          <w:rFonts w:ascii="宋体" w:hAnsi="宋体" w:cs="宋体"/>
          <w:kern w:val="0"/>
          <w:szCs w:val="21"/>
          <w:u w:val="single"/>
          <w:lang w:val="zh-CN" w:bidi="zh-CN"/>
        </w:rPr>
        <w:t xml:space="preserve">   </w:t>
      </w:r>
      <w:r>
        <w:rPr>
          <w:rFonts w:ascii="宋体" w:hAnsi="宋体" w:cs="宋体"/>
          <w:spacing w:val="19"/>
          <w:kern w:val="0"/>
          <w:szCs w:val="21"/>
          <w:u w:val="single"/>
          <w:lang w:val="zh-CN" w:bidi="zh-CN"/>
        </w:rPr>
        <w:t xml:space="preserve"> </w:t>
      </w:r>
      <w:r>
        <w:rPr>
          <w:rFonts w:ascii="宋体" w:hAnsi="宋体" w:cs="宋体"/>
          <w:kern w:val="0"/>
          <w:szCs w:val="21"/>
          <w:lang w:val="zh-CN" w:bidi="zh-CN"/>
        </w:rPr>
        <w:t>标段施工合同的实施过程中创造安全、高效的施工环境</w:t>
      </w:r>
      <w:r>
        <w:rPr>
          <w:rFonts w:ascii="宋体" w:hAnsi="宋体" w:cs="宋体"/>
          <w:spacing w:val="-29"/>
          <w:kern w:val="0"/>
          <w:szCs w:val="21"/>
          <w:lang w:val="zh-CN" w:bidi="zh-CN"/>
        </w:rPr>
        <w:t>，</w:t>
      </w:r>
      <w:r>
        <w:rPr>
          <w:rFonts w:ascii="宋体" w:hAnsi="宋体" w:cs="宋体"/>
          <w:kern w:val="0"/>
          <w:szCs w:val="21"/>
          <w:lang w:val="zh-CN" w:bidi="zh-CN"/>
        </w:rPr>
        <w:t>切实搞好本项目的安全管理工作</w:t>
      </w:r>
      <w:r>
        <w:rPr>
          <w:rFonts w:ascii="宋体" w:hAnsi="宋体" w:cs="宋体"/>
          <w:spacing w:val="-27"/>
          <w:kern w:val="0"/>
          <w:szCs w:val="21"/>
          <w:lang w:val="zh-CN" w:bidi="zh-CN"/>
        </w:rPr>
        <w:t>，</w:t>
      </w:r>
      <w:r>
        <w:rPr>
          <w:rFonts w:ascii="宋体" w:hAnsi="宋体" w:cs="宋体"/>
          <w:kern w:val="0"/>
          <w:szCs w:val="21"/>
          <w:lang w:val="zh-CN" w:bidi="zh-CN"/>
        </w:rPr>
        <w:t>本项目发包人</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（发包人名称</w:t>
      </w:r>
      <w:r>
        <w:rPr>
          <w:rFonts w:ascii="宋体" w:hAnsi="宋体" w:cs="宋体"/>
          <w:spacing w:val="-12"/>
          <w:kern w:val="0"/>
          <w:szCs w:val="21"/>
          <w:lang w:val="zh-CN" w:bidi="zh-CN"/>
        </w:rPr>
        <w:t>，</w:t>
      </w:r>
      <w:r>
        <w:rPr>
          <w:rFonts w:ascii="宋体" w:hAnsi="宋体" w:cs="宋体"/>
          <w:kern w:val="0"/>
          <w:szCs w:val="21"/>
          <w:lang w:val="zh-CN" w:bidi="zh-CN"/>
        </w:rPr>
        <w:t>以下简称“发包人</w:t>
      </w:r>
      <w:r>
        <w:rPr>
          <w:rFonts w:ascii="宋体" w:hAnsi="宋体" w:cs="宋体"/>
          <w:spacing w:val="-6"/>
          <w:kern w:val="0"/>
          <w:szCs w:val="21"/>
          <w:lang w:val="zh-CN" w:bidi="zh-CN"/>
        </w:rPr>
        <w:t>”）</w:t>
      </w:r>
      <w:r>
        <w:rPr>
          <w:rFonts w:ascii="宋体" w:hAnsi="宋体" w:cs="宋体"/>
          <w:kern w:val="0"/>
          <w:szCs w:val="21"/>
          <w:lang w:val="zh-CN" w:bidi="zh-CN"/>
        </w:rPr>
        <w:t>与承包人</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（承包人名称</w:t>
      </w:r>
      <w:r>
        <w:rPr>
          <w:rFonts w:ascii="宋体" w:hAnsi="宋体" w:cs="宋体"/>
          <w:spacing w:val="-10"/>
          <w:kern w:val="0"/>
          <w:szCs w:val="21"/>
          <w:lang w:val="zh-CN" w:bidi="zh-CN"/>
        </w:rPr>
        <w:t>，</w:t>
      </w:r>
      <w:r>
        <w:rPr>
          <w:rFonts w:ascii="宋体" w:hAnsi="宋体" w:cs="宋体"/>
          <w:kern w:val="0"/>
          <w:szCs w:val="21"/>
          <w:lang w:val="zh-CN" w:bidi="zh-CN"/>
        </w:rPr>
        <w:t>以下简称“承包人”）特此签订安全生产合同。</w:t>
      </w:r>
    </w:p>
    <w:p w14:paraId="1C53B757">
      <w:pPr>
        <w:autoSpaceDE w:val="0"/>
        <w:autoSpaceDN w:val="0"/>
        <w:spacing w:line="360" w:lineRule="auto"/>
        <w:ind w:left="864" w:firstLine="420" w:firstLineChars="200"/>
        <w:jc w:val="left"/>
        <w:rPr>
          <w:rFonts w:ascii="宋体" w:hAnsi="宋体" w:cs="宋体"/>
          <w:kern w:val="0"/>
          <w:szCs w:val="21"/>
          <w:lang w:val="zh-CN" w:bidi="zh-CN"/>
        </w:rPr>
      </w:pPr>
      <w:r>
        <w:rPr>
          <w:rFonts w:ascii="宋体" w:hAnsi="宋体" w:cs="宋体"/>
          <w:kern w:val="0"/>
          <w:szCs w:val="21"/>
          <w:lang w:val="zh-CN" w:bidi="zh-CN"/>
        </w:rPr>
        <w:t>1.发包人职责</w:t>
      </w:r>
    </w:p>
    <w:p w14:paraId="2DAA37F3">
      <w:pPr>
        <w:autoSpaceDE w:val="0"/>
        <w:autoSpaceDN w:val="0"/>
        <w:spacing w:before="84" w:line="360" w:lineRule="auto"/>
        <w:ind w:left="384" w:right="386" w:firstLine="420" w:firstLineChars="200"/>
        <w:jc w:val="left"/>
        <w:rPr>
          <w:rFonts w:ascii="宋体" w:hAnsi="宋体" w:cs="宋体"/>
          <w:kern w:val="0"/>
          <w:szCs w:val="21"/>
          <w:lang w:val="zh-CN" w:bidi="zh-CN"/>
        </w:rPr>
      </w:pPr>
      <w:r>
        <w:rPr>
          <w:rFonts w:ascii="宋体" w:hAnsi="宋体" w:cs="宋体"/>
          <w:kern w:val="0"/>
          <w:szCs w:val="21"/>
          <w:lang w:val="zh-CN" w:bidi="zh-CN"/>
        </w:rPr>
        <w:t>（1）严格遵守国家有关安全生产的法律法规，认真执行工程承包合同中的有关安全要求。</w:t>
      </w:r>
    </w:p>
    <w:p w14:paraId="50495B8D">
      <w:pPr>
        <w:autoSpaceDE w:val="0"/>
        <w:autoSpaceDN w:val="0"/>
        <w:spacing w:before="5" w:line="360" w:lineRule="auto"/>
        <w:ind w:left="384" w:right="410" w:firstLine="420" w:firstLineChars="200"/>
        <w:jc w:val="left"/>
        <w:rPr>
          <w:rFonts w:ascii="宋体" w:hAnsi="宋体" w:cs="宋体"/>
          <w:kern w:val="0"/>
          <w:szCs w:val="21"/>
          <w:lang w:val="zh-CN" w:bidi="zh-CN"/>
        </w:rPr>
      </w:pPr>
      <w:r>
        <w:rPr>
          <w:rFonts w:ascii="宋体" w:hAnsi="宋体" w:cs="宋体"/>
          <w:kern w:val="0"/>
          <w:szCs w:val="21"/>
          <w:lang w:val="zh-CN" w:bidi="zh-CN"/>
        </w:rPr>
        <w:t>（2）按照“安全第一、预防为主、综合治理”和坚持“管生产必须管安全”的原则进行安全生产管理，做到生产与安全工作同时计划、布置、检查、总结和评比。</w:t>
      </w:r>
    </w:p>
    <w:p w14:paraId="2F8D747B">
      <w:pPr>
        <w:autoSpaceDE w:val="0"/>
        <w:autoSpaceDN w:val="0"/>
        <w:spacing w:before="5" w:line="360" w:lineRule="auto"/>
        <w:ind w:left="384" w:right="397" w:firstLine="420" w:firstLineChars="200"/>
        <w:jc w:val="left"/>
        <w:rPr>
          <w:rFonts w:ascii="宋体" w:hAnsi="宋体" w:cs="宋体"/>
          <w:kern w:val="0"/>
          <w:szCs w:val="21"/>
          <w:lang w:val="zh-CN" w:bidi="zh-CN"/>
        </w:rPr>
      </w:pPr>
      <w:r>
        <w:rPr>
          <w:rFonts w:ascii="宋体" w:hAnsi="宋体" w:cs="宋体"/>
          <w:kern w:val="0"/>
          <w:szCs w:val="21"/>
          <w:lang w:val="zh-CN" w:bidi="zh-CN"/>
        </w:rPr>
        <w:t>（3）重要的安全设施必须坚持与主体工程“三同时”的原则，即：同时设计、审批，同时施工，同时验收，投入使用。</w:t>
      </w:r>
    </w:p>
    <w:p w14:paraId="1E4E41E3">
      <w:pPr>
        <w:autoSpaceDE w:val="0"/>
        <w:autoSpaceDN w:val="0"/>
        <w:spacing w:before="5" w:line="360" w:lineRule="auto"/>
        <w:ind w:left="384" w:right="397" w:firstLine="420" w:firstLineChars="200"/>
        <w:jc w:val="left"/>
        <w:rPr>
          <w:rFonts w:ascii="宋体" w:hAnsi="宋体" w:cs="宋体"/>
          <w:kern w:val="0"/>
          <w:szCs w:val="21"/>
          <w:lang w:val="zh-CN" w:bidi="zh-CN"/>
        </w:rPr>
      </w:pPr>
      <w:r>
        <w:rPr>
          <w:rFonts w:ascii="宋体" w:hAnsi="宋体" w:cs="宋体"/>
          <w:kern w:val="0"/>
          <w:szCs w:val="21"/>
          <w:lang w:val="zh-CN" w:bidi="zh-CN"/>
        </w:rPr>
        <w:t>（4）定期召开安全生产调度会，及时传达中央及地方有关安全生产的精神。</w:t>
      </w:r>
    </w:p>
    <w:p w14:paraId="1CD05D25">
      <w:pPr>
        <w:autoSpaceDE w:val="0"/>
        <w:autoSpaceDN w:val="0"/>
        <w:spacing w:before="81" w:line="360" w:lineRule="auto"/>
        <w:ind w:left="384" w:right="386" w:firstLine="420" w:firstLineChars="200"/>
        <w:jc w:val="left"/>
        <w:rPr>
          <w:rFonts w:ascii="宋体" w:hAnsi="宋体" w:cs="宋体"/>
          <w:kern w:val="0"/>
          <w:szCs w:val="21"/>
          <w:lang w:val="zh-CN" w:bidi="zh-CN"/>
        </w:rPr>
      </w:pPr>
      <w:r>
        <w:rPr>
          <w:rFonts w:ascii="宋体" w:hAnsi="宋体" w:cs="宋体"/>
          <w:kern w:val="0"/>
          <w:szCs w:val="21"/>
          <w:lang w:val="zh-CN" w:bidi="zh-CN"/>
        </w:rPr>
        <w:t>（5）组织对承包人施工现场进行安全生产检查，监督承包人及时处理发现的各种安全隐患。</w:t>
      </w:r>
    </w:p>
    <w:p w14:paraId="686787F6">
      <w:pPr>
        <w:autoSpaceDE w:val="0"/>
        <w:autoSpaceDN w:val="0"/>
        <w:spacing w:line="360" w:lineRule="auto"/>
        <w:ind w:left="864" w:firstLine="420" w:firstLineChars="200"/>
        <w:jc w:val="left"/>
        <w:rPr>
          <w:rFonts w:ascii="宋体" w:hAnsi="宋体" w:cs="宋体"/>
          <w:kern w:val="0"/>
          <w:szCs w:val="21"/>
          <w:lang w:val="zh-CN" w:bidi="zh-CN"/>
        </w:rPr>
      </w:pPr>
      <w:r>
        <w:rPr>
          <w:rFonts w:ascii="宋体" w:hAnsi="宋体" w:cs="宋体"/>
          <w:kern w:val="0"/>
          <w:szCs w:val="21"/>
          <w:lang w:val="zh-CN" w:bidi="zh-CN"/>
        </w:rPr>
        <w:t>2.承包人职责</w:t>
      </w:r>
    </w:p>
    <w:p w14:paraId="514AB1A4">
      <w:pPr>
        <w:autoSpaceDE w:val="0"/>
        <w:autoSpaceDN w:val="0"/>
        <w:spacing w:before="84" w:line="360" w:lineRule="auto"/>
        <w:ind w:left="384" w:right="382" w:firstLine="420" w:firstLineChars="200"/>
        <w:jc w:val="left"/>
        <w:rPr>
          <w:rFonts w:ascii="宋体" w:hAnsi="宋体" w:cs="宋体"/>
          <w:kern w:val="0"/>
          <w:szCs w:val="21"/>
          <w:lang w:val="zh-CN" w:bidi="zh-CN"/>
        </w:rPr>
      </w:pPr>
      <w:r>
        <w:rPr>
          <w:rFonts w:ascii="宋体" w:hAnsi="宋体" w:cs="宋体"/>
          <w:kern w:val="0"/>
          <w:szCs w:val="21"/>
          <w:lang w:val="zh-CN" w:bidi="zh-CN"/>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46A3F6CD">
      <w:pPr>
        <w:autoSpaceDE w:val="0"/>
        <w:autoSpaceDN w:val="0"/>
        <w:spacing w:line="360" w:lineRule="auto"/>
        <w:ind w:left="384" w:right="466" w:firstLine="408" w:firstLineChars="200"/>
        <w:rPr>
          <w:rFonts w:ascii="宋体" w:hAnsi="宋体" w:cs="宋体"/>
          <w:kern w:val="0"/>
          <w:szCs w:val="21"/>
          <w:lang w:val="zh-CN" w:bidi="zh-CN"/>
        </w:rPr>
      </w:pPr>
      <w:r>
        <w:rPr>
          <w:rFonts w:ascii="宋体" w:hAnsi="宋体" w:cs="宋体"/>
          <w:spacing w:val="-3"/>
          <w:kern w:val="0"/>
          <w:szCs w:val="21"/>
          <w:lang w:val="zh-CN" w:bidi="zh-CN"/>
        </w:rPr>
        <w:t>（2）</w:t>
      </w:r>
      <w:r>
        <w:rPr>
          <w:rFonts w:ascii="宋体" w:hAnsi="宋体" w:cs="宋体"/>
          <w:kern w:val="0"/>
          <w:szCs w:val="21"/>
          <w:lang w:val="zh-CN" w:bidi="zh-CN"/>
        </w:rPr>
        <w:t>坚持“</w:t>
      </w:r>
      <w:r>
        <w:rPr>
          <w:rFonts w:ascii="宋体" w:hAnsi="宋体" w:cs="宋体"/>
          <w:spacing w:val="-3"/>
          <w:kern w:val="0"/>
          <w:szCs w:val="21"/>
          <w:lang w:val="zh-CN" w:bidi="zh-CN"/>
        </w:rPr>
        <w:t>安全第一、预防为主、综合治理</w:t>
      </w:r>
      <w:r>
        <w:rPr>
          <w:rFonts w:ascii="宋体" w:hAnsi="宋体" w:cs="宋体"/>
          <w:kern w:val="0"/>
          <w:szCs w:val="21"/>
          <w:lang w:val="zh-CN" w:bidi="zh-CN"/>
        </w:rPr>
        <w:t>”和“管生产必须管安全”</w:t>
      </w:r>
      <w:r>
        <w:rPr>
          <w:rFonts w:ascii="宋体" w:hAnsi="宋体" w:cs="宋体"/>
          <w:spacing w:val="-3"/>
          <w:kern w:val="0"/>
          <w:szCs w:val="21"/>
          <w:lang w:val="zh-CN" w:bidi="zh-CN"/>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1E3BB47F">
      <w:pPr>
        <w:autoSpaceDE w:val="0"/>
        <w:autoSpaceDN w:val="0"/>
        <w:spacing w:before="74" w:line="360" w:lineRule="auto"/>
        <w:ind w:left="384" w:right="386" w:firstLine="380" w:firstLineChars="200"/>
        <w:jc w:val="left"/>
        <w:rPr>
          <w:rFonts w:ascii="宋体" w:hAnsi="宋体" w:cs="宋体"/>
          <w:spacing w:val="-4"/>
          <w:kern w:val="0"/>
          <w:szCs w:val="21"/>
          <w:lang w:val="zh-CN" w:bidi="zh-CN"/>
        </w:rPr>
      </w:pPr>
      <w:r>
        <w:rPr>
          <w:rFonts w:ascii="宋体" w:hAnsi="宋体" w:cs="宋体"/>
          <w:spacing w:val="-10"/>
          <w:kern w:val="0"/>
          <w:szCs w:val="21"/>
          <w:lang w:val="zh-CN" w:bidi="zh-CN"/>
        </w:rPr>
        <w:t>（3）</w:t>
      </w:r>
      <w:r>
        <w:rPr>
          <w:rFonts w:ascii="宋体" w:hAnsi="宋体" w:cs="宋体"/>
          <w:spacing w:val="-4"/>
          <w:kern w:val="0"/>
          <w:szCs w:val="21"/>
          <w:lang w:val="zh-CN" w:bidi="zh-CN"/>
        </w:rPr>
        <w:t>建立健全安全生产责任制。从派往项目实施的项目经理到生产工人</w:t>
      </w:r>
      <w:r>
        <w:rPr>
          <w:rFonts w:ascii="宋体" w:hAnsi="宋体" w:cs="宋体"/>
          <w:kern w:val="0"/>
          <w:szCs w:val="21"/>
          <w:lang w:val="zh-CN" w:bidi="zh-CN"/>
        </w:rPr>
        <w:t>（包括临时雇请的民工</w:t>
      </w:r>
      <w:r>
        <w:rPr>
          <w:rFonts w:ascii="宋体" w:hAnsi="宋体" w:cs="宋体"/>
          <w:spacing w:val="-29"/>
          <w:kern w:val="0"/>
          <w:szCs w:val="21"/>
          <w:lang w:val="zh-CN" w:bidi="zh-CN"/>
        </w:rPr>
        <w:t>）</w:t>
      </w:r>
      <w:r>
        <w:rPr>
          <w:rFonts w:ascii="宋体" w:hAnsi="宋体" w:cs="宋体"/>
          <w:spacing w:val="-4"/>
          <w:kern w:val="0"/>
          <w:szCs w:val="21"/>
          <w:lang w:val="zh-CN" w:bidi="zh-CN"/>
        </w:rPr>
        <w:t>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145A65AF">
      <w:pPr>
        <w:autoSpaceDE w:val="0"/>
        <w:autoSpaceDN w:val="0"/>
        <w:spacing w:before="74" w:line="360" w:lineRule="auto"/>
        <w:ind w:left="384" w:right="386" w:firstLine="420" w:firstLineChars="200"/>
        <w:jc w:val="left"/>
        <w:rPr>
          <w:rFonts w:ascii="宋体" w:hAnsi="宋体" w:cs="宋体"/>
          <w:kern w:val="0"/>
          <w:szCs w:val="21"/>
          <w:lang w:val="zh-CN" w:bidi="zh-CN"/>
        </w:rPr>
      </w:pPr>
      <w:r>
        <w:rPr>
          <w:rFonts w:ascii="宋体" w:hAnsi="宋体" w:cs="宋体"/>
          <w:kern w:val="0"/>
          <w:szCs w:val="21"/>
          <w:lang w:val="zh-CN" w:bidi="zh-CN"/>
        </w:rPr>
        <w:t>（4）承包人在任何时候都应采取各种合理的预防措施，防止其员工发生任何违法、违禁、暴力或妨碍治安的行为。</w:t>
      </w:r>
    </w:p>
    <w:p w14:paraId="5A25E5A7">
      <w:pPr>
        <w:autoSpaceDE w:val="0"/>
        <w:autoSpaceDN w:val="0"/>
        <w:spacing w:before="5" w:line="360" w:lineRule="auto"/>
        <w:ind w:left="384" w:right="466" w:firstLine="360" w:firstLineChars="200"/>
        <w:rPr>
          <w:rFonts w:ascii="宋体" w:hAnsi="宋体" w:cs="宋体"/>
          <w:kern w:val="0"/>
          <w:szCs w:val="21"/>
          <w:lang w:val="zh-CN" w:bidi="zh-CN"/>
        </w:rPr>
      </w:pPr>
      <w:r>
        <w:rPr>
          <w:rFonts w:ascii="宋体" w:hAnsi="宋体" w:cs="宋体"/>
          <w:spacing w:val="-15"/>
          <w:kern w:val="0"/>
          <w:szCs w:val="21"/>
          <w:lang w:val="zh-CN" w:bidi="zh-CN"/>
        </w:rPr>
        <w:t>（5）</w:t>
      </w:r>
      <w:r>
        <w:rPr>
          <w:rFonts w:ascii="宋体" w:hAnsi="宋体" w:cs="宋体"/>
          <w:spacing w:val="-2"/>
          <w:kern w:val="0"/>
          <w:szCs w:val="21"/>
          <w:lang w:val="zh-CN" w:bidi="zh-CN"/>
        </w:rPr>
        <w:t>承包人必须具有劳动安全管理部门颁发的安全生产考核合格证书，参加施工的人员，必须接受安全技术教育，熟知和遵守本工种的各项安全技术操作规程， 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6DF631CD">
      <w:pPr>
        <w:autoSpaceDE w:val="0"/>
        <w:autoSpaceDN w:val="0"/>
        <w:spacing w:line="360" w:lineRule="auto"/>
        <w:ind w:left="384" w:right="346" w:firstLine="420" w:firstLineChars="200"/>
        <w:jc w:val="left"/>
        <w:rPr>
          <w:rFonts w:ascii="宋体" w:hAnsi="宋体" w:cs="宋体"/>
          <w:kern w:val="0"/>
          <w:szCs w:val="21"/>
          <w:lang w:val="zh-CN" w:bidi="zh-CN"/>
        </w:rPr>
      </w:pPr>
      <w:r>
        <w:rPr>
          <w:rFonts w:ascii="宋体" w:hAnsi="宋体" w:cs="宋体"/>
          <w:kern w:val="0"/>
          <w:szCs w:val="21"/>
          <w:lang w:val="zh-CN" w:bidi="zh-CN"/>
        </w:rPr>
        <w:t>（6</w:t>
      </w:r>
      <w:r>
        <w:rPr>
          <w:rFonts w:ascii="宋体" w:hAnsi="宋体" w:cs="宋体"/>
          <w:spacing w:val="-104"/>
          <w:kern w:val="0"/>
          <w:szCs w:val="21"/>
          <w:lang w:val="zh-CN" w:bidi="zh-CN"/>
        </w:rPr>
        <w:t>）</w:t>
      </w:r>
      <w:r>
        <w:rPr>
          <w:rFonts w:ascii="宋体" w:hAnsi="宋体" w:cs="宋体"/>
          <w:spacing w:val="-6"/>
          <w:kern w:val="0"/>
          <w:szCs w:val="21"/>
          <w:lang w:val="zh-CN" w:bidi="zh-CN"/>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1D3F1AF7">
      <w:pPr>
        <w:autoSpaceDE w:val="0"/>
        <w:autoSpaceDN w:val="0"/>
        <w:spacing w:line="360" w:lineRule="auto"/>
        <w:ind w:left="384" w:right="466" w:firstLine="380" w:firstLineChars="200"/>
        <w:jc w:val="left"/>
        <w:rPr>
          <w:rFonts w:ascii="宋体" w:hAnsi="宋体" w:cs="宋体"/>
          <w:kern w:val="0"/>
          <w:szCs w:val="21"/>
          <w:lang w:val="zh-CN" w:bidi="zh-CN"/>
        </w:rPr>
      </w:pPr>
      <w:r>
        <w:rPr>
          <w:rFonts w:ascii="宋体" w:hAnsi="宋体" w:cs="宋体"/>
          <w:spacing w:val="-10"/>
          <w:kern w:val="0"/>
          <w:szCs w:val="21"/>
          <w:lang w:val="zh-CN" w:bidi="zh-CN"/>
        </w:rPr>
        <w:t>（7）</w:t>
      </w:r>
      <w:r>
        <w:rPr>
          <w:rFonts w:ascii="宋体" w:hAnsi="宋体" w:cs="宋体"/>
          <w:spacing w:val="-7"/>
          <w:kern w:val="0"/>
          <w:szCs w:val="21"/>
          <w:lang w:val="zh-CN" w:bidi="zh-CN"/>
        </w:rPr>
        <w:t>操作人员上岗，必须按规定穿戴防护用品。施工负责人和安全检查员应随时检查劳动防护用品的穿戴情况，不按规定穿戴防护用品的人员不得上岗。</w:t>
      </w:r>
    </w:p>
    <w:p w14:paraId="52C9DA39">
      <w:pPr>
        <w:autoSpaceDE w:val="0"/>
        <w:autoSpaceDN w:val="0"/>
        <w:spacing w:line="360" w:lineRule="auto"/>
        <w:ind w:left="384" w:right="386" w:firstLine="420" w:firstLineChars="200"/>
        <w:jc w:val="left"/>
        <w:rPr>
          <w:rFonts w:ascii="宋体" w:hAnsi="宋体" w:cs="宋体"/>
          <w:kern w:val="0"/>
          <w:szCs w:val="21"/>
          <w:lang w:val="zh-CN" w:bidi="zh-CN"/>
        </w:rPr>
      </w:pPr>
      <w:r>
        <w:rPr>
          <w:rFonts w:ascii="宋体" w:hAnsi="宋体" w:cs="宋体"/>
          <w:kern w:val="0"/>
          <w:szCs w:val="21"/>
          <w:lang w:val="zh-CN" w:bidi="zh-CN"/>
        </w:rPr>
        <w:t>（8）所有施工机具设备和高空作业的设备均应定期检查，并有安全员的签字记录，保证其经常处于完好状态；不合格的机具、设备和劳动保护用品严禁使用。</w:t>
      </w:r>
    </w:p>
    <w:p w14:paraId="08356EE4">
      <w:pPr>
        <w:autoSpaceDE w:val="0"/>
        <w:autoSpaceDN w:val="0"/>
        <w:spacing w:line="360" w:lineRule="auto"/>
        <w:ind w:left="384" w:right="386" w:firstLine="420" w:firstLineChars="200"/>
        <w:jc w:val="left"/>
        <w:rPr>
          <w:rFonts w:ascii="宋体" w:hAnsi="宋体" w:cs="宋体"/>
          <w:kern w:val="0"/>
          <w:szCs w:val="21"/>
          <w:lang w:val="zh-CN" w:bidi="zh-CN"/>
        </w:rPr>
      </w:pPr>
      <w:r>
        <w:rPr>
          <w:rFonts w:ascii="宋体" w:hAnsi="宋体" w:cs="宋体"/>
          <w:kern w:val="0"/>
          <w:szCs w:val="21"/>
          <w:lang w:val="zh-CN" w:bidi="zh-CN"/>
        </w:rPr>
        <w:t>（9）施工中采用新技术、新工艺、新设备、新材料时，必须制定相应的安全技术措施，施工现场必须具有相关的安全标志牌。</w:t>
      </w:r>
    </w:p>
    <w:p w14:paraId="10069DC5">
      <w:pPr>
        <w:autoSpaceDE w:val="0"/>
        <w:autoSpaceDN w:val="0"/>
        <w:spacing w:line="360" w:lineRule="auto"/>
        <w:ind w:left="384" w:right="465" w:firstLine="420" w:firstLineChars="200"/>
        <w:rPr>
          <w:rFonts w:ascii="宋体" w:hAnsi="宋体" w:cs="宋体"/>
          <w:kern w:val="0"/>
          <w:szCs w:val="21"/>
          <w:lang w:val="zh-CN" w:bidi="zh-CN"/>
        </w:rPr>
      </w:pPr>
      <w:r>
        <w:rPr>
          <w:rFonts w:ascii="宋体" w:hAnsi="宋体" w:cs="宋体"/>
          <w:kern w:val="0"/>
          <w:szCs w:val="21"/>
          <w:lang w:val="zh-CN" w:bidi="zh-CN"/>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 严肃处理相关责任人。</w:t>
      </w:r>
    </w:p>
    <w:p w14:paraId="52730775">
      <w:pPr>
        <w:autoSpaceDE w:val="0"/>
        <w:autoSpaceDN w:val="0"/>
        <w:spacing w:line="360" w:lineRule="auto"/>
        <w:ind w:left="384" w:right="465" w:firstLine="420" w:firstLineChars="200"/>
        <w:jc w:val="left"/>
        <w:rPr>
          <w:rFonts w:ascii="宋体" w:hAnsi="宋体" w:cs="宋体"/>
          <w:kern w:val="0"/>
          <w:szCs w:val="21"/>
          <w:lang w:val="zh-CN" w:bidi="zh-CN"/>
        </w:rPr>
      </w:pPr>
      <w:r>
        <w:rPr>
          <w:rFonts w:ascii="宋体" w:hAnsi="宋体" w:cs="宋体"/>
          <w:kern w:val="0"/>
          <w:szCs w:val="21"/>
          <w:lang w:val="zh-CN" w:bidi="zh-CN"/>
        </w:rPr>
        <w:t>（11）安全生产费用按照《公路水运工程安全生产监督管理办法》的相关规定使用和管理。</w:t>
      </w:r>
    </w:p>
    <w:p w14:paraId="677815CF">
      <w:pPr>
        <w:autoSpaceDE w:val="0"/>
        <w:autoSpaceDN w:val="0"/>
        <w:spacing w:line="360" w:lineRule="auto"/>
        <w:ind w:firstLine="399" w:firstLineChars="190"/>
        <w:jc w:val="left"/>
        <w:rPr>
          <w:rFonts w:ascii="宋体" w:hAnsi="宋体" w:cs="宋体"/>
          <w:kern w:val="0"/>
          <w:szCs w:val="21"/>
          <w:lang w:val="zh-CN" w:bidi="zh-CN"/>
        </w:rPr>
      </w:pPr>
      <w:r>
        <w:rPr>
          <w:rFonts w:ascii="宋体" w:hAnsi="宋体" w:cs="宋体"/>
          <w:kern w:val="0"/>
          <w:szCs w:val="21"/>
          <w:lang w:val="zh-CN" w:bidi="zh-CN"/>
        </w:rPr>
        <w:t>3.违约责任</w:t>
      </w:r>
    </w:p>
    <w:p w14:paraId="5A8C5E6F">
      <w:pPr>
        <w:autoSpaceDE w:val="0"/>
        <w:autoSpaceDN w:val="0"/>
        <w:spacing w:before="73" w:line="360" w:lineRule="auto"/>
        <w:ind w:firstLine="609" w:firstLineChars="290"/>
        <w:jc w:val="left"/>
        <w:rPr>
          <w:rFonts w:ascii="宋体" w:hAnsi="宋体" w:cs="宋体"/>
          <w:kern w:val="0"/>
          <w:szCs w:val="21"/>
          <w:lang w:val="zh-CN" w:bidi="zh-CN"/>
        </w:rPr>
      </w:pPr>
      <w:r>
        <w:rPr>
          <w:rFonts w:ascii="宋体" w:hAnsi="宋体" w:cs="宋体"/>
          <w:kern w:val="0"/>
          <w:szCs w:val="21"/>
          <w:lang w:val="zh-CN" w:bidi="zh-CN"/>
        </w:rPr>
        <w:t>如因发包人或承包人违约造成安全事故，将依法追究责任。</w:t>
      </w:r>
    </w:p>
    <w:p w14:paraId="5CAC988E">
      <w:pPr>
        <w:numPr>
          <w:ilvl w:val="0"/>
          <w:numId w:val="11"/>
        </w:numPr>
        <w:tabs>
          <w:tab w:val="left" w:pos="1164"/>
        </w:tabs>
        <w:autoSpaceDE w:val="0"/>
        <w:autoSpaceDN w:val="0"/>
        <w:spacing w:before="81" w:line="360" w:lineRule="auto"/>
        <w:ind w:right="466" w:firstLine="416" w:firstLineChars="200"/>
        <w:jc w:val="left"/>
        <w:rPr>
          <w:rFonts w:ascii="宋体" w:hAnsi="宋体" w:cs="宋体"/>
          <w:kern w:val="0"/>
          <w:szCs w:val="21"/>
          <w:lang w:val="zh-CN" w:bidi="zh-CN"/>
        </w:rPr>
      </w:pPr>
      <w:r>
        <w:rPr>
          <w:rFonts w:ascii="宋体" w:hAnsi="宋体" w:cs="宋体"/>
          <w:spacing w:val="-1"/>
          <w:kern w:val="0"/>
          <w:szCs w:val="21"/>
          <w:lang w:val="zh-CN" w:bidi="zh-CN"/>
        </w:rPr>
        <w:t>本合同由双方法定代表人或其授权的代理人签署并加盖单位章后生效，全部工程竣工验收后失效。</w:t>
      </w:r>
    </w:p>
    <w:p w14:paraId="0803ABAA">
      <w:pPr>
        <w:numPr>
          <w:ilvl w:val="0"/>
          <w:numId w:val="11"/>
        </w:numPr>
        <w:tabs>
          <w:tab w:val="left" w:pos="1164"/>
          <w:tab w:val="left" w:pos="4036"/>
          <w:tab w:val="left" w:pos="8107"/>
        </w:tabs>
        <w:autoSpaceDE w:val="0"/>
        <w:autoSpaceDN w:val="0"/>
        <w:spacing w:line="360" w:lineRule="auto"/>
        <w:ind w:right="466" w:firstLine="420" w:firstLineChars="200"/>
        <w:jc w:val="left"/>
        <w:rPr>
          <w:rFonts w:ascii="宋体" w:hAnsi="宋体" w:cs="宋体"/>
          <w:kern w:val="0"/>
          <w:szCs w:val="21"/>
          <w:lang w:val="zh-CN" w:bidi="zh-CN"/>
        </w:rPr>
      </w:pPr>
      <w:r>
        <w:rPr>
          <w:rFonts w:ascii="宋体" w:hAnsi="宋体" w:cs="宋体"/>
          <w:kern w:val="0"/>
          <w:szCs w:val="21"/>
          <w:lang w:val="zh-CN" w:bidi="zh-CN"/>
        </w:rPr>
        <w:t>本合同正本二份</w:t>
      </w:r>
      <w:r>
        <w:rPr>
          <w:rFonts w:ascii="宋体" w:hAnsi="宋体" w:cs="宋体"/>
          <w:spacing w:val="-8"/>
          <w:kern w:val="0"/>
          <w:szCs w:val="21"/>
          <w:lang w:val="zh-CN" w:bidi="zh-CN"/>
        </w:rPr>
        <w:t>、</w:t>
      </w:r>
      <w:r>
        <w:rPr>
          <w:rFonts w:ascii="宋体" w:hAnsi="宋体" w:cs="宋体"/>
          <w:kern w:val="0"/>
          <w:szCs w:val="21"/>
          <w:lang w:val="zh-CN" w:bidi="zh-CN"/>
        </w:rPr>
        <w:t>副本</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份</w:t>
      </w:r>
      <w:r>
        <w:rPr>
          <w:rFonts w:ascii="宋体" w:hAnsi="宋体" w:cs="宋体"/>
          <w:spacing w:val="-8"/>
          <w:kern w:val="0"/>
          <w:szCs w:val="21"/>
          <w:lang w:val="zh-CN" w:bidi="zh-CN"/>
        </w:rPr>
        <w:t>，</w:t>
      </w:r>
      <w:r>
        <w:rPr>
          <w:rFonts w:ascii="宋体" w:hAnsi="宋体" w:cs="宋体"/>
          <w:kern w:val="0"/>
          <w:szCs w:val="21"/>
          <w:lang w:val="zh-CN" w:bidi="zh-CN"/>
        </w:rPr>
        <w:t>合同双方各执正本一份</w:t>
      </w:r>
      <w:r>
        <w:rPr>
          <w:rFonts w:ascii="宋体" w:hAnsi="宋体" w:cs="宋体"/>
          <w:spacing w:val="-5"/>
          <w:kern w:val="0"/>
          <w:szCs w:val="21"/>
          <w:lang w:val="zh-CN" w:bidi="zh-CN"/>
        </w:rPr>
        <w:t>，</w:t>
      </w:r>
      <w:r>
        <w:rPr>
          <w:rFonts w:ascii="宋体" w:hAnsi="宋体" w:cs="宋体"/>
          <w:kern w:val="0"/>
          <w:szCs w:val="21"/>
          <w:lang w:val="zh-CN" w:bidi="zh-CN"/>
        </w:rPr>
        <w:t>副本</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份</w:t>
      </w:r>
      <w:r>
        <w:rPr>
          <w:rFonts w:ascii="宋体" w:hAnsi="宋体" w:cs="宋体"/>
          <w:spacing w:val="-8"/>
          <w:kern w:val="0"/>
          <w:szCs w:val="21"/>
          <w:lang w:val="zh-CN" w:bidi="zh-CN"/>
        </w:rPr>
        <w:t>，</w:t>
      </w:r>
    </w:p>
    <w:p w14:paraId="4C70A31E">
      <w:pPr>
        <w:numPr>
          <w:ilvl w:val="0"/>
          <w:numId w:val="11"/>
        </w:numPr>
        <w:tabs>
          <w:tab w:val="left" w:pos="1164"/>
          <w:tab w:val="left" w:pos="4036"/>
          <w:tab w:val="left" w:pos="8107"/>
        </w:tabs>
        <w:autoSpaceDE w:val="0"/>
        <w:autoSpaceDN w:val="0"/>
        <w:spacing w:line="360" w:lineRule="auto"/>
        <w:ind w:right="466" w:firstLine="420" w:firstLineChars="200"/>
        <w:jc w:val="left"/>
        <w:rPr>
          <w:rFonts w:ascii="宋体" w:hAnsi="宋体" w:cs="宋体"/>
          <w:kern w:val="0"/>
          <w:szCs w:val="21"/>
          <w:lang w:val="zh-CN" w:bidi="zh-CN"/>
        </w:rPr>
      </w:pPr>
      <w:r>
        <w:rPr>
          <w:rFonts w:ascii="宋体" w:hAnsi="宋体" w:cs="宋体"/>
          <w:kern w:val="0"/>
          <w:szCs w:val="21"/>
          <w:lang w:val="zh-CN" w:bidi="zh-CN"/>
        </w:rPr>
        <w:t>当正本与副本的内容不一致时，以正本为准。</w:t>
      </w:r>
    </w:p>
    <w:p w14:paraId="33EF35B2">
      <w:pPr>
        <w:autoSpaceDE w:val="0"/>
        <w:autoSpaceDN w:val="0"/>
        <w:spacing w:line="360" w:lineRule="auto"/>
        <w:ind w:firstLine="420" w:firstLineChars="200"/>
        <w:jc w:val="left"/>
        <w:rPr>
          <w:rFonts w:ascii="宋体" w:hAnsi="宋体" w:cs="宋体"/>
          <w:kern w:val="0"/>
          <w:szCs w:val="21"/>
          <w:lang w:val="zh-CN" w:bidi="zh-CN"/>
        </w:rPr>
      </w:pPr>
    </w:p>
    <w:p w14:paraId="4F678074">
      <w:pPr>
        <w:autoSpaceDE w:val="0"/>
        <w:autoSpaceDN w:val="0"/>
        <w:spacing w:before="11" w:line="360" w:lineRule="auto"/>
        <w:ind w:firstLine="420" w:firstLineChars="200"/>
        <w:jc w:val="left"/>
        <w:rPr>
          <w:rFonts w:ascii="宋体" w:hAnsi="宋体" w:cs="宋体"/>
          <w:kern w:val="0"/>
          <w:szCs w:val="21"/>
          <w:lang w:val="zh-CN" w:bidi="zh-CN"/>
        </w:rPr>
      </w:pPr>
    </w:p>
    <w:p w14:paraId="496A7EBB">
      <w:pPr>
        <w:widowControl/>
        <w:ind w:firstLine="660" w:firstLineChars="300"/>
        <w:jc w:val="left"/>
        <w:rPr>
          <w:rFonts w:ascii="宋体" w:hAnsi="宋体" w:cs="宋体"/>
          <w:kern w:val="0"/>
          <w:sz w:val="22"/>
          <w:lang w:val="zh-CN" w:bidi="zh-CN"/>
        </w:rPr>
      </w:pPr>
      <w:r>
        <w:rPr>
          <w:rFonts w:ascii="宋体" w:hAnsi="宋体" w:cs="宋体"/>
          <w:kern w:val="0"/>
          <w:sz w:val="22"/>
          <w:lang w:val="zh-CN" w:bidi="zh-CN"/>
        </w:rPr>
        <w:t>发包人</w:t>
      </w:r>
      <w:r>
        <w:rPr>
          <w:rFonts w:ascii="宋体" w:hAnsi="宋体" w:cs="宋体"/>
          <w:spacing w:val="-11"/>
          <w:kern w:val="0"/>
          <w:sz w:val="22"/>
          <w:lang w:val="zh-CN" w:bidi="zh-CN"/>
        </w:rPr>
        <w:t>：</w:t>
      </w:r>
      <w:r>
        <w:rPr>
          <w:rFonts w:ascii="宋体" w:hAnsi="宋体" w:cs="宋体"/>
          <w:spacing w:val="-11"/>
          <w:kern w:val="0"/>
          <w:sz w:val="22"/>
          <w:u w:val="single"/>
          <w:lang w:val="zh-CN" w:bidi="zh-CN"/>
        </w:rPr>
        <w:t xml:space="preserve"> </w:t>
      </w:r>
      <w:r>
        <w:rPr>
          <w:rFonts w:hint="eastAsia" w:ascii="宋体" w:hAnsi="宋体" w:cs="宋体"/>
          <w:spacing w:val="-11"/>
          <w:kern w:val="0"/>
          <w:sz w:val="22"/>
          <w:u w:val="single"/>
          <w:lang w:val="zh-CN" w:bidi="zh-CN"/>
        </w:rPr>
        <w:t xml:space="preserve">  </w:t>
      </w:r>
      <w:r>
        <w:rPr>
          <w:rFonts w:ascii="宋体" w:hAnsi="宋体" w:cs="宋体"/>
          <w:spacing w:val="-11"/>
          <w:kern w:val="0"/>
          <w:sz w:val="22"/>
          <w:u w:val="single"/>
          <w:lang w:val="zh-CN" w:bidi="zh-CN"/>
        </w:rPr>
        <w:tab/>
      </w:r>
      <w:r>
        <w:rPr>
          <w:rFonts w:ascii="宋体" w:hAnsi="宋体" w:cs="宋体"/>
          <w:spacing w:val="-3"/>
          <w:kern w:val="0"/>
          <w:sz w:val="22"/>
          <w:lang w:val="zh-CN" w:bidi="zh-CN"/>
        </w:rPr>
        <w:t>（</w:t>
      </w:r>
      <w:r>
        <w:rPr>
          <w:rFonts w:ascii="宋体" w:hAnsi="宋体" w:cs="宋体"/>
          <w:kern w:val="0"/>
          <w:sz w:val="22"/>
          <w:lang w:val="zh-CN" w:bidi="zh-CN"/>
        </w:rPr>
        <w:t>盖单位章）</w:t>
      </w:r>
      <w:r>
        <w:rPr>
          <w:rFonts w:ascii="宋体" w:hAnsi="宋体" w:cs="宋体"/>
          <w:kern w:val="0"/>
          <w:sz w:val="22"/>
          <w:lang w:val="zh-CN" w:bidi="zh-CN"/>
        </w:rPr>
        <w:tab/>
      </w:r>
      <w:r>
        <w:rPr>
          <w:rFonts w:hint="eastAsia" w:ascii="宋体" w:hAnsi="宋体" w:cs="宋体"/>
          <w:kern w:val="0"/>
          <w:sz w:val="22"/>
          <w:lang w:val="zh-CN" w:bidi="zh-CN"/>
        </w:rPr>
        <w:t xml:space="preserve">   </w:t>
      </w:r>
      <w:r>
        <w:rPr>
          <w:rFonts w:hint="eastAsia" w:ascii="宋体" w:hAnsi="宋体" w:cs="宋体"/>
          <w:kern w:val="0"/>
          <w:sz w:val="22"/>
          <w:lang w:bidi="zh-CN"/>
        </w:rPr>
        <w:t xml:space="preserve">        </w:t>
      </w:r>
      <w:r>
        <w:rPr>
          <w:rFonts w:ascii="宋体" w:hAnsi="宋体" w:cs="宋体"/>
          <w:kern w:val="0"/>
          <w:sz w:val="22"/>
          <w:lang w:val="zh-CN" w:bidi="zh-CN"/>
        </w:rPr>
        <w:t>承包人</w:t>
      </w:r>
      <w:r>
        <w:rPr>
          <w:rFonts w:ascii="宋体" w:hAnsi="宋体" w:cs="宋体"/>
          <w:spacing w:val="-10"/>
          <w:kern w:val="0"/>
          <w:sz w:val="22"/>
          <w:lang w:val="zh-CN" w:bidi="zh-CN"/>
        </w:rPr>
        <w:t>：</w:t>
      </w:r>
      <w:r>
        <w:rPr>
          <w:rFonts w:ascii="宋体" w:hAnsi="宋体" w:cs="宋体"/>
          <w:spacing w:val="-10"/>
          <w:kern w:val="0"/>
          <w:sz w:val="22"/>
          <w:u w:val="single"/>
          <w:lang w:val="zh-CN" w:bidi="zh-CN"/>
        </w:rPr>
        <w:tab/>
      </w:r>
      <w:r>
        <w:rPr>
          <w:rFonts w:hint="eastAsia" w:ascii="宋体" w:hAnsi="宋体" w:cs="宋体"/>
          <w:spacing w:val="-10"/>
          <w:kern w:val="0"/>
          <w:sz w:val="22"/>
          <w:u w:val="single"/>
          <w:lang w:val="zh-CN" w:bidi="zh-CN"/>
        </w:rPr>
        <w:t xml:space="preserve"> </w:t>
      </w:r>
      <w:r>
        <w:rPr>
          <w:rFonts w:hint="eastAsia" w:ascii="宋体" w:hAnsi="宋体" w:cs="宋体"/>
          <w:spacing w:val="-10"/>
          <w:kern w:val="0"/>
          <w:sz w:val="22"/>
          <w:u w:val="single"/>
          <w:lang w:bidi="zh-CN"/>
        </w:rPr>
        <w:t xml:space="preserve">    </w:t>
      </w:r>
      <w:r>
        <w:rPr>
          <w:rFonts w:hint="eastAsia" w:ascii="宋体" w:hAnsi="宋体" w:cs="宋体"/>
          <w:spacing w:val="-10"/>
          <w:kern w:val="0"/>
          <w:sz w:val="22"/>
          <w:u w:val="single"/>
          <w:lang w:val="zh-CN" w:bidi="zh-CN"/>
        </w:rPr>
        <w:t xml:space="preserve">   </w:t>
      </w:r>
      <w:r>
        <w:rPr>
          <w:rFonts w:ascii="宋体" w:hAnsi="宋体" w:cs="宋体"/>
          <w:kern w:val="0"/>
          <w:sz w:val="22"/>
          <w:lang w:val="zh-CN" w:bidi="zh-CN"/>
        </w:rPr>
        <w:t xml:space="preserve">（盖单位章） </w:t>
      </w:r>
    </w:p>
    <w:p w14:paraId="7A41202C">
      <w:pPr>
        <w:widowControl/>
        <w:ind w:firstLine="660" w:firstLineChars="300"/>
        <w:jc w:val="left"/>
        <w:rPr>
          <w:rFonts w:ascii="宋体" w:hAnsi="宋体" w:cs="宋体"/>
          <w:kern w:val="0"/>
          <w:sz w:val="22"/>
          <w:lang w:val="zh-CN" w:bidi="zh-CN"/>
        </w:rPr>
      </w:pPr>
      <w:r>
        <w:rPr>
          <w:rFonts w:ascii="宋体" w:hAnsi="宋体" w:cs="宋体"/>
          <w:kern w:val="0"/>
          <w:sz w:val="22"/>
          <w:lang w:val="zh-CN" w:bidi="zh-CN"/>
        </w:rPr>
        <w:t>法定代表人或其委托代理人</w:t>
      </w:r>
      <w:r>
        <w:rPr>
          <w:rFonts w:ascii="宋体" w:hAnsi="宋体" w:cs="宋体"/>
          <w:spacing w:val="-28"/>
          <w:kern w:val="0"/>
          <w:sz w:val="22"/>
          <w:lang w:val="zh-CN" w:bidi="zh-CN"/>
        </w:rPr>
        <w:t>：</w:t>
      </w:r>
      <w:r>
        <w:rPr>
          <w:rFonts w:hint="eastAsia" w:ascii="宋体" w:hAnsi="宋体" w:cs="宋体"/>
          <w:spacing w:val="-28"/>
          <w:kern w:val="0"/>
          <w:sz w:val="22"/>
          <w:u w:val="single"/>
          <w:lang w:bidi="zh-CN"/>
        </w:rPr>
        <w:t xml:space="preserve">      </w:t>
      </w:r>
      <w:r>
        <w:rPr>
          <w:rFonts w:ascii="宋体" w:hAnsi="宋体" w:cs="宋体"/>
          <w:spacing w:val="-10"/>
          <w:kern w:val="0"/>
          <w:sz w:val="22"/>
          <w:u w:val="single"/>
          <w:lang w:val="zh-CN" w:bidi="zh-CN"/>
        </w:rPr>
        <w:t xml:space="preserve"> </w:t>
      </w:r>
      <w:r>
        <w:rPr>
          <w:rFonts w:ascii="宋体" w:hAnsi="宋体" w:cs="宋体"/>
          <w:spacing w:val="-3"/>
          <w:kern w:val="0"/>
          <w:sz w:val="22"/>
          <w:lang w:val="zh-CN" w:bidi="zh-CN"/>
        </w:rPr>
        <w:t>（</w:t>
      </w:r>
      <w:r>
        <w:rPr>
          <w:rFonts w:ascii="宋体" w:hAnsi="宋体" w:cs="宋体"/>
          <w:kern w:val="0"/>
          <w:sz w:val="22"/>
          <w:lang w:val="zh-CN" w:bidi="zh-CN"/>
        </w:rPr>
        <w:t>签字）</w:t>
      </w:r>
      <w:r>
        <w:rPr>
          <w:rFonts w:ascii="宋体" w:hAnsi="宋体" w:cs="宋体"/>
          <w:spacing w:val="-32"/>
          <w:kern w:val="0"/>
          <w:sz w:val="22"/>
          <w:lang w:val="zh-CN" w:bidi="zh-CN"/>
        </w:rPr>
        <w:t xml:space="preserve"> </w:t>
      </w:r>
      <w:r>
        <w:rPr>
          <w:rFonts w:hint="eastAsia" w:ascii="宋体" w:hAnsi="宋体" w:cs="宋体"/>
          <w:spacing w:val="-32"/>
          <w:kern w:val="0"/>
          <w:sz w:val="22"/>
          <w:lang w:bidi="zh-CN"/>
        </w:rPr>
        <w:t xml:space="preserve">     </w:t>
      </w:r>
      <w:r>
        <w:rPr>
          <w:rFonts w:ascii="宋体" w:hAnsi="宋体" w:cs="宋体"/>
          <w:kern w:val="0"/>
          <w:sz w:val="22"/>
          <w:lang w:val="zh-CN" w:bidi="zh-CN"/>
        </w:rPr>
        <w:t>法定代表人或其委托代理人</w:t>
      </w:r>
      <w:r>
        <w:rPr>
          <w:rFonts w:ascii="宋体" w:hAnsi="宋体" w:cs="宋体"/>
          <w:spacing w:val="-29"/>
          <w:kern w:val="0"/>
          <w:sz w:val="22"/>
          <w:lang w:val="zh-CN" w:bidi="zh-CN"/>
        </w:rPr>
        <w:t>：</w:t>
      </w:r>
      <w:r>
        <w:rPr>
          <w:rFonts w:ascii="宋体" w:hAnsi="宋体" w:cs="宋体"/>
          <w:spacing w:val="-7"/>
          <w:kern w:val="0"/>
          <w:sz w:val="22"/>
          <w:u w:val="single"/>
          <w:lang w:val="zh-CN" w:bidi="zh-CN"/>
        </w:rPr>
        <w:t xml:space="preserve"> </w:t>
      </w:r>
      <w:r>
        <w:rPr>
          <w:rFonts w:hint="eastAsia" w:ascii="宋体" w:hAnsi="宋体" w:cs="宋体"/>
          <w:spacing w:val="-7"/>
          <w:kern w:val="0"/>
          <w:sz w:val="22"/>
          <w:u w:val="single"/>
          <w:lang w:bidi="zh-CN"/>
        </w:rPr>
        <w:t xml:space="preserve">    </w:t>
      </w:r>
      <w:r>
        <w:rPr>
          <w:rFonts w:ascii="宋体" w:hAnsi="宋体" w:cs="宋体"/>
          <w:kern w:val="0"/>
          <w:sz w:val="22"/>
          <w:lang w:val="zh-CN" w:bidi="zh-CN"/>
        </w:rPr>
        <w:t>（签字）</w:t>
      </w:r>
    </w:p>
    <w:p w14:paraId="4F21AEF0">
      <w:pPr>
        <w:tabs>
          <w:tab w:val="left" w:pos="2303"/>
          <w:tab w:val="left" w:pos="3143"/>
          <w:tab w:val="left" w:pos="3983"/>
          <w:tab w:val="left" w:pos="5903"/>
          <w:tab w:val="left" w:pos="6983"/>
          <w:tab w:val="left" w:pos="7823"/>
          <w:tab w:val="left" w:pos="8663"/>
        </w:tabs>
        <w:autoSpaceDE w:val="0"/>
        <w:autoSpaceDN w:val="0"/>
        <w:spacing w:before="1" w:line="360" w:lineRule="auto"/>
        <w:ind w:left="1224" w:firstLine="420" w:firstLineChars="200"/>
        <w:jc w:val="left"/>
        <w:rPr>
          <w:rFonts w:ascii="宋体" w:hAnsi="宋体" w:cs="宋体"/>
          <w:kern w:val="0"/>
          <w:szCs w:val="21"/>
          <w:lang w:val="zh-CN" w:bidi="zh-CN"/>
        </w:rPr>
      </w:pP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年</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月</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日</w:t>
      </w:r>
      <w:r>
        <w:rPr>
          <w:rFonts w:ascii="宋体" w:hAnsi="宋体" w:cs="宋体"/>
          <w:kern w:val="0"/>
          <w:szCs w:val="21"/>
          <w:lang w:val="zh-CN" w:bidi="zh-CN"/>
        </w:rPr>
        <w:tab/>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年</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月</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日</w:t>
      </w:r>
    </w:p>
    <w:p w14:paraId="39BAA341">
      <w:pPr>
        <w:widowControl/>
        <w:jc w:val="left"/>
        <w:rPr>
          <w:rFonts w:ascii="宋体" w:hAnsi="宋体" w:cs="宋体"/>
          <w:kern w:val="0"/>
          <w:sz w:val="22"/>
          <w:lang w:val="zh-CN" w:bidi="zh-CN"/>
        </w:rPr>
      </w:pPr>
    </w:p>
    <w:p w14:paraId="4404A41C">
      <w:pPr>
        <w:widowControl/>
        <w:jc w:val="left"/>
        <w:rPr>
          <w:rFonts w:ascii="宋体" w:hAnsi="宋体" w:cs="宋体"/>
          <w:kern w:val="0"/>
          <w:sz w:val="22"/>
          <w:lang w:val="zh-CN" w:bidi="zh-CN"/>
        </w:rPr>
      </w:pPr>
    </w:p>
    <w:p w14:paraId="4E0B849D">
      <w:pPr>
        <w:widowControl/>
        <w:jc w:val="left"/>
        <w:rPr>
          <w:rFonts w:ascii="宋体" w:hAnsi="宋体" w:cs="宋体"/>
          <w:kern w:val="0"/>
          <w:sz w:val="22"/>
          <w:lang w:val="zh-CN" w:bidi="zh-CN"/>
        </w:rPr>
      </w:pPr>
    </w:p>
    <w:p w14:paraId="189AEA1A">
      <w:pPr>
        <w:widowControl/>
        <w:jc w:val="left"/>
        <w:rPr>
          <w:rFonts w:ascii="宋体" w:hAnsi="宋体" w:cs="宋体"/>
          <w:kern w:val="0"/>
          <w:sz w:val="22"/>
          <w:lang w:val="zh-CN" w:bidi="zh-CN"/>
        </w:rPr>
      </w:pPr>
    </w:p>
    <w:p w14:paraId="447AC5C6">
      <w:pPr>
        <w:widowControl/>
        <w:jc w:val="left"/>
        <w:rPr>
          <w:rFonts w:ascii="宋体" w:hAnsi="宋体" w:cs="宋体"/>
          <w:kern w:val="0"/>
          <w:sz w:val="22"/>
          <w:lang w:val="zh-CN" w:bidi="zh-CN"/>
        </w:rPr>
      </w:pPr>
    </w:p>
    <w:p w14:paraId="02C66619">
      <w:pPr>
        <w:widowControl/>
        <w:jc w:val="left"/>
        <w:rPr>
          <w:rFonts w:ascii="宋体" w:hAnsi="宋体" w:cs="宋体"/>
          <w:kern w:val="0"/>
          <w:sz w:val="22"/>
          <w:lang w:val="zh-CN" w:bidi="zh-CN"/>
        </w:rPr>
      </w:pPr>
    </w:p>
    <w:p w14:paraId="77A005CE">
      <w:pPr>
        <w:widowControl/>
        <w:jc w:val="left"/>
        <w:rPr>
          <w:rFonts w:ascii="宋体" w:hAnsi="宋体" w:cs="宋体"/>
          <w:kern w:val="0"/>
          <w:sz w:val="22"/>
          <w:lang w:val="zh-CN" w:bidi="zh-CN"/>
        </w:rPr>
      </w:pPr>
    </w:p>
    <w:p w14:paraId="2DD4FF0C">
      <w:pPr>
        <w:widowControl/>
        <w:jc w:val="left"/>
        <w:rPr>
          <w:rFonts w:ascii="宋体" w:hAnsi="宋体" w:cs="宋体"/>
          <w:kern w:val="0"/>
          <w:sz w:val="22"/>
          <w:lang w:val="zh-CN" w:bidi="zh-CN"/>
        </w:rPr>
      </w:pPr>
    </w:p>
    <w:p w14:paraId="35F048F2">
      <w:pPr>
        <w:widowControl/>
        <w:jc w:val="left"/>
        <w:rPr>
          <w:rFonts w:ascii="宋体" w:hAnsi="宋体" w:cs="宋体"/>
          <w:kern w:val="0"/>
          <w:sz w:val="22"/>
          <w:lang w:val="zh-CN" w:bidi="zh-CN"/>
        </w:rPr>
      </w:pPr>
    </w:p>
    <w:p w14:paraId="2524CAA1">
      <w:pPr>
        <w:widowControl/>
        <w:jc w:val="left"/>
        <w:rPr>
          <w:rFonts w:ascii="宋体" w:hAnsi="宋体" w:cs="宋体"/>
          <w:kern w:val="0"/>
          <w:sz w:val="22"/>
          <w:lang w:val="zh-CN" w:bidi="zh-CN"/>
        </w:rPr>
      </w:pPr>
    </w:p>
    <w:p w14:paraId="702B435F">
      <w:pPr>
        <w:widowControl/>
        <w:jc w:val="left"/>
        <w:rPr>
          <w:rFonts w:ascii="宋体" w:hAnsi="宋体" w:cs="宋体"/>
          <w:kern w:val="0"/>
          <w:sz w:val="22"/>
          <w:lang w:val="zh-CN" w:bidi="zh-CN"/>
        </w:rPr>
      </w:pPr>
    </w:p>
    <w:p w14:paraId="5A43A5DF">
      <w:pPr>
        <w:widowControl/>
        <w:jc w:val="left"/>
        <w:rPr>
          <w:rFonts w:ascii="宋体" w:hAnsi="宋体" w:cs="宋体"/>
          <w:kern w:val="0"/>
          <w:sz w:val="22"/>
          <w:lang w:val="zh-CN" w:bidi="zh-CN"/>
        </w:rPr>
      </w:pPr>
    </w:p>
    <w:p w14:paraId="645B211E">
      <w:pPr>
        <w:widowControl/>
        <w:jc w:val="left"/>
        <w:rPr>
          <w:rFonts w:hint="eastAsia" w:ascii="宋体" w:hAnsi="宋体" w:cs="宋体"/>
          <w:kern w:val="0"/>
          <w:sz w:val="22"/>
          <w:lang w:val="en-US" w:bidi="zh-CN"/>
        </w:rPr>
      </w:pPr>
    </w:p>
    <w:p w14:paraId="111A5178">
      <w:pPr>
        <w:widowControl/>
        <w:jc w:val="left"/>
        <w:rPr>
          <w:rFonts w:hint="eastAsia" w:ascii="宋体" w:hAnsi="宋体" w:cs="宋体"/>
          <w:kern w:val="0"/>
          <w:sz w:val="22"/>
          <w:lang w:val="en-US" w:bidi="zh-CN"/>
        </w:rPr>
      </w:pPr>
    </w:p>
    <w:p w14:paraId="35B2FDA8">
      <w:pPr>
        <w:widowControl/>
        <w:jc w:val="left"/>
        <w:rPr>
          <w:rFonts w:hint="eastAsia" w:ascii="宋体" w:hAnsi="宋体" w:cs="宋体"/>
          <w:kern w:val="0"/>
          <w:sz w:val="22"/>
          <w:lang w:val="en-US" w:bidi="zh-CN"/>
        </w:rPr>
      </w:pPr>
    </w:p>
    <w:p w14:paraId="145B7DDD">
      <w:pPr>
        <w:widowControl/>
        <w:jc w:val="left"/>
        <w:rPr>
          <w:rFonts w:hint="eastAsia" w:ascii="宋体" w:hAnsi="宋体" w:cs="宋体"/>
          <w:kern w:val="0"/>
          <w:sz w:val="22"/>
          <w:lang w:val="en-US" w:bidi="zh-CN"/>
        </w:rPr>
      </w:pPr>
    </w:p>
    <w:p w14:paraId="2925B059">
      <w:pPr>
        <w:widowControl/>
        <w:jc w:val="left"/>
        <w:rPr>
          <w:rFonts w:hint="eastAsia" w:ascii="宋体" w:hAnsi="宋体" w:cs="宋体"/>
          <w:kern w:val="0"/>
          <w:sz w:val="22"/>
          <w:lang w:val="en-US" w:bidi="zh-CN"/>
        </w:rPr>
      </w:pPr>
    </w:p>
    <w:p w14:paraId="59973E0E">
      <w:pPr>
        <w:widowControl/>
        <w:jc w:val="left"/>
        <w:rPr>
          <w:rFonts w:hint="eastAsia" w:ascii="宋体" w:hAnsi="宋体" w:cs="宋体"/>
          <w:kern w:val="0"/>
          <w:sz w:val="22"/>
          <w:lang w:val="en-US" w:bidi="zh-CN"/>
        </w:rPr>
      </w:pPr>
    </w:p>
    <w:p w14:paraId="0DFFCF5D">
      <w:pPr>
        <w:widowControl/>
        <w:jc w:val="left"/>
        <w:rPr>
          <w:rFonts w:hint="eastAsia" w:ascii="宋体" w:hAnsi="宋体" w:cs="宋体"/>
          <w:kern w:val="0"/>
          <w:sz w:val="22"/>
          <w:lang w:val="en-US" w:bidi="zh-CN"/>
        </w:rPr>
      </w:pPr>
    </w:p>
    <w:p w14:paraId="4392AE22">
      <w:pPr>
        <w:keepNext/>
        <w:keepLines/>
        <w:widowControl/>
        <w:spacing w:before="260" w:after="260" w:line="415" w:lineRule="auto"/>
        <w:jc w:val="left"/>
        <w:outlineLvl w:val="2"/>
        <w:rPr>
          <w:rFonts w:ascii="宋体" w:hAnsi="宋体" w:cs="宋体"/>
          <w:b/>
          <w:bCs/>
          <w:kern w:val="0"/>
          <w:szCs w:val="21"/>
          <w:lang w:val="zh-CN" w:bidi="zh-CN"/>
        </w:rPr>
      </w:pPr>
      <w:bookmarkStart w:id="157" w:name="_Toc256000082"/>
      <w:r>
        <w:rPr>
          <w:rFonts w:ascii="宋体" w:hAnsi="宋体" w:cs="宋体"/>
          <w:b/>
          <w:bCs/>
          <w:kern w:val="0"/>
          <w:szCs w:val="21"/>
          <w:lang w:val="zh-CN" w:bidi="zh-CN"/>
        </w:rPr>
        <w:t>附件四 其他管理和技术人员最低要求</w:t>
      </w:r>
      <w:bookmarkEnd w:id="157"/>
      <w:r>
        <w:rPr>
          <w:rFonts w:ascii="宋体" w:hAnsi="宋体" w:cs="宋体"/>
          <w:b/>
          <w:bCs/>
          <w:kern w:val="0"/>
          <w:szCs w:val="21"/>
          <w:lang w:val="zh-CN" w:bidi="zh-CN"/>
        </w:rPr>
        <w:t xml:space="preserve"> </w:t>
      </w:r>
    </w:p>
    <w:p w14:paraId="57C043C4">
      <w:pPr>
        <w:autoSpaceDE w:val="0"/>
        <w:autoSpaceDN w:val="0"/>
        <w:spacing w:before="4" w:line="360" w:lineRule="auto"/>
        <w:ind w:firstLine="420" w:firstLineChars="200"/>
        <w:jc w:val="left"/>
        <w:rPr>
          <w:rFonts w:ascii="宋体" w:hAnsi="宋体" w:cs="宋体"/>
          <w:kern w:val="0"/>
          <w:szCs w:val="21"/>
          <w:lang w:val="zh-CN" w:bidi="zh-CN"/>
        </w:rPr>
      </w:pPr>
    </w:p>
    <w:tbl>
      <w:tblPr>
        <w:tblStyle w:val="30"/>
        <w:tblW w:w="0" w:type="auto"/>
        <w:tblInd w:w="2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94"/>
        <w:gridCol w:w="1615"/>
        <w:gridCol w:w="4282"/>
      </w:tblGrid>
      <w:tr w14:paraId="192C8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994" w:type="dxa"/>
            <w:noWrap w:val="0"/>
            <w:vAlign w:val="center"/>
          </w:tcPr>
          <w:p w14:paraId="74DA1C61">
            <w:pPr>
              <w:tabs>
                <w:tab w:val="left" w:pos="489"/>
              </w:tabs>
              <w:autoSpaceDE w:val="0"/>
              <w:autoSpaceDN w:val="0"/>
              <w:spacing w:line="360" w:lineRule="auto"/>
              <w:jc w:val="center"/>
              <w:rPr>
                <w:rFonts w:ascii="宋体" w:hAnsi="宋体" w:cs="宋体"/>
                <w:kern w:val="0"/>
                <w:szCs w:val="21"/>
                <w:lang w:val="zh-CN" w:bidi="zh-CN"/>
              </w:rPr>
            </w:pPr>
            <w:bookmarkStart w:id="178" w:name="_GoBack" w:colFirst="0" w:colLast="2"/>
            <w:r>
              <w:rPr>
                <w:rFonts w:ascii="宋体" w:hAnsi="宋体" w:cs="宋体"/>
                <w:kern w:val="0"/>
                <w:szCs w:val="21"/>
                <w:lang w:val="zh-CN" w:bidi="zh-CN"/>
              </w:rPr>
              <w:t>人员</w:t>
            </w:r>
          </w:p>
        </w:tc>
        <w:tc>
          <w:tcPr>
            <w:tcW w:w="1615" w:type="dxa"/>
            <w:noWrap w:val="0"/>
            <w:vAlign w:val="center"/>
          </w:tcPr>
          <w:p w14:paraId="7DC03B98">
            <w:pPr>
              <w:tabs>
                <w:tab w:val="left" w:pos="1199"/>
              </w:tabs>
              <w:autoSpaceDE w:val="0"/>
              <w:autoSpaceDN w:val="0"/>
              <w:spacing w:line="360" w:lineRule="auto"/>
              <w:jc w:val="center"/>
              <w:rPr>
                <w:rFonts w:ascii="宋体" w:hAnsi="宋体" w:cs="宋体"/>
                <w:kern w:val="0"/>
                <w:szCs w:val="21"/>
                <w:lang w:val="zh-CN" w:bidi="zh-CN"/>
              </w:rPr>
            </w:pPr>
            <w:r>
              <w:rPr>
                <w:rFonts w:ascii="宋体" w:hAnsi="宋体" w:cs="宋体"/>
                <w:kern w:val="0"/>
                <w:szCs w:val="21"/>
                <w:lang w:val="zh-CN" w:bidi="zh-CN"/>
              </w:rPr>
              <w:t>数量</w:t>
            </w:r>
          </w:p>
        </w:tc>
        <w:tc>
          <w:tcPr>
            <w:tcW w:w="4282" w:type="dxa"/>
            <w:noWrap w:val="0"/>
            <w:vAlign w:val="center"/>
          </w:tcPr>
          <w:p w14:paraId="23F16C5A">
            <w:pPr>
              <w:autoSpaceDE w:val="0"/>
              <w:autoSpaceDN w:val="0"/>
              <w:spacing w:line="360" w:lineRule="auto"/>
              <w:ind w:right="1452"/>
              <w:jc w:val="center"/>
              <w:rPr>
                <w:rFonts w:ascii="宋体" w:hAnsi="宋体" w:cs="宋体"/>
                <w:kern w:val="0"/>
                <w:szCs w:val="21"/>
                <w:lang w:val="zh-CN" w:bidi="zh-CN"/>
              </w:rPr>
            </w:pPr>
            <w:r>
              <w:rPr>
                <w:rFonts w:ascii="宋体" w:hAnsi="宋体" w:cs="宋体"/>
                <w:kern w:val="0"/>
                <w:szCs w:val="21"/>
                <w:lang w:val="zh-CN" w:bidi="zh-CN"/>
              </w:rPr>
              <w:t>资 格 要 求</w:t>
            </w:r>
          </w:p>
        </w:tc>
      </w:tr>
      <w:tr w14:paraId="3491C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2994" w:type="dxa"/>
            <w:noWrap w:val="0"/>
            <w:vAlign w:val="center"/>
          </w:tcPr>
          <w:p w14:paraId="50158784">
            <w:pPr>
              <w:keepNext w:val="0"/>
              <w:keepLines w:val="0"/>
              <w:widowControl/>
              <w:suppressLineNumbers w:val="0"/>
              <w:jc w:val="center"/>
              <w:rPr>
                <w:highlight w:val="none"/>
              </w:rPr>
            </w:pPr>
            <w:r>
              <w:rPr>
                <w:rFonts w:hint="eastAsia" w:ascii="宋体" w:hAnsi="宋体" w:eastAsia="宋体" w:cs="宋体"/>
                <w:color w:val="000000"/>
                <w:kern w:val="0"/>
                <w:sz w:val="23"/>
                <w:szCs w:val="23"/>
                <w:highlight w:val="none"/>
                <w:lang w:val="en-US" w:eastAsia="zh-CN" w:bidi="ar"/>
              </w:rPr>
              <w:t>项目总工(技术负责人)</w:t>
            </w:r>
          </w:p>
          <w:p w14:paraId="1CB2C5D0">
            <w:pPr>
              <w:autoSpaceDE w:val="0"/>
              <w:autoSpaceDN w:val="0"/>
              <w:spacing w:line="360" w:lineRule="auto"/>
              <w:ind w:firstLine="420" w:firstLineChars="200"/>
              <w:jc w:val="center"/>
              <w:rPr>
                <w:rFonts w:ascii="宋体" w:hAnsi="宋体" w:cs="宋体"/>
                <w:kern w:val="0"/>
                <w:szCs w:val="21"/>
                <w:highlight w:val="none"/>
                <w:lang w:val="zh-CN" w:bidi="zh-CN"/>
              </w:rPr>
            </w:pPr>
          </w:p>
        </w:tc>
        <w:tc>
          <w:tcPr>
            <w:tcW w:w="1615" w:type="dxa"/>
            <w:noWrap w:val="0"/>
            <w:vAlign w:val="center"/>
          </w:tcPr>
          <w:p w14:paraId="55B476FF">
            <w:pPr>
              <w:autoSpaceDE w:val="0"/>
              <w:autoSpaceDN w:val="0"/>
              <w:spacing w:line="360" w:lineRule="auto"/>
              <w:ind w:firstLine="420" w:firstLineChars="200"/>
              <w:jc w:val="center"/>
              <w:rPr>
                <w:rFonts w:hint="default" w:ascii="宋体" w:hAnsi="宋体" w:cs="宋体"/>
                <w:kern w:val="0"/>
                <w:szCs w:val="21"/>
                <w:highlight w:val="none"/>
                <w:lang w:val="en-US" w:bidi="zh-CN"/>
              </w:rPr>
            </w:pPr>
            <w:r>
              <w:rPr>
                <w:rFonts w:hint="eastAsia" w:ascii="宋体" w:hAnsi="宋体" w:cs="宋体"/>
                <w:kern w:val="0"/>
                <w:szCs w:val="21"/>
                <w:highlight w:val="none"/>
                <w:lang w:val="en-US" w:bidi="zh-CN"/>
              </w:rPr>
              <w:t>1</w:t>
            </w:r>
          </w:p>
        </w:tc>
        <w:tc>
          <w:tcPr>
            <w:tcW w:w="4282" w:type="dxa"/>
            <w:noWrap w:val="0"/>
            <w:vAlign w:val="center"/>
          </w:tcPr>
          <w:p w14:paraId="169630CE">
            <w:pPr>
              <w:keepNext w:val="0"/>
              <w:keepLines w:val="0"/>
              <w:widowControl/>
              <w:suppressLineNumbers w:val="0"/>
              <w:jc w:val="left"/>
              <w:rPr>
                <w:highlight w:val="none"/>
              </w:rPr>
            </w:pPr>
            <w:r>
              <w:rPr>
                <w:rFonts w:hint="eastAsia" w:ascii="宋体" w:hAnsi="宋体" w:eastAsia="宋体" w:cs="宋体"/>
                <w:color w:val="000000"/>
                <w:kern w:val="0"/>
                <w:sz w:val="23"/>
                <w:szCs w:val="23"/>
                <w:highlight w:val="none"/>
                <w:lang w:val="en-US" w:eastAsia="zh-CN" w:bidi="ar"/>
              </w:rPr>
              <w:t>公路工程相关专业工程师及以上职称；</w:t>
            </w:r>
          </w:p>
          <w:p w14:paraId="4AED6CFF">
            <w:pPr>
              <w:keepNext w:val="0"/>
              <w:keepLines w:val="0"/>
              <w:widowControl/>
              <w:suppressLineNumbers w:val="0"/>
              <w:jc w:val="left"/>
              <w:rPr>
                <w:highlight w:val="none"/>
              </w:rPr>
            </w:pPr>
            <w:r>
              <w:rPr>
                <w:rFonts w:hint="eastAsia" w:ascii="宋体" w:hAnsi="宋体" w:eastAsia="宋体" w:cs="宋体"/>
                <w:color w:val="000000"/>
                <w:kern w:val="0"/>
                <w:sz w:val="23"/>
                <w:szCs w:val="23"/>
                <w:highlight w:val="none"/>
                <w:lang w:val="en-US" w:eastAsia="zh-CN" w:bidi="ar"/>
              </w:rPr>
              <w:t>持有有效的安全生产考核合格证书( B</w:t>
            </w:r>
          </w:p>
          <w:p w14:paraId="7DC0AB95">
            <w:pPr>
              <w:keepNext w:val="0"/>
              <w:keepLines w:val="0"/>
              <w:widowControl/>
              <w:suppressLineNumbers w:val="0"/>
              <w:jc w:val="left"/>
              <w:rPr>
                <w:rFonts w:ascii="宋体" w:hAnsi="宋体" w:cs="宋体"/>
                <w:kern w:val="0"/>
                <w:szCs w:val="21"/>
                <w:highlight w:val="none"/>
                <w:lang w:val="zh-CN" w:bidi="zh-CN"/>
              </w:rPr>
            </w:pPr>
            <w:r>
              <w:rPr>
                <w:rFonts w:hint="eastAsia" w:ascii="宋体" w:hAnsi="宋体" w:eastAsia="宋体" w:cs="宋体"/>
                <w:color w:val="000000"/>
                <w:kern w:val="0"/>
                <w:sz w:val="23"/>
                <w:szCs w:val="23"/>
                <w:highlight w:val="none"/>
                <w:lang w:val="en-US" w:eastAsia="zh-CN" w:bidi="ar"/>
              </w:rPr>
              <w:t>类)；</w:t>
            </w:r>
          </w:p>
        </w:tc>
      </w:tr>
      <w:tr w14:paraId="66221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994" w:type="dxa"/>
            <w:noWrap w:val="0"/>
            <w:vAlign w:val="center"/>
          </w:tcPr>
          <w:p w14:paraId="6F3D7AB4">
            <w:pPr>
              <w:keepNext w:val="0"/>
              <w:keepLines w:val="0"/>
              <w:widowControl/>
              <w:suppressLineNumbers w:val="0"/>
              <w:jc w:val="center"/>
              <w:rPr>
                <w:rFonts w:hint="eastAsia" w:ascii="宋体" w:hAnsi="宋体" w:eastAsia="宋体" w:cs="宋体"/>
                <w:color w:val="000000"/>
                <w:kern w:val="0"/>
                <w:sz w:val="23"/>
                <w:szCs w:val="23"/>
                <w:highlight w:val="none"/>
                <w:lang w:val="en-US" w:eastAsia="zh-CN" w:bidi="ar"/>
              </w:rPr>
            </w:pPr>
          </w:p>
          <w:p w14:paraId="74320949">
            <w:pPr>
              <w:keepNext w:val="0"/>
              <w:keepLines w:val="0"/>
              <w:widowControl/>
              <w:suppressLineNumbers w:val="0"/>
              <w:jc w:val="center"/>
              <w:rPr>
                <w:highlight w:val="none"/>
              </w:rPr>
            </w:pPr>
            <w:r>
              <w:rPr>
                <w:rFonts w:hint="eastAsia" w:ascii="宋体" w:hAnsi="宋体" w:eastAsia="宋体" w:cs="宋体"/>
                <w:color w:val="000000"/>
                <w:kern w:val="0"/>
                <w:sz w:val="23"/>
                <w:szCs w:val="23"/>
                <w:highlight w:val="none"/>
                <w:lang w:val="en-US" w:eastAsia="zh-CN" w:bidi="ar"/>
              </w:rPr>
              <w:t>道路工程师</w:t>
            </w:r>
          </w:p>
          <w:p w14:paraId="6C55376E">
            <w:pPr>
              <w:autoSpaceDE w:val="0"/>
              <w:autoSpaceDN w:val="0"/>
              <w:spacing w:line="360" w:lineRule="auto"/>
              <w:ind w:firstLine="420" w:firstLineChars="200"/>
              <w:jc w:val="center"/>
              <w:rPr>
                <w:rFonts w:ascii="宋体" w:hAnsi="宋体" w:cs="宋体"/>
                <w:kern w:val="0"/>
                <w:szCs w:val="21"/>
                <w:highlight w:val="none"/>
                <w:lang w:val="zh-CN" w:bidi="zh-CN"/>
              </w:rPr>
            </w:pPr>
          </w:p>
        </w:tc>
        <w:tc>
          <w:tcPr>
            <w:tcW w:w="1615" w:type="dxa"/>
            <w:noWrap w:val="0"/>
            <w:vAlign w:val="center"/>
          </w:tcPr>
          <w:p w14:paraId="609D0846">
            <w:pPr>
              <w:autoSpaceDE w:val="0"/>
              <w:autoSpaceDN w:val="0"/>
              <w:spacing w:line="360" w:lineRule="auto"/>
              <w:ind w:firstLine="420" w:firstLineChars="200"/>
              <w:jc w:val="center"/>
              <w:rPr>
                <w:rFonts w:hint="default" w:ascii="宋体" w:hAnsi="宋体" w:cs="宋体"/>
                <w:kern w:val="0"/>
                <w:szCs w:val="21"/>
                <w:highlight w:val="none"/>
                <w:lang w:val="en-US" w:bidi="zh-CN"/>
              </w:rPr>
            </w:pPr>
            <w:r>
              <w:rPr>
                <w:rFonts w:hint="eastAsia" w:ascii="宋体" w:hAnsi="宋体" w:cs="宋体"/>
                <w:kern w:val="0"/>
                <w:szCs w:val="21"/>
                <w:highlight w:val="none"/>
                <w:lang w:val="en-US" w:bidi="zh-CN"/>
              </w:rPr>
              <w:t>1</w:t>
            </w:r>
          </w:p>
        </w:tc>
        <w:tc>
          <w:tcPr>
            <w:tcW w:w="4282" w:type="dxa"/>
            <w:noWrap w:val="0"/>
            <w:vAlign w:val="center"/>
          </w:tcPr>
          <w:p w14:paraId="00221F46">
            <w:pPr>
              <w:keepNext w:val="0"/>
              <w:keepLines w:val="0"/>
              <w:widowControl/>
              <w:suppressLineNumbers w:val="0"/>
              <w:jc w:val="left"/>
              <w:rPr>
                <w:rFonts w:ascii="宋体" w:hAnsi="宋体" w:cs="宋体"/>
                <w:kern w:val="0"/>
                <w:szCs w:val="21"/>
                <w:highlight w:val="none"/>
                <w:lang w:val="zh-CN" w:bidi="zh-CN"/>
              </w:rPr>
            </w:pPr>
            <w:r>
              <w:rPr>
                <w:rFonts w:hint="eastAsia" w:ascii="宋体" w:hAnsi="宋体" w:eastAsia="宋体" w:cs="宋体"/>
                <w:color w:val="000000"/>
                <w:kern w:val="0"/>
                <w:sz w:val="23"/>
                <w:szCs w:val="23"/>
                <w:highlight w:val="none"/>
                <w:lang w:val="en-US" w:eastAsia="zh-CN" w:bidi="ar"/>
              </w:rPr>
              <w:t>公路工程相关专业工程师及以上职称；</w:t>
            </w:r>
          </w:p>
        </w:tc>
      </w:tr>
      <w:tr w14:paraId="7B051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994" w:type="dxa"/>
            <w:noWrap w:val="0"/>
            <w:vAlign w:val="center"/>
          </w:tcPr>
          <w:p w14:paraId="2D768C9F">
            <w:pPr>
              <w:keepNext w:val="0"/>
              <w:keepLines w:val="0"/>
              <w:widowControl/>
              <w:suppressLineNumbers w:val="0"/>
              <w:jc w:val="center"/>
              <w:rPr>
                <w:rFonts w:hint="eastAsia" w:ascii="宋体" w:hAnsi="宋体" w:eastAsia="宋体" w:cs="宋体"/>
                <w:color w:val="000000"/>
                <w:kern w:val="0"/>
                <w:sz w:val="23"/>
                <w:szCs w:val="23"/>
                <w:highlight w:val="none"/>
                <w:lang w:val="en-US" w:eastAsia="zh-CN" w:bidi="ar"/>
              </w:rPr>
            </w:pPr>
          </w:p>
          <w:p w14:paraId="2FEC51AE">
            <w:pPr>
              <w:keepNext w:val="0"/>
              <w:keepLines w:val="0"/>
              <w:widowControl/>
              <w:suppressLineNumbers w:val="0"/>
              <w:jc w:val="center"/>
              <w:rPr>
                <w:highlight w:val="none"/>
              </w:rPr>
            </w:pPr>
            <w:r>
              <w:rPr>
                <w:rFonts w:hint="eastAsia" w:ascii="宋体" w:hAnsi="宋体" w:eastAsia="宋体" w:cs="宋体"/>
                <w:color w:val="000000"/>
                <w:kern w:val="0"/>
                <w:sz w:val="23"/>
                <w:szCs w:val="23"/>
                <w:highlight w:val="none"/>
                <w:lang w:val="en-US" w:eastAsia="zh-CN" w:bidi="ar"/>
              </w:rPr>
              <w:t>安全员</w:t>
            </w:r>
          </w:p>
          <w:p w14:paraId="4AF8A653">
            <w:pPr>
              <w:autoSpaceDE w:val="0"/>
              <w:autoSpaceDN w:val="0"/>
              <w:spacing w:line="360" w:lineRule="auto"/>
              <w:jc w:val="both"/>
              <w:rPr>
                <w:rFonts w:ascii="宋体" w:hAnsi="宋体" w:cs="宋体"/>
                <w:kern w:val="0"/>
                <w:szCs w:val="21"/>
                <w:highlight w:val="none"/>
                <w:lang w:val="zh-CN" w:bidi="zh-CN"/>
              </w:rPr>
            </w:pPr>
          </w:p>
        </w:tc>
        <w:tc>
          <w:tcPr>
            <w:tcW w:w="1615" w:type="dxa"/>
            <w:noWrap w:val="0"/>
            <w:vAlign w:val="center"/>
          </w:tcPr>
          <w:p w14:paraId="47EE903E">
            <w:pPr>
              <w:autoSpaceDE w:val="0"/>
              <w:autoSpaceDN w:val="0"/>
              <w:spacing w:line="360" w:lineRule="auto"/>
              <w:ind w:firstLine="420" w:firstLineChars="200"/>
              <w:jc w:val="center"/>
              <w:rPr>
                <w:rFonts w:hint="default" w:ascii="宋体" w:hAnsi="宋体" w:cs="宋体"/>
                <w:kern w:val="0"/>
                <w:szCs w:val="21"/>
                <w:highlight w:val="none"/>
                <w:lang w:val="en-US" w:bidi="zh-CN"/>
              </w:rPr>
            </w:pPr>
            <w:r>
              <w:rPr>
                <w:rFonts w:hint="eastAsia" w:ascii="宋体" w:hAnsi="宋体" w:cs="宋体"/>
                <w:kern w:val="0"/>
                <w:szCs w:val="21"/>
                <w:highlight w:val="none"/>
                <w:lang w:val="en-US" w:bidi="zh-CN"/>
              </w:rPr>
              <w:t>1</w:t>
            </w:r>
          </w:p>
        </w:tc>
        <w:tc>
          <w:tcPr>
            <w:tcW w:w="4282" w:type="dxa"/>
            <w:noWrap w:val="0"/>
            <w:vAlign w:val="center"/>
          </w:tcPr>
          <w:p w14:paraId="1276746C">
            <w:pPr>
              <w:keepNext w:val="0"/>
              <w:keepLines w:val="0"/>
              <w:widowControl/>
              <w:suppressLineNumbers w:val="0"/>
              <w:jc w:val="left"/>
              <w:rPr>
                <w:rFonts w:hint="eastAsia" w:ascii="宋体" w:hAnsi="宋体" w:eastAsia="宋体" w:cs="宋体"/>
                <w:color w:val="000000"/>
                <w:kern w:val="0"/>
                <w:sz w:val="23"/>
                <w:szCs w:val="23"/>
                <w:highlight w:val="none"/>
                <w:lang w:val="en-US" w:eastAsia="zh-CN" w:bidi="ar"/>
              </w:rPr>
            </w:pPr>
          </w:p>
          <w:p w14:paraId="61265168">
            <w:pPr>
              <w:keepNext w:val="0"/>
              <w:keepLines w:val="0"/>
              <w:widowControl/>
              <w:suppressLineNumbers w:val="0"/>
              <w:jc w:val="left"/>
              <w:rPr>
                <w:highlight w:val="none"/>
              </w:rPr>
            </w:pPr>
            <w:r>
              <w:rPr>
                <w:rFonts w:hint="eastAsia" w:ascii="宋体" w:hAnsi="宋体" w:eastAsia="宋体" w:cs="宋体"/>
                <w:color w:val="000000"/>
                <w:kern w:val="0"/>
                <w:sz w:val="23"/>
                <w:szCs w:val="23"/>
                <w:highlight w:val="none"/>
                <w:lang w:val="en-US" w:eastAsia="zh-CN" w:bidi="ar"/>
              </w:rPr>
              <w:t>安全员C证</w:t>
            </w:r>
          </w:p>
          <w:p w14:paraId="701FA637">
            <w:pPr>
              <w:autoSpaceDE w:val="0"/>
              <w:autoSpaceDN w:val="0"/>
              <w:spacing w:line="360" w:lineRule="auto"/>
              <w:jc w:val="left"/>
              <w:rPr>
                <w:rFonts w:ascii="宋体" w:hAnsi="宋体" w:cs="宋体"/>
                <w:kern w:val="0"/>
                <w:szCs w:val="21"/>
                <w:highlight w:val="none"/>
                <w:lang w:val="zh-CN" w:bidi="zh-CN"/>
              </w:rPr>
            </w:pPr>
          </w:p>
        </w:tc>
      </w:tr>
      <w:bookmarkEnd w:id="178"/>
      <w:tr w14:paraId="0C8CC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994" w:type="dxa"/>
            <w:noWrap w:val="0"/>
            <w:vAlign w:val="center"/>
          </w:tcPr>
          <w:p w14:paraId="10D7ED8A">
            <w:pPr>
              <w:autoSpaceDE w:val="0"/>
              <w:autoSpaceDN w:val="0"/>
              <w:spacing w:line="360" w:lineRule="auto"/>
              <w:ind w:firstLine="420" w:firstLineChars="200"/>
              <w:jc w:val="center"/>
              <w:rPr>
                <w:rFonts w:ascii="宋体" w:hAnsi="宋体" w:cs="宋体"/>
                <w:kern w:val="0"/>
                <w:szCs w:val="21"/>
                <w:lang w:val="zh-CN" w:bidi="zh-CN"/>
              </w:rPr>
            </w:pPr>
          </w:p>
        </w:tc>
        <w:tc>
          <w:tcPr>
            <w:tcW w:w="1615" w:type="dxa"/>
            <w:noWrap w:val="0"/>
            <w:vAlign w:val="center"/>
          </w:tcPr>
          <w:p w14:paraId="7801B942">
            <w:pPr>
              <w:autoSpaceDE w:val="0"/>
              <w:autoSpaceDN w:val="0"/>
              <w:spacing w:line="360" w:lineRule="auto"/>
              <w:ind w:firstLine="420" w:firstLineChars="200"/>
              <w:jc w:val="center"/>
              <w:rPr>
                <w:rFonts w:ascii="宋体" w:hAnsi="宋体" w:cs="宋体"/>
                <w:kern w:val="0"/>
                <w:szCs w:val="21"/>
                <w:lang w:val="zh-CN" w:bidi="zh-CN"/>
              </w:rPr>
            </w:pPr>
          </w:p>
        </w:tc>
        <w:tc>
          <w:tcPr>
            <w:tcW w:w="4282" w:type="dxa"/>
            <w:noWrap w:val="0"/>
            <w:vAlign w:val="center"/>
          </w:tcPr>
          <w:p w14:paraId="7084B2D1">
            <w:pPr>
              <w:autoSpaceDE w:val="0"/>
              <w:autoSpaceDN w:val="0"/>
              <w:spacing w:line="360" w:lineRule="auto"/>
              <w:ind w:firstLine="420" w:firstLineChars="200"/>
              <w:jc w:val="center"/>
              <w:rPr>
                <w:rFonts w:ascii="宋体" w:hAnsi="宋体" w:cs="宋体"/>
                <w:kern w:val="0"/>
                <w:szCs w:val="21"/>
                <w:lang w:val="zh-CN" w:bidi="zh-CN"/>
              </w:rPr>
            </w:pPr>
          </w:p>
        </w:tc>
      </w:tr>
      <w:tr w14:paraId="14DE6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994" w:type="dxa"/>
            <w:noWrap w:val="0"/>
            <w:vAlign w:val="center"/>
          </w:tcPr>
          <w:p w14:paraId="26AB4257">
            <w:pPr>
              <w:autoSpaceDE w:val="0"/>
              <w:autoSpaceDN w:val="0"/>
              <w:spacing w:line="360" w:lineRule="auto"/>
              <w:ind w:firstLine="420" w:firstLineChars="200"/>
              <w:jc w:val="center"/>
              <w:rPr>
                <w:rFonts w:ascii="宋体" w:hAnsi="宋体" w:cs="宋体"/>
                <w:kern w:val="0"/>
                <w:szCs w:val="21"/>
                <w:lang w:val="zh-CN" w:bidi="zh-CN"/>
              </w:rPr>
            </w:pPr>
          </w:p>
        </w:tc>
        <w:tc>
          <w:tcPr>
            <w:tcW w:w="1615" w:type="dxa"/>
            <w:noWrap w:val="0"/>
            <w:vAlign w:val="center"/>
          </w:tcPr>
          <w:p w14:paraId="6117F3F5">
            <w:pPr>
              <w:autoSpaceDE w:val="0"/>
              <w:autoSpaceDN w:val="0"/>
              <w:spacing w:line="360" w:lineRule="auto"/>
              <w:ind w:firstLine="420" w:firstLineChars="200"/>
              <w:jc w:val="center"/>
              <w:rPr>
                <w:rFonts w:ascii="宋体" w:hAnsi="宋体" w:cs="宋体"/>
                <w:kern w:val="0"/>
                <w:szCs w:val="21"/>
                <w:lang w:val="zh-CN" w:bidi="zh-CN"/>
              </w:rPr>
            </w:pPr>
          </w:p>
        </w:tc>
        <w:tc>
          <w:tcPr>
            <w:tcW w:w="4282" w:type="dxa"/>
            <w:noWrap w:val="0"/>
            <w:vAlign w:val="center"/>
          </w:tcPr>
          <w:p w14:paraId="64245953">
            <w:pPr>
              <w:autoSpaceDE w:val="0"/>
              <w:autoSpaceDN w:val="0"/>
              <w:spacing w:line="360" w:lineRule="auto"/>
              <w:ind w:firstLine="420" w:firstLineChars="200"/>
              <w:jc w:val="center"/>
              <w:rPr>
                <w:rFonts w:ascii="宋体" w:hAnsi="宋体" w:cs="宋体"/>
                <w:kern w:val="0"/>
                <w:szCs w:val="21"/>
                <w:lang w:val="zh-CN" w:bidi="zh-CN"/>
              </w:rPr>
            </w:pPr>
          </w:p>
        </w:tc>
      </w:tr>
      <w:tr w14:paraId="3265B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994" w:type="dxa"/>
            <w:noWrap w:val="0"/>
            <w:vAlign w:val="top"/>
          </w:tcPr>
          <w:p w14:paraId="6C93EC42">
            <w:pPr>
              <w:autoSpaceDE w:val="0"/>
              <w:autoSpaceDN w:val="0"/>
              <w:spacing w:line="360" w:lineRule="auto"/>
              <w:ind w:firstLine="420" w:firstLineChars="200"/>
              <w:jc w:val="left"/>
              <w:rPr>
                <w:rFonts w:ascii="宋体" w:hAnsi="宋体" w:cs="宋体"/>
                <w:kern w:val="0"/>
                <w:szCs w:val="21"/>
                <w:lang w:val="zh-CN" w:bidi="zh-CN"/>
              </w:rPr>
            </w:pPr>
          </w:p>
        </w:tc>
        <w:tc>
          <w:tcPr>
            <w:tcW w:w="1615" w:type="dxa"/>
            <w:noWrap w:val="0"/>
            <w:vAlign w:val="top"/>
          </w:tcPr>
          <w:p w14:paraId="006B9D90">
            <w:pPr>
              <w:autoSpaceDE w:val="0"/>
              <w:autoSpaceDN w:val="0"/>
              <w:spacing w:line="360" w:lineRule="auto"/>
              <w:ind w:firstLine="420" w:firstLineChars="200"/>
              <w:jc w:val="left"/>
              <w:rPr>
                <w:rFonts w:ascii="宋体" w:hAnsi="宋体" w:cs="宋体"/>
                <w:kern w:val="0"/>
                <w:szCs w:val="21"/>
                <w:lang w:val="zh-CN" w:bidi="zh-CN"/>
              </w:rPr>
            </w:pPr>
          </w:p>
        </w:tc>
        <w:tc>
          <w:tcPr>
            <w:tcW w:w="4282" w:type="dxa"/>
            <w:noWrap w:val="0"/>
            <w:vAlign w:val="top"/>
          </w:tcPr>
          <w:p w14:paraId="720E308D">
            <w:pPr>
              <w:autoSpaceDE w:val="0"/>
              <w:autoSpaceDN w:val="0"/>
              <w:spacing w:line="360" w:lineRule="auto"/>
              <w:ind w:firstLine="420" w:firstLineChars="200"/>
              <w:jc w:val="left"/>
              <w:rPr>
                <w:rFonts w:ascii="宋体" w:hAnsi="宋体" w:cs="宋体"/>
                <w:kern w:val="0"/>
                <w:szCs w:val="21"/>
                <w:lang w:val="zh-CN" w:bidi="zh-CN"/>
              </w:rPr>
            </w:pPr>
          </w:p>
        </w:tc>
      </w:tr>
      <w:tr w14:paraId="5ACCF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994" w:type="dxa"/>
            <w:noWrap w:val="0"/>
            <w:vAlign w:val="top"/>
          </w:tcPr>
          <w:p w14:paraId="538422F9">
            <w:pPr>
              <w:autoSpaceDE w:val="0"/>
              <w:autoSpaceDN w:val="0"/>
              <w:spacing w:line="360" w:lineRule="auto"/>
              <w:ind w:firstLine="420" w:firstLineChars="200"/>
              <w:jc w:val="left"/>
              <w:rPr>
                <w:rFonts w:ascii="宋体" w:hAnsi="宋体" w:cs="宋体"/>
                <w:kern w:val="0"/>
                <w:szCs w:val="21"/>
                <w:lang w:val="zh-CN" w:bidi="zh-CN"/>
              </w:rPr>
            </w:pPr>
          </w:p>
        </w:tc>
        <w:tc>
          <w:tcPr>
            <w:tcW w:w="1615" w:type="dxa"/>
            <w:noWrap w:val="0"/>
            <w:vAlign w:val="top"/>
          </w:tcPr>
          <w:p w14:paraId="7FE97734">
            <w:pPr>
              <w:autoSpaceDE w:val="0"/>
              <w:autoSpaceDN w:val="0"/>
              <w:spacing w:line="360" w:lineRule="auto"/>
              <w:ind w:firstLine="420" w:firstLineChars="200"/>
              <w:jc w:val="left"/>
              <w:rPr>
                <w:rFonts w:ascii="宋体" w:hAnsi="宋体" w:cs="宋体"/>
                <w:kern w:val="0"/>
                <w:szCs w:val="21"/>
                <w:lang w:val="zh-CN" w:bidi="zh-CN"/>
              </w:rPr>
            </w:pPr>
          </w:p>
        </w:tc>
        <w:tc>
          <w:tcPr>
            <w:tcW w:w="4282" w:type="dxa"/>
            <w:noWrap w:val="0"/>
            <w:vAlign w:val="top"/>
          </w:tcPr>
          <w:p w14:paraId="7B551A66">
            <w:pPr>
              <w:autoSpaceDE w:val="0"/>
              <w:autoSpaceDN w:val="0"/>
              <w:spacing w:line="360" w:lineRule="auto"/>
              <w:ind w:firstLine="420" w:firstLineChars="200"/>
              <w:jc w:val="left"/>
              <w:rPr>
                <w:rFonts w:ascii="宋体" w:hAnsi="宋体" w:cs="宋体"/>
                <w:kern w:val="0"/>
                <w:szCs w:val="21"/>
                <w:lang w:val="zh-CN" w:bidi="zh-CN"/>
              </w:rPr>
            </w:pPr>
          </w:p>
        </w:tc>
      </w:tr>
      <w:tr w14:paraId="556E0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994" w:type="dxa"/>
            <w:noWrap w:val="0"/>
            <w:vAlign w:val="top"/>
          </w:tcPr>
          <w:p w14:paraId="3BC7F48D">
            <w:pPr>
              <w:autoSpaceDE w:val="0"/>
              <w:autoSpaceDN w:val="0"/>
              <w:spacing w:line="360" w:lineRule="auto"/>
              <w:ind w:firstLine="420" w:firstLineChars="200"/>
              <w:jc w:val="left"/>
              <w:rPr>
                <w:rFonts w:ascii="宋体" w:hAnsi="宋体" w:cs="宋体"/>
                <w:kern w:val="0"/>
                <w:szCs w:val="21"/>
                <w:lang w:val="zh-CN" w:bidi="zh-CN"/>
              </w:rPr>
            </w:pPr>
          </w:p>
        </w:tc>
        <w:tc>
          <w:tcPr>
            <w:tcW w:w="1615" w:type="dxa"/>
            <w:noWrap w:val="0"/>
            <w:vAlign w:val="top"/>
          </w:tcPr>
          <w:p w14:paraId="37245DBD">
            <w:pPr>
              <w:autoSpaceDE w:val="0"/>
              <w:autoSpaceDN w:val="0"/>
              <w:spacing w:line="360" w:lineRule="auto"/>
              <w:ind w:firstLine="420" w:firstLineChars="200"/>
              <w:jc w:val="left"/>
              <w:rPr>
                <w:rFonts w:ascii="宋体" w:hAnsi="宋体" w:cs="宋体"/>
                <w:kern w:val="0"/>
                <w:szCs w:val="21"/>
                <w:lang w:val="zh-CN" w:bidi="zh-CN"/>
              </w:rPr>
            </w:pPr>
          </w:p>
        </w:tc>
        <w:tc>
          <w:tcPr>
            <w:tcW w:w="4282" w:type="dxa"/>
            <w:noWrap w:val="0"/>
            <w:vAlign w:val="top"/>
          </w:tcPr>
          <w:p w14:paraId="0F14907B">
            <w:pPr>
              <w:autoSpaceDE w:val="0"/>
              <w:autoSpaceDN w:val="0"/>
              <w:spacing w:line="360" w:lineRule="auto"/>
              <w:ind w:firstLine="420" w:firstLineChars="200"/>
              <w:jc w:val="left"/>
              <w:rPr>
                <w:rFonts w:ascii="宋体" w:hAnsi="宋体" w:cs="宋体"/>
                <w:kern w:val="0"/>
                <w:szCs w:val="21"/>
                <w:lang w:val="zh-CN" w:bidi="zh-CN"/>
              </w:rPr>
            </w:pPr>
          </w:p>
        </w:tc>
      </w:tr>
      <w:tr w14:paraId="3C77F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994" w:type="dxa"/>
            <w:noWrap w:val="0"/>
            <w:vAlign w:val="top"/>
          </w:tcPr>
          <w:p w14:paraId="6FC79087">
            <w:pPr>
              <w:autoSpaceDE w:val="0"/>
              <w:autoSpaceDN w:val="0"/>
              <w:spacing w:line="360" w:lineRule="auto"/>
              <w:ind w:firstLine="420" w:firstLineChars="200"/>
              <w:jc w:val="left"/>
              <w:rPr>
                <w:rFonts w:ascii="宋体" w:hAnsi="宋体" w:cs="宋体"/>
                <w:kern w:val="0"/>
                <w:szCs w:val="21"/>
                <w:lang w:val="zh-CN" w:bidi="zh-CN"/>
              </w:rPr>
            </w:pPr>
          </w:p>
        </w:tc>
        <w:tc>
          <w:tcPr>
            <w:tcW w:w="1615" w:type="dxa"/>
            <w:noWrap w:val="0"/>
            <w:vAlign w:val="top"/>
          </w:tcPr>
          <w:p w14:paraId="6A77FC36">
            <w:pPr>
              <w:autoSpaceDE w:val="0"/>
              <w:autoSpaceDN w:val="0"/>
              <w:spacing w:line="360" w:lineRule="auto"/>
              <w:ind w:firstLine="420" w:firstLineChars="200"/>
              <w:jc w:val="left"/>
              <w:rPr>
                <w:rFonts w:ascii="宋体" w:hAnsi="宋体" w:cs="宋体"/>
                <w:kern w:val="0"/>
                <w:szCs w:val="21"/>
                <w:lang w:val="zh-CN" w:bidi="zh-CN"/>
              </w:rPr>
            </w:pPr>
          </w:p>
        </w:tc>
        <w:tc>
          <w:tcPr>
            <w:tcW w:w="4282" w:type="dxa"/>
            <w:noWrap w:val="0"/>
            <w:vAlign w:val="top"/>
          </w:tcPr>
          <w:p w14:paraId="58F48299">
            <w:pPr>
              <w:autoSpaceDE w:val="0"/>
              <w:autoSpaceDN w:val="0"/>
              <w:spacing w:line="360" w:lineRule="auto"/>
              <w:ind w:firstLine="420" w:firstLineChars="200"/>
              <w:jc w:val="left"/>
              <w:rPr>
                <w:rFonts w:ascii="宋体" w:hAnsi="宋体" w:cs="宋体"/>
                <w:kern w:val="0"/>
                <w:szCs w:val="21"/>
                <w:lang w:val="zh-CN" w:bidi="zh-CN"/>
              </w:rPr>
            </w:pPr>
          </w:p>
        </w:tc>
      </w:tr>
      <w:tr w14:paraId="0D4D7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994" w:type="dxa"/>
            <w:noWrap w:val="0"/>
            <w:vAlign w:val="top"/>
          </w:tcPr>
          <w:p w14:paraId="6E5775B0">
            <w:pPr>
              <w:autoSpaceDE w:val="0"/>
              <w:autoSpaceDN w:val="0"/>
              <w:spacing w:line="360" w:lineRule="auto"/>
              <w:ind w:firstLine="420" w:firstLineChars="200"/>
              <w:jc w:val="left"/>
              <w:rPr>
                <w:rFonts w:ascii="宋体" w:hAnsi="宋体" w:cs="宋体"/>
                <w:kern w:val="0"/>
                <w:szCs w:val="21"/>
                <w:lang w:val="zh-CN" w:bidi="zh-CN"/>
              </w:rPr>
            </w:pPr>
          </w:p>
        </w:tc>
        <w:tc>
          <w:tcPr>
            <w:tcW w:w="1615" w:type="dxa"/>
            <w:noWrap w:val="0"/>
            <w:vAlign w:val="top"/>
          </w:tcPr>
          <w:p w14:paraId="0FEB81CC">
            <w:pPr>
              <w:autoSpaceDE w:val="0"/>
              <w:autoSpaceDN w:val="0"/>
              <w:spacing w:line="360" w:lineRule="auto"/>
              <w:ind w:firstLine="420" w:firstLineChars="200"/>
              <w:jc w:val="left"/>
              <w:rPr>
                <w:rFonts w:ascii="宋体" w:hAnsi="宋体" w:cs="宋体"/>
                <w:kern w:val="0"/>
                <w:szCs w:val="21"/>
                <w:lang w:val="zh-CN" w:bidi="zh-CN"/>
              </w:rPr>
            </w:pPr>
          </w:p>
        </w:tc>
        <w:tc>
          <w:tcPr>
            <w:tcW w:w="4282" w:type="dxa"/>
            <w:noWrap w:val="0"/>
            <w:vAlign w:val="top"/>
          </w:tcPr>
          <w:p w14:paraId="513BC19C">
            <w:pPr>
              <w:autoSpaceDE w:val="0"/>
              <w:autoSpaceDN w:val="0"/>
              <w:spacing w:line="360" w:lineRule="auto"/>
              <w:ind w:firstLine="420" w:firstLineChars="200"/>
              <w:jc w:val="left"/>
              <w:rPr>
                <w:rFonts w:ascii="宋体" w:hAnsi="宋体" w:cs="宋体"/>
                <w:kern w:val="0"/>
                <w:szCs w:val="21"/>
                <w:lang w:val="zh-CN" w:bidi="zh-CN"/>
              </w:rPr>
            </w:pPr>
          </w:p>
        </w:tc>
      </w:tr>
    </w:tbl>
    <w:p w14:paraId="08E8B1C6">
      <w:pPr>
        <w:widowControl/>
        <w:spacing w:before="3"/>
        <w:jc w:val="left"/>
        <w:rPr>
          <w:rFonts w:ascii="宋体" w:hAnsi="宋体" w:cs="宋体"/>
          <w:kern w:val="0"/>
          <w:sz w:val="5"/>
          <w:szCs w:val="24"/>
          <w:lang w:val="zh-CN" w:bidi="zh-CN"/>
        </w:rPr>
      </w:pPr>
    </w:p>
    <w:p w14:paraId="071EB6D0">
      <w:pPr>
        <w:keepNext/>
        <w:keepLines/>
        <w:widowControl/>
        <w:spacing w:before="260" w:after="260" w:line="415" w:lineRule="auto"/>
        <w:jc w:val="left"/>
        <w:outlineLvl w:val="2"/>
        <w:rPr>
          <w:rFonts w:ascii="宋体" w:hAnsi="宋体" w:cs="宋体"/>
          <w:b/>
          <w:bCs/>
          <w:kern w:val="0"/>
          <w:szCs w:val="21"/>
          <w:lang w:val="zh-CN" w:bidi="zh-CN"/>
        </w:rPr>
      </w:pPr>
      <w:bookmarkStart w:id="158" w:name="附件五_主要机械设备和试验检测设备最低要求_"/>
      <w:bookmarkEnd w:id="158"/>
      <w:bookmarkStart w:id="159" w:name="_Toc256000083"/>
    </w:p>
    <w:p w14:paraId="0825C616">
      <w:pPr>
        <w:keepNext/>
        <w:keepLines/>
        <w:widowControl/>
        <w:spacing w:before="260" w:after="260" w:line="415" w:lineRule="auto"/>
        <w:jc w:val="left"/>
        <w:outlineLvl w:val="2"/>
        <w:rPr>
          <w:rFonts w:ascii="宋体" w:hAnsi="宋体" w:cs="宋体"/>
          <w:b/>
          <w:bCs/>
          <w:kern w:val="0"/>
          <w:szCs w:val="21"/>
          <w:lang w:val="zh-CN" w:bidi="zh-CN"/>
        </w:rPr>
      </w:pPr>
    </w:p>
    <w:p w14:paraId="3EDC40F3">
      <w:pPr>
        <w:rPr>
          <w:rFonts w:ascii="宋体" w:hAnsi="宋体" w:cs="宋体"/>
          <w:b/>
          <w:bCs/>
          <w:kern w:val="0"/>
          <w:szCs w:val="21"/>
          <w:lang w:val="zh-CN" w:bidi="zh-CN"/>
        </w:rPr>
      </w:pPr>
      <w:r>
        <w:rPr>
          <w:rFonts w:ascii="宋体" w:hAnsi="宋体" w:cs="宋体"/>
          <w:b/>
          <w:bCs/>
          <w:kern w:val="0"/>
          <w:szCs w:val="21"/>
          <w:lang w:val="zh-CN" w:bidi="zh-CN"/>
        </w:rPr>
        <w:br w:type="page"/>
      </w:r>
    </w:p>
    <w:p w14:paraId="3252E2D2">
      <w:pPr>
        <w:keepNext/>
        <w:keepLines/>
        <w:widowControl/>
        <w:spacing w:before="260" w:after="260" w:line="415" w:lineRule="auto"/>
        <w:jc w:val="left"/>
        <w:outlineLvl w:val="2"/>
        <w:rPr>
          <w:rFonts w:ascii="宋体" w:hAnsi="宋体" w:cs="宋体"/>
          <w:kern w:val="0"/>
          <w:szCs w:val="21"/>
          <w:lang w:val="zh-CN" w:bidi="zh-CN"/>
        </w:rPr>
      </w:pPr>
      <w:r>
        <w:rPr>
          <w:rFonts w:ascii="宋体" w:hAnsi="宋体" w:cs="宋体"/>
          <w:b/>
          <w:bCs/>
          <w:kern w:val="0"/>
          <w:szCs w:val="21"/>
          <w:lang w:val="zh-CN" w:bidi="zh-CN"/>
        </w:rPr>
        <w:t>附件五 主要机械设备和试验检测设备最低要求</w:t>
      </w:r>
      <w:bookmarkEnd w:id="159"/>
    </w:p>
    <w:tbl>
      <w:tblPr>
        <w:tblStyle w:val="30"/>
        <w:tblW w:w="0" w:type="auto"/>
        <w:tblInd w:w="4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2"/>
        <w:gridCol w:w="2745"/>
        <w:gridCol w:w="1386"/>
        <w:gridCol w:w="2194"/>
      </w:tblGrid>
      <w:tr w14:paraId="658A8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2" w:type="dxa"/>
            <w:noWrap w:val="0"/>
            <w:vAlign w:val="top"/>
          </w:tcPr>
          <w:p w14:paraId="66181371">
            <w:pPr>
              <w:autoSpaceDE w:val="0"/>
              <w:autoSpaceDN w:val="0"/>
              <w:spacing w:before="203" w:line="360" w:lineRule="auto"/>
              <w:ind w:left="636" w:firstLine="420" w:firstLineChars="200"/>
              <w:jc w:val="left"/>
              <w:rPr>
                <w:rFonts w:ascii="宋体" w:hAnsi="宋体" w:cs="宋体"/>
                <w:kern w:val="0"/>
                <w:szCs w:val="21"/>
                <w:lang w:val="zh-CN" w:bidi="zh-CN"/>
              </w:rPr>
            </w:pPr>
            <w:r>
              <w:rPr>
                <w:rFonts w:ascii="宋体" w:hAnsi="宋体" w:cs="宋体"/>
                <w:kern w:val="0"/>
                <w:szCs w:val="21"/>
                <w:lang w:val="zh-CN" w:bidi="zh-CN"/>
              </w:rPr>
              <w:t>设备名称</w:t>
            </w:r>
          </w:p>
        </w:tc>
        <w:tc>
          <w:tcPr>
            <w:tcW w:w="2745" w:type="dxa"/>
            <w:noWrap w:val="0"/>
            <w:vAlign w:val="top"/>
          </w:tcPr>
          <w:p w14:paraId="3F231ABE">
            <w:pPr>
              <w:autoSpaceDE w:val="0"/>
              <w:autoSpaceDN w:val="0"/>
              <w:spacing w:before="203" w:line="360" w:lineRule="auto"/>
              <w:ind w:left="411" w:firstLine="420" w:firstLineChars="200"/>
              <w:jc w:val="left"/>
              <w:rPr>
                <w:rFonts w:ascii="宋体" w:hAnsi="宋体" w:cs="宋体"/>
                <w:kern w:val="0"/>
                <w:szCs w:val="21"/>
                <w:lang w:val="zh-CN" w:bidi="zh-CN"/>
              </w:rPr>
            </w:pPr>
            <w:r>
              <w:rPr>
                <w:rFonts w:ascii="宋体" w:hAnsi="宋体" w:cs="宋体"/>
                <w:kern w:val="0"/>
                <w:szCs w:val="21"/>
                <w:lang w:val="zh-CN" w:bidi="zh-CN"/>
              </w:rPr>
              <w:t>规格、功率及容量</w:t>
            </w:r>
          </w:p>
        </w:tc>
        <w:tc>
          <w:tcPr>
            <w:tcW w:w="1386" w:type="dxa"/>
            <w:noWrap w:val="0"/>
            <w:vAlign w:val="top"/>
          </w:tcPr>
          <w:p w14:paraId="49CE6375">
            <w:pPr>
              <w:autoSpaceDE w:val="0"/>
              <w:autoSpaceDN w:val="0"/>
              <w:spacing w:before="203" w:line="360" w:lineRule="auto"/>
              <w:ind w:left="452" w:firstLine="420" w:firstLineChars="200"/>
              <w:jc w:val="left"/>
              <w:rPr>
                <w:rFonts w:ascii="宋体" w:hAnsi="宋体" w:cs="宋体"/>
                <w:kern w:val="0"/>
                <w:szCs w:val="21"/>
                <w:lang w:val="zh-CN" w:bidi="zh-CN"/>
              </w:rPr>
            </w:pPr>
            <w:r>
              <w:rPr>
                <w:rFonts w:ascii="宋体" w:hAnsi="宋体" w:cs="宋体"/>
                <w:kern w:val="0"/>
                <w:szCs w:val="21"/>
                <w:lang w:val="zh-CN" w:bidi="zh-CN"/>
              </w:rPr>
              <w:t>单位</w:t>
            </w:r>
          </w:p>
        </w:tc>
        <w:tc>
          <w:tcPr>
            <w:tcW w:w="2194" w:type="dxa"/>
            <w:noWrap w:val="0"/>
            <w:vAlign w:val="top"/>
          </w:tcPr>
          <w:p w14:paraId="689CDF8C">
            <w:pPr>
              <w:autoSpaceDE w:val="0"/>
              <w:autoSpaceDN w:val="0"/>
              <w:spacing w:before="203" w:line="360" w:lineRule="auto"/>
              <w:ind w:left="376" w:firstLine="420" w:firstLineChars="200"/>
              <w:jc w:val="left"/>
              <w:rPr>
                <w:rFonts w:ascii="宋体" w:hAnsi="宋体" w:cs="宋体"/>
                <w:kern w:val="0"/>
                <w:szCs w:val="21"/>
                <w:lang w:val="zh-CN" w:bidi="zh-CN"/>
              </w:rPr>
            </w:pPr>
            <w:r>
              <w:rPr>
                <w:rFonts w:ascii="宋体" w:hAnsi="宋体" w:cs="宋体"/>
                <w:kern w:val="0"/>
                <w:szCs w:val="21"/>
                <w:lang w:val="zh-CN" w:bidi="zh-CN"/>
              </w:rPr>
              <w:t>最低数量要求</w:t>
            </w:r>
          </w:p>
        </w:tc>
      </w:tr>
      <w:tr w14:paraId="0492A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noWrap w:val="0"/>
            <w:vAlign w:val="top"/>
          </w:tcPr>
          <w:p w14:paraId="4336648A">
            <w:pPr>
              <w:autoSpaceDE w:val="0"/>
              <w:autoSpaceDN w:val="0"/>
              <w:spacing w:line="360" w:lineRule="auto"/>
              <w:ind w:firstLine="420" w:firstLineChars="200"/>
              <w:jc w:val="left"/>
              <w:rPr>
                <w:rFonts w:ascii="宋体" w:hAnsi="宋体" w:cs="宋体"/>
                <w:kern w:val="0"/>
                <w:szCs w:val="21"/>
                <w:lang w:val="zh-CN" w:bidi="zh-CN"/>
              </w:rPr>
            </w:pPr>
          </w:p>
        </w:tc>
        <w:tc>
          <w:tcPr>
            <w:tcW w:w="2745" w:type="dxa"/>
            <w:noWrap w:val="0"/>
            <w:vAlign w:val="top"/>
          </w:tcPr>
          <w:p w14:paraId="39DFDB6B">
            <w:pPr>
              <w:autoSpaceDE w:val="0"/>
              <w:autoSpaceDN w:val="0"/>
              <w:spacing w:line="360" w:lineRule="auto"/>
              <w:ind w:firstLine="420" w:firstLineChars="200"/>
              <w:jc w:val="left"/>
              <w:rPr>
                <w:rFonts w:ascii="宋体" w:hAnsi="宋体" w:cs="宋体"/>
                <w:kern w:val="0"/>
                <w:szCs w:val="21"/>
                <w:lang w:val="zh-CN" w:bidi="zh-CN"/>
              </w:rPr>
            </w:pPr>
          </w:p>
        </w:tc>
        <w:tc>
          <w:tcPr>
            <w:tcW w:w="1386" w:type="dxa"/>
            <w:noWrap w:val="0"/>
            <w:vAlign w:val="top"/>
          </w:tcPr>
          <w:p w14:paraId="494B6E11">
            <w:pPr>
              <w:autoSpaceDE w:val="0"/>
              <w:autoSpaceDN w:val="0"/>
              <w:spacing w:line="360" w:lineRule="auto"/>
              <w:ind w:firstLine="420" w:firstLineChars="200"/>
              <w:jc w:val="left"/>
              <w:rPr>
                <w:rFonts w:ascii="宋体" w:hAnsi="宋体" w:cs="宋体"/>
                <w:kern w:val="0"/>
                <w:szCs w:val="21"/>
                <w:lang w:val="zh-CN" w:bidi="zh-CN"/>
              </w:rPr>
            </w:pPr>
          </w:p>
        </w:tc>
        <w:tc>
          <w:tcPr>
            <w:tcW w:w="2194" w:type="dxa"/>
            <w:noWrap w:val="0"/>
            <w:vAlign w:val="top"/>
          </w:tcPr>
          <w:p w14:paraId="2B7D76B1">
            <w:pPr>
              <w:autoSpaceDE w:val="0"/>
              <w:autoSpaceDN w:val="0"/>
              <w:spacing w:line="360" w:lineRule="auto"/>
              <w:ind w:firstLine="420" w:firstLineChars="200"/>
              <w:jc w:val="left"/>
              <w:rPr>
                <w:rFonts w:ascii="宋体" w:hAnsi="宋体" w:cs="宋体"/>
                <w:kern w:val="0"/>
                <w:szCs w:val="21"/>
                <w:lang w:val="zh-CN" w:bidi="zh-CN"/>
              </w:rPr>
            </w:pPr>
          </w:p>
        </w:tc>
      </w:tr>
      <w:tr w14:paraId="41661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2" w:type="dxa"/>
            <w:noWrap w:val="0"/>
            <w:vAlign w:val="top"/>
          </w:tcPr>
          <w:p w14:paraId="4653DBE2">
            <w:pPr>
              <w:autoSpaceDE w:val="0"/>
              <w:autoSpaceDN w:val="0"/>
              <w:spacing w:line="360" w:lineRule="auto"/>
              <w:ind w:firstLine="420" w:firstLineChars="200"/>
              <w:jc w:val="left"/>
              <w:rPr>
                <w:rFonts w:ascii="宋体" w:hAnsi="宋体" w:cs="宋体"/>
                <w:kern w:val="0"/>
                <w:szCs w:val="21"/>
                <w:lang w:val="zh-CN" w:bidi="zh-CN"/>
              </w:rPr>
            </w:pPr>
          </w:p>
        </w:tc>
        <w:tc>
          <w:tcPr>
            <w:tcW w:w="2745" w:type="dxa"/>
            <w:noWrap w:val="0"/>
            <w:vAlign w:val="top"/>
          </w:tcPr>
          <w:p w14:paraId="2E500BBF">
            <w:pPr>
              <w:autoSpaceDE w:val="0"/>
              <w:autoSpaceDN w:val="0"/>
              <w:spacing w:line="360" w:lineRule="auto"/>
              <w:ind w:firstLine="420" w:firstLineChars="200"/>
              <w:jc w:val="left"/>
              <w:rPr>
                <w:rFonts w:ascii="宋体" w:hAnsi="宋体" w:cs="宋体"/>
                <w:kern w:val="0"/>
                <w:szCs w:val="21"/>
                <w:lang w:val="zh-CN" w:bidi="zh-CN"/>
              </w:rPr>
            </w:pPr>
          </w:p>
        </w:tc>
        <w:tc>
          <w:tcPr>
            <w:tcW w:w="1386" w:type="dxa"/>
            <w:noWrap w:val="0"/>
            <w:vAlign w:val="top"/>
          </w:tcPr>
          <w:p w14:paraId="586B3761">
            <w:pPr>
              <w:autoSpaceDE w:val="0"/>
              <w:autoSpaceDN w:val="0"/>
              <w:spacing w:line="360" w:lineRule="auto"/>
              <w:ind w:firstLine="420" w:firstLineChars="200"/>
              <w:jc w:val="left"/>
              <w:rPr>
                <w:rFonts w:ascii="宋体" w:hAnsi="宋体" w:cs="宋体"/>
                <w:kern w:val="0"/>
                <w:szCs w:val="21"/>
                <w:lang w:val="zh-CN" w:bidi="zh-CN"/>
              </w:rPr>
            </w:pPr>
          </w:p>
        </w:tc>
        <w:tc>
          <w:tcPr>
            <w:tcW w:w="2194" w:type="dxa"/>
            <w:noWrap w:val="0"/>
            <w:vAlign w:val="top"/>
          </w:tcPr>
          <w:p w14:paraId="1B1707E6">
            <w:pPr>
              <w:autoSpaceDE w:val="0"/>
              <w:autoSpaceDN w:val="0"/>
              <w:spacing w:line="360" w:lineRule="auto"/>
              <w:ind w:firstLine="420" w:firstLineChars="200"/>
              <w:jc w:val="left"/>
              <w:rPr>
                <w:rFonts w:ascii="宋体" w:hAnsi="宋体" w:cs="宋体"/>
                <w:kern w:val="0"/>
                <w:szCs w:val="21"/>
                <w:lang w:val="zh-CN" w:bidi="zh-CN"/>
              </w:rPr>
            </w:pPr>
          </w:p>
        </w:tc>
      </w:tr>
      <w:tr w14:paraId="13016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2" w:type="dxa"/>
            <w:noWrap w:val="0"/>
            <w:vAlign w:val="top"/>
          </w:tcPr>
          <w:p w14:paraId="2C4FCE99">
            <w:pPr>
              <w:autoSpaceDE w:val="0"/>
              <w:autoSpaceDN w:val="0"/>
              <w:spacing w:line="360" w:lineRule="auto"/>
              <w:ind w:firstLine="420" w:firstLineChars="200"/>
              <w:jc w:val="left"/>
              <w:rPr>
                <w:rFonts w:ascii="宋体" w:hAnsi="宋体" w:cs="宋体"/>
                <w:kern w:val="0"/>
                <w:szCs w:val="21"/>
                <w:lang w:val="zh-CN" w:bidi="zh-CN"/>
              </w:rPr>
            </w:pPr>
          </w:p>
        </w:tc>
        <w:tc>
          <w:tcPr>
            <w:tcW w:w="2745" w:type="dxa"/>
            <w:noWrap w:val="0"/>
            <w:vAlign w:val="top"/>
          </w:tcPr>
          <w:p w14:paraId="62C81AEB">
            <w:pPr>
              <w:autoSpaceDE w:val="0"/>
              <w:autoSpaceDN w:val="0"/>
              <w:spacing w:line="360" w:lineRule="auto"/>
              <w:ind w:firstLine="420" w:firstLineChars="200"/>
              <w:jc w:val="left"/>
              <w:rPr>
                <w:rFonts w:ascii="宋体" w:hAnsi="宋体" w:cs="宋体"/>
                <w:kern w:val="0"/>
                <w:szCs w:val="21"/>
                <w:lang w:val="zh-CN" w:bidi="zh-CN"/>
              </w:rPr>
            </w:pPr>
          </w:p>
        </w:tc>
        <w:tc>
          <w:tcPr>
            <w:tcW w:w="1386" w:type="dxa"/>
            <w:noWrap w:val="0"/>
            <w:vAlign w:val="top"/>
          </w:tcPr>
          <w:p w14:paraId="51948E3A">
            <w:pPr>
              <w:autoSpaceDE w:val="0"/>
              <w:autoSpaceDN w:val="0"/>
              <w:spacing w:line="360" w:lineRule="auto"/>
              <w:ind w:firstLine="420" w:firstLineChars="200"/>
              <w:jc w:val="left"/>
              <w:rPr>
                <w:rFonts w:ascii="宋体" w:hAnsi="宋体" w:cs="宋体"/>
                <w:kern w:val="0"/>
                <w:szCs w:val="21"/>
                <w:lang w:val="zh-CN" w:bidi="zh-CN"/>
              </w:rPr>
            </w:pPr>
          </w:p>
        </w:tc>
        <w:tc>
          <w:tcPr>
            <w:tcW w:w="2194" w:type="dxa"/>
            <w:noWrap w:val="0"/>
            <w:vAlign w:val="top"/>
          </w:tcPr>
          <w:p w14:paraId="017E176E">
            <w:pPr>
              <w:autoSpaceDE w:val="0"/>
              <w:autoSpaceDN w:val="0"/>
              <w:spacing w:line="360" w:lineRule="auto"/>
              <w:ind w:firstLine="420" w:firstLineChars="200"/>
              <w:jc w:val="left"/>
              <w:rPr>
                <w:rFonts w:ascii="宋体" w:hAnsi="宋体" w:cs="宋体"/>
                <w:kern w:val="0"/>
                <w:szCs w:val="21"/>
                <w:lang w:val="zh-CN" w:bidi="zh-CN"/>
              </w:rPr>
            </w:pPr>
          </w:p>
        </w:tc>
      </w:tr>
      <w:tr w14:paraId="4C60F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noWrap w:val="0"/>
            <w:vAlign w:val="top"/>
          </w:tcPr>
          <w:p w14:paraId="72EA1FE9">
            <w:pPr>
              <w:autoSpaceDE w:val="0"/>
              <w:autoSpaceDN w:val="0"/>
              <w:spacing w:line="360" w:lineRule="auto"/>
              <w:ind w:firstLine="420" w:firstLineChars="200"/>
              <w:jc w:val="left"/>
              <w:rPr>
                <w:rFonts w:ascii="宋体" w:hAnsi="宋体" w:cs="宋体"/>
                <w:kern w:val="0"/>
                <w:szCs w:val="21"/>
                <w:lang w:val="zh-CN" w:bidi="zh-CN"/>
              </w:rPr>
            </w:pPr>
          </w:p>
        </w:tc>
        <w:tc>
          <w:tcPr>
            <w:tcW w:w="2745" w:type="dxa"/>
            <w:noWrap w:val="0"/>
            <w:vAlign w:val="top"/>
          </w:tcPr>
          <w:p w14:paraId="131A51FA">
            <w:pPr>
              <w:autoSpaceDE w:val="0"/>
              <w:autoSpaceDN w:val="0"/>
              <w:spacing w:line="360" w:lineRule="auto"/>
              <w:ind w:firstLine="420" w:firstLineChars="200"/>
              <w:jc w:val="left"/>
              <w:rPr>
                <w:rFonts w:ascii="宋体" w:hAnsi="宋体" w:cs="宋体"/>
                <w:kern w:val="0"/>
                <w:szCs w:val="21"/>
                <w:lang w:val="zh-CN" w:bidi="zh-CN"/>
              </w:rPr>
            </w:pPr>
          </w:p>
        </w:tc>
        <w:tc>
          <w:tcPr>
            <w:tcW w:w="1386" w:type="dxa"/>
            <w:noWrap w:val="0"/>
            <w:vAlign w:val="top"/>
          </w:tcPr>
          <w:p w14:paraId="10335201">
            <w:pPr>
              <w:autoSpaceDE w:val="0"/>
              <w:autoSpaceDN w:val="0"/>
              <w:spacing w:line="360" w:lineRule="auto"/>
              <w:ind w:firstLine="420" w:firstLineChars="200"/>
              <w:jc w:val="left"/>
              <w:rPr>
                <w:rFonts w:ascii="宋体" w:hAnsi="宋体" w:cs="宋体"/>
                <w:kern w:val="0"/>
                <w:szCs w:val="21"/>
                <w:lang w:val="zh-CN" w:bidi="zh-CN"/>
              </w:rPr>
            </w:pPr>
          </w:p>
        </w:tc>
        <w:tc>
          <w:tcPr>
            <w:tcW w:w="2194" w:type="dxa"/>
            <w:noWrap w:val="0"/>
            <w:vAlign w:val="top"/>
          </w:tcPr>
          <w:p w14:paraId="09A9D128">
            <w:pPr>
              <w:autoSpaceDE w:val="0"/>
              <w:autoSpaceDN w:val="0"/>
              <w:spacing w:line="360" w:lineRule="auto"/>
              <w:ind w:firstLine="420" w:firstLineChars="200"/>
              <w:jc w:val="left"/>
              <w:rPr>
                <w:rFonts w:ascii="宋体" w:hAnsi="宋体" w:cs="宋体"/>
                <w:kern w:val="0"/>
                <w:szCs w:val="21"/>
                <w:lang w:val="zh-CN" w:bidi="zh-CN"/>
              </w:rPr>
            </w:pPr>
          </w:p>
        </w:tc>
      </w:tr>
      <w:tr w14:paraId="6249D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noWrap w:val="0"/>
            <w:vAlign w:val="top"/>
          </w:tcPr>
          <w:p w14:paraId="3092C94A">
            <w:pPr>
              <w:autoSpaceDE w:val="0"/>
              <w:autoSpaceDN w:val="0"/>
              <w:spacing w:line="360" w:lineRule="auto"/>
              <w:ind w:firstLine="420" w:firstLineChars="200"/>
              <w:jc w:val="left"/>
              <w:rPr>
                <w:rFonts w:ascii="宋体" w:hAnsi="宋体" w:cs="宋体"/>
                <w:kern w:val="0"/>
                <w:szCs w:val="21"/>
                <w:lang w:val="zh-CN" w:bidi="zh-CN"/>
              </w:rPr>
            </w:pPr>
          </w:p>
        </w:tc>
        <w:tc>
          <w:tcPr>
            <w:tcW w:w="2745" w:type="dxa"/>
            <w:noWrap w:val="0"/>
            <w:vAlign w:val="top"/>
          </w:tcPr>
          <w:p w14:paraId="22FB91F5">
            <w:pPr>
              <w:autoSpaceDE w:val="0"/>
              <w:autoSpaceDN w:val="0"/>
              <w:spacing w:line="360" w:lineRule="auto"/>
              <w:ind w:firstLine="420" w:firstLineChars="200"/>
              <w:jc w:val="left"/>
              <w:rPr>
                <w:rFonts w:ascii="宋体" w:hAnsi="宋体" w:cs="宋体"/>
                <w:kern w:val="0"/>
                <w:szCs w:val="21"/>
                <w:lang w:val="zh-CN" w:bidi="zh-CN"/>
              </w:rPr>
            </w:pPr>
          </w:p>
        </w:tc>
        <w:tc>
          <w:tcPr>
            <w:tcW w:w="1386" w:type="dxa"/>
            <w:noWrap w:val="0"/>
            <w:vAlign w:val="top"/>
          </w:tcPr>
          <w:p w14:paraId="1EEAE230">
            <w:pPr>
              <w:autoSpaceDE w:val="0"/>
              <w:autoSpaceDN w:val="0"/>
              <w:spacing w:line="360" w:lineRule="auto"/>
              <w:ind w:firstLine="420" w:firstLineChars="200"/>
              <w:jc w:val="left"/>
              <w:rPr>
                <w:rFonts w:ascii="宋体" w:hAnsi="宋体" w:cs="宋体"/>
                <w:kern w:val="0"/>
                <w:szCs w:val="21"/>
                <w:lang w:val="zh-CN" w:bidi="zh-CN"/>
              </w:rPr>
            </w:pPr>
          </w:p>
        </w:tc>
        <w:tc>
          <w:tcPr>
            <w:tcW w:w="2194" w:type="dxa"/>
            <w:noWrap w:val="0"/>
            <w:vAlign w:val="top"/>
          </w:tcPr>
          <w:p w14:paraId="691AB0E4">
            <w:pPr>
              <w:autoSpaceDE w:val="0"/>
              <w:autoSpaceDN w:val="0"/>
              <w:spacing w:line="360" w:lineRule="auto"/>
              <w:ind w:firstLine="420" w:firstLineChars="200"/>
              <w:jc w:val="left"/>
              <w:rPr>
                <w:rFonts w:ascii="宋体" w:hAnsi="宋体" w:cs="宋体"/>
                <w:kern w:val="0"/>
                <w:szCs w:val="21"/>
                <w:lang w:val="zh-CN" w:bidi="zh-CN"/>
              </w:rPr>
            </w:pPr>
          </w:p>
        </w:tc>
      </w:tr>
      <w:tr w14:paraId="2C08F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2" w:type="dxa"/>
            <w:noWrap w:val="0"/>
            <w:vAlign w:val="top"/>
          </w:tcPr>
          <w:p w14:paraId="503566FC">
            <w:pPr>
              <w:autoSpaceDE w:val="0"/>
              <w:autoSpaceDN w:val="0"/>
              <w:spacing w:line="360" w:lineRule="auto"/>
              <w:ind w:firstLine="420" w:firstLineChars="200"/>
              <w:jc w:val="left"/>
              <w:rPr>
                <w:rFonts w:ascii="宋体" w:hAnsi="宋体" w:cs="宋体"/>
                <w:kern w:val="0"/>
                <w:szCs w:val="21"/>
                <w:lang w:val="zh-CN" w:bidi="zh-CN"/>
              </w:rPr>
            </w:pPr>
          </w:p>
        </w:tc>
        <w:tc>
          <w:tcPr>
            <w:tcW w:w="2745" w:type="dxa"/>
            <w:noWrap w:val="0"/>
            <w:vAlign w:val="top"/>
          </w:tcPr>
          <w:p w14:paraId="45ACB93D">
            <w:pPr>
              <w:autoSpaceDE w:val="0"/>
              <w:autoSpaceDN w:val="0"/>
              <w:spacing w:line="360" w:lineRule="auto"/>
              <w:ind w:firstLine="420" w:firstLineChars="200"/>
              <w:jc w:val="left"/>
              <w:rPr>
                <w:rFonts w:ascii="宋体" w:hAnsi="宋体" w:cs="宋体"/>
                <w:kern w:val="0"/>
                <w:szCs w:val="21"/>
                <w:lang w:val="zh-CN" w:bidi="zh-CN"/>
              </w:rPr>
            </w:pPr>
          </w:p>
        </w:tc>
        <w:tc>
          <w:tcPr>
            <w:tcW w:w="1386" w:type="dxa"/>
            <w:noWrap w:val="0"/>
            <w:vAlign w:val="top"/>
          </w:tcPr>
          <w:p w14:paraId="4272D815">
            <w:pPr>
              <w:autoSpaceDE w:val="0"/>
              <w:autoSpaceDN w:val="0"/>
              <w:spacing w:line="360" w:lineRule="auto"/>
              <w:ind w:firstLine="420" w:firstLineChars="200"/>
              <w:jc w:val="left"/>
              <w:rPr>
                <w:rFonts w:ascii="宋体" w:hAnsi="宋体" w:cs="宋体"/>
                <w:kern w:val="0"/>
                <w:szCs w:val="21"/>
                <w:lang w:val="zh-CN" w:bidi="zh-CN"/>
              </w:rPr>
            </w:pPr>
          </w:p>
        </w:tc>
        <w:tc>
          <w:tcPr>
            <w:tcW w:w="2194" w:type="dxa"/>
            <w:noWrap w:val="0"/>
            <w:vAlign w:val="top"/>
          </w:tcPr>
          <w:p w14:paraId="389D86A5">
            <w:pPr>
              <w:autoSpaceDE w:val="0"/>
              <w:autoSpaceDN w:val="0"/>
              <w:spacing w:line="360" w:lineRule="auto"/>
              <w:ind w:firstLine="420" w:firstLineChars="200"/>
              <w:jc w:val="left"/>
              <w:rPr>
                <w:rFonts w:ascii="宋体" w:hAnsi="宋体" w:cs="宋体"/>
                <w:kern w:val="0"/>
                <w:szCs w:val="21"/>
                <w:lang w:val="zh-CN" w:bidi="zh-CN"/>
              </w:rPr>
            </w:pPr>
          </w:p>
        </w:tc>
      </w:tr>
      <w:tr w14:paraId="6439F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noWrap w:val="0"/>
            <w:vAlign w:val="top"/>
          </w:tcPr>
          <w:p w14:paraId="6CEFF1C8">
            <w:pPr>
              <w:autoSpaceDE w:val="0"/>
              <w:autoSpaceDN w:val="0"/>
              <w:spacing w:line="360" w:lineRule="auto"/>
              <w:ind w:firstLine="420" w:firstLineChars="200"/>
              <w:jc w:val="left"/>
              <w:rPr>
                <w:rFonts w:ascii="宋体" w:hAnsi="宋体" w:cs="宋体"/>
                <w:kern w:val="0"/>
                <w:szCs w:val="21"/>
                <w:lang w:val="zh-CN" w:bidi="zh-CN"/>
              </w:rPr>
            </w:pPr>
          </w:p>
        </w:tc>
        <w:tc>
          <w:tcPr>
            <w:tcW w:w="2745" w:type="dxa"/>
            <w:noWrap w:val="0"/>
            <w:vAlign w:val="top"/>
          </w:tcPr>
          <w:p w14:paraId="27BBF7D0">
            <w:pPr>
              <w:autoSpaceDE w:val="0"/>
              <w:autoSpaceDN w:val="0"/>
              <w:spacing w:line="360" w:lineRule="auto"/>
              <w:ind w:firstLine="420" w:firstLineChars="200"/>
              <w:jc w:val="left"/>
              <w:rPr>
                <w:rFonts w:ascii="宋体" w:hAnsi="宋体" w:cs="宋体"/>
                <w:kern w:val="0"/>
                <w:szCs w:val="21"/>
                <w:lang w:val="zh-CN" w:bidi="zh-CN"/>
              </w:rPr>
            </w:pPr>
          </w:p>
        </w:tc>
        <w:tc>
          <w:tcPr>
            <w:tcW w:w="1386" w:type="dxa"/>
            <w:noWrap w:val="0"/>
            <w:vAlign w:val="top"/>
          </w:tcPr>
          <w:p w14:paraId="066DA097">
            <w:pPr>
              <w:autoSpaceDE w:val="0"/>
              <w:autoSpaceDN w:val="0"/>
              <w:spacing w:line="360" w:lineRule="auto"/>
              <w:ind w:firstLine="420" w:firstLineChars="200"/>
              <w:jc w:val="left"/>
              <w:rPr>
                <w:rFonts w:ascii="宋体" w:hAnsi="宋体" w:cs="宋体"/>
                <w:kern w:val="0"/>
                <w:szCs w:val="21"/>
                <w:lang w:val="zh-CN" w:bidi="zh-CN"/>
              </w:rPr>
            </w:pPr>
          </w:p>
        </w:tc>
        <w:tc>
          <w:tcPr>
            <w:tcW w:w="2194" w:type="dxa"/>
            <w:noWrap w:val="0"/>
            <w:vAlign w:val="top"/>
          </w:tcPr>
          <w:p w14:paraId="69F27342">
            <w:pPr>
              <w:autoSpaceDE w:val="0"/>
              <w:autoSpaceDN w:val="0"/>
              <w:spacing w:line="360" w:lineRule="auto"/>
              <w:ind w:firstLine="420" w:firstLineChars="200"/>
              <w:jc w:val="left"/>
              <w:rPr>
                <w:rFonts w:ascii="宋体" w:hAnsi="宋体" w:cs="宋体"/>
                <w:kern w:val="0"/>
                <w:szCs w:val="21"/>
                <w:lang w:val="zh-CN" w:bidi="zh-CN"/>
              </w:rPr>
            </w:pPr>
          </w:p>
        </w:tc>
      </w:tr>
      <w:tr w14:paraId="0D147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noWrap w:val="0"/>
            <w:vAlign w:val="top"/>
          </w:tcPr>
          <w:p w14:paraId="285CC501">
            <w:pPr>
              <w:autoSpaceDE w:val="0"/>
              <w:autoSpaceDN w:val="0"/>
              <w:spacing w:line="360" w:lineRule="auto"/>
              <w:ind w:firstLine="420" w:firstLineChars="200"/>
              <w:jc w:val="left"/>
              <w:rPr>
                <w:rFonts w:ascii="宋体" w:hAnsi="宋体" w:cs="宋体"/>
                <w:kern w:val="0"/>
                <w:szCs w:val="21"/>
                <w:lang w:val="zh-CN" w:bidi="zh-CN"/>
              </w:rPr>
            </w:pPr>
          </w:p>
        </w:tc>
        <w:tc>
          <w:tcPr>
            <w:tcW w:w="2745" w:type="dxa"/>
            <w:noWrap w:val="0"/>
            <w:vAlign w:val="top"/>
          </w:tcPr>
          <w:p w14:paraId="7823B570">
            <w:pPr>
              <w:autoSpaceDE w:val="0"/>
              <w:autoSpaceDN w:val="0"/>
              <w:spacing w:line="360" w:lineRule="auto"/>
              <w:ind w:firstLine="420" w:firstLineChars="200"/>
              <w:jc w:val="left"/>
              <w:rPr>
                <w:rFonts w:ascii="宋体" w:hAnsi="宋体" w:cs="宋体"/>
                <w:kern w:val="0"/>
                <w:szCs w:val="21"/>
                <w:lang w:val="zh-CN" w:bidi="zh-CN"/>
              </w:rPr>
            </w:pPr>
          </w:p>
        </w:tc>
        <w:tc>
          <w:tcPr>
            <w:tcW w:w="1386" w:type="dxa"/>
            <w:noWrap w:val="0"/>
            <w:vAlign w:val="top"/>
          </w:tcPr>
          <w:p w14:paraId="43C5B075">
            <w:pPr>
              <w:autoSpaceDE w:val="0"/>
              <w:autoSpaceDN w:val="0"/>
              <w:spacing w:line="360" w:lineRule="auto"/>
              <w:ind w:firstLine="420" w:firstLineChars="200"/>
              <w:jc w:val="left"/>
              <w:rPr>
                <w:rFonts w:ascii="宋体" w:hAnsi="宋体" w:cs="宋体"/>
                <w:kern w:val="0"/>
                <w:szCs w:val="21"/>
                <w:lang w:val="zh-CN" w:bidi="zh-CN"/>
              </w:rPr>
            </w:pPr>
          </w:p>
        </w:tc>
        <w:tc>
          <w:tcPr>
            <w:tcW w:w="2194" w:type="dxa"/>
            <w:noWrap w:val="0"/>
            <w:vAlign w:val="top"/>
          </w:tcPr>
          <w:p w14:paraId="495B53DA">
            <w:pPr>
              <w:autoSpaceDE w:val="0"/>
              <w:autoSpaceDN w:val="0"/>
              <w:spacing w:line="360" w:lineRule="auto"/>
              <w:ind w:firstLine="420" w:firstLineChars="200"/>
              <w:jc w:val="left"/>
              <w:rPr>
                <w:rFonts w:ascii="宋体" w:hAnsi="宋体" w:cs="宋体"/>
                <w:kern w:val="0"/>
                <w:szCs w:val="21"/>
                <w:lang w:val="zh-CN" w:bidi="zh-CN"/>
              </w:rPr>
            </w:pPr>
          </w:p>
        </w:tc>
      </w:tr>
      <w:tr w14:paraId="4FCD5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noWrap w:val="0"/>
            <w:vAlign w:val="top"/>
          </w:tcPr>
          <w:p w14:paraId="142BAF9C">
            <w:pPr>
              <w:autoSpaceDE w:val="0"/>
              <w:autoSpaceDN w:val="0"/>
              <w:spacing w:line="360" w:lineRule="auto"/>
              <w:ind w:firstLine="420" w:firstLineChars="200"/>
              <w:jc w:val="left"/>
              <w:rPr>
                <w:rFonts w:ascii="宋体" w:hAnsi="宋体" w:cs="宋体"/>
                <w:kern w:val="0"/>
                <w:szCs w:val="21"/>
                <w:lang w:val="zh-CN" w:bidi="zh-CN"/>
              </w:rPr>
            </w:pPr>
          </w:p>
        </w:tc>
        <w:tc>
          <w:tcPr>
            <w:tcW w:w="2745" w:type="dxa"/>
            <w:noWrap w:val="0"/>
            <w:vAlign w:val="top"/>
          </w:tcPr>
          <w:p w14:paraId="0D8153DA">
            <w:pPr>
              <w:autoSpaceDE w:val="0"/>
              <w:autoSpaceDN w:val="0"/>
              <w:spacing w:line="360" w:lineRule="auto"/>
              <w:ind w:firstLine="420" w:firstLineChars="200"/>
              <w:jc w:val="left"/>
              <w:rPr>
                <w:rFonts w:ascii="宋体" w:hAnsi="宋体" w:cs="宋体"/>
                <w:kern w:val="0"/>
                <w:szCs w:val="21"/>
                <w:lang w:val="zh-CN" w:bidi="zh-CN"/>
              </w:rPr>
            </w:pPr>
          </w:p>
        </w:tc>
        <w:tc>
          <w:tcPr>
            <w:tcW w:w="1386" w:type="dxa"/>
            <w:noWrap w:val="0"/>
            <w:vAlign w:val="top"/>
          </w:tcPr>
          <w:p w14:paraId="3922543D">
            <w:pPr>
              <w:autoSpaceDE w:val="0"/>
              <w:autoSpaceDN w:val="0"/>
              <w:spacing w:line="360" w:lineRule="auto"/>
              <w:ind w:firstLine="420" w:firstLineChars="200"/>
              <w:jc w:val="left"/>
              <w:rPr>
                <w:rFonts w:ascii="宋体" w:hAnsi="宋体" w:cs="宋体"/>
                <w:kern w:val="0"/>
                <w:szCs w:val="21"/>
                <w:lang w:val="zh-CN" w:bidi="zh-CN"/>
              </w:rPr>
            </w:pPr>
          </w:p>
        </w:tc>
        <w:tc>
          <w:tcPr>
            <w:tcW w:w="2194" w:type="dxa"/>
            <w:noWrap w:val="0"/>
            <w:vAlign w:val="top"/>
          </w:tcPr>
          <w:p w14:paraId="78AD373F">
            <w:pPr>
              <w:autoSpaceDE w:val="0"/>
              <w:autoSpaceDN w:val="0"/>
              <w:spacing w:line="360" w:lineRule="auto"/>
              <w:ind w:firstLine="420" w:firstLineChars="200"/>
              <w:jc w:val="left"/>
              <w:rPr>
                <w:rFonts w:ascii="宋体" w:hAnsi="宋体" w:cs="宋体"/>
                <w:kern w:val="0"/>
                <w:szCs w:val="21"/>
                <w:lang w:val="zh-CN" w:bidi="zh-CN"/>
              </w:rPr>
            </w:pPr>
          </w:p>
        </w:tc>
      </w:tr>
      <w:tr w14:paraId="57A37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noWrap w:val="0"/>
            <w:vAlign w:val="top"/>
          </w:tcPr>
          <w:p w14:paraId="4A69C533">
            <w:pPr>
              <w:autoSpaceDE w:val="0"/>
              <w:autoSpaceDN w:val="0"/>
              <w:spacing w:line="360" w:lineRule="auto"/>
              <w:ind w:firstLine="420" w:firstLineChars="200"/>
              <w:jc w:val="left"/>
              <w:rPr>
                <w:rFonts w:ascii="宋体" w:hAnsi="宋体" w:cs="宋体"/>
                <w:kern w:val="0"/>
                <w:szCs w:val="21"/>
                <w:lang w:val="zh-CN" w:bidi="zh-CN"/>
              </w:rPr>
            </w:pPr>
          </w:p>
        </w:tc>
        <w:tc>
          <w:tcPr>
            <w:tcW w:w="2745" w:type="dxa"/>
            <w:noWrap w:val="0"/>
            <w:vAlign w:val="top"/>
          </w:tcPr>
          <w:p w14:paraId="25401454">
            <w:pPr>
              <w:autoSpaceDE w:val="0"/>
              <w:autoSpaceDN w:val="0"/>
              <w:spacing w:line="360" w:lineRule="auto"/>
              <w:ind w:firstLine="420" w:firstLineChars="200"/>
              <w:jc w:val="left"/>
              <w:rPr>
                <w:rFonts w:ascii="宋体" w:hAnsi="宋体" w:cs="宋体"/>
                <w:kern w:val="0"/>
                <w:szCs w:val="21"/>
                <w:lang w:val="zh-CN" w:bidi="zh-CN"/>
              </w:rPr>
            </w:pPr>
          </w:p>
        </w:tc>
        <w:tc>
          <w:tcPr>
            <w:tcW w:w="1386" w:type="dxa"/>
            <w:noWrap w:val="0"/>
            <w:vAlign w:val="top"/>
          </w:tcPr>
          <w:p w14:paraId="35030F47">
            <w:pPr>
              <w:autoSpaceDE w:val="0"/>
              <w:autoSpaceDN w:val="0"/>
              <w:spacing w:line="360" w:lineRule="auto"/>
              <w:ind w:firstLine="420" w:firstLineChars="200"/>
              <w:jc w:val="left"/>
              <w:rPr>
                <w:rFonts w:ascii="宋体" w:hAnsi="宋体" w:cs="宋体"/>
                <w:kern w:val="0"/>
                <w:szCs w:val="21"/>
                <w:lang w:val="zh-CN" w:bidi="zh-CN"/>
              </w:rPr>
            </w:pPr>
          </w:p>
        </w:tc>
        <w:tc>
          <w:tcPr>
            <w:tcW w:w="2194" w:type="dxa"/>
            <w:noWrap w:val="0"/>
            <w:vAlign w:val="top"/>
          </w:tcPr>
          <w:p w14:paraId="215344F5">
            <w:pPr>
              <w:autoSpaceDE w:val="0"/>
              <w:autoSpaceDN w:val="0"/>
              <w:spacing w:line="360" w:lineRule="auto"/>
              <w:ind w:firstLine="420" w:firstLineChars="200"/>
              <w:jc w:val="left"/>
              <w:rPr>
                <w:rFonts w:ascii="宋体" w:hAnsi="宋体" w:cs="宋体"/>
                <w:kern w:val="0"/>
                <w:szCs w:val="21"/>
                <w:lang w:val="zh-CN" w:bidi="zh-CN"/>
              </w:rPr>
            </w:pPr>
          </w:p>
        </w:tc>
      </w:tr>
      <w:tr w14:paraId="0C28B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2" w:type="dxa"/>
            <w:noWrap w:val="0"/>
            <w:vAlign w:val="top"/>
          </w:tcPr>
          <w:p w14:paraId="18383785">
            <w:pPr>
              <w:autoSpaceDE w:val="0"/>
              <w:autoSpaceDN w:val="0"/>
              <w:spacing w:line="360" w:lineRule="auto"/>
              <w:ind w:firstLine="420" w:firstLineChars="200"/>
              <w:jc w:val="left"/>
              <w:rPr>
                <w:rFonts w:ascii="宋体" w:hAnsi="宋体" w:cs="宋体"/>
                <w:kern w:val="0"/>
                <w:szCs w:val="21"/>
                <w:lang w:val="zh-CN" w:bidi="zh-CN"/>
              </w:rPr>
            </w:pPr>
          </w:p>
        </w:tc>
        <w:tc>
          <w:tcPr>
            <w:tcW w:w="2745" w:type="dxa"/>
            <w:noWrap w:val="0"/>
            <w:vAlign w:val="top"/>
          </w:tcPr>
          <w:p w14:paraId="10BEE592">
            <w:pPr>
              <w:autoSpaceDE w:val="0"/>
              <w:autoSpaceDN w:val="0"/>
              <w:spacing w:line="360" w:lineRule="auto"/>
              <w:ind w:firstLine="420" w:firstLineChars="200"/>
              <w:jc w:val="left"/>
              <w:rPr>
                <w:rFonts w:ascii="宋体" w:hAnsi="宋体" w:cs="宋体"/>
                <w:kern w:val="0"/>
                <w:szCs w:val="21"/>
                <w:lang w:val="zh-CN" w:bidi="zh-CN"/>
              </w:rPr>
            </w:pPr>
          </w:p>
        </w:tc>
        <w:tc>
          <w:tcPr>
            <w:tcW w:w="1386" w:type="dxa"/>
            <w:noWrap w:val="0"/>
            <w:vAlign w:val="top"/>
          </w:tcPr>
          <w:p w14:paraId="23BBB3E0">
            <w:pPr>
              <w:autoSpaceDE w:val="0"/>
              <w:autoSpaceDN w:val="0"/>
              <w:spacing w:line="360" w:lineRule="auto"/>
              <w:ind w:firstLine="420" w:firstLineChars="200"/>
              <w:jc w:val="left"/>
              <w:rPr>
                <w:rFonts w:ascii="宋体" w:hAnsi="宋体" w:cs="宋体"/>
                <w:kern w:val="0"/>
                <w:szCs w:val="21"/>
                <w:lang w:val="zh-CN" w:bidi="zh-CN"/>
              </w:rPr>
            </w:pPr>
          </w:p>
        </w:tc>
        <w:tc>
          <w:tcPr>
            <w:tcW w:w="2194" w:type="dxa"/>
            <w:noWrap w:val="0"/>
            <w:vAlign w:val="top"/>
          </w:tcPr>
          <w:p w14:paraId="4C3B8261">
            <w:pPr>
              <w:autoSpaceDE w:val="0"/>
              <w:autoSpaceDN w:val="0"/>
              <w:spacing w:line="360" w:lineRule="auto"/>
              <w:ind w:firstLine="420" w:firstLineChars="200"/>
              <w:jc w:val="left"/>
              <w:rPr>
                <w:rFonts w:ascii="宋体" w:hAnsi="宋体" w:cs="宋体"/>
                <w:kern w:val="0"/>
                <w:szCs w:val="21"/>
                <w:lang w:val="zh-CN" w:bidi="zh-CN"/>
              </w:rPr>
            </w:pPr>
          </w:p>
        </w:tc>
      </w:tr>
      <w:tr w14:paraId="7A017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noWrap w:val="0"/>
            <w:vAlign w:val="top"/>
          </w:tcPr>
          <w:p w14:paraId="1501EAC3">
            <w:pPr>
              <w:autoSpaceDE w:val="0"/>
              <w:autoSpaceDN w:val="0"/>
              <w:spacing w:line="360" w:lineRule="auto"/>
              <w:ind w:firstLine="420" w:firstLineChars="200"/>
              <w:jc w:val="left"/>
              <w:rPr>
                <w:rFonts w:ascii="宋体" w:hAnsi="宋体" w:cs="宋体"/>
                <w:kern w:val="0"/>
                <w:szCs w:val="21"/>
                <w:lang w:val="zh-CN" w:bidi="zh-CN"/>
              </w:rPr>
            </w:pPr>
          </w:p>
        </w:tc>
        <w:tc>
          <w:tcPr>
            <w:tcW w:w="2745" w:type="dxa"/>
            <w:noWrap w:val="0"/>
            <w:vAlign w:val="top"/>
          </w:tcPr>
          <w:p w14:paraId="39513E71">
            <w:pPr>
              <w:autoSpaceDE w:val="0"/>
              <w:autoSpaceDN w:val="0"/>
              <w:spacing w:line="360" w:lineRule="auto"/>
              <w:ind w:firstLine="420" w:firstLineChars="200"/>
              <w:jc w:val="left"/>
              <w:rPr>
                <w:rFonts w:ascii="宋体" w:hAnsi="宋体" w:cs="宋体"/>
                <w:kern w:val="0"/>
                <w:szCs w:val="21"/>
                <w:lang w:val="zh-CN" w:bidi="zh-CN"/>
              </w:rPr>
            </w:pPr>
          </w:p>
        </w:tc>
        <w:tc>
          <w:tcPr>
            <w:tcW w:w="1386" w:type="dxa"/>
            <w:noWrap w:val="0"/>
            <w:vAlign w:val="top"/>
          </w:tcPr>
          <w:p w14:paraId="1287C11A">
            <w:pPr>
              <w:autoSpaceDE w:val="0"/>
              <w:autoSpaceDN w:val="0"/>
              <w:spacing w:line="360" w:lineRule="auto"/>
              <w:ind w:firstLine="420" w:firstLineChars="200"/>
              <w:jc w:val="left"/>
              <w:rPr>
                <w:rFonts w:ascii="宋体" w:hAnsi="宋体" w:cs="宋体"/>
                <w:kern w:val="0"/>
                <w:szCs w:val="21"/>
                <w:lang w:val="zh-CN" w:bidi="zh-CN"/>
              </w:rPr>
            </w:pPr>
          </w:p>
        </w:tc>
        <w:tc>
          <w:tcPr>
            <w:tcW w:w="2194" w:type="dxa"/>
            <w:noWrap w:val="0"/>
            <w:vAlign w:val="top"/>
          </w:tcPr>
          <w:p w14:paraId="191A7014">
            <w:pPr>
              <w:autoSpaceDE w:val="0"/>
              <w:autoSpaceDN w:val="0"/>
              <w:spacing w:line="360" w:lineRule="auto"/>
              <w:ind w:firstLine="420" w:firstLineChars="200"/>
              <w:jc w:val="left"/>
              <w:rPr>
                <w:rFonts w:ascii="宋体" w:hAnsi="宋体" w:cs="宋体"/>
                <w:kern w:val="0"/>
                <w:szCs w:val="21"/>
                <w:lang w:val="zh-CN" w:bidi="zh-CN"/>
              </w:rPr>
            </w:pPr>
          </w:p>
        </w:tc>
      </w:tr>
      <w:tr w14:paraId="51D36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2" w:type="dxa"/>
            <w:noWrap w:val="0"/>
            <w:vAlign w:val="top"/>
          </w:tcPr>
          <w:p w14:paraId="17BFC319">
            <w:pPr>
              <w:autoSpaceDE w:val="0"/>
              <w:autoSpaceDN w:val="0"/>
              <w:spacing w:line="360" w:lineRule="auto"/>
              <w:ind w:firstLine="420" w:firstLineChars="200"/>
              <w:jc w:val="left"/>
              <w:rPr>
                <w:rFonts w:ascii="宋体" w:hAnsi="宋体" w:cs="宋体"/>
                <w:kern w:val="0"/>
                <w:szCs w:val="21"/>
                <w:lang w:val="zh-CN" w:bidi="zh-CN"/>
              </w:rPr>
            </w:pPr>
          </w:p>
        </w:tc>
        <w:tc>
          <w:tcPr>
            <w:tcW w:w="2745" w:type="dxa"/>
            <w:noWrap w:val="0"/>
            <w:vAlign w:val="top"/>
          </w:tcPr>
          <w:p w14:paraId="5647BF38">
            <w:pPr>
              <w:autoSpaceDE w:val="0"/>
              <w:autoSpaceDN w:val="0"/>
              <w:spacing w:line="360" w:lineRule="auto"/>
              <w:ind w:firstLine="420" w:firstLineChars="200"/>
              <w:jc w:val="left"/>
              <w:rPr>
                <w:rFonts w:ascii="宋体" w:hAnsi="宋体" w:cs="宋体"/>
                <w:kern w:val="0"/>
                <w:szCs w:val="21"/>
                <w:lang w:val="zh-CN" w:bidi="zh-CN"/>
              </w:rPr>
            </w:pPr>
          </w:p>
        </w:tc>
        <w:tc>
          <w:tcPr>
            <w:tcW w:w="1386" w:type="dxa"/>
            <w:noWrap w:val="0"/>
            <w:vAlign w:val="top"/>
          </w:tcPr>
          <w:p w14:paraId="4D464B47">
            <w:pPr>
              <w:autoSpaceDE w:val="0"/>
              <w:autoSpaceDN w:val="0"/>
              <w:spacing w:line="360" w:lineRule="auto"/>
              <w:ind w:firstLine="420" w:firstLineChars="200"/>
              <w:jc w:val="left"/>
              <w:rPr>
                <w:rFonts w:ascii="宋体" w:hAnsi="宋体" w:cs="宋体"/>
                <w:kern w:val="0"/>
                <w:szCs w:val="21"/>
                <w:lang w:val="zh-CN" w:bidi="zh-CN"/>
              </w:rPr>
            </w:pPr>
          </w:p>
        </w:tc>
        <w:tc>
          <w:tcPr>
            <w:tcW w:w="2194" w:type="dxa"/>
            <w:noWrap w:val="0"/>
            <w:vAlign w:val="top"/>
          </w:tcPr>
          <w:p w14:paraId="38D66AC0">
            <w:pPr>
              <w:autoSpaceDE w:val="0"/>
              <w:autoSpaceDN w:val="0"/>
              <w:spacing w:line="360" w:lineRule="auto"/>
              <w:ind w:firstLine="420" w:firstLineChars="200"/>
              <w:jc w:val="left"/>
              <w:rPr>
                <w:rFonts w:ascii="宋体" w:hAnsi="宋体" w:cs="宋体"/>
                <w:kern w:val="0"/>
                <w:szCs w:val="21"/>
                <w:lang w:val="zh-CN" w:bidi="zh-CN"/>
              </w:rPr>
            </w:pPr>
          </w:p>
        </w:tc>
      </w:tr>
      <w:tr w14:paraId="20D56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noWrap w:val="0"/>
            <w:vAlign w:val="top"/>
          </w:tcPr>
          <w:p w14:paraId="01A4717B">
            <w:pPr>
              <w:autoSpaceDE w:val="0"/>
              <w:autoSpaceDN w:val="0"/>
              <w:spacing w:line="360" w:lineRule="auto"/>
              <w:ind w:firstLine="420" w:firstLineChars="200"/>
              <w:jc w:val="left"/>
              <w:rPr>
                <w:rFonts w:ascii="宋体" w:hAnsi="宋体" w:cs="宋体"/>
                <w:kern w:val="0"/>
                <w:szCs w:val="21"/>
                <w:lang w:val="zh-CN" w:bidi="zh-CN"/>
              </w:rPr>
            </w:pPr>
          </w:p>
        </w:tc>
        <w:tc>
          <w:tcPr>
            <w:tcW w:w="2745" w:type="dxa"/>
            <w:noWrap w:val="0"/>
            <w:vAlign w:val="top"/>
          </w:tcPr>
          <w:p w14:paraId="16A3896F">
            <w:pPr>
              <w:autoSpaceDE w:val="0"/>
              <w:autoSpaceDN w:val="0"/>
              <w:spacing w:line="360" w:lineRule="auto"/>
              <w:ind w:firstLine="420" w:firstLineChars="200"/>
              <w:jc w:val="left"/>
              <w:rPr>
                <w:rFonts w:ascii="宋体" w:hAnsi="宋体" w:cs="宋体"/>
                <w:kern w:val="0"/>
                <w:szCs w:val="21"/>
                <w:lang w:val="zh-CN" w:bidi="zh-CN"/>
              </w:rPr>
            </w:pPr>
          </w:p>
        </w:tc>
        <w:tc>
          <w:tcPr>
            <w:tcW w:w="1386" w:type="dxa"/>
            <w:noWrap w:val="0"/>
            <w:vAlign w:val="top"/>
          </w:tcPr>
          <w:p w14:paraId="184CBC2B">
            <w:pPr>
              <w:autoSpaceDE w:val="0"/>
              <w:autoSpaceDN w:val="0"/>
              <w:spacing w:line="360" w:lineRule="auto"/>
              <w:ind w:firstLine="420" w:firstLineChars="200"/>
              <w:jc w:val="left"/>
              <w:rPr>
                <w:rFonts w:ascii="宋体" w:hAnsi="宋体" w:cs="宋体"/>
                <w:kern w:val="0"/>
                <w:szCs w:val="21"/>
                <w:lang w:val="zh-CN" w:bidi="zh-CN"/>
              </w:rPr>
            </w:pPr>
          </w:p>
        </w:tc>
        <w:tc>
          <w:tcPr>
            <w:tcW w:w="2194" w:type="dxa"/>
            <w:noWrap w:val="0"/>
            <w:vAlign w:val="top"/>
          </w:tcPr>
          <w:p w14:paraId="3F9CB2ED">
            <w:pPr>
              <w:autoSpaceDE w:val="0"/>
              <w:autoSpaceDN w:val="0"/>
              <w:spacing w:line="360" w:lineRule="auto"/>
              <w:ind w:firstLine="420" w:firstLineChars="200"/>
              <w:jc w:val="left"/>
              <w:rPr>
                <w:rFonts w:ascii="宋体" w:hAnsi="宋体" w:cs="宋体"/>
                <w:kern w:val="0"/>
                <w:szCs w:val="21"/>
                <w:lang w:val="zh-CN" w:bidi="zh-CN"/>
              </w:rPr>
            </w:pPr>
          </w:p>
        </w:tc>
      </w:tr>
      <w:tr w14:paraId="5634E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2" w:type="dxa"/>
            <w:noWrap w:val="0"/>
            <w:vAlign w:val="top"/>
          </w:tcPr>
          <w:p w14:paraId="6376C995">
            <w:pPr>
              <w:autoSpaceDE w:val="0"/>
              <w:autoSpaceDN w:val="0"/>
              <w:spacing w:line="360" w:lineRule="auto"/>
              <w:ind w:firstLine="420" w:firstLineChars="200"/>
              <w:jc w:val="left"/>
              <w:rPr>
                <w:rFonts w:ascii="宋体" w:hAnsi="宋体" w:cs="宋体"/>
                <w:kern w:val="0"/>
                <w:szCs w:val="21"/>
                <w:lang w:val="zh-CN" w:bidi="zh-CN"/>
              </w:rPr>
            </w:pPr>
          </w:p>
        </w:tc>
        <w:tc>
          <w:tcPr>
            <w:tcW w:w="2745" w:type="dxa"/>
            <w:noWrap w:val="0"/>
            <w:vAlign w:val="top"/>
          </w:tcPr>
          <w:p w14:paraId="45D30186">
            <w:pPr>
              <w:autoSpaceDE w:val="0"/>
              <w:autoSpaceDN w:val="0"/>
              <w:spacing w:line="360" w:lineRule="auto"/>
              <w:ind w:firstLine="420" w:firstLineChars="200"/>
              <w:jc w:val="left"/>
              <w:rPr>
                <w:rFonts w:ascii="宋体" w:hAnsi="宋体" w:cs="宋体"/>
                <w:kern w:val="0"/>
                <w:szCs w:val="21"/>
                <w:lang w:val="zh-CN" w:bidi="zh-CN"/>
              </w:rPr>
            </w:pPr>
          </w:p>
        </w:tc>
        <w:tc>
          <w:tcPr>
            <w:tcW w:w="1386" w:type="dxa"/>
            <w:noWrap w:val="0"/>
            <w:vAlign w:val="top"/>
          </w:tcPr>
          <w:p w14:paraId="3998077B">
            <w:pPr>
              <w:autoSpaceDE w:val="0"/>
              <w:autoSpaceDN w:val="0"/>
              <w:spacing w:line="360" w:lineRule="auto"/>
              <w:ind w:firstLine="420" w:firstLineChars="200"/>
              <w:jc w:val="left"/>
              <w:rPr>
                <w:rFonts w:ascii="宋体" w:hAnsi="宋体" w:cs="宋体"/>
                <w:kern w:val="0"/>
                <w:szCs w:val="21"/>
                <w:lang w:val="zh-CN" w:bidi="zh-CN"/>
              </w:rPr>
            </w:pPr>
          </w:p>
        </w:tc>
        <w:tc>
          <w:tcPr>
            <w:tcW w:w="2194" w:type="dxa"/>
            <w:noWrap w:val="0"/>
            <w:vAlign w:val="top"/>
          </w:tcPr>
          <w:p w14:paraId="63768B74">
            <w:pPr>
              <w:autoSpaceDE w:val="0"/>
              <w:autoSpaceDN w:val="0"/>
              <w:spacing w:line="360" w:lineRule="auto"/>
              <w:ind w:firstLine="420" w:firstLineChars="200"/>
              <w:jc w:val="left"/>
              <w:rPr>
                <w:rFonts w:ascii="宋体" w:hAnsi="宋体" w:cs="宋体"/>
                <w:kern w:val="0"/>
                <w:szCs w:val="21"/>
                <w:lang w:val="zh-CN" w:bidi="zh-CN"/>
              </w:rPr>
            </w:pPr>
          </w:p>
        </w:tc>
      </w:tr>
    </w:tbl>
    <w:p w14:paraId="0634EBC7">
      <w:pPr>
        <w:autoSpaceDE w:val="0"/>
        <w:autoSpaceDN w:val="0"/>
        <w:spacing w:line="360" w:lineRule="auto"/>
        <w:ind w:firstLine="420" w:firstLineChars="200"/>
        <w:jc w:val="left"/>
        <w:rPr>
          <w:rFonts w:ascii="宋体" w:hAnsi="宋体" w:cs="宋体"/>
          <w:kern w:val="0"/>
          <w:szCs w:val="21"/>
          <w:lang w:val="zh-CN" w:bidi="zh-CN"/>
        </w:rPr>
      </w:pPr>
    </w:p>
    <w:p w14:paraId="7BA7AD4A">
      <w:pPr>
        <w:autoSpaceDE w:val="0"/>
        <w:autoSpaceDN w:val="0"/>
        <w:spacing w:line="360" w:lineRule="auto"/>
        <w:ind w:firstLine="420" w:firstLineChars="200"/>
        <w:jc w:val="left"/>
        <w:rPr>
          <w:rFonts w:ascii="宋体" w:hAnsi="宋体" w:cs="宋体"/>
          <w:kern w:val="0"/>
          <w:szCs w:val="21"/>
          <w:lang w:val="zh-CN" w:bidi="zh-CN"/>
        </w:rPr>
      </w:pPr>
    </w:p>
    <w:p w14:paraId="5D045258">
      <w:pPr>
        <w:widowControl/>
        <w:spacing w:before="8"/>
        <w:jc w:val="left"/>
        <w:rPr>
          <w:rFonts w:ascii="宋体" w:hAnsi="宋体" w:cs="宋体"/>
          <w:kern w:val="0"/>
          <w:sz w:val="5"/>
          <w:szCs w:val="24"/>
          <w:lang w:val="zh-CN" w:bidi="zh-CN"/>
        </w:rPr>
      </w:pPr>
    </w:p>
    <w:p w14:paraId="17D3863F">
      <w:pPr>
        <w:keepNext/>
        <w:keepLines/>
        <w:widowControl/>
        <w:spacing w:before="260" w:after="260" w:line="415" w:lineRule="auto"/>
        <w:jc w:val="left"/>
        <w:outlineLvl w:val="2"/>
        <w:rPr>
          <w:rFonts w:ascii="宋体" w:hAnsi="宋体" w:cs="宋体"/>
          <w:b/>
          <w:bCs/>
          <w:kern w:val="0"/>
          <w:szCs w:val="21"/>
          <w:lang w:val="zh-CN" w:bidi="zh-CN"/>
        </w:rPr>
      </w:pPr>
      <w:bookmarkStart w:id="160" w:name="_Toc256000084"/>
    </w:p>
    <w:p w14:paraId="637C237B">
      <w:pPr>
        <w:rPr>
          <w:rFonts w:ascii="宋体" w:hAnsi="宋体" w:cs="宋体"/>
          <w:b/>
          <w:bCs/>
          <w:kern w:val="0"/>
          <w:szCs w:val="21"/>
          <w:lang w:val="zh-CN" w:bidi="zh-CN"/>
        </w:rPr>
      </w:pPr>
      <w:r>
        <w:rPr>
          <w:rFonts w:ascii="宋体" w:hAnsi="宋体" w:cs="宋体"/>
          <w:b/>
          <w:bCs/>
          <w:kern w:val="0"/>
          <w:szCs w:val="21"/>
          <w:lang w:val="zh-CN" w:bidi="zh-CN"/>
        </w:rPr>
        <w:br w:type="page"/>
      </w:r>
    </w:p>
    <w:p w14:paraId="536F381A">
      <w:pPr>
        <w:keepNext/>
        <w:keepLines/>
        <w:widowControl/>
        <w:spacing w:before="260" w:after="260" w:line="415" w:lineRule="auto"/>
        <w:jc w:val="left"/>
        <w:outlineLvl w:val="2"/>
        <w:rPr>
          <w:rFonts w:ascii="宋体" w:hAnsi="宋体" w:cs="宋体"/>
          <w:kern w:val="0"/>
          <w:szCs w:val="21"/>
          <w:lang w:val="zh-CN" w:bidi="zh-CN"/>
        </w:rPr>
      </w:pPr>
      <w:r>
        <w:rPr>
          <w:rFonts w:ascii="宋体" w:hAnsi="宋体" w:cs="宋体"/>
          <w:b/>
          <w:bCs/>
          <w:kern w:val="0"/>
          <w:szCs w:val="21"/>
          <w:lang w:val="zh-CN" w:bidi="zh-CN"/>
        </w:rPr>
        <w:t>附件六 项目经理委任书</w:t>
      </w:r>
      <w:bookmarkEnd w:id="160"/>
    </w:p>
    <w:p w14:paraId="44660517">
      <w:pPr>
        <w:autoSpaceDE w:val="0"/>
        <w:autoSpaceDN w:val="0"/>
        <w:spacing w:line="360" w:lineRule="auto"/>
        <w:ind w:left="583" w:firstLine="420" w:firstLineChars="200"/>
        <w:jc w:val="left"/>
        <w:rPr>
          <w:rFonts w:ascii="宋体" w:hAnsi="宋体" w:cs="宋体"/>
          <w:kern w:val="0"/>
          <w:szCs w:val="21"/>
          <w:lang w:val="zh-CN" w:bidi="zh-CN"/>
        </w:rPr>
      </w:pPr>
      <w:r>
        <w:rPr>
          <w:rFonts w:ascii="宋体" w:hAnsi="宋体" w:cs="宋体"/>
          <w:kern w:val="0"/>
          <w:szCs w:val="21"/>
          <w:u w:val="single"/>
          <w:lang w:val="zh-CN" w:bidi="zh-CN"/>
        </w:rPr>
        <w:t>（承包人全称）</w:t>
      </w:r>
    </w:p>
    <w:p w14:paraId="3B8FEB8C">
      <w:pPr>
        <w:autoSpaceDE w:val="0"/>
        <w:autoSpaceDN w:val="0"/>
        <w:spacing w:before="42" w:line="360" w:lineRule="auto"/>
        <w:ind w:left="2666" w:firstLine="420" w:firstLineChars="200"/>
        <w:jc w:val="left"/>
        <w:rPr>
          <w:rFonts w:ascii="宋体" w:hAnsi="宋体" w:cs="宋体"/>
          <w:kern w:val="0"/>
          <w:szCs w:val="21"/>
          <w:lang w:val="zh-CN" w:bidi="zh-CN"/>
        </w:rPr>
      </w:pPr>
      <w:r>
        <w:rPr>
          <w:rFonts w:ascii="宋体" w:hAnsi="宋体" w:cs="宋体"/>
          <w:kern w:val="0"/>
          <w:szCs w:val="21"/>
          <w:u w:val="single"/>
          <w:lang w:val="zh-CN" w:bidi="zh-CN"/>
        </w:rPr>
        <w:t xml:space="preserve">（合同工程名称） </w:t>
      </w:r>
      <w:r>
        <w:rPr>
          <w:rFonts w:ascii="宋体" w:hAnsi="宋体" w:cs="宋体"/>
          <w:kern w:val="0"/>
          <w:szCs w:val="21"/>
          <w:lang w:val="zh-CN" w:bidi="zh-CN"/>
        </w:rPr>
        <w:t>项目经理委任书</w:t>
      </w:r>
    </w:p>
    <w:p w14:paraId="24622003">
      <w:pPr>
        <w:autoSpaceDE w:val="0"/>
        <w:autoSpaceDN w:val="0"/>
        <w:spacing w:line="360" w:lineRule="auto"/>
        <w:ind w:left="583" w:firstLine="420" w:firstLineChars="200"/>
        <w:jc w:val="left"/>
        <w:rPr>
          <w:rFonts w:ascii="宋体" w:hAnsi="宋体" w:cs="宋体"/>
          <w:kern w:val="0"/>
          <w:szCs w:val="21"/>
          <w:lang w:val="zh-CN" w:bidi="zh-CN"/>
        </w:rPr>
      </w:pPr>
      <w:r>
        <w:rPr>
          <w:rFonts w:ascii="宋体" w:hAnsi="宋体" w:cs="宋体"/>
          <w:kern w:val="0"/>
          <w:szCs w:val="21"/>
          <w:lang w:val="zh-CN" w:bidi="zh-CN"/>
        </w:rPr>
        <w:t>致：</w:t>
      </w:r>
      <w:r>
        <w:rPr>
          <w:rFonts w:ascii="宋体" w:hAnsi="宋体" w:cs="宋体"/>
          <w:kern w:val="0"/>
          <w:szCs w:val="21"/>
          <w:u w:val="single"/>
          <w:lang w:val="zh-CN" w:bidi="zh-CN"/>
        </w:rPr>
        <w:t>（发包人全称）</w:t>
      </w:r>
    </w:p>
    <w:p w14:paraId="64DE213B">
      <w:pPr>
        <w:autoSpaceDE w:val="0"/>
        <w:autoSpaceDN w:val="0"/>
        <w:spacing w:before="93" w:line="360" w:lineRule="auto"/>
        <w:ind w:left="384" w:right="382" w:firstLine="420" w:firstLineChars="200"/>
        <w:rPr>
          <w:rFonts w:ascii="宋体" w:hAnsi="宋体" w:cs="宋体"/>
          <w:kern w:val="0"/>
          <w:szCs w:val="21"/>
          <w:lang w:val="zh-CN" w:bidi="zh-CN"/>
        </w:rPr>
      </w:pPr>
      <w:r>
        <w:rPr>
          <w:rFonts w:ascii="宋体" w:hAnsi="宋体" w:cs="宋体"/>
          <w:kern w:val="0"/>
          <w:szCs w:val="21"/>
          <w:u w:val="single"/>
          <w:lang w:val="zh-CN" w:bidi="zh-CN"/>
        </w:rPr>
        <w:t xml:space="preserve">    （承包人全称）</w:t>
      </w:r>
      <w:r>
        <w:rPr>
          <w:rFonts w:ascii="宋体" w:hAnsi="宋体" w:cs="宋体"/>
          <w:spacing w:val="-5"/>
          <w:kern w:val="0"/>
          <w:szCs w:val="21"/>
          <w:lang w:val="zh-CN" w:bidi="zh-CN"/>
        </w:rPr>
        <w:t xml:space="preserve"> 法定代表人</w:t>
      </w:r>
      <w:r>
        <w:rPr>
          <w:rFonts w:ascii="宋体" w:hAnsi="宋体" w:cs="宋体"/>
          <w:spacing w:val="-5"/>
          <w:kern w:val="0"/>
          <w:szCs w:val="21"/>
          <w:u w:val="single"/>
          <w:lang w:val="zh-CN" w:bidi="zh-CN"/>
        </w:rPr>
        <w:t xml:space="preserve"> </w:t>
      </w:r>
      <w:r>
        <w:rPr>
          <w:rFonts w:ascii="宋体" w:hAnsi="宋体" w:cs="宋体"/>
          <w:kern w:val="0"/>
          <w:szCs w:val="21"/>
          <w:u w:val="single"/>
          <w:lang w:val="zh-CN" w:bidi="zh-CN"/>
        </w:rPr>
        <w:t>（</w:t>
      </w:r>
      <w:r>
        <w:rPr>
          <w:rFonts w:ascii="宋体" w:hAnsi="宋体" w:cs="宋体"/>
          <w:spacing w:val="-4"/>
          <w:kern w:val="0"/>
          <w:szCs w:val="21"/>
          <w:u w:val="single"/>
          <w:lang w:val="zh-CN" w:bidi="zh-CN"/>
        </w:rPr>
        <w:t>职务、姓名</w:t>
      </w:r>
      <w:r>
        <w:rPr>
          <w:rFonts w:ascii="宋体" w:hAnsi="宋体" w:cs="宋体"/>
          <w:kern w:val="0"/>
          <w:szCs w:val="21"/>
          <w:u w:val="single"/>
          <w:lang w:val="zh-CN" w:bidi="zh-CN"/>
        </w:rPr>
        <w:t>）</w:t>
      </w:r>
      <w:r>
        <w:rPr>
          <w:rFonts w:ascii="宋体" w:hAnsi="宋体" w:cs="宋体"/>
          <w:spacing w:val="-4"/>
          <w:kern w:val="0"/>
          <w:szCs w:val="21"/>
          <w:lang w:val="zh-CN" w:bidi="zh-CN"/>
        </w:rPr>
        <w:t xml:space="preserve"> 代表本单位委任</w:t>
      </w:r>
      <w:r>
        <w:rPr>
          <w:rFonts w:ascii="宋体" w:hAnsi="宋体" w:cs="宋体"/>
          <w:spacing w:val="-4"/>
          <w:kern w:val="0"/>
          <w:szCs w:val="21"/>
          <w:u w:val="single"/>
          <w:lang w:val="zh-CN" w:bidi="zh-CN"/>
        </w:rPr>
        <w:t xml:space="preserve"> </w:t>
      </w:r>
      <w:r>
        <w:rPr>
          <w:rFonts w:ascii="宋体" w:hAnsi="宋体" w:cs="宋体"/>
          <w:kern w:val="0"/>
          <w:szCs w:val="21"/>
          <w:u w:val="single"/>
          <w:lang w:val="zh-CN" w:bidi="zh-CN"/>
        </w:rPr>
        <w:t>（</w:t>
      </w:r>
      <w:r>
        <w:rPr>
          <w:rFonts w:ascii="宋体" w:hAnsi="宋体" w:cs="宋体"/>
          <w:spacing w:val="-5"/>
          <w:kern w:val="0"/>
          <w:szCs w:val="21"/>
          <w:u w:val="single"/>
          <w:lang w:val="zh-CN" w:bidi="zh-CN"/>
        </w:rPr>
        <w:t>职务、姓名）</w:t>
      </w:r>
      <w:r>
        <w:rPr>
          <w:rFonts w:ascii="宋体" w:hAnsi="宋体" w:cs="宋体"/>
          <w:spacing w:val="-14"/>
          <w:kern w:val="0"/>
          <w:szCs w:val="21"/>
          <w:lang w:val="zh-CN" w:bidi="zh-CN"/>
        </w:rPr>
        <w:t xml:space="preserve"> 为</w:t>
      </w:r>
      <w:r>
        <w:rPr>
          <w:rFonts w:ascii="宋体" w:hAnsi="宋体" w:cs="宋体"/>
          <w:kern w:val="0"/>
          <w:szCs w:val="21"/>
          <w:u w:val="single"/>
          <w:lang w:val="zh-CN" w:bidi="zh-CN"/>
        </w:rPr>
        <w:t>（合同工程名称</w:t>
      </w:r>
      <w:r>
        <w:rPr>
          <w:rFonts w:ascii="宋体" w:hAnsi="宋体" w:cs="宋体"/>
          <w:spacing w:val="-15"/>
          <w:kern w:val="0"/>
          <w:szCs w:val="21"/>
          <w:u w:val="single"/>
          <w:lang w:val="zh-CN" w:bidi="zh-CN"/>
        </w:rPr>
        <w:t>）</w:t>
      </w:r>
      <w:r>
        <w:rPr>
          <w:rFonts w:ascii="宋体" w:hAnsi="宋体" w:cs="宋体"/>
          <w:spacing w:val="-5"/>
          <w:kern w:val="0"/>
          <w:szCs w:val="21"/>
          <w:lang w:val="zh-CN" w:bidi="zh-CN"/>
        </w:rPr>
        <w:t>的项目经理。凡本合同执行中的有关技术、工程进度、现</w:t>
      </w:r>
      <w:r>
        <w:rPr>
          <w:rFonts w:ascii="宋体" w:hAnsi="宋体" w:cs="宋体"/>
          <w:spacing w:val="-162"/>
          <w:kern w:val="0"/>
          <w:szCs w:val="21"/>
          <w:lang w:val="zh-CN" w:bidi="zh-CN"/>
        </w:rPr>
        <w:t>场</w:t>
      </w:r>
      <w:r>
        <w:rPr>
          <w:rFonts w:ascii="宋体" w:hAnsi="宋体" w:cs="宋体"/>
          <w:kern w:val="0"/>
          <w:szCs w:val="21"/>
          <w:lang w:val="zh-CN" w:bidi="zh-CN"/>
        </w:rPr>
        <w:t>管理、质量检验、结算与支付等方面工作，由</w:t>
      </w:r>
      <w:r>
        <w:rPr>
          <w:rFonts w:ascii="宋体" w:hAnsi="宋体" w:cs="宋体"/>
          <w:kern w:val="0"/>
          <w:szCs w:val="21"/>
          <w:u w:val="single"/>
          <w:lang w:val="zh-CN" w:bidi="zh-CN"/>
        </w:rPr>
        <w:t xml:space="preserve"> （姓名） </w:t>
      </w:r>
      <w:r>
        <w:rPr>
          <w:rFonts w:ascii="宋体" w:hAnsi="宋体" w:cs="宋体"/>
          <w:kern w:val="0"/>
          <w:szCs w:val="21"/>
          <w:lang w:val="zh-CN" w:bidi="zh-CN"/>
        </w:rPr>
        <w:t>代表本单位全面负责。</w:t>
      </w:r>
    </w:p>
    <w:p w14:paraId="14441FA0">
      <w:pPr>
        <w:autoSpaceDE w:val="0"/>
        <w:autoSpaceDN w:val="0"/>
        <w:spacing w:before="2" w:line="360" w:lineRule="auto"/>
        <w:ind w:firstLine="420" w:firstLineChars="200"/>
        <w:jc w:val="left"/>
        <w:rPr>
          <w:rFonts w:ascii="宋体" w:hAnsi="宋体" w:cs="宋体"/>
          <w:kern w:val="0"/>
          <w:szCs w:val="21"/>
          <w:lang w:val="zh-CN" w:bidi="zh-CN"/>
        </w:rPr>
      </w:pPr>
    </w:p>
    <w:p w14:paraId="01D55F98">
      <w:pPr>
        <w:tabs>
          <w:tab w:val="left" w:pos="7267"/>
          <w:tab w:val="left" w:pos="7739"/>
          <w:tab w:val="left" w:pos="9059"/>
        </w:tabs>
        <w:autoSpaceDE w:val="0"/>
        <w:autoSpaceDN w:val="0"/>
        <w:spacing w:line="360" w:lineRule="auto"/>
        <w:ind w:left="3367" w:leftChars="0" w:right="346" w:firstLine="193" w:firstLineChars="0"/>
        <w:jc w:val="left"/>
        <w:rPr>
          <w:rFonts w:ascii="宋体" w:hAnsi="宋体" w:cs="宋体"/>
          <w:kern w:val="0"/>
          <w:szCs w:val="21"/>
          <w:lang w:val="zh-CN" w:bidi="zh-CN"/>
        </w:rPr>
      </w:pPr>
      <w:r>
        <w:rPr>
          <w:rFonts w:ascii="宋体" w:hAnsi="宋体" w:cs="宋体"/>
          <w:kern w:val="0"/>
          <w:szCs w:val="21"/>
          <w:lang w:val="zh-CN" w:bidi="zh-CN"/>
        </w:rPr>
        <w:t>承包人：</w:t>
      </w:r>
      <w:r>
        <w:rPr>
          <w:rFonts w:ascii="宋体" w:hAnsi="宋体" w:cs="宋体"/>
          <w:kern w:val="0"/>
          <w:szCs w:val="21"/>
          <w:u w:val="single"/>
          <w:lang w:val="zh-CN" w:bidi="zh-CN"/>
        </w:rPr>
        <w:tab/>
      </w:r>
      <w:r>
        <w:rPr>
          <w:rFonts w:ascii="宋体" w:hAnsi="宋体" w:cs="宋体"/>
          <w:kern w:val="0"/>
          <w:szCs w:val="21"/>
          <w:u w:val="single"/>
          <w:lang w:val="zh-CN" w:bidi="zh-CN"/>
        </w:rPr>
        <w:t>（</w:t>
      </w:r>
      <w:r>
        <w:rPr>
          <w:rFonts w:ascii="宋体" w:hAnsi="宋体" w:cs="宋体"/>
          <w:kern w:val="0"/>
          <w:szCs w:val="21"/>
          <w:lang w:val="zh-CN" w:bidi="zh-CN"/>
        </w:rPr>
        <w:t>盖单位章） 法定代表人：</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u w:val="single"/>
          <w:lang w:val="zh-CN" w:bidi="zh-CN"/>
        </w:rPr>
        <w:t>（职务）</w:t>
      </w:r>
      <w:r>
        <w:rPr>
          <w:rFonts w:ascii="宋体" w:hAnsi="宋体" w:cs="宋体"/>
          <w:kern w:val="0"/>
          <w:szCs w:val="21"/>
          <w:u w:val="single"/>
          <w:lang w:val="zh-CN" w:bidi="zh-CN"/>
        </w:rPr>
        <w:tab/>
      </w:r>
    </w:p>
    <w:p w14:paraId="3A54588F">
      <w:pPr>
        <w:tabs>
          <w:tab w:val="left" w:pos="840"/>
          <w:tab w:val="left" w:pos="2356"/>
        </w:tabs>
        <w:autoSpaceDE w:val="0"/>
        <w:autoSpaceDN w:val="0"/>
        <w:spacing w:before="3" w:line="360" w:lineRule="auto"/>
        <w:ind w:right="466" w:firstLine="420" w:firstLineChars="200"/>
        <w:jc w:val="right"/>
        <w:rPr>
          <w:rFonts w:ascii="宋体" w:hAnsi="宋体" w:cs="宋体"/>
          <w:kern w:val="0"/>
          <w:szCs w:val="21"/>
          <w:lang w:val="zh-CN" w:bidi="zh-CN"/>
        </w:rPr>
      </w:pP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u w:val="single"/>
          <w:lang w:val="zh-CN" w:bidi="zh-CN"/>
        </w:rPr>
        <w:t>（姓名）</w:t>
      </w:r>
      <w:r>
        <w:rPr>
          <w:rFonts w:ascii="宋体" w:hAnsi="宋体" w:cs="宋体"/>
          <w:kern w:val="0"/>
          <w:szCs w:val="21"/>
          <w:u w:val="single"/>
          <w:lang w:val="zh-CN" w:bidi="zh-CN"/>
        </w:rPr>
        <w:tab/>
      </w:r>
    </w:p>
    <w:p w14:paraId="5CC7B752">
      <w:pPr>
        <w:tabs>
          <w:tab w:val="left" w:pos="840"/>
          <w:tab w:val="left" w:pos="2356"/>
        </w:tabs>
        <w:autoSpaceDE w:val="0"/>
        <w:autoSpaceDN w:val="0"/>
        <w:spacing w:before="90" w:line="360" w:lineRule="auto"/>
        <w:ind w:right="466" w:firstLine="420" w:firstLineChars="200"/>
        <w:jc w:val="right"/>
        <w:rPr>
          <w:rFonts w:ascii="宋体" w:hAnsi="宋体" w:cs="宋体"/>
          <w:kern w:val="0"/>
          <w:szCs w:val="21"/>
          <w:lang w:val="zh-CN" w:bidi="zh-CN"/>
        </w:rPr>
      </w:pP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u w:val="single"/>
          <w:lang w:val="zh-CN" w:bidi="zh-CN"/>
        </w:rPr>
        <w:t>（签字）</w:t>
      </w:r>
      <w:r>
        <w:rPr>
          <w:rFonts w:ascii="宋体" w:hAnsi="宋体" w:cs="宋体"/>
          <w:kern w:val="0"/>
          <w:szCs w:val="21"/>
          <w:u w:val="single"/>
          <w:lang w:val="zh-CN" w:bidi="zh-CN"/>
        </w:rPr>
        <w:tab/>
      </w:r>
    </w:p>
    <w:p w14:paraId="461969C8">
      <w:pPr>
        <w:tabs>
          <w:tab w:val="left" w:pos="840"/>
          <w:tab w:val="left" w:pos="1680"/>
          <w:tab w:val="left" w:pos="2520"/>
        </w:tabs>
        <w:autoSpaceDE w:val="0"/>
        <w:autoSpaceDN w:val="0"/>
        <w:spacing w:before="94" w:line="360" w:lineRule="auto"/>
        <w:ind w:right="541" w:firstLine="420" w:firstLineChars="200"/>
        <w:jc w:val="right"/>
        <w:rPr>
          <w:rFonts w:ascii="宋体" w:hAnsi="宋体" w:cs="宋体"/>
          <w:kern w:val="0"/>
          <w:szCs w:val="21"/>
          <w:lang w:val="zh-CN" w:bidi="zh-CN"/>
        </w:rPr>
      </w:pP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年</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月</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日</w:t>
      </w:r>
    </w:p>
    <w:p w14:paraId="3EA5A1BE">
      <w:pPr>
        <w:tabs>
          <w:tab w:val="left" w:pos="840"/>
          <w:tab w:val="left" w:pos="1680"/>
          <w:tab w:val="left" w:pos="2520"/>
        </w:tabs>
        <w:autoSpaceDE w:val="0"/>
        <w:autoSpaceDN w:val="0"/>
        <w:spacing w:before="94" w:line="360" w:lineRule="auto"/>
        <w:ind w:right="541" w:firstLine="480" w:firstLineChars="200"/>
        <w:jc w:val="right"/>
        <w:rPr>
          <w:rFonts w:ascii="宋体" w:hAnsi="宋体" w:cs="宋体"/>
          <w:kern w:val="0"/>
          <w:szCs w:val="21"/>
          <w:lang w:val="zh-CN" w:bidi="zh-CN"/>
        </w:rPr>
      </w:pPr>
      <w:r>
        <w:rPr>
          <w:rFonts w:ascii="Times New Roman" w:hAnsi="Times New Roman"/>
          <w:sz w:val="24"/>
          <w:szCs w:val="24"/>
        </w:rPr>
        <mc:AlternateContent>
          <mc:Choice Requires="wps">
            <w:drawing>
              <wp:anchor distT="0" distB="0" distL="114300" distR="114300" simplePos="0" relativeHeight="251661312" behindDoc="1" locked="0" layoutInCell="1" allowOverlap="1">
                <wp:simplePos x="0" y="0"/>
                <wp:positionH relativeFrom="page">
                  <wp:posOffset>1043940</wp:posOffset>
                </wp:positionH>
                <wp:positionV relativeFrom="paragraph">
                  <wp:posOffset>201295</wp:posOffset>
                </wp:positionV>
                <wp:extent cx="5508625" cy="0"/>
                <wp:effectExtent l="0" t="4445" r="0" b="5080"/>
                <wp:wrapTopAndBottom/>
                <wp:docPr id="3" name="直接连接符 3"/>
                <wp:cNvGraphicFramePr/>
                <a:graphic xmlns:a="http://schemas.openxmlformats.org/drawingml/2006/main">
                  <a:graphicData uri="http://schemas.microsoft.com/office/word/2010/wordprocessingShape">
                    <wps:wsp>
                      <wps:cNvCnPr/>
                      <wps:spPr>
                        <a:xfrm>
                          <a:off x="0" y="0"/>
                          <a:ext cx="550862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2.2pt;margin-top:15.85pt;height:0pt;width:433.75pt;mso-position-horizontal-relative:page;mso-wrap-distance-bottom:0pt;mso-wrap-distance-top:0pt;z-index:-251655168;mso-width-relative:page;mso-height-relative:page;" filled="f" stroked="t" coordsize="21600,21600" o:gfxdata="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iMeNYAAAAKAQAADwAAAAAAAAABACAAAAAiAAAAZHJzL2Rvd25yZXYueG1sUEsB&#10;AhQAFAAAAAgAh07iQMnNbDj3AQAA5AMAAA4AAAAAAAAAAQAgAAAAJQEAAGRycy9lMm9Eb2MueG1s&#10;UEsFBgAAAAAGAAYAWQEAAI4FAAAAAA==&#10;">
                <v:fill on="f" focussize="0,0"/>
                <v:stroke weight="0.72pt" color="#000000" joinstyle="round"/>
                <v:imagedata o:title=""/>
                <o:lock v:ext="edit" aspectratio="f"/>
                <w10:wrap type="topAndBottom"/>
              </v:line>
            </w:pict>
          </mc:Fallback>
        </mc:AlternateContent>
      </w:r>
      <w:r>
        <w:rPr>
          <w:rFonts w:ascii="宋体" w:hAnsi="宋体" w:cs="宋体"/>
          <w:kern w:val="0"/>
          <w:szCs w:val="21"/>
          <w:lang w:val="zh-CN" w:bidi="zh-CN"/>
        </w:rPr>
        <w:t>抄送：</w:t>
      </w:r>
      <w:r>
        <w:rPr>
          <w:rFonts w:ascii="宋体" w:hAnsi="宋体" w:cs="宋体"/>
          <w:spacing w:val="119"/>
          <w:kern w:val="0"/>
          <w:szCs w:val="21"/>
          <w:u w:val="single"/>
          <w:lang w:val="zh-CN" w:bidi="zh-CN"/>
        </w:rPr>
        <w:t xml:space="preserve"> </w:t>
      </w:r>
      <w:r>
        <w:rPr>
          <w:rFonts w:ascii="宋体" w:hAnsi="宋体" w:cs="宋体"/>
          <w:kern w:val="0"/>
          <w:szCs w:val="21"/>
          <w:u w:val="single"/>
          <w:lang w:val="zh-CN" w:bidi="zh-CN"/>
        </w:rPr>
        <w:t>（监理人）</w:t>
      </w:r>
      <w:r>
        <w:rPr>
          <w:rFonts w:ascii="宋体" w:hAnsi="宋体" w:cs="宋体"/>
          <w:kern w:val="0"/>
          <w:szCs w:val="21"/>
          <w:u w:val="single"/>
          <w:lang w:val="zh-CN" w:bidi="zh-CN"/>
        </w:rPr>
        <w:tab/>
      </w:r>
    </w:p>
    <w:p w14:paraId="58403EFA">
      <w:pPr>
        <w:keepNext/>
        <w:keepLines/>
        <w:widowControl/>
        <w:spacing w:before="260" w:after="260" w:line="415" w:lineRule="auto"/>
        <w:jc w:val="left"/>
        <w:outlineLvl w:val="2"/>
        <w:rPr>
          <w:rFonts w:ascii="宋体" w:hAnsi="宋体" w:cs="宋体"/>
          <w:b/>
          <w:bCs/>
          <w:kern w:val="0"/>
          <w:szCs w:val="21"/>
          <w:lang w:val="zh-CN" w:bidi="zh-CN"/>
        </w:rPr>
      </w:pPr>
      <w:bookmarkStart w:id="161" w:name="_Toc256000085"/>
    </w:p>
    <w:p w14:paraId="1CE275B6">
      <w:pPr>
        <w:keepNext/>
        <w:keepLines/>
        <w:widowControl/>
        <w:spacing w:before="260" w:after="260" w:line="415" w:lineRule="auto"/>
        <w:jc w:val="left"/>
        <w:outlineLvl w:val="2"/>
        <w:rPr>
          <w:rFonts w:ascii="宋体" w:hAnsi="宋体" w:cs="宋体"/>
          <w:b/>
          <w:bCs/>
          <w:kern w:val="0"/>
          <w:szCs w:val="21"/>
          <w:lang w:val="zh-CN" w:bidi="zh-CN"/>
        </w:rPr>
      </w:pPr>
    </w:p>
    <w:p w14:paraId="0B3E3E95">
      <w:pPr>
        <w:rPr>
          <w:rFonts w:ascii="宋体" w:hAnsi="宋体" w:cs="宋体"/>
          <w:b/>
          <w:bCs/>
          <w:kern w:val="0"/>
          <w:szCs w:val="21"/>
          <w:lang w:val="zh-CN" w:bidi="zh-CN"/>
        </w:rPr>
      </w:pPr>
      <w:r>
        <w:rPr>
          <w:rFonts w:ascii="宋体" w:hAnsi="宋体" w:cs="宋体"/>
          <w:b/>
          <w:bCs/>
          <w:kern w:val="0"/>
          <w:szCs w:val="21"/>
          <w:lang w:val="zh-CN" w:bidi="zh-CN"/>
        </w:rPr>
        <w:br w:type="page"/>
      </w:r>
    </w:p>
    <w:p w14:paraId="0EE1C692">
      <w:pPr>
        <w:keepNext/>
        <w:keepLines/>
        <w:widowControl/>
        <w:spacing w:before="260" w:after="260" w:line="415" w:lineRule="auto"/>
        <w:jc w:val="left"/>
        <w:outlineLvl w:val="2"/>
        <w:rPr>
          <w:rFonts w:ascii="宋体" w:hAnsi="宋体" w:cs="宋体"/>
          <w:b/>
          <w:bCs/>
          <w:kern w:val="0"/>
          <w:szCs w:val="21"/>
          <w:lang w:val="zh-CN" w:bidi="zh-CN"/>
        </w:rPr>
      </w:pPr>
      <w:r>
        <w:rPr>
          <w:rFonts w:ascii="宋体" w:hAnsi="宋体" w:cs="宋体"/>
          <w:b/>
          <w:bCs/>
          <w:kern w:val="0"/>
          <w:szCs w:val="21"/>
          <w:lang w:val="zh-CN" w:bidi="zh-CN"/>
        </w:rPr>
        <w:t>附件七 履约保证金格式</w:t>
      </w:r>
      <w:bookmarkEnd w:id="161"/>
    </w:p>
    <w:p w14:paraId="1405182F">
      <w:pPr>
        <w:autoSpaceDE w:val="0"/>
        <w:autoSpaceDN w:val="0"/>
        <w:spacing w:before="93" w:line="360" w:lineRule="auto"/>
        <w:ind w:left="583" w:firstLine="420" w:firstLineChars="200"/>
        <w:jc w:val="left"/>
        <w:rPr>
          <w:rFonts w:ascii="宋体" w:hAnsi="宋体" w:cs="宋体"/>
          <w:kern w:val="0"/>
          <w:szCs w:val="21"/>
          <w:lang w:val="zh-CN" w:bidi="zh-CN"/>
        </w:rPr>
      </w:pPr>
      <w:r>
        <w:rPr>
          <w:rFonts w:ascii="宋体" w:hAnsi="宋体" w:cs="宋体"/>
          <w:kern w:val="0"/>
          <w:szCs w:val="21"/>
          <w:lang w:val="zh-CN" w:bidi="zh-CN"/>
        </w:rPr>
        <w:t>如采用银行保函，格式如下。</w:t>
      </w:r>
    </w:p>
    <w:p w14:paraId="34C2EAFE">
      <w:pPr>
        <w:autoSpaceDE w:val="0"/>
        <w:autoSpaceDN w:val="0"/>
        <w:spacing w:before="62" w:line="360" w:lineRule="auto"/>
        <w:ind w:left="705" w:right="556" w:firstLine="420" w:firstLineChars="200"/>
        <w:jc w:val="center"/>
        <w:rPr>
          <w:rFonts w:ascii="宋体" w:hAnsi="宋体" w:cs="宋体"/>
          <w:kern w:val="0"/>
          <w:szCs w:val="21"/>
          <w:lang w:val="zh-CN" w:bidi="zh-CN"/>
        </w:rPr>
      </w:pPr>
      <w:r>
        <w:rPr>
          <w:rFonts w:ascii="宋体" w:hAnsi="宋体" w:cs="宋体"/>
          <w:kern w:val="0"/>
          <w:szCs w:val="21"/>
          <w:lang w:val="zh-CN" w:bidi="zh-CN"/>
        </w:rPr>
        <w:t>履约保证金</w:t>
      </w:r>
    </w:p>
    <w:p w14:paraId="5A5207A3">
      <w:pPr>
        <w:autoSpaceDE w:val="0"/>
        <w:autoSpaceDN w:val="0"/>
        <w:spacing w:line="360" w:lineRule="auto"/>
        <w:ind w:firstLine="420" w:firstLineChars="200"/>
        <w:jc w:val="left"/>
        <w:rPr>
          <w:rFonts w:ascii="宋体" w:hAnsi="宋体" w:cs="宋体"/>
          <w:kern w:val="0"/>
          <w:szCs w:val="21"/>
          <w:lang w:val="zh-CN" w:bidi="zh-CN"/>
        </w:rPr>
      </w:pPr>
    </w:p>
    <w:p w14:paraId="57220A68">
      <w:pPr>
        <w:tabs>
          <w:tab w:val="left" w:pos="3143"/>
        </w:tabs>
        <w:autoSpaceDE w:val="0"/>
        <w:autoSpaceDN w:val="0"/>
        <w:spacing w:line="360" w:lineRule="auto"/>
        <w:ind w:left="703" w:firstLine="420" w:firstLineChars="200"/>
        <w:jc w:val="left"/>
        <w:rPr>
          <w:rFonts w:ascii="宋体" w:hAnsi="宋体" w:cs="宋体"/>
          <w:kern w:val="0"/>
          <w:szCs w:val="21"/>
          <w:lang w:val="zh-CN" w:bidi="zh-CN"/>
        </w:rPr>
      </w:pPr>
      <w:r>
        <w:rPr>
          <w:rFonts w:ascii="宋体" w:hAnsi="宋体" w:cs="宋体"/>
          <w:kern w:val="0"/>
          <w:szCs w:val="21"/>
          <w:u w:val="single"/>
          <w:lang w:val="zh-CN" w:bidi="zh-CN"/>
        </w:rPr>
        <w:tab/>
      </w:r>
      <w:r>
        <w:rPr>
          <w:rFonts w:ascii="宋体" w:hAnsi="宋体" w:cs="宋体"/>
          <w:kern w:val="0"/>
          <w:szCs w:val="21"/>
          <w:lang w:val="zh-CN" w:bidi="zh-CN"/>
        </w:rPr>
        <w:t>（发包人名称）：</w:t>
      </w:r>
    </w:p>
    <w:p w14:paraId="59B423C1">
      <w:pPr>
        <w:autoSpaceDE w:val="0"/>
        <w:autoSpaceDN w:val="0"/>
        <w:spacing w:before="7" w:line="360" w:lineRule="auto"/>
        <w:ind w:firstLine="420" w:firstLineChars="200"/>
        <w:jc w:val="left"/>
        <w:rPr>
          <w:rFonts w:ascii="宋体" w:hAnsi="宋体" w:cs="宋体"/>
          <w:kern w:val="0"/>
          <w:szCs w:val="21"/>
          <w:lang w:val="zh-CN" w:bidi="zh-CN"/>
        </w:rPr>
      </w:pPr>
    </w:p>
    <w:p w14:paraId="78771FE3">
      <w:pPr>
        <w:tabs>
          <w:tab w:val="left" w:pos="2073"/>
          <w:tab w:val="left" w:pos="3371"/>
          <w:tab w:val="left" w:pos="8095"/>
          <w:tab w:val="left" w:pos="8582"/>
        </w:tabs>
        <w:autoSpaceDE w:val="0"/>
        <w:autoSpaceDN w:val="0"/>
        <w:spacing w:line="360" w:lineRule="auto"/>
        <w:ind w:left="384" w:right="462" w:firstLine="420" w:firstLineChars="200"/>
        <w:rPr>
          <w:rFonts w:ascii="宋体" w:hAnsi="宋体" w:cs="宋体"/>
          <w:kern w:val="0"/>
          <w:szCs w:val="21"/>
          <w:u w:val="single"/>
          <w:lang w:val="zh-CN" w:bidi="zh-CN"/>
        </w:rPr>
      </w:pPr>
      <w:r>
        <w:rPr>
          <w:rFonts w:ascii="宋体" w:hAnsi="宋体" w:cs="宋体"/>
          <w:kern w:val="0"/>
          <w:szCs w:val="21"/>
          <w:lang w:val="zh-CN" w:bidi="zh-CN"/>
        </w:rPr>
        <w:t>鉴于</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u w:val="single"/>
          <w:lang w:val="zh-CN" w:bidi="zh-CN"/>
        </w:rPr>
        <w:tab/>
      </w:r>
      <w:r>
        <w:rPr>
          <w:rFonts w:ascii="宋体" w:hAnsi="宋体" w:cs="宋体"/>
          <w:spacing w:val="-3"/>
          <w:kern w:val="0"/>
          <w:szCs w:val="21"/>
          <w:lang w:val="zh-CN" w:bidi="zh-CN"/>
        </w:rPr>
        <w:t>（</w:t>
      </w:r>
      <w:r>
        <w:rPr>
          <w:rFonts w:ascii="宋体" w:hAnsi="宋体" w:cs="宋体"/>
          <w:kern w:val="0"/>
          <w:szCs w:val="21"/>
          <w:lang w:val="zh-CN" w:bidi="zh-CN"/>
        </w:rPr>
        <w:t>发包人名称</w:t>
      </w:r>
      <w:r>
        <w:rPr>
          <w:rFonts w:ascii="宋体" w:hAnsi="宋体" w:cs="宋体"/>
          <w:spacing w:val="-17"/>
          <w:kern w:val="0"/>
          <w:szCs w:val="21"/>
          <w:lang w:val="zh-CN" w:bidi="zh-CN"/>
        </w:rPr>
        <w:t>，</w:t>
      </w:r>
      <w:r>
        <w:rPr>
          <w:rFonts w:ascii="宋体" w:hAnsi="宋体" w:cs="宋体"/>
          <w:kern w:val="0"/>
          <w:szCs w:val="21"/>
          <w:lang w:val="zh-CN" w:bidi="zh-CN"/>
        </w:rPr>
        <w:t>以下简称“发包人</w:t>
      </w:r>
      <w:r>
        <w:rPr>
          <w:rFonts w:ascii="宋体" w:hAnsi="宋体" w:cs="宋体"/>
          <w:spacing w:val="-8"/>
          <w:kern w:val="0"/>
          <w:szCs w:val="21"/>
          <w:lang w:val="zh-CN" w:bidi="zh-CN"/>
        </w:rPr>
        <w:t>”）</w:t>
      </w:r>
      <w:r>
        <w:rPr>
          <w:rFonts w:ascii="宋体" w:hAnsi="宋体" w:cs="宋体"/>
          <w:kern w:val="0"/>
          <w:szCs w:val="21"/>
          <w:lang w:val="zh-CN" w:bidi="zh-CN"/>
        </w:rPr>
        <w:t>接受</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u w:val="single"/>
          <w:lang w:val="zh-CN" w:bidi="zh-CN"/>
        </w:rPr>
        <w:tab/>
      </w:r>
    </w:p>
    <w:p w14:paraId="08D8F060">
      <w:pPr>
        <w:tabs>
          <w:tab w:val="left" w:pos="2073"/>
          <w:tab w:val="left" w:pos="3371"/>
          <w:tab w:val="left" w:pos="8095"/>
          <w:tab w:val="left" w:pos="8582"/>
        </w:tabs>
        <w:autoSpaceDE w:val="0"/>
        <w:autoSpaceDN w:val="0"/>
        <w:spacing w:line="360" w:lineRule="auto"/>
        <w:ind w:left="384" w:right="462" w:firstLine="420" w:firstLineChars="200"/>
        <w:rPr>
          <w:rFonts w:ascii="宋体" w:hAnsi="宋体" w:cs="宋体"/>
          <w:kern w:val="0"/>
          <w:szCs w:val="21"/>
          <w:lang w:val="zh-CN" w:bidi="zh-CN"/>
        </w:rPr>
      </w:pPr>
      <w:r>
        <w:rPr>
          <w:rFonts w:ascii="宋体" w:hAnsi="宋体" w:cs="宋体"/>
          <w:kern w:val="0"/>
          <w:szCs w:val="21"/>
          <w:lang w:val="zh-CN" w:bidi="zh-CN"/>
        </w:rPr>
        <w:t>（承包人名称，以下简称“承包人”）于</w:t>
      </w:r>
      <w:r>
        <w:rPr>
          <w:rFonts w:ascii="宋体" w:hAnsi="宋体" w:cs="宋体"/>
          <w:kern w:val="0"/>
          <w:szCs w:val="21"/>
          <w:u w:val="single"/>
          <w:lang w:val="zh-CN" w:bidi="zh-CN"/>
        </w:rPr>
        <w:t xml:space="preserve">    </w:t>
      </w:r>
      <w:r>
        <w:rPr>
          <w:rFonts w:ascii="宋体" w:hAnsi="宋体" w:cs="宋体"/>
          <w:spacing w:val="14"/>
          <w:kern w:val="0"/>
          <w:szCs w:val="21"/>
          <w:u w:val="single"/>
          <w:lang w:val="zh-CN" w:bidi="zh-CN"/>
        </w:rPr>
        <w:t xml:space="preserve"> </w:t>
      </w:r>
      <w:r>
        <w:rPr>
          <w:rFonts w:ascii="宋体" w:hAnsi="宋体" w:cs="宋体"/>
          <w:kern w:val="0"/>
          <w:szCs w:val="21"/>
          <w:lang w:val="zh-CN" w:bidi="zh-CN"/>
        </w:rPr>
        <w:t>年</w:t>
      </w:r>
      <w:r>
        <w:rPr>
          <w:rFonts w:ascii="宋体" w:hAnsi="宋体" w:cs="宋体"/>
          <w:kern w:val="0"/>
          <w:szCs w:val="21"/>
          <w:u w:val="single"/>
          <w:lang w:val="zh-CN" w:bidi="zh-CN"/>
        </w:rPr>
        <w:t xml:space="preserve">   </w:t>
      </w:r>
      <w:r>
        <w:rPr>
          <w:rFonts w:ascii="宋体" w:hAnsi="宋体" w:cs="宋体"/>
          <w:spacing w:val="12"/>
          <w:kern w:val="0"/>
          <w:szCs w:val="21"/>
          <w:u w:val="single"/>
          <w:lang w:val="zh-CN" w:bidi="zh-CN"/>
        </w:rPr>
        <w:t xml:space="preserve"> </w:t>
      </w:r>
      <w:r>
        <w:rPr>
          <w:rFonts w:ascii="宋体" w:hAnsi="宋体" w:cs="宋体"/>
          <w:kern w:val="0"/>
          <w:szCs w:val="21"/>
          <w:lang w:val="zh-CN" w:bidi="zh-CN"/>
        </w:rPr>
        <w:t>月</w:t>
      </w:r>
      <w:r>
        <w:rPr>
          <w:rFonts w:ascii="宋体" w:hAnsi="宋体" w:cs="宋体"/>
          <w:kern w:val="0"/>
          <w:szCs w:val="21"/>
          <w:u w:val="single"/>
          <w:lang w:val="zh-CN" w:bidi="zh-CN"/>
        </w:rPr>
        <w:t xml:space="preserve">   </w:t>
      </w:r>
      <w:r>
        <w:rPr>
          <w:rFonts w:ascii="宋体" w:hAnsi="宋体" w:cs="宋体"/>
          <w:spacing w:val="10"/>
          <w:kern w:val="0"/>
          <w:szCs w:val="21"/>
          <w:u w:val="single"/>
          <w:lang w:val="zh-CN" w:bidi="zh-CN"/>
        </w:rPr>
        <w:t xml:space="preserve"> </w:t>
      </w:r>
      <w:r>
        <w:rPr>
          <w:rFonts w:ascii="宋体" w:hAnsi="宋体" w:cs="宋体"/>
          <w:kern w:val="0"/>
          <w:szCs w:val="21"/>
          <w:lang w:val="zh-CN" w:bidi="zh-CN"/>
        </w:rPr>
        <w:t>日参加</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（项目名称）</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标段施工的投标。我方愿意无条件地、不可撤销地就承包人履行与你方订立的合同，向你方提供担保。</w:t>
      </w:r>
    </w:p>
    <w:p w14:paraId="02AB0857">
      <w:pPr>
        <w:numPr>
          <w:ilvl w:val="0"/>
          <w:numId w:val="12"/>
        </w:numPr>
        <w:tabs>
          <w:tab w:val="left" w:pos="1164"/>
          <w:tab w:val="left" w:pos="5783"/>
          <w:tab w:val="left" w:pos="8003"/>
        </w:tabs>
        <w:autoSpaceDE w:val="0"/>
        <w:autoSpaceDN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担保金额人民币（大写）</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元（¥</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w:t>
      </w:r>
    </w:p>
    <w:p w14:paraId="1E3E5089">
      <w:pPr>
        <w:numPr>
          <w:ilvl w:val="0"/>
          <w:numId w:val="12"/>
        </w:numPr>
        <w:tabs>
          <w:tab w:val="left" w:pos="1169"/>
        </w:tabs>
        <w:autoSpaceDE w:val="0"/>
        <w:autoSpaceDN w:val="0"/>
        <w:spacing w:before="94" w:line="360" w:lineRule="auto"/>
        <w:ind w:right="467" w:firstLine="432" w:firstLineChars="200"/>
        <w:jc w:val="left"/>
        <w:rPr>
          <w:rFonts w:ascii="宋体" w:hAnsi="宋体" w:cs="宋体"/>
          <w:kern w:val="0"/>
          <w:szCs w:val="21"/>
          <w:lang w:val="zh-CN" w:bidi="zh-CN"/>
        </w:rPr>
      </w:pPr>
      <w:r>
        <w:rPr>
          <w:rFonts w:ascii="宋体" w:hAnsi="宋体" w:cs="宋体"/>
          <w:spacing w:val="3"/>
          <w:kern w:val="0"/>
          <w:szCs w:val="21"/>
          <w:lang w:val="zh-CN" w:bidi="zh-CN"/>
        </w:rPr>
        <w:t>担保有效期自发包人与承包人签订的合同生效之日起至发包人签发交工验收证书且承包人按照合同约定缴纳质量保证金之日止。</w:t>
      </w:r>
      <w:r>
        <w:rPr>
          <w:rFonts w:ascii="宋体" w:hAnsi="宋体" w:cs="宋体"/>
          <w:kern w:val="0"/>
          <w:sz w:val="22"/>
          <w:lang w:val="zh-CN" w:bidi="zh-CN"/>
        </w:rPr>
        <w:fldChar w:fldCharType="begin"/>
      </w:r>
      <w:r>
        <w:rPr>
          <w:rFonts w:ascii="宋体" w:hAnsi="宋体" w:cs="宋体"/>
          <w:kern w:val="0"/>
          <w:sz w:val="22"/>
          <w:lang w:val="zh-CN" w:bidi="zh-CN"/>
        </w:rPr>
        <w:instrText xml:space="preserve"> HYPERLINK \l "_bookmark53" </w:instrText>
      </w:r>
      <w:r>
        <w:rPr>
          <w:rFonts w:ascii="宋体" w:hAnsi="宋体" w:cs="宋体"/>
          <w:kern w:val="0"/>
          <w:sz w:val="22"/>
          <w:lang w:val="zh-CN" w:bidi="zh-CN"/>
        </w:rPr>
        <w:fldChar w:fldCharType="separate"/>
      </w:r>
      <w:r>
        <w:rPr>
          <w:rFonts w:ascii="宋体" w:hAnsi="宋体" w:cs="宋体"/>
          <w:spacing w:val="3"/>
          <w:kern w:val="0"/>
          <w:position w:val="10"/>
          <w:szCs w:val="21"/>
          <w:lang w:val="zh-CN" w:bidi="zh-CN"/>
        </w:rPr>
        <w:t>①</w:t>
      </w:r>
      <w:r>
        <w:rPr>
          <w:rFonts w:ascii="宋体" w:hAnsi="宋体" w:cs="宋体"/>
          <w:spacing w:val="3"/>
          <w:kern w:val="0"/>
          <w:position w:val="10"/>
          <w:szCs w:val="21"/>
          <w:lang w:val="zh-CN" w:bidi="zh-CN"/>
        </w:rPr>
        <w:fldChar w:fldCharType="end"/>
      </w:r>
    </w:p>
    <w:p w14:paraId="6F3619B6">
      <w:pPr>
        <w:numPr>
          <w:ilvl w:val="0"/>
          <w:numId w:val="12"/>
        </w:numPr>
        <w:tabs>
          <w:tab w:val="left" w:pos="1164"/>
        </w:tabs>
        <w:autoSpaceDE w:val="0"/>
        <w:autoSpaceDN w:val="0"/>
        <w:spacing w:line="360" w:lineRule="auto"/>
        <w:ind w:right="442" w:firstLine="420" w:firstLineChars="200"/>
        <w:rPr>
          <w:rFonts w:ascii="宋体" w:hAnsi="宋体" w:cs="宋体"/>
          <w:kern w:val="0"/>
          <w:szCs w:val="21"/>
          <w:lang w:val="zh-CN" w:bidi="zh-CN"/>
        </w:rPr>
      </w:pPr>
      <w:r>
        <w:rPr>
          <w:rFonts w:ascii="宋体" w:hAnsi="宋体" w:cs="宋体"/>
          <w:kern w:val="0"/>
          <w:szCs w:val="21"/>
          <w:lang w:val="zh-CN" w:bidi="zh-CN"/>
        </w:rPr>
        <w:t xml:space="preserve">在本担保有效期内，因承包人违反合同约定的义务给你方造成经济损失时， </w:t>
      </w:r>
      <w:r>
        <w:rPr>
          <w:rFonts w:ascii="宋体" w:hAnsi="宋体" w:cs="宋体"/>
          <w:spacing w:val="-2"/>
          <w:kern w:val="0"/>
          <w:szCs w:val="21"/>
          <w:lang w:val="zh-CN" w:bidi="zh-CN"/>
        </w:rPr>
        <w:t xml:space="preserve">我方在收到你方以书面形式提出的在担保金额内的赔偿要求后，在 </w:t>
      </w:r>
      <w:r>
        <w:rPr>
          <w:rFonts w:ascii="宋体" w:hAnsi="宋体" w:cs="宋体"/>
          <w:kern w:val="0"/>
          <w:szCs w:val="21"/>
          <w:lang w:val="zh-CN" w:bidi="zh-CN"/>
        </w:rPr>
        <w:t>7</w:t>
      </w:r>
      <w:r>
        <w:rPr>
          <w:rFonts w:ascii="宋体" w:hAnsi="宋体" w:cs="宋体"/>
          <w:spacing w:val="11"/>
          <w:kern w:val="0"/>
          <w:szCs w:val="21"/>
          <w:lang w:val="zh-CN" w:bidi="zh-CN"/>
        </w:rPr>
        <w:t xml:space="preserve"> </w:t>
      </w:r>
      <w:r>
        <w:rPr>
          <w:rFonts w:ascii="宋体" w:hAnsi="宋体" w:cs="宋体"/>
          <w:kern w:val="0"/>
          <w:szCs w:val="21"/>
          <w:lang w:val="zh-CN" w:bidi="zh-CN"/>
        </w:rPr>
        <w:t>日内无条件支付，无须你方出具证明或陈述理由。</w:t>
      </w:r>
    </w:p>
    <w:p w14:paraId="3B69EA4B">
      <w:pPr>
        <w:numPr>
          <w:ilvl w:val="0"/>
          <w:numId w:val="12"/>
        </w:numPr>
        <w:tabs>
          <w:tab w:val="left" w:pos="1164"/>
        </w:tabs>
        <w:autoSpaceDE w:val="0"/>
        <w:autoSpaceDN w:val="0"/>
        <w:spacing w:line="360" w:lineRule="auto"/>
        <w:ind w:right="346" w:firstLine="400" w:firstLineChars="200"/>
        <w:jc w:val="left"/>
        <w:rPr>
          <w:rFonts w:ascii="宋体" w:hAnsi="宋体" w:cs="宋体"/>
          <w:kern w:val="0"/>
          <w:szCs w:val="21"/>
          <w:lang w:val="zh-CN" w:bidi="zh-CN"/>
        </w:rPr>
      </w:pPr>
      <w:r>
        <w:rPr>
          <w:rFonts w:ascii="宋体" w:hAnsi="宋体" w:cs="宋体"/>
          <w:spacing w:val="-5"/>
          <w:kern w:val="0"/>
          <w:szCs w:val="21"/>
          <w:lang w:val="zh-CN" w:bidi="zh-CN"/>
        </w:rPr>
        <w:t xml:space="preserve">发包人和承包人按合同条款第 </w:t>
      </w:r>
      <w:r>
        <w:rPr>
          <w:rFonts w:ascii="宋体" w:hAnsi="宋体" w:cs="宋体"/>
          <w:kern w:val="0"/>
          <w:szCs w:val="21"/>
          <w:lang w:val="zh-CN" w:bidi="zh-CN"/>
        </w:rPr>
        <w:t xml:space="preserve">20 </w:t>
      </w:r>
      <w:r>
        <w:rPr>
          <w:rFonts w:ascii="宋体" w:hAnsi="宋体" w:cs="宋体"/>
          <w:spacing w:val="-4"/>
          <w:kern w:val="0"/>
          <w:szCs w:val="21"/>
          <w:lang w:val="zh-CN" w:bidi="zh-CN"/>
        </w:rPr>
        <w:t>条变更合同时，无论我方是否收到该变更， 我方承担本担保规定的义务不变。</w:t>
      </w:r>
    </w:p>
    <w:p w14:paraId="6C614DB2">
      <w:pPr>
        <w:autoSpaceDE w:val="0"/>
        <w:autoSpaceDN w:val="0"/>
        <w:spacing w:line="360" w:lineRule="auto"/>
        <w:jc w:val="left"/>
        <w:rPr>
          <w:rFonts w:ascii="宋体" w:hAnsi="宋体" w:cs="宋体"/>
          <w:kern w:val="0"/>
          <w:szCs w:val="21"/>
          <w:lang w:val="zh-CN" w:bidi="zh-CN"/>
        </w:rPr>
      </w:pPr>
    </w:p>
    <w:p w14:paraId="71A9F0D8">
      <w:pPr>
        <w:tabs>
          <w:tab w:val="left" w:pos="7739"/>
          <w:tab w:val="left" w:pos="8843"/>
        </w:tabs>
        <w:autoSpaceDE w:val="0"/>
        <w:autoSpaceDN w:val="0"/>
        <w:spacing w:before="186" w:line="360" w:lineRule="auto"/>
        <w:ind w:left="3880" w:right="346"/>
        <w:rPr>
          <w:rFonts w:ascii="宋体" w:hAnsi="宋体" w:cs="宋体"/>
          <w:kern w:val="0"/>
          <w:szCs w:val="21"/>
          <w:lang w:val="zh-CN" w:bidi="zh-CN"/>
        </w:rPr>
      </w:pPr>
      <w:r>
        <w:rPr>
          <w:rFonts w:ascii="宋体" w:hAnsi="宋体" w:cs="宋体"/>
          <w:kern w:val="0"/>
          <w:szCs w:val="21"/>
          <w:lang w:val="zh-CN" w:bidi="zh-CN"/>
        </w:rPr>
        <w:t>担保人名称：</w:t>
      </w:r>
      <w:r>
        <w:rPr>
          <w:rFonts w:hint="eastAsia" w:ascii="宋体" w:hAnsi="宋体" w:cs="宋体"/>
          <w:kern w:val="0"/>
          <w:szCs w:val="21"/>
          <w:u w:val="single"/>
          <w:lang w:val="zh-CN" w:bidi="zh-CN"/>
        </w:rPr>
        <w:t xml:space="preserve">           </w:t>
      </w:r>
      <w:r>
        <w:rPr>
          <w:rFonts w:ascii="宋体" w:hAnsi="宋体" w:cs="宋体"/>
          <w:kern w:val="0"/>
          <w:szCs w:val="21"/>
          <w:u w:val="single"/>
          <w:lang w:val="zh-CN" w:bidi="zh-CN"/>
        </w:rPr>
        <w:t>（</w:t>
      </w:r>
      <w:r>
        <w:rPr>
          <w:rFonts w:ascii="宋体" w:hAnsi="宋体" w:cs="宋体"/>
          <w:kern w:val="0"/>
          <w:szCs w:val="21"/>
          <w:lang w:val="zh-CN" w:bidi="zh-CN"/>
        </w:rPr>
        <w:t xml:space="preserve">盖单位章） </w:t>
      </w:r>
    </w:p>
    <w:p w14:paraId="04DAC94B">
      <w:pPr>
        <w:tabs>
          <w:tab w:val="left" w:pos="7739"/>
          <w:tab w:val="left" w:pos="8843"/>
        </w:tabs>
        <w:autoSpaceDE w:val="0"/>
        <w:autoSpaceDN w:val="0"/>
        <w:spacing w:before="186" w:line="360" w:lineRule="auto"/>
        <w:ind w:left="3880" w:right="346"/>
        <w:rPr>
          <w:rFonts w:ascii="宋体" w:hAnsi="宋体" w:cs="宋体"/>
          <w:kern w:val="0"/>
          <w:szCs w:val="21"/>
          <w:lang w:val="zh-CN" w:bidi="zh-CN"/>
        </w:rPr>
      </w:pPr>
      <w:r>
        <w:rPr>
          <w:rFonts w:ascii="宋体" w:hAnsi="宋体" w:cs="宋体"/>
          <w:kern w:val="0"/>
          <w:szCs w:val="21"/>
          <w:lang w:val="zh-CN" w:bidi="zh-CN"/>
        </w:rPr>
        <w:t>法定代表人或其委托代理人</w:t>
      </w:r>
      <w:r>
        <w:rPr>
          <w:rFonts w:ascii="宋体" w:hAnsi="宋体" w:cs="宋体"/>
          <w:kern w:val="0"/>
          <w:szCs w:val="21"/>
          <w:u w:val="single"/>
          <w:lang w:val="zh-CN" w:bidi="zh-CN"/>
        </w:rPr>
        <w:t xml:space="preserve">：       </w:t>
      </w:r>
      <w:r>
        <w:rPr>
          <w:rFonts w:ascii="宋体" w:hAnsi="宋体" w:cs="宋体"/>
          <w:spacing w:val="19"/>
          <w:kern w:val="0"/>
          <w:szCs w:val="21"/>
          <w:u w:val="single"/>
          <w:lang w:val="zh-CN" w:bidi="zh-CN"/>
        </w:rPr>
        <w:t xml:space="preserve"> </w:t>
      </w:r>
      <w:r>
        <w:rPr>
          <w:rFonts w:ascii="宋体" w:hAnsi="宋体" w:cs="宋体"/>
          <w:kern w:val="0"/>
          <w:szCs w:val="21"/>
          <w:u w:val="single"/>
          <w:lang w:val="zh-CN" w:bidi="zh-CN"/>
        </w:rPr>
        <w:t>（</w:t>
      </w:r>
      <w:r>
        <w:rPr>
          <w:rFonts w:ascii="宋体" w:hAnsi="宋体" w:cs="宋体"/>
          <w:kern w:val="0"/>
          <w:szCs w:val="21"/>
          <w:lang w:val="zh-CN" w:bidi="zh-CN"/>
        </w:rPr>
        <w:t xml:space="preserve">签字） </w:t>
      </w:r>
    </w:p>
    <w:p w14:paraId="6BFC0898">
      <w:pPr>
        <w:tabs>
          <w:tab w:val="left" w:pos="7739"/>
          <w:tab w:val="left" w:pos="8843"/>
        </w:tabs>
        <w:autoSpaceDE w:val="0"/>
        <w:autoSpaceDN w:val="0"/>
        <w:spacing w:before="186" w:line="360" w:lineRule="auto"/>
        <w:ind w:left="3880" w:right="346"/>
        <w:rPr>
          <w:rFonts w:ascii="宋体" w:hAnsi="宋体" w:cs="宋体"/>
          <w:kern w:val="0"/>
          <w:szCs w:val="21"/>
          <w:lang w:val="zh-CN" w:bidi="zh-CN"/>
        </w:rPr>
      </w:pPr>
      <w:r>
        <w:rPr>
          <w:rFonts w:ascii="宋体" w:hAnsi="宋体" w:cs="宋体"/>
          <w:kern w:val="0"/>
          <w:szCs w:val="21"/>
          <w:lang w:val="zh-CN" w:bidi="zh-CN"/>
        </w:rPr>
        <w:t>地</w:t>
      </w:r>
      <w:r>
        <w:rPr>
          <w:rFonts w:ascii="宋体" w:hAnsi="宋体" w:cs="宋体"/>
          <w:spacing w:val="119"/>
          <w:kern w:val="0"/>
          <w:szCs w:val="21"/>
          <w:lang w:val="zh-CN" w:bidi="zh-CN"/>
        </w:rPr>
        <w:t xml:space="preserve"> </w:t>
      </w:r>
      <w:r>
        <w:rPr>
          <w:rFonts w:ascii="宋体" w:hAnsi="宋体" w:cs="宋体"/>
          <w:kern w:val="0"/>
          <w:szCs w:val="21"/>
          <w:lang w:val="zh-CN" w:bidi="zh-CN"/>
        </w:rPr>
        <w:t>址 ：</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u w:val="single"/>
          <w:lang w:val="zh-CN" w:bidi="zh-CN"/>
        </w:rPr>
        <w:tab/>
      </w:r>
    </w:p>
    <w:p w14:paraId="785522FA">
      <w:pPr>
        <w:tabs>
          <w:tab w:val="left" w:pos="4600"/>
          <w:tab w:val="left" w:pos="8843"/>
          <w:tab w:val="left" w:pos="8979"/>
        </w:tabs>
        <w:autoSpaceDE w:val="0"/>
        <w:autoSpaceDN w:val="0"/>
        <w:spacing w:before="1" w:line="360" w:lineRule="auto"/>
        <w:ind w:left="3880" w:right="545"/>
        <w:jc w:val="left"/>
        <w:rPr>
          <w:rFonts w:ascii="宋体" w:hAnsi="宋体" w:cs="宋体"/>
          <w:kern w:val="0"/>
          <w:szCs w:val="21"/>
          <w:lang w:val="zh-CN" w:bidi="zh-CN"/>
        </w:rPr>
      </w:pPr>
      <w:r>
        <w:rPr>
          <w:rFonts w:ascii="宋体" w:hAnsi="宋体" w:cs="宋体"/>
          <w:spacing w:val="-1"/>
          <w:kern w:val="0"/>
          <w:szCs w:val="21"/>
          <w:lang w:val="zh-CN" w:bidi="zh-CN"/>
        </w:rPr>
        <w:t>邮</w:t>
      </w:r>
      <w:r>
        <w:rPr>
          <w:rFonts w:ascii="宋体" w:hAnsi="宋体" w:cs="宋体"/>
          <w:kern w:val="0"/>
          <w:szCs w:val="21"/>
          <w:lang w:val="zh-CN" w:bidi="zh-CN"/>
        </w:rPr>
        <w:t>政编码：</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u w:val="single"/>
          <w:lang w:val="zh-CN" w:bidi="zh-CN"/>
        </w:rPr>
        <w:t xml:space="preserve"> </w:t>
      </w:r>
      <w:r>
        <w:rPr>
          <w:rFonts w:ascii="宋体" w:hAnsi="宋体" w:cs="宋体"/>
          <w:kern w:val="0"/>
          <w:szCs w:val="21"/>
          <w:lang w:val="zh-CN" w:bidi="zh-CN"/>
        </w:rPr>
        <w:t>电</w:t>
      </w:r>
      <w:r>
        <w:rPr>
          <w:rFonts w:ascii="宋体" w:hAnsi="宋体" w:cs="宋体"/>
          <w:kern w:val="0"/>
          <w:szCs w:val="21"/>
          <w:lang w:val="zh-CN" w:bidi="zh-CN"/>
        </w:rPr>
        <w:tab/>
      </w:r>
      <w:r>
        <w:rPr>
          <w:rFonts w:ascii="宋体" w:hAnsi="宋体" w:cs="宋体"/>
          <w:spacing w:val="-1"/>
          <w:kern w:val="0"/>
          <w:szCs w:val="21"/>
          <w:lang w:val="zh-CN" w:bidi="zh-CN"/>
        </w:rPr>
        <w:t>话</w:t>
      </w:r>
      <w:r>
        <w:rPr>
          <w:rFonts w:ascii="宋体" w:hAnsi="宋体" w:cs="宋体"/>
          <w:kern w:val="0"/>
          <w:szCs w:val="21"/>
          <w:lang w:val="zh-CN" w:bidi="zh-CN"/>
        </w:rPr>
        <w:t>：</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u w:val="single"/>
          <w:lang w:val="zh-CN" w:bidi="zh-CN"/>
        </w:rPr>
        <w:tab/>
      </w:r>
      <w:r>
        <w:rPr>
          <w:rFonts w:ascii="宋体" w:hAnsi="宋体" w:cs="宋体"/>
          <w:kern w:val="0"/>
          <w:szCs w:val="21"/>
          <w:u w:val="single"/>
          <w:lang w:val="zh-CN" w:bidi="zh-CN"/>
        </w:rPr>
        <w:t xml:space="preserve"> </w:t>
      </w:r>
      <w:r>
        <w:rPr>
          <w:rFonts w:ascii="宋体" w:hAnsi="宋体" w:cs="宋体"/>
          <w:kern w:val="0"/>
          <w:szCs w:val="21"/>
          <w:lang w:val="zh-CN" w:bidi="zh-CN"/>
        </w:rPr>
        <w:t>传</w:t>
      </w:r>
      <w:r>
        <w:rPr>
          <w:rFonts w:ascii="宋体" w:hAnsi="宋体" w:cs="宋体"/>
          <w:kern w:val="0"/>
          <w:szCs w:val="21"/>
          <w:lang w:val="zh-CN" w:bidi="zh-CN"/>
        </w:rPr>
        <w:tab/>
      </w:r>
      <w:r>
        <w:rPr>
          <w:rFonts w:ascii="宋体" w:hAnsi="宋体" w:cs="宋体"/>
          <w:spacing w:val="-1"/>
          <w:kern w:val="0"/>
          <w:szCs w:val="21"/>
          <w:lang w:val="zh-CN" w:bidi="zh-CN"/>
        </w:rPr>
        <w:t>真</w:t>
      </w:r>
      <w:r>
        <w:rPr>
          <w:rFonts w:ascii="宋体" w:hAnsi="宋体" w:cs="宋体"/>
          <w:kern w:val="0"/>
          <w:szCs w:val="21"/>
          <w:lang w:val="zh-CN" w:bidi="zh-CN"/>
        </w:rPr>
        <w:t>：</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u w:val="single"/>
          <w:lang w:val="zh-CN" w:bidi="zh-CN"/>
        </w:rPr>
        <w:tab/>
      </w:r>
    </w:p>
    <w:p w14:paraId="65FA0E7C">
      <w:pPr>
        <w:tabs>
          <w:tab w:val="left" w:pos="5499"/>
          <w:tab w:val="left" w:pos="6520"/>
          <w:tab w:val="left" w:pos="7480"/>
        </w:tabs>
        <w:autoSpaceDE w:val="0"/>
        <w:autoSpaceDN w:val="0"/>
        <w:spacing w:before="1" w:line="360" w:lineRule="auto"/>
        <w:ind w:left="4600" w:firstLine="420" w:firstLineChars="200"/>
        <w:jc w:val="left"/>
        <w:rPr>
          <w:rFonts w:ascii="宋体" w:hAnsi="宋体" w:cs="宋体"/>
          <w:kern w:val="0"/>
          <w:szCs w:val="21"/>
          <w:lang w:val="zh-CN" w:bidi="zh-CN"/>
        </w:rPr>
      </w:pP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spacing w:val="1"/>
          <w:kern w:val="0"/>
          <w:szCs w:val="21"/>
          <w:lang w:val="zh-CN" w:bidi="zh-CN"/>
        </w:rPr>
        <w:t xml:space="preserve"> </w:t>
      </w:r>
      <w:r>
        <w:rPr>
          <w:rFonts w:ascii="宋体" w:hAnsi="宋体" w:cs="宋体"/>
          <w:kern w:val="0"/>
          <w:szCs w:val="21"/>
          <w:lang w:val="zh-CN" w:bidi="zh-CN"/>
        </w:rPr>
        <w:t>年</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月</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日</w:t>
      </w:r>
    </w:p>
    <w:p w14:paraId="20B09F00">
      <w:pPr>
        <w:keepNext/>
        <w:keepLines/>
        <w:widowControl/>
        <w:spacing w:before="260" w:after="260" w:line="415" w:lineRule="auto"/>
        <w:jc w:val="left"/>
        <w:outlineLvl w:val="2"/>
        <w:rPr>
          <w:rFonts w:ascii="宋体" w:hAnsi="宋体" w:cs="宋体"/>
          <w:b/>
          <w:bCs/>
          <w:kern w:val="0"/>
          <w:szCs w:val="21"/>
          <w:lang w:val="zh-CN" w:bidi="zh-CN"/>
        </w:rPr>
      </w:pPr>
      <w:bookmarkStart w:id="162" w:name="_Toc256000086"/>
    </w:p>
    <w:p w14:paraId="7E48FEBC">
      <w:pPr>
        <w:rPr>
          <w:rFonts w:ascii="宋体" w:hAnsi="宋体" w:cs="宋体"/>
          <w:b/>
          <w:bCs/>
          <w:kern w:val="0"/>
          <w:szCs w:val="21"/>
          <w:lang w:val="zh-CN" w:bidi="zh-CN"/>
        </w:rPr>
      </w:pPr>
      <w:r>
        <w:rPr>
          <w:rFonts w:ascii="宋体" w:hAnsi="宋体" w:cs="宋体"/>
          <w:b/>
          <w:bCs/>
          <w:kern w:val="0"/>
          <w:szCs w:val="21"/>
          <w:lang w:val="zh-CN" w:bidi="zh-CN"/>
        </w:rPr>
        <w:br w:type="page"/>
      </w:r>
    </w:p>
    <w:p w14:paraId="762940A7">
      <w:pPr>
        <w:keepNext/>
        <w:keepLines/>
        <w:widowControl/>
        <w:spacing w:before="260" w:after="260" w:line="415" w:lineRule="auto"/>
        <w:jc w:val="left"/>
        <w:outlineLvl w:val="2"/>
        <w:rPr>
          <w:rFonts w:ascii="宋体" w:hAnsi="宋体" w:cs="宋体"/>
          <w:b/>
          <w:bCs/>
          <w:kern w:val="0"/>
          <w:szCs w:val="21"/>
          <w:lang w:val="zh-CN" w:bidi="zh-CN"/>
        </w:rPr>
      </w:pPr>
      <w:r>
        <w:rPr>
          <w:rFonts w:ascii="宋体" w:hAnsi="宋体" w:cs="宋体"/>
          <w:b/>
          <w:bCs/>
          <w:kern w:val="0"/>
          <w:szCs w:val="21"/>
          <w:lang w:val="zh-CN" w:bidi="zh-CN"/>
        </w:rPr>
        <w:t>附件八 工程资金监管协议格式</w:t>
      </w:r>
      <w:bookmarkEnd w:id="162"/>
    </w:p>
    <w:p w14:paraId="21F8D690">
      <w:pPr>
        <w:autoSpaceDE w:val="0"/>
        <w:autoSpaceDN w:val="0"/>
        <w:spacing w:before="71" w:line="360" w:lineRule="auto"/>
        <w:ind w:left="384" w:right="346" w:firstLine="420" w:firstLineChars="200"/>
        <w:jc w:val="left"/>
        <w:rPr>
          <w:rFonts w:ascii="宋体" w:hAnsi="宋体" w:cs="宋体"/>
          <w:kern w:val="0"/>
          <w:szCs w:val="21"/>
          <w:lang w:val="zh-CN" w:bidi="zh-CN"/>
        </w:rPr>
      </w:pPr>
      <w:r>
        <w:rPr>
          <w:rFonts w:ascii="宋体" w:hAnsi="宋体" w:cs="宋体"/>
          <w:kern w:val="0"/>
          <w:szCs w:val="21"/>
          <w:lang w:val="zh-CN" w:bidi="zh-CN"/>
        </w:rPr>
        <w:t>（发包人与承包人签订合同协议书时应与发包人指定的银行签署工程资金监管</w:t>
      </w:r>
      <w:r>
        <w:rPr>
          <w:rFonts w:ascii="宋体" w:hAnsi="宋体" w:cs="宋体"/>
          <w:spacing w:val="-10"/>
          <w:kern w:val="0"/>
          <w:szCs w:val="21"/>
          <w:lang w:val="zh-CN" w:bidi="zh-CN"/>
        </w:rPr>
        <w:t>协议，工程资金监管协议内容在保证本项目资金有效监管的前提下由三方共同商定</w:t>
      </w:r>
      <w:r>
        <w:rPr>
          <w:rFonts w:ascii="宋体" w:hAnsi="宋体" w:cs="宋体"/>
          <w:kern w:val="0"/>
          <w:szCs w:val="21"/>
          <w:lang w:val="zh-CN" w:bidi="zh-CN"/>
        </w:rPr>
        <w:t>）</w:t>
      </w:r>
    </w:p>
    <w:p w14:paraId="2EE1D811">
      <w:pPr>
        <w:autoSpaceDE w:val="0"/>
        <w:autoSpaceDN w:val="0"/>
        <w:spacing w:line="360" w:lineRule="auto"/>
        <w:ind w:left="705" w:right="556" w:firstLine="420" w:firstLineChars="200"/>
        <w:jc w:val="center"/>
        <w:rPr>
          <w:rFonts w:ascii="宋体" w:hAnsi="宋体" w:cs="宋体"/>
          <w:kern w:val="0"/>
          <w:szCs w:val="21"/>
          <w:lang w:val="zh-CN" w:bidi="zh-CN"/>
        </w:rPr>
      </w:pPr>
      <w:r>
        <w:rPr>
          <w:rFonts w:ascii="宋体" w:hAnsi="宋体" w:cs="宋体"/>
          <w:kern w:val="0"/>
          <w:szCs w:val="21"/>
          <w:lang w:val="zh-CN" w:bidi="zh-CN"/>
        </w:rPr>
        <w:t>工程资金监管协议</w:t>
      </w:r>
    </w:p>
    <w:p w14:paraId="0B8320DD">
      <w:pPr>
        <w:tabs>
          <w:tab w:val="left" w:pos="3463"/>
        </w:tabs>
        <w:autoSpaceDE w:val="0"/>
        <w:autoSpaceDN w:val="0"/>
        <w:spacing w:line="360" w:lineRule="auto"/>
        <w:ind w:left="583" w:right="3928" w:firstLine="420" w:firstLineChars="200"/>
        <w:rPr>
          <w:rFonts w:ascii="宋体" w:hAnsi="宋体" w:cs="宋体"/>
          <w:kern w:val="0"/>
          <w:szCs w:val="21"/>
          <w:lang w:val="zh-CN" w:bidi="zh-CN"/>
        </w:rPr>
      </w:pPr>
      <w:r>
        <w:rPr>
          <w:rFonts w:ascii="宋体" w:hAnsi="宋体" w:cs="宋体"/>
          <w:kern w:val="0"/>
          <w:szCs w:val="21"/>
          <w:lang w:val="zh-CN" w:bidi="zh-CN"/>
        </w:rPr>
        <w:t>发包人：</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（以下简称“甲方”） 承包人：</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（以下简称“乙方”） 经办银行：</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（以下简称“丙方”）</w:t>
      </w:r>
    </w:p>
    <w:p w14:paraId="6DE66459">
      <w:pPr>
        <w:tabs>
          <w:tab w:val="left" w:pos="2795"/>
          <w:tab w:val="left" w:pos="7739"/>
        </w:tabs>
        <w:autoSpaceDE w:val="0"/>
        <w:autoSpaceDN w:val="0"/>
        <w:spacing w:line="360" w:lineRule="auto"/>
        <w:ind w:left="384" w:right="346" w:firstLine="420" w:firstLineChars="200"/>
        <w:jc w:val="left"/>
        <w:rPr>
          <w:rFonts w:ascii="宋体" w:hAnsi="宋体" w:cs="宋体"/>
          <w:kern w:val="0"/>
          <w:szCs w:val="21"/>
          <w:lang w:val="zh-CN" w:bidi="zh-CN"/>
        </w:rPr>
      </w:pPr>
      <w:r>
        <w:rPr>
          <w:rFonts w:ascii="宋体" w:hAnsi="宋体" w:cs="宋体"/>
          <w:kern w:val="0"/>
          <w:szCs w:val="21"/>
          <w:lang w:val="zh-CN" w:bidi="zh-CN"/>
        </w:rPr>
        <w:t>为了促进</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（项目名称）的顺利实施，管好用好建设资金，确保工程资金专款专用</w:t>
      </w:r>
      <w:r>
        <w:rPr>
          <w:rFonts w:ascii="宋体" w:hAnsi="宋体" w:cs="宋体"/>
          <w:spacing w:val="-70"/>
          <w:kern w:val="0"/>
          <w:szCs w:val="21"/>
          <w:lang w:val="zh-CN" w:bidi="zh-CN"/>
        </w:rPr>
        <w:t>，</w:t>
      </w:r>
      <w:r>
        <w:rPr>
          <w:rFonts w:ascii="宋体" w:hAnsi="宋体" w:cs="宋体"/>
          <w:kern w:val="0"/>
          <w:szCs w:val="21"/>
          <w:lang w:val="zh-CN" w:bidi="zh-CN"/>
        </w:rPr>
        <w:t>同时为承包人提供便捷有效的银行业务服务</w:t>
      </w:r>
      <w:r>
        <w:rPr>
          <w:rFonts w:ascii="宋体" w:hAnsi="宋体" w:cs="宋体"/>
          <w:spacing w:val="-70"/>
          <w:kern w:val="0"/>
          <w:szCs w:val="21"/>
          <w:lang w:val="zh-CN" w:bidi="zh-CN"/>
        </w:rPr>
        <w:t>，</w:t>
      </w:r>
      <w:r>
        <w:rPr>
          <w:rFonts w:ascii="宋体" w:hAnsi="宋体" w:cs="宋体"/>
          <w:kern w:val="0"/>
          <w:szCs w:val="21"/>
          <w:lang w:val="zh-CN" w:bidi="zh-CN"/>
        </w:rPr>
        <w:t>根据</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u w:val="single"/>
          <w:lang w:val="zh-CN" w:bidi="zh-CN"/>
        </w:rPr>
        <w:t>（</w:t>
      </w:r>
      <w:r>
        <w:rPr>
          <w:rFonts w:ascii="宋体" w:hAnsi="宋体" w:cs="宋体"/>
          <w:kern w:val="0"/>
          <w:szCs w:val="21"/>
          <w:lang w:val="zh-CN" w:bidi="zh-CN"/>
        </w:rPr>
        <w:t>项目名称） 合同条款有关规定，经甲、乙、丙三方协商，达成协议如下：</w:t>
      </w:r>
    </w:p>
    <w:p w14:paraId="52E0DACC">
      <w:pPr>
        <w:numPr>
          <w:ilvl w:val="0"/>
          <w:numId w:val="13"/>
        </w:numPr>
        <w:tabs>
          <w:tab w:val="left" w:pos="1164"/>
        </w:tabs>
        <w:autoSpaceDE w:val="0"/>
        <w:autoSpaceDN w:val="0"/>
        <w:spacing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资金管理的内容</w:t>
      </w:r>
    </w:p>
    <w:p w14:paraId="2C4E4032">
      <w:pPr>
        <w:tabs>
          <w:tab w:val="left" w:pos="3568"/>
        </w:tabs>
        <w:autoSpaceDE w:val="0"/>
        <w:autoSpaceDN w:val="0"/>
        <w:spacing w:before="72" w:line="360" w:lineRule="auto"/>
        <w:ind w:left="384" w:right="466" w:firstLine="380" w:firstLineChars="200"/>
        <w:jc w:val="left"/>
        <w:rPr>
          <w:rFonts w:ascii="宋体" w:hAnsi="宋体" w:cs="宋体"/>
          <w:kern w:val="0"/>
          <w:szCs w:val="21"/>
          <w:lang w:val="zh-CN" w:bidi="zh-CN"/>
        </w:rPr>
      </w:pPr>
      <w:r>
        <w:rPr>
          <w:rFonts w:ascii="宋体" w:hAnsi="宋体" w:cs="宋体"/>
          <w:spacing w:val="-10"/>
          <w:kern w:val="0"/>
          <w:szCs w:val="21"/>
          <w:lang w:val="zh-CN" w:bidi="zh-CN"/>
        </w:rPr>
        <w:t>（1）</w:t>
      </w:r>
      <w:r>
        <w:rPr>
          <w:rFonts w:ascii="宋体" w:hAnsi="宋体" w:cs="宋体"/>
          <w:kern w:val="0"/>
          <w:szCs w:val="21"/>
          <w:lang w:val="zh-CN" w:bidi="zh-CN"/>
        </w:rPr>
        <w:t>乙方为完成</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（项目名称</w:t>
      </w:r>
      <w:r>
        <w:rPr>
          <w:rFonts w:ascii="宋体" w:hAnsi="宋体" w:cs="宋体"/>
          <w:spacing w:val="-29"/>
          <w:kern w:val="0"/>
          <w:szCs w:val="21"/>
          <w:lang w:val="zh-CN" w:bidi="zh-CN"/>
        </w:rPr>
        <w:t>）</w:t>
      </w:r>
      <w:r>
        <w:rPr>
          <w:rFonts w:ascii="宋体" w:hAnsi="宋体" w:cs="宋体"/>
          <w:kern w:val="0"/>
          <w:szCs w:val="21"/>
          <w:lang w:val="zh-CN" w:bidi="zh-CN"/>
        </w:rPr>
        <w:t>工程成立的项目经理部在丙方开设基本结算户；</w:t>
      </w:r>
    </w:p>
    <w:p w14:paraId="081780FC">
      <w:pPr>
        <w:tabs>
          <w:tab w:val="left" w:pos="3568"/>
        </w:tabs>
        <w:autoSpaceDE w:val="0"/>
        <w:autoSpaceDN w:val="0"/>
        <w:spacing w:before="72" w:line="360" w:lineRule="auto"/>
        <w:ind w:left="384" w:right="466" w:firstLine="380" w:firstLineChars="200"/>
        <w:jc w:val="left"/>
        <w:rPr>
          <w:rFonts w:ascii="宋体" w:hAnsi="宋体" w:cs="宋体"/>
          <w:spacing w:val="-10"/>
          <w:kern w:val="0"/>
          <w:szCs w:val="21"/>
          <w:lang w:val="zh-CN" w:bidi="zh-CN"/>
        </w:rPr>
      </w:pPr>
      <w:r>
        <w:rPr>
          <w:rFonts w:ascii="宋体" w:hAnsi="宋体" w:cs="宋体"/>
          <w:spacing w:val="-10"/>
          <w:kern w:val="0"/>
          <w:szCs w:val="21"/>
          <w:lang w:val="zh-CN" w:bidi="zh-CN"/>
        </w:rPr>
        <w:t>（2）甲方应按合同规定将工程款汇入乙方在丙方开设的账户；</w:t>
      </w:r>
    </w:p>
    <w:p w14:paraId="18543C67">
      <w:pPr>
        <w:tabs>
          <w:tab w:val="left" w:pos="3568"/>
        </w:tabs>
        <w:autoSpaceDE w:val="0"/>
        <w:autoSpaceDN w:val="0"/>
        <w:spacing w:before="72" w:line="360" w:lineRule="auto"/>
        <w:ind w:left="384" w:right="466" w:firstLine="380" w:firstLineChars="200"/>
        <w:jc w:val="left"/>
        <w:rPr>
          <w:rFonts w:ascii="宋体" w:hAnsi="宋体" w:cs="宋体"/>
          <w:spacing w:val="-10"/>
          <w:kern w:val="0"/>
          <w:szCs w:val="21"/>
          <w:lang w:val="zh-CN" w:bidi="zh-CN"/>
        </w:rPr>
      </w:pPr>
      <w:r>
        <w:rPr>
          <w:rFonts w:ascii="宋体" w:hAnsi="宋体" w:cs="宋体"/>
          <w:spacing w:val="-10"/>
          <w:kern w:val="0"/>
          <w:szCs w:val="21"/>
          <w:lang w:val="zh-CN" w:bidi="zh-CN"/>
        </w:rPr>
        <w:t xml:space="preserve">（3）乙方应将流动资金及甲方所拨付资金专项用于 </w:t>
      </w:r>
      <w:r>
        <w:rPr>
          <w:rFonts w:ascii="宋体" w:hAnsi="宋体" w:cs="宋体"/>
          <w:spacing w:val="-10"/>
          <w:kern w:val="0"/>
          <w:szCs w:val="21"/>
          <w:lang w:val="zh-CN" w:bidi="zh-CN"/>
        </w:rPr>
        <w:tab/>
      </w:r>
      <w:r>
        <w:rPr>
          <w:rFonts w:ascii="宋体" w:hAnsi="宋体" w:cs="宋体"/>
          <w:spacing w:val="-10"/>
          <w:kern w:val="0"/>
          <w:szCs w:val="21"/>
          <w:lang w:val="zh-CN" w:bidi="zh-CN"/>
        </w:rPr>
        <w:t>（项目名称）；</w:t>
      </w:r>
    </w:p>
    <w:p w14:paraId="1DAA8B48">
      <w:pPr>
        <w:autoSpaceDE w:val="0"/>
        <w:autoSpaceDN w:val="0"/>
        <w:spacing w:before="74" w:line="360" w:lineRule="auto"/>
        <w:ind w:left="384" w:right="386" w:firstLine="420" w:firstLineChars="200"/>
        <w:jc w:val="left"/>
        <w:rPr>
          <w:rFonts w:ascii="宋体" w:hAnsi="宋体" w:cs="宋体"/>
          <w:kern w:val="0"/>
          <w:szCs w:val="21"/>
          <w:lang w:val="zh-CN" w:bidi="zh-CN"/>
        </w:rPr>
      </w:pPr>
      <w:r>
        <w:rPr>
          <w:rFonts w:ascii="宋体" w:hAnsi="宋体" w:cs="宋体"/>
          <w:kern w:val="0"/>
          <w:szCs w:val="21"/>
          <w:lang w:val="zh-CN" w:bidi="zh-CN"/>
        </w:rPr>
        <w:t>（4）丙方应为乙方提供便捷有效的银行业务服务，并接受甲方委托对乙方在丙方开设的基本结算户资金使用情况进行监督。</w:t>
      </w:r>
    </w:p>
    <w:p w14:paraId="25F7161C">
      <w:pPr>
        <w:numPr>
          <w:ilvl w:val="0"/>
          <w:numId w:val="13"/>
        </w:numPr>
        <w:tabs>
          <w:tab w:val="left" w:pos="1164"/>
        </w:tabs>
        <w:autoSpaceDE w:val="0"/>
        <w:autoSpaceDN w:val="0"/>
        <w:spacing w:before="2"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甲方的权责</w:t>
      </w:r>
    </w:p>
    <w:p w14:paraId="54FE4D4F">
      <w:pPr>
        <w:tabs>
          <w:tab w:val="left" w:pos="2860"/>
        </w:tabs>
        <w:autoSpaceDE w:val="0"/>
        <w:autoSpaceDN w:val="0"/>
        <w:spacing w:before="74" w:line="360" w:lineRule="auto"/>
        <w:ind w:left="384" w:right="466" w:firstLine="388" w:firstLineChars="200"/>
        <w:jc w:val="left"/>
        <w:rPr>
          <w:rFonts w:ascii="宋体" w:hAnsi="宋体" w:cs="宋体"/>
          <w:kern w:val="0"/>
          <w:szCs w:val="21"/>
          <w:lang w:val="zh-CN" w:bidi="zh-CN"/>
        </w:rPr>
      </w:pPr>
      <w:r>
        <w:rPr>
          <w:rFonts w:ascii="宋体" w:hAnsi="宋体" w:cs="宋体"/>
          <w:spacing w:val="-8"/>
          <w:kern w:val="0"/>
          <w:szCs w:val="21"/>
          <w:lang w:val="zh-CN" w:bidi="zh-CN"/>
        </w:rPr>
        <w:t>（1）</w:t>
      </w:r>
      <w:r>
        <w:rPr>
          <w:rFonts w:ascii="宋体" w:hAnsi="宋体" w:cs="宋体"/>
          <w:kern w:val="0"/>
          <w:szCs w:val="21"/>
          <w:lang w:val="zh-CN" w:bidi="zh-CN"/>
        </w:rPr>
        <w:t>按照</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（项目名称</w:t>
      </w:r>
      <w:r>
        <w:rPr>
          <w:rFonts w:ascii="宋体" w:hAnsi="宋体" w:cs="宋体"/>
          <w:spacing w:val="-20"/>
          <w:kern w:val="0"/>
          <w:szCs w:val="21"/>
          <w:lang w:val="zh-CN" w:bidi="zh-CN"/>
        </w:rPr>
        <w:t>）</w:t>
      </w:r>
      <w:r>
        <w:rPr>
          <w:rFonts w:ascii="宋体" w:hAnsi="宋体" w:cs="宋体"/>
          <w:kern w:val="0"/>
          <w:szCs w:val="21"/>
          <w:lang w:val="zh-CN" w:bidi="zh-CN"/>
        </w:rPr>
        <w:t>合同有关条款规定的时间和方式</w:t>
      </w:r>
      <w:r>
        <w:rPr>
          <w:rFonts w:ascii="宋体" w:hAnsi="宋体" w:cs="宋体"/>
          <w:spacing w:val="-22"/>
          <w:kern w:val="0"/>
          <w:szCs w:val="21"/>
          <w:lang w:val="zh-CN" w:bidi="zh-CN"/>
        </w:rPr>
        <w:t>，</w:t>
      </w:r>
      <w:r>
        <w:rPr>
          <w:rFonts w:ascii="宋体" w:hAnsi="宋体" w:cs="宋体"/>
          <w:kern w:val="0"/>
          <w:szCs w:val="21"/>
          <w:lang w:val="zh-CN" w:bidi="zh-CN"/>
        </w:rPr>
        <w:t>向乙方支付工程款；</w:t>
      </w:r>
    </w:p>
    <w:p w14:paraId="33E081F7">
      <w:pPr>
        <w:autoSpaceDE w:val="0"/>
        <w:autoSpaceDN w:val="0"/>
        <w:spacing w:before="2" w:line="360" w:lineRule="auto"/>
        <w:ind w:left="384" w:right="386" w:firstLine="420" w:firstLineChars="200"/>
        <w:jc w:val="left"/>
        <w:rPr>
          <w:rFonts w:ascii="宋体" w:hAnsi="宋体" w:cs="宋体"/>
          <w:kern w:val="0"/>
          <w:szCs w:val="21"/>
          <w:lang w:val="zh-CN" w:bidi="zh-CN"/>
        </w:rPr>
      </w:pPr>
      <w:r>
        <w:rPr>
          <w:rFonts w:ascii="宋体" w:hAnsi="宋体" w:cs="宋体"/>
          <w:kern w:val="0"/>
          <w:szCs w:val="21"/>
          <w:lang w:val="zh-CN" w:bidi="zh-CN"/>
        </w:rPr>
        <w:t>（2）在发现乙方将本项目资金挪用、转移时，甲方有权中止工程支付，直至乙方改正为止；</w:t>
      </w:r>
    </w:p>
    <w:p w14:paraId="2F117FC2">
      <w:pPr>
        <w:autoSpaceDE w:val="0"/>
        <w:autoSpaceDN w:val="0"/>
        <w:spacing w:line="360" w:lineRule="auto"/>
        <w:ind w:left="384" w:right="386" w:firstLine="420" w:firstLineChars="200"/>
        <w:jc w:val="left"/>
        <w:rPr>
          <w:rFonts w:ascii="宋体" w:hAnsi="宋体" w:cs="宋体"/>
          <w:kern w:val="0"/>
          <w:szCs w:val="21"/>
          <w:lang w:val="zh-CN" w:bidi="zh-CN"/>
        </w:rPr>
      </w:pPr>
      <w:r>
        <w:rPr>
          <w:rFonts w:ascii="宋体" w:hAnsi="宋体" w:cs="宋体"/>
          <w:kern w:val="0"/>
          <w:szCs w:val="21"/>
          <w:lang w:val="zh-CN" w:bidi="zh-CN"/>
        </w:rPr>
        <w:t>（3）不定期审查丙方对乙方的资金使用监督情况，如丙方不能履行其责任，甲方有权随时终止本协议；</w:t>
      </w:r>
    </w:p>
    <w:p w14:paraId="7029A312">
      <w:pPr>
        <w:autoSpaceDE w:val="0"/>
        <w:autoSpaceDN w:val="0"/>
        <w:spacing w:line="360" w:lineRule="auto"/>
        <w:ind w:left="384" w:right="386" w:firstLine="420" w:firstLineChars="200"/>
        <w:jc w:val="left"/>
        <w:rPr>
          <w:rFonts w:ascii="宋体" w:hAnsi="宋体" w:cs="宋体"/>
          <w:kern w:val="0"/>
          <w:szCs w:val="21"/>
          <w:lang w:val="zh-CN" w:bidi="zh-CN"/>
        </w:rPr>
      </w:pPr>
      <w:r>
        <w:rPr>
          <w:rFonts w:ascii="宋体" w:hAnsi="宋体" w:cs="宋体"/>
          <w:kern w:val="0"/>
          <w:szCs w:val="21"/>
          <w:lang w:val="zh-CN" w:bidi="zh-CN"/>
        </w:rPr>
        <w:t>（4）在乙、丙双方发生争议时，甲方应负责协调、解决。</w:t>
      </w:r>
    </w:p>
    <w:p w14:paraId="054FDBA2">
      <w:pPr>
        <w:numPr>
          <w:ilvl w:val="0"/>
          <w:numId w:val="13"/>
        </w:numPr>
        <w:tabs>
          <w:tab w:val="left" w:pos="1164"/>
        </w:tabs>
        <w:autoSpaceDE w:val="0"/>
        <w:autoSpaceDN w:val="0"/>
        <w:spacing w:before="72"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乙方的权责</w:t>
      </w:r>
    </w:p>
    <w:p w14:paraId="09701CA5">
      <w:pPr>
        <w:autoSpaceDE w:val="0"/>
        <w:autoSpaceDN w:val="0"/>
        <w:spacing w:before="74" w:line="360" w:lineRule="auto"/>
        <w:ind w:left="384" w:right="386" w:firstLine="420" w:firstLineChars="200"/>
        <w:jc w:val="left"/>
        <w:rPr>
          <w:rFonts w:ascii="宋体" w:hAnsi="宋体" w:cs="宋体"/>
          <w:kern w:val="0"/>
          <w:szCs w:val="21"/>
          <w:lang w:val="zh-CN" w:bidi="zh-CN"/>
        </w:rPr>
      </w:pPr>
      <w:r>
        <w:rPr>
          <w:rFonts w:ascii="宋体" w:hAnsi="宋体" w:cs="宋体"/>
          <w:kern w:val="0"/>
          <w:szCs w:val="21"/>
          <w:lang w:val="zh-CN" w:bidi="zh-CN"/>
        </w:rPr>
        <w:t>（1）项目经理部成立以后，乙方应尽快在丙方开设基本结算户；</w:t>
      </w:r>
    </w:p>
    <w:p w14:paraId="39B81BA0">
      <w:pPr>
        <w:autoSpaceDE w:val="0"/>
        <w:autoSpaceDN w:val="0"/>
        <w:spacing w:before="74" w:line="360" w:lineRule="auto"/>
        <w:ind w:left="384" w:right="386" w:firstLine="420" w:firstLineChars="200"/>
        <w:jc w:val="left"/>
        <w:rPr>
          <w:rFonts w:ascii="宋体" w:hAnsi="宋体" w:cs="宋体"/>
          <w:kern w:val="0"/>
          <w:szCs w:val="21"/>
          <w:lang w:val="zh-CN" w:bidi="zh-CN"/>
        </w:rPr>
      </w:pPr>
      <w:r>
        <w:rPr>
          <w:rFonts w:ascii="宋体" w:hAnsi="宋体" w:cs="宋体"/>
          <w:kern w:val="0"/>
          <w:szCs w:val="21"/>
          <w:lang w:val="zh-CN" w:bidi="zh-CN"/>
        </w:rPr>
        <w:t>（2）确保本项目资金专款专用，不发生挪用、转移资金的现象；保证不通过权益转让、抵押、担保承担债务等任何其他方式使用基本结算户的资金；</w:t>
      </w:r>
    </w:p>
    <w:p w14:paraId="689F09F0">
      <w:pPr>
        <w:autoSpaceDE w:val="0"/>
        <w:autoSpaceDN w:val="0"/>
        <w:spacing w:before="2" w:line="360" w:lineRule="auto"/>
        <w:ind w:left="384" w:right="346" w:firstLine="388" w:firstLineChars="200"/>
        <w:rPr>
          <w:rFonts w:ascii="宋体" w:hAnsi="宋体" w:cs="宋体"/>
          <w:kern w:val="0"/>
          <w:szCs w:val="21"/>
          <w:lang w:val="zh-CN" w:bidi="zh-CN"/>
        </w:rPr>
      </w:pPr>
      <w:r>
        <w:rPr>
          <w:rFonts w:ascii="宋体" w:hAnsi="宋体" w:cs="宋体"/>
          <w:spacing w:val="-8"/>
          <w:kern w:val="0"/>
          <w:szCs w:val="21"/>
          <w:lang w:val="zh-CN" w:bidi="zh-CN"/>
        </w:rPr>
        <w:t>（3）</w:t>
      </w:r>
      <w:r>
        <w:rPr>
          <w:rFonts w:ascii="宋体" w:hAnsi="宋体" w:cs="宋体"/>
          <w:spacing w:val="-5"/>
          <w:kern w:val="0"/>
          <w:szCs w:val="21"/>
          <w:lang w:val="zh-CN" w:bidi="zh-CN"/>
        </w:rPr>
        <w:t>办理材料、设备等采购业务金额在</w:t>
      </w:r>
      <w:r>
        <w:rPr>
          <w:rFonts w:ascii="宋体" w:hAnsi="宋体" w:cs="宋体"/>
          <w:spacing w:val="1"/>
          <w:kern w:val="0"/>
          <w:szCs w:val="21"/>
          <w:u w:val="single"/>
          <w:lang w:val="zh-CN" w:bidi="zh-CN"/>
        </w:rPr>
        <w:t xml:space="preserve">  </w:t>
      </w:r>
      <w:r>
        <w:rPr>
          <w:rFonts w:ascii="宋体" w:hAnsi="宋体" w:cs="宋体"/>
          <w:spacing w:val="-6"/>
          <w:kern w:val="0"/>
          <w:szCs w:val="21"/>
          <w:lang w:val="zh-CN" w:bidi="zh-CN"/>
        </w:rPr>
        <w:t>万元以上的，应出示购货合同、协议和发票；在办理总额超过</w:t>
      </w:r>
      <w:r>
        <w:rPr>
          <w:rFonts w:ascii="宋体" w:hAnsi="宋体" w:cs="宋体"/>
          <w:spacing w:val="6"/>
          <w:kern w:val="0"/>
          <w:szCs w:val="21"/>
          <w:u w:val="single"/>
          <w:lang w:val="zh-CN" w:bidi="zh-CN"/>
        </w:rPr>
        <w:t xml:space="preserve">  </w:t>
      </w:r>
      <w:r>
        <w:rPr>
          <w:rFonts w:ascii="宋体" w:hAnsi="宋体" w:cs="宋体"/>
          <w:kern w:val="0"/>
          <w:szCs w:val="21"/>
          <w:lang w:val="zh-CN" w:bidi="zh-CN"/>
        </w:rPr>
        <w:t>万元以上的采购业务时，应将合同、协议和发票复印件</w:t>
      </w:r>
      <w:r>
        <w:rPr>
          <w:rFonts w:ascii="宋体" w:hAnsi="宋体" w:cs="宋体"/>
          <w:spacing w:val="-8"/>
          <w:kern w:val="0"/>
          <w:szCs w:val="21"/>
          <w:lang w:val="zh-CN" w:bidi="zh-CN"/>
        </w:rPr>
        <w:t>送丙方备案；购买应急材料、设备时可先办理支付手续，但事后必须补备有关资料；</w:t>
      </w:r>
    </w:p>
    <w:p w14:paraId="2539220D">
      <w:pPr>
        <w:autoSpaceDE w:val="0"/>
        <w:autoSpaceDN w:val="0"/>
        <w:spacing w:before="2" w:line="360" w:lineRule="auto"/>
        <w:ind w:left="384" w:right="346" w:firstLine="388" w:firstLineChars="200"/>
        <w:rPr>
          <w:rFonts w:ascii="宋体" w:hAnsi="宋体" w:cs="宋体"/>
          <w:spacing w:val="-8"/>
          <w:kern w:val="0"/>
          <w:szCs w:val="21"/>
          <w:lang w:val="zh-CN" w:bidi="zh-CN"/>
        </w:rPr>
      </w:pPr>
      <w:r>
        <w:rPr>
          <w:rFonts w:ascii="宋体" w:hAnsi="宋体" w:cs="宋体"/>
          <w:spacing w:val="-8"/>
          <w:kern w:val="0"/>
          <w:szCs w:val="21"/>
          <w:lang w:val="zh-CN" w:bidi="zh-CN"/>
        </w:rPr>
        <w:t>（4）用银行转账支票办理支付款项时，必须将转账支票送交丙方，由丙方负责办理支票转付手续；</w:t>
      </w:r>
    </w:p>
    <w:p w14:paraId="40B24180">
      <w:pPr>
        <w:autoSpaceDE w:val="0"/>
        <w:autoSpaceDN w:val="0"/>
        <w:spacing w:before="2" w:line="360" w:lineRule="auto"/>
        <w:ind w:left="384" w:right="346" w:firstLine="388" w:firstLineChars="200"/>
        <w:rPr>
          <w:rFonts w:ascii="宋体" w:hAnsi="宋体" w:cs="宋体"/>
          <w:spacing w:val="-8"/>
          <w:kern w:val="0"/>
          <w:szCs w:val="21"/>
          <w:lang w:val="zh-CN" w:bidi="zh-CN"/>
        </w:rPr>
      </w:pPr>
      <w:r>
        <w:rPr>
          <w:rFonts w:ascii="宋体" w:hAnsi="宋体" w:cs="宋体"/>
          <w:spacing w:val="-8"/>
          <w:kern w:val="0"/>
          <w:szCs w:val="21"/>
          <w:lang w:val="zh-CN" w:bidi="zh-CN"/>
        </w:rPr>
        <w:t>（5）向分包单位支付工程进度款时，应附甲方批准分包的文件；</w:t>
      </w:r>
    </w:p>
    <w:p w14:paraId="56B30902">
      <w:pPr>
        <w:autoSpaceDE w:val="0"/>
        <w:autoSpaceDN w:val="0"/>
        <w:spacing w:before="2" w:line="360" w:lineRule="auto"/>
        <w:ind w:left="384" w:right="346" w:firstLine="388" w:firstLineChars="200"/>
        <w:rPr>
          <w:rFonts w:ascii="宋体" w:hAnsi="宋体" w:cs="宋体"/>
          <w:spacing w:val="-8"/>
          <w:kern w:val="0"/>
          <w:szCs w:val="21"/>
          <w:lang w:val="zh-CN" w:bidi="zh-CN"/>
        </w:rPr>
      </w:pPr>
      <w:r>
        <w:rPr>
          <w:rFonts w:ascii="宋体" w:hAnsi="宋体" w:cs="宋体"/>
          <w:spacing w:val="-8"/>
          <w:kern w:val="0"/>
          <w:szCs w:val="21"/>
          <w:lang w:val="zh-CN" w:bidi="zh-CN"/>
        </w:rPr>
        <w:t>（6）向上级单位缴纳管理费、机械设备及周转材料租赁摊销费等款项时，应附上级单位出具的转账通知等有关资料，以确保资金专款专用。</w:t>
      </w:r>
    </w:p>
    <w:p w14:paraId="29CD6E4F">
      <w:pPr>
        <w:numPr>
          <w:ilvl w:val="0"/>
          <w:numId w:val="13"/>
        </w:numPr>
        <w:tabs>
          <w:tab w:val="left" w:pos="1164"/>
        </w:tabs>
        <w:autoSpaceDE w:val="0"/>
        <w:autoSpaceDN w:val="0"/>
        <w:spacing w:before="2"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丙方的权责</w:t>
      </w:r>
    </w:p>
    <w:p w14:paraId="465B5FCB">
      <w:pPr>
        <w:tabs>
          <w:tab w:val="left" w:pos="2870"/>
        </w:tabs>
        <w:autoSpaceDE w:val="0"/>
        <w:autoSpaceDN w:val="0"/>
        <w:spacing w:before="74" w:line="360" w:lineRule="auto"/>
        <w:ind w:left="384" w:right="466" w:firstLine="396" w:firstLineChars="200"/>
        <w:jc w:val="left"/>
        <w:rPr>
          <w:rFonts w:ascii="宋体" w:hAnsi="宋体" w:cs="宋体"/>
          <w:kern w:val="0"/>
          <w:szCs w:val="21"/>
          <w:lang w:val="zh-CN" w:bidi="zh-CN"/>
        </w:rPr>
      </w:pPr>
      <w:r>
        <w:rPr>
          <w:rFonts w:ascii="宋体" w:hAnsi="宋体" w:cs="宋体"/>
          <w:spacing w:val="-6"/>
          <w:kern w:val="0"/>
          <w:szCs w:val="21"/>
          <w:lang w:val="zh-CN" w:bidi="zh-CN"/>
        </w:rPr>
        <w:t>（1）</w:t>
      </w:r>
      <w:r>
        <w:rPr>
          <w:rFonts w:ascii="宋体" w:hAnsi="宋体" w:cs="宋体"/>
          <w:kern w:val="0"/>
          <w:szCs w:val="21"/>
          <w:lang w:val="zh-CN" w:bidi="zh-CN"/>
        </w:rPr>
        <w:t>成立</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（项目名称</w:t>
      </w:r>
      <w:r>
        <w:rPr>
          <w:rFonts w:ascii="宋体" w:hAnsi="宋体" w:cs="宋体"/>
          <w:spacing w:val="-17"/>
          <w:kern w:val="0"/>
          <w:szCs w:val="21"/>
          <w:lang w:val="zh-CN" w:bidi="zh-CN"/>
        </w:rPr>
        <w:t>）</w:t>
      </w:r>
      <w:r>
        <w:rPr>
          <w:rFonts w:ascii="宋体" w:hAnsi="宋体" w:cs="宋体"/>
          <w:kern w:val="0"/>
          <w:szCs w:val="21"/>
          <w:lang w:val="zh-CN" w:bidi="zh-CN"/>
        </w:rPr>
        <w:t>工程资金管理服务小组</w:t>
      </w:r>
      <w:r>
        <w:rPr>
          <w:rFonts w:ascii="宋体" w:hAnsi="宋体" w:cs="宋体"/>
          <w:spacing w:val="-17"/>
          <w:kern w:val="0"/>
          <w:szCs w:val="21"/>
          <w:lang w:val="zh-CN" w:bidi="zh-CN"/>
        </w:rPr>
        <w:t>，</w:t>
      </w:r>
      <w:r>
        <w:rPr>
          <w:rFonts w:ascii="宋体" w:hAnsi="宋体" w:cs="宋体"/>
          <w:kern w:val="0"/>
          <w:szCs w:val="21"/>
          <w:lang w:val="zh-CN" w:bidi="zh-CN"/>
        </w:rPr>
        <w:t>明确业务流程</w:t>
      </w:r>
      <w:r>
        <w:rPr>
          <w:rFonts w:ascii="宋体" w:hAnsi="宋体" w:cs="宋体"/>
          <w:spacing w:val="-17"/>
          <w:kern w:val="0"/>
          <w:szCs w:val="21"/>
          <w:lang w:val="zh-CN" w:bidi="zh-CN"/>
        </w:rPr>
        <w:t>，</w:t>
      </w:r>
      <w:r>
        <w:rPr>
          <w:rFonts w:ascii="宋体" w:hAnsi="宋体" w:cs="宋体"/>
          <w:kern w:val="0"/>
          <w:szCs w:val="21"/>
          <w:lang w:val="zh-CN" w:bidi="zh-CN"/>
        </w:rPr>
        <w:t>提高工作效率，杜绝“压票”现象；</w:t>
      </w:r>
    </w:p>
    <w:p w14:paraId="0EA6224B">
      <w:pPr>
        <w:autoSpaceDE w:val="0"/>
        <w:autoSpaceDN w:val="0"/>
        <w:spacing w:before="2" w:line="360" w:lineRule="auto"/>
        <w:ind w:left="384" w:right="462" w:firstLine="420" w:firstLineChars="200"/>
        <w:jc w:val="left"/>
        <w:rPr>
          <w:rFonts w:ascii="宋体" w:hAnsi="宋体" w:cs="宋体"/>
          <w:kern w:val="0"/>
          <w:szCs w:val="21"/>
          <w:lang w:val="zh-CN" w:bidi="zh-CN"/>
        </w:rPr>
      </w:pPr>
      <w:r>
        <w:rPr>
          <w:rFonts w:ascii="宋体" w:hAnsi="宋体" w:cs="宋体"/>
          <w:kern w:val="0"/>
          <w:szCs w:val="21"/>
          <w:lang w:val="zh-CN" w:bidi="zh-CN"/>
        </w:rPr>
        <w:t>（2</w:t>
      </w:r>
      <w:r>
        <w:rPr>
          <w:rFonts w:ascii="宋体" w:hAnsi="宋体" w:cs="宋体"/>
          <w:spacing w:val="-108"/>
          <w:kern w:val="0"/>
          <w:szCs w:val="21"/>
          <w:lang w:val="zh-CN" w:bidi="zh-CN"/>
        </w:rPr>
        <w:t>）</w:t>
      </w:r>
      <w:r>
        <w:rPr>
          <w:rFonts w:ascii="宋体" w:hAnsi="宋体" w:cs="宋体"/>
          <w:spacing w:val="-31"/>
          <w:kern w:val="0"/>
          <w:szCs w:val="21"/>
          <w:lang w:val="zh-CN" w:bidi="zh-CN"/>
        </w:rPr>
        <w:t>根据乙方提供的购货合同、协议和发票，检查其所购材料、设备是否用于</w:t>
      </w:r>
      <w:r>
        <w:rPr>
          <w:rFonts w:ascii="宋体" w:hAnsi="宋体" w:cs="宋体"/>
          <w:spacing w:val="-2"/>
          <w:kern w:val="0"/>
          <w:szCs w:val="21"/>
          <w:u w:val="single"/>
          <w:lang w:val="zh-CN" w:bidi="zh-CN"/>
        </w:rPr>
        <w:t xml:space="preserve">    </w:t>
      </w:r>
      <w:r>
        <w:rPr>
          <w:rFonts w:ascii="宋体" w:hAnsi="宋体" w:cs="宋体"/>
          <w:kern w:val="0"/>
          <w:szCs w:val="21"/>
          <w:u w:val="single"/>
          <w:lang w:val="zh-CN" w:bidi="zh-CN"/>
        </w:rPr>
        <w:t>（</w:t>
      </w:r>
      <w:r>
        <w:rPr>
          <w:rFonts w:ascii="宋体" w:hAnsi="宋体" w:cs="宋体"/>
          <w:kern w:val="0"/>
          <w:szCs w:val="21"/>
          <w:lang w:val="zh-CN" w:bidi="zh-CN"/>
        </w:rPr>
        <w:t>项目名称）工程建设，对本标段以外的购货款项，有权拒绝办理，并及时报告甲方；</w:t>
      </w:r>
    </w:p>
    <w:p w14:paraId="43FDEE55">
      <w:pPr>
        <w:autoSpaceDE w:val="0"/>
        <w:autoSpaceDN w:val="0"/>
        <w:spacing w:line="360" w:lineRule="auto"/>
        <w:ind w:left="384" w:right="386" w:firstLine="420" w:firstLineChars="200"/>
        <w:jc w:val="left"/>
        <w:rPr>
          <w:rFonts w:ascii="宋体" w:hAnsi="宋体" w:cs="宋体"/>
          <w:kern w:val="0"/>
          <w:szCs w:val="21"/>
          <w:lang w:val="zh-CN" w:bidi="zh-CN"/>
        </w:rPr>
      </w:pPr>
      <w:r>
        <w:rPr>
          <w:rFonts w:ascii="宋体" w:hAnsi="宋体" w:cs="宋体"/>
          <w:kern w:val="0"/>
          <w:szCs w:val="21"/>
          <w:lang w:val="zh-CN" w:bidi="zh-CN"/>
        </w:rPr>
        <w:t>（3）根据乙方与分包单位签订的合同及支付文件，检查其支付款项是否符合有关条件，向分包单位以外单位的支付有权拒绝办理，并及时报告甲方；</w:t>
      </w:r>
    </w:p>
    <w:p w14:paraId="01751D4D">
      <w:pPr>
        <w:autoSpaceDE w:val="0"/>
        <w:autoSpaceDN w:val="0"/>
        <w:spacing w:before="2" w:line="360" w:lineRule="auto"/>
        <w:ind w:left="384" w:right="346" w:firstLine="380" w:firstLineChars="200"/>
        <w:jc w:val="left"/>
        <w:rPr>
          <w:rFonts w:ascii="宋体" w:hAnsi="宋体" w:cs="宋体"/>
          <w:kern w:val="0"/>
          <w:szCs w:val="21"/>
          <w:lang w:val="zh-CN" w:bidi="zh-CN"/>
        </w:rPr>
      </w:pPr>
      <w:r>
        <w:rPr>
          <w:rFonts w:ascii="宋体" w:hAnsi="宋体" w:cs="宋体"/>
          <w:spacing w:val="-10"/>
          <w:kern w:val="0"/>
          <w:szCs w:val="21"/>
          <w:lang w:val="zh-CN" w:bidi="zh-CN"/>
        </w:rPr>
        <w:t>（4）</w:t>
      </w:r>
      <w:r>
        <w:rPr>
          <w:rFonts w:ascii="宋体" w:hAnsi="宋体" w:cs="宋体"/>
          <w:spacing w:val="-3"/>
          <w:kern w:val="0"/>
          <w:szCs w:val="21"/>
          <w:lang w:val="zh-CN" w:bidi="zh-CN"/>
        </w:rPr>
        <w:t>根据乙方提供的上级单位出具的转账通知等有关资料，办理管理费、机械</w:t>
      </w:r>
      <w:r>
        <w:rPr>
          <w:rFonts w:ascii="宋体" w:hAnsi="宋体" w:cs="宋体"/>
          <w:spacing w:val="-8"/>
          <w:kern w:val="0"/>
          <w:szCs w:val="21"/>
          <w:lang w:val="zh-CN" w:bidi="zh-CN"/>
        </w:rPr>
        <w:t>设备及周转材料租赁摊销费等款项的支付；对超出转账通知等有关资料以外的支付， 有权拒绝办理，并及时报告甲方；</w:t>
      </w:r>
    </w:p>
    <w:p w14:paraId="373FD580">
      <w:pPr>
        <w:autoSpaceDE w:val="0"/>
        <w:autoSpaceDN w:val="0"/>
        <w:spacing w:before="5" w:line="360" w:lineRule="auto"/>
        <w:ind w:left="384" w:right="386" w:firstLine="420" w:firstLineChars="200"/>
        <w:jc w:val="left"/>
        <w:rPr>
          <w:rFonts w:ascii="宋体" w:hAnsi="宋体" w:cs="宋体"/>
          <w:kern w:val="0"/>
          <w:szCs w:val="21"/>
          <w:lang w:val="zh-CN" w:bidi="zh-CN"/>
        </w:rPr>
      </w:pPr>
      <w:r>
        <w:rPr>
          <w:rFonts w:ascii="宋体" w:hAnsi="宋体" w:cs="宋体"/>
          <w:kern w:val="0"/>
          <w:szCs w:val="21"/>
          <w:lang w:val="zh-CN" w:bidi="zh-CN"/>
        </w:rPr>
        <w:t>（5）定期将乙方前一个周期的支付情况，整理后书面报送甲方；乙方复印备案的材料一并送甲方。</w:t>
      </w:r>
    </w:p>
    <w:p w14:paraId="4AE69852">
      <w:pPr>
        <w:numPr>
          <w:ilvl w:val="0"/>
          <w:numId w:val="13"/>
        </w:numPr>
        <w:tabs>
          <w:tab w:val="left" w:pos="1164"/>
        </w:tabs>
        <w:autoSpaceDE w:val="0"/>
        <w:autoSpaceDN w:val="0"/>
        <w:spacing w:before="2" w:line="360" w:lineRule="auto"/>
        <w:ind w:right="466" w:firstLine="400" w:firstLineChars="200"/>
        <w:jc w:val="left"/>
        <w:rPr>
          <w:rFonts w:ascii="宋体" w:hAnsi="宋体" w:cs="宋体"/>
          <w:kern w:val="0"/>
          <w:szCs w:val="21"/>
          <w:lang w:val="zh-CN" w:bidi="zh-CN"/>
        </w:rPr>
      </w:pPr>
      <w:r>
        <w:rPr>
          <w:rFonts w:ascii="宋体" w:hAnsi="宋体" w:cs="宋体"/>
          <w:spacing w:val="-5"/>
          <w:kern w:val="0"/>
          <w:szCs w:val="21"/>
          <w:lang w:val="zh-CN" w:bidi="zh-CN"/>
        </w:rPr>
        <w:t>甲、乙、丙三方都应履行保密责任，不得将其他两方的业务情况透露给三方以外的其他单位或个人。</w:t>
      </w:r>
    </w:p>
    <w:p w14:paraId="338E924B">
      <w:pPr>
        <w:numPr>
          <w:ilvl w:val="0"/>
          <w:numId w:val="13"/>
        </w:numPr>
        <w:tabs>
          <w:tab w:val="left" w:pos="1164"/>
        </w:tabs>
        <w:autoSpaceDE w:val="0"/>
        <w:autoSpaceDN w:val="0"/>
        <w:spacing w:line="360" w:lineRule="auto"/>
        <w:ind w:right="466" w:firstLine="412" w:firstLineChars="200"/>
        <w:jc w:val="left"/>
        <w:rPr>
          <w:rFonts w:ascii="宋体" w:hAnsi="宋体" w:cs="宋体"/>
          <w:kern w:val="0"/>
          <w:szCs w:val="21"/>
          <w:lang w:val="zh-CN" w:bidi="zh-CN"/>
        </w:rPr>
      </w:pPr>
      <w:r>
        <w:rPr>
          <w:rFonts w:ascii="宋体" w:hAnsi="宋体" w:cs="宋体"/>
          <w:spacing w:val="-2"/>
          <w:kern w:val="0"/>
          <w:szCs w:val="21"/>
          <w:lang w:val="zh-CN" w:bidi="zh-CN"/>
        </w:rPr>
        <w:t>本协议有效期自乙方在丙方开户起，至工程交工验收甲方向乙方颁发交工验收证书后结束。</w:t>
      </w:r>
    </w:p>
    <w:p w14:paraId="663F2862">
      <w:pPr>
        <w:numPr>
          <w:ilvl w:val="0"/>
          <w:numId w:val="13"/>
        </w:numPr>
        <w:tabs>
          <w:tab w:val="left" w:pos="1164"/>
        </w:tabs>
        <w:autoSpaceDE w:val="0"/>
        <w:autoSpaceDN w:val="0"/>
        <w:spacing w:before="3" w:line="360" w:lineRule="auto"/>
        <w:ind w:firstLine="420" w:firstLineChars="200"/>
        <w:jc w:val="left"/>
        <w:rPr>
          <w:rFonts w:ascii="宋体" w:hAnsi="宋体" w:cs="宋体"/>
          <w:kern w:val="0"/>
          <w:szCs w:val="21"/>
          <w:lang w:val="zh-CN" w:bidi="zh-CN"/>
        </w:rPr>
      </w:pPr>
      <w:r>
        <w:rPr>
          <w:rFonts w:ascii="宋体" w:hAnsi="宋体" w:cs="宋体"/>
          <w:kern w:val="0"/>
          <w:szCs w:val="21"/>
          <w:lang w:val="zh-CN" w:bidi="zh-CN"/>
        </w:rPr>
        <w:t>本协议未尽事宜，由甲方牵头，三方协商解决。</w:t>
      </w:r>
    </w:p>
    <w:p w14:paraId="0F5D6380">
      <w:pPr>
        <w:numPr>
          <w:ilvl w:val="0"/>
          <w:numId w:val="13"/>
        </w:numPr>
        <w:tabs>
          <w:tab w:val="left" w:pos="1164"/>
        </w:tabs>
        <w:autoSpaceDE w:val="0"/>
        <w:autoSpaceDN w:val="0"/>
        <w:spacing w:before="72" w:line="360" w:lineRule="auto"/>
        <w:ind w:right="466" w:firstLine="416" w:firstLineChars="200"/>
        <w:jc w:val="left"/>
        <w:rPr>
          <w:rFonts w:ascii="宋体" w:hAnsi="宋体" w:cs="宋体"/>
          <w:kern w:val="0"/>
          <w:szCs w:val="21"/>
          <w:lang w:val="zh-CN" w:bidi="zh-CN"/>
        </w:rPr>
      </w:pPr>
      <w:r>
        <w:rPr>
          <w:rFonts w:ascii="宋体" w:hAnsi="宋体" w:cs="宋体"/>
          <w:spacing w:val="-1"/>
          <w:kern w:val="0"/>
          <w:szCs w:val="21"/>
          <w:lang w:val="zh-CN" w:bidi="zh-CN"/>
        </w:rPr>
        <w:t>本协议正本三份、副本</w:t>
      </w:r>
      <w:r>
        <w:rPr>
          <w:rFonts w:ascii="宋体" w:hAnsi="宋体" w:cs="宋体"/>
          <w:spacing w:val="3"/>
          <w:kern w:val="0"/>
          <w:szCs w:val="21"/>
          <w:lang w:val="zh-CN" w:bidi="zh-CN"/>
        </w:rPr>
        <w:t>份。合同三方各执正本一份、副本</w:t>
      </w:r>
      <w:r>
        <w:rPr>
          <w:rFonts w:ascii="宋体" w:hAnsi="宋体" w:cs="宋体"/>
          <w:spacing w:val="14"/>
          <w:kern w:val="0"/>
          <w:szCs w:val="21"/>
          <w:lang w:val="zh-CN" w:bidi="zh-CN"/>
        </w:rPr>
        <w:t xml:space="preserve"> 份，当正本与副本内容不一致时，以正本为准。</w:t>
      </w:r>
    </w:p>
    <w:p w14:paraId="58A7D1C1">
      <w:pPr>
        <w:tabs>
          <w:tab w:val="left" w:pos="4663"/>
          <w:tab w:val="left" w:pos="5143"/>
        </w:tabs>
        <w:autoSpaceDE w:val="0"/>
        <w:autoSpaceDN w:val="0"/>
        <w:spacing w:line="360" w:lineRule="auto"/>
        <w:ind w:left="2054" w:leftChars="478" w:right="3421" w:hanging="1050" w:hangingChars="500"/>
        <w:jc w:val="left"/>
        <w:rPr>
          <w:rFonts w:ascii="宋体" w:hAnsi="宋体" w:cs="宋体"/>
          <w:kern w:val="0"/>
          <w:szCs w:val="21"/>
          <w:lang w:val="zh-CN" w:bidi="zh-CN"/>
        </w:rPr>
      </w:pPr>
      <w:r>
        <w:rPr>
          <w:rFonts w:ascii="宋体" w:hAnsi="宋体" w:cs="宋体"/>
          <w:kern w:val="0"/>
          <w:szCs w:val="21"/>
          <w:lang w:val="zh-CN" w:bidi="zh-CN"/>
        </w:rPr>
        <w:t>发包人：</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hint="eastAsia" w:ascii="宋体" w:hAnsi="宋体" w:cs="宋体"/>
          <w:kern w:val="0"/>
          <w:szCs w:val="21"/>
          <w:u w:val="single"/>
          <w:lang w:val="zh-CN" w:bidi="zh-CN"/>
        </w:rPr>
        <w:t xml:space="preserve">            </w:t>
      </w:r>
      <w:r>
        <w:rPr>
          <w:rFonts w:ascii="宋体" w:hAnsi="宋体" w:cs="宋体"/>
          <w:kern w:val="0"/>
          <w:szCs w:val="21"/>
          <w:lang w:val="zh-CN" w:bidi="zh-CN"/>
        </w:rPr>
        <w:t xml:space="preserve">（盖单位章） </w:t>
      </w:r>
    </w:p>
    <w:p w14:paraId="2D487801">
      <w:pPr>
        <w:tabs>
          <w:tab w:val="left" w:pos="4663"/>
          <w:tab w:val="left" w:pos="5143"/>
          <w:tab w:val="left" w:pos="5460"/>
        </w:tabs>
        <w:autoSpaceDE w:val="0"/>
        <w:autoSpaceDN w:val="0"/>
        <w:spacing w:line="360" w:lineRule="auto"/>
        <w:ind w:right="2726" w:rightChars="0" w:firstLine="1029" w:firstLineChars="490"/>
        <w:jc w:val="left"/>
        <w:rPr>
          <w:rFonts w:ascii="宋体" w:hAnsi="宋体" w:cs="宋体"/>
          <w:kern w:val="0"/>
          <w:szCs w:val="21"/>
          <w:lang w:val="zh-CN" w:bidi="zh-CN"/>
        </w:rPr>
      </w:pPr>
      <w:r>
        <w:rPr>
          <w:rFonts w:ascii="宋体" w:hAnsi="宋体" w:cs="宋体"/>
          <w:kern w:val="0"/>
          <w:szCs w:val="21"/>
          <w:lang w:val="zh-CN" w:bidi="zh-CN"/>
        </w:rPr>
        <w:t>法定代表人或其委托代理人：</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u w:val="single"/>
          <w:lang w:val="zh-CN" w:bidi="zh-CN"/>
        </w:rPr>
        <w:tab/>
      </w:r>
      <w:r>
        <w:rPr>
          <w:rFonts w:ascii="宋体" w:hAnsi="宋体" w:cs="宋体"/>
          <w:kern w:val="0"/>
          <w:szCs w:val="21"/>
          <w:lang w:val="zh-CN" w:bidi="zh-CN"/>
        </w:rPr>
        <w:t>（签字）</w:t>
      </w:r>
    </w:p>
    <w:p w14:paraId="7C3F222A">
      <w:pPr>
        <w:tabs>
          <w:tab w:val="left" w:pos="3623"/>
          <w:tab w:val="left" w:pos="4703"/>
          <w:tab w:val="left" w:pos="5603"/>
        </w:tabs>
        <w:autoSpaceDE w:val="0"/>
        <w:autoSpaceDN w:val="0"/>
        <w:spacing w:before="3" w:line="360" w:lineRule="auto"/>
        <w:ind w:left="2543" w:firstLine="420" w:firstLineChars="200"/>
        <w:jc w:val="left"/>
        <w:rPr>
          <w:rFonts w:ascii="宋体" w:hAnsi="宋体" w:cs="宋体"/>
          <w:kern w:val="0"/>
          <w:szCs w:val="21"/>
          <w:lang w:val="zh-CN" w:bidi="zh-CN"/>
        </w:rPr>
      </w:pP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年</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月</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日</w:t>
      </w:r>
    </w:p>
    <w:p w14:paraId="322F30EF">
      <w:pPr>
        <w:tabs>
          <w:tab w:val="left" w:pos="4663"/>
          <w:tab w:val="left" w:pos="5143"/>
        </w:tabs>
        <w:autoSpaceDE w:val="0"/>
        <w:autoSpaceDN w:val="0"/>
        <w:spacing w:line="360" w:lineRule="auto"/>
        <w:ind w:left="2894" w:leftChars="478" w:right="3421" w:hanging="1890" w:hangingChars="900"/>
        <w:jc w:val="left"/>
        <w:rPr>
          <w:rFonts w:ascii="宋体" w:hAnsi="宋体" w:cs="宋体"/>
          <w:kern w:val="0"/>
          <w:szCs w:val="21"/>
          <w:lang w:val="zh-CN" w:bidi="zh-CN"/>
        </w:rPr>
      </w:pPr>
    </w:p>
    <w:p w14:paraId="2DCA1FCB">
      <w:pPr>
        <w:tabs>
          <w:tab w:val="left" w:pos="4663"/>
          <w:tab w:val="left" w:pos="5143"/>
        </w:tabs>
        <w:autoSpaceDE w:val="0"/>
        <w:autoSpaceDN w:val="0"/>
        <w:spacing w:line="360" w:lineRule="auto"/>
        <w:ind w:left="2894" w:leftChars="478" w:right="3421" w:hanging="1890" w:hangingChars="900"/>
        <w:jc w:val="left"/>
        <w:rPr>
          <w:rFonts w:ascii="宋体" w:hAnsi="宋体" w:cs="宋体"/>
          <w:kern w:val="0"/>
          <w:szCs w:val="21"/>
          <w:lang w:val="zh-CN" w:bidi="zh-CN"/>
        </w:rPr>
      </w:pPr>
      <w:r>
        <w:rPr>
          <w:rFonts w:ascii="宋体" w:hAnsi="宋体" w:cs="宋体"/>
          <w:kern w:val="0"/>
          <w:szCs w:val="21"/>
          <w:lang w:val="zh-CN" w:bidi="zh-CN"/>
        </w:rPr>
        <w:t>承包人：</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 xml:space="preserve">（盖单位章） </w:t>
      </w:r>
    </w:p>
    <w:p w14:paraId="1543F103">
      <w:pPr>
        <w:tabs>
          <w:tab w:val="left" w:pos="4663"/>
          <w:tab w:val="left" w:pos="5143"/>
        </w:tabs>
        <w:autoSpaceDE w:val="0"/>
        <w:autoSpaceDN w:val="0"/>
        <w:spacing w:line="360" w:lineRule="auto"/>
        <w:ind w:left="2894" w:leftChars="478" w:right="2926" w:rightChars="0" w:hanging="1890" w:hangingChars="900"/>
        <w:jc w:val="left"/>
        <w:rPr>
          <w:rFonts w:ascii="宋体" w:hAnsi="宋体" w:cs="宋体"/>
          <w:kern w:val="0"/>
          <w:szCs w:val="21"/>
          <w:lang w:val="zh-CN" w:bidi="zh-CN"/>
        </w:rPr>
      </w:pPr>
      <w:r>
        <w:rPr>
          <w:rFonts w:ascii="宋体" w:hAnsi="宋体" w:cs="宋体"/>
          <w:kern w:val="0"/>
          <w:szCs w:val="21"/>
          <w:lang w:val="zh-CN" w:bidi="zh-CN"/>
        </w:rPr>
        <w:t>法定代表人或其委托代理人：</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u w:val="single"/>
          <w:lang w:val="zh-CN" w:bidi="zh-CN"/>
        </w:rPr>
        <w:tab/>
      </w:r>
      <w:r>
        <w:rPr>
          <w:rFonts w:ascii="宋体" w:hAnsi="宋体" w:cs="宋体"/>
          <w:kern w:val="0"/>
          <w:szCs w:val="21"/>
          <w:lang w:val="zh-CN" w:bidi="zh-CN"/>
        </w:rPr>
        <w:t>（签字）</w:t>
      </w:r>
    </w:p>
    <w:p w14:paraId="7ED71CD7">
      <w:pPr>
        <w:tabs>
          <w:tab w:val="left" w:pos="3623"/>
          <w:tab w:val="left" w:pos="4703"/>
          <w:tab w:val="left" w:pos="5603"/>
        </w:tabs>
        <w:autoSpaceDE w:val="0"/>
        <w:autoSpaceDN w:val="0"/>
        <w:spacing w:line="360" w:lineRule="auto"/>
        <w:ind w:left="2543" w:firstLine="420" w:firstLineChars="200"/>
        <w:jc w:val="left"/>
        <w:rPr>
          <w:rFonts w:ascii="宋体" w:hAnsi="宋体" w:cs="宋体"/>
          <w:kern w:val="0"/>
          <w:szCs w:val="21"/>
          <w:lang w:val="zh-CN" w:bidi="zh-CN"/>
        </w:rPr>
      </w:pP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年</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月</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日</w:t>
      </w:r>
    </w:p>
    <w:p w14:paraId="44969F91">
      <w:pPr>
        <w:tabs>
          <w:tab w:val="left" w:pos="4663"/>
          <w:tab w:val="left" w:pos="5143"/>
        </w:tabs>
        <w:autoSpaceDE w:val="0"/>
        <w:autoSpaceDN w:val="0"/>
        <w:spacing w:line="360" w:lineRule="auto"/>
        <w:ind w:left="2264" w:leftChars="478" w:right="3421" w:hanging="1260" w:hangingChars="600"/>
        <w:jc w:val="left"/>
        <w:rPr>
          <w:rFonts w:ascii="宋体" w:hAnsi="宋体" w:cs="宋体"/>
          <w:kern w:val="0"/>
          <w:szCs w:val="21"/>
          <w:lang w:val="zh-CN" w:bidi="zh-CN"/>
        </w:rPr>
      </w:pPr>
    </w:p>
    <w:p w14:paraId="117EBDF3">
      <w:pPr>
        <w:tabs>
          <w:tab w:val="left" w:pos="4663"/>
          <w:tab w:val="left" w:pos="5143"/>
        </w:tabs>
        <w:autoSpaceDE w:val="0"/>
        <w:autoSpaceDN w:val="0"/>
        <w:spacing w:line="360" w:lineRule="auto"/>
        <w:ind w:left="2264" w:leftChars="478" w:right="3421" w:hanging="1260" w:hangingChars="600"/>
        <w:jc w:val="left"/>
        <w:rPr>
          <w:rFonts w:ascii="宋体" w:hAnsi="宋体" w:cs="宋体"/>
          <w:kern w:val="0"/>
          <w:szCs w:val="21"/>
          <w:lang w:val="zh-CN" w:bidi="zh-CN"/>
        </w:rPr>
      </w:pPr>
      <w:r>
        <w:rPr>
          <w:rFonts w:ascii="宋体" w:hAnsi="宋体" w:cs="宋体"/>
          <w:kern w:val="0"/>
          <w:szCs w:val="21"/>
          <w:lang w:val="zh-CN" w:bidi="zh-CN"/>
        </w:rPr>
        <w:t>经办银行：</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hint="eastAsia" w:ascii="宋体" w:hAnsi="宋体" w:cs="宋体"/>
          <w:kern w:val="0"/>
          <w:szCs w:val="21"/>
          <w:u w:val="single"/>
          <w:lang w:val="zh-CN" w:bidi="zh-CN"/>
        </w:rPr>
        <w:t xml:space="preserve">      </w:t>
      </w:r>
      <w:r>
        <w:rPr>
          <w:rFonts w:ascii="宋体" w:hAnsi="宋体" w:cs="宋体"/>
          <w:kern w:val="0"/>
          <w:szCs w:val="21"/>
          <w:lang w:val="zh-CN" w:bidi="zh-CN"/>
        </w:rPr>
        <w:t xml:space="preserve">（盖单位章） </w:t>
      </w:r>
    </w:p>
    <w:p w14:paraId="39525F32">
      <w:pPr>
        <w:tabs>
          <w:tab w:val="left" w:pos="4663"/>
          <w:tab w:val="left" w:pos="5143"/>
        </w:tabs>
        <w:autoSpaceDE w:val="0"/>
        <w:autoSpaceDN w:val="0"/>
        <w:spacing w:line="360" w:lineRule="auto"/>
        <w:ind w:left="2264" w:leftChars="478" w:right="2726" w:rightChars="0" w:hanging="1260" w:hangingChars="600"/>
        <w:jc w:val="left"/>
        <w:rPr>
          <w:rFonts w:ascii="宋体" w:hAnsi="宋体" w:cs="宋体"/>
          <w:kern w:val="0"/>
          <w:szCs w:val="21"/>
          <w:lang w:val="zh-CN" w:bidi="zh-CN"/>
        </w:rPr>
      </w:pPr>
      <w:r>
        <w:rPr>
          <w:rFonts w:ascii="宋体" w:hAnsi="宋体" w:cs="宋体"/>
          <w:kern w:val="0"/>
          <w:szCs w:val="21"/>
          <w:lang w:val="zh-CN" w:bidi="zh-CN"/>
        </w:rPr>
        <w:t>法定代表人或其委托代理人：</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u w:val="single"/>
          <w:lang w:val="zh-CN" w:bidi="zh-CN"/>
        </w:rPr>
        <w:tab/>
      </w:r>
      <w:r>
        <w:rPr>
          <w:rFonts w:ascii="宋体" w:hAnsi="宋体" w:cs="宋体"/>
          <w:kern w:val="0"/>
          <w:szCs w:val="21"/>
          <w:lang w:val="zh-CN" w:bidi="zh-CN"/>
        </w:rPr>
        <w:t>（签字）</w:t>
      </w:r>
    </w:p>
    <w:p w14:paraId="4D88AADF">
      <w:pPr>
        <w:tabs>
          <w:tab w:val="left" w:pos="3623"/>
          <w:tab w:val="left" w:pos="4703"/>
          <w:tab w:val="left" w:pos="5603"/>
        </w:tabs>
        <w:autoSpaceDE w:val="0"/>
        <w:autoSpaceDN w:val="0"/>
        <w:spacing w:line="360" w:lineRule="auto"/>
        <w:ind w:left="2543" w:firstLine="420" w:firstLineChars="200"/>
        <w:jc w:val="left"/>
        <w:rPr>
          <w:rFonts w:ascii="宋体" w:hAnsi="宋体" w:cs="宋体"/>
          <w:kern w:val="0"/>
          <w:szCs w:val="21"/>
          <w:lang w:val="zh-CN" w:bidi="zh-CN"/>
        </w:rPr>
      </w:pP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年</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月</w:t>
      </w:r>
      <w:r>
        <w:rPr>
          <w:rFonts w:ascii="宋体" w:hAnsi="宋体" w:cs="宋体"/>
          <w:kern w:val="0"/>
          <w:szCs w:val="21"/>
          <w:u w:val="single"/>
          <w:lang w:val="zh-CN" w:bidi="zh-CN"/>
        </w:rPr>
        <w:t xml:space="preserve"> </w:t>
      </w:r>
      <w:r>
        <w:rPr>
          <w:rFonts w:ascii="宋体" w:hAnsi="宋体" w:cs="宋体"/>
          <w:kern w:val="0"/>
          <w:szCs w:val="21"/>
          <w:u w:val="single"/>
          <w:lang w:val="zh-CN" w:bidi="zh-CN"/>
        </w:rPr>
        <w:tab/>
      </w:r>
      <w:r>
        <w:rPr>
          <w:rFonts w:ascii="宋体" w:hAnsi="宋体" w:cs="宋体"/>
          <w:kern w:val="0"/>
          <w:szCs w:val="21"/>
          <w:lang w:val="zh-CN" w:bidi="zh-CN"/>
        </w:rPr>
        <w:t>日</w:t>
      </w:r>
    </w:p>
    <w:p w14:paraId="6847948E">
      <w:pPr>
        <w:spacing w:line="304" w:lineRule="exact"/>
        <w:rPr>
          <w:rFonts w:hint="eastAsia"/>
          <w:color w:val="000080"/>
          <w:sz w:val="20"/>
          <w:highlight w:val="white"/>
        </w:rPr>
      </w:pPr>
      <w:r>
        <w:rPr>
          <w:rFonts w:hint="eastAsia"/>
          <w:color w:val="000080"/>
          <w:sz w:val="20"/>
          <w:highlight w:val="white"/>
        </w:rPr>
        <w:t xml:space="preserve"> </w:t>
      </w:r>
    </w:p>
    <w:p w14:paraId="193AA37F">
      <w:pPr>
        <w:rPr>
          <w:rFonts w:hint="eastAsia" w:ascii="宋体" w:hAnsi="宋体" w:eastAsia="宋体" w:cs="宋体"/>
          <w:b/>
          <w:bCs/>
          <w:color w:val="auto"/>
          <w:kern w:val="0"/>
          <w:sz w:val="30"/>
          <w:szCs w:val="30"/>
          <w:highlight w:val="none"/>
          <w:lang w:val="en-US" w:eastAsia="zh-CN" w:bidi="ar-SA"/>
        </w:rPr>
      </w:pPr>
      <w:r>
        <w:rPr>
          <w:sz w:val="20"/>
        </w:rPr>
        <w:br w:type="page"/>
      </w:r>
    </w:p>
    <w:p w14:paraId="6BB3E438">
      <w:pPr>
        <w:pStyle w:val="76"/>
        <w:numPr>
          <w:ilvl w:val="0"/>
          <w:numId w:val="14"/>
        </w:numPr>
        <w:spacing w:line="360" w:lineRule="auto"/>
        <w:ind w:left="210" w:leftChars="0" w:firstLine="1272" w:firstLineChars="396"/>
        <w:jc w:val="center"/>
        <w:outlineLvl w:val="0"/>
        <w:rPr>
          <w:rFonts w:hint="eastAsia" w:hAnsi="宋体" w:cs="宋体"/>
          <w:b/>
          <w:color w:val="auto"/>
          <w:sz w:val="32"/>
          <w:szCs w:val="32"/>
          <w:highlight w:val="none"/>
          <w:lang w:val="en-US" w:eastAsia="zh-CN"/>
        </w:rPr>
      </w:pPr>
      <w:r>
        <w:rPr>
          <w:rFonts w:hint="eastAsia" w:hAnsi="宋体" w:cs="宋体"/>
          <w:b/>
          <w:color w:val="auto"/>
          <w:sz w:val="32"/>
          <w:szCs w:val="32"/>
          <w:highlight w:val="none"/>
          <w:lang w:val="en-US" w:eastAsia="zh-CN"/>
        </w:rPr>
        <w:t>工程量清单（另附）</w:t>
      </w:r>
    </w:p>
    <w:p w14:paraId="7823998E">
      <w:pPr>
        <w:widowControl w:val="0"/>
        <w:numPr>
          <w:ilvl w:val="0"/>
          <w:numId w:val="0"/>
        </w:numPr>
        <w:jc w:val="both"/>
        <w:rPr>
          <w:rFonts w:hint="default"/>
          <w:highlight w:val="none"/>
          <w:lang w:val="en-US" w:eastAsia="zh-CN"/>
        </w:rPr>
      </w:pPr>
    </w:p>
    <w:p w14:paraId="1430E509">
      <w:pPr>
        <w:tabs>
          <w:tab w:val="left" w:pos="900"/>
        </w:tabs>
        <w:jc w:val="center"/>
        <w:rPr>
          <w:rFonts w:hint="eastAsia" w:ascii="宋体" w:hAnsi="宋体" w:eastAsia="宋体" w:cs="宋体"/>
          <w:b/>
          <w:bCs/>
          <w:color w:val="auto"/>
          <w:kern w:val="0"/>
          <w:sz w:val="30"/>
          <w:szCs w:val="30"/>
          <w:highlight w:val="none"/>
          <w:lang w:val="en-US" w:eastAsia="zh-CN" w:bidi="ar-SA"/>
        </w:rPr>
      </w:pPr>
    </w:p>
    <w:tbl>
      <w:tblPr>
        <w:tblStyle w:val="30"/>
        <w:tblW w:w="5000" w:type="pct"/>
        <w:jc w:val="center"/>
        <w:tblLayout w:type="autofit"/>
        <w:tblCellMar>
          <w:top w:w="0" w:type="dxa"/>
          <w:left w:w="108" w:type="dxa"/>
          <w:bottom w:w="0" w:type="dxa"/>
          <w:right w:w="108" w:type="dxa"/>
        </w:tblCellMar>
      </w:tblPr>
      <w:tblGrid>
        <w:gridCol w:w="10516"/>
      </w:tblGrid>
      <w:tr w14:paraId="1308F03C">
        <w:tblPrEx>
          <w:tblCellMar>
            <w:top w:w="0" w:type="dxa"/>
            <w:left w:w="108" w:type="dxa"/>
            <w:bottom w:w="0" w:type="dxa"/>
            <w:right w:w="108" w:type="dxa"/>
          </w:tblCellMar>
        </w:tblPrEx>
        <w:trPr>
          <w:trHeight w:val="480" w:hRule="atLeast"/>
          <w:jc w:val="center"/>
        </w:trPr>
        <w:tc>
          <w:tcPr>
            <w:tcW w:w="5000" w:type="pct"/>
            <w:tcBorders>
              <w:top w:val="nil"/>
              <w:left w:val="nil"/>
              <w:bottom w:val="nil"/>
              <w:right w:val="nil"/>
            </w:tcBorders>
            <w:noWrap w:val="0"/>
            <w:vAlign w:val="center"/>
          </w:tcPr>
          <w:p w14:paraId="6BF29B89">
            <w:pPr>
              <w:widowControl/>
              <w:rPr>
                <w:rFonts w:ascii="宋体" w:hAnsi="宋体" w:cs="宋体"/>
                <w:b/>
                <w:bCs/>
                <w:kern w:val="0"/>
                <w:sz w:val="24"/>
                <w:highlight w:val="none"/>
              </w:rPr>
            </w:pPr>
            <w:bookmarkStart w:id="163" w:name="_Hlk71217033"/>
            <w:r>
              <w:rPr>
                <w:rFonts w:hint="eastAsia" w:ascii="宋体" w:hAnsi="宋体" w:cs="宋体"/>
                <w:b/>
                <w:bCs/>
                <w:kern w:val="0"/>
                <w:sz w:val="24"/>
                <w:highlight w:val="none"/>
              </w:rPr>
              <w:t>1. 工程量清单说明</w:t>
            </w:r>
          </w:p>
        </w:tc>
      </w:tr>
      <w:tr w14:paraId="7A0F367E">
        <w:tblPrEx>
          <w:tblCellMar>
            <w:top w:w="0" w:type="dxa"/>
            <w:left w:w="108" w:type="dxa"/>
            <w:bottom w:w="0" w:type="dxa"/>
            <w:right w:w="108" w:type="dxa"/>
          </w:tblCellMar>
        </w:tblPrEx>
        <w:trPr>
          <w:trHeight w:val="1009" w:hRule="atLeast"/>
          <w:jc w:val="center"/>
        </w:trPr>
        <w:tc>
          <w:tcPr>
            <w:tcW w:w="5000" w:type="pct"/>
            <w:tcBorders>
              <w:top w:val="nil"/>
              <w:left w:val="nil"/>
              <w:bottom w:val="nil"/>
              <w:right w:val="nil"/>
            </w:tcBorders>
            <w:noWrap w:val="0"/>
            <w:vAlign w:val="center"/>
          </w:tcPr>
          <w:p w14:paraId="57D712AB">
            <w:pPr>
              <w:widowControl/>
              <w:numPr>
                <w:ilvl w:val="1"/>
                <w:numId w:val="15"/>
              </w:numPr>
              <w:rPr>
                <w:rFonts w:hint="eastAsia" w:ascii="宋体" w:hAnsi="宋体" w:cs="宋体"/>
                <w:color w:val="C00000"/>
                <w:kern w:val="0"/>
                <w:sz w:val="24"/>
                <w:szCs w:val="24"/>
                <w:highlight w:val="none"/>
              </w:rPr>
            </w:pPr>
            <w:r>
              <w:rPr>
                <w:rFonts w:hint="eastAsia" w:ascii="宋体" w:hAnsi="宋体" w:cs="宋体"/>
                <w:kern w:val="0"/>
                <w:sz w:val="24"/>
                <w:szCs w:val="24"/>
                <w:highlight w:val="none"/>
                <w:lang w:val="en-US" w:eastAsia="zh-CN"/>
              </w:rPr>
              <w:t xml:space="preserve"> 工程概况：</w:t>
            </w:r>
          </w:p>
          <w:p w14:paraId="1ACA769E">
            <w:pPr>
              <w:widowControl/>
              <w:numPr>
                <w:ilvl w:val="0"/>
                <w:numId w:val="0"/>
              </w:numPr>
              <w:jc w:val="both"/>
              <w:rPr>
                <w:rFonts w:hint="eastAsia" w:ascii="宋体" w:hAnsi="宋体" w:cs="宋体"/>
                <w:color w:val="C00000"/>
                <w:kern w:val="0"/>
                <w:sz w:val="24"/>
                <w:szCs w:val="24"/>
                <w:highlight w:val="none"/>
                <w:lang w:val="en-US" w:eastAsia="zh-CN"/>
              </w:rPr>
            </w:pPr>
            <w:r>
              <w:rPr>
                <w:rFonts w:hint="eastAsia" w:ascii="宋体" w:hAnsi="宋体" w:cs="宋体"/>
                <w:color w:val="auto"/>
                <w:kern w:val="0"/>
                <w:sz w:val="24"/>
                <w:szCs w:val="24"/>
                <w:highlight w:val="none"/>
                <w:lang w:val="en-US" w:eastAsia="zh-CN"/>
              </w:rPr>
              <w:t>轮台县X237线塔尔拉克乡政府段改建项目，路线位于塔尔拉克乡，其中，K0+000-K0+899.731段：路基宽度为8.5m，路面宽度为7.5m，本次进行补强处理；K0+899.731-K2+080段：路基路面宽度为9.0m，将原有路面坑槽进行修补，重新铺筑4cm细粒式沥青混凝土（AC-13C）+粘层油；K2+000-K2+686.699段：路基宽度为9.0m，路面宽度为8.0m，本次进行补强处理。</w:t>
            </w:r>
          </w:p>
          <w:p w14:paraId="5BD74090">
            <w:pPr>
              <w:widowControl/>
              <w:numPr>
                <w:ilvl w:val="1"/>
                <w:numId w:val="15"/>
              </w:numPr>
              <w:rPr>
                <w:rFonts w:ascii="宋体" w:hAnsi="宋体" w:cs="宋体"/>
                <w:kern w:val="0"/>
                <w:sz w:val="24"/>
                <w:szCs w:val="24"/>
                <w:highlight w:val="none"/>
              </w:rPr>
            </w:pPr>
            <w:r>
              <w:rPr>
                <w:rFonts w:hint="eastAsia" w:ascii="宋体" w:hAnsi="宋体" w:cs="宋体"/>
                <w:kern w:val="0"/>
                <w:sz w:val="24"/>
                <w:szCs w:val="24"/>
                <w:highlight w:val="none"/>
                <w:lang w:val="en-US" w:eastAsia="zh-CN"/>
              </w:rPr>
              <w:t xml:space="preserve"> </w:t>
            </w:r>
            <w:r>
              <w:rPr>
                <w:rFonts w:hint="eastAsia" w:ascii="宋体" w:hAnsi="宋体" w:cs="宋体"/>
                <w:kern w:val="0"/>
                <w:sz w:val="24"/>
                <w:szCs w:val="24"/>
                <w:highlight w:val="none"/>
              </w:rPr>
              <w:t>本工程量清单是根据招标文件中包括的、有合同约束力的图纸以及有关工程量清单的国家标准、行业标准、合同条款中约定的工程量计算规则编制。约定计价规则中没有的子目，其工程量按照有合同约束力的图纸所标示尺寸的理论净量计算。计量采用中华人民共和国法定计量单位。</w:t>
            </w:r>
          </w:p>
        </w:tc>
      </w:tr>
      <w:tr w14:paraId="271B0389">
        <w:tblPrEx>
          <w:tblCellMar>
            <w:top w:w="0" w:type="dxa"/>
            <w:left w:w="108" w:type="dxa"/>
            <w:bottom w:w="0" w:type="dxa"/>
            <w:right w:w="108" w:type="dxa"/>
          </w:tblCellMar>
        </w:tblPrEx>
        <w:trPr>
          <w:trHeight w:val="739" w:hRule="atLeast"/>
          <w:jc w:val="center"/>
        </w:trPr>
        <w:tc>
          <w:tcPr>
            <w:tcW w:w="5000" w:type="pct"/>
            <w:tcBorders>
              <w:top w:val="nil"/>
              <w:left w:val="nil"/>
              <w:bottom w:val="nil"/>
              <w:right w:val="nil"/>
            </w:tcBorders>
            <w:noWrap w:val="0"/>
            <w:vAlign w:val="center"/>
          </w:tcPr>
          <w:p w14:paraId="04496A93">
            <w:pPr>
              <w:widowControl/>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 xml:space="preserve">3  </w:t>
            </w:r>
            <w:r>
              <w:rPr>
                <w:rFonts w:hint="eastAsia" w:ascii="宋体" w:hAnsi="宋体" w:cs="宋体"/>
                <w:kern w:val="0"/>
                <w:sz w:val="24"/>
                <w:szCs w:val="24"/>
                <w:highlight w:val="none"/>
              </w:rPr>
              <w:t>工程量清单中所列工程量的变动，丝毫不会降低或影响合同条款的效力，也不免除承包人按规定的标准进行施工和修复缺陷的责任。</w:t>
            </w:r>
          </w:p>
        </w:tc>
      </w:tr>
      <w:tr w14:paraId="113E224E">
        <w:tblPrEx>
          <w:tblCellMar>
            <w:top w:w="0" w:type="dxa"/>
            <w:left w:w="108" w:type="dxa"/>
            <w:bottom w:w="0" w:type="dxa"/>
            <w:right w:w="108" w:type="dxa"/>
          </w:tblCellMar>
        </w:tblPrEx>
        <w:trPr>
          <w:trHeight w:val="739" w:hRule="atLeast"/>
          <w:jc w:val="center"/>
        </w:trPr>
        <w:tc>
          <w:tcPr>
            <w:tcW w:w="5000" w:type="pct"/>
            <w:tcBorders>
              <w:top w:val="nil"/>
              <w:left w:val="nil"/>
              <w:bottom w:val="nil"/>
              <w:right w:val="nil"/>
            </w:tcBorders>
            <w:noWrap w:val="0"/>
            <w:vAlign w:val="center"/>
          </w:tcPr>
          <w:p w14:paraId="7A4D01B1">
            <w:pPr>
              <w:widowControl/>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 xml:space="preserve">4  </w:t>
            </w:r>
            <w:r>
              <w:rPr>
                <w:rFonts w:hint="eastAsia" w:ascii="宋体" w:hAnsi="宋体" w:cs="宋体"/>
                <w:kern w:val="0"/>
                <w:sz w:val="24"/>
                <w:szCs w:val="24"/>
                <w:highlight w:val="none"/>
              </w:rPr>
              <w:t>图纸中所列的工程数量表及数量汇总表仅是提供资料，不是工程量清单的外延。当图纸与工程量清单所列数量不一致时，以工程量清单所列数量作为报价的依据。</w:t>
            </w:r>
          </w:p>
        </w:tc>
      </w:tr>
      <w:tr w14:paraId="6AC7DCE0">
        <w:tblPrEx>
          <w:tblCellMar>
            <w:top w:w="0" w:type="dxa"/>
            <w:left w:w="108" w:type="dxa"/>
            <w:bottom w:w="0" w:type="dxa"/>
            <w:right w:w="108" w:type="dxa"/>
          </w:tblCellMar>
        </w:tblPrEx>
        <w:trPr>
          <w:trHeight w:val="480" w:hRule="atLeast"/>
          <w:jc w:val="center"/>
        </w:trPr>
        <w:tc>
          <w:tcPr>
            <w:tcW w:w="5000" w:type="pct"/>
            <w:tcBorders>
              <w:top w:val="nil"/>
              <w:left w:val="nil"/>
              <w:bottom w:val="nil"/>
              <w:right w:val="nil"/>
            </w:tcBorders>
            <w:noWrap w:val="0"/>
            <w:vAlign w:val="center"/>
          </w:tcPr>
          <w:p w14:paraId="6B4A9226">
            <w:pPr>
              <w:widowControl/>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 xml:space="preserve">5  </w:t>
            </w:r>
            <w:r>
              <w:rPr>
                <w:rFonts w:hint="eastAsia" w:ascii="宋体" w:hAnsi="宋体" w:cs="宋体"/>
                <w:kern w:val="0"/>
                <w:sz w:val="24"/>
                <w:szCs w:val="24"/>
                <w:highlight w:val="none"/>
              </w:rPr>
              <w:t>工程量清单中的每一子目须填入单价或价格，且只允许有一个报价。</w:t>
            </w:r>
          </w:p>
        </w:tc>
      </w:tr>
      <w:tr w14:paraId="795A705F">
        <w:tblPrEx>
          <w:tblCellMar>
            <w:top w:w="0" w:type="dxa"/>
            <w:left w:w="108" w:type="dxa"/>
            <w:bottom w:w="0" w:type="dxa"/>
            <w:right w:w="108" w:type="dxa"/>
          </w:tblCellMar>
        </w:tblPrEx>
        <w:trPr>
          <w:trHeight w:val="739" w:hRule="atLeast"/>
          <w:jc w:val="center"/>
        </w:trPr>
        <w:tc>
          <w:tcPr>
            <w:tcW w:w="5000" w:type="pct"/>
            <w:tcBorders>
              <w:top w:val="nil"/>
              <w:left w:val="nil"/>
              <w:bottom w:val="nil"/>
              <w:right w:val="nil"/>
            </w:tcBorders>
            <w:noWrap w:val="0"/>
            <w:vAlign w:val="center"/>
          </w:tcPr>
          <w:p w14:paraId="3955B569">
            <w:pPr>
              <w:widowControl/>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 xml:space="preserve">6  </w:t>
            </w:r>
            <w:r>
              <w:rPr>
                <w:rFonts w:hint="eastAsia" w:ascii="宋体" w:hAnsi="宋体" w:cs="宋体"/>
                <w:kern w:val="0"/>
                <w:sz w:val="24"/>
                <w:szCs w:val="24"/>
                <w:highlight w:val="none"/>
              </w:rPr>
              <w:t>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tc>
      </w:tr>
      <w:tr w14:paraId="18399265">
        <w:tblPrEx>
          <w:tblCellMar>
            <w:top w:w="0" w:type="dxa"/>
            <w:left w:w="108" w:type="dxa"/>
            <w:bottom w:w="0" w:type="dxa"/>
            <w:right w:w="108" w:type="dxa"/>
          </w:tblCellMar>
        </w:tblPrEx>
        <w:trPr>
          <w:trHeight w:val="739" w:hRule="atLeast"/>
          <w:jc w:val="center"/>
        </w:trPr>
        <w:tc>
          <w:tcPr>
            <w:tcW w:w="5000" w:type="pct"/>
            <w:tcBorders>
              <w:top w:val="nil"/>
              <w:left w:val="nil"/>
              <w:bottom w:val="nil"/>
              <w:right w:val="nil"/>
            </w:tcBorders>
            <w:noWrap w:val="0"/>
            <w:vAlign w:val="center"/>
          </w:tcPr>
          <w:p w14:paraId="31FEA8A1">
            <w:pPr>
              <w:widowControl/>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 xml:space="preserve">7  </w:t>
            </w:r>
            <w:r>
              <w:rPr>
                <w:rFonts w:hint="eastAsia" w:ascii="宋体" w:hAnsi="宋体" w:cs="宋体"/>
                <w:kern w:val="0"/>
                <w:sz w:val="24"/>
                <w:szCs w:val="24"/>
                <w:highlight w:val="none"/>
              </w:rPr>
              <w:t>符合合同条款规定的全部费用应认为已被计入有标价的工程量清单所列各子目之中，未列子目不予计量的工作，其费用应视为已分摊在本合同工程的有关子目的单价或总额价之中。</w:t>
            </w:r>
          </w:p>
        </w:tc>
      </w:tr>
      <w:tr w14:paraId="75899456">
        <w:tblPrEx>
          <w:tblCellMar>
            <w:top w:w="0" w:type="dxa"/>
            <w:left w:w="108" w:type="dxa"/>
            <w:bottom w:w="0" w:type="dxa"/>
            <w:right w:w="108" w:type="dxa"/>
          </w:tblCellMar>
        </w:tblPrEx>
        <w:trPr>
          <w:trHeight w:val="739" w:hRule="atLeast"/>
          <w:jc w:val="center"/>
        </w:trPr>
        <w:tc>
          <w:tcPr>
            <w:tcW w:w="5000" w:type="pct"/>
            <w:tcBorders>
              <w:top w:val="nil"/>
              <w:left w:val="nil"/>
              <w:bottom w:val="nil"/>
              <w:right w:val="nil"/>
            </w:tcBorders>
            <w:noWrap w:val="0"/>
            <w:vAlign w:val="center"/>
          </w:tcPr>
          <w:p w14:paraId="00605CD0">
            <w:pPr>
              <w:widowControl/>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 xml:space="preserve">8  </w:t>
            </w:r>
            <w:r>
              <w:rPr>
                <w:rFonts w:hint="eastAsia" w:ascii="宋体" w:hAnsi="宋体" w:cs="宋体"/>
                <w:kern w:val="0"/>
                <w:sz w:val="24"/>
                <w:szCs w:val="24"/>
                <w:highlight w:val="none"/>
              </w:rPr>
              <w:t>承包人用于本合同工程的各类装备的提供、运输、维护、拆卸、拼装等支付的费用，已包括在工程量清单的单价与总额价之中。</w:t>
            </w:r>
          </w:p>
        </w:tc>
      </w:tr>
      <w:tr w14:paraId="73A122A4">
        <w:tblPrEx>
          <w:tblCellMar>
            <w:top w:w="0" w:type="dxa"/>
            <w:left w:w="108" w:type="dxa"/>
            <w:bottom w:w="0" w:type="dxa"/>
            <w:right w:w="108" w:type="dxa"/>
          </w:tblCellMar>
        </w:tblPrEx>
        <w:trPr>
          <w:trHeight w:val="480" w:hRule="atLeast"/>
          <w:jc w:val="center"/>
        </w:trPr>
        <w:tc>
          <w:tcPr>
            <w:tcW w:w="5000" w:type="pct"/>
            <w:tcBorders>
              <w:top w:val="nil"/>
              <w:left w:val="nil"/>
              <w:bottom w:val="nil"/>
              <w:right w:val="nil"/>
            </w:tcBorders>
            <w:noWrap w:val="0"/>
            <w:vAlign w:val="center"/>
          </w:tcPr>
          <w:p w14:paraId="42EC7786">
            <w:pPr>
              <w:widowControl/>
              <w:rPr>
                <w:rFonts w:ascii="宋体" w:hAnsi="宋体" w:cs="宋体"/>
                <w:b/>
                <w:bCs/>
                <w:kern w:val="0"/>
                <w:sz w:val="24"/>
                <w:szCs w:val="24"/>
                <w:highlight w:val="none"/>
              </w:rPr>
            </w:pPr>
            <w:r>
              <w:rPr>
                <w:rFonts w:hint="eastAsia" w:ascii="宋体" w:hAnsi="宋体" w:cs="宋体"/>
                <w:b/>
                <w:bCs/>
                <w:kern w:val="0"/>
                <w:sz w:val="24"/>
                <w:szCs w:val="24"/>
                <w:highlight w:val="none"/>
              </w:rPr>
              <w:t>2.工程量清单计价说明</w:t>
            </w:r>
          </w:p>
        </w:tc>
      </w:tr>
      <w:tr w14:paraId="2EC5ABAA">
        <w:tblPrEx>
          <w:tblCellMar>
            <w:top w:w="0" w:type="dxa"/>
            <w:left w:w="108" w:type="dxa"/>
            <w:bottom w:w="0" w:type="dxa"/>
            <w:right w:w="108" w:type="dxa"/>
          </w:tblCellMar>
        </w:tblPrEx>
        <w:trPr>
          <w:trHeight w:val="480" w:hRule="atLeast"/>
          <w:jc w:val="center"/>
        </w:trPr>
        <w:tc>
          <w:tcPr>
            <w:tcW w:w="5000" w:type="pct"/>
            <w:tcBorders>
              <w:top w:val="nil"/>
              <w:left w:val="nil"/>
              <w:bottom w:val="nil"/>
              <w:right w:val="nil"/>
            </w:tcBorders>
            <w:noWrap w:val="0"/>
            <w:vAlign w:val="center"/>
          </w:tcPr>
          <w:p w14:paraId="497D6289">
            <w:pPr>
              <w:widowControl/>
              <w:rPr>
                <w:rFonts w:ascii="宋体" w:hAnsi="宋体" w:cs="宋体"/>
                <w:kern w:val="0"/>
                <w:sz w:val="24"/>
                <w:szCs w:val="24"/>
                <w:highlight w:val="none"/>
              </w:rPr>
            </w:pPr>
            <w:r>
              <w:rPr>
                <w:rFonts w:hint="eastAsia" w:ascii="宋体" w:hAnsi="宋体" w:cs="宋体"/>
                <w:kern w:val="0"/>
                <w:sz w:val="24"/>
                <w:szCs w:val="24"/>
                <w:highlight w:val="none"/>
              </w:rPr>
              <w:t>2.1  工程量清单应与投标人须知、合同条款、工程量清单计价规则、技术规范及图纸等文件结合起来查阅与理解。</w:t>
            </w:r>
          </w:p>
        </w:tc>
      </w:tr>
      <w:tr w14:paraId="6CFE7002">
        <w:tblPrEx>
          <w:tblCellMar>
            <w:top w:w="0" w:type="dxa"/>
            <w:left w:w="108" w:type="dxa"/>
            <w:bottom w:w="0" w:type="dxa"/>
            <w:right w:w="108" w:type="dxa"/>
          </w:tblCellMar>
        </w:tblPrEx>
        <w:trPr>
          <w:trHeight w:val="1020" w:hRule="atLeast"/>
          <w:jc w:val="center"/>
        </w:trPr>
        <w:tc>
          <w:tcPr>
            <w:tcW w:w="5000" w:type="pct"/>
            <w:tcBorders>
              <w:top w:val="nil"/>
              <w:left w:val="nil"/>
              <w:bottom w:val="nil"/>
              <w:right w:val="nil"/>
            </w:tcBorders>
            <w:noWrap w:val="0"/>
            <w:vAlign w:val="center"/>
          </w:tcPr>
          <w:p w14:paraId="56BEFB69">
            <w:pPr>
              <w:widowControl/>
              <w:rPr>
                <w:rFonts w:ascii="宋体" w:hAnsi="宋体" w:cs="宋体"/>
                <w:kern w:val="0"/>
                <w:sz w:val="24"/>
                <w:szCs w:val="24"/>
                <w:highlight w:val="none"/>
              </w:rPr>
            </w:pPr>
            <w:r>
              <w:rPr>
                <w:rFonts w:hint="eastAsia" w:ascii="宋体" w:hAnsi="宋体" w:cs="宋体"/>
                <w:kern w:val="0"/>
                <w:sz w:val="24"/>
                <w:szCs w:val="24"/>
                <w:highlight w:val="none"/>
              </w:rPr>
              <w:t>2.2  除非合同另有规定，工程量清单中有标价的单价和总额价均已包括了为实施和完成合同工程所需的劳务、材料、机械、质检（自检）、安装、调试、缺陷修复、管理、保险、税费、利润等费用，以及合同明示或暗示的所有责任、义务和一般风险。</w:t>
            </w:r>
          </w:p>
        </w:tc>
      </w:tr>
      <w:tr w14:paraId="21F69FE8">
        <w:tblPrEx>
          <w:tblCellMar>
            <w:top w:w="0" w:type="dxa"/>
            <w:left w:w="108" w:type="dxa"/>
            <w:bottom w:w="0" w:type="dxa"/>
            <w:right w:w="108" w:type="dxa"/>
          </w:tblCellMar>
        </w:tblPrEx>
        <w:trPr>
          <w:trHeight w:val="739" w:hRule="atLeast"/>
          <w:jc w:val="center"/>
        </w:trPr>
        <w:tc>
          <w:tcPr>
            <w:tcW w:w="5000" w:type="pct"/>
            <w:tcBorders>
              <w:top w:val="nil"/>
              <w:left w:val="nil"/>
              <w:bottom w:val="nil"/>
              <w:right w:val="nil"/>
            </w:tcBorders>
            <w:noWrap w:val="0"/>
            <w:vAlign w:val="center"/>
          </w:tcPr>
          <w:p w14:paraId="6A09FF2A">
            <w:pPr>
              <w:widowControl/>
              <w:rPr>
                <w:rFonts w:ascii="宋体" w:hAnsi="宋体" w:cs="宋体"/>
                <w:kern w:val="0"/>
                <w:sz w:val="24"/>
                <w:szCs w:val="24"/>
                <w:highlight w:val="none"/>
              </w:rPr>
            </w:pPr>
            <w:r>
              <w:rPr>
                <w:rFonts w:hint="eastAsia" w:ascii="宋体" w:hAnsi="宋体" w:cs="宋体"/>
                <w:kern w:val="0"/>
                <w:sz w:val="24"/>
                <w:szCs w:val="24"/>
                <w:highlight w:val="none"/>
              </w:rPr>
              <w:t>2.3  承包人应在整个工程合同承包期间对工程一切险、第三者责任险和人身意外伤害险进行保险，保险的一切费用应由承包人承担并支付，并综合在所报的单价或总额价中。</w:t>
            </w:r>
          </w:p>
        </w:tc>
      </w:tr>
      <w:tr w14:paraId="4123EC8D">
        <w:tblPrEx>
          <w:tblCellMar>
            <w:top w:w="0" w:type="dxa"/>
            <w:left w:w="108" w:type="dxa"/>
            <w:bottom w:w="0" w:type="dxa"/>
            <w:right w:w="108" w:type="dxa"/>
          </w:tblCellMar>
        </w:tblPrEx>
        <w:trPr>
          <w:trHeight w:val="739" w:hRule="atLeast"/>
          <w:jc w:val="center"/>
        </w:trPr>
        <w:tc>
          <w:tcPr>
            <w:tcW w:w="5000" w:type="pct"/>
            <w:tcBorders>
              <w:top w:val="nil"/>
              <w:left w:val="nil"/>
              <w:bottom w:val="nil"/>
              <w:right w:val="nil"/>
            </w:tcBorders>
            <w:noWrap w:val="0"/>
            <w:vAlign w:val="center"/>
          </w:tcPr>
          <w:p w14:paraId="094CB5FA">
            <w:pPr>
              <w:widowControl/>
              <w:rPr>
                <w:rFonts w:ascii="宋体" w:hAnsi="宋体" w:cs="宋体"/>
                <w:kern w:val="0"/>
                <w:sz w:val="24"/>
                <w:szCs w:val="24"/>
                <w:highlight w:val="none"/>
              </w:rPr>
            </w:pPr>
            <w:r>
              <w:rPr>
                <w:rFonts w:hint="eastAsia" w:ascii="宋体" w:hAnsi="宋体" w:cs="宋体"/>
                <w:kern w:val="0"/>
                <w:sz w:val="24"/>
                <w:szCs w:val="24"/>
                <w:highlight w:val="none"/>
              </w:rPr>
              <w:t>2.4  承包人应在整个工程合同承包期间对其为本合同大中修工程实施的装备进行保险，保险的一切费应由承包人承担并支付，并综合在所报的单价或总额价中。</w:t>
            </w:r>
          </w:p>
        </w:tc>
      </w:tr>
      <w:tr w14:paraId="4336F906">
        <w:tblPrEx>
          <w:tblCellMar>
            <w:top w:w="0" w:type="dxa"/>
            <w:left w:w="108" w:type="dxa"/>
            <w:bottom w:w="0" w:type="dxa"/>
            <w:right w:w="108" w:type="dxa"/>
          </w:tblCellMar>
        </w:tblPrEx>
        <w:trPr>
          <w:trHeight w:val="1482" w:hRule="atLeast"/>
          <w:jc w:val="center"/>
        </w:trPr>
        <w:tc>
          <w:tcPr>
            <w:tcW w:w="5000" w:type="pct"/>
            <w:tcBorders>
              <w:top w:val="nil"/>
              <w:left w:val="nil"/>
              <w:bottom w:val="nil"/>
              <w:right w:val="nil"/>
            </w:tcBorders>
            <w:noWrap w:val="0"/>
            <w:vAlign w:val="center"/>
          </w:tcPr>
          <w:p w14:paraId="3AC9E5C1">
            <w:pPr>
              <w:widowControl/>
              <w:rPr>
                <w:rFonts w:ascii="宋体" w:hAnsi="宋体" w:cs="宋体"/>
                <w:kern w:val="0"/>
                <w:sz w:val="24"/>
                <w:szCs w:val="24"/>
                <w:highlight w:val="none"/>
              </w:rPr>
            </w:pPr>
            <w:r>
              <w:rPr>
                <w:rFonts w:hint="eastAsia" w:ascii="宋体" w:hAnsi="宋体" w:cs="宋体"/>
                <w:kern w:val="0"/>
                <w:sz w:val="24"/>
                <w:szCs w:val="24"/>
                <w:highlight w:val="none"/>
              </w:rPr>
              <w:t>2.5  工程量清单中所列各细目的工程量，均为暂定工程数量，是估算的或者设计的预计数量，仅作为投标的共同基础，不作为最终结算与支付的依据。实际支付应以实际完成的工程量，由承包人按计价规范、技术规范规定的计量方法，以业主、监理人认可的尺寸、断面、数量计量，按工程量清单的单价和总额价计算支付金额；或者根据具体情况，按相应合同条款的规定，由业主、监理人确定的单价或总额价计算支付额。</w:t>
            </w:r>
          </w:p>
        </w:tc>
      </w:tr>
      <w:tr w14:paraId="46074B20">
        <w:tblPrEx>
          <w:tblCellMar>
            <w:top w:w="0" w:type="dxa"/>
            <w:left w:w="108" w:type="dxa"/>
            <w:bottom w:w="0" w:type="dxa"/>
            <w:right w:w="108" w:type="dxa"/>
          </w:tblCellMar>
        </w:tblPrEx>
        <w:trPr>
          <w:trHeight w:val="900" w:hRule="atLeast"/>
          <w:jc w:val="center"/>
        </w:trPr>
        <w:tc>
          <w:tcPr>
            <w:tcW w:w="5000" w:type="pct"/>
            <w:tcBorders>
              <w:top w:val="nil"/>
              <w:left w:val="nil"/>
              <w:right w:val="nil"/>
            </w:tcBorders>
            <w:noWrap w:val="0"/>
            <w:vAlign w:val="center"/>
          </w:tcPr>
          <w:p w14:paraId="0387ADDB">
            <w:pPr>
              <w:widowControl/>
              <w:rPr>
                <w:rFonts w:ascii="宋体" w:hAnsi="宋体" w:cs="宋体"/>
                <w:kern w:val="0"/>
                <w:sz w:val="24"/>
                <w:szCs w:val="24"/>
                <w:highlight w:val="none"/>
              </w:rPr>
            </w:pPr>
            <w:r>
              <w:rPr>
                <w:rFonts w:hint="eastAsia" w:ascii="宋体" w:hAnsi="宋体" w:cs="宋体"/>
                <w:kern w:val="0"/>
                <w:sz w:val="24"/>
                <w:szCs w:val="24"/>
                <w:highlight w:val="none"/>
              </w:rPr>
              <w:t>2.6  工程量清单中列有数量的每一个细目，都需填入单价或总额价，作为工程价款结算的依据。对于没有填入单价或总额价的细目，其费用应视为分摊在本合同工程的有关细目的单价或总额价之中。</w:t>
            </w:r>
          </w:p>
        </w:tc>
      </w:tr>
      <w:tr w14:paraId="69CED8E1">
        <w:tblPrEx>
          <w:tblCellMar>
            <w:top w:w="0" w:type="dxa"/>
            <w:left w:w="108" w:type="dxa"/>
            <w:bottom w:w="0" w:type="dxa"/>
            <w:right w:w="108" w:type="dxa"/>
          </w:tblCellMar>
        </w:tblPrEx>
        <w:trPr>
          <w:trHeight w:val="262" w:hRule="atLeast"/>
          <w:jc w:val="center"/>
        </w:trPr>
        <w:tc>
          <w:tcPr>
            <w:tcW w:w="5000" w:type="pct"/>
            <w:noWrap w:val="0"/>
            <w:vAlign w:val="center"/>
          </w:tcPr>
          <w:p w14:paraId="433EC762">
            <w:pPr>
              <w:widowControl/>
              <w:rPr>
                <w:rFonts w:ascii="宋体" w:hAnsi="宋体" w:cs="宋体"/>
                <w:kern w:val="0"/>
                <w:sz w:val="24"/>
                <w:szCs w:val="24"/>
                <w:highlight w:val="none"/>
              </w:rPr>
            </w:pPr>
            <w:r>
              <w:rPr>
                <w:rFonts w:hint="eastAsia" w:ascii="宋体" w:hAnsi="宋体" w:cs="宋体"/>
                <w:kern w:val="0"/>
                <w:sz w:val="24"/>
                <w:szCs w:val="24"/>
                <w:highlight w:val="none"/>
              </w:rPr>
              <w:t>2.7  本项目工程量清单中的暂列金额为第100章～第700章费用总额的</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 xml:space="preserve"> /  </w:t>
            </w:r>
            <w:r>
              <w:rPr>
                <w:rFonts w:hint="eastAsia" w:ascii="宋体" w:hAnsi="宋体" w:cs="宋体"/>
                <w:kern w:val="0"/>
                <w:sz w:val="24"/>
                <w:szCs w:val="24"/>
                <w:highlight w:val="none"/>
              </w:rPr>
              <w:t>％。</w:t>
            </w:r>
          </w:p>
        </w:tc>
      </w:tr>
      <w:tr w14:paraId="71A07B82">
        <w:tblPrEx>
          <w:tblCellMar>
            <w:top w:w="0" w:type="dxa"/>
            <w:left w:w="108" w:type="dxa"/>
            <w:bottom w:w="0" w:type="dxa"/>
            <w:right w:w="108" w:type="dxa"/>
          </w:tblCellMar>
        </w:tblPrEx>
        <w:trPr>
          <w:trHeight w:val="367" w:hRule="atLeast"/>
          <w:jc w:val="center"/>
        </w:trPr>
        <w:tc>
          <w:tcPr>
            <w:tcW w:w="5000" w:type="pct"/>
            <w:noWrap w:val="0"/>
            <w:vAlign w:val="center"/>
          </w:tcPr>
          <w:p w14:paraId="10200A5C">
            <w:pPr>
              <w:widowControl/>
              <w:rPr>
                <w:rFonts w:ascii="宋体" w:hAnsi="宋体" w:cs="宋体"/>
                <w:kern w:val="0"/>
                <w:sz w:val="24"/>
                <w:szCs w:val="24"/>
                <w:highlight w:val="none"/>
              </w:rPr>
            </w:pPr>
            <w:r>
              <w:rPr>
                <w:rFonts w:hint="eastAsia" w:ascii="宋体" w:hAnsi="宋体" w:cs="宋体"/>
                <w:kern w:val="0"/>
                <w:sz w:val="24"/>
                <w:szCs w:val="24"/>
                <w:highlight w:val="none"/>
              </w:rPr>
              <w:t>2.8  工程量清单中各项金额均以人民币（元)结算，有特殊规定的从其规定。</w:t>
            </w:r>
          </w:p>
        </w:tc>
      </w:tr>
      <w:tr w14:paraId="25BD8830">
        <w:tblPrEx>
          <w:tblCellMar>
            <w:top w:w="0" w:type="dxa"/>
            <w:left w:w="108" w:type="dxa"/>
            <w:bottom w:w="0" w:type="dxa"/>
            <w:right w:w="108" w:type="dxa"/>
          </w:tblCellMar>
        </w:tblPrEx>
        <w:trPr>
          <w:trHeight w:val="273" w:hRule="atLeast"/>
          <w:jc w:val="center"/>
        </w:trPr>
        <w:tc>
          <w:tcPr>
            <w:tcW w:w="5000" w:type="pct"/>
            <w:noWrap w:val="0"/>
            <w:vAlign w:val="center"/>
          </w:tcPr>
          <w:p w14:paraId="737D0A5D">
            <w:pPr>
              <w:widowControl/>
              <w:rPr>
                <w:rFonts w:ascii="宋体" w:hAnsi="宋体" w:cs="宋体"/>
                <w:kern w:val="0"/>
                <w:sz w:val="24"/>
                <w:szCs w:val="24"/>
                <w:highlight w:val="none"/>
              </w:rPr>
            </w:pPr>
            <w:r>
              <w:rPr>
                <w:rFonts w:hint="eastAsia" w:ascii="宋体" w:hAnsi="宋体" w:cs="宋体"/>
                <w:kern w:val="0"/>
                <w:sz w:val="24"/>
                <w:szCs w:val="24"/>
                <w:highlight w:val="none"/>
              </w:rPr>
              <w:t>2.9  工程量清单及其计价中所有要求署名、盖章处，必须由规定的单位和人员署名、盖章。</w:t>
            </w:r>
          </w:p>
        </w:tc>
      </w:tr>
      <w:tr w14:paraId="3FA79432">
        <w:tblPrEx>
          <w:tblCellMar>
            <w:top w:w="0" w:type="dxa"/>
            <w:left w:w="108" w:type="dxa"/>
            <w:bottom w:w="0" w:type="dxa"/>
            <w:right w:w="108" w:type="dxa"/>
          </w:tblCellMar>
        </w:tblPrEx>
        <w:trPr>
          <w:trHeight w:val="273" w:hRule="atLeast"/>
          <w:jc w:val="center"/>
        </w:trPr>
        <w:tc>
          <w:tcPr>
            <w:tcW w:w="5000" w:type="pct"/>
            <w:noWrap w:val="0"/>
            <w:vAlign w:val="center"/>
          </w:tcPr>
          <w:p w14:paraId="446139BC">
            <w:pPr>
              <w:widowControl/>
              <w:rPr>
                <w:rFonts w:hint="eastAsia" w:ascii="宋体" w:hAnsi="宋体" w:cs="宋体"/>
                <w:b/>
                <w:bCs/>
                <w:color w:val="auto"/>
                <w:kern w:val="0"/>
                <w:sz w:val="24"/>
                <w:szCs w:val="24"/>
                <w:highlight w:val="none"/>
              </w:rPr>
            </w:pPr>
            <w:r>
              <w:rPr>
                <w:rFonts w:hint="eastAsia" w:ascii="宋体" w:hAnsi="宋体" w:cs="宋体"/>
                <w:color w:val="auto"/>
                <w:kern w:val="0"/>
                <w:sz w:val="24"/>
                <w:szCs w:val="24"/>
                <w:highlight w:val="none"/>
              </w:rPr>
              <w:t xml:space="preserve">2.10 </w:t>
            </w:r>
            <w:r>
              <w:rPr>
                <w:rFonts w:hint="eastAsia" w:ascii="宋体" w:hAnsi="宋体" w:cs="宋体"/>
                <w:b/>
                <w:bCs/>
                <w:color w:val="auto"/>
                <w:kern w:val="0"/>
                <w:sz w:val="24"/>
                <w:szCs w:val="24"/>
                <w:highlight w:val="none"/>
              </w:rPr>
              <w:t>投标人应根据《公路水运工程安全生产监督管理办法》，在投标总价中计入安全生产费用，安全生产费用应符合合同条款第9.2.5项的规定。本项目工程量清单100章内列有上述安全生产费的支付子目。按最高投标限价的1.5%计列，保留2位小数。</w:t>
            </w:r>
          </w:p>
          <w:p w14:paraId="4048801A">
            <w:pPr>
              <w:widowControl/>
              <w:rPr>
                <w:rFonts w:hint="eastAsia" w:ascii="宋体" w:hAnsi="宋体" w:cs="宋体"/>
                <w:b/>
                <w:bCs/>
                <w:color w:val="0000FF"/>
                <w:kern w:val="0"/>
                <w:sz w:val="24"/>
                <w:szCs w:val="24"/>
                <w:highlight w:val="none"/>
              </w:rPr>
            </w:pPr>
          </w:p>
        </w:tc>
      </w:tr>
      <w:tr w14:paraId="2CAA1B1F">
        <w:tblPrEx>
          <w:tblCellMar>
            <w:top w:w="0" w:type="dxa"/>
            <w:left w:w="108" w:type="dxa"/>
            <w:bottom w:w="0" w:type="dxa"/>
            <w:right w:w="108" w:type="dxa"/>
          </w:tblCellMar>
        </w:tblPrEx>
        <w:trPr>
          <w:trHeight w:val="480" w:hRule="atLeast"/>
          <w:jc w:val="center"/>
        </w:trPr>
        <w:tc>
          <w:tcPr>
            <w:tcW w:w="5000" w:type="pct"/>
            <w:tcBorders>
              <w:left w:val="nil"/>
              <w:bottom w:val="nil"/>
              <w:right w:val="nil"/>
            </w:tcBorders>
            <w:noWrap w:val="0"/>
            <w:vAlign w:val="center"/>
          </w:tcPr>
          <w:p w14:paraId="5CC46025">
            <w:pPr>
              <w:widowControl/>
              <w:rPr>
                <w:rFonts w:ascii="宋体" w:hAnsi="宋体" w:cs="宋体"/>
                <w:b/>
                <w:bCs/>
                <w:kern w:val="0"/>
                <w:sz w:val="24"/>
                <w:szCs w:val="24"/>
                <w:highlight w:val="none"/>
              </w:rPr>
            </w:pPr>
            <w:r>
              <w:rPr>
                <w:rFonts w:hint="eastAsia" w:ascii="宋体" w:hAnsi="宋体" w:cs="宋体"/>
                <w:b/>
                <w:bCs/>
                <w:kern w:val="0"/>
                <w:sz w:val="24"/>
                <w:szCs w:val="24"/>
                <w:highlight w:val="none"/>
              </w:rPr>
              <w:t>3.计日工说明</w:t>
            </w:r>
          </w:p>
        </w:tc>
      </w:tr>
      <w:tr w14:paraId="41C7FACE">
        <w:tblPrEx>
          <w:tblCellMar>
            <w:top w:w="0" w:type="dxa"/>
            <w:left w:w="108" w:type="dxa"/>
            <w:bottom w:w="0" w:type="dxa"/>
            <w:right w:w="108" w:type="dxa"/>
          </w:tblCellMar>
        </w:tblPrEx>
        <w:trPr>
          <w:trHeight w:val="480" w:hRule="atLeast"/>
          <w:jc w:val="center"/>
        </w:trPr>
        <w:tc>
          <w:tcPr>
            <w:tcW w:w="5000" w:type="pct"/>
            <w:tcBorders>
              <w:top w:val="nil"/>
              <w:left w:val="nil"/>
              <w:bottom w:val="nil"/>
              <w:right w:val="nil"/>
            </w:tcBorders>
            <w:noWrap w:val="0"/>
            <w:vAlign w:val="center"/>
          </w:tcPr>
          <w:p w14:paraId="377E41F0">
            <w:pPr>
              <w:widowControl/>
              <w:rPr>
                <w:rFonts w:ascii="宋体" w:hAnsi="宋体" w:cs="宋体"/>
                <w:kern w:val="0"/>
                <w:sz w:val="24"/>
                <w:szCs w:val="24"/>
                <w:highlight w:val="none"/>
              </w:rPr>
            </w:pPr>
            <w:r>
              <w:rPr>
                <w:rFonts w:hint="eastAsia" w:ascii="宋体" w:hAnsi="宋体" w:cs="宋体"/>
                <w:kern w:val="0"/>
                <w:sz w:val="24"/>
                <w:szCs w:val="24"/>
                <w:highlight w:val="none"/>
              </w:rPr>
              <w:t>3.1  总则</w:t>
            </w:r>
          </w:p>
        </w:tc>
      </w:tr>
      <w:tr w14:paraId="3E85A7E4">
        <w:tblPrEx>
          <w:tblCellMar>
            <w:top w:w="0" w:type="dxa"/>
            <w:left w:w="108" w:type="dxa"/>
            <w:bottom w:w="0" w:type="dxa"/>
            <w:right w:w="108" w:type="dxa"/>
          </w:tblCellMar>
        </w:tblPrEx>
        <w:trPr>
          <w:trHeight w:val="480" w:hRule="atLeast"/>
          <w:jc w:val="center"/>
        </w:trPr>
        <w:tc>
          <w:tcPr>
            <w:tcW w:w="5000" w:type="pct"/>
            <w:tcBorders>
              <w:top w:val="nil"/>
              <w:left w:val="nil"/>
              <w:bottom w:val="nil"/>
              <w:right w:val="nil"/>
            </w:tcBorders>
            <w:noWrap w:val="0"/>
            <w:vAlign w:val="center"/>
          </w:tcPr>
          <w:p w14:paraId="42D903BE">
            <w:pPr>
              <w:widowControl/>
              <w:rPr>
                <w:rFonts w:ascii="宋体" w:hAnsi="宋体" w:cs="宋体"/>
                <w:kern w:val="0"/>
                <w:sz w:val="24"/>
                <w:szCs w:val="24"/>
                <w:highlight w:val="none"/>
              </w:rPr>
            </w:pPr>
            <w:r>
              <w:rPr>
                <w:rFonts w:hint="eastAsia" w:ascii="宋体" w:hAnsi="宋体" w:cs="宋体"/>
                <w:kern w:val="0"/>
                <w:sz w:val="24"/>
                <w:szCs w:val="24"/>
                <w:highlight w:val="none"/>
              </w:rPr>
              <w:t>（1）本计日工说明应参照招标文件合同通用条款相应条款一并理解。</w:t>
            </w:r>
          </w:p>
        </w:tc>
      </w:tr>
      <w:tr w14:paraId="359C6055">
        <w:tblPrEx>
          <w:tblCellMar>
            <w:top w:w="0" w:type="dxa"/>
            <w:left w:w="108" w:type="dxa"/>
            <w:bottom w:w="0" w:type="dxa"/>
            <w:right w:w="108" w:type="dxa"/>
          </w:tblCellMar>
        </w:tblPrEx>
        <w:trPr>
          <w:trHeight w:val="480" w:hRule="atLeast"/>
          <w:jc w:val="center"/>
        </w:trPr>
        <w:tc>
          <w:tcPr>
            <w:tcW w:w="5000" w:type="pct"/>
            <w:tcBorders>
              <w:top w:val="nil"/>
              <w:left w:val="nil"/>
              <w:bottom w:val="nil"/>
              <w:right w:val="nil"/>
            </w:tcBorders>
            <w:noWrap w:val="0"/>
            <w:vAlign w:val="center"/>
          </w:tcPr>
          <w:p w14:paraId="123D7EFC">
            <w:pPr>
              <w:widowControl/>
              <w:rPr>
                <w:rFonts w:ascii="宋体" w:hAnsi="宋体" w:cs="宋体"/>
                <w:kern w:val="0"/>
                <w:sz w:val="24"/>
                <w:szCs w:val="24"/>
                <w:highlight w:val="none"/>
              </w:rPr>
            </w:pPr>
            <w:r>
              <w:rPr>
                <w:rFonts w:hint="eastAsia" w:ascii="宋体" w:hAnsi="宋体" w:cs="宋体"/>
                <w:kern w:val="0"/>
                <w:sz w:val="24"/>
                <w:szCs w:val="24"/>
                <w:highlight w:val="none"/>
              </w:rPr>
              <w:t>（2）未经监理人书面指令，任何工程不得按计日工施工；接到监理人按计日工施工的书面指令，养护单位也不得拒绝。</w:t>
            </w:r>
          </w:p>
        </w:tc>
      </w:tr>
      <w:tr w14:paraId="5D539611">
        <w:tblPrEx>
          <w:tblCellMar>
            <w:top w:w="0" w:type="dxa"/>
            <w:left w:w="108" w:type="dxa"/>
            <w:bottom w:w="0" w:type="dxa"/>
            <w:right w:w="108" w:type="dxa"/>
          </w:tblCellMar>
        </w:tblPrEx>
        <w:trPr>
          <w:trHeight w:val="1020" w:hRule="atLeast"/>
          <w:jc w:val="center"/>
        </w:trPr>
        <w:tc>
          <w:tcPr>
            <w:tcW w:w="5000" w:type="pct"/>
            <w:tcBorders>
              <w:top w:val="nil"/>
              <w:left w:val="nil"/>
              <w:bottom w:val="nil"/>
              <w:right w:val="nil"/>
            </w:tcBorders>
            <w:noWrap w:val="0"/>
            <w:vAlign w:val="center"/>
          </w:tcPr>
          <w:p w14:paraId="1D089847">
            <w:pPr>
              <w:widowControl/>
              <w:rPr>
                <w:rFonts w:ascii="宋体" w:hAnsi="宋体" w:cs="宋体"/>
                <w:kern w:val="0"/>
                <w:sz w:val="24"/>
                <w:szCs w:val="24"/>
                <w:highlight w:val="none"/>
              </w:rPr>
            </w:pPr>
            <w:r>
              <w:rPr>
                <w:rFonts w:hint="eastAsia" w:ascii="宋体" w:hAnsi="宋体" w:cs="宋体"/>
                <w:kern w:val="0"/>
                <w:sz w:val="24"/>
                <w:szCs w:val="24"/>
                <w:highlight w:val="none"/>
              </w:rPr>
              <w:t>（3）投标人应在本节计人工单价表中填列计日工细目的基本单价或租价，该基本单价或租价适用于监理工程师指令的任何数量的计日工的结算与支付。计日工的劳务、材料和施工机械由招标人(或业主）列出正常的估计数量，投标人报出单价，计算出计日工总额后列入工程量清单汇总表中并进入评标价。</w:t>
            </w:r>
          </w:p>
        </w:tc>
      </w:tr>
      <w:tr w14:paraId="0867C95A">
        <w:tblPrEx>
          <w:tblCellMar>
            <w:top w:w="0" w:type="dxa"/>
            <w:left w:w="108" w:type="dxa"/>
            <w:bottom w:w="0" w:type="dxa"/>
            <w:right w:w="108" w:type="dxa"/>
          </w:tblCellMar>
        </w:tblPrEx>
        <w:trPr>
          <w:trHeight w:val="480" w:hRule="atLeast"/>
          <w:jc w:val="center"/>
        </w:trPr>
        <w:tc>
          <w:tcPr>
            <w:tcW w:w="5000" w:type="pct"/>
            <w:tcBorders>
              <w:top w:val="nil"/>
              <w:left w:val="nil"/>
              <w:bottom w:val="nil"/>
              <w:right w:val="nil"/>
            </w:tcBorders>
            <w:noWrap w:val="0"/>
            <w:vAlign w:val="center"/>
          </w:tcPr>
          <w:p w14:paraId="0E1F0F14">
            <w:pPr>
              <w:widowControl/>
              <w:rPr>
                <w:rFonts w:ascii="宋体" w:hAnsi="宋体" w:cs="宋体"/>
                <w:kern w:val="0"/>
                <w:sz w:val="24"/>
                <w:szCs w:val="24"/>
                <w:highlight w:val="none"/>
              </w:rPr>
            </w:pPr>
            <w:r>
              <w:rPr>
                <w:rFonts w:hint="eastAsia" w:ascii="宋体" w:hAnsi="宋体" w:cs="宋体"/>
                <w:kern w:val="0"/>
                <w:sz w:val="24"/>
                <w:szCs w:val="24"/>
                <w:highlight w:val="none"/>
              </w:rPr>
              <w:t>（4）计日工不调价。</w:t>
            </w:r>
          </w:p>
        </w:tc>
      </w:tr>
      <w:tr w14:paraId="257AD3F5">
        <w:tblPrEx>
          <w:tblCellMar>
            <w:top w:w="0" w:type="dxa"/>
            <w:left w:w="108" w:type="dxa"/>
            <w:bottom w:w="0" w:type="dxa"/>
            <w:right w:w="108" w:type="dxa"/>
          </w:tblCellMar>
        </w:tblPrEx>
        <w:trPr>
          <w:trHeight w:val="480" w:hRule="atLeast"/>
          <w:jc w:val="center"/>
        </w:trPr>
        <w:tc>
          <w:tcPr>
            <w:tcW w:w="5000" w:type="pct"/>
            <w:tcBorders>
              <w:top w:val="nil"/>
              <w:left w:val="nil"/>
              <w:bottom w:val="nil"/>
              <w:right w:val="nil"/>
            </w:tcBorders>
            <w:noWrap w:val="0"/>
            <w:vAlign w:val="center"/>
          </w:tcPr>
          <w:p w14:paraId="6AF9DDCA">
            <w:pPr>
              <w:widowControl/>
              <w:rPr>
                <w:rFonts w:ascii="宋体" w:hAnsi="宋体" w:cs="宋体"/>
                <w:kern w:val="0"/>
                <w:sz w:val="24"/>
                <w:szCs w:val="24"/>
                <w:highlight w:val="none"/>
              </w:rPr>
            </w:pPr>
            <w:r>
              <w:rPr>
                <w:rFonts w:hint="eastAsia" w:ascii="宋体" w:hAnsi="宋体" w:cs="宋体"/>
                <w:kern w:val="0"/>
                <w:sz w:val="24"/>
                <w:szCs w:val="24"/>
                <w:highlight w:val="none"/>
              </w:rPr>
              <w:t>3.2  计日工劳务</w:t>
            </w:r>
          </w:p>
        </w:tc>
      </w:tr>
      <w:tr w14:paraId="07EDE7E7">
        <w:tblPrEx>
          <w:tblCellMar>
            <w:top w:w="0" w:type="dxa"/>
            <w:left w:w="108" w:type="dxa"/>
            <w:bottom w:w="0" w:type="dxa"/>
            <w:right w:w="108" w:type="dxa"/>
          </w:tblCellMar>
        </w:tblPrEx>
        <w:trPr>
          <w:trHeight w:val="1170" w:hRule="atLeast"/>
          <w:jc w:val="center"/>
        </w:trPr>
        <w:tc>
          <w:tcPr>
            <w:tcW w:w="5000" w:type="pct"/>
            <w:tcBorders>
              <w:top w:val="nil"/>
              <w:left w:val="nil"/>
              <w:bottom w:val="nil"/>
              <w:right w:val="nil"/>
            </w:tcBorders>
            <w:noWrap w:val="0"/>
            <w:vAlign w:val="center"/>
          </w:tcPr>
          <w:p w14:paraId="13DC7B1A">
            <w:pPr>
              <w:widowControl/>
              <w:rPr>
                <w:rFonts w:ascii="宋体" w:hAnsi="宋体" w:cs="宋体"/>
                <w:kern w:val="0"/>
                <w:sz w:val="24"/>
                <w:szCs w:val="24"/>
                <w:highlight w:val="none"/>
              </w:rPr>
            </w:pPr>
            <w:r>
              <w:rPr>
                <w:rFonts w:hint="eastAsia" w:ascii="宋体" w:hAnsi="宋体" w:cs="宋体"/>
                <w:kern w:val="0"/>
                <w:sz w:val="24"/>
                <w:szCs w:val="24"/>
                <w:highlight w:val="none"/>
              </w:rPr>
              <w:t xml:space="preserve">（1）在计算应付给承包人的计日工工资时，工时应从工人到达施工现场，并开始从事指定的工作算起，到返回原出发地点为止，扣去用餐和休息的时间。只有直接从事指定的工作，且能胜任该工作的工人才能计工，随同工人一起做工的班长应计算在内，但不包括领工(工长)和其他质检管理人员。      </w:t>
            </w:r>
          </w:p>
        </w:tc>
      </w:tr>
      <w:tr w14:paraId="08D1B419">
        <w:tblPrEx>
          <w:tblCellMar>
            <w:top w:w="0" w:type="dxa"/>
            <w:left w:w="108" w:type="dxa"/>
            <w:bottom w:w="0" w:type="dxa"/>
            <w:right w:w="108" w:type="dxa"/>
          </w:tblCellMar>
        </w:tblPrEx>
        <w:trPr>
          <w:trHeight w:val="889" w:hRule="atLeast"/>
          <w:jc w:val="center"/>
        </w:trPr>
        <w:tc>
          <w:tcPr>
            <w:tcW w:w="5000" w:type="pct"/>
            <w:tcBorders>
              <w:top w:val="nil"/>
              <w:left w:val="nil"/>
              <w:bottom w:val="nil"/>
              <w:right w:val="nil"/>
            </w:tcBorders>
            <w:noWrap w:val="0"/>
            <w:vAlign w:val="center"/>
          </w:tcPr>
          <w:p w14:paraId="477C35DC">
            <w:pPr>
              <w:widowControl/>
              <w:rPr>
                <w:rFonts w:ascii="宋体" w:hAnsi="宋体" w:cs="宋体"/>
                <w:kern w:val="0"/>
                <w:sz w:val="24"/>
                <w:szCs w:val="24"/>
                <w:highlight w:val="none"/>
              </w:rPr>
            </w:pPr>
            <w:r>
              <w:rPr>
                <w:rFonts w:hint="eastAsia" w:ascii="宋体" w:hAnsi="宋体" w:cs="宋体"/>
                <w:kern w:val="0"/>
                <w:sz w:val="24"/>
                <w:szCs w:val="24"/>
                <w:highlight w:val="none"/>
              </w:rPr>
              <w:t>（2）承包人可以得到用于计日工劳务的全部工时的支付，此支付按承包人填报的“计日工劳务单价表”所列单价计算，该单价应包括基本单价及承包人的管理费、税费、利润等所有附加费，说明如下：</w:t>
            </w:r>
          </w:p>
        </w:tc>
      </w:tr>
      <w:tr w14:paraId="6A6387DB">
        <w:tblPrEx>
          <w:tblCellMar>
            <w:top w:w="0" w:type="dxa"/>
            <w:left w:w="108" w:type="dxa"/>
            <w:bottom w:w="0" w:type="dxa"/>
            <w:right w:w="108" w:type="dxa"/>
          </w:tblCellMar>
        </w:tblPrEx>
        <w:trPr>
          <w:trHeight w:val="480" w:hRule="atLeast"/>
          <w:jc w:val="center"/>
        </w:trPr>
        <w:tc>
          <w:tcPr>
            <w:tcW w:w="5000" w:type="pct"/>
            <w:tcBorders>
              <w:top w:val="nil"/>
              <w:left w:val="nil"/>
              <w:bottom w:val="nil"/>
              <w:right w:val="nil"/>
            </w:tcBorders>
            <w:noWrap w:val="0"/>
            <w:vAlign w:val="center"/>
          </w:tcPr>
          <w:p w14:paraId="24D37EB5">
            <w:pPr>
              <w:widowControl/>
              <w:rPr>
                <w:rFonts w:ascii="宋体" w:hAnsi="宋体" w:cs="宋体"/>
                <w:kern w:val="0"/>
                <w:sz w:val="24"/>
                <w:szCs w:val="24"/>
                <w:highlight w:val="none"/>
              </w:rPr>
            </w:pPr>
            <w:r>
              <w:rPr>
                <w:rFonts w:hint="eastAsia" w:ascii="宋体" w:hAnsi="宋体" w:cs="宋体"/>
                <w:kern w:val="0"/>
                <w:sz w:val="24"/>
                <w:szCs w:val="24"/>
                <w:highlight w:val="none"/>
              </w:rPr>
              <w:t>a.劳务基本单价包括承包人劳务的全部直接费用，如：工资、加班费、津贴、福利费及劳动保护费等。</w:t>
            </w:r>
          </w:p>
        </w:tc>
      </w:tr>
      <w:tr w14:paraId="4156538B">
        <w:tblPrEx>
          <w:tblCellMar>
            <w:top w:w="0" w:type="dxa"/>
            <w:left w:w="108" w:type="dxa"/>
            <w:bottom w:w="0" w:type="dxa"/>
            <w:right w:w="108" w:type="dxa"/>
          </w:tblCellMar>
        </w:tblPrEx>
        <w:trPr>
          <w:trHeight w:val="739" w:hRule="atLeast"/>
          <w:jc w:val="center"/>
        </w:trPr>
        <w:tc>
          <w:tcPr>
            <w:tcW w:w="5000" w:type="pct"/>
            <w:tcBorders>
              <w:top w:val="nil"/>
              <w:left w:val="nil"/>
              <w:bottom w:val="nil"/>
              <w:right w:val="nil"/>
            </w:tcBorders>
            <w:noWrap w:val="0"/>
            <w:vAlign w:val="center"/>
          </w:tcPr>
          <w:p w14:paraId="193560F0">
            <w:pPr>
              <w:widowControl/>
              <w:rPr>
                <w:rFonts w:ascii="宋体" w:hAnsi="宋体" w:cs="宋体"/>
                <w:kern w:val="0"/>
                <w:sz w:val="24"/>
                <w:szCs w:val="24"/>
                <w:highlight w:val="none"/>
              </w:rPr>
            </w:pPr>
            <w:r>
              <w:rPr>
                <w:rFonts w:hint="eastAsia" w:ascii="宋体" w:hAnsi="宋体" w:cs="宋体"/>
                <w:kern w:val="0"/>
                <w:sz w:val="24"/>
                <w:szCs w:val="24"/>
                <w:highlight w:val="none"/>
              </w:rPr>
              <w:t>b.所有附加费包括承包人的利润和管理、质检、保险、税费；易耗品的使用，水电及照明费，工作台、脚手架、临时设施费，手动机具与工具的使用及维修，以及上述各项伴随而来的费用。</w:t>
            </w:r>
          </w:p>
        </w:tc>
      </w:tr>
      <w:tr w14:paraId="0C39EAD7">
        <w:tblPrEx>
          <w:tblCellMar>
            <w:top w:w="0" w:type="dxa"/>
            <w:left w:w="108" w:type="dxa"/>
            <w:bottom w:w="0" w:type="dxa"/>
            <w:right w:w="108" w:type="dxa"/>
          </w:tblCellMar>
        </w:tblPrEx>
        <w:trPr>
          <w:trHeight w:val="480" w:hRule="atLeast"/>
          <w:jc w:val="center"/>
        </w:trPr>
        <w:tc>
          <w:tcPr>
            <w:tcW w:w="5000" w:type="pct"/>
            <w:tcBorders>
              <w:top w:val="nil"/>
              <w:left w:val="nil"/>
              <w:bottom w:val="nil"/>
              <w:right w:val="nil"/>
            </w:tcBorders>
            <w:noWrap w:val="0"/>
            <w:vAlign w:val="center"/>
          </w:tcPr>
          <w:p w14:paraId="06C28613">
            <w:pPr>
              <w:widowControl/>
              <w:rPr>
                <w:rFonts w:ascii="宋体" w:hAnsi="宋体" w:cs="宋体"/>
                <w:kern w:val="0"/>
                <w:sz w:val="24"/>
                <w:szCs w:val="24"/>
                <w:highlight w:val="none"/>
              </w:rPr>
            </w:pPr>
            <w:r>
              <w:rPr>
                <w:rFonts w:hint="eastAsia" w:ascii="宋体" w:hAnsi="宋体" w:cs="宋体"/>
                <w:kern w:val="0"/>
                <w:sz w:val="24"/>
                <w:szCs w:val="24"/>
                <w:highlight w:val="none"/>
              </w:rPr>
              <w:t>3.3  计日工材料</w:t>
            </w:r>
          </w:p>
        </w:tc>
      </w:tr>
      <w:tr w14:paraId="683BE6B6">
        <w:tblPrEx>
          <w:tblCellMar>
            <w:top w:w="0" w:type="dxa"/>
            <w:left w:w="108" w:type="dxa"/>
            <w:bottom w:w="0" w:type="dxa"/>
            <w:right w:w="108" w:type="dxa"/>
          </w:tblCellMar>
        </w:tblPrEx>
        <w:trPr>
          <w:trHeight w:val="942" w:hRule="atLeast"/>
          <w:jc w:val="center"/>
        </w:trPr>
        <w:tc>
          <w:tcPr>
            <w:tcW w:w="5000" w:type="pct"/>
            <w:tcBorders>
              <w:top w:val="nil"/>
              <w:left w:val="nil"/>
              <w:bottom w:val="nil"/>
              <w:right w:val="nil"/>
            </w:tcBorders>
            <w:noWrap w:val="0"/>
            <w:vAlign w:val="center"/>
          </w:tcPr>
          <w:p w14:paraId="2CEAB0E5">
            <w:pPr>
              <w:widowControl/>
              <w:rPr>
                <w:rFonts w:ascii="宋体" w:hAnsi="宋体" w:cs="宋体"/>
                <w:kern w:val="0"/>
                <w:sz w:val="24"/>
                <w:szCs w:val="24"/>
                <w:highlight w:val="none"/>
              </w:rPr>
            </w:pPr>
            <w:r>
              <w:rPr>
                <w:rFonts w:hint="eastAsia" w:ascii="宋体" w:hAnsi="宋体" w:cs="宋体"/>
                <w:kern w:val="0"/>
                <w:sz w:val="24"/>
                <w:szCs w:val="24"/>
                <w:highlight w:val="none"/>
              </w:rPr>
              <w:t>（1）承包人可以得到计日工使用的材料费用（上述第3.2款已计入劳务费内的材料费用除外）的支付，此费用按承包人“计日工材料单价表”中所填报的单价计算，该单价应包括基本单价及承包人的管理费、税费、利润等所有附加费，说明如下：</w:t>
            </w:r>
          </w:p>
        </w:tc>
      </w:tr>
      <w:tr w14:paraId="750D8951">
        <w:tblPrEx>
          <w:tblCellMar>
            <w:top w:w="0" w:type="dxa"/>
            <w:left w:w="108" w:type="dxa"/>
            <w:bottom w:w="0" w:type="dxa"/>
            <w:right w:w="108" w:type="dxa"/>
          </w:tblCellMar>
        </w:tblPrEx>
        <w:trPr>
          <w:trHeight w:val="480" w:hRule="atLeast"/>
          <w:jc w:val="center"/>
        </w:trPr>
        <w:tc>
          <w:tcPr>
            <w:tcW w:w="5000" w:type="pct"/>
            <w:tcBorders>
              <w:top w:val="nil"/>
              <w:left w:val="nil"/>
              <w:right w:val="nil"/>
            </w:tcBorders>
            <w:noWrap w:val="0"/>
            <w:vAlign w:val="center"/>
          </w:tcPr>
          <w:p w14:paraId="094D94F7">
            <w:pPr>
              <w:widowControl/>
              <w:rPr>
                <w:rFonts w:ascii="宋体" w:hAnsi="宋体" w:cs="宋体"/>
                <w:kern w:val="0"/>
                <w:sz w:val="24"/>
                <w:szCs w:val="24"/>
                <w:highlight w:val="none"/>
              </w:rPr>
            </w:pPr>
            <w:r>
              <w:rPr>
                <w:rFonts w:hint="eastAsia" w:ascii="宋体" w:hAnsi="宋体" w:cs="宋体"/>
                <w:kern w:val="0"/>
                <w:sz w:val="24"/>
                <w:szCs w:val="24"/>
                <w:highlight w:val="none"/>
              </w:rPr>
              <w:t>a.材料基本单价按供货价加运杂费（到达承包人现场仓库）、保险费、仓库管理费以及运输损耗等</w:t>
            </w:r>
          </w:p>
        </w:tc>
      </w:tr>
      <w:tr w14:paraId="1DFCCBFF">
        <w:tblPrEx>
          <w:tblCellMar>
            <w:top w:w="0" w:type="dxa"/>
            <w:left w:w="108" w:type="dxa"/>
            <w:bottom w:w="0" w:type="dxa"/>
            <w:right w:w="108" w:type="dxa"/>
          </w:tblCellMar>
        </w:tblPrEx>
        <w:trPr>
          <w:trHeight w:val="325" w:hRule="atLeast"/>
          <w:jc w:val="center"/>
        </w:trPr>
        <w:tc>
          <w:tcPr>
            <w:tcW w:w="5000" w:type="pct"/>
            <w:noWrap w:val="0"/>
            <w:vAlign w:val="center"/>
          </w:tcPr>
          <w:p w14:paraId="2CE71E62">
            <w:pPr>
              <w:widowControl/>
              <w:rPr>
                <w:rFonts w:ascii="宋体" w:hAnsi="宋体" w:cs="宋体"/>
                <w:kern w:val="0"/>
                <w:sz w:val="24"/>
                <w:szCs w:val="24"/>
                <w:highlight w:val="none"/>
              </w:rPr>
            </w:pPr>
            <w:r>
              <w:rPr>
                <w:rFonts w:hint="eastAsia" w:ascii="宋体" w:hAnsi="宋体" w:cs="宋体"/>
                <w:kern w:val="0"/>
                <w:sz w:val="24"/>
                <w:szCs w:val="24"/>
                <w:highlight w:val="none"/>
              </w:rPr>
              <w:t>b.所有附加费包括：承包人的利润、管理、质检、保险、税费及其他附加费。</w:t>
            </w:r>
          </w:p>
        </w:tc>
      </w:tr>
      <w:tr w14:paraId="315C7A5B">
        <w:tblPrEx>
          <w:tblCellMar>
            <w:top w:w="0" w:type="dxa"/>
            <w:left w:w="108" w:type="dxa"/>
            <w:bottom w:w="0" w:type="dxa"/>
            <w:right w:w="108" w:type="dxa"/>
          </w:tblCellMar>
        </w:tblPrEx>
        <w:trPr>
          <w:trHeight w:val="428" w:hRule="atLeast"/>
          <w:jc w:val="center"/>
        </w:trPr>
        <w:tc>
          <w:tcPr>
            <w:tcW w:w="5000" w:type="pct"/>
            <w:noWrap w:val="0"/>
            <w:vAlign w:val="center"/>
          </w:tcPr>
          <w:p w14:paraId="5E2E7945">
            <w:pPr>
              <w:widowControl/>
              <w:rPr>
                <w:rFonts w:ascii="宋体" w:hAnsi="宋体" w:cs="宋体"/>
                <w:kern w:val="0"/>
                <w:sz w:val="24"/>
                <w:szCs w:val="24"/>
                <w:highlight w:val="none"/>
              </w:rPr>
            </w:pPr>
            <w:r>
              <w:rPr>
                <w:rFonts w:hint="eastAsia" w:ascii="宋体" w:hAnsi="宋体" w:cs="宋体"/>
                <w:kern w:val="0"/>
                <w:sz w:val="24"/>
                <w:szCs w:val="24"/>
                <w:highlight w:val="none"/>
              </w:rPr>
              <w:t>c.从现场运至使用地点的人工费和施工机械使用费不包括在上述基本单价内。</w:t>
            </w:r>
          </w:p>
        </w:tc>
      </w:tr>
      <w:tr w14:paraId="36AF0643">
        <w:tblPrEx>
          <w:tblCellMar>
            <w:top w:w="0" w:type="dxa"/>
            <w:left w:w="108" w:type="dxa"/>
            <w:bottom w:w="0" w:type="dxa"/>
            <w:right w:w="108" w:type="dxa"/>
          </w:tblCellMar>
        </w:tblPrEx>
        <w:trPr>
          <w:trHeight w:val="480" w:hRule="atLeast"/>
          <w:jc w:val="center"/>
        </w:trPr>
        <w:tc>
          <w:tcPr>
            <w:tcW w:w="5000" w:type="pct"/>
            <w:tcBorders>
              <w:left w:val="nil"/>
              <w:right w:val="nil"/>
            </w:tcBorders>
            <w:noWrap w:val="0"/>
            <w:vAlign w:val="center"/>
          </w:tcPr>
          <w:p w14:paraId="323A55E3">
            <w:pPr>
              <w:widowControl/>
              <w:rPr>
                <w:rFonts w:ascii="宋体" w:hAnsi="宋体" w:cs="宋体"/>
                <w:kern w:val="0"/>
                <w:sz w:val="24"/>
                <w:szCs w:val="24"/>
                <w:highlight w:val="none"/>
              </w:rPr>
            </w:pPr>
            <w:r>
              <w:rPr>
                <w:rFonts w:hint="eastAsia" w:ascii="宋体" w:hAnsi="宋体" w:cs="宋体"/>
                <w:kern w:val="0"/>
                <w:sz w:val="24"/>
                <w:szCs w:val="24"/>
                <w:highlight w:val="none"/>
              </w:rPr>
              <w:t>3.4  计日工施工机械</w:t>
            </w:r>
          </w:p>
        </w:tc>
      </w:tr>
      <w:tr w14:paraId="48F4C8A2">
        <w:tblPrEx>
          <w:tblCellMar>
            <w:top w:w="0" w:type="dxa"/>
            <w:left w:w="108" w:type="dxa"/>
            <w:bottom w:w="0" w:type="dxa"/>
            <w:right w:w="108" w:type="dxa"/>
          </w:tblCellMar>
        </w:tblPrEx>
        <w:trPr>
          <w:trHeight w:val="1110" w:hRule="atLeast"/>
          <w:jc w:val="center"/>
        </w:trPr>
        <w:tc>
          <w:tcPr>
            <w:tcW w:w="5000" w:type="pct"/>
            <w:noWrap w:val="0"/>
            <w:vAlign w:val="center"/>
          </w:tcPr>
          <w:p w14:paraId="05D0EB13">
            <w:pPr>
              <w:widowControl/>
              <w:rPr>
                <w:rFonts w:ascii="宋体" w:hAnsi="宋体" w:cs="宋体"/>
                <w:kern w:val="0"/>
                <w:sz w:val="24"/>
                <w:szCs w:val="24"/>
                <w:highlight w:val="none"/>
              </w:rPr>
            </w:pPr>
            <w:r>
              <w:rPr>
                <w:rFonts w:hint="eastAsia" w:ascii="宋体" w:hAnsi="宋体" w:cs="宋体"/>
                <w:kern w:val="0"/>
                <w:sz w:val="24"/>
                <w:szCs w:val="24"/>
                <w:highlight w:val="none"/>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tc>
      </w:tr>
      <w:tr w14:paraId="7CDA98DE">
        <w:tblPrEx>
          <w:tblCellMar>
            <w:top w:w="0" w:type="dxa"/>
            <w:left w:w="108" w:type="dxa"/>
            <w:bottom w:w="0" w:type="dxa"/>
            <w:right w:w="108" w:type="dxa"/>
          </w:tblCellMar>
        </w:tblPrEx>
        <w:trPr>
          <w:trHeight w:val="949" w:hRule="atLeast"/>
          <w:jc w:val="center"/>
        </w:trPr>
        <w:tc>
          <w:tcPr>
            <w:tcW w:w="5000" w:type="pct"/>
            <w:noWrap w:val="0"/>
            <w:vAlign w:val="center"/>
          </w:tcPr>
          <w:p w14:paraId="4312B9EC">
            <w:pPr>
              <w:widowControl/>
              <w:rPr>
                <w:rFonts w:ascii="宋体" w:hAnsi="宋体" w:cs="宋体"/>
                <w:kern w:val="0"/>
                <w:sz w:val="24"/>
                <w:szCs w:val="24"/>
                <w:highlight w:val="none"/>
              </w:rPr>
            </w:pPr>
            <w:r>
              <w:rPr>
                <w:rFonts w:hint="eastAsia" w:ascii="宋体" w:hAnsi="宋体" w:cs="宋体"/>
                <w:kern w:val="0"/>
                <w:sz w:val="24"/>
                <w:szCs w:val="24"/>
                <w:highlight w:val="none"/>
              </w:rPr>
              <w:t>（2）在计日工作业中，承包人计算所用的施工机械费用时，应按实际工作小时支付。除非经监理工程师的同意，计算的工作小时才能将施工机械从现场某处运到监理人指令的计日工作业的另一现场往返运送时间包括在内。</w:t>
            </w:r>
          </w:p>
          <w:p w14:paraId="5832E4EA">
            <w:pPr>
              <w:widowControl/>
              <w:rPr>
                <w:rFonts w:ascii="宋体" w:hAnsi="宋体" w:cs="宋体"/>
                <w:b/>
                <w:bCs/>
                <w:kern w:val="0"/>
                <w:sz w:val="24"/>
                <w:szCs w:val="24"/>
                <w:highlight w:val="none"/>
              </w:rPr>
            </w:pPr>
            <w:r>
              <w:rPr>
                <w:rFonts w:hint="eastAsia" w:ascii="宋体" w:hAnsi="宋体" w:cs="宋体"/>
                <w:b/>
                <w:bCs/>
                <w:kern w:val="0"/>
                <w:sz w:val="24"/>
                <w:szCs w:val="24"/>
                <w:highlight w:val="none"/>
              </w:rPr>
              <w:t>4.其它说明</w:t>
            </w:r>
          </w:p>
          <w:p w14:paraId="6106C240">
            <w:pPr>
              <w:widowControl/>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计日工汇总表、计日工劳务单价表、计日工材料单价表、计日工施工机械单价表、材料暂估价表、工程设备暂估价表、专业工程暂估价表可以不用填写相关数据。</w:t>
            </w:r>
          </w:p>
          <w:p w14:paraId="3D12591F">
            <w:pPr>
              <w:widowControl/>
              <w:rPr>
                <w:rFonts w:hint="eastAsia" w:ascii="宋体" w:hAnsi="宋体" w:cs="宋体"/>
                <w:b/>
                <w:bCs/>
                <w:kern w:val="0"/>
                <w:sz w:val="24"/>
                <w:szCs w:val="24"/>
                <w:highlight w:val="none"/>
              </w:rPr>
            </w:pPr>
            <w:r>
              <w:rPr>
                <w:rFonts w:hint="eastAsia" w:ascii="宋体" w:hAnsi="宋体" w:cs="宋体"/>
                <w:b/>
                <w:bCs/>
                <w:kern w:val="0"/>
                <w:sz w:val="24"/>
                <w:szCs w:val="24"/>
                <w:highlight w:val="none"/>
                <w:lang w:val="en-US" w:eastAsia="zh-CN"/>
              </w:rPr>
              <w:t xml:space="preserve">5.工程量清单 </w:t>
            </w:r>
          </w:p>
          <w:p w14:paraId="1C580881">
            <w:pPr>
              <w:keepNext w:val="0"/>
              <w:keepLines w:val="0"/>
              <w:widowControl/>
              <w:suppressLineNumbers w:val="0"/>
              <w:jc w:val="left"/>
              <w:rPr>
                <w:sz w:val="24"/>
                <w:szCs w:val="24"/>
                <w:highlight w:val="none"/>
              </w:rPr>
            </w:pPr>
            <w:r>
              <w:rPr>
                <w:rFonts w:hint="eastAsia" w:ascii="宋体" w:hAnsi="宋体" w:eastAsia="宋体" w:cs="宋体"/>
                <w:color w:val="000000"/>
                <w:kern w:val="0"/>
                <w:sz w:val="24"/>
                <w:szCs w:val="24"/>
                <w:highlight w:val="none"/>
                <w:lang w:val="en-US" w:eastAsia="zh-CN" w:bidi="ar"/>
              </w:rPr>
              <w:t xml:space="preserve">5.1 工程量清单表 </w:t>
            </w:r>
          </w:p>
          <w:p w14:paraId="438B1955">
            <w:pPr>
              <w:keepNext w:val="0"/>
              <w:keepLines w:val="0"/>
              <w:widowControl/>
              <w:suppressLineNumbers w:val="0"/>
              <w:jc w:val="left"/>
              <w:rPr>
                <w:sz w:val="24"/>
                <w:szCs w:val="24"/>
                <w:highlight w:val="none"/>
              </w:rPr>
            </w:pPr>
            <w:r>
              <w:rPr>
                <w:rFonts w:hint="eastAsia" w:ascii="宋体" w:hAnsi="宋体" w:eastAsia="宋体" w:cs="宋体"/>
                <w:color w:val="000000"/>
                <w:kern w:val="0"/>
                <w:sz w:val="24"/>
                <w:szCs w:val="24"/>
                <w:highlight w:val="none"/>
                <w:lang w:val="en-US" w:eastAsia="zh-CN" w:bidi="ar"/>
              </w:rPr>
              <w:t>详见附件</w:t>
            </w:r>
          </w:p>
          <w:p w14:paraId="16994BC2">
            <w:pPr>
              <w:widowControl/>
              <w:jc w:val="left"/>
              <w:rPr>
                <w:rFonts w:hint="default" w:ascii="宋体" w:hAnsi="宋体" w:eastAsia="宋体" w:cs="宋体"/>
                <w:kern w:val="0"/>
                <w:sz w:val="24"/>
                <w:szCs w:val="24"/>
                <w:highlight w:val="none"/>
                <w:lang w:val="en-US" w:eastAsia="zh-CN"/>
              </w:rPr>
            </w:pPr>
          </w:p>
        </w:tc>
      </w:tr>
      <w:bookmarkEnd w:id="163"/>
    </w:tbl>
    <w:p w14:paraId="715E5D54">
      <w:pPr>
        <w:autoSpaceDE w:val="0"/>
        <w:autoSpaceDN w:val="0"/>
        <w:spacing w:line="400" w:lineRule="atLeast"/>
        <w:jc w:val="center"/>
        <w:textAlignment w:val="bottom"/>
        <w:rPr>
          <w:rFonts w:ascii="宋体" w:hAnsi="宋体"/>
          <w:sz w:val="24"/>
          <w:szCs w:val="24"/>
          <w:highlight w:val="none"/>
        </w:rPr>
      </w:pPr>
    </w:p>
    <w:p w14:paraId="258784B6">
      <w:pPr>
        <w:tabs>
          <w:tab w:val="left" w:pos="900"/>
        </w:tabs>
        <w:jc w:val="center"/>
        <w:rPr>
          <w:rFonts w:hint="eastAsia" w:ascii="宋体" w:hAnsi="宋体" w:eastAsia="宋体" w:cs="宋体"/>
          <w:b/>
          <w:bCs/>
          <w:color w:val="auto"/>
          <w:kern w:val="0"/>
          <w:sz w:val="24"/>
          <w:szCs w:val="24"/>
          <w:highlight w:val="none"/>
          <w:lang w:val="en-US" w:eastAsia="zh-CN" w:bidi="ar-SA"/>
        </w:rPr>
      </w:pPr>
    </w:p>
    <w:p w14:paraId="1CA0EAAC">
      <w:pPr>
        <w:tabs>
          <w:tab w:val="left" w:pos="900"/>
        </w:tabs>
        <w:jc w:val="center"/>
        <w:rPr>
          <w:rFonts w:hint="eastAsia" w:ascii="宋体" w:hAnsi="宋体" w:eastAsia="宋体" w:cs="宋体"/>
          <w:b/>
          <w:bCs/>
          <w:color w:val="auto"/>
          <w:kern w:val="0"/>
          <w:sz w:val="24"/>
          <w:szCs w:val="24"/>
          <w:highlight w:val="none"/>
          <w:lang w:val="en-US" w:eastAsia="zh-CN" w:bidi="ar-SA"/>
        </w:rPr>
      </w:pPr>
    </w:p>
    <w:p w14:paraId="5FCDC53B">
      <w:pPr>
        <w:tabs>
          <w:tab w:val="left" w:pos="900"/>
        </w:tabs>
        <w:jc w:val="center"/>
        <w:rPr>
          <w:rFonts w:hint="eastAsia" w:ascii="宋体" w:hAnsi="宋体" w:eastAsia="宋体" w:cs="宋体"/>
          <w:b/>
          <w:bCs/>
          <w:color w:val="auto"/>
          <w:kern w:val="0"/>
          <w:sz w:val="24"/>
          <w:szCs w:val="24"/>
          <w:highlight w:val="none"/>
          <w:lang w:val="en-US" w:eastAsia="zh-CN" w:bidi="ar-SA"/>
        </w:rPr>
      </w:pPr>
    </w:p>
    <w:p w14:paraId="3C38DB2D">
      <w:pPr>
        <w:pStyle w:val="8"/>
        <w:rPr>
          <w:rFonts w:hint="eastAsia" w:ascii="宋体" w:hAnsi="宋体" w:eastAsia="宋体" w:cs="宋体"/>
          <w:b/>
          <w:bCs/>
          <w:color w:val="auto"/>
          <w:kern w:val="0"/>
          <w:sz w:val="30"/>
          <w:szCs w:val="30"/>
          <w:highlight w:val="none"/>
          <w:lang w:val="en-US" w:eastAsia="zh-CN" w:bidi="ar-SA"/>
        </w:rPr>
      </w:pPr>
    </w:p>
    <w:p w14:paraId="327FC9E0">
      <w:pPr>
        <w:tabs>
          <w:tab w:val="left" w:pos="900"/>
        </w:tabs>
        <w:jc w:val="both"/>
        <w:rPr>
          <w:rFonts w:hint="eastAsia" w:ascii="宋体" w:hAnsi="宋体" w:eastAsia="宋体" w:cs="宋体"/>
          <w:b/>
          <w:bCs/>
          <w:color w:val="auto"/>
          <w:kern w:val="0"/>
          <w:sz w:val="30"/>
          <w:szCs w:val="30"/>
          <w:highlight w:val="none"/>
          <w:lang w:val="en-US" w:eastAsia="zh-CN" w:bidi="ar-SA"/>
        </w:rPr>
      </w:pPr>
    </w:p>
    <w:p w14:paraId="5AD0913B">
      <w:pPr>
        <w:tabs>
          <w:tab w:val="left" w:pos="900"/>
        </w:tabs>
        <w:jc w:val="center"/>
        <w:rPr>
          <w:rFonts w:hint="eastAsia" w:ascii="宋体" w:hAnsi="宋体" w:eastAsia="宋体" w:cs="宋体"/>
          <w:b/>
          <w:bCs/>
          <w:color w:val="auto"/>
          <w:kern w:val="0"/>
          <w:sz w:val="30"/>
          <w:szCs w:val="30"/>
          <w:highlight w:val="yellow"/>
          <w:lang w:val="en-US" w:eastAsia="zh-CN" w:bidi="ar-SA"/>
        </w:rPr>
      </w:pPr>
    </w:p>
    <w:p w14:paraId="68F2C9E0">
      <w:pPr>
        <w:jc w:val="center"/>
        <w:rPr>
          <w:rFonts w:hint="eastAsia"/>
          <w:b/>
          <w:bCs/>
          <w:color w:val="auto"/>
          <w:sz w:val="32"/>
          <w:highlight w:val="yellow"/>
        </w:rPr>
      </w:pPr>
    </w:p>
    <w:p w14:paraId="1D23EBDF">
      <w:pPr>
        <w:jc w:val="center"/>
        <w:rPr>
          <w:rFonts w:hint="eastAsia"/>
          <w:b/>
          <w:bCs/>
          <w:color w:val="auto"/>
          <w:sz w:val="32"/>
          <w:highlight w:val="none"/>
        </w:rPr>
      </w:pPr>
    </w:p>
    <w:p w14:paraId="4ECB0A4D">
      <w:pPr>
        <w:jc w:val="center"/>
        <w:rPr>
          <w:rFonts w:hint="eastAsia"/>
          <w:b/>
          <w:bCs/>
          <w:color w:val="auto"/>
          <w:sz w:val="32"/>
          <w:highlight w:val="none"/>
        </w:rPr>
      </w:pPr>
    </w:p>
    <w:p w14:paraId="16681144">
      <w:pPr>
        <w:jc w:val="center"/>
        <w:rPr>
          <w:rFonts w:hint="eastAsia"/>
          <w:b/>
          <w:bCs/>
          <w:color w:val="auto"/>
          <w:sz w:val="32"/>
          <w:highlight w:val="none"/>
        </w:rPr>
      </w:pPr>
    </w:p>
    <w:p w14:paraId="31DB17B2">
      <w:pPr>
        <w:jc w:val="center"/>
        <w:rPr>
          <w:rFonts w:hint="eastAsia"/>
          <w:b/>
          <w:bCs/>
          <w:color w:val="auto"/>
          <w:sz w:val="32"/>
          <w:highlight w:val="none"/>
        </w:rPr>
      </w:pPr>
    </w:p>
    <w:p w14:paraId="56B1DA47">
      <w:pPr>
        <w:jc w:val="center"/>
        <w:rPr>
          <w:rFonts w:hint="eastAsia"/>
          <w:b/>
          <w:bCs/>
          <w:color w:val="auto"/>
          <w:sz w:val="32"/>
          <w:highlight w:val="none"/>
        </w:rPr>
      </w:pPr>
    </w:p>
    <w:p w14:paraId="5B3DF75C">
      <w:pPr>
        <w:jc w:val="center"/>
        <w:rPr>
          <w:rFonts w:hint="eastAsia"/>
          <w:b/>
          <w:bCs/>
          <w:color w:val="auto"/>
          <w:sz w:val="32"/>
          <w:highlight w:val="none"/>
        </w:rPr>
      </w:pPr>
    </w:p>
    <w:p w14:paraId="185C504D">
      <w:pPr>
        <w:jc w:val="center"/>
        <w:rPr>
          <w:rFonts w:hint="eastAsia"/>
          <w:b/>
          <w:bCs/>
          <w:color w:val="auto"/>
          <w:sz w:val="32"/>
          <w:highlight w:val="none"/>
        </w:rPr>
      </w:pPr>
    </w:p>
    <w:p w14:paraId="45902D0B">
      <w:pPr>
        <w:jc w:val="center"/>
        <w:rPr>
          <w:rFonts w:hint="eastAsia"/>
          <w:b/>
          <w:bCs/>
          <w:color w:val="auto"/>
          <w:sz w:val="32"/>
          <w:highlight w:val="none"/>
        </w:rPr>
      </w:pPr>
    </w:p>
    <w:p w14:paraId="68EBCE52">
      <w:pPr>
        <w:jc w:val="center"/>
        <w:rPr>
          <w:rFonts w:hint="eastAsia"/>
          <w:b/>
          <w:bCs/>
          <w:color w:val="auto"/>
          <w:sz w:val="32"/>
          <w:highlight w:val="none"/>
        </w:rPr>
      </w:pPr>
    </w:p>
    <w:p w14:paraId="52D2C8EB">
      <w:pPr>
        <w:jc w:val="center"/>
        <w:rPr>
          <w:rFonts w:hint="eastAsia"/>
          <w:b/>
          <w:bCs/>
          <w:color w:val="auto"/>
          <w:sz w:val="32"/>
          <w:highlight w:val="none"/>
        </w:rPr>
      </w:pPr>
    </w:p>
    <w:p w14:paraId="138CE6B3">
      <w:pPr>
        <w:rPr>
          <w:rFonts w:ascii="Times New Roman"/>
          <w:sz w:val="18"/>
        </w:rPr>
        <w:sectPr>
          <w:headerReference r:id="rId3" w:type="default"/>
          <w:footerReference r:id="rId4" w:type="default"/>
          <w:pgSz w:w="11910" w:h="16840"/>
          <w:pgMar w:top="1320" w:right="810" w:bottom="960" w:left="800" w:header="0" w:footer="0" w:gutter="0"/>
          <w:cols w:space="720" w:num="1"/>
        </w:sectPr>
      </w:pPr>
    </w:p>
    <w:p w14:paraId="67EFABDE">
      <w:pPr>
        <w:pStyle w:val="76"/>
        <w:spacing w:line="360" w:lineRule="auto"/>
        <w:ind w:left="0" w:leftChars="0" w:firstLine="0" w:firstLineChars="0"/>
        <w:jc w:val="center"/>
        <w:outlineLvl w:val="0"/>
        <w:rPr>
          <w:rFonts w:hint="eastAsia" w:hAnsi="宋体" w:cs="宋体"/>
          <w:b/>
          <w:color w:val="auto"/>
          <w:sz w:val="32"/>
          <w:szCs w:val="32"/>
          <w:highlight w:val="none"/>
        </w:rPr>
      </w:pPr>
    </w:p>
    <w:p w14:paraId="4FDCBEFF">
      <w:pPr>
        <w:rPr>
          <w:rFonts w:hint="eastAsia"/>
        </w:rPr>
      </w:pPr>
    </w:p>
    <w:p w14:paraId="5C4AE8BF">
      <w:pPr>
        <w:pStyle w:val="76"/>
        <w:spacing w:line="360" w:lineRule="auto"/>
        <w:ind w:left="0" w:leftChars="0" w:firstLine="0" w:firstLineChars="0"/>
        <w:jc w:val="center"/>
        <w:outlineLvl w:val="0"/>
        <w:rPr>
          <w:rFonts w:hint="eastAsia" w:hAnsi="宋体" w:cs="宋体"/>
          <w:b/>
          <w:color w:val="auto"/>
          <w:sz w:val="32"/>
          <w:szCs w:val="32"/>
          <w:highlight w:val="none"/>
        </w:rPr>
      </w:pPr>
    </w:p>
    <w:p w14:paraId="549947F4">
      <w:pPr>
        <w:pStyle w:val="76"/>
        <w:spacing w:line="360" w:lineRule="auto"/>
        <w:ind w:left="0" w:leftChars="0" w:firstLine="0" w:firstLineChars="0"/>
        <w:jc w:val="center"/>
        <w:outlineLvl w:val="0"/>
        <w:rPr>
          <w:rFonts w:hint="default" w:hAnsi="宋体" w:eastAsia="宋体" w:cs="宋体"/>
          <w:b/>
          <w:color w:val="auto"/>
          <w:sz w:val="32"/>
          <w:szCs w:val="32"/>
          <w:highlight w:val="none"/>
          <w:lang w:val="en-US" w:eastAsia="zh-CN"/>
        </w:rPr>
      </w:pPr>
      <w:r>
        <w:rPr>
          <w:rFonts w:hint="eastAsia" w:hAnsi="宋体" w:cs="宋体"/>
          <w:b/>
          <w:color w:val="auto"/>
          <w:sz w:val="32"/>
          <w:szCs w:val="32"/>
          <w:highlight w:val="none"/>
        </w:rPr>
        <w:t>第</w:t>
      </w:r>
      <w:r>
        <w:rPr>
          <w:rFonts w:hint="eastAsia" w:hAnsi="宋体" w:cs="宋体"/>
          <w:b/>
          <w:color w:val="auto"/>
          <w:sz w:val="32"/>
          <w:szCs w:val="32"/>
          <w:highlight w:val="none"/>
          <w:lang w:val="en-US" w:eastAsia="zh-CN"/>
        </w:rPr>
        <w:t>八</w:t>
      </w:r>
      <w:r>
        <w:rPr>
          <w:rFonts w:hint="eastAsia" w:hAnsi="宋体" w:cs="宋体"/>
          <w:b/>
          <w:color w:val="auto"/>
          <w:sz w:val="32"/>
          <w:szCs w:val="32"/>
          <w:highlight w:val="none"/>
        </w:rPr>
        <w:t xml:space="preserve">章  </w:t>
      </w:r>
      <w:r>
        <w:rPr>
          <w:rFonts w:hint="eastAsia" w:hAnsi="宋体" w:cs="宋体"/>
          <w:b/>
          <w:color w:val="auto"/>
          <w:sz w:val="32"/>
          <w:szCs w:val="32"/>
          <w:highlight w:val="none"/>
          <w:lang w:val="en-US" w:eastAsia="zh-CN"/>
        </w:rPr>
        <w:t>图纸（如有另附）</w:t>
      </w:r>
    </w:p>
    <w:p w14:paraId="12DC31D5">
      <w:pPr>
        <w:pStyle w:val="12"/>
        <w:rPr>
          <w:sz w:val="20"/>
        </w:rPr>
      </w:pPr>
    </w:p>
    <w:p w14:paraId="27DAC63B">
      <w:pPr>
        <w:pStyle w:val="12"/>
        <w:rPr>
          <w:sz w:val="20"/>
        </w:rPr>
      </w:pPr>
    </w:p>
    <w:p w14:paraId="12F4CE28">
      <w:pPr>
        <w:pStyle w:val="12"/>
        <w:rPr>
          <w:sz w:val="20"/>
        </w:rPr>
      </w:pPr>
    </w:p>
    <w:p w14:paraId="3DA6A428">
      <w:pPr>
        <w:pStyle w:val="12"/>
        <w:rPr>
          <w:sz w:val="20"/>
        </w:rPr>
      </w:pPr>
    </w:p>
    <w:p w14:paraId="2763F415">
      <w:pPr>
        <w:pStyle w:val="12"/>
        <w:rPr>
          <w:sz w:val="20"/>
        </w:rPr>
      </w:pPr>
    </w:p>
    <w:p w14:paraId="4190F8CF">
      <w:pPr>
        <w:pStyle w:val="12"/>
        <w:rPr>
          <w:sz w:val="20"/>
        </w:rPr>
      </w:pPr>
    </w:p>
    <w:p w14:paraId="4EBEE2D6">
      <w:pPr>
        <w:pStyle w:val="12"/>
        <w:rPr>
          <w:sz w:val="20"/>
        </w:rPr>
      </w:pPr>
    </w:p>
    <w:p w14:paraId="5B40CEAE">
      <w:pPr>
        <w:pStyle w:val="12"/>
        <w:rPr>
          <w:sz w:val="20"/>
        </w:rPr>
      </w:pPr>
    </w:p>
    <w:p w14:paraId="0A5C666B">
      <w:pPr>
        <w:pStyle w:val="12"/>
        <w:rPr>
          <w:sz w:val="20"/>
        </w:rPr>
      </w:pPr>
    </w:p>
    <w:p w14:paraId="1AD5F9D6">
      <w:pPr>
        <w:pStyle w:val="12"/>
        <w:rPr>
          <w:sz w:val="20"/>
        </w:rPr>
      </w:pPr>
    </w:p>
    <w:p w14:paraId="76A767D1">
      <w:pPr>
        <w:pStyle w:val="12"/>
        <w:rPr>
          <w:sz w:val="20"/>
        </w:rPr>
      </w:pPr>
    </w:p>
    <w:p w14:paraId="1B7CC95E">
      <w:pPr>
        <w:pStyle w:val="12"/>
        <w:rPr>
          <w:sz w:val="20"/>
        </w:rPr>
      </w:pPr>
    </w:p>
    <w:p w14:paraId="687DE975">
      <w:pPr>
        <w:pStyle w:val="12"/>
        <w:rPr>
          <w:sz w:val="20"/>
        </w:rPr>
      </w:pPr>
    </w:p>
    <w:p w14:paraId="6D57F4C2">
      <w:pPr>
        <w:pStyle w:val="12"/>
        <w:rPr>
          <w:sz w:val="20"/>
        </w:rPr>
      </w:pPr>
    </w:p>
    <w:p w14:paraId="1D11AD92">
      <w:pPr>
        <w:pStyle w:val="12"/>
        <w:rPr>
          <w:sz w:val="20"/>
        </w:rPr>
      </w:pPr>
    </w:p>
    <w:p w14:paraId="5CF4A1A0">
      <w:pPr>
        <w:pStyle w:val="12"/>
        <w:rPr>
          <w:sz w:val="20"/>
        </w:rPr>
      </w:pPr>
    </w:p>
    <w:p w14:paraId="03870D66">
      <w:pPr>
        <w:pStyle w:val="12"/>
        <w:rPr>
          <w:sz w:val="20"/>
        </w:rPr>
      </w:pPr>
    </w:p>
    <w:p w14:paraId="63E2116E">
      <w:pPr>
        <w:pStyle w:val="12"/>
        <w:rPr>
          <w:sz w:val="20"/>
        </w:rPr>
      </w:pPr>
    </w:p>
    <w:p w14:paraId="28C68A61">
      <w:pPr>
        <w:pStyle w:val="12"/>
        <w:rPr>
          <w:sz w:val="20"/>
        </w:rPr>
      </w:pPr>
    </w:p>
    <w:p w14:paraId="29D360B9">
      <w:pPr>
        <w:pStyle w:val="12"/>
        <w:rPr>
          <w:sz w:val="20"/>
        </w:rPr>
      </w:pPr>
    </w:p>
    <w:p w14:paraId="619AC26F">
      <w:pPr>
        <w:pStyle w:val="12"/>
        <w:rPr>
          <w:sz w:val="20"/>
        </w:rPr>
      </w:pPr>
    </w:p>
    <w:p w14:paraId="479F5E0B">
      <w:pPr>
        <w:pStyle w:val="12"/>
        <w:rPr>
          <w:sz w:val="20"/>
        </w:rPr>
      </w:pPr>
    </w:p>
    <w:p w14:paraId="405A06AB">
      <w:pPr>
        <w:pStyle w:val="12"/>
        <w:rPr>
          <w:sz w:val="20"/>
        </w:rPr>
      </w:pPr>
    </w:p>
    <w:p w14:paraId="63C1A12A">
      <w:pPr>
        <w:pStyle w:val="12"/>
        <w:rPr>
          <w:sz w:val="20"/>
        </w:rPr>
      </w:pPr>
    </w:p>
    <w:p w14:paraId="231A138E">
      <w:pPr>
        <w:pStyle w:val="12"/>
        <w:rPr>
          <w:sz w:val="20"/>
        </w:rPr>
      </w:pPr>
    </w:p>
    <w:p w14:paraId="36C03877">
      <w:pPr>
        <w:pStyle w:val="12"/>
        <w:rPr>
          <w:sz w:val="20"/>
        </w:rPr>
      </w:pPr>
    </w:p>
    <w:p w14:paraId="6C981F73">
      <w:pPr>
        <w:pStyle w:val="12"/>
        <w:rPr>
          <w:sz w:val="20"/>
        </w:rPr>
      </w:pPr>
    </w:p>
    <w:p w14:paraId="261A84AB">
      <w:pPr>
        <w:pStyle w:val="12"/>
        <w:rPr>
          <w:sz w:val="20"/>
        </w:rPr>
      </w:pPr>
    </w:p>
    <w:p w14:paraId="7AFC0F07">
      <w:pPr>
        <w:pStyle w:val="12"/>
        <w:rPr>
          <w:sz w:val="20"/>
        </w:rPr>
      </w:pPr>
    </w:p>
    <w:p w14:paraId="3D341DB2">
      <w:pPr>
        <w:pStyle w:val="12"/>
        <w:rPr>
          <w:sz w:val="20"/>
        </w:rPr>
      </w:pPr>
    </w:p>
    <w:p w14:paraId="207D562A">
      <w:pPr>
        <w:pStyle w:val="12"/>
        <w:rPr>
          <w:sz w:val="20"/>
        </w:rPr>
      </w:pPr>
    </w:p>
    <w:p w14:paraId="1D1F2D21">
      <w:pPr>
        <w:pStyle w:val="12"/>
        <w:rPr>
          <w:sz w:val="20"/>
        </w:rPr>
      </w:pPr>
    </w:p>
    <w:p w14:paraId="72A0674E">
      <w:pPr>
        <w:pStyle w:val="12"/>
        <w:rPr>
          <w:sz w:val="20"/>
        </w:rPr>
      </w:pPr>
    </w:p>
    <w:p w14:paraId="45AE7712">
      <w:pPr>
        <w:pStyle w:val="12"/>
        <w:rPr>
          <w:sz w:val="20"/>
        </w:rPr>
      </w:pPr>
    </w:p>
    <w:p w14:paraId="4B31638B">
      <w:pPr>
        <w:pStyle w:val="12"/>
        <w:rPr>
          <w:sz w:val="20"/>
        </w:rPr>
      </w:pPr>
    </w:p>
    <w:p w14:paraId="677D28EC">
      <w:pPr>
        <w:pStyle w:val="12"/>
        <w:rPr>
          <w:sz w:val="20"/>
        </w:rPr>
      </w:pPr>
    </w:p>
    <w:p w14:paraId="16B3A2DD">
      <w:pPr>
        <w:pStyle w:val="76"/>
        <w:numPr>
          <w:ilvl w:val="0"/>
          <w:numId w:val="16"/>
        </w:numPr>
        <w:spacing w:line="360" w:lineRule="auto"/>
        <w:ind w:leftChars="800" w:firstLine="1285" w:firstLineChars="400"/>
        <w:outlineLvl w:val="0"/>
        <w:rPr>
          <w:rFonts w:hint="eastAsia" w:hAnsi="宋体" w:cs="宋体"/>
          <w:b/>
          <w:color w:val="auto"/>
          <w:sz w:val="32"/>
          <w:szCs w:val="32"/>
          <w:highlight w:val="none"/>
          <w:lang w:val="en-US" w:eastAsia="zh-CN"/>
        </w:rPr>
      </w:pPr>
      <w:r>
        <w:rPr>
          <w:rFonts w:hint="eastAsia" w:hAnsi="宋体" w:cs="宋体"/>
          <w:b/>
          <w:color w:val="auto"/>
          <w:sz w:val="32"/>
          <w:szCs w:val="32"/>
          <w:highlight w:val="none"/>
          <w:lang w:val="en-US" w:eastAsia="zh-CN"/>
        </w:rPr>
        <w:t xml:space="preserve"> </w:t>
      </w:r>
      <w:r>
        <w:rPr>
          <w:rFonts w:hint="eastAsia" w:hAnsi="宋体" w:cs="宋体"/>
          <w:b/>
          <w:color w:val="auto"/>
          <w:sz w:val="32"/>
          <w:szCs w:val="32"/>
          <w:highlight w:val="none"/>
        </w:rPr>
        <w:t xml:space="preserve"> </w:t>
      </w:r>
      <w:r>
        <w:rPr>
          <w:rFonts w:hint="eastAsia" w:hAnsi="宋体" w:cs="宋体"/>
          <w:b/>
          <w:color w:val="auto"/>
          <w:sz w:val="32"/>
          <w:szCs w:val="32"/>
          <w:highlight w:val="none"/>
          <w:lang w:val="en-US" w:eastAsia="zh-CN"/>
        </w:rPr>
        <w:t>技术规范</w:t>
      </w:r>
    </w:p>
    <w:p w14:paraId="21DC8867">
      <w:pPr>
        <w:widowControl w:val="0"/>
        <w:numPr>
          <w:ilvl w:val="0"/>
          <w:numId w:val="0"/>
        </w:numPr>
        <w:jc w:val="both"/>
        <w:rPr>
          <w:rFonts w:hint="eastAsia"/>
          <w:highlight w:val="none"/>
          <w:lang w:val="en-US" w:eastAsia="zh-CN"/>
        </w:rPr>
      </w:pPr>
    </w:p>
    <w:p w14:paraId="698BCF44">
      <w:pPr>
        <w:autoSpaceDE w:val="0"/>
        <w:autoSpaceDN w:val="0"/>
        <w:spacing w:line="480" w:lineRule="atLeast"/>
        <w:ind w:firstLine="480" w:firstLineChars="200"/>
        <w:textAlignment w:val="bottom"/>
        <w:rPr>
          <w:rFonts w:ascii="宋体" w:hAnsi="宋体"/>
          <w:color w:val="auto"/>
          <w:sz w:val="24"/>
          <w:highlight w:val="none"/>
        </w:rPr>
      </w:pPr>
      <w:r>
        <w:rPr>
          <w:rFonts w:hint="eastAsia" w:ascii="宋体" w:hAnsi="宋体"/>
          <w:color w:val="auto"/>
          <w:sz w:val="24"/>
          <w:highlight w:val="none"/>
        </w:rPr>
        <w:t>一</w:t>
      </w:r>
      <w:r>
        <w:rPr>
          <w:rFonts w:ascii="宋体" w:hAnsi="宋体"/>
          <w:color w:val="auto"/>
          <w:sz w:val="24"/>
          <w:highlight w:val="none"/>
        </w:rPr>
        <w:t>、</w:t>
      </w:r>
      <w:r>
        <w:rPr>
          <w:rFonts w:hint="eastAsia" w:ascii="宋体" w:hAnsi="宋体"/>
          <w:color w:val="auto"/>
          <w:sz w:val="24"/>
          <w:highlight w:val="none"/>
        </w:rPr>
        <w:t>本技术规范执行自治区交通运输厅发布的</w:t>
      </w:r>
      <w:r>
        <w:rPr>
          <w:rFonts w:hint="eastAsia" w:ascii="宋体" w:hAnsi="宋体"/>
          <w:color w:val="auto"/>
          <w:sz w:val="24"/>
          <w:highlight w:val="none"/>
          <w:lang w:eastAsia="zh-CN"/>
        </w:rPr>
        <w:t>“</w:t>
      </w:r>
      <w:r>
        <w:rPr>
          <w:rFonts w:hint="eastAsia" w:ascii="宋体" w:hAnsi="宋体"/>
          <w:color w:val="auto"/>
          <w:sz w:val="24"/>
          <w:highlight w:val="none"/>
        </w:rPr>
        <w:t>《新疆公路养护工程工程量清单计价规则》（新交综﹝2012﹞212号）</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和本项目施工图设计文件</w:t>
      </w:r>
      <w:r>
        <w:rPr>
          <w:rFonts w:hint="eastAsia" w:ascii="宋体" w:hAnsi="宋体"/>
          <w:color w:val="auto"/>
          <w:sz w:val="24"/>
          <w:highlight w:val="none"/>
        </w:rPr>
        <w:t>。</w:t>
      </w:r>
    </w:p>
    <w:p w14:paraId="3E90D653">
      <w:pPr>
        <w:autoSpaceDE w:val="0"/>
        <w:autoSpaceDN w:val="0"/>
        <w:spacing w:line="480" w:lineRule="atLeast"/>
        <w:ind w:firstLine="480" w:firstLineChars="200"/>
        <w:textAlignment w:val="bottom"/>
        <w:rPr>
          <w:rFonts w:hint="eastAsia" w:ascii="宋体" w:hAnsi="宋体"/>
          <w:color w:val="auto"/>
          <w:sz w:val="24"/>
          <w:highlight w:val="none"/>
        </w:rPr>
      </w:pPr>
      <w:r>
        <w:rPr>
          <w:rFonts w:hint="eastAsia" w:ascii="宋体" w:hAnsi="宋体"/>
          <w:color w:val="auto"/>
          <w:sz w:val="24"/>
          <w:highlight w:val="none"/>
        </w:rPr>
        <w:t>二、工程量清单子目对应的技术规范使用</w:t>
      </w:r>
      <w:r>
        <w:rPr>
          <w:rFonts w:hint="eastAsia" w:ascii="宋体" w:hAnsi="宋体"/>
          <w:color w:val="auto"/>
          <w:sz w:val="24"/>
          <w:highlight w:val="none"/>
          <w:lang w:eastAsia="zh-CN"/>
        </w:rPr>
        <w:t>“</w:t>
      </w:r>
      <w:r>
        <w:rPr>
          <w:rFonts w:hint="eastAsia" w:ascii="宋体" w:hAnsi="宋体"/>
          <w:color w:val="auto"/>
          <w:sz w:val="24"/>
          <w:highlight w:val="none"/>
        </w:rPr>
        <w:t>《新疆公路养护工程工程量清单计价规则》（新交综﹝2012﹞212号）</w:t>
      </w:r>
      <w:r>
        <w:rPr>
          <w:rFonts w:hint="eastAsia" w:ascii="宋体" w:hAnsi="宋体"/>
          <w:color w:val="auto"/>
          <w:sz w:val="24"/>
          <w:highlight w:val="none"/>
          <w:lang w:eastAsia="zh-CN"/>
        </w:rPr>
        <w:t>”</w:t>
      </w:r>
      <w:r>
        <w:rPr>
          <w:rFonts w:hint="eastAsia" w:ascii="宋体" w:hAnsi="宋体"/>
          <w:color w:val="auto"/>
          <w:sz w:val="24"/>
          <w:highlight w:val="none"/>
        </w:rPr>
        <w:t>。</w:t>
      </w:r>
    </w:p>
    <w:p w14:paraId="1F84BF1F">
      <w:pPr>
        <w:widowControl/>
        <w:tabs>
          <w:tab w:val="left" w:pos="1041"/>
          <w:tab w:val="left" w:pos="5369"/>
        </w:tabs>
        <w:spacing w:before="84" w:line="300" w:lineRule="exact"/>
        <w:ind w:firstLine="480" w:firstLineChars="200"/>
        <w:jc w:val="left"/>
        <w:rPr>
          <w:rFonts w:hint="eastAsia" w:ascii="宋体" w:hAnsi="宋体" w:cs="宋体"/>
          <w:kern w:val="0"/>
          <w:sz w:val="24"/>
          <w:lang w:val="zh-CN" w:bidi="zh-CN"/>
        </w:rPr>
      </w:pPr>
      <w:r>
        <w:rPr>
          <w:rFonts w:hint="eastAsia" w:ascii="宋体" w:hAnsi="宋体"/>
          <w:color w:val="auto"/>
          <w:sz w:val="24"/>
          <w:highlight w:val="none"/>
          <w:lang w:val="en-US" w:eastAsia="zh-CN"/>
        </w:rPr>
        <w:t>三、</w:t>
      </w:r>
      <w:r>
        <w:rPr>
          <w:rFonts w:hint="eastAsia" w:ascii="宋体" w:hAnsi="宋体" w:cs="宋体"/>
          <w:kern w:val="0"/>
          <w:sz w:val="24"/>
          <w:lang w:val="zh-CN" w:bidi="zh-CN"/>
        </w:rPr>
        <w:t>交通运输部行业标准：</w:t>
      </w:r>
    </w:p>
    <w:p w14:paraId="7C1BFF35">
      <w:pPr>
        <w:widowControl/>
        <w:numPr>
          <w:ilvl w:val="1"/>
          <w:numId w:val="17"/>
        </w:numPr>
        <w:tabs>
          <w:tab w:val="left" w:pos="1041"/>
          <w:tab w:val="left" w:pos="5369"/>
        </w:tabs>
        <w:spacing w:before="84" w:line="300" w:lineRule="exact"/>
        <w:jc w:val="left"/>
        <w:rPr>
          <w:rFonts w:ascii="宋体" w:hAnsi="宋体" w:cs="宋体"/>
          <w:kern w:val="0"/>
          <w:sz w:val="24"/>
          <w:lang w:val="zh-CN" w:bidi="zh-CN"/>
        </w:rPr>
      </w:pPr>
      <w:r>
        <w:rPr>
          <w:rFonts w:hint="eastAsia" w:ascii="宋体" w:hAnsi="宋体" w:cs="宋体"/>
          <w:kern w:val="0"/>
          <w:sz w:val="24"/>
          <w:lang w:val="zh-CN" w:bidi="zh-CN"/>
        </w:rPr>
        <w:t>《公路工程技术标准》（JTG</w:t>
      </w:r>
      <w:r>
        <w:rPr>
          <w:rFonts w:hint="eastAsia" w:ascii="宋体" w:hAnsi="宋体" w:cs="宋体"/>
          <w:spacing w:val="-2"/>
          <w:kern w:val="0"/>
          <w:sz w:val="24"/>
          <w:lang w:val="zh-CN" w:bidi="zh-CN"/>
        </w:rPr>
        <w:t xml:space="preserve"> </w:t>
      </w:r>
      <w:r>
        <w:rPr>
          <w:rFonts w:hint="eastAsia" w:ascii="宋体" w:hAnsi="宋体" w:cs="宋体"/>
          <w:kern w:val="0"/>
          <w:sz w:val="24"/>
          <w:lang w:val="zh-CN" w:bidi="zh-CN"/>
        </w:rPr>
        <w:t>B01-2014）</w:t>
      </w:r>
    </w:p>
    <w:p w14:paraId="460D0A30">
      <w:pPr>
        <w:widowControl/>
        <w:numPr>
          <w:ilvl w:val="1"/>
          <w:numId w:val="17"/>
        </w:numPr>
        <w:tabs>
          <w:tab w:val="left" w:pos="1041"/>
          <w:tab w:val="left" w:pos="5369"/>
        </w:tabs>
        <w:spacing w:before="84" w:line="300" w:lineRule="exact"/>
        <w:jc w:val="left"/>
        <w:rPr>
          <w:rFonts w:ascii="宋体" w:hAnsi="宋体" w:cs="宋体"/>
          <w:kern w:val="0"/>
          <w:sz w:val="24"/>
          <w:lang w:val="zh-CN" w:bidi="zh-CN"/>
        </w:rPr>
      </w:pPr>
      <w:r>
        <w:rPr>
          <w:rFonts w:hint="eastAsia" w:ascii="宋体" w:hAnsi="宋体" w:cs="宋体"/>
          <w:spacing w:val="-3"/>
          <w:kern w:val="0"/>
          <w:sz w:val="24"/>
          <w:lang w:val="zh-CN" w:bidi="zh-CN"/>
        </w:rPr>
        <w:t>《</w:t>
      </w:r>
      <w:r>
        <w:rPr>
          <w:rFonts w:hint="eastAsia" w:ascii="宋体" w:hAnsi="宋体" w:cs="宋体"/>
          <w:kern w:val="0"/>
          <w:sz w:val="24"/>
          <w:lang w:val="zh-CN" w:bidi="zh-CN"/>
        </w:rPr>
        <w:t>公路工程质量检验评定标准》</w:t>
      </w:r>
      <w:r>
        <w:rPr>
          <w:rFonts w:hint="eastAsia" w:ascii="宋体" w:hAnsi="宋体" w:cs="宋体"/>
          <w:spacing w:val="-36"/>
          <w:kern w:val="0"/>
          <w:sz w:val="24"/>
          <w:lang w:val="zh-CN" w:bidi="zh-CN"/>
        </w:rPr>
        <w:t xml:space="preserve"> </w:t>
      </w:r>
      <w:r>
        <w:rPr>
          <w:rFonts w:hint="eastAsia" w:ascii="宋体" w:hAnsi="宋体" w:cs="宋体"/>
          <w:kern w:val="0"/>
          <w:sz w:val="24"/>
          <w:lang w:val="zh-CN" w:bidi="zh-CN"/>
        </w:rPr>
        <w:t>第一册</w:t>
      </w:r>
      <w:r>
        <w:rPr>
          <w:rFonts w:hint="eastAsia" w:ascii="宋体" w:hAnsi="宋体" w:cs="宋体"/>
          <w:kern w:val="0"/>
          <w:sz w:val="24"/>
          <w:lang w:val="zh-CN" w:bidi="zh-CN"/>
        </w:rPr>
        <w:tab/>
      </w:r>
      <w:r>
        <w:rPr>
          <w:rFonts w:hint="eastAsia" w:ascii="宋体" w:hAnsi="宋体" w:cs="宋体"/>
          <w:spacing w:val="-3"/>
          <w:kern w:val="0"/>
          <w:sz w:val="24"/>
          <w:lang w:val="zh-CN" w:bidi="zh-CN"/>
        </w:rPr>
        <w:t>（</w:t>
      </w:r>
      <w:r>
        <w:rPr>
          <w:rFonts w:hint="eastAsia" w:ascii="宋体" w:hAnsi="宋体" w:cs="宋体"/>
          <w:kern w:val="0"/>
          <w:sz w:val="24"/>
          <w:lang w:val="zh-CN" w:bidi="zh-CN"/>
        </w:rPr>
        <w:t>土建工程</w:t>
      </w:r>
      <w:r>
        <w:rPr>
          <w:rFonts w:hint="eastAsia" w:ascii="宋体" w:hAnsi="宋体" w:cs="宋体"/>
          <w:spacing w:val="-16"/>
          <w:kern w:val="0"/>
          <w:sz w:val="24"/>
          <w:lang w:val="zh-CN" w:bidi="zh-CN"/>
        </w:rPr>
        <w:t>）（JTG</w:t>
      </w:r>
      <w:r>
        <w:rPr>
          <w:rFonts w:hint="eastAsia" w:ascii="宋体" w:hAnsi="宋体" w:cs="宋体"/>
          <w:spacing w:val="-1"/>
          <w:kern w:val="0"/>
          <w:sz w:val="24"/>
          <w:lang w:val="zh-CN" w:bidi="zh-CN"/>
        </w:rPr>
        <w:t xml:space="preserve"> </w:t>
      </w:r>
      <w:r>
        <w:rPr>
          <w:rFonts w:hint="eastAsia" w:ascii="宋体" w:hAnsi="宋体" w:cs="宋体"/>
          <w:kern w:val="0"/>
          <w:sz w:val="24"/>
          <w:lang w:val="zh-CN" w:bidi="zh-CN"/>
        </w:rPr>
        <w:t>F80/1-2017）</w:t>
      </w:r>
    </w:p>
    <w:p w14:paraId="39E1831B">
      <w:pPr>
        <w:widowControl/>
        <w:numPr>
          <w:ilvl w:val="1"/>
          <w:numId w:val="17"/>
        </w:numPr>
        <w:tabs>
          <w:tab w:val="left" w:pos="1041"/>
        </w:tabs>
        <w:spacing w:before="86" w:line="300" w:lineRule="exact"/>
        <w:jc w:val="left"/>
        <w:rPr>
          <w:rFonts w:ascii="宋体" w:hAnsi="宋体" w:cs="宋体"/>
          <w:kern w:val="0"/>
          <w:sz w:val="24"/>
          <w:lang w:val="zh-CN" w:bidi="zh-CN"/>
        </w:rPr>
      </w:pPr>
      <w:r>
        <w:rPr>
          <w:rFonts w:hint="eastAsia" w:ascii="宋体" w:hAnsi="宋体" w:cs="宋体"/>
          <w:kern w:val="0"/>
          <w:sz w:val="24"/>
          <w:lang w:val="zh-CN" w:bidi="zh-CN"/>
        </w:rPr>
        <w:t>《公路沥青路面施工技术规范》（JTG</w:t>
      </w:r>
      <w:r>
        <w:rPr>
          <w:rFonts w:hint="eastAsia" w:ascii="宋体" w:hAnsi="宋体" w:cs="宋体"/>
          <w:spacing w:val="-2"/>
          <w:kern w:val="0"/>
          <w:sz w:val="24"/>
          <w:lang w:val="zh-CN" w:bidi="zh-CN"/>
        </w:rPr>
        <w:t xml:space="preserve"> </w:t>
      </w:r>
      <w:r>
        <w:rPr>
          <w:rFonts w:hint="eastAsia" w:ascii="宋体" w:hAnsi="宋体" w:cs="宋体"/>
          <w:kern w:val="0"/>
          <w:sz w:val="24"/>
          <w:lang w:val="zh-CN" w:bidi="zh-CN"/>
        </w:rPr>
        <w:t>F40-2004）</w:t>
      </w:r>
    </w:p>
    <w:p w14:paraId="20D27288">
      <w:pPr>
        <w:widowControl/>
        <w:numPr>
          <w:ilvl w:val="1"/>
          <w:numId w:val="17"/>
        </w:numPr>
        <w:tabs>
          <w:tab w:val="left" w:pos="1041"/>
        </w:tabs>
        <w:spacing w:before="84" w:line="300" w:lineRule="exact"/>
        <w:jc w:val="left"/>
        <w:rPr>
          <w:rFonts w:ascii="宋体" w:hAnsi="宋体" w:cs="宋体"/>
          <w:kern w:val="0"/>
          <w:sz w:val="24"/>
          <w:lang w:val="zh-CN" w:bidi="zh-CN"/>
        </w:rPr>
      </w:pPr>
      <w:r>
        <w:rPr>
          <w:rFonts w:hint="eastAsia" w:ascii="宋体" w:hAnsi="宋体" w:cs="宋体"/>
          <w:kern w:val="0"/>
          <w:sz w:val="24"/>
          <w:lang w:val="zh-CN" w:bidi="zh-CN"/>
        </w:rPr>
        <w:t>《公路路基施工技术规范》（JTG/T</w:t>
      </w:r>
      <w:r>
        <w:rPr>
          <w:rFonts w:hint="eastAsia" w:ascii="宋体" w:hAnsi="宋体" w:cs="宋体"/>
          <w:spacing w:val="-2"/>
          <w:kern w:val="0"/>
          <w:sz w:val="24"/>
          <w:lang w:val="zh-CN" w:bidi="zh-CN"/>
        </w:rPr>
        <w:t xml:space="preserve"> </w:t>
      </w:r>
      <w:r>
        <w:rPr>
          <w:rFonts w:hint="eastAsia" w:ascii="宋体" w:hAnsi="宋体" w:cs="宋体"/>
          <w:kern w:val="0"/>
          <w:sz w:val="24"/>
          <w:lang w:val="zh-CN" w:bidi="zh-CN"/>
        </w:rPr>
        <w:t>3610-2019）</w:t>
      </w:r>
    </w:p>
    <w:p w14:paraId="13041BB2">
      <w:pPr>
        <w:widowControl/>
        <w:numPr>
          <w:ilvl w:val="1"/>
          <w:numId w:val="17"/>
        </w:numPr>
        <w:tabs>
          <w:tab w:val="left" w:pos="1041"/>
        </w:tabs>
        <w:spacing w:before="83" w:line="300" w:lineRule="exact"/>
        <w:jc w:val="left"/>
        <w:rPr>
          <w:rFonts w:ascii="宋体" w:hAnsi="宋体" w:cs="宋体"/>
          <w:kern w:val="0"/>
          <w:sz w:val="24"/>
          <w:lang w:val="zh-CN" w:bidi="zh-CN"/>
        </w:rPr>
      </w:pPr>
      <w:r>
        <w:rPr>
          <w:rFonts w:hint="eastAsia" w:ascii="宋体" w:hAnsi="宋体" w:cs="宋体"/>
          <w:kern w:val="0"/>
          <w:sz w:val="24"/>
          <w:lang w:val="zh-CN" w:bidi="zh-CN"/>
        </w:rPr>
        <w:t>《公路土工合成材料应用技术规范》（JTG/T</w:t>
      </w:r>
      <w:r>
        <w:rPr>
          <w:rFonts w:hint="eastAsia" w:ascii="宋体" w:hAnsi="宋体" w:cs="宋体"/>
          <w:spacing w:val="-2"/>
          <w:kern w:val="0"/>
          <w:sz w:val="24"/>
          <w:lang w:val="zh-CN" w:bidi="zh-CN"/>
        </w:rPr>
        <w:t xml:space="preserve"> </w:t>
      </w:r>
      <w:r>
        <w:rPr>
          <w:rFonts w:hint="eastAsia" w:ascii="宋体" w:hAnsi="宋体" w:cs="宋体"/>
          <w:kern w:val="0"/>
          <w:sz w:val="24"/>
          <w:lang w:val="zh-CN" w:bidi="zh-CN"/>
        </w:rPr>
        <w:t>D32-2012）</w:t>
      </w:r>
    </w:p>
    <w:p w14:paraId="61961CCB">
      <w:pPr>
        <w:widowControl/>
        <w:numPr>
          <w:ilvl w:val="1"/>
          <w:numId w:val="17"/>
        </w:numPr>
        <w:tabs>
          <w:tab w:val="left" w:pos="1041"/>
        </w:tabs>
        <w:spacing w:before="87" w:line="300" w:lineRule="exact"/>
        <w:jc w:val="left"/>
        <w:rPr>
          <w:rFonts w:ascii="宋体" w:hAnsi="宋体" w:cs="宋体"/>
          <w:kern w:val="0"/>
          <w:sz w:val="24"/>
          <w:lang w:val="zh-CN" w:bidi="zh-CN"/>
        </w:rPr>
      </w:pPr>
      <w:r>
        <w:rPr>
          <w:rFonts w:hint="eastAsia" w:ascii="宋体" w:hAnsi="宋体" w:cs="宋体"/>
          <w:kern w:val="0"/>
          <w:sz w:val="24"/>
          <w:lang w:val="zh-CN" w:bidi="zh-CN"/>
        </w:rPr>
        <w:t>《公路路面基层施工技术细则》（JTG</w:t>
      </w:r>
      <w:r>
        <w:rPr>
          <w:rFonts w:hint="eastAsia" w:ascii="宋体" w:hAnsi="宋体" w:cs="宋体"/>
          <w:spacing w:val="-2"/>
          <w:kern w:val="0"/>
          <w:sz w:val="24"/>
          <w:lang w:val="zh-CN" w:bidi="zh-CN"/>
        </w:rPr>
        <w:t xml:space="preserve"> </w:t>
      </w:r>
      <w:r>
        <w:rPr>
          <w:rFonts w:hint="eastAsia" w:ascii="宋体" w:hAnsi="宋体" w:cs="宋体"/>
          <w:kern w:val="0"/>
          <w:sz w:val="24"/>
          <w:lang w:val="zh-CN" w:bidi="zh-CN"/>
        </w:rPr>
        <w:t>F20-2015）</w:t>
      </w:r>
    </w:p>
    <w:p w14:paraId="1F446C2A">
      <w:pPr>
        <w:widowControl/>
        <w:numPr>
          <w:ilvl w:val="1"/>
          <w:numId w:val="17"/>
        </w:numPr>
        <w:tabs>
          <w:tab w:val="left" w:pos="1041"/>
        </w:tabs>
        <w:spacing w:before="83" w:line="300" w:lineRule="exact"/>
        <w:jc w:val="left"/>
        <w:rPr>
          <w:rFonts w:ascii="宋体" w:hAnsi="宋体" w:cs="宋体"/>
          <w:kern w:val="0"/>
          <w:sz w:val="24"/>
          <w:lang w:val="zh-CN" w:bidi="zh-CN"/>
        </w:rPr>
      </w:pPr>
      <w:r>
        <w:rPr>
          <w:rFonts w:hint="eastAsia" w:ascii="宋体" w:hAnsi="宋体" w:cs="宋体"/>
          <w:kern w:val="0"/>
          <w:sz w:val="24"/>
          <w:lang w:val="zh-CN" w:bidi="zh-CN"/>
        </w:rPr>
        <w:t>《公路桥涵施工技术规范》（JTG/T</w:t>
      </w:r>
      <w:r>
        <w:rPr>
          <w:rFonts w:hint="eastAsia" w:ascii="宋体" w:hAnsi="宋体" w:cs="宋体"/>
          <w:spacing w:val="-2"/>
          <w:kern w:val="0"/>
          <w:sz w:val="24"/>
          <w:lang w:val="zh-CN" w:bidi="zh-CN"/>
        </w:rPr>
        <w:t xml:space="preserve"> </w:t>
      </w:r>
      <w:r>
        <w:rPr>
          <w:rFonts w:hint="eastAsia" w:ascii="宋体" w:hAnsi="宋体" w:cs="宋体"/>
          <w:kern w:val="0"/>
          <w:sz w:val="24"/>
          <w:lang w:val="zh-CN" w:bidi="zh-CN"/>
        </w:rPr>
        <w:t>F50-2011）</w:t>
      </w:r>
    </w:p>
    <w:p w14:paraId="73BAD2D0">
      <w:pPr>
        <w:widowControl/>
        <w:numPr>
          <w:ilvl w:val="1"/>
          <w:numId w:val="17"/>
        </w:numPr>
        <w:tabs>
          <w:tab w:val="left" w:pos="1041"/>
        </w:tabs>
        <w:spacing w:before="84" w:line="300" w:lineRule="exact"/>
        <w:jc w:val="left"/>
        <w:rPr>
          <w:rFonts w:ascii="宋体" w:hAnsi="宋体" w:cs="宋体"/>
          <w:kern w:val="0"/>
          <w:sz w:val="24"/>
          <w:lang w:val="zh-CN" w:bidi="zh-CN"/>
        </w:rPr>
      </w:pPr>
      <w:r>
        <w:rPr>
          <w:rFonts w:hint="eastAsia" w:ascii="宋体" w:hAnsi="宋体" w:cs="宋体"/>
          <w:kern w:val="0"/>
          <w:sz w:val="24"/>
          <w:lang w:val="zh-CN" w:bidi="zh-CN"/>
        </w:rPr>
        <w:t>《公路土工试验规程》（JTG</w:t>
      </w:r>
      <w:r>
        <w:rPr>
          <w:rFonts w:hint="eastAsia" w:ascii="宋体" w:hAnsi="宋体" w:cs="宋体"/>
          <w:spacing w:val="-2"/>
          <w:kern w:val="0"/>
          <w:sz w:val="24"/>
          <w:lang w:val="zh-CN" w:bidi="zh-CN"/>
        </w:rPr>
        <w:t xml:space="preserve"> </w:t>
      </w:r>
      <w:r>
        <w:rPr>
          <w:rFonts w:hint="eastAsia" w:ascii="宋体" w:hAnsi="宋体" w:cs="宋体"/>
          <w:kern w:val="0"/>
          <w:sz w:val="24"/>
          <w:lang w:val="zh-CN" w:bidi="zh-CN"/>
        </w:rPr>
        <w:t>E40-2007）</w:t>
      </w:r>
    </w:p>
    <w:p w14:paraId="380B8FB3">
      <w:pPr>
        <w:widowControl/>
        <w:numPr>
          <w:ilvl w:val="1"/>
          <w:numId w:val="17"/>
        </w:numPr>
        <w:tabs>
          <w:tab w:val="left" w:pos="1041"/>
        </w:tabs>
        <w:spacing w:before="86" w:line="300" w:lineRule="exact"/>
        <w:jc w:val="left"/>
        <w:rPr>
          <w:rFonts w:ascii="宋体" w:hAnsi="宋体" w:cs="宋体"/>
          <w:kern w:val="0"/>
          <w:sz w:val="24"/>
          <w:lang w:val="zh-CN" w:bidi="zh-CN"/>
        </w:rPr>
      </w:pPr>
      <w:r>
        <w:rPr>
          <w:rFonts w:hint="eastAsia" w:ascii="宋体" w:hAnsi="宋体" w:cs="宋体"/>
          <w:kern w:val="0"/>
          <w:sz w:val="24"/>
          <w:lang w:val="zh-CN" w:bidi="zh-CN"/>
        </w:rPr>
        <w:t>《公路工程沥青及沥青混合料试验规程》（JTG</w:t>
      </w:r>
      <w:r>
        <w:rPr>
          <w:rFonts w:hint="eastAsia" w:ascii="宋体" w:hAnsi="宋体" w:cs="宋体"/>
          <w:spacing w:val="-2"/>
          <w:kern w:val="0"/>
          <w:sz w:val="24"/>
          <w:lang w:val="zh-CN" w:bidi="zh-CN"/>
        </w:rPr>
        <w:t xml:space="preserve"> </w:t>
      </w:r>
      <w:r>
        <w:rPr>
          <w:rFonts w:hint="eastAsia" w:ascii="宋体" w:hAnsi="宋体" w:cs="宋体"/>
          <w:kern w:val="0"/>
          <w:sz w:val="24"/>
          <w:lang w:val="zh-CN" w:bidi="zh-CN"/>
        </w:rPr>
        <w:t>E20-2011）</w:t>
      </w:r>
    </w:p>
    <w:p w14:paraId="268E385F">
      <w:pPr>
        <w:widowControl/>
        <w:numPr>
          <w:ilvl w:val="1"/>
          <w:numId w:val="17"/>
        </w:numPr>
        <w:tabs>
          <w:tab w:val="left" w:pos="1161"/>
        </w:tabs>
        <w:spacing w:before="84" w:line="300" w:lineRule="exact"/>
        <w:ind w:left="1161" w:hanging="301"/>
        <w:jc w:val="left"/>
        <w:rPr>
          <w:rFonts w:ascii="宋体" w:hAnsi="宋体" w:cs="宋体"/>
          <w:kern w:val="0"/>
          <w:sz w:val="24"/>
          <w:lang w:val="zh-CN" w:bidi="zh-CN"/>
        </w:rPr>
      </w:pPr>
      <w:r>
        <w:rPr>
          <w:rFonts w:hint="eastAsia" w:ascii="宋体" w:hAnsi="宋体" w:cs="宋体"/>
          <w:kern w:val="0"/>
          <w:sz w:val="24"/>
          <w:lang w:val="zh-CN" w:bidi="zh-CN"/>
        </w:rPr>
        <w:t>《公路工程水泥混凝土试验规程》（JTGE30-2005）</w:t>
      </w:r>
    </w:p>
    <w:p w14:paraId="60D56305">
      <w:pPr>
        <w:widowControl/>
        <w:numPr>
          <w:ilvl w:val="1"/>
          <w:numId w:val="17"/>
        </w:numPr>
        <w:tabs>
          <w:tab w:val="left" w:pos="1161"/>
        </w:tabs>
        <w:spacing w:before="83" w:line="300" w:lineRule="exact"/>
        <w:ind w:left="1161" w:hanging="301"/>
        <w:jc w:val="left"/>
        <w:rPr>
          <w:rFonts w:ascii="宋体" w:hAnsi="宋体" w:cs="宋体"/>
          <w:kern w:val="0"/>
          <w:sz w:val="24"/>
          <w:lang w:val="zh-CN" w:bidi="zh-CN"/>
        </w:rPr>
      </w:pPr>
      <w:r>
        <w:rPr>
          <w:rFonts w:hint="eastAsia" w:ascii="宋体" w:hAnsi="宋体" w:cs="宋体"/>
          <w:kern w:val="0"/>
          <w:sz w:val="24"/>
          <w:lang w:val="zh-CN" w:bidi="zh-CN"/>
        </w:rPr>
        <w:t>《公路工程岩石试验规程》（JTG</w:t>
      </w:r>
      <w:r>
        <w:rPr>
          <w:rFonts w:hint="eastAsia" w:ascii="宋体" w:hAnsi="宋体" w:cs="宋体"/>
          <w:spacing w:val="-2"/>
          <w:kern w:val="0"/>
          <w:sz w:val="24"/>
          <w:lang w:val="zh-CN" w:bidi="zh-CN"/>
        </w:rPr>
        <w:t xml:space="preserve"> </w:t>
      </w:r>
      <w:r>
        <w:rPr>
          <w:rFonts w:hint="eastAsia" w:ascii="宋体" w:hAnsi="宋体" w:cs="宋体"/>
          <w:kern w:val="0"/>
          <w:sz w:val="24"/>
          <w:lang w:val="zh-CN" w:bidi="zh-CN"/>
        </w:rPr>
        <w:t>E41-2005）</w:t>
      </w:r>
    </w:p>
    <w:p w14:paraId="3B101A7A">
      <w:pPr>
        <w:widowControl/>
        <w:numPr>
          <w:ilvl w:val="1"/>
          <w:numId w:val="17"/>
        </w:numPr>
        <w:tabs>
          <w:tab w:val="left" w:pos="1161"/>
        </w:tabs>
        <w:spacing w:before="87" w:line="300" w:lineRule="exact"/>
        <w:ind w:left="1161" w:hanging="301"/>
        <w:jc w:val="left"/>
        <w:rPr>
          <w:rFonts w:ascii="宋体" w:hAnsi="宋体" w:cs="宋体"/>
          <w:kern w:val="0"/>
          <w:sz w:val="24"/>
          <w:lang w:val="zh-CN" w:bidi="zh-CN"/>
        </w:rPr>
      </w:pPr>
      <w:r>
        <w:rPr>
          <w:rFonts w:hint="eastAsia" w:ascii="宋体" w:hAnsi="宋体" w:cs="宋体"/>
          <w:kern w:val="0"/>
          <w:sz w:val="24"/>
          <w:lang w:val="zh-CN" w:bidi="zh-CN"/>
        </w:rPr>
        <w:t>《公路工程无机结合料稳定材料试验规程》（JTG</w:t>
      </w:r>
      <w:r>
        <w:rPr>
          <w:rFonts w:hint="eastAsia" w:ascii="宋体" w:hAnsi="宋体" w:cs="宋体"/>
          <w:spacing w:val="-2"/>
          <w:kern w:val="0"/>
          <w:sz w:val="24"/>
          <w:lang w:val="zh-CN" w:bidi="zh-CN"/>
        </w:rPr>
        <w:t xml:space="preserve"> </w:t>
      </w:r>
      <w:r>
        <w:rPr>
          <w:rFonts w:hint="eastAsia" w:ascii="宋体" w:hAnsi="宋体" w:cs="宋体"/>
          <w:kern w:val="0"/>
          <w:sz w:val="24"/>
          <w:lang w:val="zh-CN" w:bidi="zh-CN"/>
        </w:rPr>
        <w:t>E51-2009）</w:t>
      </w:r>
    </w:p>
    <w:p w14:paraId="6F438175">
      <w:pPr>
        <w:widowControl/>
        <w:numPr>
          <w:ilvl w:val="1"/>
          <w:numId w:val="17"/>
        </w:numPr>
        <w:tabs>
          <w:tab w:val="left" w:pos="1161"/>
        </w:tabs>
        <w:spacing w:before="83" w:line="300" w:lineRule="exact"/>
        <w:ind w:left="1161" w:hanging="301"/>
        <w:jc w:val="left"/>
        <w:rPr>
          <w:rFonts w:ascii="宋体" w:hAnsi="宋体" w:cs="宋体"/>
          <w:kern w:val="0"/>
          <w:sz w:val="24"/>
          <w:lang w:val="zh-CN" w:bidi="zh-CN"/>
        </w:rPr>
      </w:pPr>
      <w:r>
        <w:rPr>
          <w:rFonts w:hint="eastAsia" w:ascii="宋体" w:hAnsi="宋体" w:cs="宋体"/>
          <w:kern w:val="0"/>
          <w:sz w:val="24"/>
          <w:lang w:val="zh-CN" w:bidi="zh-CN"/>
        </w:rPr>
        <w:t>《公路工程集料试验规程》（JTG</w:t>
      </w:r>
      <w:r>
        <w:rPr>
          <w:rFonts w:hint="eastAsia" w:ascii="宋体" w:hAnsi="宋体" w:cs="宋体"/>
          <w:spacing w:val="-2"/>
          <w:kern w:val="0"/>
          <w:sz w:val="24"/>
          <w:lang w:val="zh-CN" w:bidi="zh-CN"/>
        </w:rPr>
        <w:t xml:space="preserve"> </w:t>
      </w:r>
      <w:r>
        <w:rPr>
          <w:rFonts w:hint="eastAsia" w:ascii="宋体" w:hAnsi="宋体" w:cs="宋体"/>
          <w:kern w:val="0"/>
          <w:sz w:val="24"/>
          <w:lang w:val="zh-CN" w:bidi="zh-CN"/>
        </w:rPr>
        <w:t>E42-2005）</w:t>
      </w:r>
    </w:p>
    <w:p w14:paraId="03CA6619">
      <w:pPr>
        <w:widowControl/>
        <w:numPr>
          <w:ilvl w:val="1"/>
          <w:numId w:val="17"/>
        </w:numPr>
        <w:tabs>
          <w:tab w:val="left" w:pos="1161"/>
        </w:tabs>
        <w:spacing w:before="84" w:line="300" w:lineRule="exact"/>
        <w:ind w:left="1161" w:hanging="301"/>
        <w:jc w:val="left"/>
        <w:rPr>
          <w:rFonts w:ascii="宋体" w:hAnsi="宋体" w:cs="宋体"/>
          <w:kern w:val="0"/>
          <w:sz w:val="24"/>
          <w:lang w:val="zh-CN" w:bidi="zh-CN"/>
        </w:rPr>
      </w:pPr>
      <w:r>
        <w:rPr>
          <w:rFonts w:hint="eastAsia" w:ascii="宋体" w:hAnsi="宋体" w:cs="宋体"/>
          <w:kern w:val="0"/>
          <w:sz w:val="24"/>
          <w:lang w:val="zh-CN" w:bidi="zh-CN"/>
        </w:rPr>
        <w:t>《公路路基路面现场测试规程》（JTG</w:t>
      </w:r>
      <w:r>
        <w:rPr>
          <w:rFonts w:hint="eastAsia" w:ascii="宋体" w:hAnsi="宋体" w:cs="宋体"/>
          <w:spacing w:val="-2"/>
          <w:kern w:val="0"/>
          <w:sz w:val="24"/>
          <w:lang w:val="zh-CN" w:bidi="zh-CN"/>
        </w:rPr>
        <w:t xml:space="preserve"> </w:t>
      </w:r>
      <w:r>
        <w:rPr>
          <w:rFonts w:hint="eastAsia" w:ascii="宋体" w:hAnsi="宋体" w:cs="宋体"/>
          <w:kern w:val="0"/>
          <w:sz w:val="24"/>
          <w:lang w:val="zh-CN" w:bidi="zh-CN"/>
        </w:rPr>
        <w:t>3450-2019）</w:t>
      </w:r>
    </w:p>
    <w:p w14:paraId="2D1B78F7">
      <w:pPr>
        <w:widowControl/>
        <w:numPr>
          <w:ilvl w:val="1"/>
          <w:numId w:val="17"/>
        </w:numPr>
        <w:tabs>
          <w:tab w:val="left" w:pos="1161"/>
        </w:tabs>
        <w:spacing w:before="86" w:line="300" w:lineRule="exact"/>
        <w:ind w:left="1161" w:hanging="301"/>
        <w:jc w:val="left"/>
        <w:rPr>
          <w:rFonts w:ascii="宋体" w:hAnsi="宋体" w:cs="宋体"/>
          <w:kern w:val="0"/>
          <w:sz w:val="24"/>
          <w:lang w:val="zh-CN" w:bidi="zh-CN"/>
        </w:rPr>
      </w:pPr>
      <w:r>
        <w:rPr>
          <w:rFonts w:hint="eastAsia" w:ascii="宋体" w:hAnsi="宋体" w:cs="宋体"/>
          <w:kern w:val="0"/>
          <w:sz w:val="24"/>
          <w:lang w:val="zh-CN" w:bidi="zh-CN"/>
        </w:rPr>
        <w:t>《公路土工合成材料试验规程》（JTG</w:t>
      </w:r>
      <w:r>
        <w:rPr>
          <w:rFonts w:hint="eastAsia" w:ascii="宋体" w:hAnsi="宋体" w:cs="宋体"/>
          <w:spacing w:val="-2"/>
          <w:kern w:val="0"/>
          <w:sz w:val="24"/>
          <w:lang w:val="zh-CN" w:bidi="zh-CN"/>
        </w:rPr>
        <w:t xml:space="preserve"> </w:t>
      </w:r>
      <w:r>
        <w:rPr>
          <w:rFonts w:hint="eastAsia" w:ascii="宋体" w:hAnsi="宋体" w:cs="宋体"/>
          <w:kern w:val="0"/>
          <w:sz w:val="24"/>
          <w:lang w:val="zh-CN" w:bidi="zh-CN"/>
        </w:rPr>
        <w:t>E50-2006）</w:t>
      </w:r>
    </w:p>
    <w:p w14:paraId="5B956777">
      <w:pPr>
        <w:widowControl/>
        <w:numPr>
          <w:ilvl w:val="1"/>
          <w:numId w:val="17"/>
        </w:numPr>
        <w:tabs>
          <w:tab w:val="left" w:pos="1161"/>
        </w:tabs>
        <w:spacing w:before="84" w:line="300" w:lineRule="exact"/>
        <w:ind w:left="1161" w:hanging="301"/>
        <w:jc w:val="left"/>
        <w:rPr>
          <w:rFonts w:ascii="宋体" w:hAnsi="宋体" w:cs="宋体"/>
          <w:kern w:val="0"/>
          <w:sz w:val="24"/>
          <w:lang w:val="zh-CN" w:bidi="zh-CN"/>
        </w:rPr>
      </w:pPr>
      <w:r>
        <w:rPr>
          <w:rFonts w:hint="eastAsia" w:ascii="宋体" w:hAnsi="宋体" w:cs="宋体"/>
          <w:kern w:val="0"/>
          <w:sz w:val="24"/>
          <w:lang w:val="zh-CN" w:bidi="zh-CN"/>
        </w:rPr>
        <w:t>《公路交通安全设施施工技术规范》（JTG</w:t>
      </w:r>
      <w:r>
        <w:rPr>
          <w:rFonts w:hint="eastAsia" w:ascii="宋体" w:hAnsi="宋体" w:cs="宋体"/>
          <w:spacing w:val="-2"/>
          <w:kern w:val="0"/>
          <w:sz w:val="24"/>
          <w:lang w:val="zh-CN" w:bidi="zh-CN"/>
        </w:rPr>
        <w:t xml:space="preserve"> </w:t>
      </w:r>
      <w:r>
        <w:rPr>
          <w:rFonts w:hint="eastAsia" w:ascii="宋体" w:hAnsi="宋体" w:cs="宋体"/>
          <w:kern w:val="0"/>
          <w:sz w:val="24"/>
          <w:lang w:val="zh-CN" w:bidi="zh-CN"/>
        </w:rPr>
        <w:t>F71-2006）</w:t>
      </w:r>
    </w:p>
    <w:p w14:paraId="6F629506">
      <w:pPr>
        <w:widowControl/>
        <w:numPr>
          <w:ilvl w:val="1"/>
          <w:numId w:val="17"/>
        </w:numPr>
        <w:tabs>
          <w:tab w:val="left" w:pos="1161"/>
        </w:tabs>
        <w:spacing w:before="83" w:line="300" w:lineRule="exact"/>
        <w:ind w:left="1161" w:hanging="301"/>
        <w:jc w:val="left"/>
        <w:rPr>
          <w:rFonts w:ascii="宋体" w:hAnsi="宋体" w:cs="宋体"/>
          <w:kern w:val="0"/>
          <w:sz w:val="24"/>
          <w:lang w:val="zh-CN" w:bidi="zh-CN"/>
        </w:rPr>
      </w:pPr>
      <w:r>
        <w:rPr>
          <w:rFonts w:hint="eastAsia" w:ascii="宋体" w:hAnsi="宋体" w:cs="宋体"/>
          <w:kern w:val="0"/>
          <w:sz w:val="24"/>
          <w:lang w:val="zh-CN" w:bidi="zh-CN"/>
        </w:rPr>
        <w:t>《公路工程施工监理规范》（JTG</w:t>
      </w:r>
      <w:r>
        <w:rPr>
          <w:rFonts w:hint="eastAsia" w:ascii="宋体" w:hAnsi="宋体" w:cs="宋体"/>
          <w:spacing w:val="-2"/>
          <w:kern w:val="0"/>
          <w:sz w:val="24"/>
          <w:lang w:val="zh-CN" w:bidi="zh-CN"/>
        </w:rPr>
        <w:t xml:space="preserve"> </w:t>
      </w:r>
      <w:r>
        <w:rPr>
          <w:rFonts w:hint="eastAsia" w:ascii="宋体" w:hAnsi="宋体" w:cs="宋体"/>
          <w:kern w:val="0"/>
          <w:sz w:val="24"/>
          <w:lang w:val="zh-CN" w:bidi="zh-CN"/>
        </w:rPr>
        <w:t>G10-2016）</w:t>
      </w:r>
    </w:p>
    <w:p w14:paraId="38D9A71F">
      <w:pPr>
        <w:widowControl/>
        <w:numPr>
          <w:ilvl w:val="1"/>
          <w:numId w:val="17"/>
        </w:numPr>
        <w:tabs>
          <w:tab w:val="left" w:pos="1161"/>
        </w:tabs>
        <w:spacing w:before="87" w:line="300" w:lineRule="exact"/>
        <w:ind w:left="1161" w:hanging="301"/>
        <w:jc w:val="left"/>
        <w:rPr>
          <w:rFonts w:ascii="宋体" w:hAnsi="宋体" w:cs="宋体"/>
          <w:kern w:val="0"/>
          <w:sz w:val="24"/>
          <w:lang w:val="zh-CN" w:bidi="zh-CN"/>
        </w:rPr>
      </w:pPr>
      <w:r>
        <w:rPr>
          <w:rFonts w:hint="eastAsia" w:ascii="宋体" w:hAnsi="宋体" w:cs="宋体"/>
          <w:kern w:val="0"/>
          <w:sz w:val="24"/>
          <w:lang w:val="zh-CN" w:bidi="zh-CN"/>
        </w:rPr>
        <w:t>《小交通量农村公路工程技术标准》（JTG</w:t>
      </w:r>
      <w:r>
        <w:rPr>
          <w:rFonts w:hint="eastAsia" w:ascii="宋体" w:hAnsi="宋体" w:cs="宋体"/>
          <w:spacing w:val="-2"/>
          <w:kern w:val="0"/>
          <w:sz w:val="24"/>
          <w:lang w:val="zh-CN" w:bidi="zh-CN"/>
        </w:rPr>
        <w:t xml:space="preserve"> </w:t>
      </w:r>
      <w:r>
        <w:rPr>
          <w:rFonts w:hint="eastAsia" w:ascii="宋体" w:hAnsi="宋体" w:cs="宋体"/>
          <w:kern w:val="0"/>
          <w:sz w:val="24"/>
          <w:lang w:val="zh-CN" w:bidi="zh-CN"/>
        </w:rPr>
        <w:t>2111-2019）</w:t>
      </w:r>
    </w:p>
    <w:p w14:paraId="10A690D5">
      <w:pPr>
        <w:widowControl/>
        <w:numPr>
          <w:ilvl w:val="1"/>
          <w:numId w:val="17"/>
        </w:numPr>
        <w:tabs>
          <w:tab w:val="left" w:pos="1161"/>
        </w:tabs>
        <w:spacing w:before="83" w:line="300" w:lineRule="exact"/>
        <w:ind w:left="1161" w:hanging="301"/>
        <w:jc w:val="left"/>
        <w:rPr>
          <w:rFonts w:ascii="宋体" w:hAnsi="宋体" w:cs="宋体"/>
          <w:kern w:val="0"/>
          <w:sz w:val="24"/>
          <w:lang w:val="zh-CN" w:bidi="zh-CN"/>
        </w:rPr>
      </w:pPr>
      <w:r>
        <w:rPr>
          <w:rFonts w:hint="eastAsia" w:ascii="宋体" w:hAnsi="宋体" w:cs="宋体"/>
          <w:kern w:val="0"/>
          <w:sz w:val="24"/>
          <w:lang w:val="zh-CN" w:bidi="zh-CN"/>
        </w:rPr>
        <w:t>《公路工程无结合机料稳定材料试验规程》（JTG</w:t>
      </w:r>
      <w:r>
        <w:rPr>
          <w:rFonts w:hint="eastAsia" w:ascii="宋体" w:hAnsi="宋体" w:cs="宋体"/>
          <w:spacing w:val="-2"/>
          <w:kern w:val="0"/>
          <w:sz w:val="24"/>
          <w:lang w:val="zh-CN" w:bidi="zh-CN"/>
        </w:rPr>
        <w:t xml:space="preserve"> </w:t>
      </w:r>
      <w:r>
        <w:rPr>
          <w:rFonts w:hint="eastAsia" w:ascii="宋体" w:hAnsi="宋体" w:cs="宋体"/>
          <w:kern w:val="0"/>
          <w:sz w:val="24"/>
          <w:lang w:val="zh-CN" w:bidi="zh-CN"/>
        </w:rPr>
        <w:t>E51-2009）</w:t>
      </w:r>
    </w:p>
    <w:p w14:paraId="25C250F8">
      <w:pPr>
        <w:widowControl/>
        <w:numPr>
          <w:ilvl w:val="1"/>
          <w:numId w:val="17"/>
        </w:numPr>
        <w:tabs>
          <w:tab w:val="left" w:pos="1161"/>
        </w:tabs>
        <w:spacing w:before="84" w:line="300" w:lineRule="exact"/>
        <w:ind w:left="1161" w:hanging="301"/>
        <w:jc w:val="left"/>
        <w:rPr>
          <w:rFonts w:ascii="宋体" w:hAnsi="宋体" w:cs="宋体"/>
          <w:kern w:val="0"/>
          <w:sz w:val="24"/>
          <w:lang w:val="zh-CN" w:bidi="zh-CN"/>
        </w:rPr>
      </w:pPr>
      <w:r>
        <w:rPr>
          <w:rFonts w:hint="eastAsia" w:ascii="宋体" w:hAnsi="宋体" w:cs="宋体"/>
          <w:kern w:val="0"/>
          <w:sz w:val="24"/>
          <w:lang w:val="zh-CN" w:bidi="zh-CN"/>
        </w:rPr>
        <w:t>《公路水泥混凝土路面施工技术细则》（JTG</w:t>
      </w:r>
      <w:r>
        <w:rPr>
          <w:rFonts w:hint="eastAsia" w:ascii="宋体" w:hAnsi="宋体" w:cs="宋体"/>
          <w:spacing w:val="-2"/>
          <w:kern w:val="0"/>
          <w:sz w:val="24"/>
          <w:lang w:val="zh-CN" w:bidi="zh-CN"/>
        </w:rPr>
        <w:t xml:space="preserve"> </w:t>
      </w:r>
      <w:r>
        <w:rPr>
          <w:rFonts w:hint="eastAsia" w:ascii="宋体" w:hAnsi="宋体" w:cs="宋体"/>
          <w:kern w:val="0"/>
          <w:sz w:val="24"/>
          <w:lang w:val="zh-CN" w:bidi="zh-CN"/>
        </w:rPr>
        <w:t>F30-2014）</w:t>
      </w:r>
    </w:p>
    <w:p w14:paraId="2F71B9C9">
      <w:pPr>
        <w:widowControl/>
        <w:numPr>
          <w:ilvl w:val="1"/>
          <w:numId w:val="17"/>
        </w:numPr>
        <w:tabs>
          <w:tab w:val="left" w:pos="1161"/>
        </w:tabs>
        <w:spacing w:before="86" w:line="300" w:lineRule="exact"/>
        <w:ind w:left="579" w:right="2998" w:firstLine="280"/>
        <w:jc w:val="left"/>
        <w:rPr>
          <w:rFonts w:ascii="宋体" w:hAnsi="宋体" w:cs="宋体"/>
          <w:kern w:val="0"/>
          <w:sz w:val="24"/>
          <w:lang w:val="zh-CN" w:bidi="zh-CN"/>
        </w:rPr>
      </w:pPr>
      <w:r>
        <w:rPr>
          <w:rFonts w:hint="eastAsia" w:ascii="宋体" w:hAnsi="宋体" w:cs="宋体"/>
          <w:kern w:val="0"/>
          <w:sz w:val="24"/>
          <w:lang w:val="zh-CN" w:bidi="zh-CN"/>
        </w:rPr>
        <w:t>《公路工程施工安全技术规范》（JTG</w:t>
      </w:r>
      <w:r>
        <w:rPr>
          <w:rFonts w:hint="eastAsia" w:ascii="宋体" w:hAnsi="宋体" w:cs="宋体"/>
          <w:spacing w:val="7"/>
          <w:kern w:val="0"/>
          <w:sz w:val="24"/>
          <w:lang w:val="zh-CN" w:bidi="zh-CN"/>
        </w:rPr>
        <w:t xml:space="preserve"> </w:t>
      </w:r>
      <w:r>
        <w:rPr>
          <w:rFonts w:hint="eastAsia" w:ascii="宋体" w:hAnsi="宋体" w:cs="宋体"/>
          <w:spacing w:val="-3"/>
          <w:kern w:val="0"/>
          <w:sz w:val="24"/>
          <w:lang w:val="zh-CN" w:bidi="zh-CN"/>
        </w:rPr>
        <w:t xml:space="preserve">F902015） </w:t>
      </w:r>
    </w:p>
    <w:p w14:paraId="24DF3050">
      <w:pPr>
        <w:widowControl/>
        <w:tabs>
          <w:tab w:val="left" w:pos="1161"/>
        </w:tabs>
        <w:spacing w:before="86" w:line="300" w:lineRule="exact"/>
        <w:ind w:right="2998" w:firstLine="480" w:firstLineChars="200"/>
        <w:jc w:val="left"/>
        <w:rPr>
          <w:rFonts w:ascii="宋体" w:hAnsi="宋体" w:cs="宋体"/>
          <w:kern w:val="0"/>
          <w:sz w:val="24"/>
          <w:lang w:val="zh-CN" w:bidi="zh-CN"/>
        </w:rPr>
      </w:pPr>
      <w:r>
        <w:rPr>
          <w:rFonts w:hint="eastAsia" w:ascii="宋体" w:hAnsi="宋体" w:cs="宋体"/>
          <w:kern w:val="0"/>
          <w:sz w:val="24"/>
          <w:lang w:val="en-US" w:bidi="zh-CN"/>
        </w:rPr>
        <w:t>四、</w:t>
      </w:r>
      <w:r>
        <w:rPr>
          <w:rFonts w:hint="eastAsia" w:ascii="宋体" w:hAnsi="宋体" w:cs="宋体"/>
          <w:kern w:val="0"/>
          <w:sz w:val="24"/>
          <w:lang w:val="zh-CN" w:bidi="zh-CN"/>
        </w:rPr>
        <w:t>相关国标</w:t>
      </w:r>
    </w:p>
    <w:p w14:paraId="3B1E6F6F">
      <w:pPr>
        <w:widowControl/>
        <w:tabs>
          <w:tab w:val="left" w:pos="1161"/>
        </w:tabs>
        <w:spacing w:before="86" w:line="300" w:lineRule="exact"/>
        <w:ind w:left="859" w:right="372" w:rightChars="177"/>
        <w:jc w:val="left"/>
        <w:rPr>
          <w:rFonts w:hint="eastAsia" w:ascii="宋体" w:hAnsi="宋体" w:cs="宋体"/>
          <w:kern w:val="0"/>
          <w:sz w:val="24"/>
          <w:lang w:val="zh-CN" w:bidi="zh-CN"/>
        </w:rPr>
      </w:pPr>
      <w:r>
        <w:rPr>
          <w:rFonts w:hint="eastAsia" w:ascii="宋体" w:hAnsi="宋体" w:cs="宋体"/>
          <w:kern w:val="0"/>
          <w:sz w:val="24"/>
          <w:lang w:bidi="zh-CN"/>
        </w:rPr>
        <w:t>1.</w:t>
      </w:r>
      <w:r>
        <w:rPr>
          <w:rFonts w:hint="eastAsia" w:ascii="宋体" w:hAnsi="宋体" w:cs="宋体"/>
          <w:kern w:val="0"/>
          <w:sz w:val="24"/>
          <w:lang w:val="zh-CN" w:bidi="zh-CN"/>
        </w:rPr>
        <w:t>《钢筋混凝土用钢 第 1 部分：热轧光圆钢筋》（GB/T 1499.1-2017）</w:t>
      </w:r>
    </w:p>
    <w:p w14:paraId="38950C16">
      <w:pPr>
        <w:widowControl/>
        <w:tabs>
          <w:tab w:val="left" w:pos="1161"/>
        </w:tabs>
        <w:spacing w:before="86" w:line="300" w:lineRule="exact"/>
        <w:ind w:left="859" w:right="372" w:rightChars="177"/>
        <w:jc w:val="left"/>
        <w:rPr>
          <w:rFonts w:hint="eastAsia" w:ascii="宋体" w:hAnsi="宋体" w:cs="宋体"/>
          <w:kern w:val="0"/>
          <w:sz w:val="24"/>
          <w:lang w:val="zh-CN" w:bidi="zh-CN"/>
        </w:rPr>
      </w:pPr>
      <w:r>
        <w:rPr>
          <w:rFonts w:hint="eastAsia" w:ascii="宋体" w:hAnsi="宋体" w:cs="宋体"/>
          <w:kern w:val="0"/>
          <w:sz w:val="24"/>
          <w:lang w:bidi="zh-CN"/>
        </w:rPr>
        <w:t>2.</w:t>
      </w:r>
      <w:r>
        <w:rPr>
          <w:rFonts w:hint="eastAsia" w:ascii="宋体" w:hAnsi="宋体" w:cs="宋体"/>
          <w:kern w:val="0"/>
          <w:sz w:val="24"/>
          <w:lang w:val="zh-CN" w:bidi="zh-CN"/>
        </w:rPr>
        <w:t>《钢筋混凝土用钢 第 2 部分：热轧带肋钢筋》（GB/T 1499.2-2018）</w:t>
      </w:r>
    </w:p>
    <w:p w14:paraId="2F45879F">
      <w:pPr>
        <w:widowControl/>
        <w:tabs>
          <w:tab w:val="left" w:pos="1161"/>
        </w:tabs>
        <w:spacing w:before="86" w:line="300" w:lineRule="exact"/>
        <w:ind w:left="859" w:right="372" w:rightChars="177"/>
        <w:jc w:val="left"/>
        <w:rPr>
          <w:rFonts w:hint="eastAsia" w:ascii="宋体" w:hAnsi="宋体" w:cs="宋体"/>
          <w:kern w:val="0"/>
          <w:sz w:val="24"/>
          <w:lang w:val="zh-CN" w:bidi="zh-CN"/>
        </w:rPr>
      </w:pPr>
      <w:r>
        <w:rPr>
          <w:rFonts w:hint="eastAsia" w:ascii="宋体" w:hAnsi="宋体" w:cs="宋体"/>
          <w:kern w:val="0"/>
          <w:sz w:val="24"/>
          <w:lang w:bidi="zh-CN"/>
        </w:rPr>
        <w:t>3.</w:t>
      </w:r>
      <w:r>
        <w:rPr>
          <w:rFonts w:hint="eastAsia" w:ascii="宋体" w:hAnsi="宋体" w:cs="宋体"/>
          <w:kern w:val="0"/>
          <w:sz w:val="24"/>
          <w:lang w:val="zh-CN" w:bidi="zh-CN"/>
        </w:rPr>
        <w:t>《道路工程制图标准》（GB50162-92）</w:t>
      </w:r>
    </w:p>
    <w:p w14:paraId="715BBAD8">
      <w:pPr>
        <w:widowControl/>
        <w:tabs>
          <w:tab w:val="left" w:pos="1161"/>
        </w:tabs>
        <w:spacing w:before="86" w:line="300" w:lineRule="exact"/>
        <w:ind w:right="2998" w:firstLine="480" w:firstLineChars="200"/>
        <w:jc w:val="left"/>
        <w:rPr>
          <w:rFonts w:hint="eastAsia" w:ascii="宋体" w:hAnsi="宋体" w:cs="宋体"/>
          <w:kern w:val="0"/>
          <w:sz w:val="24"/>
          <w:lang w:val="zh-CN" w:bidi="zh-CN"/>
        </w:rPr>
      </w:pPr>
      <w:r>
        <w:rPr>
          <w:rFonts w:hint="eastAsia" w:ascii="宋体" w:hAnsi="宋体" w:cs="宋体"/>
          <w:kern w:val="0"/>
          <w:sz w:val="24"/>
          <w:lang w:val="zh-CN" w:bidi="zh-CN"/>
        </w:rPr>
        <w:t xml:space="preserve">4.《普通螺纹公差》(GB/T 197-2018） </w:t>
      </w:r>
    </w:p>
    <w:p w14:paraId="25962CA9">
      <w:pPr>
        <w:widowControl/>
        <w:tabs>
          <w:tab w:val="left" w:pos="1161"/>
        </w:tabs>
        <w:spacing w:before="86" w:line="300" w:lineRule="exact"/>
        <w:ind w:right="2998" w:firstLine="480" w:firstLineChars="200"/>
        <w:jc w:val="left"/>
        <w:rPr>
          <w:rFonts w:hint="eastAsia" w:ascii="宋体" w:hAnsi="宋体" w:cs="宋体"/>
          <w:kern w:val="0"/>
          <w:sz w:val="24"/>
          <w:lang w:val="zh-CN" w:bidi="zh-CN"/>
        </w:rPr>
      </w:pPr>
      <w:r>
        <w:rPr>
          <w:rFonts w:hint="eastAsia" w:ascii="宋体" w:hAnsi="宋体" w:cs="宋体"/>
          <w:kern w:val="0"/>
          <w:sz w:val="24"/>
          <w:lang w:val="en-US" w:bidi="zh-CN"/>
        </w:rPr>
        <w:t>五、</w:t>
      </w:r>
      <w:r>
        <w:rPr>
          <w:rFonts w:hint="eastAsia" w:ascii="宋体" w:hAnsi="宋体" w:cs="宋体"/>
          <w:kern w:val="0"/>
          <w:sz w:val="24"/>
          <w:lang w:val="zh-CN" w:bidi="zh-CN"/>
        </w:rPr>
        <w:t>相关地方行业标准规范、规定</w:t>
      </w:r>
    </w:p>
    <w:p w14:paraId="0DE16116">
      <w:pPr>
        <w:widowControl/>
        <w:tabs>
          <w:tab w:val="left" w:pos="1161"/>
        </w:tabs>
        <w:spacing w:before="86" w:line="300" w:lineRule="exact"/>
        <w:ind w:right="826" w:rightChars="0" w:firstLine="480" w:firstLineChars="200"/>
        <w:jc w:val="left"/>
        <w:rPr>
          <w:rFonts w:hint="eastAsia" w:ascii="宋体" w:hAnsi="宋体" w:cs="宋体"/>
          <w:kern w:val="0"/>
          <w:sz w:val="24"/>
          <w:lang w:val="zh-CN" w:bidi="zh-CN"/>
        </w:rPr>
      </w:pPr>
      <w:r>
        <w:rPr>
          <w:rFonts w:hint="eastAsia" w:ascii="宋体" w:hAnsi="宋体" w:cs="宋体"/>
          <w:kern w:val="0"/>
          <w:sz w:val="24"/>
          <w:lang w:val="zh-CN" w:bidi="zh-CN"/>
        </w:rPr>
        <w:t>1.《交通建设项目竣工档案编制办法》（新交办〔2009〕83 号）</w:t>
      </w:r>
    </w:p>
    <w:p w14:paraId="22A9B6A3">
      <w:pPr>
        <w:widowControl/>
        <w:tabs>
          <w:tab w:val="left" w:pos="1161"/>
          <w:tab w:val="left" w:pos="5880"/>
        </w:tabs>
        <w:spacing w:before="86" w:line="300" w:lineRule="exact"/>
        <w:ind w:right="826" w:rightChars="0" w:firstLine="480" w:firstLineChars="200"/>
        <w:jc w:val="left"/>
        <w:rPr>
          <w:rFonts w:hint="eastAsia" w:ascii="宋体" w:hAnsi="宋体" w:cs="宋体"/>
          <w:kern w:val="0"/>
          <w:sz w:val="24"/>
          <w:lang w:val="zh-CN" w:bidi="zh-CN"/>
        </w:rPr>
      </w:pPr>
      <w:r>
        <w:rPr>
          <w:rFonts w:hint="eastAsia" w:ascii="宋体" w:hAnsi="宋体" w:cs="宋体"/>
          <w:kern w:val="0"/>
          <w:sz w:val="24"/>
          <w:lang w:val="zh-CN" w:bidi="zh-CN"/>
        </w:rPr>
        <w:t>2.新疆盐渍土地区公路路基路面设计与施工规范（XJTJ01-2001）</w:t>
      </w:r>
    </w:p>
    <w:p w14:paraId="03A8884F">
      <w:pPr>
        <w:widowControl/>
        <w:tabs>
          <w:tab w:val="left" w:pos="1161"/>
        </w:tabs>
        <w:spacing w:before="86" w:line="360" w:lineRule="auto"/>
        <w:ind w:right="206" w:rightChars="0" w:firstLine="480" w:firstLineChars="200"/>
        <w:jc w:val="left"/>
        <w:rPr>
          <w:rFonts w:hint="eastAsia" w:ascii="宋体" w:hAnsi="宋体" w:cs="宋体"/>
          <w:kern w:val="0"/>
          <w:sz w:val="24"/>
          <w:lang w:val="zh-CN" w:bidi="zh-CN"/>
        </w:rPr>
      </w:pPr>
      <w:bookmarkStart w:id="164" w:name="注：技术规范包括但不限于上述标准、规范。在投标文件递交截止时间前与本工程相关的标"/>
      <w:bookmarkEnd w:id="164"/>
      <w:r>
        <w:rPr>
          <w:rFonts w:hint="eastAsia" w:ascii="宋体" w:hAnsi="宋体" w:cs="宋体"/>
          <w:kern w:val="0"/>
          <w:sz w:val="24"/>
          <w:lang w:val="zh-CN" w:bidi="zh-CN"/>
        </w:rPr>
        <w:t>注：技术规范包括但不限于上述标准、规范。在投标文件递交截止时间前与本工程相关的标准或规范如果有修改或新颁（无论招标文件中是否引用），则按新标准或规范执行，相关费用视为已包含在相关工程子目的单价或总额价中，不另行计量与支付。</w:t>
      </w:r>
    </w:p>
    <w:p w14:paraId="3F7CD1B1">
      <w:pPr>
        <w:autoSpaceDE w:val="0"/>
        <w:autoSpaceDN w:val="0"/>
        <w:spacing w:line="480" w:lineRule="atLeast"/>
        <w:ind w:firstLine="480" w:firstLineChars="200"/>
        <w:textAlignment w:val="bottom"/>
        <w:rPr>
          <w:rFonts w:hint="eastAsia" w:ascii="宋体" w:hAnsi="宋体" w:eastAsia="宋体"/>
          <w:color w:val="auto"/>
          <w:sz w:val="24"/>
          <w:highlight w:val="none"/>
          <w:lang w:val="en-US" w:eastAsia="zh-CN"/>
        </w:rPr>
      </w:pPr>
    </w:p>
    <w:p w14:paraId="39C4F7DC">
      <w:pPr>
        <w:widowControl w:val="0"/>
        <w:numPr>
          <w:ilvl w:val="0"/>
          <w:numId w:val="0"/>
        </w:numPr>
        <w:spacing w:line="360" w:lineRule="auto"/>
        <w:ind w:firstLine="482" w:firstLineChars="200"/>
        <w:jc w:val="both"/>
        <w:rPr>
          <w:rFonts w:hint="eastAsia" w:ascii="宋体" w:hAnsi="宋体"/>
          <w:b/>
          <w:bCs/>
          <w:color w:val="auto"/>
          <w:sz w:val="24"/>
          <w:szCs w:val="24"/>
          <w:highlight w:val="yellow"/>
        </w:rPr>
      </w:pPr>
    </w:p>
    <w:p w14:paraId="47E15F79">
      <w:pPr>
        <w:widowControl w:val="0"/>
        <w:numPr>
          <w:ilvl w:val="0"/>
          <w:numId w:val="0"/>
        </w:numPr>
        <w:jc w:val="both"/>
        <w:rPr>
          <w:rFonts w:hint="eastAsia"/>
          <w:highlight w:val="none"/>
          <w:lang w:val="en-US" w:eastAsia="zh-CN"/>
        </w:rPr>
      </w:pPr>
    </w:p>
    <w:p w14:paraId="3F9DE91E">
      <w:pPr>
        <w:widowControl w:val="0"/>
        <w:numPr>
          <w:ilvl w:val="0"/>
          <w:numId w:val="0"/>
        </w:numPr>
        <w:jc w:val="both"/>
        <w:rPr>
          <w:rFonts w:hint="eastAsia"/>
          <w:highlight w:val="none"/>
          <w:lang w:val="en-US" w:eastAsia="zh-CN"/>
        </w:rPr>
      </w:pPr>
    </w:p>
    <w:p w14:paraId="3F56053F">
      <w:pPr>
        <w:widowControl w:val="0"/>
        <w:numPr>
          <w:ilvl w:val="0"/>
          <w:numId w:val="0"/>
        </w:numPr>
        <w:jc w:val="both"/>
        <w:rPr>
          <w:rFonts w:hint="eastAsia"/>
          <w:highlight w:val="none"/>
          <w:lang w:val="en-US" w:eastAsia="zh-CN"/>
        </w:rPr>
      </w:pPr>
    </w:p>
    <w:p w14:paraId="70856827">
      <w:pPr>
        <w:widowControl w:val="0"/>
        <w:numPr>
          <w:ilvl w:val="0"/>
          <w:numId w:val="0"/>
        </w:numPr>
        <w:jc w:val="both"/>
        <w:rPr>
          <w:rFonts w:hint="eastAsia"/>
          <w:lang w:val="en-US" w:eastAsia="zh-CN"/>
        </w:rPr>
      </w:pPr>
    </w:p>
    <w:p w14:paraId="28B96C6E">
      <w:pPr>
        <w:widowControl w:val="0"/>
        <w:numPr>
          <w:ilvl w:val="0"/>
          <w:numId w:val="0"/>
        </w:numPr>
        <w:jc w:val="both"/>
        <w:rPr>
          <w:rFonts w:hint="eastAsia"/>
          <w:lang w:val="en-US" w:eastAsia="zh-CN"/>
        </w:rPr>
      </w:pPr>
    </w:p>
    <w:p w14:paraId="2E0C9889">
      <w:pPr>
        <w:widowControl w:val="0"/>
        <w:numPr>
          <w:ilvl w:val="0"/>
          <w:numId w:val="0"/>
        </w:numPr>
        <w:jc w:val="both"/>
        <w:rPr>
          <w:rFonts w:hint="eastAsia"/>
          <w:lang w:val="en-US" w:eastAsia="zh-CN"/>
        </w:rPr>
      </w:pPr>
    </w:p>
    <w:p w14:paraId="0BBC7D0D">
      <w:pPr>
        <w:widowControl w:val="0"/>
        <w:numPr>
          <w:ilvl w:val="0"/>
          <w:numId w:val="0"/>
        </w:numPr>
        <w:jc w:val="both"/>
        <w:rPr>
          <w:rFonts w:hint="eastAsia"/>
          <w:lang w:val="en-US" w:eastAsia="zh-CN"/>
        </w:rPr>
      </w:pPr>
    </w:p>
    <w:p w14:paraId="088185F6">
      <w:pPr>
        <w:widowControl w:val="0"/>
        <w:numPr>
          <w:ilvl w:val="0"/>
          <w:numId w:val="0"/>
        </w:numPr>
        <w:jc w:val="both"/>
        <w:rPr>
          <w:rFonts w:hint="eastAsia"/>
          <w:lang w:val="en-US" w:eastAsia="zh-CN"/>
        </w:rPr>
      </w:pPr>
    </w:p>
    <w:p w14:paraId="088AD46E">
      <w:pPr>
        <w:widowControl w:val="0"/>
        <w:numPr>
          <w:ilvl w:val="0"/>
          <w:numId w:val="0"/>
        </w:numPr>
        <w:jc w:val="both"/>
        <w:rPr>
          <w:rFonts w:hint="eastAsia"/>
          <w:lang w:val="en-US" w:eastAsia="zh-CN"/>
        </w:rPr>
      </w:pPr>
    </w:p>
    <w:p w14:paraId="0E96DEB2">
      <w:pPr>
        <w:widowControl w:val="0"/>
        <w:numPr>
          <w:ilvl w:val="0"/>
          <w:numId w:val="0"/>
        </w:numPr>
        <w:jc w:val="both"/>
        <w:rPr>
          <w:rFonts w:hint="eastAsia"/>
          <w:lang w:val="en-US" w:eastAsia="zh-CN"/>
        </w:rPr>
      </w:pPr>
    </w:p>
    <w:p w14:paraId="1142CAC4">
      <w:pPr>
        <w:widowControl w:val="0"/>
        <w:numPr>
          <w:ilvl w:val="0"/>
          <w:numId w:val="0"/>
        </w:numPr>
        <w:jc w:val="both"/>
        <w:rPr>
          <w:rFonts w:hint="eastAsia"/>
          <w:lang w:val="en-US" w:eastAsia="zh-CN"/>
        </w:rPr>
      </w:pPr>
    </w:p>
    <w:p w14:paraId="1A5F5AA7">
      <w:pPr>
        <w:widowControl w:val="0"/>
        <w:numPr>
          <w:ilvl w:val="0"/>
          <w:numId w:val="0"/>
        </w:numPr>
        <w:jc w:val="both"/>
        <w:rPr>
          <w:rFonts w:hint="eastAsia"/>
          <w:lang w:val="en-US" w:eastAsia="zh-CN"/>
        </w:rPr>
      </w:pPr>
    </w:p>
    <w:p w14:paraId="5257F46D">
      <w:pPr>
        <w:widowControl w:val="0"/>
        <w:numPr>
          <w:ilvl w:val="0"/>
          <w:numId w:val="0"/>
        </w:numPr>
        <w:jc w:val="both"/>
        <w:rPr>
          <w:rFonts w:hint="eastAsia"/>
          <w:lang w:val="en-US" w:eastAsia="zh-CN"/>
        </w:rPr>
      </w:pPr>
    </w:p>
    <w:p w14:paraId="4FD92C86">
      <w:pPr>
        <w:widowControl w:val="0"/>
        <w:numPr>
          <w:ilvl w:val="0"/>
          <w:numId w:val="0"/>
        </w:numPr>
        <w:jc w:val="both"/>
        <w:rPr>
          <w:rFonts w:hint="eastAsia"/>
          <w:lang w:val="en-US" w:eastAsia="zh-CN"/>
        </w:rPr>
      </w:pPr>
    </w:p>
    <w:p w14:paraId="13C9E44C">
      <w:pPr>
        <w:widowControl w:val="0"/>
        <w:numPr>
          <w:ilvl w:val="0"/>
          <w:numId w:val="0"/>
        </w:numPr>
        <w:jc w:val="both"/>
        <w:rPr>
          <w:rFonts w:hint="eastAsia"/>
          <w:lang w:val="en-US" w:eastAsia="zh-CN"/>
        </w:rPr>
      </w:pPr>
    </w:p>
    <w:p w14:paraId="38B2E4A2">
      <w:pPr>
        <w:widowControl w:val="0"/>
        <w:numPr>
          <w:ilvl w:val="0"/>
          <w:numId w:val="0"/>
        </w:numPr>
        <w:jc w:val="both"/>
        <w:rPr>
          <w:rFonts w:hint="eastAsia"/>
          <w:lang w:val="en-US" w:eastAsia="zh-CN"/>
        </w:rPr>
      </w:pPr>
    </w:p>
    <w:p w14:paraId="497721AB">
      <w:pPr>
        <w:widowControl w:val="0"/>
        <w:numPr>
          <w:ilvl w:val="0"/>
          <w:numId w:val="0"/>
        </w:numPr>
        <w:jc w:val="both"/>
        <w:rPr>
          <w:rFonts w:hint="eastAsia"/>
          <w:lang w:val="en-US" w:eastAsia="zh-CN"/>
        </w:rPr>
      </w:pPr>
    </w:p>
    <w:p w14:paraId="7FB1F289">
      <w:pPr>
        <w:widowControl w:val="0"/>
        <w:numPr>
          <w:ilvl w:val="0"/>
          <w:numId w:val="0"/>
        </w:numPr>
        <w:jc w:val="both"/>
        <w:rPr>
          <w:rFonts w:hint="eastAsia"/>
          <w:lang w:val="en-US" w:eastAsia="zh-CN"/>
        </w:rPr>
      </w:pPr>
    </w:p>
    <w:p w14:paraId="416B0573">
      <w:pPr>
        <w:widowControl w:val="0"/>
        <w:numPr>
          <w:ilvl w:val="0"/>
          <w:numId w:val="0"/>
        </w:numPr>
        <w:jc w:val="both"/>
        <w:rPr>
          <w:rFonts w:hint="eastAsia"/>
          <w:lang w:val="en-US" w:eastAsia="zh-CN"/>
        </w:rPr>
      </w:pPr>
    </w:p>
    <w:p w14:paraId="2BE74E3F">
      <w:pPr>
        <w:widowControl w:val="0"/>
        <w:numPr>
          <w:ilvl w:val="0"/>
          <w:numId w:val="0"/>
        </w:numPr>
        <w:jc w:val="both"/>
        <w:rPr>
          <w:rFonts w:hint="eastAsia"/>
          <w:lang w:val="en-US" w:eastAsia="zh-CN"/>
        </w:rPr>
      </w:pPr>
    </w:p>
    <w:p w14:paraId="466A2CD5">
      <w:pPr>
        <w:widowControl w:val="0"/>
        <w:numPr>
          <w:ilvl w:val="0"/>
          <w:numId w:val="0"/>
        </w:numPr>
        <w:jc w:val="both"/>
        <w:rPr>
          <w:rFonts w:hint="eastAsia"/>
          <w:lang w:val="en-US" w:eastAsia="zh-CN"/>
        </w:rPr>
      </w:pPr>
    </w:p>
    <w:p w14:paraId="658D9A69">
      <w:pPr>
        <w:widowControl w:val="0"/>
        <w:numPr>
          <w:ilvl w:val="0"/>
          <w:numId w:val="0"/>
        </w:numPr>
        <w:jc w:val="both"/>
        <w:rPr>
          <w:rFonts w:hint="eastAsia"/>
          <w:lang w:val="en-US" w:eastAsia="zh-CN"/>
        </w:rPr>
      </w:pPr>
    </w:p>
    <w:p w14:paraId="3F2A9F9A">
      <w:pPr>
        <w:widowControl w:val="0"/>
        <w:numPr>
          <w:ilvl w:val="0"/>
          <w:numId w:val="0"/>
        </w:numPr>
        <w:jc w:val="both"/>
        <w:rPr>
          <w:rFonts w:hint="eastAsia"/>
          <w:lang w:val="en-US" w:eastAsia="zh-CN"/>
        </w:rPr>
      </w:pPr>
    </w:p>
    <w:p w14:paraId="644EEB2B">
      <w:pPr>
        <w:widowControl w:val="0"/>
        <w:numPr>
          <w:ilvl w:val="0"/>
          <w:numId w:val="0"/>
        </w:numPr>
        <w:jc w:val="both"/>
        <w:rPr>
          <w:rFonts w:hint="eastAsia"/>
          <w:lang w:val="en-US" w:eastAsia="zh-CN"/>
        </w:rPr>
      </w:pPr>
    </w:p>
    <w:p w14:paraId="61C13FB8">
      <w:pPr>
        <w:widowControl w:val="0"/>
        <w:numPr>
          <w:ilvl w:val="0"/>
          <w:numId w:val="0"/>
        </w:numPr>
        <w:jc w:val="both"/>
        <w:rPr>
          <w:rFonts w:hint="eastAsia"/>
          <w:lang w:val="en-US" w:eastAsia="zh-CN"/>
        </w:rPr>
      </w:pPr>
    </w:p>
    <w:p w14:paraId="04EB94D5">
      <w:pPr>
        <w:widowControl w:val="0"/>
        <w:numPr>
          <w:ilvl w:val="0"/>
          <w:numId w:val="0"/>
        </w:numPr>
        <w:jc w:val="both"/>
        <w:rPr>
          <w:rFonts w:hint="eastAsia"/>
          <w:lang w:val="en-US" w:eastAsia="zh-CN"/>
        </w:rPr>
      </w:pPr>
    </w:p>
    <w:p w14:paraId="476BDC20">
      <w:pPr>
        <w:widowControl w:val="0"/>
        <w:numPr>
          <w:ilvl w:val="0"/>
          <w:numId w:val="0"/>
        </w:numPr>
        <w:jc w:val="both"/>
        <w:rPr>
          <w:rFonts w:hint="eastAsia"/>
          <w:lang w:val="en-US" w:eastAsia="zh-CN"/>
        </w:rPr>
      </w:pPr>
    </w:p>
    <w:p w14:paraId="0AEE8B5D">
      <w:pPr>
        <w:widowControl w:val="0"/>
        <w:numPr>
          <w:ilvl w:val="0"/>
          <w:numId w:val="0"/>
        </w:numPr>
        <w:jc w:val="both"/>
        <w:rPr>
          <w:rFonts w:hint="eastAsia"/>
          <w:lang w:val="en-US" w:eastAsia="zh-CN"/>
        </w:rPr>
      </w:pPr>
    </w:p>
    <w:p w14:paraId="6FF1B021">
      <w:pPr>
        <w:widowControl w:val="0"/>
        <w:numPr>
          <w:ilvl w:val="0"/>
          <w:numId w:val="0"/>
        </w:numPr>
        <w:jc w:val="both"/>
        <w:rPr>
          <w:rFonts w:hint="eastAsia"/>
          <w:lang w:val="en-US" w:eastAsia="zh-CN"/>
        </w:rPr>
      </w:pPr>
    </w:p>
    <w:p w14:paraId="65CB65CE">
      <w:pPr>
        <w:widowControl w:val="0"/>
        <w:numPr>
          <w:ilvl w:val="0"/>
          <w:numId w:val="0"/>
        </w:numPr>
        <w:jc w:val="both"/>
        <w:rPr>
          <w:rFonts w:hint="eastAsia"/>
          <w:lang w:val="en-US" w:eastAsia="zh-CN"/>
        </w:rPr>
      </w:pPr>
    </w:p>
    <w:p w14:paraId="41F70F96">
      <w:pPr>
        <w:numPr>
          <w:ilvl w:val="0"/>
          <w:numId w:val="0"/>
        </w:numPr>
        <w:rPr>
          <w:rFonts w:hint="default"/>
          <w:lang w:val="en-US" w:eastAsia="zh-CN"/>
        </w:rPr>
      </w:pPr>
    </w:p>
    <w:p w14:paraId="357C4ED7">
      <w:pPr>
        <w:numPr>
          <w:ilvl w:val="0"/>
          <w:numId w:val="0"/>
        </w:numPr>
        <w:rPr>
          <w:rFonts w:hint="default"/>
          <w:lang w:val="en-US" w:eastAsia="zh-CN"/>
        </w:rPr>
      </w:pPr>
    </w:p>
    <w:p w14:paraId="43D96037">
      <w:pPr>
        <w:numPr>
          <w:ilvl w:val="0"/>
          <w:numId w:val="0"/>
        </w:numPr>
        <w:rPr>
          <w:rFonts w:hint="default"/>
          <w:lang w:val="en-US" w:eastAsia="zh-CN"/>
        </w:rPr>
      </w:pPr>
    </w:p>
    <w:p w14:paraId="3ADFAFAC">
      <w:pPr>
        <w:numPr>
          <w:ilvl w:val="0"/>
          <w:numId w:val="0"/>
        </w:numPr>
        <w:rPr>
          <w:rFonts w:hint="default"/>
          <w:lang w:val="en-US" w:eastAsia="zh-CN"/>
        </w:rPr>
      </w:pPr>
    </w:p>
    <w:p w14:paraId="609BBA6C">
      <w:pPr>
        <w:numPr>
          <w:ilvl w:val="0"/>
          <w:numId w:val="0"/>
        </w:numPr>
        <w:rPr>
          <w:rFonts w:hint="default"/>
          <w:lang w:val="en-US" w:eastAsia="zh-CN"/>
        </w:rPr>
      </w:pPr>
    </w:p>
    <w:p w14:paraId="03F31B41">
      <w:pPr>
        <w:numPr>
          <w:ilvl w:val="0"/>
          <w:numId w:val="0"/>
        </w:numPr>
        <w:rPr>
          <w:rFonts w:hint="default"/>
          <w:lang w:val="en-US" w:eastAsia="zh-CN"/>
        </w:rPr>
      </w:pPr>
    </w:p>
    <w:p w14:paraId="74992076">
      <w:pPr>
        <w:numPr>
          <w:ilvl w:val="0"/>
          <w:numId w:val="0"/>
        </w:numPr>
        <w:rPr>
          <w:rFonts w:hint="default"/>
          <w:lang w:val="en-US" w:eastAsia="zh-CN"/>
        </w:rPr>
      </w:pPr>
    </w:p>
    <w:p w14:paraId="79DDF413">
      <w:pPr>
        <w:numPr>
          <w:ilvl w:val="0"/>
          <w:numId w:val="0"/>
        </w:numPr>
        <w:rPr>
          <w:rFonts w:hint="default"/>
          <w:lang w:val="en-US" w:eastAsia="zh-CN"/>
        </w:rPr>
      </w:pPr>
    </w:p>
    <w:p w14:paraId="67508E0F">
      <w:pPr>
        <w:numPr>
          <w:ilvl w:val="0"/>
          <w:numId w:val="0"/>
        </w:numPr>
        <w:rPr>
          <w:rFonts w:hint="default" w:ascii="宋体" w:hAnsi="宋体" w:eastAsia="宋体" w:cs="宋体"/>
          <w:b/>
          <w:color w:val="auto"/>
          <w:kern w:val="2"/>
          <w:sz w:val="32"/>
          <w:szCs w:val="32"/>
          <w:highlight w:val="none"/>
          <w:lang w:val="en-US" w:eastAsia="zh-CN" w:bidi="ar-SA"/>
        </w:rPr>
      </w:pPr>
    </w:p>
    <w:p w14:paraId="2011A14D">
      <w:pPr>
        <w:numPr>
          <w:ilvl w:val="0"/>
          <w:numId w:val="0"/>
        </w:numPr>
        <w:rPr>
          <w:rFonts w:hint="default" w:ascii="宋体" w:hAnsi="宋体" w:eastAsia="宋体" w:cs="宋体"/>
          <w:b/>
          <w:color w:val="auto"/>
          <w:kern w:val="2"/>
          <w:sz w:val="32"/>
          <w:szCs w:val="32"/>
          <w:highlight w:val="none"/>
          <w:lang w:val="en-US" w:eastAsia="zh-CN" w:bidi="ar-SA"/>
        </w:rPr>
      </w:pPr>
    </w:p>
    <w:p w14:paraId="501F425E">
      <w:pPr>
        <w:numPr>
          <w:ilvl w:val="0"/>
          <w:numId w:val="0"/>
        </w:numPr>
        <w:ind w:firstLine="2891" w:firstLineChars="900"/>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第十章</w:t>
      </w:r>
      <w:r>
        <w:rPr>
          <w:rFonts w:hint="eastAsia" w:ascii="宋体" w:hAnsi="宋体" w:cs="宋体"/>
          <w:b/>
          <w:color w:val="auto"/>
          <w:kern w:val="2"/>
          <w:sz w:val="32"/>
          <w:szCs w:val="32"/>
          <w:highlight w:val="none"/>
          <w:lang w:val="en-US" w:eastAsia="zh-CN" w:bidi="ar-SA"/>
        </w:rPr>
        <w:t xml:space="preserve">  </w:t>
      </w:r>
      <w:r>
        <w:rPr>
          <w:rFonts w:hint="eastAsia" w:ascii="宋体" w:hAnsi="宋体" w:eastAsia="宋体" w:cs="宋体"/>
          <w:b/>
          <w:color w:val="auto"/>
          <w:kern w:val="2"/>
          <w:sz w:val="32"/>
          <w:szCs w:val="32"/>
          <w:highlight w:val="none"/>
          <w:lang w:val="en-US" w:eastAsia="zh-CN" w:bidi="ar-SA"/>
        </w:rPr>
        <w:t>工程量清单计量规则</w:t>
      </w:r>
    </w:p>
    <w:p w14:paraId="406FD6F7">
      <w:pPr>
        <w:keepNext/>
        <w:keepLines/>
        <w:widowControl/>
        <w:spacing w:before="260" w:after="260" w:line="416" w:lineRule="auto"/>
        <w:jc w:val="left"/>
        <w:outlineLvl w:val="1"/>
        <w:rPr>
          <w:rFonts w:ascii="Times New Roman" w:hAnsi="Times New Roman" w:cs="宋体"/>
          <w:b/>
          <w:bCs/>
          <w:kern w:val="0"/>
          <w:sz w:val="28"/>
          <w:szCs w:val="28"/>
          <w:highlight w:val="none"/>
          <w:lang w:val="zh-CN" w:bidi="zh-CN"/>
        </w:rPr>
      </w:pPr>
      <w:bookmarkStart w:id="165" w:name="_Toc256000094"/>
      <w:bookmarkStart w:id="166" w:name="_Toc256000070"/>
      <w:r>
        <w:rPr>
          <w:rFonts w:ascii="Times New Roman" w:hAnsi="Times New Roman" w:cs="宋体"/>
          <w:b/>
          <w:bCs/>
          <w:kern w:val="0"/>
          <w:sz w:val="28"/>
          <w:szCs w:val="28"/>
          <w:highlight w:val="none"/>
          <w:lang w:val="zh-CN" w:bidi="zh-CN"/>
        </w:rPr>
        <w:t>1.说明</w:t>
      </w:r>
      <w:bookmarkEnd w:id="165"/>
      <w:bookmarkEnd w:id="166"/>
    </w:p>
    <w:p w14:paraId="50C12F9A">
      <w:pPr>
        <w:widowControl/>
        <w:autoSpaceDE w:val="0"/>
        <w:autoSpaceDN w:val="0"/>
        <w:spacing w:line="360" w:lineRule="auto"/>
        <w:jc w:val="left"/>
        <w:rPr>
          <w:rFonts w:ascii="宋体" w:hAnsi="宋体" w:cs="宋体"/>
          <w:b/>
          <w:bCs/>
          <w:kern w:val="0"/>
          <w:sz w:val="24"/>
          <w:szCs w:val="24"/>
          <w:highlight w:val="none"/>
          <w:lang w:val="zh-CN" w:bidi="zh-CN"/>
        </w:rPr>
      </w:pPr>
      <w:r>
        <w:rPr>
          <w:rFonts w:hint="eastAsia" w:ascii="宋体" w:hAnsi="宋体" w:cs="宋体"/>
          <w:b/>
          <w:bCs/>
          <w:kern w:val="0"/>
          <w:sz w:val="24"/>
          <w:szCs w:val="24"/>
          <w:highlight w:val="none"/>
          <w:lang w:val="zh-CN" w:bidi="zh-CN"/>
        </w:rPr>
        <w:t>1.一般要求</w:t>
      </w:r>
    </w:p>
    <w:p w14:paraId="1630396B">
      <w:pPr>
        <w:widowControl/>
        <w:numPr>
          <w:ilvl w:val="0"/>
          <w:numId w:val="0"/>
        </w:numPr>
        <w:autoSpaceDE w:val="0"/>
        <w:autoSpaceDN w:val="0"/>
        <w:spacing w:line="360" w:lineRule="auto"/>
        <w:ind w:leftChars="200" w:firstLine="480" w:firstLineChars="200"/>
        <w:jc w:val="left"/>
        <w:rPr>
          <w:rFonts w:ascii="宋体" w:hAnsi="宋体" w:cs="宋体"/>
          <w:kern w:val="0"/>
          <w:sz w:val="24"/>
          <w:szCs w:val="24"/>
          <w:highlight w:val="none"/>
          <w:lang w:val="zh-CN" w:bidi="zh-CN"/>
        </w:rPr>
      </w:pPr>
      <w:r>
        <w:rPr>
          <w:rFonts w:hint="eastAsia" w:ascii="宋体" w:hAnsi="宋体" w:cs="宋体"/>
          <w:kern w:val="0"/>
          <w:sz w:val="24"/>
          <w:szCs w:val="24"/>
          <w:highlight w:val="none"/>
          <w:lang w:val="zh-CN" w:bidi="zh-CN"/>
        </w:rPr>
        <w:t>(1)</w:t>
      </w:r>
      <w:r>
        <w:rPr>
          <w:rFonts w:ascii="宋体" w:hAnsi="宋体" w:cs="宋体"/>
          <w:kern w:val="0"/>
          <w:sz w:val="24"/>
          <w:szCs w:val="24"/>
          <w:highlight w:val="none"/>
          <w:lang w:val="zh-CN" w:bidi="zh-CN"/>
        </w:rPr>
        <w:t>本计量规则各章节是按第五章“工程量清单”的相应章节编号的，因此，各章节工程子目的工程量计量规则与工程量清单中相对应的工程子目的“子目号”、“子目名称”、“单位”一致，“工程量计量”、“工程内容”是相应的工程子目的计量依据。</w:t>
      </w:r>
    </w:p>
    <w:p w14:paraId="61714CE5">
      <w:pPr>
        <w:widowControl/>
        <w:numPr>
          <w:ilvl w:val="0"/>
          <w:numId w:val="0"/>
        </w:numPr>
        <w:autoSpaceDE w:val="0"/>
        <w:autoSpaceDN w:val="0"/>
        <w:spacing w:line="360" w:lineRule="auto"/>
        <w:ind w:leftChars="200" w:firstLine="480" w:firstLineChars="200"/>
        <w:jc w:val="left"/>
        <w:rPr>
          <w:rFonts w:ascii="宋体" w:hAnsi="宋体" w:cs="宋体"/>
          <w:kern w:val="0"/>
          <w:sz w:val="24"/>
          <w:szCs w:val="24"/>
          <w:highlight w:val="none"/>
          <w:lang w:val="zh-CN" w:bidi="zh-CN"/>
        </w:rPr>
      </w:pPr>
      <w:r>
        <w:rPr>
          <w:rFonts w:hint="eastAsia" w:ascii="宋体" w:hAnsi="宋体" w:cs="宋体"/>
          <w:kern w:val="0"/>
          <w:sz w:val="24"/>
          <w:szCs w:val="24"/>
          <w:highlight w:val="none"/>
          <w:lang w:val="zh-CN" w:bidi="zh-CN"/>
        </w:rPr>
        <w:t>(</w:t>
      </w:r>
      <w:r>
        <w:rPr>
          <w:rFonts w:hint="eastAsia" w:ascii="宋体" w:hAnsi="宋体" w:cs="宋体"/>
          <w:kern w:val="0"/>
          <w:sz w:val="24"/>
          <w:szCs w:val="24"/>
          <w:highlight w:val="none"/>
          <w:lang w:val="en-US" w:bidi="zh-CN"/>
        </w:rPr>
        <w:t>2</w:t>
      </w:r>
      <w:r>
        <w:rPr>
          <w:rFonts w:hint="eastAsia" w:ascii="宋体" w:hAnsi="宋体" w:cs="宋体"/>
          <w:kern w:val="0"/>
          <w:sz w:val="24"/>
          <w:szCs w:val="24"/>
          <w:highlight w:val="none"/>
          <w:lang w:val="zh-CN" w:bidi="zh-CN"/>
        </w:rPr>
        <w:t>)</w:t>
      </w:r>
      <w:r>
        <w:rPr>
          <w:rFonts w:ascii="宋体" w:hAnsi="宋体" w:cs="宋体"/>
          <w:kern w:val="0"/>
          <w:sz w:val="24"/>
          <w:szCs w:val="24"/>
          <w:highlight w:val="none"/>
          <w:lang w:val="zh-CN" w:bidi="zh-CN"/>
        </w:rPr>
        <w:t>本规则所有工程项目，除个别注明者外，均采用我国法定的计量单位，即国际单位及国际单位制导出的辅助单位进行计量。</w:t>
      </w:r>
    </w:p>
    <w:p w14:paraId="6034FC10">
      <w:pPr>
        <w:widowControl/>
        <w:numPr>
          <w:ilvl w:val="0"/>
          <w:numId w:val="0"/>
        </w:numPr>
        <w:autoSpaceDE w:val="0"/>
        <w:autoSpaceDN w:val="0"/>
        <w:spacing w:line="360" w:lineRule="auto"/>
        <w:ind w:leftChars="200" w:firstLine="480" w:firstLineChars="200"/>
        <w:jc w:val="left"/>
        <w:rPr>
          <w:rFonts w:ascii="宋体" w:hAnsi="宋体" w:cs="宋体"/>
          <w:kern w:val="0"/>
          <w:sz w:val="24"/>
          <w:szCs w:val="24"/>
          <w:highlight w:val="none"/>
          <w:lang w:val="zh-CN" w:bidi="zh-CN"/>
        </w:rPr>
      </w:pPr>
      <w:r>
        <w:rPr>
          <w:rFonts w:hint="eastAsia" w:ascii="宋体" w:hAnsi="宋体" w:cs="宋体"/>
          <w:kern w:val="0"/>
          <w:sz w:val="24"/>
          <w:szCs w:val="24"/>
          <w:highlight w:val="none"/>
          <w:lang w:val="zh-CN" w:bidi="zh-CN"/>
        </w:rPr>
        <w:t>(</w:t>
      </w:r>
      <w:r>
        <w:rPr>
          <w:rFonts w:hint="eastAsia" w:ascii="宋体" w:hAnsi="宋体" w:cs="宋体"/>
          <w:kern w:val="0"/>
          <w:sz w:val="24"/>
          <w:szCs w:val="24"/>
          <w:highlight w:val="none"/>
          <w:lang w:val="en-US" w:bidi="zh-CN"/>
        </w:rPr>
        <w:t>3</w:t>
      </w:r>
      <w:r>
        <w:rPr>
          <w:rFonts w:hint="eastAsia" w:ascii="宋体" w:hAnsi="宋体" w:cs="宋体"/>
          <w:kern w:val="0"/>
          <w:sz w:val="24"/>
          <w:szCs w:val="24"/>
          <w:highlight w:val="none"/>
          <w:lang w:val="zh-CN" w:bidi="zh-CN"/>
        </w:rPr>
        <w:t>)</w:t>
      </w:r>
      <w:r>
        <w:rPr>
          <w:rFonts w:ascii="宋体" w:hAnsi="宋体" w:cs="宋体"/>
          <w:kern w:val="0"/>
          <w:sz w:val="24"/>
          <w:szCs w:val="24"/>
          <w:highlight w:val="none"/>
          <w:lang w:val="zh-CN" w:bidi="zh-CN"/>
        </w:rPr>
        <w:t>本规则的计量与支付，应与合同条款、工程量清单以及图纸同时阅读，工程量清单中的支付项目号和本规则的章节编号是一致的。</w:t>
      </w:r>
    </w:p>
    <w:p w14:paraId="771D58CE">
      <w:pPr>
        <w:widowControl/>
        <w:numPr>
          <w:ilvl w:val="0"/>
          <w:numId w:val="0"/>
        </w:numPr>
        <w:autoSpaceDE w:val="0"/>
        <w:autoSpaceDN w:val="0"/>
        <w:spacing w:line="360" w:lineRule="auto"/>
        <w:ind w:leftChars="200" w:firstLine="480" w:firstLineChars="200"/>
        <w:jc w:val="left"/>
        <w:rPr>
          <w:rFonts w:ascii="宋体" w:hAnsi="宋体" w:cs="宋体"/>
          <w:kern w:val="0"/>
          <w:sz w:val="24"/>
          <w:szCs w:val="24"/>
          <w:highlight w:val="none"/>
          <w:lang w:val="zh-CN" w:bidi="zh-CN"/>
        </w:rPr>
      </w:pPr>
      <w:r>
        <w:rPr>
          <w:rFonts w:hint="eastAsia" w:ascii="宋体" w:hAnsi="宋体" w:cs="宋体"/>
          <w:kern w:val="0"/>
          <w:sz w:val="24"/>
          <w:szCs w:val="24"/>
          <w:highlight w:val="none"/>
          <w:lang w:val="zh-CN" w:bidi="zh-CN"/>
        </w:rPr>
        <w:t>(</w:t>
      </w:r>
      <w:r>
        <w:rPr>
          <w:rFonts w:hint="eastAsia" w:ascii="宋体" w:hAnsi="宋体" w:cs="宋体"/>
          <w:kern w:val="0"/>
          <w:sz w:val="24"/>
          <w:szCs w:val="24"/>
          <w:highlight w:val="none"/>
          <w:lang w:val="en-US" w:bidi="zh-CN"/>
        </w:rPr>
        <w:t>4</w:t>
      </w:r>
      <w:r>
        <w:rPr>
          <w:rFonts w:hint="eastAsia" w:ascii="宋体" w:hAnsi="宋体" w:cs="宋体"/>
          <w:kern w:val="0"/>
          <w:sz w:val="24"/>
          <w:szCs w:val="24"/>
          <w:highlight w:val="none"/>
          <w:lang w:val="zh-CN" w:bidi="zh-CN"/>
        </w:rPr>
        <w:t>)</w:t>
      </w:r>
      <w:r>
        <w:rPr>
          <w:rFonts w:ascii="宋体" w:hAnsi="宋体" w:cs="宋体"/>
          <w:kern w:val="0"/>
          <w:sz w:val="24"/>
          <w:szCs w:val="24"/>
          <w:highlight w:val="none"/>
          <w:lang w:val="zh-CN" w:bidi="zh-CN"/>
        </w:rPr>
        <w:t>任何工程项目的计量，均应按本规则规定或监理人书面指示进行。</w:t>
      </w:r>
    </w:p>
    <w:p w14:paraId="1852A30D">
      <w:pPr>
        <w:widowControl/>
        <w:numPr>
          <w:ilvl w:val="0"/>
          <w:numId w:val="0"/>
        </w:numPr>
        <w:autoSpaceDE w:val="0"/>
        <w:autoSpaceDN w:val="0"/>
        <w:spacing w:line="360" w:lineRule="auto"/>
        <w:ind w:leftChars="200" w:firstLine="480" w:firstLineChars="200"/>
        <w:jc w:val="left"/>
        <w:rPr>
          <w:rFonts w:ascii="宋体" w:hAnsi="宋体" w:cs="宋体"/>
          <w:kern w:val="0"/>
          <w:sz w:val="24"/>
          <w:szCs w:val="24"/>
          <w:highlight w:val="none"/>
          <w:lang w:val="zh-CN" w:bidi="zh-CN"/>
        </w:rPr>
      </w:pPr>
      <w:r>
        <w:rPr>
          <w:rFonts w:hint="eastAsia" w:ascii="宋体" w:hAnsi="宋体" w:cs="宋体"/>
          <w:kern w:val="0"/>
          <w:sz w:val="24"/>
          <w:szCs w:val="24"/>
          <w:highlight w:val="none"/>
          <w:lang w:val="zh-CN" w:bidi="zh-CN"/>
        </w:rPr>
        <w:t>(</w:t>
      </w:r>
      <w:r>
        <w:rPr>
          <w:rFonts w:hint="eastAsia" w:ascii="宋体" w:hAnsi="宋体" w:cs="宋体"/>
          <w:kern w:val="0"/>
          <w:sz w:val="24"/>
          <w:szCs w:val="24"/>
          <w:highlight w:val="none"/>
          <w:lang w:val="en-US" w:bidi="zh-CN"/>
        </w:rPr>
        <w:t>5</w:t>
      </w:r>
      <w:r>
        <w:rPr>
          <w:rFonts w:hint="eastAsia" w:ascii="宋体" w:hAnsi="宋体" w:cs="宋体"/>
          <w:kern w:val="0"/>
          <w:sz w:val="24"/>
          <w:szCs w:val="24"/>
          <w:highlight w:val="none"/>
          <w:lang w:val="zh-CN" w:bidi="zh-CN"/>
        </w:rPr>
        <w:t>)</w:t>
      </w:r>
      <w:r>
        <w:rPr>
          <w:rFonts w:ascii="宋体" w:hAnsi="宋体" w:cs="宋体"/>
          <w:kern w:val="0"/>
          <w:sz w:val="24"/>
          <w:szCs w:val="24"/>
          <w:highlight w:val="none"/>
          <w:lang w:val="zh-CN" w:bidi="zh-CN"/>
        </w:rPr>
        <w:t>按合同提供的材料数量和完成的工程数量所采用的测量与计算方法，应符合本规则规定。所有这些方法，应经监理人批准或指示。承包人应提供一切计量设备和条件，并保证其设备精度符合要求。</w:t>
      </w:r>
    </w:p>
    <w:p w14:paraId="157138E3">
      <w:pPr>
        <w:widowControl/>
        <w:numPr>
          <w:ilvl w:val="0"/>
          <w:numId w:val="0"/>
        </w:numPr>
        <w:autoSpaceDE w:val="0"/>
        <w:autoSpaceDN w:val="0"/>
        <w:spacing w:line="360" w:lineRule="auto"/>
        <w:ind w:leftChars="200" w:firstLine="480" w:firstLineChars="200"/>
        <w:jc w:val="left"/>
        <w:rPr>
          <w:rFonts w:ascii="宋体" w:hAnsi="宋体" w:cs="宋体"/>
          <w:kern w:val="0"/>
          <w:sz w:val="24"/>
          <w:szCs w:val="24"/>
          <w:highlight w:val="none"/>
          <w:lang w:val="zh-CN" w:bidi="zh-CN"/>
        </w:rPr>
      </w:pPr>
      <w:r>
        <w:rPr>
          <w:rFonts w:hint="eastAsia" w:ascii="宋体" w:hAnsi="宋体" w:cs="宋体"/>
          <w:kern w:val="0"/>
          <w:sz w:val="24"/>
          <w:szCs w:val="24"/>
          <w:highlight w:val="none"/>
          <w:lang w:val="zh-CN" w:bidi="zh-CN"/>
        </w:rPr>
        <w:t>(</w:t>
      </w:r>
      <w:r>
        <w:rPr>
          <w:rFonts w:hint="eastAsia" w:ascii="宋体" w:hAnsi="宋体" w:cs="宋体"/>
          <w:kern w:val="0"/>
          <w:sz w:val="24"/>
          <w:szCs w:val="24"/>
          <w:highlight w:val="none"/>
          <w:lang w:val="en-US" w:bidi="zh-CN"/>
        </w:rPr>
        <w:t>6</w:t>
      </w:r>
      <w:r>
        <w:rPr>
          <w:rFonts w:hint="eastAsia" w:ascii="宋体" w:hAnsi="宋体" w:cs="宋体"/>
          <w:kern w:val="0"/>
          <w:sz w:val="24"/>
          <w:szCs w:val="24"/>
          <w:highlight w:val="none"/>
          <w:lang w:val="zh-CN" w:bidi="zh-CN"/>
        </w:rPr>
        <w:t>)</w:t>
      </w:r>
      <w:r>
        <w:rPr>
          <w:rFonts w:ascii="宋体" w:hAnsi="宋体" w:cs="宋体"/>
          <w:kern w:val="0"/>
          <w:sz w:val="24"/>
          <w:szCs w:val="24"/>
          <w:highlight w:val="none"/>
          <w:lang w:val="zh-CN" w:bidi="zh-CN"/>
        </w:rPr>
        <w:t>除非监理人另有准许，一切计量工作都应在监理人在场情况下，由承包人测量、记录。有承包人签名的计量记录原本，应提交给监理人审查和保存。</w:t>
      </w:r>
    </w:p>
    <w:p w14:paraId="79B0BEE8">
      <w:pPr>
        <w:widowControl/>
        <w:numPr>
          <w:ilvl w:val="0"/>
          <w:numId w:val="0"/>
        </w:numPr>
        <w:autoSpaceDE w:val="0"/>
        <w:autoSpaceDN w:val="0"/>
        <w:spacing w:line="360" w:lineRule="auto"/>
        <w:ind w:leftChars="200" w:firstLine="480" w:firstLineChars="200"/>
        <w:jc w:val="left"/>
        <w:rPr>
          <w:rFonts w:ascii="宋体" w:hAnsi="宋体" w:cs="宋体"/>
          <w:kern w:val="0"/>
          <w:sz w:val="24"/>
          <w:szCs w:val="24"/>
          <w:highlight w:val="none"/>
          <w:lang w:val="zh-CN" w:bidi="zh-CN"/>
        </w:rPr>
      </w:pPr>
      <w:r>
        <w:rPr>
          <w:rFonts w:hint="eastAsia" w:ascii="宋体" w:hAnsi="宋体" w:cs="宋体"/>
          <w:kern w:val="0"/>
          <w:sz w:val="24"/>
          <w:szCs w:val="24"/>
          <w:highlight w:val="none"/>
          <w:lang w:val="zh-CN" w:bidi="zh-CN"/>
        </w:rPr>
        <w:t>(</w:t>
      </w:r>
      <w:r>
        <w:rPr>
          <w:rFonts w:hint="eastAsia" w:ascii="宋体" w:hAnsi="宋体" w:cs="宋体"/>
          <w:kern w:val="0"/>
          <w:sz w:val="24"/>
          <w:szCs w:val="24"/>
          <w:highlight w:val="none"/>
          <w:lang w:val="en-US" w:bidi="zh-CN"/>
        </w:rPr>
        <w:t>7</w:t>
      </w:r>
      <w:r>
        <w:rPr>
          <w:rFonts w:hint="eastAsia" w:ascii="宋体" w:hAnsi="宋体" w:cs="宋体"/>
          <w:kern w:val="0"/>
          <w:sz w:val="24"/>
          <w:szCs w:val="24"/>
          <w:highlight w:val="none"/>
          <w:lang w:val="zh-CN" w:bidi="zh-CN"/>
        </w:rPr>
        <w:t>)</w:t>
      </w:r>
      <w:r>
        <w:rPr>
          <w:rFonts w:ascii="宋体" w:hAnsi="宋体" w:cs="宋体"/>
          <w:kern w:val="0"/>
          <w:sz w:val="24"/>
          <w:szCs w:val="24"/>
          <w:highlight w:val="none"/>
          <w:lang w:val="zh-CN" w:bidi="zh-CN"/>
        </w:rPr>
        <w:t>工程量应由承包人计算，由监理人审核。工程量计算的副本应提交给监理人并由监理人保存。</w:t>
      </w:r>
    </w:p>
    <w:p w14:paraId="61978429">
      <w:pPr>
        <w:widowControl/>
        <w:numPr>
          <w:ilvl w:val="0"/>
          <w:numId w:val="0"/>
        </w:numPr>
        <w:autoSpaceDE w:val="0"/>
        <w:autoSpaceDN w:val="0"/>
        <w:spacing w:line="360" w:lineRule="auto"/>
        <w:ind w:leftChars="200" w:firstLine="480" w:firstLineChars="200"/>
        <w:jc w:val="left"/>
        <w:rPr>
          <w:rFonts w:ascii="宋体" w:hAnsi="宋体" w:cs="宋体"/>
          <w:kern w:val="0"/>
          <w:sz w:val="24"/>
          <w:szCs w:val="24"/>
          <w:highlight w:val="none"/>
          <w:lang w:val="zh-CN" w:bidi="zh-CN"/>
        </w:rPr>
      </w:pPr>
      <w:r>
        <w:rPr>
          <w:rFonts w:hint="eastAsia" w:ascii="宋体" w:hAnsi="宋体" w:cs="宋体"/>
          <w:kern w:val="0"/>
          <w:sz w:val="24"/>
          <w:szCs w:val="24"/>
          <w:highlight w:val="none"/>
          <w:lang w:val="zh-CN" w:bidi="zh-CN"/>
        </w:rPr>
        <w:t>(</w:t>
      </w:r>
      <w:r>
        <w:rPr>
          <w:rFonts w:hint="eastAsia" w:ascii="宋体" w:hAnsi="宋体" w:cs="宋体"/>
          <w:kern w:val="0"/>
          <w:sz w:val="24"/>
          <w:szCs w:val="24"/>
          <w:highlight w:val="none"/>
          <w:lang w:val="en-US" w:bidi="zh-CN"/>
        </w:rPr>
        <w:t>8</w:t>
      </w:r>
      <w:r>
        <w:rPr>
          <w:rFonts w:hint="eastAsia" w:ascii="宋体" w:hAnsi="宋体" w:cs="宋体"/>
          <w:kern w:val="0"/>
          <w:sz w:val="24"/>
          <w:szCs w:val="24"/>
          <w:highlight w:val="none"/>
          <w:lang w:val="zh-CN" w:bidi="zh-CN"/>
        </w:rPr>
        <w:t>)</w:t>
      </w:r>
      <w:r>
        <w:rPr>
          <w:rFonts w:ascii="宋体" w:hAnsi="宋体" w:cs="宋体"/>
          <w:kern w:val="0"/>
          <w:sz w:val="24"/>
          <w:szCs w:val="24"/>
          <w:highlight w:val="none"/>
          <w:lang w:val="zh-CN" w:bidi="zh-CN"/>
        </w:rPr>
        <w:t>除合同特殊约定单独计量之外，全部必需的模板、脚手架、装备、机具、螺栓、垫圈和钢制件等其他材料，应包括在工程量清单中所列的有关支付项目中， 均不单独计量。</w:t>
      </w:r>
    </w:p>
    <w:p w14:paraId="7CD26BA7">
      <w:pPr>
        <w:widowControl/>
        <w:numPr>
          <w:ilvl w:val="0"/>
          <w:numId w:val="0"/>
        </w:numPr>
        <w:autoSpaceDE w:val="0"/>
        <w:autoSpaceDN w:val="0"/>
        <w:spacing w:line="360" w:lineRule="auto"/>
        <w:ind w:leftChars="200" w:firstLine="480" w:firstLineChars="200"/>
        <w:jc w:val="left"/>
        <w:rPr>
          <w:rFonts w:ascii="宋体" w:hAnsi="宋体" w:cs="宋体"/>
          <w:kern w:val="0"/>
          <w:sz w:val="24"/>
          <w:szCs w:val="24"/>
          <w:highlight w:val="none"/>
          <w:lang w:val="zh-CN" w:bidi="zh-CN"/>
        </w:rPr>
      </w:pPr>
      <w:r>
        <w:rPr>
          <w:rFonts w:hint="eastAsia" w:ascii="宋体" w:hAnsi="宋体" w:cs="宋体"/>
          <w:kern w:val="0"/>
          <w:sz w:val="24"/>
          <w:szCs w:val="24"/>
          <w:highlight w:val="none"/>
          <w:lang w:val="zh-CN" w:bidi="zh-CN"/>
        </w:rPr>
        <w:t>(</w:t>
      </w:r>
      <w:r>
        <w:rPr>
          <w:rFonts w:hint="eastAsia" w:ascii="宋体" w:hAnsi="宋体" w:cs="宋体"/>
          <w:kern w:val="0"/>
          <w:sz w:val="24"/>
          <w:szCs w:val="24"/>
          <w:highlight w:val="none"/>
          <w:lang w:val="en-US" w:bidi="zh-CN"/>
        </w:rPr>
        <w:t>9</w:t>
      </w:r>
      <w:r>
        <w:rPr>
          <w:rFonts w:hint="eastAsia" w:ascii="宋体" w:hAnsi="宋体" w:cs="宋体"/>
          <w:kern w:val="0"/>
          <w:sz w:val="24"/>
          <w:szCs w:val="24"/>
          <w:highlight w:val="none"/>
          <w:lang w:val="zh-CN" w:bidi="zh-CN"/>
        </w:rPr>
        <w:t>)</w:t>
      </w:r>
      <w:r>
        <w:rPr>
          <w:rFonts w:ascii="宋体" w:hAnsi="宋体" w:cs="宋体"/>
          <w:kern w:val="0"/>
          <w:sz w:val="24"/>
          <w:szCs w:val="24"/>
          <w:highlight w:val="none"/>
          <w:lang w:val="zh-CN" w:bidi="zh-CN"/>
        </w:rPr>
        <w:t>除监理人另有批准外，凡超过图纸所示的面积或体积，都不予计量与支付。</w:t>
      </w:r>
    </w:p>
    <w:p w14:paraId="4DC3C9B7">
      <w:pPr>
        <w:widowControl/>
        <w:autoSpaceDE w:val="0"/>
        <w:autoSpaceDN w:val="0"/>
        <w:spacing w:line="360" w:lineRule="auto"/>
        <w:ind w:left="420" w:firstLine="480" w:firstLineChars="200"/>
        <w:jc w:val="left"/>
        <w:rPr>
          <w:rFonts w:ascii="宋体" w:hAnsi="宋体" w:cs="宋体"/>
          <w:kern w:val="0"/>
          <w:sz w:val="24"/>
          <w:szCs w:val="24"/>
          <w:highlight w:val="none"/>
          <w:lang w:val="zh-CN" w:bidi="zh-CN"/>
        </w:rPr>
      </w:pPr>
      <w:r>
        <w:rPr>
          <w:rFonts w:hint="eastAsia" w:ascii="宋体" w:hAnsi="宋体" w:cs="宋体"/>
          <w:kern w:val="0"/>
          <w:sz w:val="24"/>
          <w:szCs w:val="24"/>
          <w:highlight w:val="none"/>
          <w:lang w:val="zh-CN" w:bidi="zh-CN"/>
        </w:rPr>
        <w:t>(10)</w:t>
      </w:r>
      <w:r>
        <w:rPr>
          <w:rFonts w:ascii="宋体" w:hAnsi="宋体" w:cs="宋体"/>
          <w:kern w:val="0"/>
          <w:sz w:val="24"/>
          <w:szCs w:val="24"/>
          <w:highlight w:val="none"/>
          <w:lang w:val="zh-CN" w:bidi="zh-CN"/>
        </w:rPr>
        <w:t>承包人应严格标准计量基础工作和材料采购检验工作。沥青混凝土、沥青碎石、水泥混凝土、高强度等级水泥砂浆的施工现场必须使用电子计量设备称重。因不符合计量规定引发质量问题，所发生的费用由承包人承担。</w:t>
      </w:r>
    </w:p>
    <w:p w14:paraId="7A9FD2B8">
      <w:pPr>
        <w:widowControl/>
        <w:autoSpaceDE w:val="0"/>
        <w:autoSpaceDN w:val="0"/>
        <w:spacing w:line="360" w:lineRule="auto"/>
        <w:ind w:firstLine="482" w:firstLineChars="200"/>
        <w:jc w:val="left"/>
        <w:rPr>
          <w:rFonts w:ascii="宋体" w:hAnsi="宋体" w:cs="宋体"/>
          <w:b/>
          <w:bCs/>
          <w:kern w:val="0"/>
          <w:sz w:val="24"/>
          <w:szCs w:val="24"/>
          <w:highlight w:val="none"/>
          <w:lang w:val="zh-CN" w:bidi="zh-CN"/>
        </w:rPr>
      </w:pPr>
      <w:r>
        <w:rPr>
          <w:rFonts w:ascii="宋体" w:hAnsi="宋体" w:cs="宋体"/>
          <w:b/>
          <w:bCs/>
          <w:kern w:val="0"/>
          <w:sz w:val="24"/>
          <w:szCs w:val="24"/>
          <w:highlight w:val="none"/>
          <w:lang w:val="zh-CN" w:bidi="zh-CN"/>
        </w:rPr>
        <w:t>2.质量</w:t>
      </w:r>
    </w:p>
    <w:p w14:paraId="23EE87A9">
      <w:pPr>
        <w:widowControl/>
        <w:numPr>
          <w:ilvl w:val="0"/>
          <w:numId w:val="0"/>
        </w:numPr>
        <w:autoSpaceDE w:val="0"/>
        <w:autoSpaceDN w:val="0"/>
        <w:spacing w:line="360" w:lineRule="auto"/>
        <w:ind w:leftChars="200" w:firstLine="480" w:firstLineChars="200"/>
        <w:jc w:val="left"/>
        <w:rPr>
          <w:rFonts w:ascii="宋体" w:hAnsi="宋体" w:cs="宋体"/>
          <w:kern w:val="0"/>
          <w:sz w:val="24"/>
          <w:szCs w:val="24"/>
          <w:highlight w:val="none"/>
          <w:lang w:val="zh-CN" w:bidi="zh-CN"/>
        </w:rPr>
      </w:pPr>
      <w:r>
        <w:rPr>
          <w:rFonts w:hint="eastAsia" w:ascii="宋体" w:hAnsi="宋体" w:cs="宋体"/>
          <w:kern w:val="0"/>
          <w:sz w:val="24"/>
          <w:szCs w:val="24"/>
          <w:highlight w:val="none"/>
          <w:lang w:val="zh-CN" w:bidi="zh-CN"/>
        </w:rPr>
        <w:t>(1)</w:t>
      </w:r>
      <w:r>
        <w:rPr>
          <w:rFonts w:ascii="宋体" w:hAnsi="宋体" w:cs="宋体"/>
          <w:kern w:val="0"/>
          <w:sz w:val="24"/>
          <w:szCs w:val="24"/>
          <w:highlight w:val="none"/>
          <w:lang w:val="zh-CN" w:bidi="zh-CN"/>
        </w:rPr>
        <w:t>凡以质量计量或以质量作为配合比设计的材料，都应在精确与批准的磅秤上，由称职合格的人员在监理人指定或批准的地点进行称重。</w:t>
      </w:r>
    </w:p>
    <w:p w14:paraId="1B083A25">
      <w:pPr>
        <w:widowControl/>
        <w:numPr>
          <w:ilvl w:val="0"/>
          <w:numId w:val="0"/>
        </w:numPr>
        <w:autoSpaceDE w:val="0"/>
        <w:autoSpaceDN w:val="0"/>
        <w:spacing w:line="360" w:lineRule="auto"/>
        <w:ind w:leftChars="200" w:firstLine="480" w:firstLineChars="200"/>
        <w:jc w:val="left"/>
        <w:rPr>
          <w:rFonts w:ascii="宋体" w:hAnsi="宋体" w:cs="宋体"/>
          <w:kern w:val="0"/>
          <w:sz w:val="24"/>
          <w:szCs w:val="24"/>
          <w:highlight w:val="none"/>
          <w:lang w:val="zh-CN" w:bidi="zh-CN"/>
        </w:rPr>
      </w:pPr>
      <w:r>
        <w:rPr>
          <w:rFonts w:hint="eastAsia" w:ascii="宋体" w:hAnsi="宋体" w:cs="宋体"/>
          <w:kern w:val="0"/>
          <w:sz w:val="24"/>
          <w:szCs w:val="24"/>
          <w:highlight w:val="none"/>
          <w:lang w:val="zh-CN" w:bidi="zh-CN"/>
        </w:rPr>
        <w:t>(</w:t>
      </w:r>
      <w:r>
        <w:rPr>
          <w:rFonts w:hint="eastAsia" w:ascii="宋体" w:hAnsi="宋体" w:cs="宋体"/>
          <w:kern w:val="0"/>
          <w:sz w:val="24"/>
          <w:szCs w:val="24"/>
          <w:highlight w:val="none"/>
          <w:lang w:val="en-US" w:bidi="zh-CN"/>
        </w:rPr>
        <w:t>2</w:t>
      </w:r>
      <w:r>
        <w:rPr>
          <w:rFonts w:hint="eastAsia" w:ascii="宋体" w:hAnsi="宋体" w:cs="宋体"/>
          <w:kern w:val="0"/>
          <w:sz w:val="24"/>
          <w:szCs w:val="24"/>
          <w:highlight w:val="none"/>
          <w:lang w:val="zh-CN" w:bidi="zh-CN"/>
        </w:rPr>
        <w:t>)</w:t>
      </w:r>
      <w:r>
        <w:rPr>
          <w:rFonts w:ascii="宋体" w:hAnsi="宋体" w:cs="宋体"/>
          <w:kern w:val="0"/>
          <w:sz w:val="24"/>
          <w:szCs w:val="24"/>
          <w:highlight w:val="none"/>
          <w:lang w:val="zh-CN" w:bidi="zh-CN"/>
        </w:rPr>
        <w:t>称重计量时应满足以下条件：监理人在场；称重记录；载明包装材料、支撑装置、垫块、捆束物等质量的说明书在称重前提交给监理人作为依据。</w:t>
      </w:r>
    </w:p>
    <w:p w14:paraId="454D0645">
      <w:pPr>
        <w:widowControl/>
        <w:numPr>
          <w:ilvl w:val="0"/>
          <w:numId w:val="0"/>
        </w:numPr>
        <w:autoSpaceDE w:val="0"/>
        <w:autoSpaceDN w:val="0"/>
        <w:spacing w:line="360" w:lineRule="auto"/>
        <w:ind w:leftChars="200" w:firstLine="480" w:firstLineChars="200"/>
        <w:jc w:val="left"/>
        <w:rPr>
          <w:rFonts w:ascii="宋体" w:hAnsi="宋体" w:cs="宋体"/>
          <w:kern w:val="0"/>
          <w:sz w:val="24"/>
          <w:szCs w:val="24"/>
          <w:highlight w:val="none"/>
          <w:lang w:val="zh-CN" w:bidi="zh-CN"/>
        </w:rPr>
      </w:pPr>
      <w:r>
        <w:rPr>
          <w:rFonts w:hint="eastAsia" w:ascii="宋体" w:hAnsi="宋体" w:cs="宋体"/>
          <w:kern w:val="0"/>
          <w:sz w:val="24"/>
          <w:szCs w:val="24"/>
          <w:highlight w:val="none"/>
          <w:lang w:val="zh-CN" w:bidi="zh-CN"/>
        </w:rPr>
        <w:t>(</w:t>
      </w:r>
      <w:r>
        <w:rPr>
          <w:rFonts w:hint="eastAsia" w:ascii="宋体" w:hAnsi="宋体" w:cs="宋体"/>
          <w:kern w:val="0"/>
          <w:sz w:val="24"/>
          <w:szCs w:val="24"/>
          <w:highlight w:val="none"/>
          <w:lang w:val="en-US" w:bidi="zh-CN"/>
        </w:rPr>
        <w:t>3</w:t>
      </w:r>
      <w:r>
        <w:rPr>
          <w:rFonts w:hint="eastAsia" w:ascii="宋体" w:hAnsi="宋体" w:cs="宋体"/>
          <w:kern w:val="0"/>
          <w:sz w:val="24"/>
          <w:szCs w:val="24"/>
          <w:highlight w:val="none"/>
          <w:lang w:val="zh-CN" w:bidi="zh-CN"/>
        </w:rPr>
        <w:t>)</w:t>
      </w:r>
      <w:r>
        <w:rPr>
          <w:rFonts w:ascii="宋体" w:hAnsi="宋体" w:cs="宋体"/>
          <w:kern w:val="0"/>
          <w:sz w:val="24"/>
          <w:szCs w:val="24"/>
          <w:highlight w:val="none"/>
          <w:lang w:val="zh-CN" w:bidi="zh-CN"/>
        </w:rPr>
        <w:t>钢筋、钢板或型钢计量时，应按图纸或其他资料标示的尺寸和净长计算。搭接、接头套筒、焊接材料、下脚料和固定、定位架立钢筋等，则不予另行计量</w:t>
      </w:r>
      <w:r>
        <w:rPr>
          <w:rFonts w:ascii="宋体" w:hAnsi="宋体" w:cs="宋体"/>
          <w:spacing w:val="-1"/>
          <w:kern w:val="0"/>
          <w:sz w:val="24"/>
          <w:szCs w:val="24"/>
          <w:highlight w:val="none"/>
          <w:lang w:val="zh-CN" w:bidi="zh-CN"/>
        </w:rPr>
        <w:t>。</w:t>
      </w:r>
    </w:p>
    <w:p w14:paraId="4AD1836A">
      <w:pPr>
        <w:widowControl/>
        <w:autoSpaceDE w:val="0"/>
        <w:autoSpaceDN w:val="0"/>
        <w:spacing w:line="360" w:lineRule="auto"/>
        <w:ind w:firstLine="480" w:firstLineChars="200"/>
        <w:jc w:val="left"/>
        <w:rPr>
          <w:rFonts w:ascii="宋体" w:hAnsi="宋体" w:cs="宋体"/>
          <w:kern w:val="0"/>
          <w:sz w:val="24"/>
          <w:szCs w:val="24"/>
          <w:highlight w:val="none"/>
          <w:lang w:val="zh-CN" w:bidi="zh-CN"/>
        </w:rPr>
      </w:pPr>
      <w:r>
        <w:rPr>
          <w:rFonts w:ascii="宋体" w:hAnsi="宋体" w:cs="宋体"/>
          <w:kern w:val="0"/>
          <w:sz w:val="24"/>
          <w:szCs w:val="24"/>
          <w:highlight w:val="none"/>
          <w:lang w:val="zh-CN" w:bidi="zh-CN"/>
        </w:rPr>
        <w:t>钢筋、钢板或型钢应以千克计量，四舍五入，不计小数。钢筋、钢板或型钢由于理论单位质量与实际单位质量的差异而引起材料质量与数量不相匹配的情况，计量时不予考虑。</w:t>
      </w:r>
    </w:p>
    <w:p w14:paraId="343BD409">
      <w:pPr>
        <w:widowControl/>
        <w:numPr>
          <w:ilvl w:val="0"/>
          <w:numId w:val="0"/>
        </w:numPr>
        <w:autoSpaceDE w:val="0"/>
        <w:autoSpaceDN w:val="0"/>
        <w:spacing w:line="360" w:lineRule="auto"/>
        <w:ind w:leftChars="200" w:firstLine="480" w:firstLineChars="200"/>
        <w:jc w:val="left"/>
        <w:rPr>
          <w:rFonts w:ascii="宋体" w:hAnsi="宋体" w:cs="宋体"/>
          <w:kern w:val="0"/>
          <w:sz w:val="24"/>
          <w:szCs w:val="24"/>
          <w:highlight w:val="none"/>
          <w:lang w:val="zh-CN" w:bidi="zh-CN"/>
        </w:rPr>
      </w:pPr>
      <w:r>
        <w:rPr>
          <w:rFonts w:hint="eastAsia" w:ascii="宋体" w:hAnsi="宋体" w:cs="宋体"/>
          <w:kern w:val="0"/>
          <w:sz w:val="24"/>
          <w:szCs w:val="24"/>
          <w:highlight w:val="none"/>
          <w:lang w:val="zh-CN" w:bidi="zh-CN"/>
        </w:rPr>
        <w:t>(</w:t>
      </w:r>
      <w:r>
        <w:rPr>
          <w:rFonts w:hint="eastAsia" w:ascii="宋体" w:hAnsi="宋体" w:cs="宋体"/>
          <w:kern w:val="0"/>
          <w:sz w:val="24"/>
          <w:szCs w:val="24"/>
          <w:highlight w:val="none"/>
          <w:lang w:val="en-US" w:bidi="zh-CN"/>
        </w:rPr>
        <w:t>4</w:t>
      </w:r>
      <w:r>
        <w:rPr>
          <w:rFonts w:hint="eastAsia" w:ascii="宋体" w:hAnsi="宋体" w:cs="宋体"/>
          <w:kern w:val="0"/>
          <w:sz w:val="24"/>
          <w:szCs w:val="24"/>
          <w:highlight w:val="none"/>
          <w:lang w:val="zh-CN" w:bidi="zh-CN"/>
        </w:rPr>
        <w:t>)</w:t>
      </w:r>
      <w:r>
        <w:rPr>
          <w:rFonts w:ascii="宋体" w:hAnsi="宋体" w:cs="宋体"/>
          <w:kern w:val="0"/>
          <w:sz w:val="24"/>
          <w:szCs w:val="24"/>
          <w:highlight w:val="none"/>
          <w:lang w:val="zh-CN" w:bidi="zh-CN"/>
        </w:rPr>
        <w:t>金属材料的质量不得包括施工需要加放或使用的灰浆、楔块、填缝料、垫衬物、油料、接缝料、焊条、涂敷料等质量。</w:t>
      </w:r>
    </w:p>
    <w:p w14:paraId="20FFDA73">
      <w:pPr>
        <w:widowControl/>
        <w:numPr>
          <w:ilvl w:val="0"/>
          <w:numId w:val="0"/>
        </w:numPr>
        <w:autoSpaceDE w:val="0"/>
        <w:autoSpaceDN w:val="0"/>
        <w:spacing w:line="360" w:lineRule="auto"/>
        <w:ind w:leftChars="200" w:firstLine="480" w:firstLineChars="200"/>
        <w:jc w:val="left"/>
        <w:rPr>
          <w:rFonts w:ascii="宋体" w:hAnsi="宋体" w:cs="宋体"/>
          <w:kern w:val="0"/>
          <w:sz w:val="24"/>
          <w:szCs w:val="24"/>
          <w:highlight w:val="none"/>
          <w:lang w:val="zh-CN" w:bidi="zh-CN"/>
        </w:rPr>
      </w:pPr>
      <w:r>
        <w:rPr>
          <w:rFonts w:hint="eastAsia" w:ascii="宋体" w:hAnsi="宋体" w:cs="宋体"/>
          <w:kern w:val="0"/>
          <w:sz w:val="24"/>
          <w:szCs w:val="24"/>
          <w:highlight w:val="none"/>
          <w:lang w:val="zh-CN" w:bidi="zh-CN"/>
        </w:rPr>
        <w:t>(</w:t>
      </w:r>
      <w:r>
        <w:rPr>
          <w:rFonts w:hint="eastAsia" w:ascii="宋体" w:hAnsi="宋体" w:cs="宋体"/>
          <w:kern w:val="0"/>
          <w:sz w:val="24"/>
          <w:szCs w:val="24"/>
          <w:highlight w:val="none"/>
          <w:lang w:val="en-US" w:bidi="zh-CN"/>
        </w:rPr>
        <w:t>5</w:t>
      </w:r>
      <w:r>
        <w:rPr>
          <w:rFonts w:hint="eastAsia" w:ascii="宋体" w:hAnsi="宋体" w:cs="宋体"/>
          <w:kern w:val="0"/>
          <w:sz w:val="24"/>
          <w:szCs w:val="24"/>
          <w:highlight w:val="none"/>
          <w:lang w:val="zh-CN" w:bidi="zh-CN"/>
        </w:rPr>
        <w:t>)</w:t>
      </w:r>
      <w:r>
        <w:rPr>
          <w:rFonts w:ascii="宋体" w:hAnsi="宋体" w:cs="宋体"/>
          <w:kern w:val="0"/>
          <w:sz w:val="24"/>
          <w:szCs w:val="24"/>
          <w:highlight w:val="none"/>
          <w:lang w:val="zh-CN" w:bidi="zh-CN"/>
        </w:rPr>
        <w:t>承运按质量计量的材料的货车，应每天在监理人指定的时间和地点称出空车质量，每辆货车还应标示清晰易辨的标记。</w:t>
      </w:r>
    </w:p>
    <w:p w14:paraId="431A9BBD">
      <w:pPr>
        <w:widowControl/>
        <w:numPr>
          <w:ilvl w:val="0"/>
          <w:numId w:val="0"/>
        </w:numPr>
        <w:autoSpaceDE w:val="0"/>
        <w:autoSpaceDN w:val="0"/>
        <w:spacing w:line="360" w:lineRule="auto"/>
        <w:ind w:leftChars="200" w:firstLine="480" w:firstLineChars="200"/>
        <w:jc w:val="left"/>
        <w:rPr>
          <w:rFonts w:ascii="宋体" w:hAnsi="宋体" w:cs="宋体"/>
          <w:kern w:val="0"/>
          <w:sz w:val="24"/>
          <w:szCs w:val="24"/>
          <w:highlight w:val="none"/>
          <w:lang w:val="zh-CN" w:bidi="zh-CN"/>
        </w:rPr>
      </w:pPr>
      <w:r>
        <w:rPr>
          <w:rFonts w:hint="eastAsia" w:ascii="宋体" w:hAnsi="宋体" w:cs="宋体"/>
          <w:kern w:val="0"/>
          <w:sz w:val="24"/>
          <w:szCs w:val="24"/>
          <w:highlight w:val="none"/>
          <w:lang w:val="zh-CN" w:bidi="zh-CN"/>
        </w:rPr>
        <w:t>(</w:t>
      </w:r>
      <w:r>
        <w:rPr>
          <w:rFonts w:hint="eastAsia" w:ascii="宋体" w:hAnsi="宋体" w:cs="宋体"/>
          <w:kern w:val="0"/>
          <w:sz w:val="24"/>
          <w:szCs w:val="24"/>
          <w:highlight w:val="none"/>
          <w:lang w:val="en-US" w:bidi="zh-CN"/>
        </w:rPr>
        <w:t>6</w:t>
      </w:r>
      <w:r>
        <w:rPr>
          <w:rFonts w:hint="eastAsia" w:ascii="宋体" w:hAnsi="宋体" w:cs="宋体"/>
          <w:kern w:val="0"/>
          <w:sz w:val="24"/>
          <w:szCs w:val="24"/>
          <w:highlight w:val="none"/>
          <w:lang w:val="zh-CN" w:bidi="zh-CN"/>
        </w:rPr>
        <w:t>)</w:t>
      </w:r>
      <w:r>
        <w:rPr>
          <w:rFonts w:ascii="宋体" w:hAnsi="宋体" w:cs="宋体"/>
          <w:kern w:val="0"/>
          <w:sz w:val="24"/>
          <w:szCs w:val="24"/>
          <w:highlight w:val="none"/>
          <w:lang w:val="zh-CN" w:bidi="zh-CN"/>
        </w:rPr>
        <w:t>对有规定标准的项目，例如钢筋、金属线、钢板、型钢、管材等，均有规定的规格、质量、截面尺寸等指标，这类指标应视为通常的质量或尺寸；除非引用规范中的允许偏差值加以控制，否则可用制造商的允许偏差。</w:t>
      </w:r>
    </w:p>
    <w:p w14:paraId="3EDAAB96">
      <w:pPr>
        <w:widowControl/>
        <w:autoSpaceDE w:val="0"/>
        <w:autoSpaceDN w:val="0"/>
        <w:spacing w:line="360" w:lineRule="auto"/>
        <w:ind w:firstLine="482" w:firstLineChars="200"/>
        <w:jc w:val="left"/>
        <w:rPr>
          <w:rFonts w:ascii="宋体" w:hAnsi="宋体" w:cs="宋体"/>
          <w:b/>
          <w:bCs/>
          <w:kern w:val="0"/>
          <w:sz w:val="24"/>
          <w:szCs w:val="24"/>
          <w:highlight w:val="none"/>
          <w:lang w:val="zh-CN" w:bidi="zh-CN"/>
        </w:rPr>
      </w:pPr>
      <w:r>
        <w:rPr>
          <w:rFonts w:ascii="宋体" w:hAnsi="宋体" w:cs="宋体"/>
          <w:b/>
          <w:bCs/>
          <w:kern w:val="0"/>
          <w:sz w:val="24"/>
          <w:szCs w:val="24"/>
          <w:highlight w:val="none"/>
          <w:lang w:val="zh-CN" w:bidi="zh-CN"/>
        </w:rPr>
        <w:t>3.面积</w:t>
      </w:r>
    </w:p>
    <w:p w14:paraId="65C7C7D0">
      <w:pPr>
        <w:widowControl/>
        <w:autoSpaceDE w:val="0"/>
        <w:autoSpaceDN w:val="0"/>
        <w:spacing w:line="360" w:lineRule="auto"/>
        <w:ind w:firstLine="480" w:firstLineChars="200"/>
        <w:jc w:val="left"/>
        <w:rPr>
          <w:rFonts w:ascii="宋体" w:hAnsi="宋体" w:cs="宋体"/>
          <w:kern w:val="0"/>
          <w:sz w:val="24"/>
          <w:szCs w:val="24"/>
          <w:highlight w:val="none"/>
          <w:lang w:val="zh-CN" w:bidi="zh-CN"/>
        </w:rPr>
      </w:pPr>
      <w:r>
        <w:rPr>
          <w:rFonts w:ascii="宋体" w:hAnsi="宋体" w:cs="宋体"/>
          <w:kern w:val="0"/>
          <w:sz w:val="24"/>
          <w:szCs w:val="24"/>
          <w:highlight w:val="none"/>
          <w:lang w:val="zh-CN" w:bidi="zh-CN"/>
        </w:rPr>
        <w:t>除非另有规定，计算面积时，其长、宽应按图纸所示尺寸线或按监理人指示计量。对于面积在1m2以下的固定物(如检查井等)不予扣除。</w:t>
      </w:r>
    </w:p>
    <w:p w14:paraId="37A0EA75">
      <w:pPr>
        <w:widowControl/>
        <w:autoSpaceDE w:val="0"/>
        <w:autoSpaceDN w:val="0"/>
        <w:spacing w:line="360" w:lineRule="auto"/>
        <w:ind w:firstLine="482" w:firstLineChars="200"/>
        <w:jc w:val="left"/>
        <w:rPr>
          <w:rFonts w:ascii="宋体" w:hAnsi="宋体" w:cs="宋体"/>
          <w:b/>
          <w:bCs/>
          <w:kern w:val="0"/>
          <w:sz w:val="24"/>
          <w:szCs w:val="24"/>
          <w:highlight w:val="none"/>
          <w:lang w:val="zh-CN" w:bidi="zh-CN"/>
        </w:rPr>
      </w:pPr>
      <w:r>
        <w:rPr>
          <w:rFonts w:ascii="宋体" w:hAnsi="宋体" w:cs="宋体"/>
          <w:b/>
          <w:bCs/>
          <w:kern w:val="0"/>
          <w:sz w:val="24"/>
          <w:szCs w:val="24"/>
          <w:highlight w:val="none"/>
          <w:lang w:val="zh-CN" w:bidi="zh-CN"/>
        </w:rPr>
        <w:t>4.结构物</w:t>
      </w:r>
    </w:p>
    <w:p w14:paraId="3DE3BCA7">
      <w:pPr>
        <w:widowControl/>
        <w:numPr>
          <w:ilvl w:val="0"/>
          <w:numId w:val="0"/>
        </w:numPr>
        <w:autoSpaceDE w:val="0"/>
        <w:autoSpaceDN w:val="0"/>
        <w:spacing w:line="360" w:lineRule="auto"/>
        <w:ind w:firstLine="720" w:firstLineChars="300"/>
        <w:jc w:val="left"/>
        <w:rPr>
          <w:rFonts w:ascii="宋体" w:hAnsi="宋体" w:cs="宋体"/>
          <w:kern w:val="0"/>
          <w:sz w:val="24"/>
          <w:szCs w:val="24"/>
          <w:highlight w:val="none"/>
          <w:lang w:val="zh-CN" w:bidi="zh-CN"/>
        </w:rPr>
      </w:pPr>
      <w:r>
        <w:rPr>
          <w:rFonts w:hint="eastAsia" w:ascii="宋体" w:hAnsi="宋体" w:cs="宋体"/>
          <w:kern w:val="0"/>
          <w:sz w:val="24"/>
          <w:szCs w:val="24"/>
          <w:highlight w:val="none"/>
          <w:lang w:val="zh-CN" w:bidi="zh-CN"/>
        </w:rPr>
        <w:t>(1)</w:t>
      </w:r>
      <w:r>
        <w:rPr>
          <w:rFonts w:ascii="宋体" w:hAnsi="宋体" w:cs="宋体"/>
          <w:kern w:val="0"/>
          <w:sz w:val="24"/>
          <w:szCs w:val="24"/>
          <w:highlight w:val="none"/>
          <w:lang w:val="zh-CN" w:bidi="zh-CN"/>
        </w:rPr>
        <w:t>结构物应按图纸所示净尺寸线，或根据监理人指示修改的尺寸线计量。</w:t>
      </w:r>
    </w:p>
    <w:p w14:paraId="61F02666">
      <w:pPr>
        <w:widowControl/>
        <w:numPr>
          <w:ilvl w:val="0"/>
          <w:numId w:val="0"/>
        </w:numPr>
        <w:autoSpaceDE w:val="0"/>
        <w:autoSpaceDN w:val="0"/>
        <w:spacing w:line="360" w:lineRule="auto"/>
        <w:ind w:left="239" w:leftChars="114" w:firstLine="480" w:firstLineChars="200"/>
        <w:jc w:val="left"/>
        <w:rPr>
          <w:rFonts w:ascii="宋体" w:hAnsi="宋体" w:cs="宋体"/>
          <w:kern w:val="0"/>
          <w:sz w:val="24"/>
          <w:szCs w:val="24"/>
          <w:highlight w:val="none"/>
          <w:lang w:val="zh-CN" w:bidi="zh-CN"/>
        </w:rPr>
      </w:pPr>
      <w:r>
        <w:rPr>
          <w:rFonts w:hint="eastAsia" w:ascii="宋体" w:hAnsi="宋体" w:cs="宋体"/>
          <w:kern w:val="0"/>
          <w:sz w:val="24"/>
          <w:szCs w:val="24"/>
          <w:highlight w:val="none"/>
          <w:lang w:val="zh-CN" w:bidi="zh-CN"/>
        </w:rPr>
        <w:t>(</w:t>
      </w:r>
      <w:r>
        <w:rPr>
          <w:rFonts w:hint="eastAsia" w:ascii="宋体" w:hAnsi="宋体" w:cs="宋体"/>
          <w:kern w:val="0"/>
          <w:sz w:val="24"/>
          <w:szCs w:val="24"/>
          <w:highlight w:val="none"/>
          <w:lang w:val="en-US" w:bidi="zh-CN"/>
        </w:rPr>
        <w:t>2</w:t>
      </w:r>
      <w:r>
        <w:rPr>
          <w:rFonts w:hint="eastAsia" w:ascii="宋体" w:hAnsi="宋体" w:cs="宋体"/>
          <w:kern w:val="0"/>
          <w:sz w:val="24"/>
          <w:szCs w:val="24"/>
          <w:highlight w:val="none"/>
          <w:lang w:val="zh-CN" w:bidi="zh-CN"/>
        </w:rPr>
        <w:t>)</w:t>
      </w:r>
      <w:r>
        <w:rPr>
          <w:rFonts w:ascii="宋体" w:hAnsi="宋体" w:cs="宋体"/>
          <w:kern w:val="0"/>
          <w:sz w:val="24"/>
          <w:szCs w:val="24"/>
          <w:highlight w:val="none"/>
          <w:lang w:val="zh-CN" w:bidi="zh-CN"/>
        </w:rPr>
        <w:t>水泥混凝土的计量应按监理人认可的并已完工工程的净尺寸计算，钢筋的体积不扣除，倒角不超过0.15m×0.15m时不扣除，体积不超过0.03m3的开孔及开口不扣除，面积不超过0.15m×0.15m的填角部分也不增加。</w:t>
      </w:r>
    </w:p>
    <w:p w14:paraId="51C9DAC2">
      <w:pPr>
        <w:widowControl/>
        <w:numPr>
          <w:ilvl w:val="0"/>
          <w:numId w:val="0"/>
        </w:numPr>
        <w:autoSpaceDE w:val="0"/>
        <w:autoSpaceDN w:val="0"/>
        <w:spacing w:line="360" w:lineRule="auto"/>
        <w:ind w:left="239" w:leftChars="114" w:firstLine="480" w:firstLineChars="200"/>
        <w:jc w:val="left"/>
        <w:rPr>
          <w:rFonts w:ascii="宋体" w:hAnsi="宋体" w:cs="宋体"/>
          <w:kern w:val="0"/>
          <w:sz w:val="24"/>
          <w:szCs w:val="24"/>
          <w:highlight w:val="none"/>
          <w:lang w:val="zh-CN" w:bidi="zh-CN"/>
        </w:rPr>
      </w:pPr>
      <w:r>
        <w:rPr>
          <w:rFonts w:hint="eastAsia" w:ascii="宋体" w:hAnsi="宋体" w:cs="宋体"/>
          <w:kern w:val="0"/>
          <w:sz w:val="24"/>
          <w:szCs w:val="24"/>
          <w:highlight w:val="none"/>
          <w:lang w:val="zh-CN" w:bidi="zh-CN"/>
        </w:rPr>
        <w:t>(</w:t>
      </w:r>
      <w:r>
        <w:rPr>
          <w:rFonts w:hint="eastAsia" w:ascii="宋体" w:hAnsi="宋体" w:cs="宋体"/>
          <w:kern w:val="0"/>
          <w:sz w:val="24"/>
          <w:szCs w:val="24"/>
          <w:highlight w:val="none"/>
          <w:lang w:val="en-US" w:bidi="zh-CN"/>
        </w:rPr>
        <w:t>3</w:t>
      </w:r>
      <w:r>
        <w:rPr>
          <w:rFonts w:hint="eastAsia" w:ascii="宋体" w:hAnsi="宋体" w:cs="宋体"/>
          <w:kern w:val="0"/>
          <w:sz w:val="24"/>
          <w:szCs w:val="24"/>
          <w:highlight w:val="none"/>
          <w:lang w:val="zh-CN" w:bidi="zh-CN"/>
        </w:rPr>
        <w:t>)</w:t>
      </w:r>
      <w:r>
        <w:rPr>
          <w:rFonts w:ascii="宋体" w:hAnsi="宋体" w:cs="宋体"/>
          <w:kern w:val="0"/>
          <w:sz w:val="24"/>
          <w:szCs w:val="24"/>
          <w:highlight w:val="none"/>
          <w:lang w:val="zh-CN" w:bidi="zh-CN"/>
        </w:rPr>
        <w:t>所有以米计量的结构物(如管涵等)，除非图纸另有表示，应按平行于该结构物位置的基面或基础的中心方向计量。</w:t>
      </w:r>
    </w:p>
    <w:p w14:paraId="24970295">
      <w:pPr>
        <w:widowControl/>
        <w:autoSpaceDE w:val="0"/>
        <w:autoSpaceDN w:val="0"/>
        <w:spacing w:line="360" w:lineRule="auto"/>
        <w:ind w:firstLine="482" w:firstLineChars="200"/>
        <w:jc w:val="left"/>
        <w:rPr>
          <w:rFonts w:ascii="宋体" w:hAnsi="宋体" w:cs="宋体"/>
          <w:b/>
          <w:bCs/>
          <w:kern w:val="0"/>
          <w:sz w:val="24"/>
          <w:szCs w:val="24"/>
          <w:highlight w:val="none"/>
          <w:lang w:val="zh-CN" w:bidi="zh-CN"/>
        </w:rPr>
      </w:pPr>
      <w:r>
        <w:rPr>
          <w:rFonts w:ascii="宋体" w:hAnsi="宋体" w:cs="宋体"/>
          <w:b/>
          <w:bCs/>
          <w:kern w:val="0"/>
          <w:sz w:val="24"/>
          <w:szCs w:val="24"/>
          <w:highlight w:val="none"/>
          <w:lang w:val="zh-CN" w:bidi="zh-CN"/>
        </w:rPr>
        <w:t>5.土方</w:t>
      </w:r>
    </w:p>
    <w:p w14:paraId="4FB1DBC9">
      <w:pPr>
        <w:widowControl/>
        <w:numPr>
          <w:ilvl w:val="0"/>
          <w:numId w:val="0"/>
        </w:numPr>
        <w:autoSpaceDE w:val="0"/>
        <w:autoSpaceDN w:val="0"/>
        <w:spacing w:line="360" w:lineRule="auto"/>
        <w:ind w:left="239" w:leftChars="114" w:firstLine="480" w:firstLineChars="200"/>
        <w:jc w:val="left"/>
        <w:rPr>
          <w:rFonts w:ascii="宋体" w:hAnsi="宋体" w:cs="宋体"/>
          <w:kern w:val="0"/>
          <w:sz w:val="24"/>
          <w:szCs w:val="24"/>
          <w:highlight w:val="none"/>
          <w:lang w:val="zh-CN" w:bidi="zh-CN"/>
        </w:rPr>
      </w:pPr>
      <w:r>
        <w:rPr>
          <w:rFonts w:hint="eastAsia" w:ascii="宋体" w:hAnsi="宋体" w:cs="宋体"/>
          <w:kern w:val="0"/>
          <w:sz w:val="24"/>
          <w:szCs w:val="24"/>
          <w:highlight w:val="none"/>
          <w:lang w:val="zh-CN" w:bidi="zh-CN"/>
        </w:rPr>
        <w:t>(1)</w:t>
      </w:r>
      <w:r>
        <w:rPr>
          <w:rFonts w:ascii="宋体" w:hAnsi="宋体" w:cs="宋体"/>
          <w:kern w:val="0"/>
          <w:sz w:val="24"/>
          <w:szCs w:val="24"/>
          <w:highlight w:val="none"/>
          <w:lang w:val="zh-CN" w:bidi="zh-CN"/>
        </w:rPr>
        <w:t>土方体积可采用平均断面积法计算，但与似棱体公式(prismoidal formula)计算结果比较，如果误差超过±5%时，监理人可指示采用似棱体公式。</w:t>
      </w:r>
    </w:p>
    <w:p w14:paraId="30680CBB">
      <w:pPr>
        <w:widowControl/>
        <w:numPr>
          <w:ilvl w:val="0"/>
          <w:numId w:val="0"/>
        </w:numPr>
        <w:autoSpaceDE w:val="0"/>
        <w:autoSpaceDN w:val="0"/>
        <w:spacing w:line="360" w:lineRule="auto"/>
        <w:ind w:left="239" w:leftChars="114" w:firstLine="480" w:firstLineChars="200"/>
        <w:jc w:val="left"/>
        <w:rPr>
          <w:rFonts w:ascii="宋体" w:hAnsi="宋体" w:cs="宋体"/>
          <w:kern w:val="0"/>
          <w:sz w:val="24"/>
          <w:szCs w:val="24"/>
          <w:highlight w:val="none"/>
          <w:lang w:val="zh-CN" w:bidi="zh-CN"/>
        </w:rPr>
      </w:pPr>
      <w:r>
        <w:rPr>
          <w:rFonts w:hint="eastAsia" w:ascii="宋体" w:hAnsi="宋体" w:cs="宋体"/>
          <w:kern w:val="0"/>
          <w:sz w:val="24"/>
          <w:szCs w:val="24"/>
          <w:highlight w:val="none"/>
          <w:lang w:val="zh-CN" w:bidi="zh-CN"/>
        </w:rPr>
        <w:t>(</w:t>
      </w:r>
      <w:r>
        <w:rPr>
          <w:rFonts w:hint="eastAsia" w:ascii="宋体" w:hAnsi="宋体" w:cs="宋体"/>
          <w:kern w:val="0"/>
          <w:sz w:val="24"/>
          <w:szCs w:val="24"/>
          <w:highlight w:val="none"/>
          <w:lang w:val="en-US" w:bidi="zh-CN"/>
        </w:rPr>
        <w:t>2</w:t>
      </w:r>
      <w:r>
        <w:rPr>
          <w:rFonts w:hint="eastAsia" w:ascii="宋体" w:hAnsi="宋体" w:cs="宋体"/>
          <w:kern w:val="0"/>
          <w:sz w:val="24"/>
          <w:szCs w:val="24"/>
          <w:highlight w:val="none"/>
          <w:lang w:val="zh-CN" w:bidi="zh-CN"/>
        </w:rPr>
        <w:t>)</w:t>
      </w:r>
      <w:r>
        <w:rPr>
          <w:rFonts w:ascii="宋体" w:hAnsi="宋体" w:cs="宋体"/>
          <w:kern w:val="0"/>
          <w:sz w:val="24"/>
          <w:szCs w:val="24"/>
          <w:highlight w:val="none"/>
          <w:lang w:val="zh-CN" w:bidi="zh-CN"/>
        </w:rPr>
        <w:t>各种不同类别的挖方与填方计量，应以图纸所示界线为限，而且应在批准的横断面图上标明。</w:t>
      </w:r>
    </w:p>
    <w:p w14:paraId="50969C93">
      <w:pPr>
        <w:widowControl/>
        <w:numPr>
          <w:ilvl w:val="0"/>
          <w:numId w:val="0"/>
        </w:numPr>
        <w:autoSpaceDE w:val="0"/>
        <w:autoSpaceDN w:val="0"/>
        <w:spacing w:line="360" w:lineRule="auto"/>
        <w:ind w:left="218" w:leftChars="104" w:firstLine="439" w:firstLineChars="183"/>
        <w:jc w:val="left"/>
        <w:rPr>
          <w:rFonts w:ascii="宋体" w:hAnsi="宋体" w:cs="宋体"/>
          <w:kern w:val="0"/>
          <w:sz w:val="24"/>
          <w:szCs w:val="24"/>
          <w:highlight w:val="none"/>
          <w:lang w:val="zh-CN" w:bidi="zh-CN"/>
        </w:rPr>
      </w:pPr>
      <w:r>
        <w:rPr>
          <w:rFonts w:hint="eastAsia" w:ascii="宋体" w:hAnsi="宋体" w:cs="宋体"/>
          <w:kern w:val="0"/>
          <w:sz w:val="24"/>
          <w:szCs w:val="24"/>
          <w:highlight w:val="none"/>
          <w:lang w:val="zh-CN" w:bidi="zh-CN"/>
        </w:rPr>
        <w:t>(</w:t>
      </w:r>
      <w:r>
        <w:rPr>
          <w:rFonts w:hint="eastAsia" w:ascii="宋体" w:hAnsi="宋体" w:cs="宋体"/>
          <w:kern w:val="0"/>
          <w:sz w:val="24"/>
          <w:szCs w:val="24"/>
          <w:highlight w:val="none"/>
          <w:lang w:val="en-US" w:bidi="zh-CN"/>
        </w:rPr>
        <w:t>3</w:t>
      </w:r>
      <w:r>
        <w:rPr>
          <w:rFonts w:hint="eastAsia" w:ascii="宋体" w:hAnsi="宋体" w:cs="宋体"/>
          <w:kern w:val="0"/>
          <w:sz w:val="24"/>
          <w:szCs w:val="24"/>
          <w:highlight w:val="none"/>
          <w:lang w:val="zh-CN" w:bidi="zh-CN"/>
        </w:rPr>
        <w:t>)</w:t>
      </w:r>
      <w:r>
        <w:rPr>
          <w:rFonts w:ascii="宋体" w:hAnsi="宋体" w:cs="宋体"/>
          <w:kern w:val="0"/>
          <w:sz w:val="24"/>
          <w:szCs w:val="24"/>
          <w:highlight w:val="none"/>
          <w:lang w:val="zh-CN" w:bidi="zh-CN"/>
        </w:rPr>
        <w:t>用于填方的土方量，应按压实后的纵断面高程和路床面为准来计量。承包人报价时，应考虑在挖方或运输过程中引起的体积差。</w:t>
      </w:r>
    </w:p>
    <w:p w14:paraId="314A80A7">
      <w:pPr>
        <w:widowControl/>
        <w:numPr>
          <w:ilvl w:val="0"/>
          <w:numId w:val="0"/>
        </w:numPr>
        <w:autoSpaceDE w:val="0"/>
        <w:autoSpaceDN w:val="0"/>
        <w:spacing w:line="360" w:lineRule="auto"/>
        <w:ind w:left="218" w:leftChars="104" w:firstLine="439" w:firstLineChars="183"/>
        <w:jc w:val="left"/>
        <w:rPr>
          <w:rFonts w:ascii="宋体" w:hAnsi="宋体" w:cs="宋体"/>
          <w:kern w:val="0"/>
          <w:sz w:val="24"/>
          <w:szCs w:val="24"/>
          <w:highlight w:val="none"/>
          <w:lang w:val="zh-CN" w:bidi="zh-CN"/>
        </w:rPr>
      </w:pPr>
      <w:r>
        <w:rPr>
          <w:rFonts w:hint="eastAsia" w:ascii="宋体" w:hAnsi="宋体" w:cs="宋体"/>
          <w:kern w:val="0"/>
          <w:sz w:val="24"/>
          <w:szCs w:val="24"/>
          <w:highlight w:val="none"/>
          <w:lang w:val="zh-CN" w:bidi="zh-CN"/>
        </w:rPr>
        <w:t>(</w:t>
      </w:r>
      <w:r>
        <w:rPr>
          <w:rFonts w:hint="eastAsia" w:ascii="宋体" w:hAnsi="宋体" w:cs="宋体"/>
          <w:kern w:val="0"/>
          <w:sz w:val="24"/>
          <w:szCs w:val="24"/>
          <w:highlight w:val="none"/>
          <w:lang w:val="en-US" w:bidi="zh-CN"/>
        </w:rPr>
        <w:t>4</w:t>
      </w:r>
      <w:r>
        <w:rPr>
          <w:rFonts w:hint="eastAsia" w:ascii="宋体" w:hAnsi="宋体" w:cs="宋体"/>
          <w:kern w:val="0"/>
          <w:sz w:val="24"/>
          <w:szCs w:val="24"/>
          <w:highlight w:val="none"/>
          <w:lang w:val="zh-CN" w:bidi="zh-CN"/>
        </w:rPr>
        <w:t>)</w:t>
      </w:r>
      <w:r>
        <w:rPr>
          <w:rFonts w:ascii="宋体" w:hAnsi="宋体" w:cs="宋体"/>
          <w:kern w:val="0"/>
          <w:sz w:val="24"/>
          <w:szCs w:val="24"/>
          <w:highlight w:val="none"/>
          <w:lang w:val="zh-CN" w:bidi="zh-CN"/>
        </w:rPr>
        <w:t>在现场钉桩后56d内，承包人应将设计和进场复测的土方横断面图连同土方的面积与体积计算表一并提交监理人批准。所有横断面图都应标有图题框，其大小由监理人指定。一旦横断面图得到最后批准，承包人应交给监理人原版图及三份复制图。</w:t>
      </w:r>
    </w:p>
    <w:p w14:paraId="2F905684">
      <w:pPr>
        <w:widowControl/>
        <w:autoSpaceDE w:val="0"/>
        <w:autoSpaceDN w:val="0"/>
        <w:spacing w:line="360" w:lineRule="auto"/>
        <w:ind w:firstLine="482" w:firstLineChars="200"/>
        <w:jc w:val="left"/>
        <w:rPr>
          <w:rFonts w:ascii="宋体" w:hAnsi="宋体" w:cs="宋体"/>
          <w:b/>
          <w:bCs/>
          <w:kern w:val="0"/>
          <w:sz w:val="24"/>
          <w:szCs w:val="24"/>
          <w:highlight w:val="none"/>
          <w:lang w:val="zh-CN" w:bidi="zh-CN"/>
        </w:rPr>
      </w:pPr>
      <w:r>
        <w:rPr>
          <w:rFonts w:ascii="宋体" w:hAnsi="宋体" w:cs="宋体"/>
          <w:b/>
          <w:bCs/>
          <w:kern w:val="0"/>
          <w:sz w:val="24"/>
          <w:szCs w:val="24"/>
          <w:highlight w:val="none"/>
          <w:lang w:val="zh-CN" w:bidi="zh-CN"/>
        </w:rPr>
        <w:t>6.运输车辆体积</w:t>
      </w:r>
    </w:p>
    <w:p w14:paraId="18CF7A24">
      <w:pPr>
        <w:widowControl/>
        <w:numPr>
          <w:ilvl w:val="0"/>
          <w:numId w:val="0"/>
        </w:numPr>
        <w:autoSpaceDE w:val="0"/>
        <w:autoSpaceDN w:val="0"/>
        <w:spacing w:line="360" w:lineRule="auto"/>
        <w:ind w:firstLine="720" w:firstLineChars="300"/>
        <w:jc w:val="left"/>
        <w:rPr>
          <w:rFonts w:ascii="宋体" w:hAnsi="宋体" w:cs="宋体"/>
          <w:kern w:val="0"/>
          <w:sz w:val="24"/>
          <w:szCs w:val="24"/>
          <w:highlight w:val="none"/>
          <w:lang w:val="zh-CN" w:bidi="zh-CN"/>
        </w:rPr>
      </w:pPr>
      <w:r>
        <w:rPr>
          <w:rFonts w:hint="eastAsia" w:ascii="宋体" w:hAnsi="宋体" w:cs="宋体"/>
          <w:kern w:val="0"/>
          <w:sz w:val="24"/>
          <w:szCs w:val="24"/>
          <w:highlight w:val="none"/>
          <w:lang w:val="zh-CN" w:bidi="zh-CN"/>
        </w:rPr>
        <w:t>(</w:t>
      </w:r>
      <w:r>
        <w:rPr>
          <w:rFonts w:hint="eastAsia" w:ascii="宋体" w:hAnsi="宋体" w:cs="宋体"/>
          <w:kern w:val="0"/>
          <w:sz w:val="24"/>
          <w:szCs w:val="24"/>
          <w:highlight w:val="none"/>
          <w:lang w:val="en-US" w:bidi="zh-CN"/>
        </w:rPr>
        <w:t>1</w:t>
      </w:r>
      <w:r>
        <w:rPr>
          <w:rFonts w:hint="eastAsia" w:ascii="宋体" w:hAnsi="宋体" w:cs="宋体"/>
          <w:kern w:val="0"/>
          <w:sz w:val="24"/>
          <w:szCs w:val="24"/>
          <w:highlight w:val="none"/>
          <w:lang w:val="zh-CN" w:bidi="zh-CN"/>
        </w:rPr>
        <w:t>)</w:t>
      </w:r>
      <w:r>
        <w:rPr>
          <w:rFonts w:ascii="宋体" w:hAnsi="宋体" w:cs="宋体"/>
          <w:kern w:val="0"/>
          <w:sz w:val="24"/>
          <w:szCs w:val="24"/>
          <w:highlight w:val="none"/>
          <w:lang w:val="zh-CN" w:bidi="zh-CN"/>
        </w:rPr>
        <w:t>用体积计量的材料，应以经监理人批准的车辆装运，并在运到地点进行计量。</w:t>
      </w:r>
    </w:p>
    <w:p w14:paraId="7372C288">
      <w:pPr>
        <w:widowControl/>
        <w:numPr>
          <w:ilvl w:val="0"/>
          <w:numId w:val="0"/>
        </w:numPr>
        <w:autoSpaceDE w:val="0"/>
        <w:autoSpaceDN w:val="0"/>
        <w:spacing w:line="360" w:lineRule="auto"/>
        <w:ind w:left="239" w:leftChars="114" w:firstLine="480" w:firstLineChars="200"/>
        <w:jc w:val="left"/>
        <w:rPr>
          <w:rFonts w:ascii="宋体" w:hAnsi="宋体" w:cs="宋体"/>
          <w:kern w:val="0"/>
          <w:sz w:val="24"/>
          <w:szCs w:val="24"/>
          <w:highlight w:val="none"/>
          <w:lang w:val="zh-CN" w:bidi="zh-CN"/>
        </w:rPr>
      </w:pPr>
      <w:r>
        <w:rPr>
          <w:rFonts w:hint="eastAsia" w:ascii="宋体" w:hAnsi="宋体" w:cs="宋体"/>
          <w:kern w:val="0"/>
          <w:sz w:val="24"/>
          <w:szCs w:val="24"/>
          <w:highlight w:val="none"/>
          <w:lang w:val="zh-CN" w:bidi="zh-CN"/>
        </w:rPr>
        <w:t>(</w:t>
      </w:r>
      <w:r>
        <w:rPr>
          <w:rFonts w:hint="eastAsia" w:ascii="宋体" w:hAnsi="宋体" w:cs="宋体"/>
          <w:kern w:val="0"/>
          <w:sz w:val="24"/>
          <w:szCs w:val="24"/>
          <w:highlight w:val="none"/>
          <w:lang w:val="en-US" w:bidi="zh-CN"/>
        </w:rPr>
        <w:t>2</w:t>
      </w:r>
      <w:r>
        <w:rPr>
          <w:rFonts w:hint="eastAsia" w:ascii="宋体" w:hAnsi="宋体" w:cs="宋体"/>
          <w:kern w:val="0"/>
          <w:sz w:val="24"/>
          <w:szCs w:val="24"/>
          <w:highlight w:val="none"/>
          <w:lang w:val="zh-CN" w:bidi="zh-CN"/>
        </w:rPr>
        <w:t>)</w:t>
      </w:r>
      <w:r>
        <w:rPr>
          <w:rFonts w:ascii="宋体" w:hAnsi="宋体" w:cs="宋体"/>
          <w:kern w:val="0"/>
          <w:sz w:val="24"/>
          <w:szCs w:val="24"/>
          <w:highlight w:val="none"/>
          <w:lang w:val="zh-CN" w:bidi="zh-CN"/>
        </w:rPr>
        <w:t>用于体积运输的车辆，其车厢的形状和尺寸应使其容量能够容易而准确地测定并应保证精确度。每辆车都应有明显标记。每车所运材料的体积应于事前由监理人与承包人相互达成书面协议。</w:t>
      </w:r>
    </w:p>
    <w:p w14:paraId="5B74FC80">
      <w:pPr>
        <w:widowControl/>
        <w:numPr>
          <w:ilvl w:val="0"/>
          <w:numId w:val="0"/>
        </w:numPr>
        <w:autoSpaceDE w:val="0"/>
        <w:autoSpaceDN w:val="0"/>
        <w:spacing w:line="360" w:lineRule="auto"/>
        <w:ind w:left="239" w:leftChars="114" w:firstLine="480" w:firstLineChars="200"/>
        <w:jc w:val="left"/>
        <w:rPr>
          <w:rFonts w:ascii="宋体" w:hAnsi="宋体" w:cs="宋体"/>
          <w:kern w:val="0"/>
          <w:sz w:val="24"/>
          <w:szCs w:val="24"/>
          <w:highlight w:val="none"/>
          <w:lang w:val="zh-CN" w:bidi="zh-CN"/>
        </w:rPr>
      </w:pPr>
      <w:r>
        <w:rPr>
          <w:rFonts w:hint="eastAsia" w:ascii="宋体" w:hAnsi="宋体" w:cs="宋体"/>
          <w:kern w:val="0"/>
          <w:sz w:val="24"/>
          <w:szCs w:val="24"/>
          <w:highlight w:val="none"/>
          <w:lang w:val="zh-CN" w:bidi="zh-CN"/>
        </w:rPr>
        <w:t>(</w:t>
      </w:r>
      <w:r>
        <w:rPr>
          <w:rFonts w:hint="eastAsia" w:ascii="宋体" w:hAnsi="宋体" w:cs="宋体"/>
          <w:kern w:val="0"/>
          <w:sz w:val="24"/>
          <w:szCs w:val="24"/>
          <w:highlight w:val="none"/>
          <w:lang w:val="en-US" w:bidi="zh-CN"/>
        </w:rPr>
        <w:t>3</w:t>
      </w:r>
      <w:r>
        <w:rPr>
          <w:rFonts w:hint="eastAsia" w:ascii="宋体" w:hAnsi="宋体" w:cs="宋体"/>
          <w:kern w:val="0"/>
          <w:sz w:val="24"/>
          <w:szCs w:val="24"/>
          <w:highlight w:val="none"/>
          <w:lang w:val="zh-CN" w:bidi="zh-CN"/>
        </w:rPr>
        <w:t>)</w:t>
      </w:r>
      <w:r>
        <w:rPr>
          <w:rFonts w:ascii="宋体" w:hAnsi="宋体" w:cs="宋体"/>
          <w:kern w:val="0"/>
          <w:sz w:val="24"/>
          <w:szCs w:val="24"/>
          <w:highlight w:val="none"/>
          <w:lang w:val="zh-CN" w:bidi="zh-CN"/>
        </w:rPr>
        <w:t>所有车辆都应装载成水平容积高度，车辆到达送货点时，监理人可以要求将其装载物重新整平，对超过定量运送的材料将不支付。运量达不到定量的车辆， 应被拒绝或按监理人确定减少的体积接收。根据监理人的指示，承包人应在货物交付点，随机将一车材料刮平，在刮平后如发现货车运送的材料少于定量时，从前一车起所有运到的材料的计量都按同样比率减为目前的车载量。</w:t>
      </w:r>
    </w:p>
    <w:p w14:paraId="0010592A">
      <w:pPr>
        <w:widowControl/>
        <w:autoSpaceDE w:val="0"/>
        <w:autoSpaceDN w:val="0"/>
        <w:spacing w:line="360" w:lineRule="auto"/>
        <w:ind w:firstLine="482" w:firstLineChars="200"/>
        <w:jc w:val="left"/>
        <w:rPr>
          <w:rFonts w:ascii="宋体" w:hAnsi="宋体" w:cs="宋体"/>
          <w:b/>
          <w:bCs/>
          <w:kern w:val="0"/>
          <w:sz w:val="24"/>
          <w:szCs w:val="24"/>
          <w:highlight w:val="none"/>
          <w:lang w:val="zh-CN" w:bidi="zh-CN"/>
        </w:rPr>
      </w:pPr>
      <w:r>
        <w:rPr>
          <w:rFonts w:ascii="宋体" w:hAnsi="宋体" w:cs="宋体"/>
          <w:b/>
          <w:bCs/>
          <w:kern w:val="0"/>
          <w:sz w:val="24"/>
          <w:szCs w:val="24"/>
          <w:highlight w:val="none"/>
          <w:lang w:val="zh-CN" w:bidi="zh-CN"/>
        </w:rPr>
        <w:t>7.质量与体积换算</w:t>
      </w:r>
    </w:p>
    <w:p w14:paraId="401DF4A1">
      <w:pPr>
        <w:widowControl/>
        <w:numPr>
          <w:ilvl w:val="0"/>
          <w:numId w:val="0"/>
        </w:numPr>
        <w:autoSpaceDE w:val="0"/>
        <w:autoSpaceDN w:val="0"/>
        <w:spacing w:line="360" w:lineRule="auto"/>
        <w:ind w:left="239" w:leftChars="114" w:firstLine="480" w:firstLineChars="200"/>
        <w:jc w:val="left"/>
        <w:rPr>
          <w:rFonts w:ascii="宋体" w:hAnsi="宋体" w:cs="宋体"/>
          <w:kern w:val="0"/>
          <w:sz w:val="24"/>
          <w:szCs w:val="24"/>
          <w:highlight w:val="none"/>
          <w:lang w:val="zh-CN" w:bidi="zh-CN"/>
        </w:rPr>
      </w:pPr>
      <w:r>
        <w:rPr>
          <w:rFonts w:hint="eastAsia" w:ascii="宋体" w:hAnsi="宋体" w:cs="宋体"/>
          <w:kern w:val="0"/>
          <w:sz w:val="24"/>
          <w:szCs w:val="24"/>
          <w:highlight w:val="none"/>
          <w:lang w:val="zh-CN" w:bidi="zh-CN"/>
        </w:rPr>
        <w:t>(</w:t>
      </w:r>
      <w:r>
        <w:rPr>
          <w:rFonts w:hint="eastAsia" w:ascii="宋体" w:hAnsi="宋体" w:cs="宋体"/>
          <w:kern w:val="0"/>
          <w:sz w:val="24"/>
          <w:szCs w:val="24"/>
          <w:highlight w:val="none"/>
          <w:lang w:val="en-US" w:bidi="zh-CN"/>
        </w:rPr>
        <w:t>1</w:t>
      </w:r>
      <w:r>
        <w:rPr>
          <w:rFonts w:hint="eastAsia" w:ascii="宋体" w:hAnsi="宋体" w:cs="宋体"/>
          <w:kern w:val="0"/>
          <w:sz w:val="24"/>
          <w:szCs w:val="24"/>
          <w:highlight w:val="none"/>
          <w:lang w:val="zh-CN" w:bidi="zh-CN"/>
        </w:rPr>
        <w:t>)</w:t>
      </w:r>
      <w:r>
        <w:rPr>
          <w:rFonts w:ascii="宋体" w:hAnsi="宋体" w:cs="宋体"/>
          <w:kern w:val="0"/>
          <w:sz w:val="24"/>
          <w:szCs w:val="24"/>
          <w:highlight w:val="none"/>
          <w:lang w:val="zh-CN" w:bidi="zh-CN"/>
        </w:rPr>
        <w:t>如承包人提出要求并得到监理人的书面批准，已规定要用立方米计量的材料可以称重，并将此质量换算为立方米计量。</w:t>
      </w:r>
    </w:p>
    <w:p w14:paraId="6A6BF7CE">
      <w:pPr>
        <w:widowControl/>
        <w:numPr>
          <w:ilvl w:val="0"/>
          <w:numId w:val="0"/>
        </w:numPr>
        <w:autoSpaceDE w:val="0"/>
        <w:autoSpaceDN w:val="0"/>
        <w:spacing w:line="360" w:lineRule="auto"/>
        <w:ind w:left="239" w:leftChars="114" w:firstLine="480" w:firstLineChars="200"/>
        <w:jc w:val="left"/>
        <w:rPr>
          <w:rFonts w:ascii="宋体" w:hAnsi="宋体" w:cs="宋体"/>
          <w:kern w:val="0"/>
          <w:sz w:val="24"/>
          <w:szCs w:val="24"/>
          <w:highlight w:val="none"/>
          <w:lang w:val="zh-CN" w:bidi="zh-CN"/>
        </w:rPr>
      </w:pPr>
      <w:r>
        <w:rPr>
          <w:rFonts w:hint="eastAsia" w:ascii="宋体" w:hAnsi="宋体" w:cs="宋体"/>
          <w:kern w:val="0"/>
          <w:sz w:val="24"/>
          <w:szCs w:val="24"/>
          <w:highlight w:val="none"/>
          <w:lang w:val="zh-CN" w:bidi="zh-CN"/>
        </w:rPr>
        <w:t>(</w:t>
      </w:r>
      <w:r>
        <w:rPr>
          <w:rFonts w:hint="eastAsia" w:ascii="宋体" w:hAnsi="宋体" w:cs="宋体"/>
          <w:kern w:val="0"/>
          <w:sz w:val="24"/>
          <w:szCs w:val="24"/>
          <w:highlight w:val="none"/>
          <w:lang w:val="en-US" w:bidi="zh-CN"/>
        </w:rPr>
        <w:t>2</w:t>
      </w:r>
      <w:r>
        <w:rPr>
          <w:rFonts w:hint="eastAsia" w:ascii="宋体" w:hAnsi="宋体" w:cs="宋体"/>
          <w:kern w:val="0"/>
          <w:sz w:val="24"/>
          <w:szCs w:val="24"/>
          <w:highlight w:val="none"/>
          <w:lang w:val="zh-CN" w:bidi="zh-CN"/>
        </w:rPr>
        <w:t>)</w:t>
      </w:r>
      <w:r>
        <w:rPr>
          <w:rFonts w:ascii="宋体" w:hAnsi="宋体" w:cs="宋体"/>
          <w:kern w:val="0"/>
          <w:sz w:val="24"/>
          <w:szCs w:val="24"/>
          <w:highlight w:val="none"/>
          <w:lang w:val="zh-CN" w:bidi="zh-CN"/>
        </w:rPr>
        <w:t>将质量计量换算为体积计量的换算系数应由监理人确定，并应在此种计量方法使用之前征得承包人的同意。</w:t>
      </w:r>
    </w:p>
    <w:p w14:paraId="5224562F">
      <w:pPr>
        <w:widowControl/>
        <w:autoSpaceDE w:val="0"/>
        <w:autoSpaceDN w:val="0"/>
        <w:spacing w:line="360" w:lineRule="auto"/>
        <w:ind w:firstLine="482" w:firstLineChars="200"/>
        <w:jc w:val="left"/>
        <w:rPr>
          <w:rFonts w:ascii="宋体" w:hAnsi="宋体" w:cs="宋体"/>
          <w:b/>
          <w:bCs/>
          <w:kern w:val="0"/>
          <w:sz w:val="24"/>
          <w:szCs w:val="24"/>
          <w:highlight w:val="none"/>
          <w:lang w:val="zh-CN" w:bidi="zh-CN"/>
        </w:rPr>
      </w:pPr>
      <w:r>
        <w:rPr>
          <w:rFonts w:ascii="宋体" w:hAnsi="宋体" w:cs="宋体"/>
          <w:b/>
          <w:bCs/>
          <w:kern w:val="0"/>
          <w:sz w:val="24"/>
          <w:szCs w:val="24"/>
          <w:highlight w:val="none"/>
          <w:lang w:val="zh-CN" w:bidi="zh-CN"/>
        </w:rPr>
        <w:t>8.沥青和水泥</w:t>
      </w:r>
    </w:p>
    <w:p w14:paraId="1A2371FA">
      <w:pPr>
        <w:widowControl/>
        <w:numPr>
          <w:ilvl w:val="0"/>
          <w:numId w:val="0"/>
        </w:numPr>
        <w:autoSpaceDE w:val="0"/>
        <w:autoSpaceDN w:val="0"/>
        <w:spacing w:line="360" w:lineRule="auto"/>
        <w:ind w:firstLine="720" w:firstLineChars="300"/>
        <w:jc w:val="left"/>
        <w:rPr>
          <w:rFonts w:ascii="宋体" w:hAnsi="宋体" w:cs="宋体"/>
          <w:kern w:val="0"/>
          <w:sz w:val="24"/>
          <w:szCs w:val="24"/>
          <w:highlight w:val="none"/>
          <w:lang w:val="zh-CN" w:bidi="zh-CN"/>
        </w:rPr>
      </w:pPr>
      <w:r>
        <w:rPr>
          <w:rFonts w:hint="eastAsia" w:ascii="宋体" w:hAnsi="宋体" w:cs="宋体"/>
          <w:kern w:val="0"/>
          <w:sz w:val="24"/>
          <w:szCs w:val="24"/>
          <w:highlight w:val="none"/>
          <w:lang w:val="zh-CN" w:bidi="zh-CN"/>
        </w:rPr>
        <w:t>(</w:t>
      </w:r>
      <w:r>
        <w:rPr>
          <w:rFonts w:hint="eastAsia" w:ascii="宋体" w:hAnsi="宋体" w:cs="宋体"/>
          <w:kern w:val="0"/>
          <w:sz w:val="24"/>
          <w:szCs w:val="24"/>
          <w:highlight w:val="none"/>
          <w:lang w:val="en-US" w:bidi="zh-CN"/>
        </w:rPr>
        <w:t>1</w:t>
      </w:r>
      <w:r>
        <w:rPr>
          <w:rFonts w:hint="eastAsia" w:ascii="宋体" w:hAnsi="宋体" w:cs="宋体"/>
          <w:kern w:val="0"/>
          <w:sz w:val="24"/>
          <w:szCs w:val="24"/>
          <w:highlight w:val="none"/>
          <w:lang w:val="zh-CN" w:bidi="zh-CN"/>
        </w:rPr>
        <w:t>)</w:t>
      </w:r>
      <w:r>
        <w:rPr>
          <w:rFonts w:ascii="宋体" w:hAnsi="宋体" w:cs="宋体"/>
          <w:kern w:val="0"/>
          <w:sz w:val="24"/>
          <w:szCs w:val="24"/>
          <w:highlight w:val="none"/>
          <w:lang w:val="zh-CN" w:bidi="zh-CN"/>
        </w:rPr>
        <w:t>沥青和水泥应以千克为单位计量。</w:t>
      </w:r>
    </w:p>
    <w:p w14:paraId="24ECEC16">
      <w:pPr>
        <w:widowControl/>
        <w:numPr>
          <w:ilvl w:val="0"/>
          <w:numId w:val="0"/>
        </w:numPr>
        <w:autoSpaceDE w:val="0"/>
        <w:autoSpaceDN w:val="0"/>
        <w:spacing w:line="360" w:lineRule="auto"/>
        <w:ind w:left="218" w:leftChars="104" w:firstLine="480" w:firstLineChars="200"/>
        <w:jc w:val="left"/>
        <w:rPr>
          <w:rFonts w:ascii="宋体" w:hAnsi="宋体" w:cs="宋体"/>
          <w:kern w:val="0"/>
          <w:sz w:val="24"/>
          <w:szCs w:val="24"/>
          <w:highlight w:val="none"/>
          <w:lang w:val="zh-CN" w:bidi="zh-CN"/>
        </w:rPr>
      </w:pPr>
      <w:r>
        <w:rPr>
          <w:rFonts w:hint="eastAsia" w:ascii="宋体" w:hAnsi="宋体" w:cs="宋体"/>
          <w:kern w:val="0"/>
          <w:sz w:val="24"/>
          <w:szCs w:val="24"/>
          <w:highlight w:val="none"/>
          <w:lang w:val="zh-CN" w:bidi="zh-CN"/>
        </w:rPr>
        <w:t>(</w:t>
      </w:r>
      <w:r>
        <w:rPr>
          <w:rFonts w:hint="eastAsia" w:ascii="宋体" w:hAnsi="宋体" w:cs="宋体"/>
          <w:kern w:val="0"/>
          <w:sz w:val="24"/>
          <w:szCs w:val="24"/>
          <w:highlight w:val="none"/>
          <w:lang w:val="en-US" w:bidi="zh-CN"/>
        </w:rPr>
        <w:t>2</w:t>
      </w:r>
      <w:r>
        <w:rPr>
          <w:rFonts w:hint="eastAsia" w:ascii="宋体" w:hAnsi="宋体" w:cs="宋体"/>
          <w:kern w:val="0"/>
          <w:sz w:val="24"/>
          <w:szCs w:val="24"/>
          <w:highlight w:val="none"/>
          <w:lang w:val="zh-CN" w:bidi="zh-CN"/>
        </w:rPr>
        <w:t>)</w:t>
      </w:r>
      <w:r>
        <w:rPr>
          <w:rFonts w:ascii="宋体" w:hAnsi="宋体" w:cs="宋体"/>
          <w:kern w:val="0"/>
          <w:sz w:val="24"/>
          <w:szCs w:val="24"/>
          <w:highlight w:val="none"/>
          <w:lang w:val="zh-CN" w:bidi="zh-CN"/>
        </w:rPr>
        <w:t>如用货车或其他运输工具装运沥青材料，可以按经过检定的质量或体积计算沥青材料的数量，但要对漏失量或泡沫进行校正。</w:t>
      </w:r>
    </w:p>
    <w:p w14:paraId="63343B46">
      <w:pPr>
        <w:widowControl/>
        <w:numPr>
          <w:ilvl w:val="0"/>
          <w:numId w:val="0"/>
        </w:numPr>
        <w:autoSpaceDE w:val="0"/>
        <w:autoSpaceDN w:val="0"/>
        <w:spacing w:line="360" w:lineRule="auto"/>
        <w:ind w:leftChars="200" w:firstLine="240" w:firstLineChars="100"/>
        <w:jc w:val="left"/>
        <w:rPr>
          <w:rFonts w:ascii="宋体" w:hAnsi="宋体" w:cs="宋体"/>
          <w:kern w:val="0"/>
          <w:sz w:val="24"/>
          <w:szCs w:val="24"/>
          <w:highlight w:val="none"/>
          <w:lang w:val="zh-CN" w:bidi="zh-CN"/>
        </w:rPr>
      </w:pPr>
      <w:r>
        <w:rPr>
          <w:rFonts w:hint="eastAsia" w:ascii="宋体" w:hAnsi="宋体" w:cs="宋体"/>
          <w:kern w:val="0"/>
          <w:sz w:val="24"/>
          <w:szCs w:val="24"/>
          <w:highlight w:val="none"/>
          <w:lang w:val="zh-CN" w:bidi="zh-CN"/>
        </w:rPr>
        <w:t>(</w:t>
      </w:r>
      <w:r>
        <w:rPr>
          <w:rFonts w:hint="eastAsia" w:ascii="宋体" w:hAnsi="宋体" w:cs="宋体"/>
          <w:kern w:val="0"/>
          <w:sz w:val="24"/>
          <w:szCs w:val="24"/>
          <w:highlight w:val="none"/>
          <w:lang w:val="en-US" w:bidi="zh-CN"/>
        </w:rPr>
        <w:t>3</w:t>
      </w:r>
      <w:r>
        <w:rPr>
          <w:rFonts w:hint="eastAsia" w:ascii="宋体" w:hAnsi="宋体" w:cs="宋体"/>
          <w:kern w:val="0"/>
          <w:sz w:val="24"/>
          <w:szCs w:val="24"/>
          <w:highlight w:val="none"/>
          <w:lang w:val="zh-CN" w:bidi="zh-CN"/>
        </w:rPr>
        <w:t>)</w:t>
      </w:r>
      <w:r>
        <w:rPr>
          <w:rFonts w:ascii="宋体" w:hAnsi="宋体" w:cs="宋体"/>
          <w:kern w:val="0"/>
          <w:sz w:val="24"/>
          <w:szCs w:val="24"/>
          <w:highlight w:val="none"/>
          <w:lang w:val="zh-CN" w:bidi="zh-CN"/>
        </w:rPr>
        <w:t>水泥可以以袋作为计量的依据，但一袋的标准应为50kg。散装水泥应称重计量。</w:t>
      </w:r>
    </w:p>
    <w:p w14:paraId="1FA3A6A4">
      <w:pPr>
        <w:widowControl/>
        <w:autoSpaceDE w:val="0"/>
        <w:autoSpaceDN w:val="0"/>
        <w:spacing w:line="360" w:lineRule="auto"/>
        <w:ind w:firstLine="480" w:firstLineChars="200"/>
        <w:jc w:val="left"/>
        <w:rPr>
          <w:rFonts w:ascii="宋体" w:hAnsi="宋体" w:cs="宋体"/>
          <w:kern w:val="0"/>
          <w:sz w:val="24"/>
          <w:szCs w:val="24"/>
          <w:highlight w:val="none"/>
          <w:lang w:val="zh-CN" w:bidi="zh-CN"/>
        </w:rPr>
      </w:pPr>
      <w:r>
        <w:rPr>
          <w:rFonts w:hint="eastAsia" w:ascii="宋体" w:hAnsi="宋体" w:cs="宋体"/>
          <w:kern w:val="0"/>
          <w:sz w:val="24"/>
          <w:szCs w:val="24"/>
          <w:highlight w:val="none"/>
          <w:lang w:val="en-US" w:bidi="zh-CN"/>
        </w:rPr>
        <w:t>(4)</w:t>
      </w:r>
      <w:r>
        <w:rPr>
          <w:rFonts w:ascii="宋体" w:hAnsi="宋体" w:cs="宋体"/>
          <w:kern w:val="0"/>
          <w:sz w:val="24"/>
          <w:szCs w:val="24"/>
          <w:highlight w:val="none"/>
          <w:lang w:val="zh-CN" w:bidi="zh-CN"/>
        </w:rPr>
        <w:t>成套的结构单元</w:t>
      </w:r>
      <w:r>
        <w:rPr>
          <w:rFonts w:hint="eastAsia" w:ascii="宋体" w:hAnsi="宋体" w:cs="宋体"/>
          <w:kern w:val="0"/>
          <w:sz w:val="24"/>
          <w:szCs w:val="24"/>
          <w:highlight w:val="none"/>
          <w:lang w:val="en-US" w:bidi="zh-CN"/>
        </w:rPr>
        <w:t>:</w:t>
      </w:r>
      <w:r>
        <w:rPr>
          <w:rFonts w:ascii="宋体" w:hAnsi="宋体" w:cs="宋体"/>
          <w:kern w:val="0"/>
          <w:sz w:val="24"/>
          <w:szCs w:val="24"/>
          <w:highlight w:val="none"/>
          <w:lang w:val="zh-CN" w:bidi="zh-CN"/>
        </w:rPr>
        <w:t>如规定的计量单位是一成套的结构物或结构单元（实际上就是按“总额”或称“一次支付”计的工程子目），该单元应包括了所有必需的设备、配件和附属物及相关作业。</w:t>
      </w:r>
    </w:p>
    <w:p w14:paraId="2E23476D">
      <w:pPr>
        <w:widowControl/>
        <w:autoSpaceDE w:val="0"/>
        <w:autoSpaceDN w:val="0"/>
        <w:spacing w:line="360" w:lineRule="auto"/>
        <w:ind w:firstLine="482" w:firstLineChars="200"/>
        <w:jc w:val="left"/>
        <w:rPr>
          <w:rFonts w:ascii="宋体" w:hAnsi="宋体" w:cs="宋体"/>
          <w:b/>
          <w:bCs/>
          <w:kern w:val="0"/>
          <w:sz w:val="24"/>
          <w:szCs w:val="24"/>
          <w:highlight w:val="none"/>
          <w:lang w:val="zh-CN" w:bidi="zh-CN"/>
        </w:rPr>
      </w:pPr>
      <w:r>
        <w:rPr>
          <w:rFonts w:ascii="宋体" w:hAnsi="宋体" w:cs="宋体"/>
          <w:b/>
          <w:bCs/>
          <w:kern w:val="0"/>
          <w:sz w:val="24"/>
          <w:szCs w:val="24"/>
          <w:highlight w:val="none"/>
          <w:lang w:val="zh-CN" w:bidi="zh-CN"/>
        </w:rPr>
        <w:t>9.标准制品项目</w:t>
      </w:r>
    </w:p>
    <w:p w14:paraId="10ABA828">
      <w:pPr>
        <w:widowControl/>
        <w:numPr>
          <w:ilvl w:val="0"/>
          <w:numId w:val="0"/>
        </w:numPr>
        <w:autoSpaceDE w:val="0"/>
        <w:autoSpaceDN w:val="0"/>
        <w:spacing w:line="360" w:lineRule="auto"/>
        <w:ind w:left="0" w:leftChars="0" w:firstLine="420" w:firstLineChars="175"/>
        <w:jc w:val="left"/>
        <w:rPr>
          <w:rFonts w:ascii="宋体" w:hAnsi="宋体" w:cs="宋体"/>
          <w:kern w:val="0"/>
          <w:sz w:val="24"/>
          <w:szCs w:val="24"/>
          <w:highlight w:val="none"/>
          <w:lang w:val="zh-CN" w:bidi="zh-CN"/>
        </w:rPr>
      </w:pPr>
      <w:r>
        <w:rPr>
          <w:rFonts w:hint="eastAsia" w:ascii="宋体" w:hAnsi="宋体" w:cs="宋体"/>
          <w:kern w:val="0"/>
          <w:sz w:val="24"/>
          <w:szCs w:val="24"/>
          <w:highlight w:val="none"/>
          <w:lang w:val="zh-CN" w:bidi="zh-CN"/>
        </w:rPr>
        <w:t>(</w:t>
      </w:r>
      <w:r>
        <w:rPr>
          <w:rFonts w:hint="eastAsia" w:ascii="宋体" w:hAnsi="宋体" w:cs="宋体"/>
          <w:kern w:val="0"/>
          <w:sz w:val="24"/>
          <w:szCs w:val="24"/>
          <w:highlight w:val="none"/>
          <w:lang w:val="en-US" w:bidi="zh-CN"/>
        </w:rPr>
        <w:t>1</w:t>
      </w:r>
      <w:r>
        <w:rPr>
          <w:rFonts w:hint="eastAsia" w:ascii="宋体" w:hAnsi="宋体" w:cs="宋体"/>
          <w:kern w:val="0"/>
          <w:sz w:val="24"/>
          <w:szCs w:val="24"/>
          <w:highlight w:val="none"/>
          <w:lang w:val="zh-CN" w:bidi="zh-CN"/>
        </w:rPr>
        <w:t>)</w:t>
      </w:r>
      <w:r>
        <w:rPr>
          <w:rFonts w:ascii="宋体" w:hAnsi="宋体" w:cs="宋体"/>
          <w:kern w:val="0"/>
          <w:sz w:val="24"/>
          <w:szCs w:val="24"/>
          <w:highlight w:val="none"/>
          <w:lang w:val="zh-CN" w:bidi="zh-CN"/>
        </w:rPr>
        <w:t>如规定采用标准制品(如护栏、钢丝、钢板、轧制型材、管子等)，而这类项目又是以标准规格(单位重、截面尺寸等)标识的，则这种标识可以作为计量的标准。</w:t>
      </w:r>
    </w:p>
    <w:p w14:paraId="21B847CF">
      <w:pPr>
        <w:widowControl/>
        <w:numPr>
          <w:ilvl w:val="0"/>
          <w:numId w:val="0"/>
        </w:numPr>
        <w:autoSpaceDE w:val="0"/>
        <w:autoSpaceDN w:val="0"/>
        <w:spacing w:line="360" w:lineRule="auto"/>
        <w:ind w:left="0" w:leftChars="0" w:firstLine="420" w:firstLineChars="175"/>
        <w:jc w:val="left"/>
        <w:rPr>
          <w:rFonts w:ascii="宋体" w:hAnsi="宋体" w:cs="宋体"/>
          <w:kern w:val="0"/>
          <w:sz w:val="24"/>
          <w:szCs w:val="24"/>
          <w:highlight w:val="none"/>
          <w:lang w:val="zh-CN" w:bidi="zh-CN"/>
        </w:rPr>
      </w:pPr>
      <w:r>
        <w:rPr>
          <w:rFonts w:hint="eastAsia" w:ascii="宋体" w:hAnsi="宋体" w:cs="宋体"/>
          <w:kern w:val="0"/>
          <w:sz w:val="24"/>
          <w:szCs w:val="24"/>
          <w:highlight w:val="none"/>
          <w:lang w:val="zh-CN" w:bidi="zh-CN"/>
        </w:rPr>
        <w:t>(</w:t>
      </w:r>
      <w:r>
        <w:rPr>
          <w:rFonts w:hint="eastAsia" w:ascii="宋体" w:hAnsi="宋体" w:cs="宋体"/>
          <w:kern w:val="0"/>
          <w:sz w:val="24"/>
          <w:szCs w:val="24"/>
          <w:highlight w:val="none"/>
          <w:lang w:val="en-US" w:bidi="zh-CN"/>
        </w:rPr>
        <w:t>2</w:t>
      </w:r>
      <w:r>
        <w:rPr>
          <w:rFonts w:hint="eastAsia" w:ascii="宋体" w:hAnsi="宋体" w:cs="宋体"/>
          <w:kern w:val="0"/>
          <w:sz w:val="24"/>
          <w:szCs w:val="24"/>
          <w:highlight w:val="none"/>
          <w:lang w:val="zh-CN" w:bidi="zh-CN"/>
        </w:rPr>
        <w:t>)</w:t>
      </w:r>
      <w:r>
        <w:rPr>
          <w:rFonts w:ascii="宋体" w:hAnsi="宋体" w:cs="宋体"/>
          <w:kern w:val="0"/>
          <w:sz w:val="24"/>
          <w:szCs w:val="24"/>
          <w:highlight w:val="none"/>
          <w:lang w:val="zh-CN" w:bidi="zh-CN"/>
        </w:rPr>
        <w:t>除非所采用标准制品的允许误差比规范的允许误差要求更严格，否则，生产厂确立的制造允许误差不予认可。</w:t>
      </w:r>
    </w:p>
    <w:p w14:paraId="19F4D334">
      <w:pPr>
        <w:keepNext/>
        <w:keepLines/>
        <w:widowControl/>
        <w:spacing w:before="260" w:after="260" w:line="416" w:lineRule="auto"/>
        <w:jc w:val="left"/>
        <w:outlineLvl w:val="1"/>
        <w:rPr>
          <w:rFonts w:ascii="宋体" w:hAnsi="宋体" w:cs="宋体"/>
          <w:kern w:val="0"/>
          <w:sz w:val="34"/>
          <w:szCs w:val="24"/>
          <w:highlight w:val="none"/>
          <w:lang w:val="zh-CN" w:bidi="zh-CN"/>
        </w:rPr>
      </w:pPr>
      <w:bookmarkStart w:id="167" w:name="_Toc256000071"/>
      <w:bookmarkStart w:id="168" w:name="_Toc256000095"/>
      <w:r>
        <w:rPr>
          <w:rFonts w:ascii="Times New Roman" w:hAnsi="Times New Roman" w:cs="宋体"/>
          <w:b/>
          <w:bCs/>
          <w:kern w:val="0"/>
          <w:sz w:val="28"/>
          <w:szCs w:val="28"/>
          <w:highlight w:val="none"/>
          <w:lang w:val="zh-CN" w:bidi="zh-CN"/>
        </w:rPr>
        <w:t>2.计量规则</w:t>
      </w:r>
      <w:bookmarkEnd w:id="167"/>
      <w:bookmarkEnd w:id="168"/>
    </w:p>
    <w:p w14:paraId="31C80F01">
      <w:pPr>
        <w:widowControl/>
        <w:ind w:right="50"/>
        <w:jc w:val="center"/>
        <w:rPr>
          <w:rFonts w:ascii="宋体" w:hAnsi="宋体" w:cs="宋体"/>
          <w:kern w:val="0"/>
          <w:sz w:val="28"/>
          <w:highlight w:val="none"/>
          <w:lang w:val="zh-CN" w:bidi="zh-CN"/>
        </w:rPr>
      </w:pPr>
      <w:r>
        <w:rPr>
          <w:rFonts w:ascii="宋体" w:hAnsi="宋体" w:cs="宋体"/>
          <w:kern w:val="0"/>
          <w:sz w:val="28"/>
          <w:highlight w:val="none"/>
          <w:lang w:val="zh-CN" w:bidi="zh-CN"/>
        </w:rPr>
        <w:t>第</w:t>
      </w:r>
      <w:r>
        <w:rPr>
          <w:rFonts w:ascii="宋体" w:hAnsi="宋体" w:cs="宋体"/>
          <w:spacing w:val="-71"/>
          <w:kern w:val="0"/>
          <w:sz w:val="28"/>
          <w:highlight w:val="none"/>
          <w:lang w:val="zh-CN" w:bidi="zh-CN"/>
        </w:rPr>
        <w:t xml:space="preserve"> </w:t>
      </w:r>
      <w:r>
        <w:rPr>
          <w:rFonts w:ascii="Times New Roman" w:hAnsi="宋体" w:eastAsia="Times New Roman" w:cs="宋体"/>
          <w:kern w:val="0"/>
          <w:sz w:val="28"/>
          <w:highlight w:val="none"/>
          <w:lang w:val="zh-CN" w:bidi="zh-CN"/>
        </w:rPr>
        <w:t>100</w:t>
      </w:r>
      <w:r>
        <w:rPr>
          <w:rFonts w:ascii="Times New Roman" w:hAnsi="宋体" w:eastAsia="Times New Roman" w:cs="宋体"/>
          <w:spacing w:val="-1"/>
          <w:kern w:val="0"/>
          <w:sz w:val="28"/>
          <w:highlight w:val="none"/>
          <w:lang w:val="zh-CN" w:bidi="zh-CN"/>
        </w:rPr>
        <w:t xml:space="preserve"> </w:t>
      </w:r>
      <w:r>
        <w:rPr>
          <w:rFonts w:ascii="宋体" w:hAnsi="宋体" w:cs="宋体"/>
          <w:kern w:val="0"/>
          <w:sz w:val="28"/>
          <w:highlight w:val="none"/>
          <w:lang w:val="zh-CN" w:bidi="zh-CN"/>
        </w:rPr>
        <w:t>章</w:t>
      </w:r>
      <w:r>
        <w:rPr>
          <w:rFonts w:ascii="宋体" w:hAnsi="宋体" w:cs="宋体"/>
          <w:kern w:val="0"/>
          <w:sz w:val="28"/>
          <w:highlight w:val="none"/>
          <w:lang w:val="zh-CN" w:bidi="zh-CN"/>
        </w:rPr>
        <w:tab/>
      </w:r>
      <w:r>
        <w:rPr>
          <w:rFonts w:ascii="宋体" w:hAnsi="宋体" w:cs="宋体"/>
          <w:spacing w:val="-1"/>
          <w:kern w:val="0"/>
          <w:sz w:val="28"/>
          <w:highlight w:val="none"/>
          <w:lang w:val="zh-CN" w:bidi="zh-CN"/>
        </w:rPr>
        <w:t>总</w:t>
      </w:r>
      <w:r>
        <w:rPr>
          <w:rFonts w:ascii="宋体" w:hAnsi="宋体" w:cs="宋体"/>
          <w:kern w:val="0"/>
          <w:sz w:val="28"/>
          <w:highlight w:val="none"/>
          <w:lang w:val="zh-CN" w:bidi="zh-CN"/>
        </w:rPr>
        <w:t>则</w:t>
      </w:r>
    </w:p>
    <w:tbl>
      <w:tblPr>
        <w:tblStyle w:val="30"/>
        <w:tblW w:w="514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76"/>
        <w:gridCol w:w="1610"/>
        <w:gridCol w:w="1001"/>
        <w:gridCol w:w="2500"/>
        <w:gridCol w:w="3015"/>
      </w:tblGrid>
      <w:tr w14:paraId="69A93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blHeader/>
          <w:jc w:val="center"/>
        </w:trPr>
        <w:tc>
          <w:tcPr>
            <w:tcW w:w="632" w:type="pct"/>
            <w:shd w:val="pct20" w:color="auto" w:fill="auto"/>
            <w:noWrap w:val="0"/>
            <w:vAlign w:val="center"/>
          </w:tcPr>
          <w:p w14:paraId="2CC05B22">
            <w:pPr>
              <w:widowControl/>
              <w:autoSpaceDE w:val="0"/>
              <w:autoSpaceDN w:val="0"/>
              <w:spacing w:line="360" w:lineRule="auto"/>
              <w:jc w:val="center"/>
              <w:rPr>
                <w:rFonts w:ascii="Times New Roman" w:hAnsi="Times New Roman" w:cs="宋体"/>
                <w:b/>
                <w:bCs/>
                <w:kern w:val="0"/>
                <w:sz w:val="22"/>
                <w:szCs w:val="21"/>
                <w:highlight w:val="none"/>
                <w:lang w:val="zh-CN" w:bidi="zh-CN"/>
              </w:rPr>
            </w:pPr>
            <w:r>
              <w:rPr>
                <w:rFonts w:ascii="Times New Roman" w:hAnsi="Times New Roman" w:cs="宋体"/>
                <w:b/>
                <w:bCs/>
                <w:kern w:val="0"/>
                <w:sz w:val="22"/>
                <w:szCs w:val="21"/>
                <w:highlight w:val="none"/>
                <w:lang w:val="zh-CN" w:bidi="zh-CN"/>
              </w:rPr>
              <w:t>子目号</w:t>
            </w:r>
          </w:p>
        </w:tc>
        <w:tc>
          <w:tcPr>
            <w:tcW w:w="865" w:type="pct"/>
            <w:shd w:val="pct20" w:color="auto" w:fill="auto"/>
            <w:noWrap w:val="0"/>
            <w:vAlign w:val="center"/>
          </w:tcPr>
          <w:p w14:paraId="09A47DD3">
            <w:pPr>
              <w:widowControl/>
              <w:autoSpaceDE w:val="0"/>
              <w:autoSpaceDN w:val="0"/>
              <w:spacing w:line="360" w:lineRule="auto"/>
              <w:jc w:val="center"/>
              <w:rPr>
                <w:rFonts w:ascii="Times New Roman" w:hAnsi="Times New Roman" w:cs="宋体"/>
                <w:b/>
                <w:bCs/>
                <w:kern w:val="0"/>
                <w:sz w:val="22"/>
                <w:szCs w:val="21"/>
                <w:highlight w:val="none"/>
                <w:lang w:val="zh-CN" w:bidi="zh-CN"/>
              </w:rPr>
            </w:pPr>
            <w:r>
              <w:rPr>
                <w:rFonts w:ascii="Times New Roman" w:hAnsi="Times New Roman" w:cs="宋体"/>
                <w:b/>
                <w:bCs/>
                <w:kern w:val="0"/>
                <w:sz w:val="22"/>
                <w:szCs w:val="21"/>
                <w:highlight w:val="none"/>
                <w:lang w:val="zh-CN" w:bidi="zh-CN"/>
              </w:rPr>
              <w:t>子目名称</w:t>
            </w:r>
          </w:p>
        </w:tc>
        <w:tc>
          <w:tcPr>
            <w:tcW w:w="538" w:type="pct"/>
            <w:shd w:val="pct20" w:color="auto" w:fill="auto"/>
            <w:noWrap w:val="0"/>
            <w:vAlign w:val="center"/>
          </w:tcPr>
          <w:p w14:paraId="4AAD18F9">
            <w:pPr>
              <w:widowControl/>
              <w:autoSpaceDE w:val="0"/>
              <w:autoSpaceDN w:val="0"/>
              <w:spacing w:line="360" w:lineRule="auto"/>
              <w:jc w:val="center"/>
              <w:rPr>
                <w:rFonts w:ascii="Times New Roman" w:hAnsi="Times New Roman" w:cs="宋体"/>
                <w:b/>
                <w:bCs/>
                <w:kern w:val="0"/>
                <w:sz w:val="22"/>
                <w:szCs w:val="21"/>
                <w:highlight w:val="none"/>
                <w:lang w:val="zh-CN" w:bidi="zh-CN"/>
              </w:rPr>
            </w:pPr>
            <w:r>
              <w:rPr>
                <w:rFonts w:ascii="Times New Roman" w:hAnsi="Times New Roman" w:cs="宋体"/>
                <w:b/>
                <w:bCs/>
                <w:kern w:val="0"/>
                <w:sz w:val="22"/>
                <w:szCs w:val="21"/>
                <w:highlight w:val="none"/>
                <w:lang w:val="zh-CN" w:bidi="zh-CN"/>
              </w:rPr>
              <w:t>单位</w:t>
            </w:r>
          </w:p>
        </w:tc>
        <w:tc>
          <w:tcPr>
            <w:tcW w:w="1343" w:type="pct"/>
            <w:shd w:val="pct20" w:color="auto" w:fill="auto"/>
            <w:noWrap w:val="0"/>
            <w:vAlign w:val="center"/>
          </w:tcPr>
          <w:p w14:paraId="6C19513E">
            <w:pPr>
              <w:widowControl/>
              <w:autoSpaceDE w:val="0"/>
              <w:autoSpaceDN w:val="0"/>
              <w:spacing w:line="360" w:lineRule="auto"/>
              <w:jc w:val="center"/>
              <w:rPr>
                <w:rFonts w:ascii="Times New Roman" w:hAnsi="Times New Roman" w:cs="宋体"/>
                <w:b/>
                <w:bCs/>
                <w:kern w:val="0"/>
                <w:sz w:val="22"/>
                <w:szCs w:val="21"/>
                <w:highlight w:val="none"/>
                <w:lang w:val="zh-CN" w:bidi="zh-CN"/>
              </w:rPr>
            </w:pPr>
            <w:r>
              <w:rPr>
                <w:rFonts w:ascii="Times New Roman" w:hAnsi="Times New Roman" w:cs="宋体"/>
                <w:b/>
                <w:bCs/>
                <w:kern w:val="0"/>
                <w:sz w:val="22"/>
                <w:szCs w:val="21"/>
                <w:highlight w:val="none"/>
                <w:lang w:val="zh-CN" w:bidi="zh-CN"/>
              </w:rPr>
              <w:t>工程量计量</w:t>
            </w:r>
          </w:p>
        </w:tc>
        <w:tc>
          <w:tcPr>
            <w:tcW w:w="1620" w:type="pct"/>
            <w:shd w:val="pct20" w:color="auto" w:fill="auto"/>
            <w:noWrap w:val="0"/>
            <w:vAlign w:val="center"/>
          </w:tcPr>
          <w:p w14:paraId="2BAF1A80">
            <w:pPr>
              <w:widowControl/>
              <w:autoSpaceDE w:val="0"/>
              <w:autoSpaceDN w:val="0"/>
              <w:spacing w:line="360" w:lineRule="auto"/>
              <w:jc w:val="center"/>
              <w:rPr>
                <w:rFonts w:ascii="Times New Roman" w:hAnsi="Times New Roman" w:cs="宋体"/>
                <w:b/>
                <w:bCs/>
                <w:kern w:val="0"/>
                <w:sz w:val="22"/>
                <w:szCs w:val="21"/>
                <w:highlight w:val="none"/>
                <w:lang w:val="zh-CN" w:bidi="zh-CN"/>
              </w:rPr>
            </w:pPr>
            <w:r>
              <w:rPr>
                <w:rFonts w:ascii="Times New Roman" w:hAnsi="Times New Roman" w:cs="宋体"/>
                <w:b/>
                <w:bCs/>
                <w:kern w:val="0"/>
                <w:sz w:val="22"/>
                <w:szCs w:val="21"/>
                <w:highlight w:val="none"/>
                <w:lang w:val="zh-CN" w:bidi="zh-CN"/>
              </w:rPr>
              <w:t>工程内容</w:t>
            </w:r>
          </w:p>
        </w:tc>
      </w:tr>
      <w:tr w14:paraId="35274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jc w:val="center"/>
        </w:trPr>
        <w:tc>
          <w:tcPr>
            <w:tcW w:w="632" w:type="pct"/>
            <w:noWrap w:val="0"/>
            <w:vAlign w:val="center"/>
          </w:tcPr>
          <w:p w14:paraId="06860C4E">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102-1</w:t>
            </w:r>
          </w:p>
        </w:tc>
        <w:tc>
          <w:tcPr>
            <w:tcW w:w="865" w:type="pct"/>
            <w:noWrap w:val="0"/>
            <w:vAlign w:val="center"/>
          </w:tcPr>
          <w:p w14:paraId="4233ADC3">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竣工文件</w:t>
            </w:r>
          </w:p>
        </w:tc>
        <w:tc>
          <w:tcPr>
            <w:tcW w:w="538" w:type="pct"/>
            <w:noWrap w:val="0"/>
            <w:vAlign w:val="center"/>
          </w:tcPr>
          <w:p w14:paraId="56F9F09E">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总额</w:t>
            </w:r>
          </w:p>
        </w:tc>
        <w:tc>
          <w:tcPr>
            <w:tcW w:w="1343" w:type="pct"/>
            <w:noWrap w:val="0"/>
            <w:vAlign w:val="center"/>
          </w:tcPr>
          <w:p w14:paraId="013F160D">
            <w:pPr>
              <w:widowControl/>
              <w:autoSpaceDE w:val="0"/>
              <w:autoSpaceDN w:val="0"/>
              <w:spacing w:line="360" w:lineRule="auto"/>
              <w:ind w:firstLine="220" w:firstLineChars="100"/>
              <w:jc w:val="left"/>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以总额为单位计量</w:t>
            </w:r>
          </w:p>
        </w:tc>
        <w:tc>
          <w:tcPr>
            <w:tcW w:w="1620" w:type="pct"/>
            <w:noWrap w:val="0"/>
            <w:vAlign w:val="center"/>
          </w:tcPr>
          <w:p w14:paraId="3A66556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按《公路工程竣（交）工验收办法》、《公路工程竣(交)工验收办法实施细则》及合同条款规定进行编制</w:t>
            </w:r>
          </w:p>
        </w:tc>
      </w:tr>
      <w:tr w14:paraId="22336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jc w:val="center"/>
        </w:trPr>
        <w:tc>
          <w:tcPr>
            <w:tcW w:w="632" w:type="pct"/>
            <w:noWrap w:val="0"/>
            <w:vAlign w:val="center"/>
          </w:tcPr>
          <w:p w14:paraId="5AD6C971">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102-2</w:t>
            </w:r>
          </w:p>
        </w:tc>
        <w:tc>
          <w:tcPr>
            <w:tcW w:w="865" w:type="pct"/>
            <w:noWrap w:val="0"/>
            <w:vAlign w:val="center"/>
          </w:tcPr>
          <w:p w14:paraId="6A836675">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施工环保费</w:t>
            </w:r>
          </w:p>
        </w:tc>
        <w:tc>
          <w:tcPr>
            <w:tcW w:w="538" w:type="pct"/>
            <w:noWrap w:val="0"/>
            <w:vAlign w:val="center"/>
          </w:tcPr>
          <w:p w14:paraId="3270EE1A">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总额</w:t>
            </w:r>
          </w:p>
        </w:tc>
        <w:tc>
          <w:tcPr>
            <w:tcW w:w="1343" w:type="pct"/>
            <w:noWrap w:val="0"/>
            <w:vAlign w:val="center"/>
          </w:tcPr>
          <w:p w14:paraId="0BB99AF4">
            <w:pPr>
              <w:widowControl/>
              <w:autoSpaceDE w:val="0"/>
              <w:autoSpaceDN w:val="0"/>
              <w:spacing w:line="360" w:lineRule="auto"/>
              <w:ind w:firstLine="220" w:firstLineChars="100"/>
              <w:jc w:val="left"/>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以总额为单位计量</w:t>
            </w:r>
          </w:p>
        </w:tc>
        <w:tc>
          <w:tcPr>
            <w:tcW w:w="1620" w:type="pct"/>
            <w:noWrap w:val="0"/>
            <w:vAlign w:val="center"/>
          </w:tcPr>
          <w:p w14:paraId="3F8EB28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严格遵守国家环境保护部门及合同条款的相关规定，落实环境保护。包括实施过程中直接的或间接的费用</w:t>
            </w:r>
          </w:p>
        </w:tc>
      </w:tr>
      <w:tr w14:paraId="3A368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9" w:hRule="atLeast"/>
          <w:jc w:val="center"/>
        </w:trPr>
        <w:tc>
          <w:tcPr>
            <w:tcW w:w="632" w:type="pct"/>
            <w:noWrap w:val="0"/>
            <w:vAlign w:val="center"/>
          </w:tcPr>
          <w:p w14:paraId="48CEE16D">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103-1</w:t>
            </w:r>
          </w:p>
        </w:tc>
        <w:tc>
          <w:tcPr>
            <w:tcW w:w="865" w:type="pct"/>
            <w:noWrap w:val="0"/>
            <w:vAlign w:val="center"/>
          </w:tcPr>
          <w:p w14:paraId="0E8F6EE6">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临时道路修建、养护与拆除（包括原道路的养</w:t>
            </w:r>
          </w:p>
          <w:p w14:paraId="57D2D2D8">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护）</w:t>
            </w:r>
          </w:p>
        </w:tc>
        <w:tc>
          <w:tcPr>
            <w:tcW w:w="538" w:type="pct"/>
            <w:noWrap w:val="0"/>
            <w:vAlign w:val="center"/>
          </w:tcPr>
          <w:p w14:paraId="44C4C1A2">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总额</w:t>
            </w:r>
          </w:p>
        </w:tc>
        <w:tc>
          <w:tcPr>
            <w:tcW w:w="1343" w:type="pct"/>
            <w:noWrap w:val="0"/>
            <w:vAlign w:val="center"/>
          </w:tcPr>
          <w:p w14:paraId="5979A13A">
            <w:pPr>
              <w:widowControl/>
              <w:autoSpaceDE w:val="0"/>
              <w:autoSpaceDN w:val="0"/>
              <w:spacing w:line="360" w:lineRule="auto"/>
              <w:ind w:firstLine="220" w:firstLineChars="100"/>
              <w:jc w:val="left"/>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以总额为单位计量</w:t>
            </w:r>
          </w:p>
        </w:tc>
        <w:tc>
          <w:tcPr>
            <w:tcW w:w="1620" w:type="pct"/>
            <w:noWrap w:val="0"/>
            <w:vAlign w:val="center"/>
          </w:tcPr>
          <w:p w14:paraId="4C6A0A0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承包人根据要求和需要修建的社会交通便道和施工现场的便道、便桥（涵），并设置必要的交通标志，便道应加强养护、降低扬尘。施工结束时，原有道路应做一次全面维修保养，临时增加的道路应拆除，并经检验合格</w:t>
            </w:r>
          </w:p>
        </w:tc>
      </w:tr>
      <w:tr w14:paraId="623D9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jc w:val="center"/>
        </w:trPr>
        <w:tc>
          <w:tcPr>
            <w:tcW w:w="632" w:type="pct"/>
            <w:noWrap w:val="0"/>
            <w:vAlign w:val="center"/>
          </w:tcPr>
          <w:p w14:paraId="7E2991BE">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103-2</w:t>
            </w:r>
          </w:p>
        </w:tc>
        <w:tc>
          <w:tcPr>
            <w:tcW w:w="865" w:type="pct"/>
            <w:noWrap w:val="0"/>
            <w:vAlign w:val="center"/>
          </w:tcPr>
          <w:p w14:paraId="338DEC3D">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临时工程用地</w:t>
            </w:r>
          </w:p>
        </w:tc>
        <w:tc>
          <w:tcPr>
            <w:tcW w:w="538" w:type="pct"/>
            <w:noWrap w:val="0"/>
            <w:vAlign w:val="center"/>
          </w:tcPr>
          <w:p w14:paraId="48E676E5">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总额</w:t>
            </w:r>
          </w:p>
        </w:tc>
        <w:tc>
          <w:tcPr>
            <w:tcW w:w="1343" w:type="pct"/>
            <w:noWrap w:val="0"/>
            <w:vAlign w:val="center"/>
          </w:tcPr>
          <w:p w14:paraId="3095B280">
            <w:pPr>
              <w:widowControl/>
              <w:autoSpaceDE w:val="0"/>
              <w:autoSpaceDN w:val="0"/>
              <w:spacing w:line="360" w:lineRule="auto"/>
              <w:ind w:firstLine="220" w:firstLineChars="100"/>
              <w:jc w:val="left"/>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以总额为单位计量</w:t>
            </w:r>
          </w:p>
        </w:tc>
        <w:tc>
          <w:tcPr>
            <w:tcW w:w="1620" w:type="pct"/>
            <w:noWrap w:val="0"/>
            <w:vAlign w:val="center"/>
          </w:tcPr>
          <w:p w14:paraId="6328DD3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w:t>
            </w:r>
            <w:r>
              <w:rPr>
                <w:rFonts w:ascii="Times New Roman" w:hAnsi="Times New Roman" w:cs="宋体"/>
                <w:kern w:val="0"/>
                <w:sz w:val="22"/>
                <w:szCs w:val="21"/>
                <w:highlight w:val="none"/>
                <w:lang w:val="zh-CN" w:bidi="zh-CN"/>
              </w:rPr>
              <w:t>临时占地包含承包人生产、生活用地，施工中的取、弃土场及料场用地，临时工程及附属工作临时用地等。</w:t>
            </w:r>
          </w:p>
          <w:p w14:paraId="69145AF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w:t>
            </w:r>
            <w:r>
              <w:rPr>
                <w:rFonts w:ascii="Times New Roman" w:hAnsi="Times New Roman" w:cs="宋体"/>
                <w:kern w:val="0"/>
                <w:sz w:val="22"/>
                <w:szCs w:val="21"/>
                <w:highlight w:val="none"/>
                <w:lang w:val="zh-CN" w:bidi="zh-CN"/>
              </w:rPr>
              <w:t>临时占地由承包人向当地政府土地管理部门申请，并办理租用手续，承包人按有关规定直接支付其费用，发包人对此将予以协调。</w:t>
            </w:r>
          </w:p>
          <w:p w14:paraId="4274077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w:t>
            </w:r>
            <w:r>
              <w:rPr>
                <w:rFonts w:ascii="Times New Roman" w:hAnsi="Times New Roman" w:cs="宋体"/>
                <w:kern w:val="0"/>
                <w:sz w:val="22"/>
                <w:szCs w:val="21"/>
                <w:highlight w:val="none"/>
                <w:lang w:val="zh-CN" w:bidi="zh-CN"/>
              </w:rPr>
              <w:t>临时占地退还前，承包人应自费恢复到临时占地使用前的状态。如因承包人撤离后未按要求对临时占地进行恢复或虽进行了恢复但未达到使用标准的， 将由发包人委托第三方对其恢复，所发生的费用将从应付给承包人的任何款项内扣除。</w:t>
            </w:r>
          </w:p>
        </w:tc>
      </w:tr>
      <w:tr w14:paraId="2531E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9" w:hRule="atLeast"/>
          <w:jc w:val="center"/>
        </w:trPr>
        <w:tc>
          <w:tcPr>
            <w:tcW w:w="632" w:type="pct"/>
            <w:noWrap w:val="0"/>
            <w:vAlign w:val="center"/>
          </w:tcPr>
          <w:p w14:paraId="64FB258E">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103-3</w:t>
            </w:r>
          </w:p>
        </w:tc>
        <w:tc>
          <w:tcPr>
            <w:tcW w:w="865" w:type="pct"/>
            <w:noWrap w:val="0"/>
            <w:vAlign w:val="center"/>
          </w:tcPr>
          <w:p w14:paraId="16BBB911">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临时供电设施架设、维护与拆除</w:t>
            </w:r>
          </w:p>
        </w:tc>
        <w:tc>
          <w:tcPr>
            <w:tcW w:w="538" w:type="pct"/>
            <w:noWrap w:val="0"/>
            <w:vAlign w:val="center"/>
          </w:tcPr>
          <w:p w14:paraId="18587844">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总额</w:t>
            </w:r>
          </w:p>
        </w:tc>
        <w:tc>
          <w:tcPr>
            <w:tcW w:w="1343" w:type="pct"/>
            <w:noWrap w:val="0"/>
            <w:vAlign w:val="center"/>
          </w:tcPr>
          <w:p w14:paraId="7735BCF8">
            <w:pPr>
              <w:widowControl/>
              <w:autoSpaceDE w:val="0"/>
              <w:autoSpaceDN w:val="0"/>
              <w:spacing w:line="360" w:lineRule="auto"/>
              <w:ind w:firstLine="220" w:firstLineChars="100"/>
              <w:jc w:val="left"/>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以总额为单位计量</w:t>
            </w:r>
          </w:p>
        </w:tc>
        <w:tc>
          <w:tcPr>
            <w:tcW w:w="1620" w:type="pct"/>
            <w:noWrap w:val="0"/>
            <w:vAlign w:val="center"/>
          </w:tcPr>
          <w:p w14:paraId="529C0B4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承包人应当在发包人的协助下，与当地电力部门联系，建立临时电力系统，并配备发电设备作为备用电源，并承担安装、操作、维修、燃料等相关工作及费用。工程交工后，承包人应负责拆除所安装设备及系统，恢复到工程实施前的状态。</w:t>
            </w:r>
          </w:p>
        </w:tc>
      </w:tr>
      <w:tr w14:paraId="405A3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jc w:val="center"/>
        </w:trPr>
        <w:tc>
          <w:tcPr>
            <w:tcW w:w="632" w:type="pct"/>
            <w:noWrap w:val="0"/>
            <w:vAlign w:val="center"/>
          </w:tcPr>
          <w:p w14:paraId="65CEF9E3">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103-4</w:t>
            </w:r>
          </w:p>
        </w:tc>
        <w:tc>
          <w:tcPr>
            <w:tcW w:w="865" w:type="pct"/>
            <w:noWrap w:val="0"/>
            <w:vAlign w:val="center"/>
          </w:tcPr>
          <w:p w14:paraId="3A898C9B">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电信设施的提</w:t>
            </w:r>
          </w:p>
          <w:p w14:paraId="08DA91B6">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供、维修与拆除</w:t>
            </w:r>
          </w:p>
        </w:tc>
        <w:tc>
          <w:tcPr>
            <w:tcW w:w="538" w:type="pct"/>
            <w:noWrap w:val="0"/>
            <w:vAlign w:val="center"/>
          </w:tcPr>
          <w:p w14:paraId="5D63D8C7">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总额</w:t>
            </w:r>
          </w:p>
        </w:tc>
        <w:tc>
          <w:tcPr>
            <w:tcW w:w="1343" w:type="pct"/>
            <w:noWrap w:val="0"/>
            <w:vAlign w:val="center"/>
          </w:tcPr>
          <w:p w14:paraId="48759B71">
            <w:pPr>
              <w:widowControl/>
              <w:autoSpaceDE w:val="0"/>
              <w:autoSpaceDN w:val="0"/>
              <w:spacing w:line="360" w:lineRule="auto"/>
              <w:ind w:firstLine="220" w:firstLineChars="100"/>
              <w:jc w:val="left"/>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以总额为单位计量</w:t>
            </w:r>
          </w:p>
        </w:tc>
        <w:tc>
          <w:tcPr>
            <w:tcW w:w="1620" w:type="pct"/>
            <w:noWrap w:val="0"/>
            <w:vAlign w:val="center"/>
          </w:tcPr>
          <w:p w14:paraId="08363C9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承包人应当在发包人的协助下，与当地电信部门联系，建立临时电信系统，并承担安装、操作、维修等相关工作及费用。工程交工后，承包人应负责拆除所安装设备及系统，恢复到工程实施前的状态。</w:t>
            </w:r>
          </w:p>
        </w:tc>
      </w:tr>
      <w:tr w14:paraId="077D1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jc w:val="center"/>
        </w:trPr>
        <w:tc>
          <w:tcPr>
            <w:tcW w:w="632" w:type="pct"/>
            <w:noWrap w:val="0"/>
            <w:vAlign w:val="center"/>
          </w:tcPr>
          <w:p w14:paraId="36E90CEC">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103-5</w:t>
            </w:r>
          </w:p>
        </w:tc>
        <w:tc>
          <w:tcPr>
            <w:tcW w:w="865" w:type="pct"/>
            <w:noWrap w:val="0"/>
            <w:vAlign w:val="center"/>
          </w:tcPr>
          <w:p w14:paraId="3837A0A4">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临时供水与排污设施</w:t>
            </w:r>
          </w:p>
        </w:tc>
        <w:tc>
          <w:tcPr>
            <w:tcW w:w="538" w:type="pct"/>
            <w:noWrap w:val="0"/>
            <w:vAlign w:val="center"/>
          </w:tcPr>
          <w:p w14:paraId="0AB49610">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总额</w:t>
            </w:r>
          </w:p>
        </w:tc>
        <w:tc>
          <w:tcPr>
            <w:tcW w:w="1343" w:type="pct"/>
            <w:noWrap w:val="0"/>
            <w:vAlign w:val="center"/>
          </w:tcPr>
          <w:p w14:paraId="30BD528A">
            <w:pPr>
              <w:widowControl/>
              <w:autoSpaceDE w:val="0"/>
              <w:autoSpaceDN w:val="0"/>
              <w:spacing w:line="360" w:lineRule="auto"/>
              <w:ind w:firstLine="220" w:firstLineChars="100"/>
              <w:jc w:val="left"/>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以总额为单位计量</w:t>
            </w:r>
          </w:p>
        </w:tc>
        <w:tc>
          <w:tcPr>
            <w:tcW w:w="1620" w:type="pct"/>
            <w:noWrap w:val="0"/>
            <w:vAlign w:val="center"/>
          </w:tcPr>
          <w:p w14:paraId="1CCFE2B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w:t>
            </w:r>
            <w:r>
              <w:rPr>
                <w:rFonts w:ascii="Times New Roman" w:hAnsi="Times New Roman" w:cs="宋体"/>
                <w:kern w:val="0"/>
                <w:sz w:val="22"/>
                <w:szCs w:val="21"/>
                <w:highlight w:val="none"/>
                <w:lang w:val="zh-CN" w:bidi="zh-CN"/>
              </w:rPr>
              <w:t>承包人应负责提供、安装和保养全部施工和生活用水设施， 保证按施工和生活用水标准供水，并承担相关费用；工程交工后，承包人应拆除全部临时供水设施；</w:t>
            </w:r>
          </w:p>
          <w:p w14:paraId="59AF1BD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w:t>
            </w:r>
            <w:r>
              <w:rPr>
                <w:rFonts w:ascii="Times New Roman" w:hAnsi="Times New Roman" w:cs="宋体"/>
                <w:kern w:val="0"/>
                <w:sz w:val="22"/>
                <w:szCs w:val="21"/>
                <w:highlight w:val="none"/>
                <w:lang w:val="zh-CN" w:bidi="zh-CN"/>
              </w:rPr>
              <w:t>承包人应负责安装、维修和管理临时排污系统，并按国家相关标准实施排放施工和生活的污水、废水，并承担相关费用；工程交工后，承包人应拆除全部临时排污设施</w:t>
            </w:r>
          </w:p>
        </w:tc>
      </w:tr>
      <w:tr w14:paraId="578FC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1" w:hRule="atLeast"/>
          <w:jc w:val="center"/>
        </w:trPr>
        <w:tc>
          <w:tcPr>
            <w:tcW w:w="632" w:type="pct"/>
            <w:noWrap w:val="0"/>
            <w:vAlign w:val="center"/>
          </w:tcPr>
          <w:p w14:paraId="4D558F01">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104-1</w:t>
            </w:r>
          </w:p>
        </w:tc>
        <w:tc>
          <w:tcPr>
            <w:tcW w:w="865" w:type="pct"/>
            <w:noWrap w:val="0"/>
            <w:vAlign w:val="center"/>
          </w:tcPr>
          <w:p w14:paraId="50EC47D6">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承包人驻地建设</w:t>
            </w:r>
          </w:p>
        </w:tc>
        <w:tc>
          <w:tcPr>
            <w:tcW w:w="538" w:type="pct"/>
            <w:noWrap w:val="0"/>
            <w:vAlign w:val="center"/>
          </w:tcPr>
          <w:p w14:paraId="744BA3BA">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总额</w:t>
            </w:r>
          </w:p>
        </w:tc>
        <w:tc>
          <w:tcPr>
            <w:tcW w:w="1343" w:type="pct"/>
            <w:noWrap w:val="0"/>
            <w:vAlign w:val="center"/>
          </w:tcPr>
          <w:p w14:paraId="0F481BFF">
            <w:pPr>
              <w:widowControl/>
              <w:autoSpaceDE w:val="0"/>
              <w:autoSpaceDN w:val="0"/>
              <w:spacing w:line="360" w:lineRule="auto"/>
              <w:ind w:firstLine="220" w:firstLineChars="100"/>
              <w:jc w:val="left"/>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以总额为单位计量</w:t>
            </w:r>
          </w:p>
        </w:tc>
        <w:tc>
          <w:tcPr>
            <w:tcW w:w="1620" w:type="pct"/>
            <w:noWrap w:val="0"/>
            <w:vAlign w:val="center"/>
          </w:tcPr>
          <w:p w14:paraId="59B98BD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w:t>
            </w:r>
            <w:r>
              <w:rPr>
                <w:rFonts w:ascii="Times New Roman" w:hAnsi="Times New Roman" w:cs="宋体"/>
                <w:kern w:val="0"/>
                <w:sz w:val="22"/>
                <w:szCs w:val="21"/>
                <w:highlight w:val="none"/>
                <w:lang w:val="zh-CN" w:bidi="zh-CN"/>
              </w:rPr>
              <w:t>承包人驻地建设包括：施工与管理所需的办公室、住房、工地试验室、车间、工作场地、预制场地、仓库与储料场、拌和场、医疗卫生与消防设施等；</w:t>
            </w:r>
          </w:p>
          <w:p w14:paraId="752C563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w:t>
            </w:r>
            <w:r>
              <w:rPr>
                <w:rFonts w:ascii="Times New Roman" w:hAnsi="Times New Roman" w:cs="宋体"/>
                <w:kern w:val="0"/>
                <w:sz w:val="22"/>
                <w:szCs w:val="21"/>
                <w:highlight w:val="none"/>
                <w:lang w:val="zh-CN" w:bidi="zh-CN"/>
              </w:rPr>
              <w:t>驻地的建设、管理与维护；</w:t>
            </w:r>
          </w:p>
          <w:p w14:paraId="6590C9A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w:t>
            </w:r>
            <w:r>
              <w:rPr>
                <w:rFonts w:ascii="Times New Roman" w:hAnsi="Times New Roman" w:cs="宋体"/>
                <w:kern w:val="0"/>
                <w:sz w:val="22"/>
                <w:szCs w:val="21"/>
                <w:highlight w:val="none"/>
                <w:lang w:val="zh-CN" w:bidi="zh-CN"/>
              </w:rPr>
              <w:t>工程交工后，按照合同或协议要求将驻地移走、清除、恢复原貌</w:t>
            </w:r>
          </w:p>
        </w:tc>
      </w:tr>
      <w:tr w14:paraId="57268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6" w:hRule="atLeast"/>
          <w:jc w:val="center"/>
        </w:trPr>
        <w:tc>
          <w:tcPr>
            <w:tcW w:w="632" w:type="pct"/>
            <w:noWrap w:val="0"/>
            <w:vAlign w:val="center"/>
          </w:tcPr>
          <w:p w14:paraId="62A6F5AD">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105-1</w:t>
            </w:r>
          </w:p>
        </w:tc>
        <w:tc>
          <w:tcPr>
            <w:tcW w:w="865" w:type="pct"/>
            <w:noWrap w:val="0"/>
            <w:vAlign w:val="center"/>
          </w:tcPr>
          <w:p w14:paraId="4434C396">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安全生产费</w:t>
            </w:r>
          </w:p>
        </w:tc>
        <w:tc>
          <w:tcPr>
            <w:tcW w:w="538" w:type="pct"/>
            <w:noWrap w:val="0"/>
            <w:vAlign w:val="center"/>
          </w:tcPr>
          <w:p w14:paraId="5005B2D0">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总额</w:t>
            </w:r>
          </w:p>
        </w:tc>
        <w:tc>
          <w:tcPr>
            <w:tcW w:w="1343" w:type="pct"/>
            <w:noWrap w:val="0"/>
            <w:vAlign w:val="center"/>
          </w:tcPr>
          <w:p w14:paraId="0E2918F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按投标价（不含安全生产费）的1.5%（若招标人公布了最高投标限价时，按最高投标限价的 1.5%）以总额为单位计量</w:t>
            </w:r>
          </w:p>
        </w:tc>
        <w:tc>
          <w:tcPr>
            <w:tcW w:w="1620" w:type="pct"/>
            <w:noWrap w:val="0"/>
            <w:vAlign w:val="center"/>
          </w:tcPr>
          <w:p w14:paraId="53B77F2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按《中华人民共和国安全生产法》、《建设工程安全生产管理条例》、《公路水运工程安全生产监督管理办法》、《公路工程施工安全技术规范》（JTG</w:t>
            </w:r>
            <w:r>
              <w:rPr>
                <w:rFonts w:hint="eastAsia" w:ascii="Times New Roman" w:hAnsi="Times New Roman" w:cs="宋体"/>
                <w:kern w:val="0"/>
                <w:sz w:val="22"/>
                <w:szCs w:val="21"/>
                <w:highlight w:val="none"/>
                <w:lang w:val="zh-CN" w:bidi="zh-CN"/>
              </w:rPr>
              <w:t xml:space="preserve">  </w:t>
            </w:r>
            <w:r>
              <w:rPr>
                <w:rFonts w:ascii="Times New Roman" w:hAnsi="Times New Roman" w:cs="宋体"/>
                <w:kern w:val="0"/>
                <w:sz w:val="22"/>
                <w:szCs w:val="21"/>
                <w:highlight w:val="none"/>
                <w:lang w:val="zh-CN" w:bidi="zh-CN"/>
              </w:rPr>
              <w:t>F90-2015）及合同条款规定落实安全生产</w:t>
            </w:r>
          </w:p>
        </w:tc>
      </w:tr>
    </w:tbl>
    <w:p w14:paraId="26DF1D70">
      <w:pPr>
        <w:widowControl/>
        <w:autoSpaceDE w:val="0"/>
        <w:autoSpaceDN w:val="0"/>
        <w:spacing w:line="360" w:lineRule="auto"/>
        <w:jc w:val="center"/>
        <w:rPr>
          <w:rFonts w:ascii="Times New Roman" w:hAnsi="Times New Roman" w:cs="宋体"/>
          <w:kern w:val="0"/>
          <w:sz w:val="32"/>
          <w:szCs w:val="32"/>
          <w:highlight w:val="none"/>
          <w:lang w:val="zh-CN" w:bidi="zh-CN"/>
        </w:rPr>
      </w:pPr>
    </w:p>
    <w:p w14:paraId="075F737E">
      <w:pPr>
        <w:widowControl/>
        <w:autoSpaceDE w:val="0"/>
        <w:autoSpaceDN w:val="0"/>
        <w:spacing w:line="360" w:lineRule="auto"/>
        <w:jc w:val="center"/>
        <w:rPr>
          <w:rFonts w:ascii="Times New Roman" w:hAnsi="Times New Roman" w:cs="宋体"/>
          <w:kern w:val="0"/>
          <w:sz w:val="32"/>
          <w:szCs w:val="32"/>
          <w:highlight w:val="none"/>
          <w:lang w:val="zh-CN" w:bidi="zh-CN"/>
        </w:rPr>
      </w:pPr>
      <w:r>
        <w:rPr>
          <w:rFonts w:ascii="Times New Roman" w:hAnsi="Times New Roman" w:cs="宋体"/>
          <w:kern w:val="0"/>
          <w:sz w:val="32"/>
          <w:szCs w:val="32"/>
          <w:highlight w:val="none"/>
          <w:lang w:val="zh-CN" w:bidi="zh-CN"/>
        </w:rPr>
        <w:br w:type="page"/>
      </w:r>
      <w:r>
        <w:rPr>
          <w:rFonts w:ascii="Times New Roman" w:hAnsi="Times New Roman" w:cs="宋体"/>
          <w:kern w:val="0"/>
          <w:sz w:val="32"/>
          <w:szCs w:val="32"/>
          <w:highlight w:val="none"/>
          <w:lang w:val="zh-CN" w:bidi="zh-CN"/>
        </w:rPr>
        <w:t>第 200 章 路基</w:t>
      </w:r>
    </w:p>
    <w:tbl>
      <w:tblPr>
        <w:tblStyle w:val="30"/>
        <w:tblW w:w="503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5"/>
        <w:gridCol w:w="1821"/>
        <w:gridCol w:w="1090"/>
        <w:gridCol w:w="3385"/>
        <w:gridCol w:w="1760"/>
      </w:tblGrid>
      <w:tr w14:paraId="1C82A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574" w:type="pct"/>
            <w:shd w:val="pct20" w:color="auto" w:fill="auto"/>
            <w:noWrap w:val="0"/>
            <w:vAlign w:val="center"/>
          </w:tcPr>
          <w:p w14:paraId="0F717F61">
            <w:pPr>
              <w:widowControl/>
              <w:autoSpaceDE w:val="0"/>
              <w:autoSpaceDN w:val="0"/>
              <w:spacing w:line="360" w:lineRule="auto"/>
              <w:jc w:val="center"/>
              <w:rPr>
                <w:rFonts w:ascii="Times New Roman" w:hAnsi="Times New Roman" w:cs="宋体"/>
                <w:b/>
                <w:bCs/>
                <w:kern w:val="0"/>
                <w:sz w:val="22"/>
                <w:szCs w:val="21"/>
                <w:highlight w:val="none"/>
                <w:lang w:val="zh-CN" w:bidi="zh-CN"/>
              </w:rPr>
            </w:pPr>
            <w:r>
              <w:rPr>
                <w:rFonts w:ascii="Times New Roman" w:hAnsi="Times New Roman" w:cs="宋体"/>
                <w:b/>
                <w:bCs/>
                <w:kern w:val="0"/>
                <w:sz w:val="22"/>
                <w:szCs w:val="21"/>
                <w:highlight w:val="none"/>
                <w:lang w:val="zh-CN" w:bidi="zh-CN"/>
              </w:rPr>
              <w:t>子目号</w:t>
            </w:r>
          </w:p>
        </w:tc>
        <w:tc>
          <w:tcPr>
            <w:tcW w:w="1000" w:type="pct"/>
            <w:shd w:val="pct20" w:color="auto" w:fill="auto"/>
            <w:noWrap w:val="0"/>
            <w:vAlign w:val="center"/>
          </w:tcPr>
          <w:p w14:paraId="1C617B68">
            <w:pPr>
              <w:widowControl/>
              <w:autoSpaceDE w:val="0"/>
              <w:autoSpaceDN w:val="0"/>
              <w:spacing w:line="360" w:lineRule="auto"/>
              <w:jc w:val="center"/>
              <w:rPr>
                <w:rFonts w:ascii="Times New Roman" w:hAnsi="Times New Roman" w:cs="宋体"/>
                <w:b/>
                <w:bCs/>
                <w:kern w:val="0"/>
                <w:sz w:val="22"/>
                <w:szCs w:val="21"/>
                <w:highlight w:val="none"/>
                <w:lang w:val="zh-CN" w:bidi="zh-CN"/>
              </w:rPr>
            </w:pPr>
            <w:r>
              <w:rPr>
                <w:rFonts w:ascii="Times New Roman" w:hAnsi="Times New Roman" w:cs="宋体"/>
                <w:b/>
                <w:bCs/>
                <w:kern w:val="0"/>
                <w:sz w:val="22"/>
                <w:szCs w:val="21"/>
                <w:highlight w:val="none"/>
                <w:lang w:val="zh-CN" w:bidi="zh-CN"/>
              </w:rPr>
              <w:t>子目名称</w:t>
            </w:r>
          </w:p>
        </w:tc>
        <w:tc>
          <w:tcPr>
            <w:tcW w:w="598" w:type="pct"/>
            <w:shd w:val="pct20" w:color="auto" w:fill="auto"/>
            <w:noWrap w:val="0"/>
            <w:vAlign w:val="center"/>
          </w:tcPr>
          <w:p w14:paraId="22EC9E26">
            <w:pPr>
              <w:widowControl/>
              <w:autoSpaceDE w:val="0"/>
              <w:autoSpaceDN w:val="0"/>
              <w:spacing w:line="360" w:lineRule="auto"/>
              <w:jc w:val="center"/>
              <w:rPr>
                <w:rFonts w:ascii="Times New Roman" w:hAnsi="Times New Roman" w:cs="宋体"/>
                <w:b/>
                <w:bCs/>
                <w:kern w:val="0"/>
                <w:sz w:val="22"/>
                <w:szCs w:val="21"/>
                <w:highlight w:val="none"/>
                <w:lang w:val="zh-CN" w:bidi="zh-CN"/>
              </w:rPr>
            </w:pPr>
            <w:r>
              <w:rPr>
                <w:rFonts w:ascii="Times New Roman" w:hAnsi="Times New Roman" w:cs="宋体"/>
                <w:b/>
                <w:bCs/>
                <w:kern w:val="0"/>
                <w:sz w:val="22"/>
                <w:szCs w:val="21"/>
                <w:highlight w:val="none"/>
                <w:lang w:val="zh-CN" w:bidi="zh-CN"/>
              </w:rPr>
              <w:t>单位</w:t>
            </w:r>
          </w:p>
        </w:tc>
        <w:tc>
          <w:tcPr>
            <w:tcW w:w="1859" w:type="pct"/>
            <w:shd w:val="pct20" w:color="auto" w:fill="auto"/>
            <w:noWrap w:val="0"/>
            <w:vAlign w:val="center"/>
          </w:tcPr>
          <w:p w14:paraId="320C3C46">
            <w:pPr>
              <w:widowControl/>
              <w:autoSpaceDE w:val="0"/>
              <w:autoSpaceDN w:val="0"/>
              <w:spacing w:line="360" w:lineRule="auto"/>
              <w:jc w:val="center"/>
              <w:rPr>
                <w:rFonts w:ascii="Times New Roman" w:hAnsi="Times New Roman" w:cs="宋体"/>
                <w:b/>
                <w:bCs/>
                <w:kern w:val="0"/>
                <w:sz w:val="22"/>
                <w:szCs w:val="21"/>
                <w:highlight w:val="none"/>
                <w:lang w:val="zh-CN" w:bidi="zh-CN"/>
              </w:rPr>
            </w:pPr>
            <w:r>
              <w:rPr>
                <w:rFonts w:ascii="Times New Roman" w:hAnsi="Times New Roman" w:cs="宋体"/>
                <w:b/>
                <w:bCs/>
                <w:kern w:val="0"/>
                <w:sz w:val="22"/>
                <w:szCs w:val="21"/>
                <w:highlight w:val="none"/>
                <w:lang w:val="zh-CN" w:bidi="zh-CN"/>
              </w:rPr>
              <w:t>工程量计量</w:t>
            </w:r>
          </w:p>
        </w:tc>
        <w:tc>
          <w:tcPr>
            <w:tcW w:w="966" w:type="pct"/>
            <w:shd w:val="pct20" w:color="auto" w:fill="auto"/>
            <w:noWrap w:val="0"/>
            <w:vAlign w:val="center"/>
          </w:tcPr>
          <w:p w14:paraId="316BEBFA">
            <w:pPr>
              <w:widowControl/>
              <w:autoSpaceDE w:val="0"/>
              <w:autoSpaceDN w:val="0"/>
              <w:spacing w:line="360" w:lineRule="auto"/>
              <w:jc w:val="center"/>
              <w:rPr>
                <w:rFonts w:ascii="Times New Roman" w:hAnsi="Times New Roman" w:cs="宋体"/>
                <w:b/>
                <w:bCs/>
                <w:kern w:val="0"/>
                <w:sz w:val="22"/>
                <w:szCs w:val="21"/>
                <w:highlight w:val="none"/>
                <w:lang w:val="zh-CN" w:bidi="zh-CN"/>
              </w:rPr>
            </w:pPr>
            <w:r>
              <w:rPr>
                <w:rFonts w:ascii="Times New Roman" w:hAnsi="Times New Roman" w:cs="宋体"/>
                <w:b/>
                <w:bCs/>
                <w:kern w:val="0"/>
                <w:sz w:val="22"/>
                <w:szCs w:val="21"/>
                <w:highlight w:val="none"/>
                <w:lang w:val="zh-CN" w:bidi="zh-CN"/>
              </w:rPr>
              <w:t>工程内容</w:t>
            </w:r>
          </w:p>
        </w:tc>
      </w:tr>
      <w:tr w14:paraId="4F028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434BBE63">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202-1</w:t>
            </w:r>
          </w:p>
        </w:tc>
        <w:tc>
          <w:tcPr>
            <w:tcW w:w="1000" w:type="pct"/>
            <w:noWrap w:val="0"/>
            <w:vAlign w:val="center"/>
          </w:tcPr>
          <w:p w14:paraId="0762E13D">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清理与掘除</w:t>
            </w:r>
          </w:p>
        </w:tc>
        <w:tc>
          <w:tcPr>
            <w:tcW w:w="598" w:type="pct"/>
            <w:noWrap w:val="0"/>
            <w:vAlign w:val="center"/>
          </w:tcPr>
          <w:p w14:paraId="10006C23">
            <w:pPr>
              <w:widowControl/>
              <w:autoSpaceDE w:val="0"/>
              <w:autoSpaceDN w:val="0"/>
              <w:spacing w:line="360" w:lineRule="auto"/>
              <w:jc w:val="center"/>
              <w:rPr>
                <w:rFonts w:ascii="Times New Roman" w:hAnsi="Times New Roman" w:cs="宋体"/>
                <w:kern w:val="0"/>
                <w:sz w:val="22"/>
                <w:szCs w:val="21"/>
                <w:highlight w:val="none"/>
                <w:lang w:val="zh-CN" w:bidi="zh-CN"/>
              </w:rPr>
            </w:pPr>
          </w:p>
        </w:tc>
        <w:tc>
          <w:tcPr>
            <w:tcW w:w="1859" w:type="pct"/>
            <w:noWrap w:val="0"/>
            <w:vAlign w:val="center"/>
          </w:tcPr>
          <w:p w14:paraId="28EFF934">
            <w:pPr>
              <w:widowControl/>
              <w:autoSpaceDE w:val="0"/>
              <w:autoSpaceDN w:val="0"/>
              <w:spacing w:line="360" w:lineRule="auto"/>
              <w:jc w:val="left"/>
              <w:rPr>
                <w:rFonts w:ascii="Times New Roman" w:hAnsi="Times New Roman" w:cs="宋体"/>
                <w:kern w:val="0"/>
                <w:sz w:val="22"/>
                <w:szCs w:val="21"/>
                <w:highlight w:val="none"/>
                <w:lang w:val="zh-CN" w:bidi="zh-CN"/>
              </w:rPr>
            </w:pPr>
          </w:p>
        </w:tc>
        <w:tc>
          <w:tcPr>
            <w:tcW w:w="966" w:type="pct"/>
            <w:noWrap w:val="0"/>
            <w:vAlign w:val="center"/>
          </w:tcPr>
          <w:p w14:paraId="5FAFD5FA">
            <w:pPr>
              <w:widowControl/>
              <w:autoSpaceDE w:val="0"/>
              <w:autoSpaceDN w:val="0"/>
              <w:spacing w:line="360" w:lineRule="auto"/>
              <w:jc w:val="left"/>
              <w:rPr>
                <w:rFonts w:ascii="Times New Roman" w:hAnsi="Times New Roman" w:cs="宋体"/>
                <w:kern w:val="0"/>
                <w:sz w:val="22"/>
                <w:szCs w:val="21"/>
                <w:highlight w:val="none"/>
                <w:lang w:val="zh-CN" w:bidi="zh-CN"/>
              </w:rPr>
            </w:pPr>
          </w:p>
        </w:tc>
      </w:tr>
      <w:tr w14:paraId="143B0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2" w:hRule="atLeast"/>
          <w:jc w:val="center"/>
        </w:trPr>
        <w:tc>
          <w:tcPr>
            <w:tcW w:w="574" w:type="pct"/>
            <w:noWrap w:val="0"/>
            <w:vAlign w:val="center"/>
          </w:tcPr>
          <w:p w14:paraId="4A35BD42">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-a</w:t>
            </w:r>
          </w:p>
        </w:tc>
        <w:tc>
          <w:tcPr>
            <w:tcW w:w="1000" w:type="pct"/>
            <w:noWrap w:val="0"/>
            <w:vAlign w:val="center"/>
          </w:tcPr>
          <w:p w14:paraId="7BF51E0D">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清理现场</w:t>
            </w:r>
          </w:p>
        </w:tc>
        <w:tc>
          <w:tcPr>
            <w:tcW w:w="598" w:type="pct"/>
            <w:noWrap w:val="0"/>
            <w:vAlign w:val="center"/>
          </w:tcPr>
          <w:p w14:paraId="48230C91">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²</w:t>
            </w:r>
          </w:p>
        </w:tc>
        <w:tc>
          <w:tcPr>
            <w:tcW w:w="1859" w:type="pct"/>
            <w:noWrap w:val="0"/>
            <w:vAlign w:val="center"/>
          </w:tcPr>
          <w:p w14:paraId="6E22DD1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w:t>
            </w:r>
            <w:r>
              <w:rPr>
                <w:rFonts w:ascii="Times New Roman" w:hAnsi="Times New Roman" w:cs="宋体"/>
                <w:kern w:val="0"/>
                <w:sz w:val="22"/>
                <w:szCs w:val="21"/>
                <w:highlight w:val="none"/>
                <w:lang w:val="zh-CN" w:bidi="zh-CN"/>
              </w:rPr>
              <w:t>依据图纸所示位置及范围（路基范围以外临时工程用 地清场等除外），按路基开挖线或填筑边线之间的水平投影面积以平方米为单位计量；</w:t>
            </w:r>
          </w:p>
          <w:p w14:paraId="7B31A41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w:t>
            </w:r>
            <w:r>
              <w:rPr>
                <w:rFonts w:ascii="Times New Roman" w:hAnsi="Times New Roman" w:cs="宋体"/>
                <w:kern w:val="0"/>
                <w:sz w:val="22"/>
                <w:szCs w:val="21"/>
                <w:highlight w:val="none"/>
                <w:lang w:val="zh-CN" w:bidi="zh-CN"/>
              </w:rPr>
              <w:t>因压实而产生的下沉量，不另行计量</w:t>
            </w:r>
          </w:p>
        </w:tc>
        <w:tc>
          <w:tcPr>
            <w:tcW w:w="966" w:type="pct"/>
            <w:noWrap w:val="0"/>
            <w:vAlign w:val="center"/>
          </w:tcPr>
          <w:p w14:paraId="3E6F638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w:t>
            </w:r>
            <w:r>
              <w:rPr>
                <w:rFonts w:ascii="Times New Roman" w:hAnsi="Times New Roman" w:cs="宋体"/>
                <w:kern w:val="0"/>
                <w:sz w:val="22"/>
                <w:szCs w:val="21"/>
                <w:highlight w:val="none"/>
                <w:lang w:val="zh-CN" w:bidi="zh-CN"/>
              </w:rPr>
              <w:t>灌木、竹林、胸径小于10cm 树木的砍伐及挖根；</w:t>
            </w:r>
          </w:p>
          <w:p w14:paraId="2B0B53A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w:t>
            </w:r>
            <w:r>
              <w:rPr>
                <w:rFonts w:ascii="Times New Roman" w:hAnsi="Times New Roman" w:cs="宋体"/>
                <w:kern w:val="0"/>
                <w:sz w:val="22"/>
                <w:szCs w:val="21"/>
                <w:highlight w:val="none"/>
                <w:lang w:val="zh-CN" w:bidi="zh-CN"/>
              </w:rPr>
              <w:t>清除场地表面0~30cm 范围内的垃圾、废料、表土（腐殖土）、石头、草皮；</w:t>
            </w:r>
          </w:p>
          <w:p w14:paraId="5A9895E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w:t>
            </w:r>
            <w:r>
              <w:rPr>
                <w:rFonts w:ascii="Times New Roman" w:hAnsi="Times New Roman" w:cs="宋体"/>
                <w:kern w:val="0"/>
                <w:sz w:val="22"/>
                <w:szCs w:val="21"/>
                <w:highlight w:val="none"/>
                <w:lang w:val="zh-CN" w:bidi="zh-CN"/>
              </w:rPr>
              <w:t>与清理现场有关的一切挖方、坑穴的回填、清理现场后回填至原地面、整平、压实；</w:t>
            </w:r>
          </w:p>
          <w:p w14:paraId="58AE1D3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w:t>
            </w:r>
            <w:r>
              <w:rPr>
                <w:rFonts w:ascii="Times New Roman" w:hAnsi="Times New Roman" w:cs="宋体"/>
                <w:kern w:val="0"/>
                <w:sz w:val="22"/>
                <w:szCs w:val="21"/>
                <w:highlight w:val="none"/>
                <w:lang w:val="zh-CN" w:bidi="zh-CN"/>
              </w:rPr>
              <w:t>适用材料的装卸、移运、堆放及非适用材料的移运处理；</w:t>
            </w:r>
          </w:p>
          <w:p w14:paraId="13CD3F6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w:t>
            </w:r>
            <w:r>
              <w:rPr>
                <w:rFonts w:ascii="Times New Roman" w:hAnsi="Times New Roman" w:cs="宋体"/>
                <w:kern w:val="0"/>
                <w:sz w:val="22"/>
                <w:szCs w:val="21"/>
                <w:highlight w:val="none"/>
                <w:lang w:val="zh-CN" w:bidi="zh-CN"/>
              </w:rPr>
              <w:t>现场清理</w:t>
            </w:r>
          </w:p>
        </w:tc>
      </w:tr>
      <w:tr w14:paraId="60EEA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0044C631">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-b</w:t>
            </w:r>
          </w:p>
        </w:tc>
        <w:tc>
          <w:tcPr>
            <w:tcW w:w="1000" w:type="pct"/>
            <w:noWrap w:val="0"/>
            <w:vAlign w:val="center"/>
          </w:tcPr>
          <w:p w14:paraId="45014619">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砍伐树木、挖除树根</w:t>
            </w:r>
          </w:p>
        </w:tc>
        <w:tc>
          <w:tcPr>
            <w:tcW w:w="598" w:type="pct"/>
            <w:noWrap w:val="0"/>
            <w:vAlign w:val="center"/>
          </w:tcPr>
          <w:p w14:paraId="6E506CE9">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棵</w:t>
            </w:r>
          </w:p>
        </w:tc>
        <w:tc>
          <w:tcPr>
            <w:tcW w:w="1859" w:type="pct"/>
            <w:noWrap w:val="0"/>
            <w:vAlign w:val="center"/>
          </w:tcPr>
          <w:p w14:paraId="3C92555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依据图纸所示路基范围内胸径 10cm 以上（含10cm）的树木及树根，按实际砍伐及挖除数量以棵为单位计量</w:t>
            </w:r>
          </w:p>
        </w:tc>
        <w:tc>
          <w:tcPr>
            <w:tcW w:w="966" w:type="pct"/>
            <w:noWrap w:val="0"/>
            <w:vAlign w:val="center"/>
          </w:tcPr>
          <w:p w14:paraId="143B1A9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w:t>
            </w:r>
            <w:r>
              <w:rPr>
                <w:rFonts w:ascii="Times New Roman" w:hAnsi="Times New Roman" w:cs="宋体"/>
                <w:kern w:val="0"/>
                <w:sz w:val="22"/>
                <w:szCs w:val="21"/>
                <w:highlight w:val="none"/>
                <w:lang w:val="zh-CN" w:bidi="zh-CN"/>
              </w:rPr>
              <w:t>砍伐；</w:t>
            </w:r>
          </w:p>
          <w:p w14:paraId="1A58436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w:t>
            </w:r>
            <w:r>
              <w:rPr>
                <w:rFonts w:ascii="Times New Roman" w:hAnsi="Times New Roman" w:cs="宋体"/>
                <w:kern w:val="0"/>
                <w:sz w:val="22"/>
                <w:szCs w:val="21"/>
                <w:highlight w:val="none"/>
                <w:lang w:val="zh-CN" w:bidi="zh-CN"/>
              </w:rPr>
              <w:t>截锯；</w:t>
            </w:r>
          </w:p>
          <w:p w14:paraId="1BB9F09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w:t>
            </w:r>
            <w:r>
              <w:rPr>
                <w:rFonts w:ascii="Times New Roman" w:hAnsi="Times New Roman" w:cs="宋体"/>
                <w:kern w:val="0"/>
                <w:sz w:val="22"/>
                <w:szCs w:val="21"/>
                <w:highlight w:val="none"/>
                <w:lang w:val="zh-CN" w:bidi="zh-CN"/>
              </w:rPr>
              <w:t>挖除树根；</w:t>
            </w:r>
          </w:p>
          <w:p w14:paraId="5BC0F23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w:t>
            </w:r>
            <w:r>
              <w:rPr>
                <w:rFonts w:ascii="Times New Roman" w:hAnsi="Times New Roman" w:cs="宋体"/>
                <w:kern w:val="0"/>
                <w:sz w:val="22"/>
                <w:szCs w:val="21"/>
                <w:highlight w:val="none"/>
                <w:lang w:val="zh-CN" w:bidi="zh-CN"/>
              </w:rPr>
              <w:t>装卸、移运至指定地点堆放；</w:t>
            </w:r>
          </w:p>
          <w:p w14:paraId="264EF70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w:t>
            </w:r>
            <w:r>
              <w:rPr>
                <w:rFonts w:ascii="Times New Roman" w:hAnsi="Times New Roman" w:cs="宋体"/>
                <w:kern w:val="0"/>
                <w:sz w:val="22"/>
                <w:szCs w:val="21"/>
                <w:highlight w:val="none"/>
                <w:lang w:val="zh-CN" w:bidi="zh-CN"/>
              </w:rPr>
              <w:t>树坑回填、夯实；</w:t>
            </w:r>
          </w:p>
          <w:p w14:paraId="42C8FCA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w:t>
            </w:r>
            <w:r>
              <w:rPr>
                <w:rFonts w:ascii="Times New Roman" w:hAnsi="Times New Roman" w:cs="宋体"/>
                <w:kern w:val="0"/>
                <w:sz w:val="22"/>
                <w:szCs w:val="21"/>
                <w:highlight w:val="none"/>
                <w:lang w:val="zh-CN" w:bidi="zh-CN"/>
              </w:rPr>
              <w:t>现场清理</w:t>
            </w:r>
          </w:p>
        </w:tc>
      </w:tr>
      <w:tr w14:paraId="4FCF7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19799B03">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202-2</w:t>
            </w:r>
          </w:p>
        </w:tc>
        <w:tc>
          <w:tcPr>
            <w:tcW w:w="1000" w:type="pct"/>
            <w:noWrap w:val="0"/>
            <w:vAlign w:val="center"/>
          </w:tcPr>
          <w:p w14:paraId="76F50996">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挖除旧路面</w:t>
            </w:r>
          </w:p>
        </w:tc>
        <w:tc>
          <w:tcPr>
            <w:tcW w:w="598" w:type="pct"/>
            <w:noWrap w:val="0"/>
            <w:vAlign w:val="center"/>
          </w:tcPr>
          <w:p w14:paraId="1FFD80F7">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m³</w:t>
            </w:r>
          </w:p>
        </w:tc>
        <w:tc>
          <w:tcPr>
            <w:tcW w:w="1859" w:type="pct"/>
            <w:noWrap w:val="0"/>
            <w:vAlign w:val="center"/>
          </w:tcPr>
          <w:p w14:paraId="712A46D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w:t>
            </w:r>
            <w:r>
              <w:rPr>
                <w:rFonts w:ascii="Times New Roman" w:hAnsi="Times New Roman" w:cs="宋体"/>
                <w:kern w:val="0"/>
                <w:sz w:val="22"/>
                <w:szCs w:val="21"/>
                <w:highlight w:val="none"/>
                <w:lang w:val="zh-CN" w:bidi="zh-CN"/>
              </w:rPr>
              <w:t>依据图纸所示位置，挖除路基范围内原有的旧路面，按不同的路面结构类型以立方米为单位计量；</w:t>
            </w:r>
          </w:p>
          <w:p w14:paraId="24A502E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w:t>
            </w:r>
            <w:r>
              <w:rPr>
                <w:rFonts w:ascii="Times New Roman" w:hAnsi="Times New Roman" w:cs="宋体"/>
                <w:kern w:val="0"/>
                <w:sz w:val="22"/>
                <w:szCs w:val="21"/>
                <w:highlight w:val="none"/>
                <w:lang w:val="zh-CN" w:bidi="zh-CN"/>
              </w:rPr>
              <w:t>挖除旧路面后的借方或利用方回填至原路面标高并压实、面层以下各结构层的挖除费用应列入挖除旧路面单价之内，不另行计量</w:t>
            </w:r>
          </w:p>
        </w:tc>
        <w:tc>
          <w:tcPr>
            <w:tcW w:w="966" w:type="pct"/>
            <w:noWrap w:val="0"/>
            <w:vAlign w:val="center"/>
          </w:tcPr>
          <w:p w14:paraId="363485A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w:t>
            </w:r>
            <w:r>
              <w:rPr>
                <w:rFonts w:ascii="Times New Roman" w:hAnsi="Times New Roman" w:cs="宋体"/>
                <w:kern w:val="0"/>
                <w:sz w:val="22"/>
                <w:szCs w:val="21"/>
                <w:highlight w:val="none"/>
                <w:lang w:val="zh-CN" w:bidi="zh-CN"/>
              </w:rPr>
              <w:t>挖除；</w:t>
            </w:r>
          </w:p>
          <w:p w14:paraId="1398E64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w:t>
            </w:r>
            <w:r>
              <w:rPr>
                <w:rFonts w:ascii="Times New Roman" w:hAnsi="Times New Roman" w:cs="宋体"/>
                <w:kern w:val="0"/>
                <w:sz w:val="22"/>
                <w:szCs w:val="21"/>
                <w:highlight w:val="none"/>
                <w:lang w:val="zh-CN" w:bidi="zh-CN"/>
              </w:rPr>
              <w:t>装卸、移运、掩埋处理；</w:t>
            </w:r>
          </w:p>
          <w:p w14:paraId="1A98C1C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w:t>
            </w:r>
            <w:r>
              <w:rPr>
                <w:rFonts w:ascii="Times New Roman" w:hAnsi="Times New Roman" w:cs="宋体"/>
                <w:kern w:val="0"/>
                <w:sz w:val="22"/>
                <w:szCs w:val="21"/>
                <w:highlight w:val="none"/>
                <w:lang w:val="zh-CN" w:bidi="zh-CN"/>
              </w:rPr>
              <w:t>路床碾压、回填至原地面标高；</w:t>
            </w:r>
          </w:p>
          <w:p w14:paraId="30DD0E6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w:t>
            </w:r>
            <w:r>
              <w:rPr>
                <w:rFonts w:ascii="Times New Roman" w:hAnsi="Times New Roman" w:cs="宋体"/>
                <w:kern w:val="0"/>
                <w:sz w:val="22"/>
                <w:szCs w:val="21"/>
                <w:highlight w:val="none"/>
                <w:lang w:val="zh-CN" w:bidi="zh-CN"/>
              </w:rPr>
              <w:t>场地清理、平整、压实</w:t>
            </w:r>
          </w:p>
        </w:tc>
      </w:tr>
      <w:tr w14:paraId="0C091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6298C050">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202-3</w:t>
            </w:r>
          </w:p>
        </w:tc>
        <w:tc>
          <w:tcPr>
            <w:tcW w:w="1000" w:type="pct"/>
            <w:noWrap w:val="0"/>
            <w:vAlign w:val="center"/>
          </w:tcPr>
          <w:p w14:paraId="58FFFC94">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拆除结构物</w:t>
            </w:r>
          </w:p>
        </w:tc>
        <w:tc>
          <w:tcPr>
            <w:tcW w:w="598" w:type="pct"/>
            <w:noWrap w:val="0"/>
            <w:vAlign w:val="center"/>
          </w:tcPr>
          <w:p w14:paraId="7D4DF9FF">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m³</w:t>
            </w:r>
          </w:p>
        </w:tc>
        <w:tc>
          <w:tcPr>
            <w:tcW w:w="1859" w:type="pct"/>
            <w:noWrap w:val="0"/>
            <w:vAlign w:val="center"/>
          </w:tcPr>
          <w:p w14:paraId="6209740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依据图纸所示位置，拆除路基范围内原有的结构物，分不同类型（钢筋混凝土、混凝土、砖石及其他砌体），以立方米为单位计量</w:t>
            </w:r>
          </w:p>
        </w:tc>
        <w:tc>
          <w:tcPr>
            <w:tcW w:w="966" w:type="pct"/>
            <w:noWrap w:val="0"/>
            <w:vAlign w:val="center"/>
          </w:tcPr>
          <w:p w14:paraId="492FA2A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w:t>
            </w:r>
            <w:r>
              <w:rPr>
                <w:rFonts w:ascii="Times New Roman" w:hAnsi="Times New Roman" w:cs="宋体"/>
                <w:kern w:val="0"/>
                <w:sz w:val="22"/>
                <w:szCs w:val="21"/>
                <w:highlight w:val="none"/>
                <w:lang w:val="zh-CN" w:bidi="zh-CN"/>
              </w:rPr>
              <w:t>挖除；</w:t>
            </w:r>
          </w:p>
          <w:p w14:paraId="61194AD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w:t>
            </w:r>
            <w:r>
              <w:rPr>
                <w:rFonts w:ascii="Times New Roman" w:hAnsi="Times New Roman" w:cs="宋体"/>
                <w:kern w:val="0"/>
                <w:sz w:val="22"/>
                <w:szCs w:val="21"/>
                <w:highlight w:val="none"/>
                <w:lang w:val="zh-CN" w:bidi="zh-CN"/>
              </w:rPr>
              <w:t>装卸、移运、废料处理；</w:t>
            </w:r>
          </w:p>
          <w:p w14:paraId="5D2EA53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w:t>
            </w:r>
            <w:r>
              <w:rPr>
                <w:rFonts w:ascii="Times New Roman" w:hAnsi="Times New Roman" w:cs="宋体"/>
                <w:kern w:val="0"/>
                <w:sz w:val="22"/>
                <w:szCs w:val="21"/>
                <w:highlight w:val="none"/>
                <w:lang w:val="zh-CN" w:bidi="zh-CN"/>
              </w:rPr>
              <w:t>坑穴回填、压实；</w:t>
            </w:r>
          </w:p>
          <w:p w14:paraId="27B9286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w:t>
            </w:r>
            <w:r>
              <w:rPr>
                <w:rFonts w:ascii="Times New Roman" w:hAnsi="Times New Roman" w:cs="宋体"/>
                <w:kern w:val="0"/>
                <w:sz w:val="22"/>
                <w:szCs w:val="21"/>
                <w:highlight w:val="none"/>
                <w:lang w:val="zh-CN" w:bidi="zh-CN"/>
              </w:rPr>
              <w:t>场地清理、平整</w:t>
            </w:r>
          </w:p>
        </w:tc>
      </w:tr>
      <w:tr w14:paraId="1B8A9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20F1533B">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203-1</w:t>
            </w:r>
          </w:p>
        </w:tc>
        <w:tc>
          <w:tcPr>
            <w:tcW w:w="1000" w:type="pct"/>
            <w:noWrap w:val="0"/>
            <w:vAlign w:val="center"/>
          </w:tcPr>
          <w:p w14:paraId="1259B99C">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路基挖方</w:t>
            </w:r>
          </w:p>
        </w:tc>
        <w:tc>
          <w:tcPr>
            <w:tcW w:w="598" w:type="pct"/>
            <w:noWrap w:val="0"/>
            <w:vAlign w:val="center"/>
          </w:tcPr>
          <w:p w14:paraId="7A5D8322">
            <w:pPr>
              <w:widowControl/>
              <w:autoSpaceDE w:val="0"/>
              <w:autoSpaceDN w:val="0"/>
              <w:spacing w:line="360" w:lineRule="auto"/>
              <w:jc w:val="left"/>
              <w:rPr>
                <w:rFonts w:ascii="Times New Roman" w:hAnsi="Times New Roman" w:cs="宋体"/>
                <w:kern w:val="0"/>
                <w:sz w:val="22"/>
                <w:szCs w:val="21"/>
                <w:highlight w:val="none"/>
                <w:lang w:val="zh-CN" w:bidi="zh-CN"/>
              </w:rPr>
            </w:pPr>
          </w:p>
        </w:tc>
        <w:tc>
          <w:tcPr>
            <w:tcW w:w="1859" w:type="pct"/>
            <w:noWrap w:val="0"/>
            <w:vAlign w:val="center"/>
          </w:tcPr>
          <w:p w14:paraId="261F9857">
            <w:pPr>
              <w:widowControl/>
              <w:autoSpaceDE w:val="0"/>
              <w:autoSpaceDN w:val="0"/>
              <w:spacing w:line="360" w:lineRule="auto"/>
              <w:jc w:val="left"/>
              <w:rPr>
                <w:rFonts w:ascii="Times New Roman" w:hAnsi="Times New Roman" w:cs="宋体"/>
                <w:kern w:val="0"/>
                <w:sz w:val="22"/>
                <w:szCs w:val="21"/>
                <w:highlight w:val="none"/>
                <w:lang w:val="zh-CN" w:bidi="zh-CN"/>
              </w:rPr>
            </w:pPr>
          </w:p>
        </w:tc>
        <w:tc>
          <w:tcPr>
            <w:tcW w:w="966" w:type="pct"/>
            <w:noWrap w:val="0"/>
            <w:vAlign w:val="center"/>
          </w:tcPr>
          <w:p w14:paraId="7B269404">
            <w:pPr>
              <w:widowControl/>
              <w:autoSpaceDE w:val="0"/>
              <w:autoSpaceDN w:val="0"/>
              <w:spacing w:line="360" w:lineRule="auto"/>
              <w:jc w:val="left"/>
              <w:rPr>
                <w:rFonts w:ascii="Times New Roman" w:hAnsi="Times New Roman" w:cs="宋体"/>
                <w:kern w:val="0"/>
                <w:sz w:val="22"/>
                <w:szCs w:val="21"/>
                <w:highlight w:val="none"/>
                <w:lang w:val="zh-CN" w:bidi="zh-CN"/>
              </w:rPr>
            </w:pPr>
          </w:p>
        </w:tc>
      </w:tr>
      <w:tr w14:paraId="2BF18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1BEF6C7A">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-a</w:t>
            </w:r>
          </w:p>
        </w:tc>
        <w:tc>
          <w:tcPr>
            <w:tcW w:w="1000" w:type="pct"/>
            <w:noWrap w:val="0"/>
            <w:vAlign w:val="center"/>
          </w:tcPr>
          <w:p w14:paraId="1618EB8E">
            <w:pPr>
              <w:widowControl/>
              <w:autoSpaceDE w:val="0"/>
              <w:autoSpaceDN w:val="0"/>
              <w:spacing w:line="360" w:lineRule="auto"/>
              <w:jc w:val="center"/>
              <w:rPr>
                <w:rFonts w:ascii="Times New Roman" w:hAnsi="Times New Roman" w:cs="宋体"/>
                <w:kern w:val="0"/>
                <w:sz w:val="22"/>
                <w:szCs w:val="21"/>
                <w:highlight w:val="none"/>
                <w:lang w:val="zh-CN" w:bidi="zh-CN"/>
              </w:rPr>
            </w:pPr>
          </w:p>
          <w:p w14:paraId="1B2DA508">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挖土方</w:t>
            </w:r>
          </w:p>
        </w:tc>
        <w:tc>
          <w:tcPr>
            <w:tcW w:w="598" w:type="pct"/>
            <w:noWrap w:val="0"/>
            <w:vAlign w:val="center"/>
          </w:tcPr>
          <w:p w14:paraId="52C0A23B">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m³</w:t>
            </w:r>
          </w:p>
        </w:tc>
        <w:tc>
          <w:tcPr>
            <w:tcW w:w="1859" w:type="pct"/>
            <w:noWrap w:val="0"/>
            <w:vAlign w:val="center"/>
          </w:tcPr>
          <w:p w14:paraId="711F777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w:t>
            </w:r>
            <w:r>
              <w:rPr>
                <w:rFonts w:ascii="Times New Roman" w:hAnsi="Times New Roman" w:cs="宋体"/>
                <w:kern w:val="0"/>
                <w:sz w:val="22"/>
                <w:szCs w:val="21"/>
                <w:highlight w:val="none"/>
                <w:lang w:val="zh-CN" w:bidi="zh-CN"/>
              </w:rPr>
              <w:t>依据图纸所示地面线、路基设计横断面图、路基土石比例，采用平均断面面积法计算，包括边沟、排水沟、截水沟的土方，按照天然密实体积以立方米为单位计量；</w:t>
            </w:r>
          </w:p>
          <w:p w14:paraId="5D683A1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w:t>
            </w:r>
            <w:r>
              <w:rPr>
                <w:rFonts w:ascii="Times New Roman" w:hAnsi="Times New Roman" w:cs="宋体"/>
                <w:kern w:val="0"/>
                <w:sz w:val="22"/>
                <w:szCs w:val="21"/>
                <w:highlight w:val="none"/>
                <w:lang w:val="zh-CN" w:bidi="zh-CN"/>
              </w:rPr>
              <w:t>在挖土方路段、零填挖路段、低填路段的路床顶面以下0～800mm 范围内的压实度不满足技术规范要求时，按规范要求所采取的翻松、压实，作为挖土方的附属工作，不另行计量；</w:t>
            </w:r>
          </w:p>
          <w:p w14:paraId="4CF6973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w:t>
            </w:r>
            <w:r>
              <w:rPr>
                <w:rFonts w:ascii="Times New Roman" w:hAnsi="Times New Roman" w:cs="宋体"/>
                <w:kern w:val="0"/>
                <w:sz w:val="22"/>
                <w:szCs w:val="21"/>
                <w:highlight w:val="none"/>
                <w:lang w:val="zh-CN" w:bidi="zh-CN"/>
              </w:rPr>
              <w:t>凡超过图纸或监理人规定尺寸的开挖，均不予计量；</w:t>
            </w:r>
          </w:p>
          <w:p w14:paraId="35DE730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w:t>
            </w:r>
            <w:r>
              <w:rPr>
                <w:rFonts w:ascii="Times New Roman" w:hAnsi="Times New Roman" w:cs="宋体"/>
                <w:kern w:val="0"/>
                <w:sz w:val="22"/>
                <w:szCs w:val="21"/>
                <w:highlight w:val="none"/>
                <w:lang w:val="zh-CN" w:bidi="zh-CN"/>
              </w:rPr>
              <w:t>结构物台背回填的挖运土方不另行计量，桥梁及明涵的搭板、埋板下的路面结构层在相应章节内计量；</w:t>
            </w:r>
          </w:p>
          <w:p w14:paraId="1D5063A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w:t>
            </w:r>
            <w:r>
              <w:rPr>
                <w:rFonts w:ascii="Times New Roman" w:hAnsi="Times New Roman" w:cs="宋体"/>
                <w:kern w:val="0"/>
                <w:sz w:val="22"/>
                <w:szCs w:val="21"/>
                <w:highlight w:val="none"/>
                <w:lang w:val="zh-CN" w:bidi="zh-CN"/>
              </w:rPr>
              <w:t>挖台阶的土方作为附属工作，不另行计量</w:t>
            </w:r>
          </w:p>
        </w:tc>
        <w:tc>
          <w:tcPr>
            <w:tcW w:w="966" w:type="pct"/>
            <w:noWrap w:val="0"/>
            <w:vAlign w:val="center"/>
          </w:tcPr>
          <w:p w14:paraId="79E34AB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w:t>
            </w:r>
            <w:r>
              <w:rPr>
                <w:rFonts w:ascii="Times New Roman" w:hAnsi="Times New Roman" w:cs="宋体"/>
                <w:kern w:val="0"/>
                <w:sz w:val="22"/>
                <w:szCs w:val="21"/>
                <w:highlight w:val="none"/>
                <w:lang w:val="zh-CN" w:bidi="zh-CN"/>
              </w:rPr>
              <w:t>挖、装、运输、卸车；</w:t>
            </w:r>
          </w:p>
          <w:p w14:paraId="44774AE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w:t>
            </w:r>
            <w:r>
              <w:rPr>
                <w:rFonts w:ascii="Times New Roman" w:hAnsi="Times New Roman" w:cs="宋体"/>
                <w:kern w:val="0"/>
                <w:sz w:val="22"/>
                <w:szCs w:val="21"/>
                <w:highlight w:val="none"/>
                <w:lang w:val="zh-CN" w:bidi="zh-CN"/>
              </w:rPr>
              <w:t>填料分理、弃土整形、压实；</w:t>
            </w:r>
          </w:p>
          <w:p w14:paraId="324C5CF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w:t>
            </w:r>
            <w:r>
              <w:rPr>
                <w:rFonts w:ascii="Times New Roman" w:hAnsi="Times New Roman" w:cs="宋体"/>
                <w:kern w:val="0"/>
                <w:sz w:val="22"/>
                <w:szCs w:val="21"/>
                <w:highlight w:val="none"/>
                <w:lang w:val="zh-CN" w:bidi="zh-CN"/>
              </w:rPr>
              <w:t>施工排水处理；</w:t>
            </w:r>
          </w:p>
          <w:p w14:paraId="31EFAE0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w:t>
            </w:r>
            <w:r>
              <w:rPr>
                <w:rFonts w:ascii="Times New Roman" w:hAnsi="Times New Roman" w:cs="宋体"/>
                <w:kern w:val="0"/>
                <w:sz w:val="22"/>
                <w:szCs w:val="21"/>
                <w:highlight w:val="none"/>
                <w:lang w:val="zh-CN" w:bidi="zh-CN"/>
              </w:rPr>
              <w:t>边坡整修、路床顶面以下挖松深 300mm 再压实、路床清理</w:t>
            </w:r>
          </w:p>
        </w:tc>
      </w:tr>
      <w:tr w14:paraId="6633A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7E540155">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-b</w:t>
            </w:r>
          </w:p>
        </w:tc>
        <w:tc>
          <w:tcPr>
            <w:tcW w:w="1000" w:type="pct"/>
            <w:noWrap w:val="0"/>
            <w:vAlign w:val="center"/>
          </w:tcPr>
          <w:p w14:paraId="249B3361">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挖石方</w:t>
            </w:r>
          </w:p>
        </w:tc>
        <w:tc>
          <w:tcPr>
            <w:tcW w:w="598" w:type="pct"/>
            <w:noWrap w:val="0"/>
            <w:vAlign w:val="center"/>
          </w:tcPr>
          <w:p w14:paraId="2C81ED67">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m³</w:t>
            </w:r>
          </w:p>
        </w:tc>
        <w:tc>
          <w:tcPr>
            <w:tcW w:w="1859" w:type="pct"/>
            <w:noWrap w:val="0"/>
            <w:vAlign w:val="center"/>
          </w:tcPr>
          <w:p w14:paraId="79AA8C7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w:t>
            </w:r>
            <w:r>
              <w:rPr>
                <w:rFonts w:ascii="Times New Roman" w:hAnsi="Times New Roman" w:cs="宋体"/>
                <w:kern w:val="0"/>
                <w:sz w:val="22"/>
                <w:szCs w:val="21"/>
                <w:highlight w:val="none"/>
                <w:lang w:val="zh-CN" w:bidi="zh-CN"/>
              </w:rPr>
              <w:t>依据图纸所示地面线、路基设计横断面图、路基土石比例，按平均断面积法计算，包括边沟、排水沟、截水沟的石方，按照天然体积以立方米为单位计量；</w:t>
            </w:r>
          </w:p>
          <w:p w14:paraId="5CBD13C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w:t>
            </w:r>
            <w:r>
              <w:rPr>
                <w:rFonts w:ascii="Times New Roman" w:hAnsi="Times New Roman" w:cs="宋体"/>
                <w:kern w:val="0"/>
                <w:sz w:val="22"/>
                <w:szCs w:val="21"/>
                <w:highlight w:val="none"/>
                <w:lang w:val="zh-CN" w:bidi="zh-CN"/>
              </w:rPr>
              <w:t>凡超过图纸或监理人规定尺寸的开挖，均不予计量；</w:t>
            </w:r>
          </w:p>
          <w:p w14:paraId="7298605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w:t>
            </w:r>
            <w:r>
              <w:rPr>
                <w:rFonts w:ascii="Times New Roman" w:hAnsi="Times New Roman" w:cs="宋体"/>
                <w:kern w:val="0"/>
                <w:sz w:val="22"/>
                <w:szCs w:val="21"/>
                <w:highlight w:val="none"/>
                <w:lang w:val="zh-CN" w:bidi="zh-CN"/>
              </w:rPr>
              <w:t>爆破安全措施、运输(不论运距远近)和堆放、质量检验、临时道路和临时排水均属于附属工作，不另行计量与支付；</w:t>
            </w:r>
          </w:p>
          <w:p w14:paraId="36DF205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w:t>
            </w:r>
            <w:r>
              <w:rPr>
                <w:rFonts w:ascii="Times New Roman" w:hAnsi="Times New Roman" w:cs="宋体"/>
                <w:kern w:val="0"/>
                <w:sz w:val="22"/>
                <w:szCs w:val="21"/>
                <w:highlight w:val="none"/>
                <w:lang w:val="zh-CN" w:bidi="zh-CN"/>
              </w:rPr>
              <w:t>挖台阶的土方作为附属工作，不另行计量</w:t>
            </w:r>
          </w:p>
        </w:tc>
        <w:tc>
          <w:tcPr>
            <w:tcW w:w="966" w:type="pct"/>
            <w:noWrap w:val="0"/>
            <w:vAlign w:val="center"/>
          </w:tcPr>
          <w:p w14:paraId="7CE05FB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w:t>
            </w:r>
            <w:r>
              <w:rPr>
                <w:rFonts w:ascii="Times New Roman" w:hAnsi="Times New Roman" w:cs="宋体"/>
                <w:kern w:val="0"/>
                <w:sz w:val="22"/>
                <w:szCs w:val="21"/>
                <w:highlight w:val="none"/>
                <w:lang w:val="zh-CN" w:bidi="zh-CN"/>
              </w:rPr>
              <w:t>石方爆破；</w:t>
            </w:r>
          </w:p>
          <w:p w14:paraId="1204200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w:t>
            </w:r>
            <w:r>
              <w:rPr>
                <w:rFonts w:ascii="Times New Roman" w:hAnsi="Times New Roman" w:cs="宋体"/>
                <w:kern w:val="0"/>
                <w:sz w:val="22"/>
                <w:szCs w:val="21"/>
                <w:highlight w:val="none"/>
                <w:lang w:val="zh-CN" w:bidi="zh-CN"/>
              </w:rPr>
              <w:t>挖、装、运输、卸车；</w:t>
            </w:r>
          </w:p>
          <w:p w14:paraId="2A33D90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w:t>
            </w:r>
            <w:r>
              <w:rPr>
                <w:rFonts w:ascii="Times New Roman" w:hAnsi="Times New Roman" w:cs="宋体"/>
                <w:kern w:val="0"/>
                <w:sz w:val="22"/>
                <w:szCs w:val="21"/>
                <w:highlight w:val="none"/>
                <w:lang w:val="zh-CN" w:bidi="zh-CN"/>
              </w:rPr>
              <w:t>填料分理、弃土整形、压实；</w:t>
            </w:r>
          </w:p>
          <w:p w14:paraId="614276A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w:t>
            </w:r>
            <w:r>
              <w:rPr>
                <w:rFonts w:ascii="Times New Roman" w:hAnsi="Times New Roman" w:cs="宋体"/>
                <w:kern w:val="0"/>
                <w:sz w:val="22"/>
                <w:szCs w:val="21"/>
                <w:highlight w:val="none"/>
                <w:lang w:val="zh-CN" w:bidi="zh-CN"/>
              </w:rPr>
              <w:t>施工排水处理；</w:t>
            </w:r>
          </w:p>
          <w:p w14:paraId="25F5188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w:t>
            </w:r>
            <w:r>
              <w:rPr>
                <w:rFonts w:ascii="Times New Roman" w:hAnsi="Times New Roman" w:cs="宋体"/>
                <w:kern w:val="0"/>
                <w:sz w:val="22"/>
                <w:szCs w:val="21"/>
                <w:highlight w:val="none"/>
                <w:lang w:val="zh-CN" w:bidi="zh-CN"/>
              </w:rPr>
              <w:t>边坡整修、路床顶面凿平或填平压实、路床清理</w:t>
            </w:r>
          </w:p>
        </w:tc>
      </w:tr>
      <w:tr w14:paraId="37682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5847F537">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-c</w:t>
            </w:r>
          </w:p>
        </w:tc>
        <w:tc>
          <w:tcPr>
            <w:tcW w:w="1000" w:type="pct"/>
            <w:noWrap w:val="0"/>
            <w:vAlign w:val="center"/>
          </w:tcPr>
          <w:p w14:paraId="7712E893">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挖除非适用材料（不含淤泥）</w:t>
            </w:r>
          </w:p>
        </w:tc>
        <w:tc>
          <w:tcPr>
            <w:tcW w:w="598" w:type="pct"/>
            <w:noWrap w:val="0"/>
            <w:vAlign w:val="center"/>
          </w:tcPr>
          <w:p w14:paraId="672C8037">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m³</w:t>
            </w:r>
          </w:p>
        </w:tc>
        <w:tc>
          <w:tcPr>
            <w:tcW w:w="1859" w:type="pct"/>
            <w:noWrap w:val="0"/>
            <w:vAlign w:val="center"/>
          </w:tcPr>
          <w:p w14:paraId="35C43C9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依据图纸所示位置，挖除路基范围内非适用材料（不含淤泥）以立方米为单位计量</w:t>
            </w:r>
          </w:p>
        </w:tc>
        <w:tc>
          <w:tcPr>
            <w:tcW w:w="966" w:type="pct"/>
            <w:noWrap w:val="0"/>
            <w:vAlign w:val="center"/>
          </w:tcPr>
          <w:p w14:paraId="79E7882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w:t>
            </w:r>
            <w:r>
              <w:rPr>
                <w:rFonts w:ascii="Times New Roman" w:hAnsi="Times New Roman" w:cs="宋体"/>
                <w:kern w:val="0"/>
                <w:sz w:val="22"/>
                <w:szCs w:val="21"/>
                <w:highlight w:val="none"/>
                <w:lang w:val="zh-CN" w:bidi="zh-CN"/>
              </w:rPr>
              <w:t>施工排水处理；</w:t>
            </w:r>
          </w:p>
          <w:p w14:paraId="4661A4C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w:t>
            </w:r>
            <w:r>
              <w:rPr>
                <w:rFonts w:ascii="Times New Roman" w:hAnsi="Times New Roman" w:cs="宋体"/>
                <w:kern w:val="0"/>
                <w:sz w:val="22"/>
                <w:szCs w:val="21"/>
                <w:highlight w:val="none"/>
                <w:lang w:val="zh-CN" w:bidi="zh-CN"/>
              </w:rPr>
              <w:t>挖除、装载、运输、卸车、堆放、弃土整形；</w:t>
            </w:r>
          </w:p>
          <w:p w14:paraId="3114687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w:t>
            </w:r>
            <w:r>
              <w:rPr>
                <w:rFonts w:ascii="Times New Roman" w:hAnsi="Times New Roman" w:cs="宋体"/>
                <w:kern w:val="0"/>
                <w:sz w:val="22"/>
                <w:szCs w:val="21"/>
                <w:highlight w:val="none"/>
                <w:lang w:val="zh-CN" w:bidi="zh-CN"/>
              </w:rPr>
              <w:t>现场清理</w:t>
            </w:r>
          </w:p>
        </w:tc>
      </w:tr>
      <w:tr w14:paraId="7AF98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3F858153">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-d</w:t>
            </w:r>
          </w:p>
        </w:tc>
        <w:tc>
          <w:tcPr>
            <w:tcW w:w="1000" w:type="pct"/>
            <w:noWrap w:val="0"/>
            <w:vAlign w:val="center"/>
          </w:tcPr>
          <w:p w14:paraId="47D1E57F">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挖淤泥</w:t>
            </w:r>
          </w:p>
        </w:tc>
        <w:tc>
          <w:tcPr>
            <w:tcW w:w="598" w:type="pct"/>
            <w:noWrap w:val="0"/>
            <w:vAlign w:val="center"/>
          </w:tcPr>
          <w:p w14:paraId="06FB5C1C">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m³</w:t>
            </w:r>
          </w:p>
        </w:tc>
        <w:tc>
          <w:tcPr>
            <w:tcW w:w="1859" w:type="pct"/>
            <w:noWrap w:val="0"/>
            <w:vAlign w:val="center"/>
          </w:tcPr>
          <w:p w14:paraId="0D8FCC0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依据图纸所示位置，挖除路基范围内淤泥以立方米为单位计量</w:t>
            </w:r>
          </w:p>
        </w:tc>
        <w:tc>
          <w:tcPr>
            <w:tcW w:w="966" w:type="pct"/>
            <w:noWrap w:val="0"/>
            <w:vAlign w:val="center"/>
          </w:tcPr>
          <w:p w14:paraId="059E2A8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w:t>
            </w:r>
            <w:r>
              <w:rPr>
                <w:rFonts w:ascii="Times New Roman" w:hAnsi="Times New Roman" w:cs="宋体"/>
                <w:kern w:val="0"/>
                <w:sz w:val="22"/>
                <w:szCs w:val="21"/>
                <w:highlight w:val="none"/>
                <w:lang w:val="zh-CN" w:bidi="zh-CN"/>
              </w:rPr>
              <w:t>施工排水处理；</w:t>
            </w:r>
          </w:p>
          <w:p w14:paraId="1D26E3F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w:t>
            </w:r>
            <w:r>
              <w:rPr>
                <w:rFonts w:ascii="Times New Roman" w:hAnsi="Times New Roman" w:cs="宋体"/>
                <w:kern w:val="0"/>
                <w:sz w:val="22"/>
                <w:szCs w:val="21"/>
                <w:highlight w:val="none"/>
                <w:lang w:val="zh-CN" w:bidi="zh-CN"/>
              </w:rPr>
              <w:t>挖除、装载、运输、卸车、堆放、弃土整形；</w:t>
            </w:r>
          </w:p>
          <w:p w14:paraId="44F600E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w:t>
            </w:r>
            <w:r>
              <w:rPr>
                <w:rFonts w:ascii="Times New Roman" w:hAnsi="Times New Roman" w:cs="宋体"/>
                <w:kern w:val="0"/>
                <w:sz w:val="22"/>
                <w:szCs w:val="21"/>
                <w:highlight w:val="none"/>
                <w:lang w:val="zh-CN" w:bidi="zh-CN"/>
              </w:rPr>
              <w:t>现场清理</w:t>
            </w:r>
          </w:p>
        </w:tc>
      </w:tr>
      <w:tr w14:paraId="31804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0266CF9C">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203-2</w:t>
            </w:r>
          </w:p>
        </w:tc>
        <w:tc>
          <w:tcPr>
            <w:tcW w:w="1000" w:type="pct"/>
            <w:noWrap w:val="0"/>
            <w:vAlign w:val="center"/>
          </w:tcPr>
          <w:p w14:paraId="6331206B">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改河、改渠、改路挖方</w:t>
            </w:r>
          </w:p>
        </w:tc>
        <w:tc>
          <w:tcPr>
            <w:tcW w:w="598" w:type="pct"/>
            <w:noWrap w:val="0"/>
            <w:vAlign w:val="center"/>
          </w:tcPr>
          <w:p w14:paraId="1ADF0150">
            <w:pPr>
              <w:widowControl/>
              <w:autoSpaceDE w:val="0"/>
              <w:autoSpaceDN w:val="0"/>
              <w:spacing w:line="360" w:lineRule="auto"/>
              <w:jc w:val="center"/>
              <w:rPr>
                <w:rFonts w:ascii="Times New Roman" w:hAnsi="Times New Roman" w:cs="宋体"/>
                <w:kern w:val="0"/>
                <w:sz w:val="22"/>
                <w:szCs w:val="21"/>
                <w:highlight w:val="none"/>
                <w:lang w:val="zh-CN" w:bidi="zh-CN"/>
              </w:rPr>
            </w:pPr>
          </w:p>
        </w:tc>
        <w:tc>
          <w:tcPr>
            <w:tcW w:w="1859" w:type="pct"/>
            <w:noWrap w:val="0"/>
            <w:vAlign w:val="center"/>
          </w:tcPr>
          <w:p w14:paraId="187A0FC6">
            <w:pPr>
              <w:widowControl/>
              <w:autoSpaceDE w:val="0"/>
              <w:autoSpaceDN w:val="0"/>
              <w:spacing w:line="360" w:lineRule="auto"/>
              <w:jc w:val="left"/>
              <w:rPr>
                <w:rFonts w:ascii="Times New Roman" w:hAnsi="Times New Roman" w:cs="宋体"/>
                <w:kern w:val="0"/>
                <w:sz w:val="22"/>
                <w:szCs w:val="21"/>
                <w:highlight w:val="none"/>
                <w:lang w:val="zh-CN" w:bidi="zh-CN"/>
              </w:rPr>
            </w:pPr>
          </w:p>
        </w:tc>
        <w:tc>
          <w:tcPr>
            <w:tcW w:w="966" w:type="pct"/>
            <w:noWrap w:val="0"/>
            <w:vAlign w:val="center"/>
          </w:tcPr>
          <w:p w14:paraId="405D0DC7">
            <w:pPr>
              <w:widowControl/>
              <w:autoSpaceDE w:val="0"/>
              <w:autoSpaceDN w:val="0"/>
              <w:spacing w:line="360" w:lineRule="auto"/>
              <w:jc w:val="left"/>
              <w:rPr>
                <w:rFonts w:ascii="Times New Roman" w:hAnsi="Times New Roman" w:cs="宋体"/>
                <w:kern w:val="0"/>
                <w:sz w:val="22"/>
                <w:szCs w:val="21"/>
                <w:highlight w:val="none"/>
                <w:lang w:val="zh-CN" w:bidi="zh-CN"/>
              </w:rPr>
            </w:pPr>
          </w:p>
        </w:tc>
      </w:tr>
      <w:tr w14:paraId="527B0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9" w:hRule="atLeast"/>
          <w:jc w:val="center"/>
        </w:trPr>
        <w:tc>
          <w:tcPr>
            <w:tcW w:w="574" w:type="pct"/>
            <w:noWrap w:val="0"/>
            <w:vAlign w:val="center"/>
          </w:tcPr>
          <w:p w14:paraId="62D90DDA">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-a</w:t>
            </w:r>
          </w:p>
        </w:tc>
        <w:tc>
          <w:tcPr>
            <w:tcW w:w="1000" w:type="pct"/>
            <w:noWrap w:val="0"/>
            <w:vAlign w:val="center"/>
          </w:tcPr>
          <w:p w14:paraId="4E092C38">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挖土方</w:t>
            </w:r>
          </w:p>
        </w:tc>
        <w:tc>
          <w:tcPr>
            <w:tcW w:w="598" w:type="pct"/>
            <w:noWrap w:val="0"/>
            <w:vAlign w:val="center"/>
          </w:tcPr>
          <w:p w14:paraId="1D26E8EC">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m³</w:t>
            </w:r>
          </w:p>
        </w:tc>
        <w:tc>
          <w:tcPr>
            <w:tcW w:w="1859" w:type="pct"/>
            <w:noWrap w:val="0"/>
            <w:vAlign w:val="center"/>
          </w:tcPr>
          <w:p w14:paraId="284ED09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w:t>
            </w:r>
            <w:r>
              <w:rPr>
                <w:rFonts w:ascii="Times New Roman" w:hAnsi="Times New Roman" w:cs="宋体"/>
                <w:kern w:val="0"/>
                <w:sz w:val="22"/>
                <w:szCs w:val="21"/>
                <w:highlight w:val="none"/>
                <w:lang w:val="zh-CN" w:bidi="zh-CN"/>
              </w:rPr>
              <w:t>依据图纸所示地面线、路基设计横断面图、路基土石比例，采用平均断面面积法计算，包括边沟、排水沟、截水沟的土方，按照天然密实体积以立方米为单位计量；</w:t>
            </w:r>
          </w:p>
          <w:p w14:paraId="6146CAC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w:t>
            </w:r>
            <w:r>
              <w:rPr>
                <w:rFonts w:ascii="Times New Roman" w:hAnsi="Times New Roman" w:cs="宋体"/>
                <w:kern w:val="0"/>
                <w:sz w:val="22"/>
                <w:szCs w:val="21"/>
                <w:highlight w:val="none"/>
                <w:lang w:val="zh-CN" w:bidi="zh-CN"/>
              </w:rPr>
              <w:t>在挖土方路段、零填挖路段、低填路段的路床顶面以下0～800mm 范围内的压实度不满足技术规范要求时，按规范要求所采取的翻松、压实，作为挖土方的附属工作，不另行计量；</w:t>
            </w:r>
          </w:p>
          <w:p w14:paraId="2AAE721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w:t>
            </w:r>
            <w:r>
              <w:rPr>
                <w:rFonts w:ascii="Times New Roman" w:hAnsi="Times New Roman" w:cs="宋体"/>
                <w:kern w:val="0"/>
                <w:sz w:val="22"/>
                <w:szCs w:val="21"/>
                <w:highlight w:val="none"/>
                <w:lang w:val="zh-CN" w:bidi="zh-CN"/>
              </w:rPr>
              <w:t>凡超过图纸或监理人规定尺寸的开挖，均不予计量；</w:t>
            </w:r>
          </w:p>
          <w:p w14:paraId="3FAAEC9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w:t>
            </w:r>
            <w:r>
              <w:rPr>
                <w:rFonts w:ascii="Times New Roman" w:hAnsi="Times New Roman" w:cs="宋体"/>
                <w:kern w:val="0"/>
                <w:sz w:val="22"/>
                <w:szCs w:val="21"/>
                <w:highlight w:val="none"/>
                <w:lang w:val="zh-CN" w:bidi="zh-CN"/>
              </w:rPr>
              <w:t>结构物台背回填的挖运土方不另行计量，桥梁及明涵的搭板、埋板下的路面结构层在相应章节内计量；</w:t>
            </w:r>
          </w:p>
          <w:p w14:paraId="2715EC3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w:t>
            </w:r>
            <w:r>
              <w:rPr>
                <w:rFonts w:ascii="Times New Roman" w:hAnsi="Times New Roman" w:cs="宋体"/>
                <w:kern w:val="0"/>
                <w:sz w:val="22"/>
                <w:szCs w:val="21"/>
                <w:highlight w:val="none"/>
                <w:lang w:val="zh-CN" w:bidi="zh-CN"/>
              </w:rPr>
              <w:t>挖台阶的土方作为附属工作，不另行计量</w:t>
            </w:r>
          </w:p>
        </w:tc>
        <w:tc>
          <w:tcPr>
            <w:tcW w:w="966" w:type="pct"/>
            <w:noWrap w:val="0"/>
            <w:vAlign w:val="center"/>
          </w:tcPr>
          <w:p w14:paraId="6E4DD27D">
            <w:pPr>
              <w:widowControl/>
              <w:autoSpaceDE w:val="0"/>
              <w:autoSpaceDN w:val="0"/>
              <w:spacing w:line="360" w:lineRule="auto"/>
              <w:jc w:val="left"/>
              <w:rPr>
                <w:rFonts w:ascii="Times New Roman" w:hAnsi="Times New Roman" w:cs="宋体"/>
                <w:kern w:val="0"/>
                <w:sz w:val="22"/>
                <w:szCs w:val="21"/>
                <w:highlight w:val="none"/>
                <w:lang w:val="zh-CN" w:bidi="zh-CN"/>
              </w:rPr>
            </w:pPr>
          </w:p>
          <w:p w14:paraId="40CF393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w:t>
            </w:r>
            <w:r>
              <w:rPr>
                <w:rFonts w:ascii="Times New Roman" w:hAnsi="Times New Roman" w:cs="宋体"/>
                <w:kern w:val="0"/>
                <w:sz w:val="22"/>
                <w:szCs w:val="21"/>
                <w:highlight w:val="none"/>
                <w:lang w:val="zh-CN" w:bidi="zh-CN"/>
              </w:rPr>
              <w:t>挖、装、运输、卸车；</w:t>
            </w:r>
          </w:p>
          <w:p w14:paraId="25B6DBD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w:t>
            </w:r>
            <w:r>
              <w:rPr>
                <w:rFonts w:ascii="Times New Roman" w:hAnsi="Times New Roman" w:cs="宋体"/>
                <w:kern w:val="0"/>
                <w:sz w:val="22"/>
                <w:szCs w:val="21"/>
                <w:highlight w:val="none"/>
                <w:lang w:val="zh-CN" w:bidi="zh-CN"/>
              </w:rPr>
              <w:t>填料分理、弃土整形、压实；</w:t>
            </w:r>
          </w:p>
          <w:p w14:paraId="1AC9D1E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w:t>
            </w:r>
            <w:r>
              <w:rPr>
                <w:rFonts w:ascii="Times New Roman" w:hAnsi="Times New Roman" w:cs="宋体"/>
                <w:kern w:val="0"/>
                <w:sz w:val="22"/>
                <w:szCs w:val="21"/>
                <w:highlight w:val="none"/>
                <w:lang w:val="zh-CN" w:bidi="zh-CN"/>
              </w:rPr>
              <w:t>施工排水处理；</w:t>
            </w:r>
          </w:p>
          <w:p w14:paraId="7B95EF9F">
            <w:pPr>
              <w:widowControl/>
              <w:autoSpaceDE w:val="0"/>
              <w:autoSpaceDN w:val="0"/>
              <w:spacing w:line="360" w:lineRule="auto"/>
              <w:jc w:val="left"/>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边坡整修、路床顶面以下挖松深 300mm 再压实、路床清理</w:t>
            </w:r>
          </w:p>
        </w:tc>
      </w:tr>
      <w:tr w14:paraId="0D187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405B59EE">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-b</w:t>
            </w:r>
          </w:p>
        </w:tc>
        <w:tc>
          <w:tcPr>
            <w:tcW w:w="1000" w:type="pct"/>
            <w:noWrap w:val="0"/>
            <w:vAlign w:val="center"/>
          </w:tcPr>
          <w:p w14:paraId="5DF96B7F">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挖石方</w:t>
            </w:r>
          </w:p>
        </w:tc>
        <w:tc>
          <w:tcPr>
            <w:tcW w:w="598" w:type="pct"/>
            <w:noWrap w:val="0"/>
            <w:vAlign w:val="center"/>
          </w:tcPr>
          <w:p w14:paraId="02A02F0F">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m³</w:t>
            </w:r>
          </w:p>
        </w:tc>
        <w:tc>
          <w:tcPr>
            <w:tcW w:w="1859" w:type="pct"/>
            <w:noWrap w:val="0"/>
            <w:vAlign w:val="center"/>
          </w:tcPr>
          <w:p w14:paraId="5F0704C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w:t>
            </w:r>
            <w:r>
              <w:rPr>
                <w:rFonts w:ascii="Times New Roman" w:hAnsi="Times New Roman" w:cs="宋体"/>
                <w:kern w:val="0"/>
                <w:sz w:val="22"/>
                <w:szCs w:val="21"/>
                <w:highlight w:val="none"/>
                <w:lang w:val="zh-CN" w:bidi="zh-CN"/>
              </w:rPr>
              <w:t>依据图纸所示地面线、路基设计横断面图、路基土石比例，按平均断面积法计算，包括边沟、排水沟、截水沟的石方，按照天然体积以立方米为单位计量；</w:t>
            </w:r>
          </w:p>
          <w:p w14:paraId="1DA6D51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w:t>
            </w:r>
            <w:r>
              <w:rPr>
                <w:rFonts w:ascii="Times New Roman" w:hAnsi="Times New Roman" w:cs="宋体"/>
                <w:kern w:val="0"/>
                <w:sz w:val="22"/>
                <w:szCs w:val="21"/>
                <w:highlight w:val="none"/>
                <w:lang w:val="zh-CN" w:bidi="zh-CN"/>
              </w:rPr>
              <w:t>凡超过图纸或监理人规定尺寸的开挖，均不予计量；</w:t>
            </w:r>
          </w:p>
          <w:p w14:paraId="12707CA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w:t>
            </w:r>
            <w:r>
              <w:rPr>
                <w:rFonts w:ascii="Times New Roman" w:hAnsi="Times New Roman" w:cs="宋体"/>
                <w:kern w:val="0"/>
                <w:sz w:val="22"/>
                <w:szCs w:val="21"/>
                <w:highlight w:val="none"/>
                <w:lang w:val="zh-CN" w:bidi="zh-CN"/>
              </w:rPr>
              <w:t>爆破安全措施、运输(不论运距远近)和堆放、质量检验、临时道路和临时排水均属于 附属工作，不另行计量与支 付；</w:t>
            </w:r>
          </w:p>
          <w:p w14:paraId="68FD612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w:t>
            </w:r>
            <w:r>
              <w:rPr>
                <w:rFonts w:ascii="Times New Roman" w:hAnsi="Times New Roman" w:cs="宋体"/>
                <w:kern w:val="0"/>
                <w:sz w:val="22"/>
                <w:szCs w:val="21"/>
                <w:highlight w:val="none"/>
                <w:lang w:val="zh-CN" w:bidi="zh-CN"/>
              </w:rPr>
              <w:t>挖台阶的土方作为附属工作，不另行计量</w:t>
            </w:r>
          </w:p>
        </w:tc>
        <w:tc>
          <w:tcPr>
            <w:tcW w:w="966" w:type="pct"/>
            <w:noWrap w:val="0"/>
            <w:vAlign w:val="center"/>
          </w:tcPr>
          <w:p w14:paraId="6D6AF06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w:t>
            </w:r>
            <w:r>
              <w:rPr>
                <w:rFonts w:ascii="Times New Roman" w:hAnsi="Times New Roman" w:cs="宋体"/>
                <w:kern w:val="0"/>
                <w:sz w:val="22"/>
                <w:szCs w:val="21"/>
                <w:highlight w:val="none"/>
                <w:lang w:val="zh-CN" w:bidi="zh-CN"/>
              </w:rPr>
              <w:t>石方爆破；</w:t>
            </w:r>
          </w:p>
          <w:p w14:paraId="3EA8E4C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w:t>
            </w:r>
            <w:r>
              <w:rPr>
                <w:rFonts w:ascii="Times New Roman" w:hAnsi="Times New Roman" w:cs="宋体"/>
                <w:kern w:val="0"/>
                <w:sz w:val="22"/>
                <w:szCs w:val="21"/>
                <w:highlight w:val="none"/>
                <w:lang w:val="zh-CN" w:bidi="zh-CN"/>
              </w:rPr>
              <w:t>挖、装、运输、卸车；</w:t>
            </w:r>
          </w:p>
          <w:p w14:paraId="6AB2236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w:t>
            </w:r>
            <w:r>
              <w:rPr>
                <w:rFonts w:ascii="Times New Roman" w:hAnsi="Times New Roman" w:cs="宋体"/>
                <w:kern w:val="0"/>
                <w:sz w:val="22"/>
                <w:szCs w:val="21"/>
                <w:highlight w:val="none"/>
                <w:lang w:val="zh-CN" w:bidi="zh-CN"/>
              </w:rPr>
              <w:t>填料分理、弃土整形、压实；</w:t>
            </w:r>
          </w:p>
          <w:p w14:paraId="14B9294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w:t>
            </w:r>
            <w:r>
              <w:rPr>
                <w:rFonts w:ascii="Times New Roman" w:hAnsi="Times New Roman" w:cs="宋体"/>
                <w:kern w:val="0"/>
                <w:sz w:val="22"/>
                <w:szCs w:val="21"/>
                <w:highlight w:val="none"/>
                <w:lang w:val="zh-CN" w:bidi="zh-CN"/>
              </w:rPr>
              <w:t>施工排水处理；</w:t>
            </w:r>
          </w:p>
          <w:p w14:paraId="489F294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w:t>
            </w:r>
            <w:r>
              <w:rPr>
                <w:rFonts w:ascii="Times New Roman" w:hAnsi="Times New Roman" w:cs="宋体"/>
                <w:kern w:val="0"/>
                <w:sz w:val="22"/>
                <w:szCs w:val="21"/>
                <w:highlight w:val="none"/>
                <w:lang w:val="zh-CN" w:bidi="zh-CN"/>
              </w:rPr>
              <w:t>边坡整修、路床顶面凿平或填平压实、路床清理</w:t>
            </w:r>
          </w:p>
        </w:tc>
      </w:tr>
      <w:tr w14:paraId="0021B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77676C7F">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-c</w:t>
            </w:r>
          </w:p>
        </w:tc>
        <w:tc>
          <w:tcPr>
            <w:tcW w:w="1000" w:type="pct"/>
            <w:noWrap w:val="0"/>
            <w:vAlign w:val="center"/>
          </w:tcPr>
          <w:p w14:paraId="4D55F6F3">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挖除非适用材料（不含淤泥）</w:t>
            </w:r>
          </w:p>
        </w:tc>
        <w:tc>
          <w:tcPr>
            <w:tcW w:w="598" w:type="pct"/>
            <w:noWrap w:val="0"/>
            <w:vAlign w:val="center"/>
          </w:tcPr>
          <w:p w14:paraId="4876094F">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m³</w:t>
            </w:r>
          </w:p>
        </w:tc>
        <w:tc>
          <w:tcPr>
            <w:tcW w:w="1859" w:type="pct"/>
            <w:noWrap w:val="0"/>
            <w:vAlign w:val="center"/>
          </w:tcPr>
          <w:p w14:paraId="05ADCCD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依据图纸所示位置，挖除路基范围内非适用材料（不含淤泥）以立方米为单位计量</w:t>
            </w:r>
          </w:p>
        </w:tc>
        <w:tc>
          <w:tcPr>
            <w:tcW w:w="966" w:type="pct"/>
            <w:noWrap w:val="0"/>
            <w:vAlign w:val="center"/>
          </w:tcPr>
          <w:p w14:paraId="56F2012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w:t>
            </w:r>
            <w:r>
              <w:rPr>
                <w:rFonts w:ascii="Times New Roman" w:hAnsi="Times New Roman" w:cs="宋体"/>
                <w:kern w:val="0"/>
                <w:sz w:val="22"/>
                <w:szCs w:val="21"/>
                <w:highlight w:val="none"/>
                <w:lang w:val="zh-CN" w:bidi="zh-CN"/>
              </w:rPr>
              <w:t>施工排水处理；</w:t>
            </w:r>
          </w:p>
          <w:p w14:paraId="56C98F7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w:t>
            </w:r>
            <w:r>
              <w:rPr>
                <w:rFonts w:ascii="Times New Roman" w:hAnsi="Times New Roman" w:cs="宋体"/>
                <w:kern w:val="0"/>
                <w:sz w:val="22"/>
                <w:szCs w:val="21"/>
                <w:highlight w:val="none"/>
                <w:lang w:val="zh-CN" w:bidi="zh-CN"/>
              </w:rPr>
              <w:t>挖除、装载、运输、卸车、堆放、弃土整形；</w:t>
            </w:r>
          </w:p>
          <w:p w14:paraId="76A0CD7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w:t>
            </w:r>
            <w:r>
              <w:rPr>
                <w:rFonts w:ascii="Times New Roman" w:hAnsi="Times New Roman" w:cs="宋体"/>
                <w:kern w:val="0"/>
                <w:sz w:val="22"/>
                <w:szCs w:val="21"/>
                <w:highlight w:val="none"/>
                <w:lang w:val="zh-CN" w:bidi="zh-CN"/>
              </w:rPr>
              <w:t>现场清理</w:t>
            </w:r>
          </w:p>
        </w:tc>
      </w:tr>
      <w:tr w14:paraId="275F4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1456EDF7">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-d</w:t>
            </w:r>
          </w:p>
        </w:tc>
        <w:tc>
          <w:tcPr>
            <w:tcW w:w="1000" w:type="pct"/>
            <w:noWrap w:val="0"/>
            <w:vAlign w:val="center"/>
          </w:tcPr>
          <w:p w14:paraId="1BBB7833">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挖淤泥</w:t>
            </w:r>
          </w:p>
        </w:tc>
        <w:tc>
          <w:tcPr>
            <w:tcW w:w="598" w:type="pct"/>
            <w:noWrap w:val="0"/>
            <w:vAlign w:val="center"/>
          </w:tcPr>
          <w:p w14:paraId="50174564">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m³</w:t>
            </w:r>
          </w:p>
        </w:tc>
        <w:tc>
          <w:tcPr>
            <w:tcW w:w="1859" w:type="pct"/>
            <w:noWrap w:val="0"/>
            <w:vAlign w:val="center"/>
          </w:tcPr>
          <w:p w14:paraId="65F3B67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依据图纸所示位置，挖除路基范围内淤泥以立方米为单位计量</w:t>
            </w:r>
          </w:p>
        </w:tc>
        <w:tc>
          <w:tcPr>
            <w:tcW w:w="966" w:type="pct"/>
            <w:noWrap w:val="0"/>
            <w:vAlign w:val="center"/>
          </w:tcPr>
          <w:p w14:paraId="2BFBE1E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w:t>
            </w:r>
            <w:r>
              <w:rPr>
                <w:rFonts w:ascii="Times New Roman" w:hAnsi="Times New Roman" w:cs="宋体"/>
                <w:kern w:val="0"/>
                <w:sz w:val="22"/>
                <w:szCs w:val="21"/>
                <w:highlight w:val="none"/>
                <w:lang w:val="zh-CN" w:bidi="zh-CN"/>
              </w:rPr>
              <w:t>施工排水处理；</w:t>
            </w:r>
          </w:p>
          <w:p w14:paraId="6B7655F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w:t>
            </w:r>
            <w:r>
              <w:rPr>
                <w:rFonts w:ascii="Times New Roman" w:hAnsi="Times New Roman" w:cs="宋体"/>
                <w:kern w:val="0"/>
                <w:sz w:val="22"/>
                <w:szCs w:val="21"/>
                <w:highlight w:val="none"/>
                <w:lang w:val="zh-CN" w:bidi="zh-CN"/>
              </w:rPr>
              <w:t>挖除、装载、运输、卸车、堆放、弃土整形；</w:t>
            </w:r>
          </w:p>
          <w:p w14:paraId="0E12247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w:t>
            </w:r>
            <w:r>
              <w:rPr>
                <w:rFonts w:ascii="Times New Roman" w:hAnsi="Times New Roman" w:cs="宋体"/>
                <w:kern w:val="0"/>
                <w:sz w:val="22"/>
                <w:szCs w:val="21"/>
                <w:highlight w:val="none"/>
                <w:lang w:val="zh-CN" w:bidi="zh-CN"/>
              </w:rPr>
              <w:t>现场清理</w:t>
            </w:r>
          </w:p>
        </w:tc>
      </w:tr>
      <w:tr w14:paraId="17E84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7601505A">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204-1</w:t>
            </w:r>
          </w:p>
        </w:tc>
        <w:tc>
          <w:tcPr>
            <w:tcW w:w="1000" w:type="pct"/>
            <w:noWrap w:val="0"/>
            <w:vAlign w:val="center"/>
          </w:tcPr>
          <w:p w14:paraId="62F65B97">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路基填筑（包</w:t>
            </w:r>
          </w:p>
          <w:p w14:paraId="271CCDF2">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括填前压实）</w:t>
            </w:r>
          </w:p>
        </w:tc>
        <w:tc>
          <w:tcPr>
            <w:tcW w:w="598" w:type="pct"/>
            <w:noWrap w:val="0"/>
            <w:vAlign w:val="center"/>
          </w:tcPr>
          <w:p w14:paraId="5B87B6E9">
            <w:pPr>
              <w:widowControl/>
              <w:autoSpaceDE w:val="0"/>
              <w:autoSpaceDN w:val="0"/>
              <w:spacing w:line="360" w:lineRule="auto"/>
              <w:jc w:val="center"/>
              <w:rPr>
                <w:rFonts w:ascii="Times New Roman" w:hAnsi="Times New Roman" w:cs="宋体"/>
                <w:kern w:val="0"/>
                <w:sz w:val="22"/>
                <w:szCs w:val="21"/>
                <w:highlight w:val="none"/>
                <w:lang w:val="zh-CN" w:bidi="zh-CN"/>
              </w:rPr>
            </w:pPr>
          </w:p>
        </w:tc>
        <w:tc>
          <w:tcPr>
            <w:tcW w:w="1859" w:type="pct"/>
            <w:noWrap w:val="0"/>
            <w:vAlign w:val="center"/>
          </w:tcPr>
          <w:p w14:paraId="1403CAD6">
            <w:pPr>
              <w:widowControl/>
              <w:autoSpaceDE w:val="0"/>
              <w:autoSpaceDN w:val="0"/>
              <w:spacing w:line="360" w:lineRule="auto"/>
              <w:jc w:val="left"/>
              <w:rPr>
                <w:rFonts w:ascii="Times New Roman" w:hAnsi="Times New Roman" w:cs="宋体"/>
                <w:kern w:val="0"/>
                <w:sz w:val="22"/>
                <w:szCs w:val="21"/>
                <w:highlight w:val="none"/>
                <w:lang w:val="zh-CN" w:bidi="zh-CN"/>
              </w:rPr>
            </w:pPr>
          </w:p>
        </w:tc>
        <w:tc>
          <w:tcPr>
            <w:tcW w:w="966" w:type="pct"/>
            <w:noWrap w:val="0"/>
            <w:vAlign w:val="center"/>
          </w:tcPr>
          <w:p w14:paraId="2F159BDA">
            <w:pPr>
              <w:widowControl/>
              <w:autoSpaceDE w:val="0"/>
              <w:autoSpaceDN w:val="0"/>
              <w:spacing w:line="360" w:lineRule="auto"/>
              <w:jc w:val="left"/>
              <w:rPr>
                <w:rFonts w:ascii="Times New Roman" w:hAnsi="Times New Roman" w:cs="宋体"/>
                <w:kern w:val="0"/>
                <w:sz w:val="22"/>
                <w:szCs w:val="21"/>
                <w:highlight w:val="none"/>
                <w:lang w:val="zh-CN" w:bidi="zh-CN"/>
              </w:rPr>
            </w:pPr>
          </w:p>
        </w:tc>
      </w:tr>
      <w:tr w14:paraId="6CE33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2888407E">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-a</w:t>
            </w:r>
          </w:p>
        </w:tc>
        <w:tc>
          <w:tcPr>
            <w:tcW w:w="1000" w:type="pct"/>
            <w:noWrap w:val="0"/>
            <w:vAlign w:val="center"/>
          </w:tcPr>
          <w:p w14:paraId="369461A5">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利用土方</w:t>
            </w:r>
          </w:p>
        </w:tc>
        <w:tc>
          <w:tcPr>
            <w:tcW w:w="598" w:type="pct"/>
            <w:noWrap w:val="0"/>
            <w:vAlign w:val="center"/>
          </w:tcPr>
          <w:p w14:paraId="53E77D2E">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m³</w:t>
            </w:r>
          </w:p>
        </w:tc>
        <w:tc>
          <w:tcPr>
            <w:tcW w:w="1859" w:type="pct"/>
            <w:noWrap w:val="0"/>
            <w:vAlign w:val="center"/>
          </w:tcPr>
          <w:p w14:paraId="659B9D7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w:t>
            </w:r>
            <w:r>
              <w:rPr>
                <w:rFonts w:ascii="Times New Roman" w:hAnsi="Times New Roman" w:cs="宋体"/>
                <w:kern w:val="0"/>
                <w:sz w:val="22"/>
                <w:szCs w:val="21"/>
                <w:highlight w:val="none"/>
                <w:lang w:val="zh-CN" w:bidi="zh-CN"/>
              </w:rPr>
              <w:t>依据图纸所示地面线、路基设计横断面图，按平均断面面积法计算压实的体积，以立方米为单位计量；</w:t>
            </w:r>
          </w:p>
          <w:p w14:paraId="71D764F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w:t>
            </w:r>
            <w:r>
              <w:rPr>
                <w:rFonts w:ascii="Times New Roman" w:hAnsi="Times New Roman" w:cs="宋体"/>
                <w:kern w:val="0"/>
                <w:sz w:val="22"/>
                <w:szCs w:val="21"/>
                <w:highlight w:val="none"/>
                <w:lang w:val="zh-CN" w:bidi="zh-CN"/>
              </w:rPr>
              <w:t>当填料中石料含量小于30%时，适用于本条</w:t>
            </w:r>
            <w:r>
              <w:rPr>
                <w:rFonts w:hint="eastAsia" w:ascii="Times New Roman" w:hAnsi="Times New Roman" w:cs="宋体"/>
                <w:kern w:val="0"/>
                <w:sz w:val="22"/>
                <w:szCs w:val="21"/>
                <w:highlight w:val="none"/>
                <w:lang w:val="zh-CN" w:bidi="zh-CN"/>
              </w:rPr>
              <w:t>；</w:t>
            </w:r>
          </w:p>
          <w:p w14:paraId="3B92CDB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w:t>
            </w:r>
            <w:r>
              <w:rPr>
                <w:rFonts w:ascii="Times New Roman" w:hAnsi="Times New Roman" w:cs="宋体"/>
                <w:kern w:val="0"/>
                <w:sz w:val="22"/>
                <w:szCs w:val="21"/>
                <w:highlight w:val="none"/>
                <w:lang w:val="zh-CN" w:bidi="zh-CN"/>
              </w:rPr>
              <w:t>满足施工需要，预留路基宽度宽填的填方量作为路基填筑的附属工作，不另行计量；</w:t>
            </w:r>
          </w:p>
          <w:p w14:paraId="6404BF5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w:t>
            </w:r>
            <w:r>
              <w:rPr>
                <w:rFonts w:ascii="Times New Roman" w:hAnsi="Times New Roman" w:cs="宋体"/>
                <w:kern w:val="0"/>
                <w:sz w:val="22"/>
                <w:szCs w:val="21"/>
                <w:highlight w:val="none"/>
                <w:lang w:val="zh-CN" w:bidi="zh-CN"/>
              </w:rPr>
              <w:t>填前压实、地面下沉增加的填方量，不另行计量；</w:t>
            </w:r>
          </w:p>
          <w:p w14:paraId="6982F11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w:t>
            </w:r>
            <w:r>
              <w:rPr>
                <w:rFonts w:ascii="Times New Roman" w:hAnsi="Times New Roman" w:cs="宋体"/>
                <w:kern w:val="0"/>
                <w:sz w:val="22"/>
                <w:szCs w:val="21"/>
                <w:highlight w:val="none"/>
                <w:lang w:val="zh-CN" w:bidi="zh-CN"/>
              </w:rPr>
              <w:t>结构物台背回填的回填材料、摊平、压实、整形以及台后排水等一切与此有关作业已包含在相关子目中，均不另行计量，但桥梁及明涵的搭板、埋板下的路面结构层在相应章节内计量</w:t>
            </w:r>
          </w:p>
        </w:tc>
        <w:tc>
          <w:tcPr>
            <w:tcW w:w="966" w:type="pct"/>
            <w:noWrap w:val="0"/>
            <w:vAlign w:val="center"/>
          </w:tcPr>
          <w:p w14:paraId="5BE0679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w:t>
            </w:r>
            <w:r>
              <w:rPr>
                <w:rFonts w:ascii="Times New Roman" w:hAnsi="Times New Roman" w:cs="宋体"/>
                <w:kern w:val="0"/>
                <w:sz w:val="22"/>
                <w:szCs w:val="21"/>
                <w:highlight w:val="none"/>
                <w:lang w:val="zh-CN" w:bidi="zh-CN"/>
              </w:rPr>
              <w:t>基底翻松、压实、挖台阶；</w:t>
            </w:r>
          </w:p>
          <w:p w14:paraId="00F89B8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w:t>
            </w:r>
            <w:r>
              <w:rPr>
                <w:rFonts w:ascii="Times New Roman" w:hAnsi="Times New Roman" w:cs="宋体"/>
                <w:kern w:val="0"/>
                <w:sz w:val="22"/>
                <w:szCs w:val="21"/>
                <w:highlight w:val="none"/>
                <w:lang w:val="zh-CN" w:bidi="zh-CN"/>
              </w:rPr>
              <w:t>临时排水、翻晒；</w:t>
            </w:r>
          </w:p>
          <w:p w14:paraId="25CCABE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w:t>
            </w:r>
            <w:r>
              <w:rPr>
                <w:rFonts w:ascii="Times New Roman" w:hAnsi="Times New Roman" w:cs="宋体"/>
                <w:kern w:val="0"/>
                <w:sz w:val="22"/>
                <w:szCs w:val="21"/>
                <w:highlight w:val="none"/>
                <w:lang w:val="zh-CN" w:bidi="zh-CN"/>
              </w:rPr>
              <w:t>装、卸、运输、分层摊铺；</w:t>
            </w:r>
          </w:p>
          <w:p w14:paraId="2235265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w:t>
            </w:r>
            <w:r>
              <w:rPr>
                <w:rFonts w:ascii="Times New Roman" w:hAnsi="Times New Roman" w:cs="宋体"/>
                <w:kern w:val="0"/>
                <w:sz w:val="22"/>
                <w:szCs w:val="21"/>
                <w:highlight w:val="none"/>
                <w:lang w:val="zh-CN" w:bidi="zh-CN"/>
              </w:rPr>
              <w:t>洒水、压实、刷坡；</w:t>
            </w:r>
          </w:p>
          <w:p w14:paraId="10B5DBA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w:t>
            </w:r>
            <w:r>
              <w:rPr>
                <w:rFonts w:ascii="Times New Roman" w:hAnsi="Times New Roman" w:cs="宋体"/>
                <w:kern w:val="0"/>
                <w:sz w:val="22"/>
                <w:szCs w:val="21"/>
                <w:highlight w:val="none"/>
                <w:lang w:val="zh-CN" w:bidi="zh-CN"/>
              </w:rPr>
              <w:t>整形</w:t>
            </w:r>
          </w:p>
        </w:tc>
      </w:tr>
      <w:tr w14:paraId="0F35E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05AED038">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-b</w:t>
            </w:r>
          </w:p>
        </w:tc>
        <w:tc>
          <w:tcPr>
            <w:tcW w:w="1000" w:type="pct"/>
            <w:noWrap w:val="0"/>
            <w:vAlign w:val="center"/>
          </w:tcPr>
          <w:p w14:paraId="3DD99621">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利用石方</w:t>
            </w:r>
          </w:p>
        </w:tc>
        <w:tc>
          <w:tcPr>
            <w:tcW w:w="598" w:type="pct"/>
            <w:noWrap w:val="0"/>
            <w:vAlign w:val="center"/>
          </w:tcPr>
          <w:p w14:paraId="4EF680E2">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m³</w:t>
            </w:r>
          </w:p>
        </w:tc>
        <w:tc>
          <w:tcPr>
            <w:tcW w:w="1859" w:type="pct"/>
            <w:noWrap w:val="0"/>
            <w:vAlign w:val="center"/>
          </w:tcPr>
          <w:p w14:paraId="430C0C4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w:t>
            </w:r>
            <w:r>
              <w:rPr>
                <w:rFonts w:ascii="Times New Roman" w:hAnsi="Times New Roman" w:cs="宋体"/>
                <w:kern w:val="0"/>
                <w:sz w:val="22"/>
                <w:szCs w:val="21"/>
                <w:highlight w:val="none"/>
                <w:lang w:val="zh-CN" w:bidi="zh-CN"/>
              </w:rPr>
              <w:t>依据图纸所示地面线、路基设计横断面图，按平均断面面积法计算压实的体积，以立方米为单位计量；</w:t>
            </w:r>
          </w:p>
          <w:p w14:paraId="6DE6723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w:t>
            </w:r>
            <w:r>
              <w:rPr>
                <w:rFonts w:ascii="Times New Roman" w:hAnsi="Times New Roman" w:cs="宋体"/>
                <w:kern w:val="0"/>
                <w:sz w:val="22"/>
                <w:szCs w:val="21"/>
                <w:highlight w:val="none"/>
                <w:lang w:val="zh-CN" w:bidi="zh-CN"/>
              </w:rPr>
              <w:t>当填料中石料含量大于70%时，适用于本条；</w:t>
            </w:r>
          </w:p>
          <w:p w14:paraId="6F8F7A7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w:t>
            </w:r>
            <w:r>
              <w:rPr>
                <w:rFonts w:ascii="Times New Roman" w:hAnsi="Times New Roman" w:cs="宋体"/>
                <w:kern w:val="0"/>
                <w:sz w:val="22"/>
                <w:szCs w:val="21"/>
                <w:highlight w:val="none"/>
                <w:lang w:val="zh-CN" w:bidi="zh-CN"/>
              </w:rPr>
              <w:t>填前压实、地面下沉增加的填方量，不另行计量；</w:t>
            </w:r>
          </w:p>
          <w:p w14:paraId="4B20C22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w:t>
            </w:r>
            <w:r>
              <w:rPr>
                <w:rFonts w:ascii="Times New Roman" w:hAnsi="Times New Roman" w:cs="宋体"/>
                <w:kern w:val="0"/>
                <w:sz w:val="22"/>
                <w:szCs w:val="21"/>
                <w:highlight w:val="none"/>
                <w:lang w:val="zh-CN" w:bidi="zh-CN"/>
              </w:rPr>
              <w:t>结构物台背回填的回填材料、摊平、压实、整形以及台后排水等一切与此有关作业均不另行计量，但桥梁及明涵的搭板、埋板下的路面结构层在相应章节内计量</w:t>
            </w:r>
          </w:p>
        </w:tc>
        <w:tc>
          <w:tcPr>
            <w:tcW w:w="966" w:type="pct"/>
            <w:noWrap w:val="0"/>
            <w:vAlign w:val="center"/>
          </w:tcPr>
          <w:p w14:paraId="5BE6584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w:t>
            </w:r>
            <w:r>
              <w:rPr>
                <w:rFonts w:ascii="Times New Roman" w:hAnsi="Times New Roman" w:cs="宋体"/>
                <w:kern w:val="0"/>
                <w:sz w:val="22"/>
                <w:szCs w:val="21"/>
                <w:highlight w:val="none"/>
                <w:lang w:val="zh-CN" w:bidi="zh-CN"/>
              </w:rPr>
              <w:t>基底翻松、压实，挖台阶；</w:t>
            </w:r>
          </w:p>
          <w:p w14:paraId="79B2947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w:t>
            </w:r>
            <w:r>
              <w:rPr>
                <w:rFonts w:ascii="Times New Roman" w:hAnsi="Times New Roman" w:cs="宋体"/>
                <w:kern w:val="0"/>
                <w:sz w:val="22"/>
                <w:szCs w:val="21"/>
                <w:highlight w:val="none"/>
                <w:lang w:val="zh-CN" w:bidi="zh-CN"/>
              </w:rPr>
              <w:t>临时排水、翻晒；</w:t>
            </w:r>
          </w:p>
          <w:p w14:paraId="341F73B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w:t>
            </w:r>
            <w:r>
              <w:rPr>
                <w:rFonts w:ascii="Times New Roman" w:hAnsi="Times New Roman" w:cs="宋体"/>
                <w:kern w:val="0"/>
                <w:sz w:val="22"/>
                <w:szCs w:val="21"/>
                <w:highlight w:val="none"/>
                <w:lang w:val="zh-CN" w:bidi="zh-CN"/>
              </w:rPr>
              <w:t>装、卸、运输、边坡码砌；</w:t>
            </w:r>
          </w:p>
          <w:p w14:paraId="3875A7F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w:t>
            </w:r>
            <w:r>
              <w:rPr>
                <w:rFonts w:ascii="Times New Roman" w:hAnsi="Times New Roman" w:cs="宋体"/>
                <w:kern w:val="0"/>
                <w:sz w:val="22"/>
                <w:szCs w:val="21"/>
                <w:highlight w:val="none"/>
                <w:lang w:val="zh-CN" w:bidi="zh-CN"/>
              </w:rPr>
              <w:t>分层摊铺；</w:t>
            </w:r>
          </w:p>
          <w:p w14:paraId="081B87A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w:t>
            </w:r>
            <w:r>
              <w:rPr>
                <w:rFonts w:ascii="Times New Roman" w:hAnsi="Times New Roman" w:cs="宋体"/>
                <w:kern w:val="0"/>
                <w:sz w:val="22"/>
                <w:szCs w:val="21"/>
                <w:highlight w:val="none"/>
                <w:lang w:val="zh-CN" w:bidi="zh-CN"/>
              </w:rPr>
              <w:t>小石块（或石屑）填缝、找补。</w:t>
            </w:r>
          </w:p>
          <w:p w14:paraId="25EEFAA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w:t>
            </w:r>
            <w:r>
              <w:rPr>
                <w:rFonts w:ascii="Times New Roman" w:hAnsi="Times New Roman" w:cs="宋体"/>
                <w:kern w:val="0"/>
                <w:sz w:val="22"/>
                <w:szCs w:val="21"/>
                <w:highlight w:val="none"/>
                <w:lang w:val="zh-CN" w:bidi="zh-CN"/>
              </w:rPr>
              <w:t>洒水、压实、；</w:t>
            </w:r>
          </w:p>
          <w:p w14:paraId="794A611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7.</w:t>
            </w:r>
            <w:r>
              <w:rPr>
                <w:rFonts w:ascii="Times New Roman" w:hAnsi="Times New Roman" w:cs="宋体"/>
                <w:kern w:val="0"/>
                <w:sz w:val="22"/>
                <w:szCs w:val="21"/>
                <w:highlight w:val="none"/>
                <w:lang w:val="zh-CN" w:bidi="zh-CN"/>
              </w:rPr>
              <w:t>整型</w:t>
            </w:r>
          </w:p>
        </w:tc>
      </w:tr>
      <w:tr w14:paraId="2B5AE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1D7960F2">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-c</w:t>
            </w:r>
          </w:p>
        </w:tc>
        <w:tc>
          <w:tcPr>
            <w:tcW w:w="1000" w:type="pct"/>
            <w:noWrap w:val="0"/>
            <w:vAlign w:val="center"/>
          </w:tcPr>
          <w:p w14:paraId="1DA2B3E1">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借土填方</w:t>
            </w:r>
          </w:p>
        </w:tc>
        <w:tc>
          <w:tcPr>
            <w:tcW w:w="598" w:type="pct"/>
            <w:noWrap w:val="0"/>
            <w:vAlign w:val="center"/>
          </w:tcPr>
          <w:p w14:paraId="3BE8699D">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m³</w:t>
            </w:r>
          </w:p>
        </w:tc>
        <w:tc>
          <w:tcPr>
            <w:tcW w:w="1859" w:type="pct"/>
            <w:noWrap w:val="0"/>
            <w:vAlign w:val="center"/>
          </w:tcPr>
          <w:p w14:paraId="2AD00B7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1.依据图纸所示地面线、路基设计横断面图，按平均断面面积法计算压实的体积，以立方米为单位计量；</w:t>
            </w:r>
          </w:p>
          <w:p w14:paraId="3B95DBC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2.借土场的绿化、原地表土的回填、防护工程、排水设施等均作为附属工作，不另行计量；</w:t>
            </w:r>
          </w:p>
          <w:p w14:paraId="6F54E77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3.满足施工需要，预留路基宽度宽填的填方量作为路基填筑的附属工作，不另行计量；</w:t>
            </w:r>
          </w:p>
          <w:p w14:paraId="3352C85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4.填前压实、地面下沉增加的填方量，不另行计量；</w:t>
            </w:r>
          </w:p>
          <w:p w14:paraId="05D16F7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5.结构物台背回填的回填材料、摊平、压实、整形以及台后排水等一切与此有关作业均不另行计量，但桥梁及明涵的搭板、埋板下的路面结构层在相应章节内计量</w:t>
            </w:r>
          </w:p>
        </w:tc>
        <w:tc>
          <w:tcPr>
            <w:tcW w:w="966" w:type="pct"/>
            <w:noWrap w:val="0"/>
            <w:vAlign w:val="center"/>
          </w:tcPr>
          <w:p w14:paraId="19D0342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1.借土场场地清理、清除不适用材料；</w:t>
            </w:r>
          </w:p>
          <w:p w14:paraId="71CBB7F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2.简易便道、基底翻松、压实、挖台阶；</w:t>
            </w:r>
          </w:p>
          <w:p w14:paraId="596B93A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3.挖、装、运输、卸车；</w:t>
            </w:r>
          </w:p>
          <w:p w14:paraId="732A1E9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4.分层摊铺；</w:t>
            </w:r>
          </w:p>
          <w:p w14:paraId="75C20F6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5.洒水、压实、刷坡；</w:t>
            </w:r>
          </w:p>
          <w:p w14:paraId="18EE328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6.施工排水处理；</w:t>
            </w:r>
          </w:p>
          <w:p w14:paraId="05CD2E6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7.整形</w:t>
            </w:r>
          </w:p>
        </w:tc>
      </w:tr>
      <w:tr w14:paraId="49548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3C65CCAE">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-d</w:t>
            </w:r>
          </w:p>
        </w:tc>
        <w:tc>
          <w:tcPr>
            <w:tcW w:w="1000" w:type="pct"/>
            <w:noWrap w:val="0"/>
            <w:vAlign w:val="center"/>
          </w:tcPr>
          <w:p w14:paraId="002D452D">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借石填方</w:t>
            </w:r>
          </w:p>
        </w:tc>
        <w:tc>
          <w:tcPr>
            <w:tcW w:w="598" w:type="pct"/>
            <w:noWrap w:val="0"/>
            <w:vAlign w:val="center"/>
          </w:tcPr>
          <w:p w14:paraId="4EDAF881">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m³</w:t>
            </w:r>
          </w:p>
        </w:tc>
        <w:tc>
          <w:tcPr>
            <w:tcW w:w="1859" w:type="pct"/>
            <w:noWrap w:val="0"/>
            <w:vAlign w:val="center"/>
          </w:tcPr>
          <w:p w14:paraId="442A315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1.依据图纸所示地面线、路基设计横断面图，按平均断面面积法计算压实的体积，以立方米为单位计量；</w:t>
            </w:r>
          </w:p>
          <w:p w14:paraId="2728C94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2.借土场的绿化、原地表土的回填、防护工程、排水设施等均作为附属工作，不另行计量；</w:t>
            </w:r>
          </w:p>
          <w:p w14:paraId="6A77AB9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3.满足施工需要，预留路基宽度宽填的填方量作为路基填筑的附属工作，不另行计</w:t>
            </w:r>
            <w:r>
              <w:rPr>
                <w:rFonts w:ascii="Times New Roman" w:hAnsi="Times New Roman" w:cs="宋体"/>
                <w:kern w:val="0"/>
                <w:sz w:val="22"/>
                <w:szCs w:val="21"/>
                <w:highlight w:val="none"/>
                <w:lang w:val="zh-CN" w:bidi="zh-CN"/>
              </w:rPr>
              <w:t>量；</w:t>
            </w:r>
            <w:r>
              <w:rPr>
                <w:rFonts w:hint="eastAsia" w:ascii="Times New Roman" w:hAnsi="Times New Roman" w:cs="宋体"/>
                <w:kern w:val="0"/>
                <w:sz w:val="22"/>
                <w:szCs w:val="21"/>
                <w:highlight w:val="none"/>
                <w:lang w:val="zh-CN" w:bidi="zh-CN"/>
              </w:rPr>
              <w:t>4.</w:t>
            </w:r>
            <w:r>
              <w:rPr>
                <w:rFonts w:ascii="Times New Roman" w:hAnsi="Times New Roman" w:cs="宋体"/>
                <w:kern w:val="0"/>
                <w:sz w:val="22"/>
                <w:szCs w:val="21"/>
                <w:highlight w:val="none"/>
                <w:lang w:val="zh-CN" w:bidi="zh-CN"/>
              </w:rPr>
              <w:t>填前压实、地面下沉增加的填方量，不另行计量；</w:t>
            </w:r>
          </w:p>
          <w:p w14:paraId="1D19090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w:t>
            </w:r>
            <w:r>
              <w:rPr>
                <w:rFonts w:ascii="Times New Roman" w:hAnsi="Times New Roman" w:cs="宋体"/>
                <w:kern w:val="0"/>
                <w:sz w:val="22"/>
                <w:szCs w:val="21"/>
                <w:highlight w:val="none"/>
                <w:lang w:val="zh-CN" w:bidi="zh-CN"/>
              </w:rPr>
              <w:t>结构物台背回填的回填材料、摊平、压实、整形以及台后排水等一切与此有关作业均不另行计量，但桥梁及明涵的搭板、埋板下的路面结构层在相应章节内计量</w:t>
            </w:r>
          </w:p>
        </w:tc>
        <w:tc>
          <w:tcPr>
            <w:tcW w:w="966" w:type="pct"/>
            <w:noWrap w:val="0"/>
            <w:vAlign w:val="center"/>
          </w:tcPr>
          <w:p w14:paraId="1AB8E84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1.借土场场地清理、清除不适用材料；</w:t>
            </w:r>
          </w:p>
          <w:p w14:paraId="3B2A0FA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2.简易便道、基底翻松、压实、挖台阶；</w:t>
            </w:r>
          </w:p>
          <w:p w14:paraId="6F5F13E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3.挖、装、运输、卸车；</w:t>
            </w:r>
          </w:p>
          <w:p w14:paraId="6C46FDD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4.分层摊铺；</w:t>
            </w:r>
          </w:p>
          <w:p w14:paraId="30B4277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5.洒水、压实、土质护坡；</w:t>
            </w:r>
          </w:p>
          <w:p w14:paraId="3C081CD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6.施工排水处理；</w:t>
            </w:r>
          </w:p>
          <w:p w14:paraId="76273A0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7.整型</w:t>
            </w:r>
          </w:p>
        </w:tc>
      </w:tr>
      <w:tr w14:paraId="18595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51072EC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-e</w:t>
            </w:r>
          </w:p>
        </w:tc>
        <w:tc>
          <w:tcPr>
            <w:tcW w:w="1000" w:type="pct"/>
            <w:noWrap w:val="0"/>
            <w:vAlign w:val="center"/>
          </w:tcPr>
          <w:p w14:paraId="2D0753B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反压护坡道</w:t>
            </w:r>
          </w:p>
        </w:tc>
        <w:tc>
          <w:tcPr>
            <w:tcW w:w="598" w:type="pct"/>
            <w:noWrap w:val="0"/>
            <w:vAlign w:val="center"/>
          </w:tcPr>
          <w:p w14:paraId="7CCA267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1859" w:type="pct"/>
            <w:noWrap w:val="0"/>
            <w:vAlign w:val="center"/>
          </w:tcPr>
          <w:p w14:paraId="185A7E7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1.依据图纸所示路基设计横断面图，按平均断面面积法计算压实的体积，以立方米为单位计量；</w:t>
            </w:r>
          </w:p>
          <w:p w14:paraId="00D413E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2.满足施工需要，预留路基宽度宽填的填方量作为路基填筑的附属工作，不另行计量；</w:t>
            </w:r>
          </w:p>
          <w:p w14:paraId="22CD869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3.填前压实、地面下沉增加的填方量，不另行计量</w:t>
            </w:r>
          </w:p>
        </w:tc>
        <w:tc>
          <w:tcPr>
            <w:tcW w:w="966" w:type="pct"/>
            <w:noWrap w:val="0"/>
            <w:vAlign w:val="center"/>
          </w:tcPr>
          <w:p w14:paraId="62924EC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p w14:paraId="4940A46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1.基底翻松、压实、挖台阶；</w:t>
            </w:r>
          </w:p>
          <w:p w14:paraId="7852528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2.临时排水、翻晒；</w:t>
            </w:r>
          </w:p>
          <w:p w14:paraId="21B566A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3.装、卸、运输、分层摊铺；</w:t>
            </w:r>
          </w:p>
          <w:p w14:paraId="476B138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4.洒水、压实；</w:t>
            </w:r>
          </w:p>
          <w:p w14:paraId="085E6B4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5.整形</w:t>
            </w:r>
          </w:p>
        </w:tc>
      </w:tr>
      <w:tr w14:paraId="20162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2CE8459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204-2</w:t>
            </w:r>
          </w:p>
        </w:tc>
        <w:tc>
          <w:tcPr>
            <w:tcW w:w="1000" w:type="pct"/>
            <w:noWrap w:val="0"/>
            <w:vAlign w:val="center"/>
          </w:tcPr>
          <w:p w14:paraId="4B207DA2">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改河、改渠、改路填筑</w:t>
            </w:r>
          </w:p>
        </w:tc>
        <w:tc>
          <w:tcPr>
            <w:tcW w:w="598" w:type="pct"/>
            <w:noWrap w:val="0"/>
            <w:vAlign w:val="center"/>
          </w:tcPr>
          <w:p w14:paraId="3A14730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859" w:type="pct"/>
            <w:noWrap w:val="0"/>
            <w:vAlign w:val="center"/>
          </w:tcPr>
          <w:p w14:paraId="12C577C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966" w:type="pct"/>
            <w:noWrap w:val="0"/>
            <w:vAlign w:val="center"/>
          </w:tcPr>
          <w:p w14:paraId="37FCE96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r>
      <w:tr w14:paraId="10D40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6C4D77C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-a</w:t>
            </w:r>
          </w:p>
        </w:tc>
        <w:tc>
          <w:tcPr>
            <w:tcW w:w="1000" w:type="pct"/>
            <w:noWrap w:val="0"/>
            <w:vAlign w:val="center"/>
          </w:tcPr>
          <w:p w14:paraId="48730B7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利用土方</w:t>
            </w:r>
          </w:p>
        </w:tc>
        <w:tc>
          <w:tcPr>
            <w:tcW w:w="598" w:type="pct"/>
            <w:noWrap w:val="0"/>
            <w:vAlign w:val="center"/>
          </w:tcPr>
          <w:p w14:paraId="6F455D8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1859" w:type="pct"/>
            <w:noWrap w:val="0"/>
            <w:vAlign w:val="center"/>
          </w:tcPr>
          <w:p w14:paraId="684EC44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1.依据图纸所示地面线、路基设计横断面图，按平均断面面积法计算压实的体积，以立方米为单位计量；</w:t>
            </w:r>
          </w:p>
          <w:p w14:paraId="002F9AC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2.当填料中石料含量小于30%时，适用于本条；</w:t>
            </w:r>
          </w:p>
          <w:p w14:paraId="3D24367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3.满足施工需要，预留路基宽度宽填的填方量作为路基填筑的附属工作，不另行计量；</w:t>
            </w:r>
          </w:p>
          <w:p w14:paraId="382E1EE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4.填前压实、地面下沉增加的填方量，不另行计量；</w:t>
            </w:r>
          </w:p>
          <w:p w14:paraId="0A35548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5.结构物台背回填的回填材料、摊平、压实、整形以及台后排水等一切与此有关作业已包含在相关子目中，均不另行计量，但桥梁及明涵的搭板、埋板下的路面结构层在相应章节内计量</w:t>
            </w:r>
          </w:p>
        </w:tc>
        <w:tc>
          <w:tcPr>
            <w:tcW w:w="966" w:type="pct"/>
            <w:noWrap w:val="0"/>
            <w:vAlign w:val="center"/>
          </w:tcPr>
          <w:p w14:paraId="52E8C99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p w14:paraId="23AC6BC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p w14:paraId="5439CBF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p w14:paraId="11D5FB3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p w14:paraId="31FD3C7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p w14:paraId="71FDF44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p w14:paraId="4810272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p w14:paraId="0BEF4C9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1.基底翻松、压实、挖台阶；</w:t>
            </w:r>
          </w:p>
          <w:p w14:paraId="475DCE2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2.临时排水、翻晒；</w:t>
            </w:r>
          </w:p>
          <w:p w14:paraId="14FCFAE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3.装、卸、运输、分层摊铺；</w:t>
            </w:r>
          </w:p>
          <w:p w14:paraId="7AE9AC2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4.洒水、压实、刷坡；</w:t>
            </w:r>
          </w:p>
          <w:p w14:paraId="7942208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5.整形</w:t>
            </w:r>
          </w:p>
        </w:tc>
      </w:tr>
      <w:tr w14:paraId="127F2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4EC7DBE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-b</w:t>
            </w:r>
          </w:p>
        </w:tc>
        <w:tc>
          <w:tcPr>
            <w:tcW w:w="1000" w:type="pct"/>
            <w:noWrap w:val="0"/>
            <w:vAlign w:val="center"/>
          </w:tcPr>
          <w:p w14:paraId="0EF9974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利用石方</w:t>
            </w:r>
          </w:p>
        </w:tc>
        <w:tc>
          <w:tcPr>
            <w:tcW w:w="598" w:type="pct"/>
            <w:noWrap w:val="0"/>
            <w:vAlign w:val="center"/>
          </w:tcPr>
          <w:p w14:paraId="2CBE1F2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1859" w:type="pct"/>
            <w:noWrap w:val="0"/>
            <w:vAlign w:val="center"/>
          </w:tcPr>
          <w:p w14:paraId="2F80A30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1.依据图纸所示地面线、路基设计横断面图，按平均断面面积法计算压实的体积，以立方米为单位计量；</w:t>
            </w:r>
          </w:p>
          <w:p w14:paraId="22D82CF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2.当填料中石料含量大于70%时，适用于本条；</w:t>
            </w:r>
          </w:p>
          <w:p w14:paraId="7671C10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3.满足施工需要，预留路基宽度宽填的填方量作为路基填筑的附属工作，不另行计量；4..填前压实、地面下沉增加的填方量，不另行计量；</w:t>
            </w:r>
          </w:p>
          <w:p w14:paraId="28D30F9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5..结构物台背回填的回填材料、摊平、压实、整形以及台后排水等一切与此有关作业均不另行计量，但桥梁及明涵的搭板、埋板下的路面结构层在相应章节内计量</w:t>
            </w:r>
          </w:p>
        </w:tc>
        <w:tc>
          <w:tcPr>
            <w:tcW w:w="966" w:type="pct"/>
            <w:noWrap w:val="0"/>
            <w:vAlign w:val="center"/>
          </w:tcPr>
          <w:p w14:paraId="497BD23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1.基底翻松、压实，挖台阶；</w:t>
            </w:r>
          </w:p>
          <w:p w14:paraId="55AFB99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2.临时排水、翻晒；</w:t>
            </w:r>
          </w:p>
          <w:p w14:paraId="67B025E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3.装、卸、运输、边坡码砌；</w:t>
            </w:r>
          </w:p>
          <w:p w14:paraId="1CD01E8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4.分层摊铺；</w:t>
            </w:r>
          </w:p>
          <w:p w14:paraId="6656681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5.小石块（或石屑）填缝、找补。</w:t>
            </w:r>
          </w:p>
          <w:p w14:paraId="2DB23A5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6.洒水、压实、；</w:t>
            </w:r>
          </w:p>
          <w:p w14:paraId="7D183D6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7.整型</w:t>
            </w:r>
          </w:p>
        </w:tc>
      </w:tr>
      <w:tr w14:paraId="23FBE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1A334D7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-c</w:t>
            </w:r>
          </w:p>
        </w:tc>
        <w:tc>
          <w:tcPr>
            <w:tcW w:w="1000" w:type="pct"/>
            <w:noWrap w:val="0"/>
            <w:vAlign w:val="center"/>
          </w:tcPr>
          <w:p w14:paraId="5CDBFEC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借土填方</w:t>
            </w:r>
          </w:p>
        </w:tc>
        <w:tc>
          <w:tcPr>
            <w:tcW w:w="598" w:type="pct"/>
            <w:noWrap w:val="0"/>
            <w:vAlign w:val="center"/>
          </w:tcPr>
          <w:p w14:paraId="04A426E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1859" w:type="pct"/>
            <w:noWrap w:val="0"/>
            <w:vAlign w:val="top"/>
          </w:tcPr>
          <w:p w14:paraId="1D187FF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1.依据图纸所示地面线、路基设计横断面图，按平均断面面积法计算压实的体积，以立方米为单位计量；</w:t>
            </w:r>
          </w:p>
          <w:p w14:paraId="68042A3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2.借土场的绿化、原地表土的回填、防护工程、排水设施等均作为附属工作，不另行计量；</w:t>
            </w:r>
          </w:p>
          <w:p w14:paraId="4C86B58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3.满足施工需要，预留路基宽度宽填的填方量作为路基填筑的附属工作，不另行计量；</w:t>
            </w:r>
          </w:p>
          <w:p w14:paraId="6FCF1EF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4.填前压实、地面下沉增加的填方量，不另行计量；</w:t>
            </w:r>
          </w:p>
          <w:p w14:paraId="69E746A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5.结构物台背回填的回填材料、摊平、压实、整形以及台后排水等一切与此有关作业均不另行计量，但桥梁及明涵的搭板、埋板下的路面结构层在相应章节内计量</w:t>
            </w:r>
          </w:p>
        </w:tc>
        <w:tc>
          <w:tcPr>
            <w:tcW w:w="966" w:type="pct"/>
            <w:noWrap w:val="0"/>
            <w:vAlign w:val="top"/>
          </w:tcPr>
          <w:p w14:paraId="43320FD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p w14:paraId="26DF9A8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p w14:paraId="37B9E28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p w14:paraId="7F24C7B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p w14:paraId="74AD4BA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p w14:paraId="11FD5B6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p w14:paraId="431FF73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1.借土场场地清理、清除不适用材料；</w:t>
            </w:r>
          </w:p>
          <w:p w14:paraId="00E85EA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2.简易便道、基底翻松、压实、挖台阶；</w:t>
            </w:r>
          </w:p>
          <w:p w14:paraId="4C4CFA9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3.挖、装、运输、卸车；</w:t>
            </w:r>
          </w:p>
          <w:p w14:paraId="50D3DAB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4.分层摊铺；</w:t>
            </w:r>
          </w:p>
          <w:p w14:paraId="2200BF8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5.洒水、压实、刷坡；</w:t>
            </w:r>
          </w:p>
          <w:p w14:paraId="4B38776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6.施工排水处理；</w:t>
            </w:r>
          </w:p>
          <w:p w14:paraId="2D3B03E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7.整形</w:t>
            </w:r>
          </w:p>
        </w:tc>
      </w:tr>
      <w:tr w14:paraId="318FE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2C056CF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-d</w:t>
            </w:r>
          </w:p>
        </w:tc>
        <w:tc>
          <w:tcPr>
            <w:tcW w:w="1000" w:type="pct"/>
            <w:noWrap w:val="0"/>
            <w:vAlign w:val="center"/>
          </w:tcPr>
          <w:p w14:paraId="240A630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借石填方</w:t>
            </w:r>
          </w:p>
        </w:tc>
        <w:tc>
          <w:tcPr>
            <w:tcW w:w="598" w:type="pct"/>
            <w:noWrap w:val="0"/>
            <w:vAlign w:val="center"/>
          </w:tcPr>
          <w:p w14:paraId="259CEE9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1859" w:type="pct"/>
            <w:noWrap w:val="0"/>
            <w:vAlign w:val="top"/>
          </w:tcPr>
          <w:p w14:paraId="2AB045B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1.依据图纸所示地面线、路基设计横断面图，按平均断面面积法计算压实的体积，以立方米为单位计量；</w:t>
            </w:r>
          </w:p>
          <w:p w14:paraId="3D20968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2.借土场的绿化、原地表土的回填、防护工程、排水设施等均作为附属工作，不另行计量；</w:t>
            </w:r>
          </w:p>
          <w:p w14:paraId="7603740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3.满足施工需要，预留路基宽度宽填的填方量作为路基填筑的附属工作，不另行计量；</w:t>
            </w:r>
          </w:p>
          <w:p w14:paraId="4D325F5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4.填前压实、地面下沉增加的填方量，不另行计量；</w:t>
            </w:r>
          </w:p>
          <w:p w14:paraId="3C1C100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5.结构物台背回填的回填材料、摊平、压实、整形以及台后排水等一切与此有关作业均不另行计量，但桥梁及明涵的搭板、埋板下的路面结构层在相应章节内计量</w:t>
            </w:r>
          </w:p>
        </w:tc>
        <w:tc>
          <w:tcPr>
            <w:tcW w:w="966" w:type="pct"/>
            <w:noWrap w:val="0"/>
            <w:vAlign w:val="center"/>
          </w:tcPr>
          <w:p w14:paraId="6B4AFF8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1.借土场场地清理、清除不适用材料；</w:t>
            </w:r>
          </w:p>
          <w:p w14:paraId="22D60BC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2.简易便道、基底翻松、压实、挖台阶；</w:t>
            </w:r>
          </w:p>
          <w:p w14:paraId="60D3612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3.挖、装、运输、卸车；</w:t>
            </w:r>
          </w:p>
          <w:p w14:paraId="769F426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4.分层摊铺；</w:t>
            </w:r>
          </w:p>
          <w:p w14:paraId="3E4405F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5.洒水、压实、土质护坡；</w:t>
            </w:r>
          </w:p>
          <w:p w14:paraId="7AD513F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6.施工排水处理；</w:t>
            </w:r>
          </w:p>
          <w:p w14:paraId="5AC527C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7.整型</w:t>
            </w:r>
          </w:p>
        </w:tc>
      </w:tr>
      <w:tr w14:paraId="0C635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65BB0D0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205-1</w:t>
            </w:r>
          </w:p>
        </w:tc>
        <w:tc>
          <w:tcPr>
            <w:tcW w:w="1000" w:type="pct"/>
            <w:noWrap w:val="0"/>
            <w:vAlign w:val="center"/>
          </w:tcPr>
          <w:p w14:paraId="4317C820">
            <w:pPr>
              <w:widowControl/>
              <w:autoSpaceDE w:val="0"/>
              <w:autoSpaceDN w:val="0"/>
              <w:spacing w:line="360" w:lineRule="auto"/>
              <w:ind w:firstLine="220" w:firstLineChars="100"/>
              <w:jc w:val="both"/>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软土路基处理</w:t>
            </w:r>
          </w:p>
        </w:tc>
        <w:tc>
          <w:tcPr>
            <w:tcW w:w="598" w:type="pct"/>
            <w:noWrap w:val="0"/>
            <w:vAlign w:val="center"/>
          </w:tcPr>
          <w:p w14:paraId="0EDA976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859" w:type="pct"/>
            <w:noWrap w:val="0"/>
            <w:vAlign w:val="top"/>
          </w:tcPr>
          <w:p w14:paraId="30C3FF4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966" w:type="pct"/>
            <w:noWrap w:val="0"/>
            <w:vAlign w:val="top"/>
          </w:tcPr>
          <w:p w14:paraId="24B6368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r>
      <w:tr w14:paraId="23F87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02E3F10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-a</w:t>
            </w:r>
          </w:p>
        </w:tc>
        <w:tc>
          <w:tcPr>
            <w:tcW w:w="1000" w:type="pct"/>
            <w:noWrap w:val="0"/>
            <w:vAlign w:val="center"/>
          </w:tcPr>
          <w:p w14:paraId="2B9E7E4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抛石挤淤</w:t>
            </w:r>
          </w:p>
        </w:tc>
        <w:tc>
          <w:tcPr>
            <w:tcW w:w="598" w:type="pct"/>
            <w:noWrap w:val="0"/>
            <w:vAlign w:val="center"/>
          </w:tcPr>
          <w:p w14:paraId="29D5F61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1859" w:type="pct"/>
            <w:noWrap w:val="0"/>
            <w:vAlign w:val="center"/>
          </w:tcPr>
          <w:p w14:paraId="0E1167A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依据图纸所示位置和范围， 按照抛石体积的片石数量，以立方米为单位计量</w:t>
            </w:r>
          </w:p>
        </w:tc>
        <w:tc>
          <w:tcPr>
            <w:tcW w:w="966" w:type="pct"/>
            <w:noWrap w:val="0"/>
            <w:vAlign w:val="center"/>
          </w:tcPr>
          <w:p w14:paraId="3A838DB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1.临时排水；</w:t>
            </w:r>
          </w:p>
          <w:p w14:paraId="1F61102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2.抛填片石；</w:t>
            </w:r>
          </w:p>
          <w:p w14:paraId="62CEC54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3.小石块、石屑填塞垫平；</w:t>
            </w:r>
          </w:p>
          <w:p w14:paraId="7ADA4A3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4.重型压路机压实</w:t>
            </w:r>
          </w:p>
        </w:tc>
      </w:tr>
      <w:tr w14:paraId="62C1E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41C517F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-b</w:t>
            </w:r>
          </w:p>
        </w:tc>
        <w:tc>
          <w:tcPr>
            <w:tcW w:w="1000" w:type="pct"/>
            <w:noWrap w:val="0"/>
            <w:vAlign w:val="center"/>
          </w:tcPr>
          <w:p w14:paraId="62DA7043">
            <w:pPr>
              <w:widowControl/>
              <w:autoSpaceDE w:val="0"/>
              <w:autoSpaceDN w:val="0"/>
              <w:spacing w:line="360" w:lineRule="auto"/>
              <w:ind w:firstLine="660" w:firstLineChars="3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垫层</w:t>
            </w:r>
          </w:p>
        </w:tc>
        <w:tc>
          <w:tcPr>
            <w:tcW w:w="598" w:type="pct"/>
            <w:noWrap w:val="0"/>
            <w:vAlign w:val="center"/>
          </w:tcPr>
          <w:p w14:paraId="2CF44FF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859" w:type="pct"/>
            <w:noWrap w:val="0"/>
            <w:vAlign w:val="center"/>
          </w:tcPr>
          <w:p w14:paraId="6A7CF37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966" w:type="pct"/>
            <w:noWrap w:val="0"/>
            <w:vAlign w:val="center"/>
          </w:tcPr>
          <w:p w14:paraId="5214DC8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r>
      <w:tr w14:paraId="14DB0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1316AE8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-b-1</w:t>
            </w:r>
          </w:p>
        </w:tc>
        <w:tc>
          <w:tcPr>
            <w:tcW w:w="1000" w:type="pct"/>
            <w:noWrap w:val="0"/>
            <w:vAlign w:val="center"/>
          </w:tcPr>
          <w:p w14:paraId="62F6038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砂垫层</w:t>
            </w:r>
          </w:p>
        </w:tc>
        <w:tc>
          <w:tcPr>
            <w:tcW w:w="598" w:type="pct"/>
            <w:noWrap w:val="0"/>
            <w:vAlign w:val="center"/>
          </w:tcPr>
          <w:p w14:paraId="0790A9E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1859" w:type="pct"/>
            <w:noWrap w:val="0"/>
            <w:vAlign w:val="center"/>
          </w:tcPr>
          <w:p w14:paraId="2382B47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1.依据图纸所示位置和断面尺寸，按图示砂垫层密实体积以立方米为单位计量；</w:t>
            </w:r>
          </w:p>
          <w:p w14:paraId="7B1EB18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2.因换填而挖除的非适用材料列入 203-1 相关子目计量</w:t>
            </w:r>
          </w:p>
        </w:tc>
        <w:tc>
          <w:tcPr>
            <w:tcW w:w="966" w:type="pct"/>
            <w:noWrap w:val="0"/>
            <w:vAlign w:val="center"/>
          </w:tcPr>
          <w:p w14:paraId="737E065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1.基底清理；</w:t>
            </w:r>
          </w:p>
          <w:p w14:paraId="36B8D50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2.临时排水；</w:t>
            </w:r>
          </w:p>
          <w:p w14:paraId="6CBA58C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3.分层铺筑；</w:t>
            </w:r>
          </w:p>
          <w:p w14:paraId="41DE6B7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4.分层碾压</w:t>
            </w:r>
          </w:p>
        </w:tc>
      </w:tr>
      <w:tr w14:paraId="457D3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297D35E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-b-2</w:t>
            </w:r>
          </w:p>
        </w:tc>
        <w:tc>
          <w:tcPr>
            <w:tcW w:w="1000" w:type="pct"/>
            <w:noWrap w:val="0"/>
            <w:vAlign w:val="center"/>
          </w:tcPr>
          <w:p w14:paraId="5C69809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砂砾垫层</w:t>
            </w:r>
          </w:p>
        </w:tc>
        <w:tc>
          <w:tcPr>
            <w:tcW w:w="598" w:type="pct"/>
            <w:noWrap w:val="0"/>
            <w:vAlign w:val="center"/>
          </w:tcPr>
          <w:p w14:paraId="64C225B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1859" w:type="pct"/>
            <w:noWrap w:val="0"/>
            <w:vAlign w:val="center"/>
          </w:tcPr>
          <w:p w14:paraId="511887A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1.依据图纸所示位置和断面尺寸，按图示砂砾垫层密实体积以立方米为单位计量；</w:t>
            </w:r>
          </w:p>
          <w:p w14:paraId="5C6D937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2.因换填而挖除的非适用材料列入 203-1 相关子目计量</w:t>
            </w:r>
          </w:p>
        </w:tc>
        <w:tc>
          <w:tcPr>
            <w:tcW w:w="966" w:type="pct"/>
            <w:noWrap w:val="0"/>
            <w:vAlign w:val="center"/>
          </w:tcPr>
          <w:p w14:paraId="20B2517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1.基底清理；</w:t>
            </w:r>
          </w:p>
          <w:p w14:paraId="6DCEDE4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2.临时排水；</w:t>
            </w:r>
          </w:p>
          <w:p w14:paraId="66C6CAC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3.分层铺筑；</w:t>
            </w:r>
          </w:p>
          <w:p w14:paraId="546D7EB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4.分层碾压</w:t>
            </w:r>
          </w:p>
        </w:tc>
      </w:tr>
      <w:tr w14:paraId="29CD9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68010EC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-c</w:t>
            </w:r>
          </w:p>
        </w:tc>
        <w:tc>
          <w:tcPr>
            <w:tcW w:w="1000" w:type="pct"/>
            <w:noWrap w:val="0"/>
            <w:vAlign w:val="center"/>
          </w:tcPr>
          <w:p w14:paraId="6BF1A761">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碎石（砂砾） 桩</w:t>
            </w:r>
          </w:p>
        </w:tc>
        <w:tc>
          <w:tcPr>
            <w:tcW w:w="598" w:type="pct"/>
            <w:noWrap w:val="0"/>
            <w:vAlign w:val="center"/>
          </w:tcPr>
          <w:p w14:paraId="252F33D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p>
        </w:tc>
        <w:tc>
          <w:tcPr>
            <w:tcW w:w="1859" w:type="pct"/>
            <w:noWrap w:val="0"/>
            <w:vAlign w:val="center"/>
          </w:tcPr>
          <w:p w14:paraId="63F0AF0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依据图纸所示位置和断面尺寸，按图示不同桩径的碎石（砂砾）桩长度以米为单位计量</w:t>
            </w:r>
          </w:p>
        </w:tc>
        <w:tc>
          <w:tcPr>
            <w:tcW w:w="966" w:type="pct"/>
            <w:noWrap w:val="0"/>
            <w:vAlign w:val="center"/>
          </w:tcPr>
          <w:p w14:paraId="20701DD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1.场地清理；</w:t>
            </w:r>
          </w:p>
          <w:p w14:paraId="6B3786F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2.成桩设备安装与就位；</w:t>
            </w:r>
          </w:p>
          <w:p w14:paraId="3EFE6FA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3.成孔；</w:t>
            </w:r>
          </w:p>
          <w:p w14:paraId="1A3A2FF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4.灌碎石（砂砾）；</w:t>
            </w:r>
          </w:p>
          <w:p w14:paraId="67DF5EC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5.桩机移位</w:t>
            </w:r>
          </w:p>
        </w:tc>
      </w:tr>
      <w:tr w14:paraId="4A825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2E9CB76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-d</w:t>
            </w:r>
          </w:p>
        </w:tc>
        <w:tc>
          <w:tcPr>
            <w:tcW w:w="1000" w:type="pct"/>
            <w:noWrap w:val="0"/>
            <w:vAlign w:val="center"/>
          </w:tcPr>
          <w:p w14:paraId="4511F19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砂桩</w:t>
            </w:r>
          </w:p>
        </w:tc>
        <w:tc>
          <w:tcPr>
            <w:tcW w:w="598" w:type="pct"/>
            <w:noWrap w:val="0"/>
            <w:vAlign w:val="center"/>
          </w:tcPr>
          <w:p w14:paraId="604892B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p>
        </w:tc>
        <w:tc>
          <w:tcPr>
            <w:tcW w:w="1859" w:type="pct"/>
            <w:noWrap w:val="0"/>
            <w:vAlign w:val="center"/>
          </w:tcPr>
          <w:p w14:paraId="107254F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依据图纸所示位置和断面尺寸，按图示不同桩径的砂桩长度以米为单位计量</w:t>
            </w:r>
          </w:p>
        </w:tc>
        <w:tc>
          <w:tcPr>
            <w:tcW w:w="966" w:type="pct"/>
            <w:noWrap w:val="0"/>
            <w:vAlign w:val="center"/>
          </w:tcPr>
          <w:p w14:paraId="7EFE03C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1.场地清理；</w:t>
            </w:r>
          </w:p>
          <w:p w14:paraId="5089787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2.成桩设备安装与就位；</w:t>
            </w:r>
          </w:p>
          <w:p w14:paraId="6A6FC20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3.成孔；</w:t>
            </w:r>
          </w:p>
          <w:p w14:paraId="2030285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4.灌砂；</w:t>
            </w:r>
          </w:p>
          <w:p w14:paraId="06CD79A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5.桩机移位</w:t>
            </w:r>
          </w:p>
        </w:tc>
      </w:tr>
      <w:tr w14:paraId="6FCFB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4C8908E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-e</w:t>
            </w:r>
          </w:p>
        </w:tc>
        <w:tc>
          <w:tcPr>
            <w:tcW w:w="1000" w:type="pct"/>
            <w:noWrap w:val="0"/>
            <w:vAlign w:val="center"/>
          </w:tcPr>
          <w:p w14:paraId="52AE0B6B">
            <w:pPr>
              <w:widowControl/>
              <w:autoSpaceDE w:val="0"/>
              <w:autoSpaceDN w:val="0"/>
              <w:spacing w:line="360" w:lineRule="auto"/>
              <w:ind w:firstLine="220" w:firstLineChars="1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土工合成材料</w:t>
            </w:r>
          </w:p>
        </w:tc>
        <w:tc>
          <w:tcPr>
            <w:tcW w:w="598" w:type="pct"/>
            <w:noWrap w:val="0"/>
            <w:vAlign w:val="center"/>
          </w:tcPr>
          <w:p w14:paraId="2C36E52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859" w:type="pct"/>
            <w:noWrap w:val="0"/>
            <w:vAlign w:val="center"/>
          </w:tcPr>
          <w:p w14:paraId="0D8E9C5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966" w:type="pct"/>
            <w:noWrap w:val="0"/>
            <w:vAlign w:val="center"/>
          </w:tcPr>
          <w:p w14:paraId="72E6033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r>
      <w:tr w14:paraId="54E40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23B5B1E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-e-1</w:t>
            </w:r>
          </w:p>
        </w:tc>
        <w:tc>
          <w:tcPr>
            <w:tcW w:w="1000" w:type="pct"/>
            <w:noWrap w:val="0"/>
            <w:vAlign w:val="center"/>
          </w:tcPr>
          <w:p w14:paraId="3255ED9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反滤土工布</w:t>
            </w:r>
          </w:p>
        </w:tc>
        <w:tc>
          <w:tcPr>
            <w:tcW w:w="598" w:type="pct"/>
            <w:noWrap w:val="0"/>
            <w:vAlign w:val="center"/>
          </w:tcPr>
          <w:p w14:paraId="5961C0E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²</w:t>
            </w:r>
          </w:p>
        </w:tc>
        <w:tc>
          <w:tcPr>
            <w:tcW w:w="1859" w:type="pct"/>
            <w:noWrap w:val="0"/>
            <w:vAlign w:val="center"/>
          </w:tcPr>
          <w:p w14:paraId="4C6FC31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1.依据图纸所示位置和规 格，按土层中分层铺设反滤土工布的累计净面积以平方米为单位计量；</w:t>
            </w:r>
          </w:p>
          <w:p w14:paraId="12B7A73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2.接缝的重叠面积和边缘的包裹面积不予计量</w:t>
            </w:r>
          </w:p>
        </w:tc>
        <w:tc>
          <w:tcPr>
            <w:tcW w:w="966" w:type="pct"/>
            <w:noWrap w:val="0"/>
            <w:vAlign w:val="center"/>
          </w:tcPr>
          <w:p w14:paraId="6BF02D4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1.清理下承层；</w:t>
            </w:r>
          </w:p>
          <w:p w14:paraId="5BA899A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2.铺设及固定；</w:t>
            </w:r>
          </w:p>
          <w:p w14:paraId="2035611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3.接缝处理（搭接、缝接、粘接）；</w:t>
            </w:r>
          </w:p>
          <w:p w14:paraId="185FB0C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4.边缘处理</w:t>
            </w:r>
          </w:p>
        </w:tc>
      </w:tr>
      <w:tr w14:paraId="747DB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0EAFC7E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-e-2</w:t>
            </w:r>
          </w:p>
        </w:tc>
        <w:tc>
          <w:tcPr>
            <w:tcW w:w="1000" w:type="pct"/>
            <w:noWrap w:val="0"/>
            <w:vAlign w:val="center"/>
          </w:tcPr>
          <w:p w14:paraId="11E925E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防渗土工膜</w:t>
            </w:r>
          </w:p>
        </w:tc>
        <w:tc>
          <w:tcPr>
            <w:tcW w:w="598" w:type="pct"/>
            <w:noWrap w:val="0"/>
            <w:vAlign w:val="center"/>
          </w:tcPr>
          <w:p w14:paraId="2EADC43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²</w:t>
            </w:r>
          </w:p>
        </w:tc>
        <w:tc>
          <w:tcPr>
            <w:tcW w:w="1859" w:type="pct"/>
            <w:noWrap w:val="0"/>
            <w:vAlign w:val="center"/>
          </w:tcPr>
          <w:p w14:paraId="71076D4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1.依据图纸所示位置和规 格，按土层中分层铺设防渗土工膜的累计净面积以平方米为单位计量；</w:t>
            </w:r>
          </w:p>
          <w:p w14:paraId="5F29E1D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2.接缝的重叠面积和边缘的包裹面积不予计量</w:t>
            </w:r>
          </w:p>
        </w:tc>
        <w:tc>
          <w:tcPr>
            <w:tcW w:w="966" w:type="pct"/>
            <w:noWrap w:val="0"/>
            <w:vAlign w:val="center"/>
          </w:tcPr>
          <w:p w14:paraId="527DFD6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1.清理下承层；</w:t>
            </w:r>
          </w:p>
          <w:p w14:paraId="787B5C2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2.铺设及固定；</w:t>
            </w:r>
          </w:p>
          <w:p w14:paraId="541094E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3.接缝处理（搭接、缝接、粘接）；</w:t>
            </w:r>
          </w:p>
          <w:p w14:paraId="1C6BEE3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4.边缘处理</w:t>
            </w:r>
          </w:p>
        </w:tc>
      </w:tr>
      <w:tr w14:paraId="4F853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5B1FBDD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-e-3</w:t>
            </w:r>
          </w:p>
        </w:tc>
        <w:tc>
          <w:tcPr>
            <w:tcW w:w="1000" w:type="pct"/>
            <w:noWrap w:val="0"/>
            <w:vAlign w:val="center"/>
          </w:tcPr>
          <w:p w14:paraId="57F8CAC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土工格栅</w:t>
            </w:r>
          </w:p>
        </w:tc>
        <w:tc>
          <w:tcPr>
            <w:tcW w:w="598" w:type="pct"/>
            <w:noWrap w:val="0"/>
            <w:vAlign w:val="center"/>
          </w:tcPr>
          <w:p w14:paraId="25AAC3D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²</w:t>
            </w:r>
          </w:p>
        </w:tc>
        <w:tc>
          <w:tcPr>
            <w:tcW w:w="1859" w:type="pct"/>
            <w:noWrap w:val="0"/>
            <w:vAlign w:val="center"/>
          </w:tcPr>
          <w:p w14:paraId="35BEFA0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1.依据图纸所示位置和规 格、型号，按土层中分层铺设土工格栅的累计净面积以平方米为单位计量；</w:t>
            </w:r>
          </w:p>
          <w:p w14:paraId="4C805E5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2.接缝的重叠面积和边缘的包裹面积不予计量</w:t>
            </w:r>
          </w:p>
        </w:tc>
        <w:tc>
          <w:tcPr>
            <w:tcW w:w="966" w:type="pct"/>
            <w:noWrap w:val="0"/>
            <w:vAlign w:val="center"/>
          </w:tcPr>
          <w:p w14:paraId="45A756B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1.清理下承层；</w:t>
            </w:r>
          </w:p>
          <w:p w14:paraId="2229F22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2.铺设及固定；</w:t>
            </w:r>
          </w:p>
          <w:p w14:paraId="243E132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3.接缝处理（搭接、缝接、粘接）；</w:t>
            </w:r>
          </w:p>
          <w:p w14:paraId="2A3BC83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4.边缘处理</w:t>
            </w:r>
          </w:p>
        </w:tc>
      </w:tr>
      <w:tr w14:paraId="5DE21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0491CF2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-f</w:t>
            </w:r>
          </w:p>
        </w:tc>
        <w:tc>
          <w:tcPr>
            <w:tcW w:w="1000" w:type="pct"/>
            <w:noWrap w:val="0"/>
            <w:vAlign w:val="center"/>
          </w:tcPr>
          <w:p w14:paraId="4CD9024E">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强夯及强夯置换</w:t>
            </w:r>
          </w:p>
        </w:tc>
        <w:tc>
          <w:tcPr>
            <w:tcW w:w="598" w:type="pct"/>
            <w:noWrap w:val="0"/>
            <w:vAlign w:val="center"/>
          </w:tcPr>
          <w:p w14:paraId="40E5529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859" w:type="pct"/>
            <w:noWrap w:val="0"/>
            <w:vAlign w:val="center"/>
          </w:tcPr>
          <w:p w14:paraId="0CEFDA7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966" w:type="pct"/>
            <w:noWrap w:val="0"/>
            <w:vAlign w:val="center"/>
          </w:tcPr>
          <w:p w14:paraId="200E0E8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r>
      <w:tr w14:paraId="03F31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5381304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-f-1</w:t>
            </w:r>
          </w:p>
        </w:tc>
        <w:tc>
          <w:tcPr>
            <w:tcW w:w="1000" w:type="pct"/>
            <w:noWrap w:val="0"/>
            <w:vAlign w:val="center"/>
          </w:tcPr>
          <w:p w14:paraId="27CEE12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强夯</w:t>
            </w:r>
          </w:p>
        </w:tc>
        <w:tc>
          <w:tcPr>
            <w:tcW w:w="598" w:type="pct"/>
            <w:noWrap w:val="0"/>
            <w:vAlign w:val="center"/>
          </w:tcPr>
          <w:p w14:paraId="2081D51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²</w:t>
            </w:r>
          </w:p>
        </w:tc>
        <w:tc>
          <w:tcPr>
            <w:tcW w:w="1859" w:type="pct"/>
            <w:noWrap w:val="0"/>
            <w:vAlign w:val="center"/>
          </w:tcPr>
          <w:p w14:paraId="42AFB61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1.依据图纸所示位置和处理面积，按图示路堤底面积以平方米为单位计量；</w:t>
            </w:r>
          </w:p>
          <w:p w14:paraId="2D5A660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2.施工前的地表处理、拦截地表和地下水、强夯和强夯后的标准贯入、静力触探测试等为附属工作，不另行计量；</w:t>
            </w:r>
          </w:p>
          <w:p w14:paraId="67D611C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3.强夯后沉降部分回填至原标高的借方或利用方挖运、整平、压实等相关作业为附属工作，不另行计量</w:t>
            </w:r>
          </w:p>
        </w:tc>
        <w:tc>
          <w:tcPr>
            <w:tcW w:w="966" w:type="pct"/>
            <w:noWrap w:val="0"/>
            <w:vAlign w:val="center"/>
          </w:tcPr>
          <w:p w14:paraId="174AA84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p w14:paraId="718824A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1.场地清理；</w:t>
            </w:r>
          </w:p>
          <w:p w14:paraId="5A15ED8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2.拦截、排除地表水；</w:t>
            </w:r>
          </w:p>
          <w:p w14:paraId="6F4CB8D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3.防止地表水下渗等防渗措施；</w:t>
            </w:r>
          </w:p>
          <w:p w14:paraId="458A8D2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4.强夯处理；</w:t>
            </w:r>
          </w:p>
          <w:p w14:paraId="526DA68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5.路基整型；</w:t>
            </w:r>
          </w:p>
          <w:p w14:paraId="53139E7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6.压实；</w:t>
            </w:r>
          </w:p>
          <w:p w14:paraId="25DB461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7.沉降观测</w:t>
            </w:r>
          </w:p>
        </w:tc>
      </w:tr>
      <w:tr w14:paraId="1ED44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6E7DDAD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-f-2</w:t>
            </w:r>
          </w:p>
        </w:tc>
        <w:tc>
          <w:tcPr>
            <w:tcW w:w="1000" w:type="pct"/>
            <w:noWrap w:val="0"/>
            <w:vAlign w:val="center"/>
          </w:tcPr>
          <w:p w14:paraId="24432BB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强夯置换</w:t>
            </w:r>
          </w:p>
        </w:tc>
        <w:tc>
          <w:tcPr>
            <w:tcW w:w="598" w:type="pct"/>
            <w:noWrap w:val="0"/>
            <w:vAlign w:val="center"/>
          </w:tcPr>
          <w:p w14:paraId="59BF569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1859" w:type="pct"/>
            <w:noWrap w:val="0"/>
            <w:vAlign w:val="center"/>
          </w:tcPr>
          <w:p w14:paraId="6E27229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1.依据图纸所示位置，按图示置换的体积以立方米为单位计量</w:t>
            </w:r>
          </w:p>
          <w:p w14:paraId="78914DA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2.与强夯置换有关的试夯、试验、观测、检测等为附属工作，不另行计量；</w:t>
            </w:r>
          </w:p>
          <w:p w14:paraId="0A0DB3A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3.场地整平、开挖隔震沟（包括竣工后回填）和因强夯置换对周围构造物的影响（包括恢复或赔付）及因强夯置换而引起的原地表的下沉和隆起发 生的土方等所涉及费用已包含在相关工程子目的单价中，不另行计量。</w:t>
            </w:r>
          </w:p>
        </w:tc>
        <w:tc>
          <w:tcPr>
            <w:tcW w:w="966" w:type="pct"/>
            <w:noWrap w:val="0"/>
            <w:vAlign w:val="center"/>
          </w:tcPr>
          <w:p w14:paraId="4C7F9ED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1.场地清理；</w:t>
            </w:r>
          </w:p>
          <w:p w14:paraId="75E144A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2.拦截、排除地表水；</w:t>
            </w:r>
          </w:p>
          <w:p w14:paraId="79A287A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3.防止地表水下渗等防渗措施；</w:t>
            </w:r>
          </w:p>
          <w:p w14:paraId="6A0EB49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4.挖除材料；</w:t>
            </w:r>
          </w:p>
          <w:p w14:paraId="0EFFD4F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5.铺设置换材料；</w:t>
            </w:r>
          </w:p>
          <w:p w14:paraId="61EAEBA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6.强夯；</w:t>
            </w:r>
          </w:p>
          <w:p w14:paraId="57147C9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7.路基整型；</w:t>
            </w:r>
          </w:p>
          <w:p w14:paraId="4D89CF5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8.承载力检测</w:t>
            </w:r>
          </w:p>
        </w:tc>
      </w:tr>
      <w:tr w14:paraId="52C78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3CAEB0D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205-2</w:t>
            </w:r>
          </w:p>
        </w:tc>
        <w:tc>
          <w:tcPr>
            <w:tcW w:w="1000" w:type="pct"/>
            <w:noWrap w:val="0"/>
            <w:vAlign w:val="center"/>
          </w:tcPr>
          <w:p w14:paraId="308AD84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滑坡处理</w:t>
            </w:r>
          </w:p>
        </w:tc>
        <w:tc>
          <w:tcPr>
            <w:tcW w:w="598" w:type="pct"/>
            <w:noWrap w:val="0"/>
            <w:vAlign w:val="center"/>
          </w:tcPr>
          <w:p w14:paraId="502158E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859" w:type="pct"/>
            <w:noWrap w:val="0"/>
            <w:vAlign w:val="center"/>
          </w:tcPr>
          <w:p w14:paraId="512F1E4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966" w:type="pct"/>
            <w:noWrap w:val="0"/>
            <w:vAlign w:val="center"/>
          </w:tcPr>
          <w:p w14:paraId="3FA8A02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r>
      <w:tr w14:paraId="4F452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1758B5D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-a</w:t>
            </w:r>
          </w:p>
        </w:tc>
        <w:tc>
          <w:tcPr>
            <w:tcW w:w="1000" w:type="pct"/>
            <w:noWrap w:val="0"/>
            <w:vAlign w:val="center"/>
          </w:tcPr>
          <w:p w14:paraId="5A64FD3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清除滑坡体</w:t>
            </w:r>
          </w:p>
        </w:tc>
        <w:tc>
          <w:tcPr>
            <w:tcW w:w="598" w:type="pct"/>
            <w:noWrap w:val="0"/>
            <w:vAlign w:val="center"/>
          </w:tcPr>
          <w:p w14:paraId="050E3CF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1859" w:type="pct"/>
            <w:noWrap w:val="0"/>
            <w:vAlign w:val="center"/>
          </w:tcPr>
          <w:p w14:paraId="685555B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p w14:paraId="40D2A22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依据图纸所示位置，按照清除滑坡体土方与石方的天然体积分别以立方米为单位计量</w:t>
            </w:r>
          </w:p>
        </w:tc>
        <w:tc>
          <w:tcPr>
            <w:tcW w:w="966" w:type="pct"/>
            <w:noWrap w:val="0"/>
            <w:vAlign w:val="center"/>
          </w:tcPr>
          <w:p w14:paraId="65C7EDF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1.地表水引排、防渗、地下水疏导引离；</w:t>
            </w:r>
          </w:p>
          <w:p w14:paraId="15D56F4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2.挖除、装载；</w:t>
            </w:r>
          </w:p>
          <w:p w14:paraId="464569A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3.运输到指定地点堆放；</w:t>
            </w:r>
          </w:p>
          <w:p w14:paraId="17FA9DD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4.现场清理</w:t>
            </w:r>
          </w:p>
        </w:tc>
      </w:tr>
      <w:tr w14:paraId="717CF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6572634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205-3</w:t>
            </w:r>
          </w:p>
        </w:tc>
        <w:tc>
          <w:tcPr>
            <w:tcW w:w="1000" w:type="pct"/>
            <w:noWrap w:val="0"/>
            <w:vAlign w:val="center"/>
          </w:tcPr>
          <w:p w14:paraId="322885BA">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盐渍土路基处理</w:t>
            </w:r>
          </w:p>
        </w:tc>
        <w:tc>
          <w:tcPr>
            <w:tcW w:w="598" w:type="pct"/>
            <w:noWrap w:val="0"/>
            <w:vAlign w:val="center"/>
          </w:tcPr>
          <w:p w14:paraId="1DE9488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859" w:type="pct"/>
            <w:noWrap w:val="0"/>
            <w:vAlign w:val="center"/>
          </w:tcPr>
          <w:p w14:paraId="6BD8948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966" w:type="pct"/>
            <w:noWrap w:val="0"/>
            <w:vAlign w:val="center"/>
          </w:tcPr>
          <w:p w14:paraId="74681BF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r>
      <w:tr w14:paraId="4B0C4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2DA5EB2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-a</w:t>
            </w:r>
          </w:p>
        </w:tc>
        <w:tc>
          <w:tcPr>
            <w:tcW w:w="1000" w:type="pct"/>
            <w:noWrap w:val="0"/>
            <w:vAlign w:val="center"/>
          </w:tcPr>
          <w:p w14:paraId="088537B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卵砾石隔断</w:t>
            </w:r>
          </w:p>
        </w:tc>
        <w:tc>
          <w:tcPr>
            <w:tcW w:w="598" w:type="pct"/>
            <w:noWrap w:val="0"/>
            <w:vAlign w:val="center"/>
          </w:tcPr>
          <w:p w14:paraId="5F8AAE2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1859" w:type="pct"/>
            <w:noWrap w:val="0"/>
            <w:vAlign w:val="center"/>
          </w:tcPr>
          <w:p w14:paraId="11F8782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1.依据图纸所示位置和断面尺寸，按图示设置卵砾石隔断，密实体积以立方米为单位计量；</w:t>
            </w:r>
          </w:p>
          <w:p w14:paraId="313BD82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2.因换填而挖除的非适用材料列入 203-1 相关子目计量</w:t>
            </w:r>
          </w:p>
        </w:tc>
        <w:tc>
          <w:tcPr>
            <w:tcW w:w="966" w:type="pct"/>
            <w:noWrap w:val="0"/>
            <w:vAlign w:val="center"/>
          </w:tcPr>
          <w:p w14:paraId="5A473B3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1.基底清理；</w:t>
            </w:r>
          </w:p>
          <w:p w14:paraId="03C9272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2.临时排水；</w:t>
            </w:r>
          </w:p>
          <w:p w14:paraId="28F45DA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3.分层铺筑；</w:t>
            </w:r>
          </w:p>
          <w:p w14:paraId="4DEC6B3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4.分层碾压</w:t>
            </w:r>
          </w:p>
        </w:tc>
      </w:tr>
      <w:tr w14:paraId="516C2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7DC6390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-b</w:t>
            </w:r>
          </w:p>
        </w:tc>
        <w:tc>
          <w:tcPr>
            <w:tcW w:w="1000" w:type="pct"/>
            <w:noWrap w:val="0"/>
            <w:vAlign w:val="center"/>
          </w:tcPr>
          <w:p w14:paraId="7DCA96D9">
            <w:pPr>
              <w:widowControl/>
              <w:autoSpaceDE w:val="0"/>
              <w:autoSpaceDN w:val="0"/>
              <w:spacing w:line="360" w:lineRule="auto"/>
              <w:ind w:firstLine="220" w:firstLineChars="1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土工织物隔断</w:t>
            </w:r>
          </w:p>
        </w:tc>
        <w:tc>
          <w:tcPr>
            <w:tcW w:w="598" w:type="pct"/>
            <w:noWrap w:val="0"/>
            <w:vAlign w:val="center"/>
          </w:tcPr>
          <w:p w14:paraId="555B011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859" w:type="pct"/>
            <w:noWrap w:val="0"/>
            <w:vAlign w:val="center"/>
          </w:tcPr>
          <w:p w14:paraId="09E1415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966" w:type="pct"/>
            <w:noWrap w:val="0"/>
            <w:vAlign w:val="center"/>
          </w:tcPr>
          <w:p w14:paraId="5F0593F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r>
      <w:tr w14:paraId="0A1EC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6388A7E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-b-1</w:t>
            </w:r>
          </w:p>
        </w:tc>
        <w:tc>
          <w:tcPr>
            <w:tcW w:w="1000" w:type="pct"/>
            <w:noWrap w:val="0"/>
            <w:vAlign w:val="center"/>
          </w:tcPr>
          <w:p w14:paraId="28ABE0C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防渗土工膜</w:t>
            </w:r>
          </w:p>
        </w:tc>
        <w:tc>
          <w:tcPr>
            <w:tcW w:w="598" w:type="pct"/>
            <w:noWrap w:val="0"/>
            <w:vAlign w:val="center"/>
          </w:tcPr>
          <w:p w14:paraId="5BCA7A5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²</w:t>
            </w:r>
          </w:p>
        </w:tc>
        <w:tc>
          <w:tcPr>
            <w:tcW w:w="1859" w:type="pct"/>
            <w:noWrap w:val="0"/>
            <w:vAlign w:val="center"/>
          </w:tcPr>
          <w:p w14:paraId="4B24C26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1.依据图纸所示位置和规 格，按土层中分层铺设防渗土工膜的累计净面积以平方米为单位计量；</w:t>
            </w:r>
          </w:p>
          <w:p w14:paraId="6862D64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2.接缝的重叠面积和边缘的包裹面积不予计量</w:t>
            </w:r>
          </w:p>
        </w:tc>
        <w:tc>
          <w:tcPr>
            <w:tcW w:w="966" w:type="pct"/>
            <w:noWrap w:val="0"/>
            <w:vAlign w:val="center"/>
          </w:tcPr>
          <w:p w14:paraId="7A55112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1.清理下承层；</w:t>
            </w:r>
          </w:p>
          <w:p w14:paraId="49D82B7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2.铺设及固定；</w:t>
            </w:r>
          </w:p>
          <w:p w14:paraId="74204D4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3.接缝处理（搭接、缝接、粘接）；</w:t>
            </w:r>
          </w:p>
          <w:p w14:paraId="631EF5D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4.边缘处理</w:t>
            </w:r>
          </w:p>
        </w:tc>
      </w:tr>
      <w:tr w14:paraId="5C838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70761B9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-b-2</w:t>
            </w:r>
          </w:p>
        </w:tc>
        <w:tc>
          <w:tcPr>
            <w:tcW w:w="1000" w:type="pct"/>
            <w:noWrap w:val="0"/>
            <w:vAlign w:val="center"/>
          </w:tcPr>
          <w:p w14:paraId="64241C5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土工格栅</w:t>
            </w:r>
          </w:p>
        </w:tc>
        <w:tc>
          <w:tcPr>
            <w:tcW w:w="598" w:type="pct"/>
            <w:noWrap w:val="0"/>
            <w:vAlign w:val="center"/>
          </w:tcPr>
          <w:p w14:paraId="3EF382D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²</w:t>
            </w:r>
          </w:p>
        </w:tc>
        <w:tc>
          <w:tcPr>
            <w:tcW w:w="1859" w:type="pct"/>
            <w:noWrap w:val="0"/>
            <w:vAlign w:val="center"/>
          </w:tcPr>
          <w:p w14:paraId="738E132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1.依据图纸所示位置和规 格、型号，按土层中分层铺设土工格栅的累计净面积以平方米为单位计量；</w:t>
            </w:r>
          </w:p>
          <w:p w14:paraId="302878E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2.接缝的重叠面积和边缘的包裹面积不予计量</w:t>
            </w:r>
          </w:p>
        </w:tc>
        <w:tc>
          <w:tcPr>
            <w:tcW w:w="966" w:type="pct"/>
            <w:noWrap w:val="0"/>
            <w:vAlign w:val="center"/>
          </w:tcPr>
          <w:p w14:paraId="3352BC6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1.清理下承层；</w:t>
            </w:r>
          </w:p>
          <w:p w14:paraId="77C5B64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2.铺设及固定；</w:t>
            </w:r>
          </w:p>
          <w:p w14:paraId="4B6AABD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3.接缝处理（搭接、缝接、粘接）；</w:t>
            </w:r>
          </w:p>
          <w:p w14:paraId="10C1EE4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4.边缘处理</w:t>
            </w:r>
          </w:p>
        </w:tc>
      </w:tr>
      <w:tr w14:paraId="6560C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072A565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205-4</w:t>
            </w:r>
          </w:p>
        </w:tc>
        <w:tc>
          <w:tcPr>
            <w:tcW w:w="1000" w:type="pct"/>
            <w:noWrap w:val="0"/>
            <w:vAlign w:val="center"/>
          </w:tcPr>
          <w:p w14:paraId="52CD16B3">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风积沙填筑路基</w:t>
            </w:r>
          </w:p>
        </w:tc>
        <w:tc>
          <w:tcPr>
            <w:tcW w:w="598" w:type="pct"/>
            <w:noWrap w:val="0"/>
            <w:vAlign w:val="center"/>
          </w:tcPr>
          <w:p w14:paraId="6B048DB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1859" w:type="pct"/>
            <w:noWrap w:val="0"/>
            <w:vAlign w:val="center"/>
          </w:tcPr>
          <w:p w14:paraId="4D3958E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依据图纸所示地面线、路基设计横断面图，按平均断面面积法计算压实体积，以立方米为单位计量</w:t>
            </w:r>
          </w:p>
        </w:tc>
        <w:tc>
          <w:tcPr>
            <w:tcW w:w="966" w:type="pct"/>
            <w:noWrap w:val="0"/>
            <w:vAlign w:val="center"/>
          </w:tcPr>
          <w:p w14:paraId="411CB2B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1.基底翻松、压实、挖台阶；</w:t>
            </w:r>
          </w:p>
          <w:p w14:paraId="1483FD4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2.挖、装、运输、卸车；</w:t>
            </w:r>
          </w:p>
          <w:p w14:paraId="3410A56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3.分层摊铺；</w:t>
            </w:r>
          </w:p>
          <w:p w14:paraId="72669B9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4.洒水、压实；</w:t>
            </w:r>
          </w:p>
          <w:p w14:paraId="5C53FE6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5.整形</w:t>
            </w:r>
          </w:p>
        </w:tc>
      </w:tr>
      <w:tr w14:paraId="009C1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0C23404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206-1</w:t>
            </w:r>
          </w:p>
        </w:tc>
        <w:tc>
          <w:tcPr>
            <w:tcW w:w="1000" w:type="pct"/>
            <w:noWrap w:val="0"/>
            <w:vAlign w:val="center"/>
          </w:tcPr>
          <w:p w14:paraId="21FDF97D">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涵洞上下游改沟、改渠铺砌</w:t>
            </w:r>
          </w:p>
        </w:tc>
        <w:tc>
          <w:tcPr>
            <w:tcW w:w="598" w:type="pct"/>
            <w:noWrap w:val="0"/>
            <w:vAlign w:val="center"/>
          </w:tcPr>
          <w:p w14:paraId="046B9BE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859" w:type="pct"/>
            <w:noWrap w:val="0"/>
            <w:vAlign w:val="center"/>
          </w:tcPr>
          <w:p w14:paraId="28B4052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966" w:type="pct"/>
            <w:noWrap w:val="0"/>
            <w:vAlign w:val="center"/>
          </w:tcPr>
          <w:p w14:paraId="4E1A3F5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r>
      <w:tr w14:paraId="0646D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21CCC95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-a</w:t>
            </w:r>
          </w:p>
        </w:tc>
        <w:tc>
          <w:tcPr>
            <w:tcW w:w="1000" w:type="pct"/>
            <w:noWrap w:val="0"/>
            <w:vAlign w:val="center"/>
          </w:tcPr>
          <w:p w14:paraId="1A02FD10">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浆砌片石铺砌</w:t>
            </w:r>
          </w:p>
        </w:tc>
        <w:tc>
          <w:tcPr>
            <w:tcW w:w="598" w:type="pct"/>
            <w:noWrap w:val="0"/>
            <w:vAlign w:val="center"/>
          </w:tcPr>
          <w:p w14:paraId="0390CD8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1859" w:type="pct"/>
            <w:noWrap w:val="0"/>
            <w:vAlign w:val="center"/>
          </w:tcPr>
          <w:p w14:paraId="31FC0B3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依据图纸所示位置及断面尺寸，按照不同强度等级水泥砂浆铺砌的片石体积，以立方米为单位计量</w:t>
            </w:r>
          </w:p>
        </w:tc>
        <w:tc>
          <w:tcPr>
            <w:tcW w:w="966" w:type="pct"/>
            <w:noWrap w:val="0"/>
            <w:vAlign w:val="center"/>
          </w:tcPr>
          <w:p w14:paraId="0F5441D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1.场地清理；</w:t>
            </w:r>
          </w:p>
          <w:p w14:paraId="2A2EFB6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2.地基平整夯实，沟、渠断面补挖；</w:t>
            </w:r>
          </w:p>
          <w:p w14:paraId="60EF989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3.铺设垫层；</w:t>
            </w:r>
          </w:p>
          <w:p w14:paraId="421A3F2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4.砂浆拌制；</w:t>
            </w:r>
          </w:p>
          <w:p w14:paraId="4841665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5.浆砌片石、勾缝、抹面、养护；</w:t>
            </w:r>
          </w:p>
          <w:p w14:paraId="5A2277A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6.回填、压实</w:t>
            </w:r>
          </w:p>
        </w:tc>
      </w:tr>
      <w:tr w14:paraId="5273A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7849BEC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-b</w:t>
            </w:r>
          </w:p>
        </w:tc>
        <w:tc>
          <w:tcPr>
            <w:tcW w:w="1000" w:type="pct"/>
            <w:noWrap w:val="0"/>
            <w:vAlign w:val="center"/>
          </w:tcPr>
          <w:p w14:paraId="6D1E58DD">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现浇混凝土铺砌</w:t>
            </w:r>
          </w:p>
        </w:tc>
        <w:tc>
          <w:tcPr>
            <w:tcW w:w="598" w:type="pct"/>
            <w:noWrap w:val="0"/>
            <w:vAlign w:val="center"/>
          </w:tcPr>
          <w:p w14:paraId="46DE376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1859" w:type="pct"/>
            <w:noWrap w:val="0"/>
            <w:vAlign w:val="center"/>
          </w:tcPr>
          <w:p w14:paraId="7F1095A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依据图纸所示位置及断面尺寸，按照不同强度等级混凝土浇筑的沟、渠铺砌体积，以立方米为单位计量</w:t>
            </w:r>
          </w:p>
        </w:tc>
        <w:tc>
          <w:tcPr>
            <w:tcW w:w="966" w:type="pct"/>
            <w:noWrap w:val="0"/>
            <w:vAlign w:val="center"/>
          </w:tcPr>
          <w:p w14:paraId="6599D01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1.场地清理；</w:t>
            </w:r>
          </w:p>
          <w:p w14:paraId="71F2D5C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2.地基平整夯实，沟、渠断面补挖；</w:t>
            </w:r>
          </w:p>
          <w:p w14:paraId="2546D27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3.铺设垫层；</w:t>
            </w:r>
          </w:p>
          <w:p w14:paraId="48B04C4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4.模板制作、安装、拆除；</w:t>
            </w:r>
          </w:p>
          <w:p w14:paraId="5D50DB1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5.混凝土拌合、运输、浇筑、养护；</w:t>
            </w:r>
          </w:p>
          <w:p w14:paraId="3E349B5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6.回填、压实</w:t>
            </w:r>
          </w:p>
        </w:tc>
      </w:tr>
      <w:tr w14:paraId="0C551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noWrap w:val="0"/>
            <w:vAlign w:val="center"/>
          </w:tcPr>
          <w:p w14:paraId="43B5F00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-c</w:t>
            </w:r>
          </w:p>
        </w:tc>
        <w:tc>
          <w:tcPr>
            <w:tcW w:w="1000" w:type="pct"/>
            <w:noWrap w:val="0"/>
            <w:vAlign w:val="center"/>
          </w:tcPr>
          <w:p w14:paraId="75EAC734">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预制混凝土铺砌</w:t>
            </w:r>
          </w:p>
        </w:tc>
        <w:tc>
          <w:tcPr>
            <w:tcW w:w="598" w:type="pct"/>
            <w:noWrap w:val="0"/>
            <w:vAlign w:val="center"/>
          </w:tcPr>
          <w:p w14:paraId="0950E84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1859" w:type="pct"/>
            <w:noWrap w:val="0"/>
            <w:vAlign w:val="center"/>
          </w:tcPr>
          <w:p w14:paraId="213E375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依据图纸所示位置及断面尺寸，按照不同强度等级混凝土预制的沟、渠铺砌体积，以立方米为单位计量</w:t>
            </w:r>
          </w:p>
        </w:tc>
        <w:tc>
          <w:tcPr>
            <w:tcW w:w="966" w:type="pct"/>
            <w:noWrap w:val="0"/>
            <w:vAlign w:val="center"/>
          </w:tcPr>
          <w:p w14:paraId="7874011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1.场地清理；</w:t>
            </w:r>
          </w:p>
          <w:p w14:paraId="30B1347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2.地基平整夯实，沟、渠断面补挖；</w:t>
            </w:r>
          </w:p>
          <w:p w14:paraId="60E9202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3.铺设垫层；</w:t>
            </w:r>
          </w:p>
          <w:p w14:paraId="2A8DB36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4.模板制作、安装、拆除；</w:t>
            </w:r>
          </w:p>
          <w:p w14:paraId="02D35FC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5.预制件预制、运输、装拆；</w:t>
            </w:r>
          </w:p>
          <w:p w14:paraId="6D7776A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6.预制件安装；</w:t>
            </w:r>
          </w:p>
          <w:p w14:paraId="718428C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7.回填、压实</w:t>
            </w:r>
          </w:p>
        </w:tc>
      </w:tr>
    </w:tbl>
    <w:p w14:paraId="0D179E66">
      <w:pPr>
        <w:widowControl/>
        <w:autoSpaceDE w:val="0"/>
        <w:autoSpaceDN w:val="0"/>
        <w:spacing w:line="360" w:lineRule="auto"/>
        <w:ind w:firstLine="640" w:firstLineChars="200"/>
        <w:jc w:val="center"/>
        <w:rPr>
          <w:rFonts w:ascii="Times New Roman" w:hAnsi="Times New Roman" w:cs="宋体"/>
          <w:kern w:val="0"/>
          <w:sz w:val="32"/>
          <w:szCs w:val="32"/>
          <w:highlight w:val="none"/>
          <w:lang w:val="zh-CN" w:bidi="zh-CN"/>
        </w:rPr>
      </w:pPr>
    </w:p>
    <w:p w14:paraId="4123915E">
      <w:pPr>
        <w:widowControl/>
        <w:autoSpaceDE w:val="0"/>
        <w:autoSpaceDN w:val="0"/>
        <w:spacing w:line="360" w:lineRule="auto"/>
        <w:ind w:firstLine="640" w:firstLineChars="200"/>
        <w:jc w:val="center"/>
        <w:rPr>
          <w:rFonts w:ascii="Times New Roman" w:hAnsi="Times New Roman" w:cs="宋体"/>
          <w:kern w:val="0"/>
          <w:sz w:val="32"/>
          <w:szCs w:val="32"/>
          <w:highlight w:val="none"/>
          <w:lang w:val="zh-CN" w:bidi="zh-CN"/>
        </w:rPr>
      </w:pPr>
      <w:r>
        <w:rPr>
          <w:rFonts w:ascii="Times New Roman" w:hAnsi="Times New Roman" w:cs="宋体"/>
          <w:kern w:val="0"/>
          <w:sz w:val="32"/>
          <w:szCs w:val="32"/>
          <w:highlight w:val="none"/>
          <w:lang w:val="zh-CN" w:bidi="zh-CN"/>
        </w:rPr>
        <w:br w:type="page"/>
      </w:r>
      <w:r>
        <w:rPr>
          <w:rFonts w:hint="eastAsia" w:ascii="Times New Roman" w:hAnsi="Times New Roman" w:cs="宋体"/>
          <w:kern w:val="0"/>
          <w:sz w:val="32"/>
          <w:szCs w:val="32"/>
          <w:highlight w:val="none"/>
          <w:lang w:val="zh-CN" w:bidi="zh-CN"/>
        </w:rPr>
        <w:t>第 300 章 路面</w:t>
      </w:r>
    </w:p>
    <w:tbl>
      <w:tblPr>
        <w:tblStyle w:val="30"/>
        <w:tblW w:w="504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67"/>
        <w:gridCol w:w="1788"/>
        <w:gridCol w:w="1090"/>
        <w:gridCol w:w="2147"/>
        <w:gridCol w:w="2916"/>
      </w:tblGrid>
      <w:tr w14:paraId="1EF16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641" w:type="pct"/>
            <w:shd w:val="pct20" w:color="auto" w:fill="auto"/>
            <w:noWrap w:val="0"/>
            <w:vAlign w:val="center"/>
          </w:tcPr>
          <w:p w14:paraId="01764B6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子目号</w:t>
            </w:r>
          </w:p>
        </w:tc>
        <w:tc>
          <w:tcPr>
            <w:tcW w:w="981" w:type="pct"/>
            <w:shd w:val="pct20" w:color="auto" w:fill="auto"/>
            <w:noWrap w:val="0"/>
            <w:vAlign w:val="center"/>
          </w:tcPr>
          <w:p w14:paraId="4438D20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子目名称</w:t>
            </w:r>
          </w:p>
        </w:tc>
        <w:tc>
          <w:tcPr>
            <w:tcW w:w="598" w:type="pct"/>
            <w:shd w:val="pct20" w:color="auto" w:fill="auto"/>
            <w:noWrap w:val="0"/>
            <w:vAlign w:val="center"/>
          </w:tcPr>
          <w:p w14:paraId="624A80F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单位</w:t>
            </w:r>
          </w:p>
        </w:tc>
        <w:tc>
          <w:tcPr>
            <w:tcW w:w="1178" w:type="pct"/>
            <w:shd w:val="pct20" w:color="auto" w:fill="auto"/>
            <w:noWrap w:val="0"/>
            <w:vAlign w:val="center"/>
          </w:tcPr>
          <w:p w14:paraId="6D338F8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工程量计量</w:t>
            </w:r>
          </w:p>
        </w:tc>
        <w:tc>
          <w:tcPr>
            <w:tcW w:w="1600" w:type="pct"/>
            <w:shd w:val="pct20" w:color="auto" w:fill="auto"/>
            <w:noWrap w:val="0"/>
            <w:vAlign w:val="center"/>
          </w:tcPr>
          <w:p w14:paraId="471B882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工程内容</w:t>
            </w:r>
          </w:p>
        </w:tc>
      </w:tr>
      <w:tr w14:paraId="234C3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1" w:type="pct"/>
            <w:noWrap w:val="0"/>
            <w:vAlign w:val="center"/>
          </w:tcPr>
          <w:p w14:paraId="5204D4B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302-1</w:t>
            </w:r>
          </w:p>
        </w:tc>
        <w:tc>
          <w:tcPr>
            <w:tcW w:w="981" w:type="pct"/>
            <w:noWrap w:val="0"/>
            <w:vAlign w:val="center"/>
          </w:tcPr>
          <w:p w14:paraId="6D4CAC41">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砂砾垫层（底基层）</w:t>
            </w:r>
          </w:p>
        </w:tc>
        <w:tc>
          <w:tcPr>
            <w:tcW w:w="598" w:type="pct"/>
            <w:noWrap w:val="0"/>
            <w:vAlign w:val="center"/>
          </w:tcPr>
          <w:p w14:paraId="0374662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²</w:t>
            </w:r>
          </w:p>
        </w:tc>
        <w:tc>
          <w:tcPr>
            <w:tcW w:w="1178" w:type="pct"/>
            <w:noWrap w:val="0"/>
            <w:vAlign w:val="center"/>
          </w:tcPr>
          <w:p w14:paraId="0336F3C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依据图纸所示压实厚度，按照铺筑的顶面面积以平方米为单位计量</w:t>
            </w:r>
          </w:p>
        </w:tc>
        <w:tc>
          <w:tcPr>
            <w:tcW w:w="1600" w:type="pct"/>
            <w:noWrap w:val="0"/>
            <w:vAlign w:val="center"/>
          </w:tcPr>
          <w:p w14:paraId="7315FCB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1.检查、清除路基上的浮土、杂物，并洒水湿润；</w:t>
            </w:r>
          </w:p>
          <w:p w14:paraId="16C420D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2.摊铺；</w:t>
            </w:r>
          </w:p>
          <w:p w14:paraId="28950A9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3.整平、整型；</w:t>
            </w:r>
          </w:p>
          <w:p w14:paraId="72E6438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4.洒水、碾压、整修</w:t>
            </w:r>
          </w:p>
        </w:tc>
      </w:tr>
      <w:tr w14:paraId="1F863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1" w:type="pct"/>
            <w:noWrap w:val="0"/>
            <w:vAlign w:val="center"/>
          </w:tcPr>
          <w:p w14:paraId="45205C2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303-1</w:t>
            </w:r>
          </w:p>
        </w:tc>
        <w:tc>
          <w:tcPr>
            <w:tcW w:w="981" w:type="pct"/>
            <w:noWrap w:val="0"/>
            <w:vAlign w:val="center"/>
          </w:tcPr>
          <w:p w14:paraId="26B9A956">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级配碎石（砂砾）基层</w:t>
            </w:r>
          </w:p>
        </w:tc>
        <w:tc>
          <w:tcPr>
            <w:tcW w:w="598" w:type="pct"/>
            <w:noWrap w:val="0"/>
            <w:vAlign w:val="center"/>
          </w:tcPr>
          <w:p w14:paraId="1669A1A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²</w:t>
            </w:r>
          </w:p>
        </w:tc>
        <w:tc>
          <w:tcPr>
            <w:tcW w:w="1178" w:type="pct"/>
            <w:noWrap w:val="0"/>
            <w:vAlign w:val="center"/>
          </w:tcPr>
          <w:p w14:paraId="1118A9E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依据图纸所示压实厚度，按照铺筑的顶面面积以平方米为单位计量</w:t>
            </w:r>
          </w:p>
        </w:tc>
        <w:tc>
          <w:tcPr>
            <w:tcW w:w="1600" w:type="pct"/>
            <w:noWrap w:val="0"/>
            <w:vAlign w:val="center"/>
          </w:tcPr>
          <w:p w14:paraId="196C9B2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1.检查、清理下承层、洒水；</w:t>
            </w:r>
          </w:p>
          <w:p w14:paraId="2965393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2.铺筑材料拌和、运输、摊铺；</w:t>
            </w:r>
          </w:p>
          <w:p w14:paraId="37C0E8B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3.整平、整型；</w:t>
            </w:r>
          </w:p>
          <w:p w14:paraId="526775C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4.洒水、碾压</w:t>
            </w:r>
          </w:p>
        </w:tc>
      </w:tr>
      <w:tr w14:paraId="6AF0F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41" w:type="pct"/>
            <w:noWrap w:val="0"/>
            <w:vAlign w:val="center"/>
          </w:tcPr>
          <w:p w14:paraId="7B0DD8A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304-1</w:t>
            </w:r>
          </w:p>
        </w:tc>
        <w:tc>
          <w:tcPr>
            <w:tcW w:w="981" w:type="pct"/>
            <w:noWrap w:val="0"/>
            <w:vAlign w:val="center"/>
          </w:tcPr>
          <w:p w14:paraId="6EEB37E6">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水泥稳定砂砾基层</w:t>
            </w:r>
          </w:p>
        </w:tc>
        <w:tc>
          <w:tcPr>
            <w:tcW w:w="598" w:type="pct"/>
            <w:noWrap w:val="0"/>
            <w:vAlign w:val="center"/>
          </w:tcPr>
          <w:p w14:paraId="0C5A74A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²</w:t>
            </w:r>
          </w:p>
        </w:tc>
        <w:tc>
          <w:tcPr>
            <w:tcW w:w="1178" w:type="pct"/>
            <w:noWrap w:val="0"/>
            <w:vAlign w:val="center"/>
          </w:tcPr>
          <w:p w14:paraId="270CEC6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依据图纸所示压实厚度，按照铺筑的顶面面积以平方米为单位计量</w:t>
            </w:r>
          </w:p>
        </w:tc>
        <w:tc>
          <w:tcPr>
            <w:tcW w:w="1600" w:type="pct"/>
            <w:noWrap w:val="0"/>
            <w:vAlign w:val="center"/>
          </w:tcPr>
          <w:p w14:paraId="1E5AF14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1.检查、清理下承层、洒水；</w:t>
            </w:r>
          </w:p>
          <w:p w14:paraId="6CF3286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2.拌和、运输、摊铺；</w:t>
            </w:r>
          </w:p>
          <w:p w14:paraId="541611E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3.整平、整型；</w:t>
            </w:r>
          </w:p>
          <w:p w14:paraId="7466451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4.洒水、碾压、初期养护</w:t>
            </w:r>
          </w:p>
        </w:tc>
      </w:tr>
      <w:tr w14:paraId="66DA0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1" w:type="pct"/>
            <w:noWrap w:val="0"/>
            <w:vAlign w:val="center"/>
          </w:tcPr>
          <w:p w14:paraId="141545C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305-1</w:t>
            </w:r>
          </w:p>
        </w:tc>
        <w:tc>
          <w:tcPr>
            <w:tcW w:w="981" w:type="pct"/>
            <w:noWrap w:val="0"/>
            <w:vAlign w:val="center"/>
          </w:tcPr>
          <w:p w14:paraId="64D5D6E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透层</w:t>
            </w:r>
          </w:p>
        </w:tc>
        <w:tc>
          <w:tcPr>
            <w:tcW w:w="598" w:type="pct"/>
            <w:noWrap w:val="0"/>
            <w:vAlign w:val="center"/>
          </w:tcPr>
          <w:p w14:paraId="4FE7816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²</w:t>
            </w:r>
          </w:p>
        </w:tc>
        <w:tc>
          <w:tcPr>
            <w:tcW w:w="1178" w:type="pct"/>
            <w:noWrap w:val="0"/>
            <w:vAlign w:val="center"/>
          </w:tcPr>
          <w:p w14:paraId="292D90E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依据图纸所示沥青品种、规格、喷油量， 按照洒布面积以平方米为单位计量</w:t>
            </w:r>
          </w:p>
        </w:tc>
        <w:tc>
          <w:tcPr>
            <w:tcW w:w="1600" w:type="pct"/>
            <w:noWrap w:val="0"/>
            <w:vAlign w:val="center"/>
          </w:tcPr>
          <w:p w14:paraId="1F786E2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1.检查和清扫下承层；</w:t>
            </w:r>
          </w:p>
          <w:p w14:paraId="4A746BD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2.材料制备、运输；</w:t>
            </w:r>
          </w:p>
          <w:p w14:paraId="2E248E0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3.试洒；</w:t>
            </w:r>
          </w:p>
          <w:p w14:paraId="4CA3B59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4.沥青洒布车均匀喷洒并检测洒布用量；</w:t>
            </w:r>
          </w:p>
          <w:p w14:paraId="4D2F34F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5.初期养护</w:t>
            </w:r>
          </w:p>
        </w:tc>
      </w:tr>
      <w:tr w14:paraId="3595E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1" w:type="pct"/>
            <w:noWrap w:val="0"/>
            <w:vAlign w:val="center"/>
          </w:tcPr>
          <w:p w14:paraId="0E41DA3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305-2</w:t>
            </w:r>
          </w:p>
        </w:tc>
        <w:tc>
          <w:tcPr>
            <w:tcW w:w="981" w:type="pct"/>
            <w:noWrap w:val="0"/>
            <w:vAlign w:val="center"/>
          </w:tcPr>
          <w:p w14:paraId="5A2F502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黏层</w:t>
            </w:r>
          </w:p>
        </w:tc>
        <w:tc>
          <w:tcPr>
            <w:tcW w:w="598" w:type="pct"/>
            <w:noWrap w:val="0"/>
            <w:vAlign w:val="center"/>
          </w:tcPr>
          <w:p w14:paraId="2B90382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²</w:t>
            </w:r>
          </w:p>
        </w:tc>
        <w:tc>
          <w:tcPr>
            <w:tcW w:w="1178" w:type="pct"/>
            <w:noWrap w:val="0"/>
            <w:vAlign w:val="center"/>
          </w:tcPr>
          <w:p w14:paraId="3AF8CE0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依据图纸所示沥青品种、规格、喷油量， 按照洒布面积以平方米为单位计量</w:t>
            </w:r>
          </w:p>
        </w:tc>
        <w:tc>
          <w:tcPr>
            <w:tcW w:w="1600" w:type="pct"/>
            <w:noWrap w:val="0"/>
            <w:vAlign w:val="center"/>
          </w:tcPr>
          <w:p w14:paraId="4C92DB8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1.检查和清扫下承层；</w:t>
            </w:r>
          </w:p>
          <w:p w14:paraId="2B49503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2.材料制备、运输；</w:t>
            </w:r>
          </w:p>
          <w:p w14:paraId="268FABD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3.试洒；</w:t>
            </w:r>
          </w:p>
          <w:p w14:paraId="76FA66E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4.沥青洒布车均匀喷洒并检测洒布用量；</w:t>
            </w:r>
          </w:p>
          <w:p w14:paraId="54450D4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5.初期养护</w:t>
            </w:r>
          </w:p>
        </w:tc>
      </w:tr>
      <w:tr w14:paraId="25AFC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1" w:type="pct"/>
            <w:noWrap w:val="0"/>
            <w:vAlign w:val="center"/>
          </w:tcPr>
          <w:p w14:paraId="611A136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305-3</w:t>
            </w:r>
          </w:p>
        </w:tc>
        <w:tc>
          <w:tcPr>
            <w:tcW w:w="981" w:type="pct"/>
            <w:noWrap w:val="0"/>
            <w:vAlign w:val="center"/>
          </w:tcPr>
          <w:p w14:paraId="47E1038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封层</w:t>
            </w:r>
          </w:p>
        </w:tc>
        <w:tc>
          <w:tcPr>
            <w:tcW w:w="598" w:type="pct"/>
            <w:noWrap w:val="0"/>
            <w:vAlign w:val="center"/>
          </w:tcPr>
          <w:p w14:paraId="46E1D39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²</w:t>
            </w:r>
          </w:p>
        </w:tc>
        <w:tc>
          <w:tcPr>
            <w:tcW w:w="1178" w:type="pct"/>
            <w:noWrap w:val="0"/>
            <w:vAlign w:val="center"/>
          </w:tcPr>
          <w:p w14:paraId="21A1AE0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依据图纸所示沥青种类、厚度，按照封层面积以平方米为单位计量</w:t>
            </w:r>
          </w:p>
        </w:tc>
        <w:tc>
          <w:tcPr>
            <w:tcW w:w="1600" w:type="pct"/>
            <w:noWrap w:val="0"/>
            <w:vAlign w:val="center"/>
          </w:tcPr>
          <w:p w14:paraId="4B2661C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1.检查和清扫下承层；</w:t>
            </w:r>
          </w:p>
          <w:p w14:paraId="200E42F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2.试验段施工；</w:t>
            </w:r>
          </w:p>
          <w:p w14:paraId="6E4B5E3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3.专用设备洒布或施工封层；</w:t>
            </w:r>
          </w:p>
          <w:p w14:paraId="0DBDB67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4.整型、碾压、找补；</w:t>
            </w:r>
          </w:p>
          <w:p w14:paraId="1E7070F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5.初期养护</w:t>
            </w:r>
          </w:p>
        </w:tc>
      </w:tr>
      <w:tr w14:paraId="787B7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1" w:type="pct"/>
            <w:noWrap w:val="0"/>
            <w:vAlign w:val="center"/>
          </w:tcPr>
          <w:p w14:paraId="2447F7F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306-1</w:t>
            </w:r>
          </w:p>
        </w:tc>
        <w:tc>
          <w:tcPr>
            <w:tcW w:w="981" w:type="pct"/>
            <w:noWrap w:val="0"/>
            <w:vAlign w:val="center"/>
          </w:tcPr>
          <w:p w14:paraId="59D27C8A">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沥青表面处治</w:t>
            </w:r>
          </w:p>
        </w:tc>
        <w:tc>
          <w:tcPr>
            <w:tcW w:w="598" w:type="pct"/>
            <w:noWrap w:val="0"/>
            <w:vAlign w:val="center"/>
          </w:tcPr>
          <w:p w14:paraId="063D966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²</w:t>
            </w:r>
          </w:p>
        </w:tc>
        <w:tc>
          <w:tcPr>
            <w:tcW w:w="1178" w:type="pct"/>
            <w:noWrap w:val="0"/>
            <w:vAlign w:val="center"/>
          </w:tcPr>
          <w:p w14:paraId="2B5DE71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依据图纸所示沥青种类、厚度、喷油量， 按照沥青表面处治面积以平方米为单位计量</w:t>
            </w:r>
          </w:p>
        </w:tc>
        <w:tc>
          <w:tcPr>
            <w:tcW w:w="1600" w:type="pct"/>
            <w:noWrap w:val="0"/>
            <w:vAlign w:val="center"/>
          </w:tcPr>
          <w:p w14:paraId="386260A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1.检查和清理下承层；</w:t>
            </w:r>
          </w:p>
          <w:p w14:paraId="265E5C9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2.安拆除熬油设备；</w:t>
            </w:r>
          </w:p>
          <w:p w14:paraId="2E2E2C6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3.熬油、运油；</w:t>
            </w:r>
          </w:p>
          <w:p w14:paraId="484C040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4.沥青洒布车洒油；</w:t>
            </w:r>
          </w:p>
          <w:p w14:paraId="5EBD9FE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5.整型、碾压、找补；</w:t>
            </w:r>
          </w:p>
          <w:p w14:paraId="49EBD54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6.初期养护</w:t>
            </w:r>
          </w:p>
        </w:tc>
      </w:tr>
      <w:tr w14:paraId="32B5E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6" w:hRule="atLeast"/>
          <w:jc w:val="center"/>
        </w:trPr>
        <w:tc>
          <w:tcPr>
            <w:tcW w:w="641" w:type="pct"/>
            <w:noWrap w:val="0"/>
            <w:vAlign w:val="center"/>
          </w:tcPr>
          <w:p w14:paraId="24C7047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307-1</w:t>
            </w:r>
          </w:p>
        </w:tc>
        <w:tc>
          <w:tcPr>
            <w:tcW w:w="981" w:type="pct"/>
            <w:noWrap w:val="0"/>
            <w:vAlign w:val="center"/>
          </w:tcPr>
          <w:p w14:paraId="7A2398B1">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细粒式沥青混凝土</w:t>
            </w:r>
          </w:p>
        </w:tc>
        <w:tc>
          <w:tcPr>
            <w:tcW w:w="598" w:type="pct"/>
            <w:noWrap w:val="0"/>
            <w:vAlign w:val="center"/>
          </w:tcPr>
          <w:p w14:paraId="14D72D7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²</w:t>
            </w:r>
          </w:p>
        </w:tc>
        <w:tc>
          <w:tcPr>
            <w:tcW w:w="1178" w:type="pct"/>
            <w:noWrap w:val="0"/>
            <w:vAlign w:val="center"/>
          </w:tcPr>
          <w:p w14:paraId="4CC0D06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依据图纸所示级配类型及铺筑压实厚 度，按照铺筑的顶面面积以平方米为单位计量</w:t>
            </w:r>
          </w:p>
        </w:tc>
        <w:tc>
          <w:tcPr>
            <w:tcW w:w="1600" w:type="pct"/>
            <w:noWrap w:val="0"/>
            <w:vAlign w:val="center"/>
          </w:tcPr>
          <w:p w14:paraId="1276725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1.检查和清理下承层；</w:t>
            </w:r>
          </w:p>
          <w:p w14:paraId="2D11473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2.拌和设备安装、调试、拆除；</w:t>
            </w:r>
          </w:p>
          <w:p w14:paraId="5BA1B7D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3.沥青加热、保温、输送， 配运料，矿料加热烘干，拌和、出料；</w:t>
            </w:r>
          </w:p>
          <w:p w14:paraId="03A4820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4.运输、摊铺、碾压、成型；</w:t>
            </w:r>
          </w:p>
          <w:p w14:paraId="65DF2FF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5.接缝处理；</w:t>
            </w:r>
          </w:p>
          <w:p w14:paraId="6BB115D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6.初期养护</w:t>
            </w:r>
          </w:p>
        </w:tc>
      </w:tr>
      <w:tr w14:paraId="2D587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1" w:type="pct"/>
            <w:noWrap w:val="0"/>
            <w:vAlign w:val="center"/>
          </w:tcPr>
          <w:p w14:paraId="3587C92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307-2</w:t>
            </w:r>
          </w:p>
        </w:tc>
        <w:tc>
          <w:tcPr>
            <w:tcW w:w="981" w:type="pct"/>
            <w:noWrap w:val="0"/>
            <w:vAlign w:val="center"/>
          </w:tcPr>
          <w:p w14:paraId="76695F53">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中粒式沥青混凝土</w:t>
            </w:r>
          </w:p>
        </w:tc>
        <w:tc>
          <w:tcPr>
            <w:tcW w:w="598" w:type="pct"/>
            <w:noWrap w:val="0"/>
            <w:vAlign w:val="center"/>
          </w:tcPr>
          <w:p w14:paraId="4B551CA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²</w:t>
            </w:r>
          </w:p>
        </w:tc>
        <w:tc>
          <w:tcPr>
            <w:tcW w:w="1178" w:type="pct"/>
            <w:noWrap w:val="0"/>
            <w:vAlign w:val="center"/>
          </w:tcPr>
          <w:p w14:paraId="39CE57C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依据图纸所示级配类型及铺筑压实厚 度，按照铺筑的顶面面积以平方米为单位计量</w:t>
            </w:r>
          </w:p>
        </w:tc>
        <w:tc>
          <w:tcPr>
            <w:tcW w:w="1600" w:type="pct"/>
            <w:noWrap w:val="0"/>
            <w:vAlign w:val="center"/>
          </w:tcPr>
          <w:p w14:paraId="02F6A8C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1.检查和清理下承层；</w:t>
            </w:r>
          </w:p>
          <w:p w14:paraId="26F62DE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2.拌和设备安装、调试、拆除；</w:t>
            </w:r>
          </w:p>
          <w:p w14:paraId="6628EB4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3.沥青加热、保温、输送， 配运料，矿料加热烘干，拌和、出料；</w:t>
            </w:r>
          </w:p>
          <w:p w14:paraId="1EFFEF5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4.运输、摊铺、碾压、成型；</w:t>
            </w:r>
          </w:p>
          <w:p w14:paraId="50CFBEE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5.接缝处理；</w:t>
            </w:r>
          </w:p>
          <w:p w14:paraId="7924234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6.初期养护</w:t>
            </w:r>
          </w:p>
        </w:tc>
      </w:tr>
      <w:tr w14:paraId="1CDFC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1" w:type="pct"/>
            <w:noWrap w:val="0"/>
            <w:vAlign w:val="center"/>
          </w:tcPr>
          <w:p w14:paraId="0A5DEFC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307-3</w:t>
            </w:r>
          </w:p>
        </w:tc>
        <w:tc>
          <w:tcPr>
            <w:tcW w:w="981" w:type="pct"/>
            <w:noWrap w:val="0"/>
            <w:vAlign w:val="center"/>
          </w:tcPr>
          <w:p w14:paraId="7427FD86">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粗粒式沥青混凝土</w:t>
            </w:r>
          </w:p>
        </w:tc>
        <w:tc>
          <w:tcPr>
            <w:tcW w:w="598" w:type="pct"/>
            <w:noWrap w:val="0"/>
            <w:vAlign w:val="center"/>
          </w:tcPr>
          <w:p w14:paraId="38B3A4C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²</w:t>
            </w:r>
          </w:p>
        </w:tc>
        <w:tc>
          <w:tcPr>
            <w:tcW w:w="1178" w:type="pct"/>
            <w:noWrap w:val="0"/>
            <w:vAlign w:val="center"/>
          </w:tcPr>
          <w:p w14:paraId="45EE35F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依据图纸所示级配类型及铺筑压实厚 度，按照铺筑的顶面面积以平方米为单位计量</w:t>
            </w:r>
          </w:p>
        </w:tc>
        <w:tc>
          <w:tcPr>
            <w:tcW w:w="1600" w:type="pct"/>
            <w:noWrap w:val="0"/>
            <w:vAlign w:val="center"/>
          </w:tcPr>
          <w:p w14:paraId="1F29561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1.检查和清理下承层；</w:t>
            </w:r>
          </w:p>
          <w:p w14:paraId="4B38590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2.拌和设备安装、调试、拆除；</w:t>
            </w:r>
          </w:p>
          <w:p w14:paraId="27BB914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3.沥青加热、保温、输送， 配运料，矿料加热烘干，拌和、出料；</w:t>
            </w:r>
          </w:p>
          <w:p w14:paraId="0F27CBD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4.运输、摊铺、碾压、成型；</w:t>
            </w:r>
          </w:p>
          <w:p w14:paraId="6705B55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5.接缝处理；</w:t>
            </w:r>
          </w:p>
          <w:p w14:paraId="30EE3AC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6.初期养护</w:t>
            </w:r>
          </w:p>
        </w:tc>
      </w:tr>
      <w:tr w14:paraId="0F2FC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1" w:type="pct"/>
            <w:noWrap w:val="0"/>
            <w:vAlign w:val="center"/>
          </w:tcPr>
          <w:p w14:paraId="68E58F5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308-1</w:t>
            </w:r>
          </w:p>
        </w:tc>
        <w:tc>
          <w:tcPr>
            <w:tcW w:w="981" w:type="pct"/>
            <w:noWrap w:val="0"/>
            <w:vAlign w:val="center"/>
          </w:tcPr>
          <w:p w14:paraId="077A7D8D">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水泥混凝土路面</w:t>
            </w:r>
          </w:p>
        </w:tc>
        <w:tc>
          <w:tcPr>
            <w:tcW w:w="598" w:type="pct"/>
            <w:noWrap w:val="0"/>
            <w:vAlign w:val="center"/>
          </w:tcPr>
          <w:p w14:paraId="3BC1098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1178" w:type="pct"/>
            <w:noWrap w:val="0"/>
            <w:vAlign w:val="center"/>
          </w:tcPr>
          <w:p w14:paraId="333B5A7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依据图纸所示厚度和混凝土强度等级， 按照铺筑体积以立方米为单位计量</w:t>
            </w:r>
          </w:p>
        </w:tc>
        <w:tc>
          <w:tcPr>
            <w:tcW w:w="1600" w:type="pct"/>
            <w:noWrap w:val="0"/>
            <w:vAlign w:val="center"/>
          </w:tcPr>
          <w:p w14:paraId="0AF927F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1.检查和清理下承层、洒水湿润；</w:t>
            </w:r>
          </w:p>
          <w:p w14:paraId="0261069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2.模板制作、架设、安装、修理、拆除；</w:t>
            </w:r>
          </w:p>
          <w:p w14:paraId="5DBC6DF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3.钢筋截断、弯曲、安设、支承及固定</w:t>
            </w:r>
          </w:p>
          <w:p w14:paraId="74877EA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4.混凝土拌和物配合比设</w:t>
            </w:r>
          </w:p>
          <w:p w14:paraId="5316B213">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计、配料、拌和、运输、浇筑、振捣、真空吸水、抹平、压（刻） 纹，养护；</w:t>
            </w:r>
          </w:p>
          <w:p w14:paraId="035CCF9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5.切缝、灌缝；</w:t>
            </w:r>
          </w:p>
          <w:p w14:paraId="67FFF77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6.初期养护</w:t>
            </w:r>
          </w:p>
        </w:tc>
      </w:tr>
      <w:tr w14:paraId="7C15E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1" w:type="pct"/>
            <w:noWrap w:val="0"/>
            <w:vAlign w:val="center"/>
          </w:tcPr>
          <w:p w14:paraId="1E548E8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309-1</w:t>
            </w:r>
          </w:p>
        </w:tc>
        <w:tc>
          <w:tcPr>
            <w:tcW w:w="981" w:type="pct"/>
            <w:noWrap w:val="0"/>
            <w:vAlign w:val="center"/>
          </w:tcPr>
          <w:p w14:paraId="757BE527">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混凝土预制块路缘（牙）石</w:t>
            </w:r>
          </w:p>
        </w:tc>
        <w:tc>
          <w:tcPr>
            <w:tcW w:w="598" w:type="pct"/>
            <w:noWrap w:val="0"/>
            <w:vAlign w:val="center"/>
          </w:tcPr>
          <w:p w14:paraId="6BE7B7C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1178" w:type="pct"/>
            <w:noWrap w:val="0"/>
            <w:vAlign w:val="center"/>
          </w:tcPr>
          <w:p w14:paraId="2A30B42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依据图纸所示断面尺寸和混凝土强度等级，按照预制安装体积以立方米为单位计量</w:t>
            </w:r>
          </w:p>
        </w:tc>
        <w:tc>
          <w:tcPr>
            <w:tcW w:w="1600" w:type="pct"/>
            <w:noWrap w:val="0"/>
            <w:vAlign w:val="center"/>
          </w:tcPr>
          <w:p w14:paraId="7059C71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1.预制场地平整，硬化处理；</w:t>
            </w:r>
          </w:p>
          <w:p w14:paraId="5F51865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2.路缘（牙）石预制、装运；</w:t>
            </w:r>
          </w:p>
          <w:p w14:paraId="25A3861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3.路基整修、基槽开挖与回填，废方弃运；</w:t>
            </w:r>
          </w:p>
          <w:p w14:paraId="40F34D5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4.基槽夯实；</w:t>
            </w:r>
          </w:p>
          <w:p w14:paraId="5832C9F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5.路缘石铺砌、勾缝；</w:t>
            </w:r>
          </w:p>
          <w:p w14:paraId="3D366A7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6.路缘（牙）石后背回填夯实</w:t>
            </w:r>
          </w:p>
        </w:tc>
      </w:tr>
    </w:tbl>
    <w:p w14:paraId="7E134A6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p w14:paraId="0384110F">
      <w:pPr>
        <w:widowControl/>
        <w:autoSpaceDE w:val="0"/>
        <w:autoSpaceDN w:val="0"/>
        <w:spacing w:line="360" w:lineRule="auto"/>
        <w:ind w:firstLine="640" w:firstLineChars="200"/>
        <w:jc w:val="center"/>
        <w:rPr>
          <w:rFonts w:ascii="Times New Roman" w:hAnsi="Times New Roman" w:cs="宋体"/>
          <w:kern w:val="0"/>
          <w:sz w:val="32"/>
          <w:szCs w:val="32"/>
          <w:highlight w:val="none"/>
          <w:lang w:val="zh-CN" w:bidi="zh-CN"/>
        </w:rPr>
      </w:pPr>
      <w:r>
        <w:rPr>
          <w:rFonts w:ascii="Times New Roman" w:hAnsi="Times New Roman" w:cs="宋体"/>
          <w:kern w:val="0"/>
          <w:sz w:val="32"/>
          <w:szCs w:val="32"/>
          <w:highlight w:val="none"/>
          <w:lang w:val="zh-CN" w:bidi="zh-CN"/>
        </w:rPr>
        <w:br w:type="page"/>
      </w:r>
      <w:r>
        <w:rPr>
          <w:rFonts w:hint="eastAsia" w:ascii="Times New Roman" w:hAnsi="Times New Roman" w:cs="宋体"/>
          <w:kern w:val="0"/>
          <w:sz w:val="32"/>
          <w:szCs w:val="32"/>
          <w:highlight w:val="none"/>
          <w:lang w:val="zh-CN" w:bidi="zh-CN"/>
        </w:rPr>
        <w:t>第 400 章 桥梁通道</w:t>
      </w:r>
    </w:p>
    <w:tbl>
      <w:tblPr>
        <w:tblStyle w:val="30"/>
        <w:tblW w:w="511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2"/>
        <w:gridCol w:w="2257"/>
        <w:gridCol w:w="7"/>
        <w:gridCol w:w="929"/>
        <w:gridCol w:w="3698"/>
        <w:gridCol w:w="7"/>
        <w:gridCol w:w="1406"/>
      </w:tblGrid>
      <w:tr w14:paraId="12959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509" w:type="pct"/>
            <w:shd w:val="pct20" w:color="auto" w:fill="auto"/>
            <w:noWrap w:val="0"/>
            <w:vAlign w:val="center"/>
          </w:tcPr>
          <w:p w14:paraId="6FBE5FD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子目号</w:t>
            </w:r>
          </w:p>
        </w:tc>
        <w:tc>
          <w:tcPr>
            <w:tcW w:w="1220" w:type="pct"/>
            <w:shd w:val="pct20" w:color="auto" w:fill="auto"/>
            <w:noWrap w:val="0"/>
            <w:vAlign w:val="center"/>
          </w:tcPr>
          <w:p w14:paraId="27A4F0A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子目名称</w:t>
            </w:r>
          </w:p>
        </w:tc>
        <w:tc>
          <w:tcPr>
            <w:tcW w:w="506" w:type="pct"/>
            <w:gridSpan w:val="2"/>
            <w:shd w:val="pct20" w:color="auto" w:fill="auto"/>
            <w:noWrap w:val="0"/>
            <w:vAlign w:val="center"/>
          </w:tcPr>
          <w:p w14:paraId="1FAF93E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单位</w:t>
            </w:r>
          </w:p>
        </w:tc>
        <w:tc>
          <w:tcPr>
            <w:tcW w:w="2003" w:type="pct"/>
            <w:gridSpan w:val="2"/>
            <w:shd w:val="pct20" w:color="auto" w:fill="auto"/>
            <w:noWrap w:val="0"/>
            <w:vAlign w:val="center"/>
          </w:tcPr>
          <w:p w14:paraId="2128E2B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工程量计量</w:t>
            </w:r>
          </w:p>
        </w:tc>
        <w:tc>
          <w:tcPr>
            <w:tcW w:w="760" w:type="pct"/>
            <w:shd w:val="pct20" w:color="auto" w:fill="auto"/>
            <w:noWrap w:val="0"/>
            <w:vAlign w:val="center"/>
          </w:tcPr>
          <w:p w14:paraId="553C076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工程内容</w:t>
            </w:r>
          </w:p>
        </w:tc>
      </w:tr>
      <w:tr w14:paraId="0812B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09" w:type="pct"/>
            <w:noWrap w:val="0"/>
            <w:vAlign w:val="center"/>
          </w:tcPr>
          <w:p w14:paraId="7797BD02">
            <w:pPr>
              <w:widowControl/>
              <w:autoSpaceDE w:val="0"/>
              <w:autoSpaceDN w:val="0"/>
              <w:spacing w:line="360" w:lineRule="auto"/>
              <w:ind w:firstLine="220" w:firstLineChars="1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401</w:t>
            </w:r>
          </w:p>
        </w:tc>
        <w:tc>
          <w:tcPr>
            <w:tcW w:w="1220" w:type="pct"/>
            <w:noWrap w:val="0"/>
            <w:vAlign w:val="center"/>
          </w:tcPr>
          <w:p w14:paraId="5A217C5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基础部分</w:t>
            </w:r>
          </w:p>
        </w:tc>
        <w:tc>
          <w:tcPr>
            <w:tcW w:w="506" w:type="pct"/>
            <w:gridSpan w:val="2"/>
            <w:noWrap w:val="0"/>
            <w:vAlign w:val="center"/>
          </w:tcPr>
          <w:p w14:paraId="245DCC2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2003" w:type="pct"/>
            <w:gridSpan w:val="2"/>
            <w:noWrap w:val="0"/>
            <w:vAlign w:val="center"/>
          </w:tcPr>
          <w:p w14:paraId="04A74E2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760" w:type="pct"/>
            <w:noWrap w:val="0"/>
            <w:vAlign w:val="center"/>
          </w:tcPr>
          <w:p w14:paraId="62AE48F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r>
      <w:tr w14:paraId="3117C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09" w:type="pct"/>
            <w:noWrap w:val="0"/>
            <w:vAlign w:val="center"/>
          </w:tcPr>
          <w:p w14:paraId="02A7E6E3">
            <w:pPr>
              <w:widowControl/>
              <w:autoSpaceDE w:val="0"/>
              <w:autoSpaceDN w:val="0"/>
              <w:spacing w:line="360" w:lineRule="auto"/>
              <w:ind w:firstLine="220" w:firstLineChars="1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401-1</w:t>
            </w:r>
          </w:p>
        </w:tc>
        <w:tc>
          <w:tcPr>
            <w:tcW w:w="1220" w:type="pct"/>
            <w:noWrap w:val="0"/>
            <w:vAlign w:val="center"/>
          </w:tcPr>
          <w:p w14:paraId="48606E4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挖基土（石）方</w:t>
            </w:r>
          </w:p>
        </w:tc>
        <w:tc>
          <w:tcPr>
            <w:tcW w:w="506" w:type="pct"/>
            <w:gridSpan w:val="2"/>
            <w:noWrap w:val="0"/>
            <w:vAlign w:val="center"/>
          </w:tcPr>
          <w:p w14:paraId="0511C37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2003" w:type="pct"/>
            <w:gridSpan w:val="2"/>
            <w:noWrap w:val="0"/>
            <w:vAlign w:val="center"/>
          </w:tcPr>
          <w:p w14:paraId="2D7809B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760" w:type="pct"/>
            <w:noWrap w:val="0"/>
            <w:vAlign w:val="center"/>
          </w:tcPr>
          <w:p w14:paraId="66BDFCE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r>
      <w:tr w14:paraId="45326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09" w:type="pct"/>
            <w:noWrap w:val="0"/>
            <w:vAlign w:val="center"/>
          </w:tcPr>
          <w:p w14:paraId="132675A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-a</w:t>
            </w:r>
          </w:p>
        </w:tc>
        <w:tc>
          <w:tcPr>
            <w:tcW w:w="1220" w:type="pct"/>
            <w:noWrap w:val="0"/>
            <w:vAlign w:val="center"/>
          </w:tcPr>
          <w:p w14:paraId="5640F88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干处挖土方</w:t>
            </w:r>
          </w:p>
        </w:tc>
        <w:tc>
          <w:tcPr>
            <w:tcW w:w="506" w:type="pct"/>
            <w:gridSpan w:val="2"/>
            <w:vMerge w:val="restart"/>
            <w:noWrap w:val="0"/>
            <w:vAlign w:val="center"/>
          </w:tcPr>
          <w:p w14:paraId="3927117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2003" w:type="pct"/>
            <w:gridSpan w:val="2"/>
            <w:vMerge w:val="restart"/>
            <w:noWrap w:val="0"/>
            <w:vAlign w:val="center"/>
          </w:tcPr>
          <w:p w14:paraId="3AE00F1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1.根据图示，取用底、顶面间平均高度的棱柱体体积，分干处、水下及土、石不同类型， 以立方米为单位计量；</w:t>
            </w:r>
          </w:p>
          <w:p w14:paraId="774ACC4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2.在地下水位以上开挖的为干处挖方，在地下水位以下开挖的为水下挖方；</w:t>
            </w:r>
          </w:p>
          <w:p w14:paraId="67F53B8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3.基坑底面、顶面及侧面的确定应符合下列规定：</w:t>
            </w:r>
          </w:p>
          <w:p w14:paraId="0F26D12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a.基坑开挖底面：按图纸所示的基底高程线计算。</w:t>
            </w:r>
          </w:p>
          <w:p w14:paraId="4BB9925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b.基坑开挖顶面：按设计图纸横断面上所标示的原地面线计算。</w:t>
            </w:r>
          </w:p>
          <w:p w14:paraId="619B74B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c.基坑开挖侧面：按顶面到底面，以超出基底周边 0.5m的竖直面为界</w:t>
            </w:r>
          </w:p>
        </w:tc>
        <w:tc>
          <w:tcPr>
            <w:tcW w:w="760" w:type="pct"/>
            <w:vMerge w:val="restart"/>
            <w:noWrap w:val="0"/>
            <w:vAlign w:val="center"/>
          </w:tcPr>
          <w:p w14:paraId="1251A53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1.场地清理；</w:t>
            </w:r>
          </w:p>
          <w:p w14:paraId="473C04E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2.围堰、排水；</w:t>
            </w:r>
          </w:p>
          <w:p w14:paraId="0C7DABD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3.基坑开挖；</w:t>
            </w:r>
          </w:p>
          <w:p w14:paraId="7769F89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4.基坑支护；</w:t>
            </w:r>
          </w:p>
          <w:p w14:paraId="11880D0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5.基坑检查、修整；</w:t>
            </w:r>
          </w:p>
          <w:p w14:paraId="1A1AFD6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6.基坑回填、压实；</w:t>
            </w:r>
          </w:p>
          <w:p w14:paraId="00A9AFD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7.弃方清运</w:t>
            </w:r>
          </w:p>
        </w:tc>
      </w:tr>
      <w:tr w14:paraId="136FD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09" w:type="pct"/>
            <w:noWrap w:val="0"/>
            <w:vAlign w:val="center"/>
          </w:tcPr>
          <w:p w14:paraId="0C0ED04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-b</w:t>
            </w:r>
          </w:p>
        </w:tc>
        <w:tc>
          <w:tcPr>
            <w:tcW w:w="1220" w:type="pct"/>
            <w:noWrap w:val="0"/>
            <w:vAlign w:val="center"/>
          </w:tcPr>
          <w:p w14:paraId="7419CF0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水下挖土方</w:t>
            </w:r>
          </w:p>
        </w:tc>
        <w:tc>
          <w:tcPr>
            <w:tcW w:w="506" w:type="pct"/>
            <w:gridSpan w:val="2"/>
            <w:vMerge w:val="continue"/>
            <w:tcBorders>
              <w:top w:val="nil"/>
            </w:tcBorders>
            <w:noWrap w:val="0"/>
            <w:vAlign w:val="center"/>
          </w:tcPr>
          <w:p w14:paraId="7D23F9D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2003" w:type="pct"/>
            <w:gridSpan w:val="2"/>
            <w:vMerge w:val="continue"/>
            <w:tcBorders>
              <w:top w:val="nil"/>
            </w:tcBorders>
            <w:noWrap w:val="0"/>
            <w:vAlign w:val="center"/>
          </w:tcPr>
          <w:p w14:paraId="4DAE7E8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760" w:type="pct"/>
            <w:vMerge w:val="continue"/>
            <w:tcBorders>
              <w:top w:val="nil"/>
            </w:tcBorders>
            <w:noWrap w:val="0"/>
            <w:vAlign w:val="center"/>
          </w:tcPr>
          <w:p w14:paraId="5D162FC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r>
      <w:tr w14:paraId="7C888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09" w:type="pct"/>
            <w:noWrap w:val="0"/>
            <w:vAlign w:val="center"/>
          </w:tcPr>
          <w:p w14:paraId="1C34CB6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-c</w:t>
            </w:r>
          </w:p>
        </w:tc>
        <w:tc>
          <w:tcPr>
            <w:tcW w:w="1220" w:type="pct"/>
            <w:noWrap w:val="0"/>
            <w:vAlign w:val="center"/>
          </w:tcPr>
          <w:p w14:paraId="71E1979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干处挖石方</w:t>
            </w:r>
          </w:p>
        </w:tc>
        <w:tc>
          <w:tcPr>
            <w:tcW w:w="506" w:type="pct"/>
            <w:gridSpan w:val="2"/>
            <w:vMerge w:val="continue"/>
            <w:tcBorders>
              <w:top w:val="nil"/>
            </w:tcBorders>
            <w:noWrap w:val="0"/>
            <w:vAlign w:val="center"/>
          </w:tcPr>
          <w:p w14:paraId="0FC94CA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2003" w:type="pct"/>
            <w:gridSpan w:val="2"/>
            <w:vMerge w:val="continue"/>
            <w:tcBorders>
              <w:top w:val="nil"/>
            </w:tcBorders>
            <w:noWrap w:val="0"/>
            <w:vAlign w:val="center"/>
          </w:tcPr>
          <w:p w14:paraId="1594B21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760" w:type="pct"/>
            <w:vMerge w:val="restart"/>
            <w:noWrap w:val="0"/>
            <w:vAlign w:val="center"/>
          </w:tcPr>
          <w:p w14:paraId="695BBC4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1.场地清理；</w:t>
            </w:r>
          </w:p>
          <w:p w14:paraId="4EB4988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2.围堰、排水；</w:t>
            </w:r>
          </w:p>
          <w:p w14:paraId="014DD61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3.钻爆、出渣；</w:t>
            </w:r>
          </w:p>
          <w:p w14:paraId="70E9C74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4.基坑支护；</w:t>
            </w:r>
          </w:p>
          <w:p w14:paraId="604AFDD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5.基坑检查、修整；</w:t>
            </w:r>
          </w:p>
          <w:p w14:paraId="61DCA78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6.基坑回填、压实；</w:t>
            </w:r>
          </w:p>
          <w:p w14:paraId="6055095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7.弃方清运</w:t>
            </w:r>
          </w:p>
        </w:tc>
      </w:tr>
      <w:tr w14:paraId="409DD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09" w:type="pct"/>
            <w:noWrap w:val="0"/>
            <w:vAlign w:val="center"/>
          </w:tcPr>
          <w:p w14:paraId="7B47D71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-d</w:t>
            </w:r>
          </w:p>
        </w:tc>
        <w:tc>
          <w:tcPr>
            <w:tcW w:w="1220" w:type="pct"/>
            <w:noWrap w:val="0"/>
            <w:vAlign w:val="center"/>
          </w:tcPr>
          <w:p w14:paraId="791FB2A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水下挖石方</w:t>
            </w:r>
          </w:p>
        </w:tc>
        <w:tc>
          <w:tcPr>
            <w:tcW w:w="506" w:type="pct"/>
            <w:gridSpan w:val="2"/>
            <w:vMerge w:val="continue"/>
            <w:tcBorders>
              <w:top w:val="nil"/>
            </w:tcBorders>
            <w:noWrap w:val="0"/>
            <w:vAlign w:val="center"/>
          </w:tcPr>
          <w:p w14:paraId="26FAE45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2003" w:type="pct"/>
            <w:gridSpan w:val="2"/>
            <w:vMerge w:val="continue"/>
            <w:tcBorders>
              <w:top w:val="nil"/>
            </w:tcBorders>
            <w:noWrap w:val="0"/>
            <w:vAlign w:val="center"/>
          </w:tcPr>
          <w:p w14:paraId="2B53337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760" w:type="pct"/>
            <w:vMerge w:val="continue"/>
            <w:tcBorders>
              <w:top w:val="nil"/>
            </w:tcBorders>
            <w:noWrap w:val="0"/>
            <w:vAlign w:val="center"/>
          </w:tcPr>
          <w:p w14:paraId="041DE24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r>
      <w:tr w14:paraId="21F40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09" w:type="pct"/>
            <w:noWrap w:val="0"/>
            <w:vAlign w:val="center"/>
          </w:tcPr>
          <w:p w14:paraId="05832401">
            <w:pPr>
              <w:widowControl/>
              <w:autoSpaceDE w:val="0"/>
              <w:autoSpaceDN w:val="0"/>
              <w:spacing w:line="360" w:lineRule="auto"/>
              <w:ind w:firstLine="220" w:firstLineChars="1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401-2</w:t>
            </w:r>
          </w:p>
        </w:tc>
        <w:tc>
          <w:tcPr>
            <w:tcW w:w="1224" w:type="pct"/>
            <w:gridSpan w:val="2"/>
            <w:noWrap w:val="0"/>
            <w:vAlign w:val="center"/>
          </w:tcPr>
          <w:p w14:paraId="19100F5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混凝土基础（包括支撑梁、桩基承台、桩系梁， 但不包括桩基 础）</w:t>
            </w:r>
          </w:p>
        </w:tc>
        <w:tc>
          <w:tcPr>
            <w:tcW w:w="502" w:type="pct"/>
            <w:noWrap w:val="0"/>
            <w:vAlign w:val="center"/>
          </w:tcPr>
          <w:p w14:paraId="4C3DD1C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2003" w:type="pct"/>
            <w:gridSpan w:val="2"/>
            <w:noWrap w:val="0"/>
            <w:vAlign w:val="center"/>
          </w:tcPr>
          <w:p w14:paraId="6FDE96E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依据图纸所示体积，分不同强度等级以立方米为单位计量</w:t>
            </w:r>
          </w:p>
        </w:tc>
        <w:tc>
          <w:tcPr>
            <w:tcW w:w="760" w:type="pct"/>
            <w:noWrap w:val="0"/>
            <w:vAlign w:val="center"/>
          </w:tcPr>
          <w:p w14:paraId="6DC1E1C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1.场地清理；</w:t>
            </w:r>
          </w:p>
          <w:p w14:paraId="5A3DC3F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2.搭拆作业平台；</w:t>
            </w:r>
          </w:p>
          <w:p w14:paraId="6FC6FD6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3.铺设垫层；</w:t>
            </w:r>
          </w:p>
          <w:p w14:paraId="30C71C5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4.安拆套箱或模板； 安设预埋件；</w:t>
            </w:r>
          </w:p>
          <w:p w14:paraId="6D66484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5.混凝土配运料、拌和、运输、浇筑、振捣、养护、试验测试；</w:t>
            </w:r>
          </w:p>
          <w:p w14:paraId="5F12608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6.施工缝、沉降缝设置处理；</w:t>
            </w:r>
          </w:p>
          <w:p w14:paraId="070CE02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7.混凝土的冷却管制作安装，通水、降温；</w:t>
            </w:r>
          </w:p>
          <w:p w14:paraId="5AA1166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8.排水、防水、防冻、防腐措施</w:t>
            </w:r>
          </w:p>
        </w:tc>
      </w:tr>
      <w:tr w14:paraId="7659D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09" w:type="pct"/>
            <w:noWrap w:val="0"/>
            <w:vAlign w:val="center"/>
          </w:tcPr>
          <w:p w14:paraId="636E2EDF">
            <w:pPr>
              <w:widowControl/>
              <w:autoSpaceDE w:val="0"/>
              <w:autoSpaceDN w:val="0"/>
              <w:spacing w:line="360" w:lineRule="auto"/>
              <w:ind w:firstLine="220" w:firstLineChars="1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401-3</w:t>
            </w:r>
          </w:p>
        </w:tc>
        <w:tc>
          <w:tcPr>
            <w:tcW w:w="1224" w:type="pct"/>
            <w:gridSpan w:val="2"/>
            <w:noWrap w:val="0"/>
            <w:vAlign w:val="center"/>
          </w:tcPr>
          <w:p w14:paraId="19BFEE8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p w14:paraId="594FA96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桩基础</w:t>
            </w:r>
          </w:p>
        </w:tc>
        <w:tc>
          <w:tcPr>
            <w:tcW w:w="502" w:type="pct"/>
            <w:noWrap w:val="0"/>
            <w:vAlign w:val="center"/>
          </w:tcPr>
          <w:p w14:paraId="2CF8F03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p>
        </w:tc>
        <w:tc>
          <w:tcPr>
            <w:tcW w:w="2003" w:type="pct"/>
            <w:gridSpan w:val="2"/>
            <w:noWrap w:val="0"/>
            <w:vAlign w:val="center"/>
          </w:tcPr>
          <w:p w14:paraId="051B75F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1.依据图纸所示桩长及混凝土强度等级，按照不同桩径的桩长以米为单位计量；</w:t>
            </w:r>
          </w:p>
          <w:p w14:paraId="62A28D5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2.施工图设计水深小于 2 米（含 2 米）的为陆上钻孔灌注桩；</w:t>
            </w:r>
          </w:p>
          <w:p w14:paraId="24BBCEE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3.桩长为桩底高程至承台底面或系梁底面。对于与桩连为一体的柱式墩台，如无承台或系梁时，则以桩位处原始地面线为分界线，地面线以下部分为灌注桩桩长。若图纸有标示的，按图纸标示为准；</w:t>
            </w:r>
          </w:p>
          <w:p w14:paraId="7F60C5C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4.由于超钻深于所需桩长部分，不予计量</w:t>
            </w:r>
          </w:p>
        </w:tc>
        <w:tc>
          <w:tcPr>
            <w:tcW w:w="760" w:type="pct"/>
            <w:noWrap w:val="0"/>
            <w:vAlign w:val="center"/>
          </w:tcPr>
          <w:p w14:paraId="3A900AE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1.安设护筒及设置钻孔平台；</w:t>
            </w:r>
          </w:p>
          <w:p w14:paraId="69E318E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2.钻机安拆，就位；</w:t>
            </w:r>
          </w:p>
          <w:p w14:paraId="1BE6433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3.钻孔、成孔、成孔检查；</w:t>
            </w:r>
          </w:p>
          <w:p w14:paraId="438ABB5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4.安装声测管；</w:t>
            </w:r>
          </w:p>
          <w:p w14:paraId="4FEF35C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5.混凝土制拌、运输、浇筑；</w:t>
            </w:r>
          </w:p>
          <w:p w14:paraId="5D0A92E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6.破桩头；</w:t>
            </w:r>
          </w:p>
          <w:p w14:paraId="1187C76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7.按相关规定进行桩基检测</w:t>
            </w:r>
          </w:p>
        </w:tc>
      </w:tr>
      <w:tr w14:paraId="6FBCE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09" w:type="pct"/>
            <w:noWrap w:val="0"/>
            <w:vAlign w:val="center"/>
          </w:tcPr>
          <w:p w14:paraId="3141B363">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401-4</w:t>
            </w:r>
          </w:p>
        </w:tc>
        <w:tc>
          <w:tcPr>
            <w:tcW w:w="1224" w:type="pct"/>
            <w:gridSpan w:val="2"/>
            <w:noWrap w:val="0"/>
            <w:vAlign w:val="center"/>
          </w:tcPr>
          <w:p w14:paraId="06FB613B">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钢筋（包括灌注桩、承台、桩系梁、支撑梁等）</w:t>
            </w:r>
          </w:p>
        </w:tc>
        <w:tc>
          <w:tcPr>
            <w:tcW w:w="502" w:type="pct"/>
            <w:noWrap w:val="0"/>
            <w:vAlign w:val="center"/>
          </w:tcPr>
          <w:p w14:paraId="690988F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kg</w:t>
            </w:r>
          </w:p>
        </w:tc>
        <w:tc>
          <w:tcPr>
            <w:tcW w:w="2003" w:type="pct"/>
            <w:gridSpan w:val="2"/>
            <w:noWrap w:val="0"/>
            <w:vAlign w:val="center"/>
          </w:tcPr>
          <w:p w14:paraId="51BB816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1.依据图纸所示及钢筋表所列钢筋质量以千克为单位计量；</w:t>
            </w:r>
          </w:p>
          <w:p w14:paraId="2E61B25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2.固定钢筋的材料、定位架立钢筋、钢筋接头、吊装钢筋、钢板、铁丝作为钢筋作业的附属工作，不另行计量</w:t>
            </w:r>
          </w:p>
        </w:tc>
        <w:tc>
          <w:tcPr>
            <w:tcW w:w="760" w:type="pct"/>
            <w:noWrap w:val="0"/>
            <w:vAlign w:val="center"/>
          </w:tcPr>
          <w:p w14:paraId="6850666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1.钢筋的运输、保护、储存及除锈；</w:t>
            </w:r>
          </w:p>
          <w:p w14:paraId="108647A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2.钢筋整直、接头；</w:t>
            </w:r>
          </w:p>
          <w:p w14:paraId="061F97F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3.钢筋截断、弯曲；</w:t>
            </w:r>
          </w:p>
          <w:p w14:paraId="483BDFD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4.钢筋安设、支承及固定</w:t>
            </w:r>
          </w:p>
        </w:tc>
      </w:tr>
      <w:tr w14:paraId="3BA86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09" w:type="pct"/>
            <w:noWrap w:val="0"/>
            <w:vAlign w:val="center"/>
          </w:tcPr>
          <w:p w14:paraId="660BE7F9">
            <w:pPr>
              <w:widowControl/>
              <w:autoSpaceDE w:val="0"/>
              <w:autoSpaceDN w:val="0"/>
              <w:spacing w:line="360" w:lineRule="auto"/>
              <w:ind w:firstLine="220" w:firstLineChars="1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402</w:t>
            </w:r>
          </w:p>
        </w:tc>
        <w:tc>
          <w:tcPr>
            <w:tcW w:w="1224" w:type="pct"/>
            <w:gridSpan w:val="2"/>
            <w:noWrap w:val="0"/>
            <w:vAlign w:val="center"/>
          </w:tcPr>
          <w:p w14:paraId="2A356D23">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下部结构（包含桥台、桥墩、盖梁、台帽等）</w:t>
            </w:r>
          </w:p>
        </w:tc>
        <w:tc>
          <w:tcPr>
            <w:tcW w:w="502" w:type="pct"/>
            <w:noWrap w:val="0"/>
            <w:vAlign w:val="center"/>
          </w:tcPr>
          <w:p w14:paraId="2502C44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2003" w:type="pct"/>
            <w:gridSpan w:val="2"/>
            <w:noWrap w:val="0"/>
            <w:vAlign w:val="center"/>
          </w:tcPr>
          <w:p w14:paraId="3F466BB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760" w:type="pct"/>
            <w:noWrap w:val="0"/>
            <w:vAlign w:val="center"/>
          </w:tcPr>
          <w:p w14:paraId="48C01A5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r>
      <w:tr w14:paraId="79921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09" w:type="pct"/>
            <w:noWrap w:val="0"/>
            <w:vAlign w:val="center"/>
          </w:tcPr>
          <w:p w14:paraId="40A5DDF8">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402-1</w:t>
            </w:r>
          </w:p>
        </w:tc>
        <w:tc>
          <w:tcPr>
            <w:tcW w:w="1224" w:type="pct"/>
            <w:gridSpan w:val="2"/>
            <w:noWrap w:val="0"/>
            <w:vAlign w:val="center"/>
          </w:tcPr>
          <w:p w14:paraId="54C6D65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下部混凝土</w:t>
            </w:r>
          </w:p>
        </w:tc>
        <w:tc>
          <w:tcPr>
            <w:tcW w:w="502" w:type="pct"/>
            <w:noWrap w:val="0"/>
            <w:vAlign w:val="center"/>
          </w:tcPr>
          <w:p w14:paraId="7DF7D74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2003" w:type="pct"/>
            <w:gridSpan w:val="2"/>
            <w:noWrap w:val="0"/>
            <w:vAlign w:val="center"/>
          </w:tcPr>
          <w:p w14:paraId="2DEBBE5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1.依据图纸所示体积分不同强度等级以立方米为单位计量；</w:t>
            </w:r>
          </w:p>
          <w:p w14:paraId="4D807ED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2.直径小于 200mm 的管子、钢筋、锚固件、管道、泄水孔或桩所占混凝土体积不予扣 除</w:t>
            </w:r>
          </w:p>
        </w:tc>
        <w:tc>
          <w:tcPr>
            <w:tcW w:w="760" w:type="pct"/>
            <w:noWrap w:val="0"/>
            <w:vAlign w:val="center"/>
          </w:tcPr>
          <w:p w14:paraId="293F7AB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1.场地清理；</w:t>
            </w:r>
          </w:p>
          <w:p w14:paraId="2076D55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2.搭拆作业平台、支架；</w:t>
            </w:r>
          </w:p>
          <w:p w14:paraId="2E86F0D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3.安拆模板；安设预埋件(包括支座预埋件、防震锚栓及套筒等）；</w:t>
            </w:r>
          </w:p>
          <w:p w14:paraId="4C18443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4.混凝土配运料、拌和、运输、浇筑、振捣、养护；</w:t>
            </w:r>
          </w:p>
          <w:p w14:paraId="1105F9A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5.施工缝、沉降缝设置处理；</w:t>
            </w:r>
          </w:p>
          <w:p w14:paraId="0D0D534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6.防水、防冻、防腐措施</w:t>
            </w:r>
          </w:p>
        </w:tc>
      </w:tr>
      <w:tr w14:paraId="0EC10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09" w:type="pct"/>
            <w:noWrap w:val="0"/>
            <w:vAlign w:val="center"/>
          </w:tcPr>
          <w:p w14:paraId="0BC6E1CE">
            <w:pPr>
              <w:widowControl/>
              <w:autoSpaceDE w:val="0"/>
              <w:autoSpaceDN w:val="0"/>
              <w:spacing w:line="360" w:lineRule="auto"/>
              <w:ind w:firstLine="220" w:firstLineChars="1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402-2</w:t>
            </w:r>
          </w:p>
        </w:tc>
        <w:tc>
          <w:tcPr>
            <w:tcW w:w="1224" w:type="pct"/>
            <w:gridSpan w:val="2"/>
            <w:noWrap w:val="0"/>
            <w:vAlign w:val="center"/>
          </w:tcPr>
          <w:p w14:paraId="6C81A30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浆砌片（块）石</w:t>
            </w:r>
          </w:p>
        </w:tc>
        <w:tc>
          <w:tcPr>
            <w:tcW w:w="502" w:type="pct"/>
            <w:noWrap w:val="0"/>
            <w:vAlign w:val="center"/>
          </w:tcPr>
          <w:p w14:paraId="1A22D72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2003" w:type="pct"/>
            <w:gridSpan w:val="2"/>
            <w:noWrap w:val="0"/>
            <w:vAlign w:val="center"/>
          </w:tcPr>
          <w:p w14:paraId="77D1DFD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依据图纸所示位置及尺寸砌筑体积分不同砂浆强度等级以立方米为单位计量</w:t>
            </w:r>
          </w:p>
        </w:tc>
        <w:tc>
          <w:tcPr>
            <w:tcW w:w="760" w:type="pct"/>
            <w:noWrap w:val="0"/>
            <w:vAlign w:val="center"/>
          </w:tcPr>
          <w:p w14:paraId="57ACF17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1.基础清理；</w:t>
            </w:r>
          </w:p>
          <w:p w14:paraId="42962F3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2.基底检查；</w:t>
            </w:r>
          </w:p>
          <w:p w14:paraId="55F42A4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3.选修石料；</w:t>
            </w:r>
          </w:p>
          <w:p w14:paraId="2AABE77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4.铺筑垫层；</w:t>
            </w:r>
          </w:p>
          <w:p w14:paraId="13B702F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5.搭、拆脚手架；</w:t>
            </w:r>
          </w:p>
          <w:p w14:paraId="518F05F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6.配、拌、运砂浆；</w:t>
            </w:r>
          </w:p>
          <w:p w14:paraId="22B1856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7.砌筑、勾缝、抹面、养护；</w:t>
            </w:r>
          </w:p>
          <w:p w14:paraId="2D71A2E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8.沉降缝设置</w:t>
            </w:r>
          </w:p>
        </w:tc>
      </w:tr>
      <w:tr w14:paraId="10447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09" w:type="pct"/>
            <w:noWrap w:val="0"/>
            <w:vAlign w:val="center"/>
          </w:tcPr>
          <w:p w14:paraId="7508E4CD">
            <w:pPr>
              <w:widowControl/>
              <w:autoSpaceDE w:val="0"/>
              <w:autoSpaceDN w:val="0"/>
              <w:spacing w:line="360" w:lineRule="auto"/>
              <w:ind w:firstLine="220" w:firstLineChars="1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402-3</w:t>
            </w:r>
          </w:p>
        </w:tc>
        <w:tc>
          <w:tcPr>
            <w:tcW w:w="1224" w:type="pct"/>
            <w:gridSpan w:val="2"/>
            <w:noWrap w:val="0"/>
            <w:vAlign w:val="center"/>
          </w:tcPr>
          <w:p w14:paraId="49BF1C82">
            <w:pPr>
              <w:widowControl/>
              <w:autoSpaceDE w:val="0"/>
              <w:autoSpaceDN w:val="0"/>
              <w:spacing w:line="360" w:lineRule="auto"/>
              <w:ind w:firstLine="660" w:firstLineChars="300"/>
              <w:jc w:val="both"/>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钢筋</w:t>
            </w:r>
          </w:p>
        </w:tc>
        <w:tc>
          <w:tcPr>
            <w:tcW w:w="502" w:type="pct"/>
            <w:noWrap w:val="0"/>
            <w:vAlign w:val="center"/>
          </w:tcPr>
          <w:p w14:paraId="0607652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kg</w:t>
            </w:r>
          </w:p>
        </w:tc>
        <w:tc>
          <w:tcPr>
            <w:tcW w:w="2003" w:type="pct"/>
            <w:gridSpan w:val="2"/>
            <w:noWrap w:val="0"/>
            <w:vAlign w:val="center"/>
          </w:tcPr>
          <w:p w14:paraId="16A1C52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1.依据图纸所示及钢筋表所列钢筋质量以千克为单位计量；</w:t>
            </w:r>
          </w:p>
          <w:p w14:paraId="2B1DEA2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2.固定钢筋的材料、定位架立钢筋、钢筋接头、吊装钢筋、钢板、铁丝作为钢筋作业的附属工作，不另行计量</w:t>
            </w:r>
          </w:p>
        </w:tc>
        <w:tc>
          <w:tcPr>
            <w:tcW w:w="760" w:type="pct"/>
            <w:noWrap w:val="0"/>
            <w:vAlign w:val="center"/>
          </w:tcPr>
          <w:p w14:paraId="16E4E39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1.钢筋的运输、保护、储存及除锈；</w:t>
            </w:r>
          </w:p>
          <w:p w14:paraId="44B3F3E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2.钢筋整直、接头；</w:t>
            </w:r>
          </w:p>
          <w:p w14:paraId="26DB66C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3.钢筋截断、弯曲；</w:t>
            </w:r>
          </w:p>
          <w:p w14:paraId="07EBFB4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4.钢筋安设、支承及固定</w:t>
            </w:r>
          </w:p>
        </w:tc>
      </w:tr>
      <w:tr w14:paraId="2A4FE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09" w:type="pct"/>
            <w:noWrap w:val="0"/>
            <w:vAlign w:val="center"/>
          </w:tcPr>
          <w:p w14:paraId="4FC84821">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403</w:t>
            </w:r>
          </w:p>
        </w:tc>
        <w:tc>
          <w:tcPr>
            <w:tcW w:w="1224" w:type="pct"/>
            <w:gridSpan w:val="2"/>
            <w:noWrap w:val="0"/>
            <w:vAlign w:val="center"/>
          </w:tcPr>
          <w:p w14:paraId="6A807252">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上部结构</w:t>
            </w:r>
          </w:p>
        </w:tc>
        <w:tc>
          <w:tcPr>
            <w:tcW w:w="502" w:type="pct"/>
            <w:noWrap w:val="0"/>
            <w:vAlign w:val="center"/>
          </w:tcPr>
          <w:p w14:paraId="6742FF8A">
            <w:pPr>
              <w:widowControl/>
              <w:autoSpaceDE w:val="0"/>
              <w:autoSpaceDN w:val="0"/>
              <w:spacing w:line="360" w:lineRule="auto"/>
              <w:jc w:val="center"/>
              <w:rPr>
                <w:rFonts w:ascii="Times New Roman" w:hAnsi="Times New Roman" w:cs="宋体"/>
                <w:kern w:val="0"/>
                <w:sz w:val="22"/>
                <w:szCs w:val="21"/>
                <w:highlight w:val="none"/>
                <w:lang w:val="zh-CN" w:bidi="zh-CN"/>
              </w:rPr>
            </w:pPr>
          </w:p>
        </w:tc>
        <w:tc>
          <w:tcPr>
            <w:tcW w:w="2003" w:type="pct"/>
            <w:gridSpan w:val="2"/>
            <w:noWrap w:val="0"/>
            <w:vAlign w:val="center"/>
          </w:tcPr>
          <w:p w14:paraId="676C2E48">
            <w:pPr>
              <w:widowControl/>
              <w:autoSpaceDE w:val="0"/>
              <w:autoSpaceDN w:val="0"/>
              <w:spacing w:line="360" w:lineRule="auto"/>
              <w:jc w:val="left"/>
              <w:rPr>
                <w:rFonts w:ascii="Times New Roman" w:hAnsi="Times New Roman" w:cs="宋体"/>
                <w:kern w:val="0"/>
                <w:sz w:val="22"/>
                <w:szCs w:val="21"/>
                <w:highlight w:val="none"/>
                <w:lang w:val="zh-CN" w:bidi="zh-CN"/>
              </w:rPr>
            </w:pPr>
          </w:p>
        </w:tc>
        <w:tc>
          <w:tcPr>
            <w:tcW w:w="760" w:type="pct"/>
            <w:noWrap w:val="0"/>
            <w:vAlign w:val="center"/>
          </w:tcPr>
          <w:p w14:paraId="0D0AE1BC">
            <w:pPr>
              <w:widowControl/>
              <w:autoSpaceDE w:val="0"/>
              <w:autoSpaceDN w:val="0"/>
              <w:spacing w:line="360" w:lineRule="auto"/>
              <w:jc w:val="left"/>
              <w:rPr>
                <w:rFonts w:ascii="Times New Roman" w:hAnsi="Times New Roman" w:cs="宋体"/>
                <w:kern w:val="0"/>
                <w:sz w:val="22"/>
                <w:szCs w:val="21"/>
                <w:highlight w:val="none"/>
                <w:lang w:val="zh-CN" w:bidi="zh-CN"/>
              </w:rPr>
            </w:pPr>
          </w:p>
        </w:tc>
      </w:tr>
      <w:tr w14:paraId="60E2A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09" w:type="pct"/>
            <w:noWrap w:val="0"/>
            <w:vAlign w:val="center"/>
          </w:tcPr>
          <w:p w14:paraId="6D17A0EF">
            <w:pPr>
              <w:widowControl/>
              <w:autoSpaceDE w:val="0"/>
              <w:autoSpaceDN w:val="0"/>
              <w:spacing w:line="360" w:lineRule="auto"/>
              <w:ind w:firstLine="220" w:firstLineChars="1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403-1</w:t>
            </w:r>
          </w:p>
        </w:tc>
        <w:tc>
          <w:tcPr>
            <w:tcW w:w="1224" w:type="pct"/>
            <w:gridSpan w:val="2"/>
            <w:noWrap w:val="0"/>
            <w:vAlign w:val="center"/>
          </w:tcPr>
          <w:p w14:paraId="62DC36F8">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现浇混凝土上部结构</w:t>
            </w:r>
          </w:p>
        </w:tc>
        <w:tc>
          <w:tcPr>
            <w:tcW w:w="502" w:type="pct"/>
            <w:noWrap w:val="0"/>
            <w:vAlign w:val="center"/>
          </w:tcPr>
          <w:p w14:paraId="6040451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2003" w:type="pct"/>
            <w:gridSpan w:val="2"/>
            <w:noWrap w:val="0"/>
            <w:vAlign w:val="center"/>
          </w:tcPr>
          <w:p w14:paraId="63E1F14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1.依据图纸所示体积分不同强度等级以立方米为单位计量；</w:t>
            </w:r>
          </w:p>
          <w:p w14:paraId="7172098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2.直径小于 200mm 的管子、钢筋、锚固件、管道、泄水孔或桩所占混凝土体积不予扣除</w:t>
            </w:r>
          </w:p>
        </w:tc>
        <w:tc>
          <w:tcPr>
            <w:tcW w:w="760" w:type="pct"/>
            <w:noWrap w:val="0"/>
            <w:vAlign w:val="center"/>
          </w:tcPr>
          <w:p w14:paraId="2004431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1.平整场地；</w:t>
            </w:r>
          </w:p>
          <w:p w14:paraId="03F0A34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2.搭拆工作平台；</w:t>
            </w:r>
          </w:p>
          <w:p w14:paraId="65F996F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3.支架搭设、预压与拆除；</w:t>
            </w:r>
          </w:p>
          <w:p w14:paraId="0B563FA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4.安拆模板；安设预埋件；</w:t>
            </w:r>
          </w:p>
          <w:p w14:paraId="1F3A0D1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5.混凝土配运料、拌和、运输、浇筑、养护；</w:t>
            </w:r>
          </w:p>
          <w:p w14:paraId="4F44418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6.施工缝、伸缩缝设置处理</w:t>
            </w:r>
          </w:p>
        </w:tc>
      </w:tr>
      <w:tr w14:paraId="22A0C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09" w:type="pct"/>
            <w:noWrap w:val="0"/>
            <w:vAlign w:val="center"/>
          </w:tcPr>
          <w:p w14:paraId="7795132B">
            <w:pPr>
              <w:widowControl/>
              <w:autoSpaceDE w:val="0"/>
              <w:autoSpaceDN w:val="0"/>
              <w:spacing w:line="360" w:lineRule="auto"/>
              <w:ind w:firstLine="220" w:firstLineChars="1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403-2</w:t>
            </w:r>
          </w:p>
        </w:tc>
        <w:tc>
          <w:tcPr>
            <w:tcW w:w="1224" w:type="pct"/>
            <w:gridSpan w:val="2"/>
            <w:noWrap w:val="0"/>
            <w:vAlign w:val="center"/>
          </w:tcPr>
          <w:p w14:paraId="6370CEE3">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预制混凝土上部结构</w:t>
            </w:r>
          </w:p>
        </w:tc>
        <w:tc>
          <w:tcPr>
            <w:tcW w:w="502" w:type="pct"/>
            <w:noWrap w:val="0"/>
            <w:vAlign w:val="center"/>
          </w:tcPr>
          <w:p w14:paraId="3BD5F06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2003" w:type="pct"/>
            <w:gridSpan w:val="2"/>
            <w:noWrap w:val="0"/>
            <w:vAlign w:val="center"/>
          </w:tcPr>
          <w:p w14:paraId="73DD2CC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1.依据图纸所示体积分不同强度等级以立方米为单位计量；</w:t>
            </w:r>
          </w:p>
          <w:p w14:paraId="6ECC7ED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2.直径小于 200mm 的管子、钢筋、锚固件、管道、泄水孔或桩所占混凝土体积不予扣 除</w:t>
            </w:r>
          </w:p>
        </w:tc>
        <w:tc>
          <w:tcPr>
            <w:tcW w:w="760" w:type="pct"/>
            <w:noWrap w:val="0"/>
            <w:vAlign w:val="center"/>
          </w:tcPr>
          <w:p w14:paraId="1DE0987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1.搭拆工作平台；</w:t>
            </w:r>
          </w:p>
          <w:p w14:paraId="3D69202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2.安拆模板；安设预埋件（吊环、预埋连接件）；</w:t>
            </w:r>
          </w:p>
          <w:p w14:paraId="2C60431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3.混凝土配运料、拌和、运输、浇筑、养护；</w:t>
            </w:r>
          </w:p>
          <w:p w14:paraId="72BC8F6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4.构件预制、运输、安装</w:t>
            </w:r>
          </w:p>
        </w:tc>
      </w:tr>
      <w:tr w14:paraId="69799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09" w:type="pct"/>
            <w:noWrap w:val="0"/>
            <w:vAlign w:val="center"/>
          </w:tcPr>
          <w:p w14:paraId="1AC37F73">
            <w:pPr>
              <w:widowControl/>
              <w:autoSpaceDE w:val="0"/>
              <w:autoSpaceDN w:val="0"/>
              <w:spacing w:line="360" w:lineRule="auto"/>
              <w:ind w:firstLine="220" w:firstLineChars="1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403-3</w:t>
            </w:r>
          </w:p>
        </w:tc>
        <w:tc>
          <w:tcPr>
            <w:tcW w:w="1224" w:type="pct"/>
            <w:gridSpan w:val="2"/>
            <w:noWrap w:val="0"/>
            <w:vAlign w:val="center"/>
          </w:tcPr>
          <w:p w14:paraId="69057D93">
            <w:pPr>
              <w:widowControl/>
              <w:autoSpaceDE w:val="0"/>
              <w:autoSpaceDN w:val="0"/>
              <w:spacing w:line="360" w:lineRule="auto"/>
              <w:ind w:firstLine="880" w:firstLineChars="4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钢筋</w:t>
            </w:r>
          </w:p>
        </w:tc>
        <w:tc>
          <w:tcPr>
            <w:tcW w:w="502" w:type="pct"/>
            <w:noWrap w:val="0"/>
            <w:vAlign w:val="center"/>
          </w:tcPr>
          <w:p w14:paraId="28778D0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kg</w:t>
            </w:r>
          </w:p>
        </w:tc>
        <w:tc>
          <w:tcPr>
            <w:tcW w:w="2003" w:type="pct"/>
            <w:gridSpan w:val="2"/>
            <w:noWrap w:val="0"/>
            <w:vAlign w:val="center"/>
          </w:tcPr>
          <w:p w14:paraId="7D98570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1.依据图纸所示及钢筋表所列钢筋质量以千克为单位计量；</w:t>
            </w:r>
          </w:p>
          <w:p w14:paraId="6D4BB69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2.固定钢筋的材料、定位架立钢筋、钢筋接头、吊装钢筋、钢板、铁丝作为钢筋作业的附属工作，不另行计量</w:t>
            </w:r>
          </w:p>
        </w:tc>
        <w:tc>
          <w:tcPr>
            <w:tcW w:w="760" w:type="pct"/>
            <w:noWrap w:val="0"/>
            <w:vAlign w:val="center"/>
          </w:tcPr>
          <w:p w14:paraId="15D86A6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1.钢筋的运输、保护、储存及除锈；</w:t>
            </w:r>
          </w:p>
          <w:p w14:paraId="50B4533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2.钢筋整直、接头；</w:t>
            </w:r>
          </w:p>
          <w:p w14:paraId="653BB98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3.钢筋截断、弯曲；</w:t>
            </w:r>
          </w:p>
          <w:p w14:paraId="11CF944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4.钢筋安设、支承及固定</w:t>
            </w:r>
          </w:p>
        </w:tc>
      </w:tr>
      <w:tr w14:paraId="21627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09" w:type="pct"/>
            <w:noWrap w:val="0"/>
            <w:vAlign w:val="center"/>
          </w:tcPr>
          <w:p w14:paraId="300AC992">
            <w:pPr>
              <w:widowControl/>
              <w:autoSpaceDE w:val="0"/>
              <w:autoSpaceDN w:val="0"/>
              <w:spacing w:line="360" w:lineRule="auto"/>
              <w:ind w:firstLine="220" w:firstLineChars="1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403-4</w:t>
            </w:r>
          </w:p>
        </w:tc>
        <w:tc>
          <w:tcPr>
            <w:tcW w:w="1220" w:type="pct"/>
            <w:noWrap w:val="0"/>
            <w:vAlign w:val="center"/>
          </w:tcPr>
          <w:p w14:paraId="3224B4E4">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现浇预应力混凝土上部结构</w:t>
            </w:r>
          </w:p>
        </w:tc>
        <w:tc>
          <w:tcPr>
            <w:tcW w:w="506" w:type="pct"/>
            <w:gridSpan w:val="2"/>
            <w:noWrap w:val="0"/>
            <w:vAlign w:val="center"/>
          </w:tcPr>
          <w:p w14:paraId="4BFFD0D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2003" w:type="pct"/>
            <w:gridSpan w:val="2"/>
            <w:noWrap w:val="0"/>
            <w:vAlign w:val="center"/>
          </w:tcPr>
          <w:p w14:paraId="6E9B16B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1.依据图纸所示体积分不同强度等级以立方米为单位计量；</w:t>
            </w:r>
          </w:p>
          <w:p w14:paraId="345900E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2.钢筋、钢材所占体积及单个面积在 0.03m</w:t>
            </w:r>
            <w:r>
              <w:rPr>
                <w:rFonts w:ascii="Times New Roman" w:hAnsi="Times New Roman" w:cs="宋体"/>
                <w:kern w:val="0"/>
                <w:sz w:val="22"/>
                <w:szCs w:val="21"/>
                <w:highlight w:val="none"/>
                <w:lang w:val="zh-CN" w:bidi="zh-CN"/>
              </w:rPr>
              <w:t>²</w:t>
            </w:r>
            <w:r>
              <w:rPr>
                <w:rFonts w:hint="eastAsia" w:ascii="Times New Roman" w:hAnsi="Times New Roman" w:cs="宋体"/>
                <w:kern w:val="0"/>
                <w:sz w:val="22"/>
                <w:szCs w:val="21"/>
                <w:highlight w:val="none"/>
                <w:lang w:val="zh-CN" w:bidi="zh-CN"/>
              </w:rPr>
              <w:t>以内的孔洞不予扣除</w:t>
            </w:r>
          </w:p>
        </w:tc>
        <w:tc>
          <w:tcPr>
            <w:tcW w:w="760" w:type="pct"/>
            <w:noWrap w:val="0"/>
            <w:vAlign w:val="center"/>
          </w:tcPr>
          <w:p w14:paraId="0F60519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1.平整场地；</w:t>
            </w:r>
          </w:p>
          <w:p w14:paraId="44EAC8B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2.搭拆工作平台；支架搭设、预压与拆除；</w:t>
            </w:r>
          </w:p>
          <w:p w14:paraId="1CA657F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3.安、拆模板；</w:t>
            </w:r>
          </w:p>
          <w:p w14:paraId="35EC000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4.混凝土配运料、拌合、运输、浇筑、养护；</w:t>
            </w:r>
          </w:p>
          <w:p w14:paraId="2C119E6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5.施工缝、伸缩缝设置处理</w:t>
            </w:r>
          </w:p>
        </w:tc>
      </w:tr>
      <w:tr w14:paraId="57B5A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09" w:type="pct"/>
            <w:noWrap w:val="0"/>
            <w:vAlign w:val="center"/>
          </w:tcPr>
          <w:p w14:paraId="20B79741">
            <w:pPr>
              <w:widowControl/>
              <w:autoSpaceDE w:val="0"/>
              <w:autoSpaceDN w:val="0"/>
              <w:spacing w:line="360" w:lineRule="auto"/>
              <w:ind w:firstLine="220" w:firstLineChars="1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403-5</w:t>
            </w:r>
          </w:p>
        </w:tc>
        <w:tc>
          <w:tcPr>
            <w:tcW w:w="1220" w:type="pct"/>
            <w:noWrap w:val="0"/>
            <w:vAlign w:val="center"/>
          </w:tcPr>
          <w:p w14:paraId="2C05F1B6">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预制预应力混凝土上部结构</w:t>
            </w:r>
          </w:p>
        </w:tc>
        <w:tc>
          <w:tcPr>
            <w:tcW w:w="506" w:type="pct"/>
            <w:gridSpan w:val="2"/>
            <w:noWrap w:val="0"/>
            <w:vAlign w:val="center"/>
          </w:tcPr>
          <w:p w14:paraId="692AFDB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2003" w:type="pct"/>
            <w:gridSpan w:val="2"/>
            <w:noWrap w:val="0"/>
            <w:vAlign w:val="center"/>
          </w:tcPr>
          <w:p w14:paraId="12856FA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1.依据图纸所示体积分不同强度等级以立方米为单位计量；</w:t>
            </w:r>
          </w:p>
          <w:p w14:paraId="0F6B946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2.钢筋、钢材所占体积及单个面积在 0.03m2</w:t>
            </w:r>
            <w:r>
              <w:rPr>
                <w:rFonts w:ascii="Times New Roman" w:hAnsi="Times New Roman" w:cs="宋体"/>
                <w:kern w:val="0"/>
                <w:sz w:val="22"/>
                <w:szCs w:val="21"/>
                <w:highlight w:val="none"/>
                <w:lang w:val="zh-CN" w:bidi="zh-CN"/>
              </w:rPr>
              <w:t>²</w:t>
            </w:r>
            <w:r>
              <w:rPr>
                <w:rFonts w:hint="eastAsia" w:ascii="Times New Roman" w:hAnsi="Times New Roman" w:cs="宋体"/>
                <w:kern w:val="0"/>
                <w:sz w:val="22"/>
                <w:szCs w:val="21"/>
                <w:highlight w:val="none"/>
                <w:lang w:val="zh-CN" w:bidi="zh-CN"/>
              </w:rPr>
              <w:t>以内的孔洞不予扣除；</w:t>
            </w:r>
          </w:p>
          <w:p w14:paraId="1C9CB54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3.后张法预应力混凝土梁封端混凝土工程量列入本子目</w:t>
            </w:r>
          </w:p>
        </w:tc>
        <w:tc>
          <w:tcPr>
            <w:tcW w:w="760" w:type="pct"/>
            <w:noWrap w:val="0"/>
            <w:vAlign w:val="center"/>
          </w:tcPr>
          <w:p w14:paraId="5B04AE76">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1.平整场地；</w:t>
            </w:r>
          </w:p>
          <w:p w14:paraId="1F53835F">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2.搭拆工作平台；</w:t>
            </w:r>
          </w:p>
          <w:p w14:paraId="43780C14">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3.安、拆模板；</w:t>
            </w:r>
          </w:p>
          <w:p w14:paraId="5C716DAF">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4.混凝土配运料、拌合、运输、浇筑、养护；</w:t>
            </w:r>
          </w:p>
          <w:p w14:paraId="69309CD5">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5.预制件运输、安装</w:t>
            </w:r>
          </w:p>
        </w:tc>
      </w:tr>
      <w:tr w14:paraId="4C67B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09" w:type="pct"/>
            <w:noWrap w:val="0"/>
            <w:vAlign w:val="center"/>
          </w:tcPr>
          <w:p w14:paraId="51750CAC">
            <w:pPr>
              <w:widowControl/>
              <w:autoSpaceDE w:val="0"/>
              <w:autoSpaceDN w:val="0"/>
              <w:spacing w:line="360" w:lineRule="auto"/>
              <w:ind w:firstLine="220" w:firstLineChars="1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403-6</w:t>
            </w:r>
          </w:p>
        </w:tc>
        <w:tc>
          <w:tcPr>
            <w:tcW w:w="1220" w:type="pct"/>
            <w:noWrap w:val="0"/>
            <w:vAlign w:val="center"/>
          </w:tcPr>
          <w:p w14:paraId="704A6205">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先张法预应力钢绞线</w:t>
            </w:r>
          </w:p>
        </w:tc>
        <w:tc>
          <w:tcPr>
            <w:tcW w:w="506" w:type="pct"/>
            <w:gridSpan w:val="2"/>
            <w:vMerge w:val="restart"/>
            <w:noWrap w:val="0"/>
            <w:vAlign w:val="center"/>
          </w:tcPr>
          <w:p w14:paraId="773B486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kg</w:t>
            </w:r>
          </w:p>
        </w:tc>
        <w:tc>
          <w:tcPr>
            <w:tcW w:w="2003" w:type="pct"/>
            <w:gridSpan w:val="2"/>
            <w:vMerge w:val="restart"/>
            <w:noWrap w:val="0"/>
            <w:vAlign w:val="center"/>
          </w:tcPr>
          <w:p w14:paraId="3FD22AE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1.依据图纸所示构件长度计算的预应力钢材质量，分不同材质以千克为单位计量。</w:t>
            </w:r>
          </w:p>
          <w:p w14:paraId="2DF8725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2.除上述计算长度以外的锚固长度及工作长度的预应力钢材含入相应预应力钢材报价之中，不另行计量</w:t>
            </w:r>
          </w:p>
        </w:tc>
        <w:tc>
          <w:tcPr>
            <w:tcW w:w="760" w:type="pct"/>
            <w:vMerge w:val="restart"/>
            <w:noWrap w:val="0"/>
            <w:vAlign w:val="center"/>
          </w:tcPr>
          <w:p w14:paraId="1E5E1758">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1.制作安装预应力钢材；</w:t>
            </w:r>
          </w:p>
          <w:p w14:paraId="7D845BDF">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2.制作安装管道；</w:t>
            </w:r>
          </w:p>
          <w:p w14:paraId="48983AD1">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3.安装锚具、锚板；</w:t>
            </w:r>
          </w:p>
          <w:p w14:paraId="6B5D86CD">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4.张拉；</w:t>
            </w:r>
          </w:p>
          <w:p w14:paraId="537ED39E">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5.放张；</w:t>
            </w:r>
          </w:p>
          <w:p w14:paraId="04B534F8">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6.封锚头</w:t>
            </w:r>
          </w:p>
        </w:tc>
      </w:tr>
      <w:tr w14:paraId="1AFE1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09" w:type="pct"/>
            <w:noWrap w:val="0"/>
            <w:vAlign w:val="center"/>
          </w:tcPr>
          <w:p w14:paraId="0DFAA6DD">
            <w:pPr>
              <w:widowControl/>
              <w:autoSpaceDE w:val="0"/>
              <w:autoSpaceDN w:val="0"/>
              <w:spacing w:line="360" w:lineRule="auto"/>
              <w:ind w:firstLine="220" w:firstLineChars="100"/>
              <w:jc w:val="left"/>
              <w:rPr>
                <w:rFonts w:hint="eastAsia" w:ascii="Times New Roman" w:hAnsi="Times New Roman" w:cs="宋体"/>
                <w:kern w:val="0"/>
                <w:sz w:val="22"/>
                <w:szCs w:val="21"/>
                <w:highlight w:val="none"/>
                <w:lang w:val="zh-CN" w:bidi="zh-CN"/>
              </w:rPr>
            </w:pPr>
          </w:p>
        </w:tc>
        <w:tc>
          <w:tcPr>
            <w:tcW w:w="1220" w:type="pct"/>
            <w:noWrap w:val="0"/>
            <w:vAlign w:val="center"/>
          </w:tcPr>
          <w:p w14:paraId="01203BD8">
            <w:pPr>
              <w:widowControl/>
              <w:autoSpaceDE w:val="0"/>
              <w:autoSpaceDN w:val="0"/>
              <w:spacing w:line="360" w:lineRule="auto"/>
              <w:ind w:firstLine="440" w:firstLineChars="200"/>
              <w:jc w:val="left"/>
              <w:rPr>
                <w:rFonts w:hint="eastAsia" w:ascii="Times New Roman" w:hAnsi="Times New Roman" w:cs="宋体"/>
                <w:kern w:val="0"/>
                <w:sz w:val="22"/>
                <w:szCs w:val="21"/>
                <w:highlight w:val="none"/>
                <w:lang w:val="zh-CN" w:bidi="zh-CN"/>
              </w:rPr>
            </w:pPr>
          </w:p>
        </w:tc>
        <w:tc>
          <w:tcPr>
            <w:tcW w:w="506" w:type="pct"/>
            <w:gridSpan w:val="2"/>
            <w:vMerge w:val="continue"/>
            <w:noWrap w:val="0"/>
            <w:vAlign w:val="center"/>
          </w:tcPr>
          <w:p w14:paraId="231A0646">
            <w:pPr>
              <w:widowControl/>
              <w:autoSpaceDE w:val="0"/>
              <w:autoSpaceDN w:val="0"/>
              <w:spacing w:line="360" w:lineRule="auto"/>
              <w:ind w:firstLine="440" w:firstLineChars="200"/>
              <w:jc w:val="left"/>
              <w:rPr>
                <w:rFonts w:hint="eastAsia" w:ascii="Times New Roman" w:hAnsi="Times New Roman" w:cs="宋体"/>
                <w:kern w:val="0"/>
                <w:sz w:val="22"/>
                <w:szCs w:val="21"/>
                <w:highlight w:val="none"/>
                <w:lang w:val="zh-CN" w:bidi="zh-CN"/>
              </w:rPr>
            </w:pPr>
          </w:p>
        </w:tc>
        <w:tc>
          <w:tcPr>
            <w:tcW w:w="2003" w:type="pct"/>
            <w:gridSpan w:val="2"/>
            <w:vMerge w:val="continue"/>
            <w:noWrap w:val="0"/>
            <w:vAlign w:val="center"/>
          </w:tcPr>
          <w:p w14:paraId="222BCAC1">
            <w:pPr>
              <w:widowControl/>
              <w:autoSpaceDE w:val="0"/>
              <w:autoSpaceDN w:val="0"/>
              <w:spacing w:line="360" w:lineRule="auto"/>
              <w:ind w:firstLine="440" w:firstLineChars="200"/>
              <w:jc w:val="left"/>
              <w:rPr>
                <w:rFonts w:hint="eastAsia" w:ascii="Times New Roman" w:hAnsi="Times New Roman" w:cs="宋体"/>
                <w:kern w:val="0"/>
                <w:sz w:val="22"/>
                <w:szCs w:val="21"/>
                <w:highlight w:val="none"/>
                <w:lang w:val="zh-CN" w:bidi="zh-CN"/>
              </w:rPr>
            </w:pPr>
          </w:p>
        </w:tc>
        <w:tc>
          <w:tcPr>
            <w:tcW w:w="760" w:type="pct"/>
            <w:vMerge w:val="continue"/>
            <w:noWrap w:val="0"/>
            <w:vAlign w:val="center"/>
          </w:tcPr>
          <w:p w14:paraId="49DA9741">
            <w:pPr>
              <w:widowControl/>
              <w:autoSpaceDE w:val="0"/>
              <w:autoSpaceDN w:val="0"/>
              <w:spacing w:line="360" w:lineRule="auto"/>
              <w:jc w:val="left"/>
              <w:rPr>
                <w:rFonts w:hint="eastAsia" w:ascii="Times New Roman" w:hAnsi="Times New Roman" w:cs="宋体"/>
                <w:kern w:val="0"/>
                <w:sz w:val="22"/>
                <w:szCs w:val="21"/>
                <w:highlight w:val="none"/>
                <w:lang w:val="zh-CN" w:bidi="zh-CN"/>
              </w:rPr>
            </w:pPr>
          </w:p>
        </w:tc>
      </w:tr>
      <w:tr w14:paraId="35731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2" w:hRule="atLeast"/>
          <w:jc w:val="center"/>
        </w:trPr>
        <w:tc>
          <w:tcPr>
            <w:tcW w:w="509" w:type="pct"/>
            <w:noWrap w:val="0"/>
            <w:vAlign w:val="center"/>
          </w:tcPr>
          <w:p w14:paraId="1C391F56">
            <w:pPr>
              <w:widowControl/>
              <w:autoSpaceDE w:val="0"/>
              <w:autoSpaceDN w:val="0"/>
              <w:spacing w:line="360" w:lineRule="auto"/>
              <w:ind w:firstLine="220" w:firstLineChars="1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403-7</w:t>
            </w:r>
          </w:p>
        </w:tc>
        <w:tc>
          <w:tcPr>
            <w:tcW w:w="1220" w:type="pct"/>
            <w:noWrap w:val="0"/>
            <w:vAlign w:val="center"/>
          </w:tcPr>
          <w:p w14:paraId="72A3A6E7">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先张法预应力钢筋</w:t>
            </w:r>
          </w:p>
        </w:tc>
        <w:tc>
          <w:tcPr>
            <w:tcW w:w="506" w:type="pct"/>
            <w:gridSpan w:val="2"/>
            <w:vMerge w:val="continue"/>
            <w:tcBorders>
              <w:top w:val="nil"/>
            </w:tcBorders>
            <w:noWrap w:val="0"/>
            <w:vAlign w:val="center"/>
          </w:tcPr>
          <w:p w14:paraId="7D459CB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2003" w:type="pct"/>
            <w:gridSpan w:val="2"/>
            <w:vMerge w:val="continue"/>
            <w:tcBorders>
              <w:top w:val="nil"/>
            </w:tcBorders>
            <w:noWrap w:val="0"/>
            <w:vAlign w:val="center"/>
          </w:tcPr>
          <w:p w14:paraId="5E65A17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760" w:type="pct"/>
            <w:vMerge w:val="continue"/>
            <w:tcBorders>
              <w:top w:val="nil"/>
            </w:tcBorders>
            <w:noWrap w:val="0"/>
            <w:vAlign w:val="center"/>
          </w:tcPr>
          <w:p w14:paraId="5097DAD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r>
      <w:tr w14:paraId="1009D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09" w:type="pct"/>
            <w:noWrap w:val="0"/>
            <w:vAlign w:val="center"/>
          </w:tcPr>
          <w:p w14:paraId="68E831DD">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403-8</w:t>
            </w:r>
          </w:p>
        </w:tc>
        <w:tc>
          <w:tcPr>
            <w:tcW w:w="1220" w:type="pct"/>
            <w:noWrap w:val="0"/>
            <w:vAlign w:val="center"/>
          </w:tcPr>
          <w:p w14:paraId="3963E615">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后张法预应力钢绞线</w:t>
            </w:r>
          </w:p>
        </w:tc>
        <w:tc>
          <w:tcPr>
            <w:tcW w:w="506" w:type="pct"/>
            <w:gridSpan w:val="2"/>
            <w:vMerge w:val="restart"/>
            <w:noWrap w:val="0"/>
            <w:vAlign w:val="center"/>
          </w:tcPr>
          <w:p w14:paraId="4C33230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kg</w:t>
            </w:r>
          </w:p>
        </w:tc>
        <w:tc>
          <w:tcPr>
            <w:tcW w:w="1999" w:type="pct"/>
            <w:vMerge w:val="restart"/>
            <w:noWrap w:val="0"/>
            <w:vAlign w:val="center"/>
          </w:tcPr>
          <w:p w14:paraId="530E43F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1.按图示两端锚具间的理论长度计算的预应力钢材质量， 分不同材质以千克为单位计 量。</w:t>
            </w:r>
          </w:p>
          <w:p w14:paraId="3928122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2.除上述计算长度以外的锚固长度及工作长度的预应力钢材含入相应预应力钢材报价之中，不另行计量</w:t>
            </w:r>
          </w:p>
        </w:tc>
        <w:tc>
          <w:tcPr>
            <w:tcW w:w="764" w:type="pct"/>
            <w:gridSpan w:val="2"/>
            <w:vMerge w:val="restart"/>
            <w:noWrap w:val="0"/>
            <w:vAlign w:val="center"/>
          </w:tcPr>
          <w:p w14:paraId="5142EDEE">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1.制作安装预应力钢材；</w:t>
            </w:r>
          </w:p>
          <w:p w14:paraId="5C881C82">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2.制作安装管道；</w:t>
            </w:r>
          </w:p>
          <w:p w14:paraId="58D6F1D5">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3.安装锚具、锚板；</w:t>
            </w:r>
          </w:p>
          <w:p w14:paraId="6FD7B487">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4.张拉；</w:t>
            </w:r>
          </w:p>
          <w:p w14:paraId="7F737A5D">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5.压浆；</w:t>
            </w:r>
          </w:p>
          <w:p w14:paraId="4AC0708B">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6.封锚头</w:t>
            </w:r>
          </w:p>
        </w:tc>
      </w:tr>
      <w:tr w14:paraId="2E019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09" w:type="pct"/>
            <w:noWrap w:val="0"/>
            <w:vAlign w:val="center"/>
          </w:tcPr>
          <w:p w14:paraId="693D7195">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403-9</w:t>
            </w:r>
          </w:p>
        </w:tc>
        <w:tc>
          <w:tcPr>
            <w:tcW w:w="1220" w:type="pct"/>
            <w:noWrap w:val="0"/>
            <w:vAlign w:val="center"/>
          </w:tcPr>
          <w:p w14:paraId="6B7B4BDC">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后张法预应力钢筋</w:t>
            </w:r>
          </w:p>
        </w:tc>
        <w:tc>
          <w:tcPr>
            <w:tcW w:w="506" w:type="pct"/>
            <w:gridSpan w:val="2"/>
            <w:vMerge w:val="continue"/>
            <w:tcBorders>
              <w:top w:val="nil"/>
            </w:tcBorders>
            <w:noWrap w:val="0"/>
            <w:vAlign w:val="center"/>
          </w:tcPr>
          <w:p w14:paraId="209D31D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999" w:type="pct"/>
            <w:vMerge w:val="continue"/>
            <w:tcBorders>
              <w:top w:val="nil"/>
            </w:tcBorders>
            <w:noWrap w:val="0"/>
            <w:vAlign w:val="center"/>
          </w:tcPr>
          <w:p w14:paraId="17C2A49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764" w:type="pct"/>
            <w:gridSpan w:val="2"/>
            <w:vMerge w:val="continue"/>
            <w:tcBorders>
              <w:top w:val="nil"/>
            </w:tcBorders>
            <w:noWrap w:val="0"/>
            <w:vAlign w:val="center"/>
          </w:tcPr>
          <w:p w14:paraId="40E91CB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r>
      <w:tr w14:paraId="20F86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09" w:type="pct"/>
            <w:noWrap w:val="0"/>
            <w:vAlign w:val="center"/>
          </w:tcPr>
          <w:p w14:paraId="7A119185">
            <w:pPr>
              <w:widowControl/>
              <w:autoSpaceDE w:val="0"/>
              <w:autoSpaceDN w:val="0"/>
              <w:spacing w:line="360" w:lineRule="auto"/>
              <w:ind w:firstLine="220" w:firstLineChars="1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404</w:t>
            </w:r>
          </w:p>
        </w:tc>
        <w:tc>
          <w:tcPr>
            <w:tcW w:w="1220" w:type="pct"/>
            <w:noWrap w:val="0"/>
            <w:vAlign w:val="center"/>
          </w:tcPr>
          <w:p w14:paraId="2D5094B3">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附属结构</w:t>
            </w:r>
          </w:p>
        </w:tc>
        <w:tc>
          <w:tcPr>
            <w:tcW w:w="506" w:type="pct"/>
            <w:gridSpan w:val="2"/>
            <w:noWrap w:val="0"/>
            <w:vAlign w:val="center"/>
          </w:tcPr>
          <w:p w14:paraId="005CCA6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999" w:type="pct"/>
            <w:noWrap w:val="0"/>
            <w:vAlign w:val="center"/>
          </w:tcPr>
          <w:p w14:paraId="2DE75E3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764" w:type="pct"/>
            <w:gridSpan w:val="2"/>
            <w:noWrap w:val="0"/>
            <w:vAlign w:val="center"/>
          </w:tcPr>
          <w:p w14:paraId="0BA7B6B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r>
      <w:tr w14:paraId="11B8F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09" w:type="pct"/>
            <w:noWrap w:val="0"/>
            <w:vAlign w:val="center"/>
          </w:tcPr>
          <w:p w14:paraId="0F84D164">
            <w:pPr>
              <w:widowControl/>
              <w:autoSpaceDE w:val="0"/>
              <w:autoSpaceDN w:val="0"/>
              <w:spacing w:line="360" w:lineRule="auto"/>
              <w:ind w:firstLine="220" w:firstLineChars="1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404-1</w:t>
            </w:r>
          </w:p>
        </w:tc>
        <w:tc>
          <w:tcPr>
            <w:tcW w:w="1220" w:type="pct"/>
            <w:noWrap w:val="0"/>
            <w:vAlign w:val="center"/>
          </w:tcPr>
          <w:p w14:paraId="1E6ADDE2">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现浇混凝土附属结构</w:t>
            </w:r>
          </w:p>
        </w:tc>
        <w:tc>
          <w:tcPr>
            <w:tcW w:w="506" w:type="pct"/>
            <w:gridSpan w:val="2"/>
            <w:noWrap w:val="0"/>
            <w:vAlign w:val="center"/>
          </w:tcPr>
          <w:p w14:paraId="0F070A4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1999" w:type="pct"/>
            <w:noWrap w:val="0"/>
            <w:vAlign w:val="center"/>
          </w:tcPr>
          <w:p w14:paraId="4068096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1.依据图纸所示体积分不同强度等级以立方米为单位计量；</w:t>
            </w:r>
          </w:p>
          <w:p w14:paraId="6E4A874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2.直径小于 200mm 的管子、钢筋、锚固件、管道、泄水孔或桩所占混凝土体积不予扣除；</w:t>
            </w:r>
          </w:p>
          <w:p w14:paraId="5D1B7DB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3.现浇缘石、人行道、防撞墙、栏杆、护栏、桥头搭板、枕梁、抗震挡块、支座垫石、踏步等列入本子目</w:t>
            </w:r>
          </w:p>
        </w:tc>
        <w:tc>
          <w:tcPr>
            <w:tcW w:w="764" w:type="pct"/>
            <w:gridSpan w:val="2"/>
            <w:noWrap w:val="0"/>
            <w:vAlign w:val="center"/>
          </w:tcPr>
          <w:p w14:paraId="7B7F44C0">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1.工作面清理；</w:t>
            </w:r>
          </w:p>
          <w:p w14:paraId="3F71429D">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2.搭拆作业平台；</w:t>
            </w:r>
          </w:p>
          <w:p w14:paraId="42EE90A1">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3.安拆支架、模板；</w:t>
            </w:r>
          </w:p>
          <w:p w14:paraId="5C8DA30E">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4.混凝土配运料、拌和、运输、浇筑、养护</w:t>
            </w:r>
          </w:p>
        </w:tc>
      </w:tr>
      <w:tr w14:paraId="01659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09" w:type="pct"/>
            <w:noWrap w:val="0"/>
            <w:vAlign w:val="center"/>
          </w:tcPr>
          <w:p w14:paraId="529F2A40">
            <w:pPr>
              <w:widowControl/>
              <w:autoSpaceDE w:val="0"/>
              <w:autoSpaceDN w:val="0"/>
              <w:spacing w:line="360" w:lineRule="auto"/>
              <w:ind w:firstLine="220" w:firstLineChars="1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404-2</w:t>
            </w:r>
          </w:p>
        </w:tc>
        <w:tc>
          <w:tcPr>
            <w:tcW w:w="1220" w:type="pct"/>
            <w:noWrap w:val="0"/>
            <w:vAlign w:val="center"/>
          </w:tcPr>
          <w:p w14:paraId="66A2EA55">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预制混凝土附属结构</w:t>
            </w:r>
          </w:p>
        </w:tc>
        <w:tc>
          <w:tcPr>
            <w:tcW w:w="506" w:type="pct"/>
            <w:gridSpan w:val="2"/>
            <w:noWrap w:val="0"/>
            <w:vAlign w:val="center"/>
          </w:tcPr>
          <w:p w14:paraId="30C42A8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1999" w:type="pct"/>
            <w:noWrap w:val="0"/>
            <w:vAlign w:val="center"/>
          </w:tcPr>
          <w:p w14:paraId="498316C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1.依据图纸所示体积分不同强度等级以立方米为单位计量；</w:t>
            </w:r>
          </w:p>
          <w:p w14:paraId="6F94C937">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2.直径小于 200mm 的管子、钢筋、锚固件、管道、泄水孔或桩所占混凝土体积不予扣 除；</w:t>
            </w:r>
          </w:p>
          <w:p w14:paraId="6C518B93">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3.现浇缘石、人行道、防撞墙、栏杆、护栏、桥头搭板、枕梁、抗震挡块、支座垫石、踏步等列入本子目</w:t>
            </w:r>
          </w:p>
        </w:tc>
        <w:tc>
          <w:tcPr>
            <w:tcW w:w="764" w:type="pct"/>
            <w:gridSpan w:val="2"/>
            <w:noWrap w:val="0"/>
            <w:vAlign w:val="center"/>
          </w:tcPr>
          <w:p w14:paraId="417BEBA8">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1.工作面清理；</w:t>
            </w:r>
          </w:p>
          <w:p w14:paraId="7C7AF121">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2.搭拆作业平台；</w:t>
            </w:r>
          </w:p>
          <w:p w14:paraId="578E3752">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3.安拆支架、模板；</w:t>
            </w:r>
          </w:p>
          <w:p w14:paraId="77467F51">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4.混凝土配运料、拌和、运输、浇筑、养护</w:t>
            </w:r>
          </w:p>
        </w:tc>
      </w:tr>
      <w:tr w14:paraId="64961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09" w:type="pct"/>
            <w:noWrap w:val="0"/>
            <w:vAlign w:val="center"/>
          </w:tcPr>
          <w:p w14:paraId="66ECAF88">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404-3</w:t>
            </w:r>
          </w:p>
        </w:tc>
        <w:tc>
          <w:tcPr>
            <w:tcW w:w="1220" w:type="pct"/>
            <w:noWrap w:val="0"/>
            <w:vAlign w:val="center"/>
          </w:tcPr>
          <w:p w14:paraId="56B00C33">
            <w:pPr>
              <w:widowControl/>
              <w:autoSpaceDE w:val="0"/>
              <w:autoSpaceDN w:val="0"/>
              <w:spacing w:line="360" w:lineRule="auto"/>
              <w:ind w:firstLine="880" w:firstLineChars="4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钢筋</w:t>
            </w:r>
          </w:p>
        </w:tc>
        <w:tc>
          <w:tcPr>
            <w:tcW w:w="506" w:type="pct"/>
            <w:gridSpan w:val="2"/>
            <w:noWrap w:val="0"/>
            <w:vAlign w:val="center"/>
          </w:tcPr>
          <w:p w14:paraId="01B6D82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kg</w:t>
            </w:r>
          </w:p>
        </w:tc>
        <w:tc>
          <w:tcPr>
            <w:tcW w:w="1999" w:type="pct"/>
            <w:noWrap w:val="0"/>
            <w:vAlign w:val="center"/>
          </w:tcPr>
          <w:p w14:paraId="59B1D5A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.依据图纸所示及钢筋表所列钢筋质量以千克为单位计量；</w:t>
            </w:r>
          </w:p>
          <w:p w14:paraId="354F8161">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2.固定钢筋的材料、定位架立钢筋、钢筋接头、吊装钢筋、钢板、铁丝作为钢筋作业的附属工作，不另行计量；</w:t>
            </w:r>
          </w:p>
          <w:p w14:paraId="2624DAEC">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3.钢管作为附属工作，不另行计量</w:t>
            </w:r>
          </w:p>
        </w:tc>
        <w:tc>
          <w:tcPr>
            <w:tcW w:w="764" w:type="pct"/>
            <w:gridSpan w:val="2"/>
            <w:noWrap w:val="0"/>
            <w:vAlign w:val="center"/>
          </w:tcPr>
          <w:p w14:paraId="2A1AF0B5">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1.钢筋的运输、保护、储存及除锈；</w:t>
            </w:r>
          </w:p>
          <w:p w14:paraId="419B1A98">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2.钢筋整直、接头；</w:t>
            </w:r>
          </w:p>
          <w:p w14:paraId="46836016">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3.钢筋截断、弯曲；</w:t>
            </w:r>
          </w:p>
          <w:p w14:paraId="141B874F">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4.钢筋安设、支承及固定</w:t>
            </w:r>
          </w:p>
        </w:tc>
      </w:tr>
      <w:tr w14:paraId="4DE81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09" w:type="pct"/>
            <w:noWrap w:val="0"/>
            <w:vAlign w:val="center"/>
          </w:tcPr>
          <w:p w14:paraId="618C663C">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405</w:t>
            </w:r>
          </w:p>
        </w:tc>
        <w:tc>
          <w:tcPr>
            <w:tcW w:w="1220" w:type="pct"/>
            <w:noWrap w:val="0"/>
            <w:vAlign w:val="center"/>
          </w:tcPr>
          <w:p w14:paraId="1A8C1BC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桥面铺装</w:t>
            </w:r>
          </w:p>
        </w:tc>
        <w:tc>
          <w:tcPr>
            <w:tcW w:w="506" w:type="pct"/>
            <w:gridSpan w:val="2"/>
            <w:noWrap w:val="0"/>
            <w:vAlign w:val="center"/>
          </w:tcPr>
          <w:p w14:paraId="26380F3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999" w:type="pct"/>
            <w:noWrap w:val="0"/>
            <w:vAlign w:val="center"/>
          </w:tcPr>
          <w:p w14:paraId="4F4D802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764" w:type="pct"/>
            <w:gridSpan w:val="2"/>
            <w:noWrap w:val="0"/>
            <w:vAlign w:val="center"/>
          </w:tcPr>
          <w:p w14:paraId="42BEF0F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r>
      <w:tr w14:paraId="3E669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09" w:type="pct"/>
            <w:noWrap w:val="0"/>
            <w:vAlign w:val="center"/>
          </w:tcPr>
          <w:p w14:paraId="31D9A536">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405-1</w:t>
            </w:r>
          </w:p>
        </w:tc>
        <w:tc>
          <w:tcPr>
            <w:tcW w:w="1220" w:type="pct"/>
            <w:noWrap w:val="0"/>
            <w:vAlign w:val="center"/>
          </w:tcPr>
          <w:p w14:paraId="3AEE726D">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沥青混凝土桥面铺装</w:t>
            </w:r>
          </w:p>
          <w:p w14:paraId="087F274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（厚…mm）</w:t>
            </w:r>
          </w:p>
        </w:tc>
        <w:tc>
          <w:tcPr>
            <w:tcW w:w="506" w:type="pct"/>
            <w:gridSpan w:val="2"/>
            <w:noWrap w:val="0"/>
            <w:vAlign w:val="center"/>
          </w:tcPr>
          <w:p w14:paraId="429DF99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²</w:t>
            </w:r>
          </w:p>
        </w:tc>
        <w:tc>
          <w:tcPr>
            <w:tcW w:w="1999" w:type="pct"/>
            <w:noWrap w:val="0"/>
            <w:vAlign w:val="center"/>
          </w:tcPr>
          <w:p w14:paraId="1B8828C5">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1.按图纸所示的位置、尺寸， 分别按不同材料类型，按铺筑厚度以平方米计量；</w:t>
            </w:r>
          </w:p>
          <w:p w14:paraId="7908EFB5">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2.防水层、桥面排水管作为桥面铺装的附属工作，不另行计量；3.由于施工原因而超铺的不予计量</w:t>
            </w:r>
          </w:p>
        </w:tc>
        <w:tc>
          <w:tcPr>
            <w:tcW w:w="764" w:type="pct"/>
            <w:gridSpan w:val="2"/>
            <w:noWrap w:val="0"/>
            <w:vAlign w:val="center"/>
          </w:tcPr>
          <w:p w14:paraId="37CE7B5A">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1.清理下承层；</w:t>
            </w:r>
          </w:p>
          <w:p w14:paraId="6A492A49">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2.拌和设备安装、调试、拆除；</w:t>
            </w:r>
          </w:p>
          <w:p w14:paraId="77566EDD">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3.沥青混合料拌和、</w:t>
            </w:r>
          </w:p>
          <w:p w14:paraId="301D2670">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4.运输、摊铺、压实、成型；</w:t>
            </w:r>
          </w:p>
          <w:p w14:paraId="27DF6026">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5.接缝；</w:t>
            </w:r>
          </w:p>
          <w:p w14:paraId="176841EF">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6.初期养护</w:t>
            </w:r>
          </w:p>
        </w:tc>
      </w:tr>
      <w:tr w14:paraId="1B6E8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1" w:hRule="atLeast"/>
          <w:jc w:val="center"/>
        </w:trPr>
        <w:tc>
          <w:tcPr>
            <w:tcW w:w="509" w:type="pct"/>
            <w:noWrap w:val="0"/>
            <w:vAlign w:val="center"/>
          </w:tcPr>
          <w:p w14:paraId="0C4D67C4">
            <w:pPr>
              <w:widowControl/>
              <w:autoSpaceDE w:val="0"/>
              <w:autoSpaceDN w:val="0"/>
              <w:spacing w:line="360" w:lineRule="auto"/>
              <w:ind w:firstLine="220" w:firstLineChars="1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405-2</w:t>
            </w:r>
          </w:p>
        </w:tc>
        <w:tc>
          <w:tcPr>
            <w:tcW w:w="1220" w:type="pct"/>
            <w:noWrap w:val="0"/>
            <w:vAlign w:val="center"/>
          </w:tcPr>
          <w:p w14:paraId="5553A9CF">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水泥混凝土桥面铺装（C…）</w:t>
            </w:r>
          </w:p>
        </w:tc>
        <w:tc>
          <w:tcPr>
            <w:tcW w:w="506" w:type="pct"/>
            <w:gridSpan w:val="2"/>
            <w:noWrap w:val="0"/>
            <w:vAlign w:val="center"/>
          </w:tcPr>
          <w:p w14:paraId="7FCC68F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1999" w:type="pct"/>
            <w:noWrap w:val="0"/>
            <w:vAlign w:val="center"/>
          </w:tcPr>
          <w:p w14:paraId="131181D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1.依据图纸所示位置、尺寸， 分不同混凝土强度等级，按铺筑厚度以平方米为单位计量；</w:t>
            </w:r>
          </w:p>
          <w:p w14:paraId="7716C73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2.防水层、桥面排水管作为桥面铺装的附属工作，不另行计量；</w:t>
            </w:r>
          </w:p>
          <w:p w14:paraId="6701DAA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3.由于施工原因而超铺的不予计量</w:t>
            </w:r>
          </w:p>
        </w:tc>
        <w:tc>
          <w:tcPr>
            <w:tcW w:w="764" w:type="pct"/>
            <w:gridSpan w:val="2"/>
            <w:noWrap w:val="0"/>
            <w:vAlign w:val="center"/>
          </w:tcPr>
          <w:p w14:paraId="737DBB3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1.场地清理；</w:t>
            </w:r>
          </w:p>
          <w:p w14:paraId="0D497A5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2.混凝土配运料、拌和、运输、浇筑、振捣、养护；</w:t>
            </w:r>
          </w:p>
          <w:p w14:paraId="3D3F03D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3.施工缝、沉降缝设置处理</w:t>
            </w:r>
          </w:p>
        </w:tc>
      </w:tr>
      <w:tr w14:paraId="64B64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1" w:hRule="atLeast"/>
          <w:jc w:val="center"/>
        </w:trPr>
        <w:tc>
          <w:tcPr>
            <w:tcW w:w="509" w:type="pct"/>
            <w:noWrap w:val="0"/>
            <w:vAlign w:val="center"/>
          </w:tcPr>
          <w:p w14:paraId="0E132AB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406</w:t>
            </w:r>
          </w:p>
        </w:tc>
        <w:tc>
          <w:tcPr>
            <w:tcW w:w="1220" w:type="pct"/>
            <w:noWrap w:val="0"/>
            <w:vAlign w:val="center"/>
          </w:tcPr>
          <w:p w14:paraId="2C3A8C2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桥梁支座</w:t>
            </w:r>
          </w:p>
        </w:tc>
        <w:tc>
          <w:tcPr>
            <w:tcW w:w="506" w:type="pct"/>
            <w:gridSpan w:val="2"/>
            <w:noWrap w:val="0"/>
            <w:vAlign w:val="center"/>
          </w:tcPr>
          <w:p w14:paraId="5A1C9BA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个</w:t>
            </w:r>
          </w:p>
        </w:tc>
        <w:tc>
          <w:tcPr>
            <w:tcW w:w="1999" w:type="pct"/>
            <w:noWrap w:val="0"/>
            <w:vAlign w:val="center"/>
          </w:tcPr>
          <w:p w14:paraId="2B5A6C2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依据图纸所示位置及尺寸， 安装图纸所示类型及规格支座就位，按图示数量分不同型号、支座反力以个为单位计量</w:t>
            </w:r>
          </w:p>
        </w:tc>
        <w:tc>
          <w:tcPr>
            <w:tcW w:w="764" w:type="pct"/>
            <w:gridSpan w:val="2"/>
            <w:noWrap w:val="0"/>
            <w:vAlign w:val="center"/>
          </w:tcPr>
          <w:p w14:paraId="0514B3F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1.清洁整平混凝土表面；</w:t>
            </w:r>
          </w:p>
          <w:p w14:paraId="0A2273C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2.砂浆配运料、拌和，接触面抹平；</w:t>
            </w:r>
          </w:p>
          <w:p w14:paraId="18C84E0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3.钢板制作与安装；</w:t>
            </w:r>
          </w:p>
          <w:p w14:paraId="236E47B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4.吊装设备安拆；</w:t>
            </w:r>
          </w:p>
          <w:p w14:paraId="4E25628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5.支座定位安装；</w:t>
            </w:r>
          </w:p>
          <w:p w14:paraId="09CACB0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6.支座焊接固定</w:t>
            </w:r>
          </w:p>
        </w:tc>
      </w:tr>
      <w:tr w14:paraId="3C4CC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09" w:type="pct"/>
            <w:noWrap w:val="0"/>
            <w:vAlign w:val="center"/>
          </w:tcPr>
          <w:p w14:paraId="6BAEDB6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407</w:t>
            </w:r>
          </w:p>
        </w:tc>
        <w:tc>
          <w:tcPr>
            <w:tcW w:w="1220" w:type="pct"/>
            <w:noWrap w:val="0"/>
            <w:vAlign w:val="center"/>
          </w:tcPr>
          <w:p w14:paraId="68DCD68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桥梁伸缩装置</w:t>
            </w:r>
          </w:p>
        </w:tc>
        <w:tc>
          <w:tcPr>
            <w:tcW w:w="506" w:type="pct"/>
            <w:gridSpan w:val="2"/>
            <w:noWrap w:val="0"/>
            <w:vAlign w:val="center"/>
          </w:tcPr>
          <w:p w14:paraId="2E43101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p>
        </w:tc>
        <w:tc>
          <w:tcPr>
            <w:tcW w:w="1999" w:type="pct"/>
            <w:noWrap w:val="0"/>
            <w:vAlign w:val="center"/>
          </w:tcPr>
          <w:p w14:paraId="326FE53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依据图纸所示位置及尺寸， 安装图示类型和规格的伸缩装置，按图示长度（包括人行道、缘石、护栏底座与行车道等全部长度），分不同伸缩量以米为单位计量</w:t>
            </w:r>
          </w:p>
        </w:tc>
        <w:tc>
          <w:tcPr>
            <w:tcW w:w="764" w:type="pct"/>
            <w:gridSpan w:val="2"/>
            <w:noWrap w:val="0"/>
            <w:vAlign w:val="center"/>
          </w:tcPr>
          <w:p w14:paraId="7C4FED2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1.切割清理伸缩装置范围内混凝土；设置预埋件；</w:t>
            </w:r>
          </w:p>
          <w:p w14:paraId="520E798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2.伸缩装置定位、安装；</w:t>
            </w:r>
          </w:p>
          <w:p w14:paraId="28BF244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3.混凝土拌和、运输、浇筑、压纹、养护</w:t>
            </w:r>
          </w:p>
        </w:tc>
      </w:tr>
    </w:tbl>
    <w:p w14:paraId="150E0B6E">
      <w:pPr>
        <w:widowControl/>
        <w:autoSpaceDE w:val="0"/>
        <w:autoSpaceDN w:val="0"/>
        <w:spacing w:line="360" w:lineRule="auto"/>
        <w:ind w:firstLine="640" w:firstLineChars="200"/>
        <w:jc w:val="center"/>
        <w:rPr>
          <w:rFonts w:hint="eastAsia" w:ascii="Times New Roman" w:hAnsi="Times New Roman" w:cs="宋体"/>
          <w:kern w:val="0"/>
          <w:sz w:val="32"/>
          <w:szCs w:val="32"/>
          <w:highlight w:val="none"/>
          <w:lang w:val="zh-CN" w:bidi="zh-CN"/>
        </w:rPr>
      </w:pPr>
    </w:p>
    <w:p w14:paraId="364C7560">
      <w:pPr>
        <w:widowControl/>
        <w:autoSpaceDE w:val="0"/>
        <w:autoSpaceDN w:val="0"/>
        <w:spacing w:line="360" w:lineRule="auto"/>
        <w:ind w:firstLine="640" w:firstLineChars="200"/>
        <w:jc w:val="center"/>
        <w:rPr>
          <w:rFonts w:hint="eastAsia" w:ascii="Times New Roman" w:hAnsi="Times New Roman" w:cs="宋体"/>
          <w:kern w:val="0"/>
          <w:sz w:val="32"/>
          <w:szCs w:val="32"/>
          <w:highlight w:val="none"/>
          <w:lang w:val="zh-CN" w:bidi="zh-CN"/>
        </w:rPr>
      </w:pPr>
    </w:p>
    <w:p w14:paraId="07388D9E">
      <w:pPr>
        <w:widowControl/>
        <w:autoSpaceDE w:val="0"/>
        <w:autoSpaceDN w:val="0"/>
        <w:spacing w:line="360" w:lineRule="auto"/>
        <w:ind w:firstLine="640" w:firstLineChars="200"/>
        <w:jc w:val="center"/>
        <w:rPr>
          <w:rFonts w:hint="eastAsia" w:ascii="Times New Roman" w:hAnsi="Times New Roman" w:cs="宋体"/>
          <w:kern w:val="0"/>
          <w:sz w:val="32"/>
          <w:szCs w:val="32"/>
          <w:highlight w:val="none"/>
          <w:lang w:val="zh-CN" w:bidi="zh-CN"/>
        </w:rPr>
      </w:pPr>
    </w:p>
    <w:p w14:paraId="7F448F79">
      <w:pPr>
        <w:widowControl/>
        <w:autoSpaceDE w:val="0"/>
        <w:autoSpaceDN w:val="0"/>
        <w:spacing w:line="360" w:lineRule="auto"/>
        <w:ind w:firstLine="640" w:firstLineChars="200"/>
        <w:jc w:val="center"/>
        <w:rPr>
          <w:rFonts w:hint="eastAsia" w:ascii="Times New Roman" w:hAnsi="Times New Roman" w:cs="宋体"/>
          <w:kern w:val="0"/>
          <w:sz w:val="32"/>
          <w:szCs w:val="32"/>
          <w:highlight w:val="none"/>
          <w:lang w:val="zh-CN" w:bidi="zh-CN"/>
        </w:rPr>
      </w:pPr>
    </w:p>
    <w:p w14:paraId="2516DB93">
      <w:pPr>
        <w:widowControl/>
        <w:autoSpaceDE w:val="0"/>
        <w:autoSpaceDN w:val="0"/>
        <w:spacing w:line="360" w:lineRule="auto"/>
        <w:ind w:firstLine="640" w:firstLineChars="200"/>
        <w:jc w:val="center"/>
        <w:rPr>
          <w:rFonts w:ascii="Times New Roman" w:hAnsi="Times New Roman" w:cs="宋体"/>
          <w:kern w:val="0"/>
          <w:sz w:val="32"/>
          <w:szCs w:val="32"/>
          <w:highlight w:val="none"/>
          <w:lang w:val="zh-CN" w:bidi="zh-CN"/>
        </w:rPr>
      </w:pPr>
      <w:r>
        <w:rPr>
          <w:rFonts w:hint="eastAsia" w:ascii="Times New Roman" w:hAnsi="Times New Roman" w:cs="宋体"/>
          <w:kern w:val="0"/>
          <w:sz w:val="32"/>
          <w:szCs w:val="32"/>
          <w:highlight w:val="none"/>
          <w:lang w:val="zh-CN" w:bidi="zh-CN"/>
        </w:rPr>
        <w:t>第 500 章 排水与涵洞</w:t>
      </w:r>
    </w:p>
    <w:tbl>
      <w:tblPr>
        <w:tblStyle w:val="30"/>
        <w:tblW w:w="510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3"/>
        <w:gridCol w:w="7"/>
        <w:gridCol w:w="2659"/>
        <w:gridCol w:w="826"/>
        <w:gridCol w:w="2184"/>
        <w:gridCol w:w="2500"/>
      </w:tblGrid>
      <w:tr w14:paraId="3A46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574" w:type="pct"/>
            <w:gridSpan w:val="2"/>
            <w:shd w:val="pct20" w:color="auto" w:fill="auto"/>
            <w:noWrap w:val="0"/>
            <w:vAlign w:val="center"/>
          </w:tcPr>
          <w:p w14:paraId="7EA0B76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子目号</w:t>
            </w:r>
          </w:p>
        </w:tc>
        <w:tc>
          <w:tcPr>
            <w:tcW w:w="1440" w:type="pct"/>
            <w:shd w:val="pct20" w:color="auto" w:fill="auto"/>
            <w:noWrap w:val="0"/>
            <w:vAlign w:val="center"/>
          </w:tcPr>
          <w:p w14:paraId="51DFFD5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子目名称</w:t>
            </w:r>
          </w:p>
        </w:tc>
        <w:tc>
          <w:tcPr>
            <w:tcW w:w="447" w:type="pct"/>
            <w:shd w:val="pct20" w:color="auto" w:fill="auto"/>
            <w:noWrap w:val="0"/>
            <w:vAlign w:val="center"/>
          </w:tcPr>
          <w:p w14:paraId="71C1823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单位</w:t>
            </w:r>
          </w:p>
        </w:tc>
        <w:tc>
          <w:tcPr>
            <w:tcW w:w="1183" w:type="pct"/>
            <w:shd w:val="pct20" w:color="auto" w:fill="auto"/>
            <w:noWrap w:val="0"/>
            <w:vAlign w:val="center"/>
          </w:tcPr>
          <w:p w14:paraId="37514F4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工程量计量</w:t>
            </w:r>
          </w:p>
        </w:tc>
        <w:tc>
          <w:tcPr>
            <w:tcW w:w="1354" w:type="pct"/>
            <w:shd w:val="pct20" w:color="auto" w:fill="auto"/>
            <w:noWrap w:val="0"/>
            <w:vAlign w:val="center"/>
          </w:tcPr>
          <w:p w14:paraId="61BD77C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工程内容</w:t>
            </w:r>
          </w:p>
        </w:tc>
      </w:tr>
      <w:tr w14:paraId="1825E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gridSpan w:val="2"/>
            <w:noWrap w:val="0"/>
            <w:vAlign w:val="center"/>
          </w:tcPr>
          <w:p w14:paraId="6345463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501-1</w:t>
            </w:r>
          </w:p>
        </w:tc>
        <w:tc>
          <w:tcPr>
            <w:tcW w:w="1440" w:type="pct"/>
            <w:noWrap w:val="0"/>
            <w:vAlign w:val="center"/>
          </w:tcPr>
          <w:p w14:paraId="6E8F445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边沟、排水沟、截水沟</w:t>
            </w:r>
          </w:p>
        </w:tc>
        <w:tc>
          <w:tcPr>
            <w:tcW w:w="447" w:type="pct"/>
            <w:noWrap w:val="0"/>
            <w:vAlign w:val="center"/>
          </w:tcPr>
          <w:p w14:paraId="2675CD2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183" w:type="pct"/>
            <w:noWrap w:val="0"/>
            <w:vAlign w:val="center"/>
          </w:tcPr>
          <w:p w14:paraId="772469C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354" w:type="pct"/>
            <w:noWrap w:val="0"/>
            <w:vAlign w:val="center"/>
          </w:tcPr>
          <w:p w14:paraId="7FA8602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r>
      <w:tr w14:paraId="223C5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gridSpan w:val="2"/>
            <w:noWrap w:val="0"/>
            <w:vAlign w:val="center"/>
          </w:tcPr>
          <w:p w14:paraId="543699A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-a</w:t>
            </w:r>
          </w:p>
        </w:tc>
        <w:tc>
          <w:tcPr>
            <w:tcW w:w="1440" w:type="pct"/>
            <w:noWrap w:val="0"/>
            <w:vAlign w:val="center"/>
          </w:tcPr>
          <w:p w14:paraId="62E621B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浆砌片（卵）石</w:t>
            </w:r>
          </w:p>
        </w:tc>
        <w:tc>
          <w:tcPr>
            <w:tcW w:w="447" w:type="pct"/>
            <w:noWrap w:val="0"/>
            <w:vAlign w:val="center"/>
          </w:tcPr>
          <w:p w14:paraId="2EC52D6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1183" w:type="pct"/>
            <w:noWrap w:val="0"/>
            <w:vAlign w:val="center"/>
          </w:tcPr>
          <w:p w14:paraId="248796A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依据图纸所示位置及  断面尺寸，按浆砌片（卵） 石的体积，以立方米为单位计量</w:t>
            </w:r>
          </w:p>
        </w:tc>
        <w:tc>
          <w:tcPr>
            <w:tcW w:w="1354" w:type="pct"/>
            <w:noWrap w:val="0"/>
            <w:vAlign w:val="center"/>
          </w:tcPr>
          <w:p w14:paraId="3EEF6F8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1.场地清理；</w:t>
            </w:r>
          </w:p>
          <w:p w14:paraId="2A438D2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2.地基平整夯实，断面补挖；</w:t>
            </w:r>
          </w:p>
          <w:p w14:paraId="02EA25F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3.铺设垫层；</w:t>
            </w:r>
          </w:p>
          <w:p w14:paraId="30C6347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4.砂浆拌制；</w:t>
            </w:r>
          </w:p>
          <w:p w14:paraId="398E9C4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5.浆砌片石、勾缝、抹面、养护；</w:t>
            </w:r>
          </w:p>
          <w:p w14:paraId="1FD6760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6.回填</w:t>
            </w:r>
          </w:p>
        </w:tc>
      </w:tr>
      <w:tr w14:paraId="3E2B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6" w:hRule="atLeast"/>
          <w:jc w:val="center"/>
        </w:trPr>
        <w:tc>
          <w:tcPr>
            <w:tcW w:w="574" w:type="pct"/>
            <w:gridSpan w:val="2"/>
            <w:noWrap w:val="0"/>
            <w:vAlign w:val="center"/>
          </w:tcPr>
          <w:p w14:paraId="6B12E37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-b</w:t>
            </w:r>
          </w:p>
        </w:tc>
        <w:tc>
          <w:tcPr>
            <w:tcW w:w="1440" w:type="pct"/>
            <w:noWrap w:val="0"/>
            <w:vAlign w:val="center"/>
          </w:tcPr>
          <w:p w14:paraId="6B3F690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现浇混凝土</w:t>
            </w:r>
          </w:p>
        </w:tc>
        <w:tc>
          <w:tcPr>
            <w:tcW w:w="447" w:type="pct"/>
            <w:noWrap w:val="0"/>
            <w:vAlign w:val="center"/>
          </w:tcPr>
          <w:p w14:paraId="62E0480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1183" w:type="pct"/>
            <w:noWrap w:val="0"/>
            <w:vAlign w:val="center"/>
          </w:tcPr>
          <w:p w14:paraId="7587A52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依据图纸所示位置及断面尺寸，按照不同强度等级混凝土浇筑的边沟的体积以立方米为单位计量</w:t>
            </w:r>
          </w:p>
        </w:tc>
        <w:tc>
          <w:tcPr>
            <w:tcW w:w="1354" w:type="pct"/>
            <w:noWrap w:val="0"/>
            <w:vAlign w:val="center"/>
          </w:tcPr>
          <w:p w14:paraId="51FFF18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1.场地清理；</w:t>
            </w:r>
          </w:p>
          <w:p w14:paraId="6C9C785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2.地基平整夯实，断面补挖；</w:t>
            </w:r>
          </w:p>
          <w:p w14:paraId="70DAEA0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3.铺设垫层；</w:t>
            </w:r>
          </w:p>
          <w:p w14:paraId="76EC115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4.模板制作、安装、拆除；</w:t>
            </w:r>
          </w:p>
          <w:p w14:paraId="6883A73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5.钢筋制作与安装；</w:t>
            </w:r>
          </w:p>
          <w:p w14:paraId="5D3EC22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6.混凝土拌和、运输、浇筑、养护；</w:t>
            </w:r>
          </w:p>
          <w:p w14:paraId="21A5E85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7.回填</w:t>
            </w:r>
          </w:p>
        </w:tc>
      </w:tr>
      <w:tr w14:paraId="78AFA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gridSpan w:val="2"/>
            <w:noWrap w:val="0"/>
            <w:vAlign w:val="center"/>
          </w:tcPr>
          <w:p w14:paraId="611D073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-c</w:t>
            </w:r>
          </w:p>
        </w:tc>
        <w:tc>
          <w:tcPr>
            <w:tcW w:w="1440" w:type="pct"/>
            <w:noWrap w:val="0"/>
            <w:vAlign w:val="center"/>
          </w:tcPr>
          <w:p w14:paraId="0D7D46B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预制混凝土</w:t>
            </w:r>
          </w:p>
        </w:tc>
        <w:tc>
          <w:tcPr>
            <w:tcW w:w="447" w:type="pct"/>
            <w:noWrap w:val="0"/>
            <w:vAlign w:val="center"/>
          </w:tcPr>
          <w:p w14:paraId="6A2A368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1183" w:type="pct"/>
            <w:noWrap w:val="0"/>
            <w:vAlign w:val="center"/>
          </w:tcPr>
          <w:p w14:paraId="188085E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依据图纸所示位置及断面尺寸，按照不同强度等级混凝土预制的边沟的体积以立方米为单位计量</w:t>
            </w:r>
          </w:p>
        </w:tc>
        <w:tc>
          <w:tcPr>
            <w:tcW w:w="1354" w:type="pct"/>
            <w:noWrap w:val="0"/>
            <w:vAlign w:val="center"/>
          </w:tcPr>
          <w:p w14:paraId="4536E37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1.场地清理；</w:t>
            </w:r>
          </w:p>
          <w:p w14:paraId="50DF6D9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2.地基平整夯实，断面补挖；</w:t>
            </w:r>
          </w:p>
          <w:p w14:paraId="3E90A5C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3.铺设垫层；</w:t>
            </w:r>
          </w:p>
          <w:p w14:paraId="3FD9636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4.模板制作、安装、拆除；</w:t>
            </w:r>
          </w:p>
          <w:p w14:paraId="4FC2770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5.预制件预制、运输、装卸；</w:t>
            </w:r>
          </w:p>
          <w:p w14:paraId="1ACAFD7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6.预制件安装；</w:t>
            </w:r>
          </w:p>
          <w:p w14:paraId="1B4351C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7.回填</w:t>
            </w:r>
          </w:p>
        </w:tc>
      </w:tr>
      <w:tr w14:paraId="4F18E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gridSpan w:val="2"/>
            <w:noWrap w:val="0"/>
            <w:vAlign w:val="center"/>
          </w:tcPr>
          <w:p w14:paraId="3D8A011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502-1</w:t>
            </w:r>
          </w:p>
        </w:tc>
        <w:tc>
          <w:tcPr>
            <w:tcW w:w="1440" w:type="pct"/>
            <w:noWrap w:val="0"/>
            <w:vAlign w:val="center"/>
          </w:tcPr>
          <w:p w14:paraId="56171B2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埋设排水管</w:t>
            </w:r>
          </w:p>
        </w:tc>
        <w:tc>
          <w:tcPr>
            <w:tcW w:w="447" w:type="pct"/>
            <w:noWrap w:val="0"/>
            <w:vAlign w:val="center"/>
          </w:tcPr>
          <w:p w14:paraId="6131E8B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p>
        </w:tc>
        <w:tc>
          <w:tcPr>
            <w:tcW w:w="1183" w:type="pct"/>
            <w:noWrap w:val="0"/>
            <w:vAlign w:val="center"/>
          </w:tcPr>
          <w:p w14:paraId="4D48076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依据图纸所示位置，按不同材质、不同孔径的排水管长度计算，以米为单位计量</w:t>
            </w:r>
          </w:p>
        </w:tc>
        <w:tc>
          <w:tcPr>
            <w:tcW w:w="1354" w:type="pct"/>
            <w:noWrap w:val="0"/>
            <w:vAlign w:val="center"/>
          </w:tcPr>
          <w:p w14:paraId="3AEC3C7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1.挖基、基坑排水、基底清理；</w:t>
            </w:r>
          </w:p>
          <w:p w14:paraId="298FB60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2.垫层材料铺筑；</w:t>
            </w:r>
          </w:p>
          <w:p w14:paraId="55FBC9A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3.基座砌筑或浇筑；</w:t>
            </w:r>
          </w:p>
          <w:p w14:paraId="227B674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4.排水管制作或购买、运输、保存；</w:t>
            </w:r>
          </w:p>
          <w:p w14:paraId="6F6AA01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5.排水管安装、接缝处理；</w:t>
            </w:r>
          </w:p>
          <w:p w14:paraId="570C971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6.防水、防冻、防腐等处理；</w:t>
            </w:r>
          </w:p>
          <w:p w14:paraId="30CB0D3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7.分层回填、压实；</w:t>
            </w:r>
          </w:p>
          <w:p w14:paraId="2DEA391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8.现场清理、废方弃运</w:t>
            </w:r>
          </w:p>
        </w:tc>
      </w:tr>
      <w:tr w14:paraId="2E961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gridSpan w:val="2"/>
            <w:noWrap w:val="0"/>
            <w:vAlign w:val="center"/>
          </w:tcPr>
          <w:p w14:paraId="080C829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503-1</w:t>
            </w:r>
          </w:p>
        </w:tc>
        <w:tc>
          <w:tcPr>
            <w:tcW w:w="1440" w:type="pct"/>
            <w:noWrap w:val="0"/>
            <w:vAlign w:val="center"/>
          </w:tcPr>
          <w:p w14:paraId="4FF2A59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过水路面</w:t>
            </w:r>
          </w:p>
        </w:tc>
        <w:tc>
          <w:tcPr>
            <w:tcW w:w="447" w:type="pct"/>
            <w:noWrap w:val="0"/>
            <w:vAlign w:val="center"/>
          </w:tcPr>
          <w:p w14:paraId="7C6D6CE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183" w:type="pct"/>
            <w:noWrap w:val="0"/>
            <w:vAlign w:val="center"/>
          </w:tcPr>
          <w:p w14:paraId="4922B4A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354" w:type="pct"/>
            <w:noWrap w:val="0"/>
            <w:vAlign w:val="center"/>
          </w:tcPr>
          <w:p w14:paraId="23C16AB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r>
      <w:tr w14:paraId="080F4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gridSpan w:val="2"/>
            <w:noWrap w:val="0"/>
            <w:vAlign w:val="center"/>
          </w:tcPr>
          <w:p w14:paraId="089432A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-a</w:t>
            </w:r>
          </w:p>
        </w:tc>
        <w:tc>
          <w:tcPr>
            <w:tcW w:w="1440" w:type="pct"/>
            <w:noWrap w:val="0"/>
            <w:vAlign w:val="center"/>
          </w:tcPr>
          <w:p w14:paraId="23E5AF6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浆砌片（卵）石</w:t>
            </w:r>
          </w:p>
        </w:tc>
        <w:tc>
          <w:tcPr>
            <w:tcW w:w="447" w:type="pct"/>
            <w:noWrap w:val="0"/>
            <w:vAlign w:val="center"/>
          </w:tcPr>
          <w:p w14:paraId="2C678B4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1183" w:type="pct"/>
            <w:noWrap w:val="0"/>
            <w:vAlign w:val="center"/>
          </w:tcPr>
          <w:p w14:paraId="68998A7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依据图纸所示位置及断面尺寸，按浆砌片（卵）石的体积，以立方米为单位计量</w:t>
            </w:r>
          </w:p>
        </w:tc>
        <w:tc>
          <w:tcPr>
            <w:tcW w:w="1354" w:type="pct"/>
            <w:noWrap w:val="0"/>
            <w:vAlign w:val="center"/>
          </w:tcPr>
          <w:p w14:paraId="3B1FE9B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1.场地清理、开挖基坑；</w:t>
            </w:r>
          </w:p>
          <w:p w14:paraId="067460A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2.地基平整夯实；</w:t>
            </w:r>
          </w:p>
          <w:p w14:paraId="4FB0A41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3.铺设垫层；</w:t>
            </w:r>
          </w:p>
          <w:p w14:paraId="2E0C8F0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4.砂浆拌制；</w:t>
            </w:r>
          </w:p>
          <w:p w14:paraId="72ADE1A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5.浆砌片（卵）石、勾缝、抹面、养护；</w:t>
            </w:r>
          </w:p>
          <w:p w14:paraId="118BC47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6.清理现场，废方弃运</w:t>
            </w:r>
          </w:p>
        </w:tc>
      </w:tr>
      <w:tr w14:paraId="554A0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gridSpan w:val="2"/>
            <w:noWrap w:val="0"/>
            <w:vAlign w:val="center"/>
          </w:tcPr>
          <w:p w14:paraId="0725B1F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-b</w:t>
            </w:r>
          </w:p>
        </w:tc>
        <w:tc>
          <w:tcPr>
            <w:tcW w:w="1440" w:type="pct"/>
            <w:noWrap w:val="0"/>
            <w:vAlign w:val="center"/>
          </w:tcPr>
          <w:p w14:paraId="03F1A97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混凝土</w:t>
            </w:r>
          </w:p>
        </w:tc>
        <w:tc>
          <w:tcPr>
            <w:tcW w:w="447" w:type="pct"/>
            <w:noWrap w:val="0"/>
            <w:vAlign w:val="center"/>
          </w:tcPr>
          <w:p w14:paraId="338C4A3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1183" w:type="pct"/>
            <w:noWrap w:val="0"/>
            <w:vAlign w:val="center"/>
          </w:tcPr>
          <w:p w14:paraId="7B24D8F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依据图纸所示位置及断面尺寸，按混凝土不同强度等级的铺筑体积，以立方米为单位计量</w:t>
            </w:r>
          </w:p>
        </w:tc>
        <w:tc>
          <w:tcPr>
            <w:tcW w:w="1354" w:type="pct"/>
            <w:noWrap w:val="0"/>
            <w:vAlign w:val="center"/>
          </w:tcPr>
          <w:p w14:paraId="32DD1A5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1.检查和清理下承层、洒水湿润；</w:t>
            </w:r>
          </w:p>
          <w:p w14:paraId="7C0FEA3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2.模板制作、架设、安装、拆除；</w:t>
            </w:r>
          </w:p>
          <w:p w14:paraId="386BE03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3.混凝土拌合、运输、浇筑、振捣、抹平、养护；</w:t>
            </w:r>
          </w:p>
          <w:p w14:paraId="35953CF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4.切缝、灌缝处理；</w:t>
            </w:r>
          </w:p>
          <w:p w14:paraId="46FA84A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5.初期养护；</w:t>
            </w:r>
          </w:p>
          <w:p w14:paraId="2D9E2B0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6.清理现场</w:t>
            </w:r>
          </w:p>
        </w:tc>
      </w:tr>
      <w:tr w14:paraId="0B5D2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gridSpan w:val="2"/>
            <w:noWrap w:val="0"/>
            <w:vAlign w:val="center"/>
          </w:tcPr>
          <w:p w14:paraId="547386A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504-1</w:t>
            </w:r>
          </w:p>
        </w:tc>
        <w:tc>
          <w:tcPr>
            <w:tcW w:w="1440" w:type="pct"/>
            <w:noWrap w:val="0"/>
            <w:vAlign w:val="center"/>
          </w:tcPr>
          <w:p w14:paraId="5E004A9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钢筋混凝土圆管涵</w:t>
            </w:r>
          </w:p>
        </w:tc>
        <w:tc>
          <w:tcPr>
            <w:tcW w:w="447" w:type="pct"/>
            <w:noWrap w:val="0"/>
            <w:vAlign w:val="center"/>
          </w:tcPr>
          <w:p w14:paraId="413A7E3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183" w:type="pct"/>
            <w:noWrap w:val="0"/>
            <w:vAlign w:val="center"/>
          </w:tcPr>
          <w:p w14:paraId="5C19072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354" w:type="pct"/>
            <w:noWrap w:val="0"/>
            <w:vAlign w:val="center"/>
          </w:tcPr>
          <w:p w14:paraId="06BB77B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r>
      <w:tr w14:paraId="09352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gridSpan w:val="2"/>
            <w:noWrap w:val="0"/>
            <w:vAlign w:val="center"/>
          </w:tcPr>
          <w:p w14:paraId="0158ABF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-a</w:t>
            </w:r>
          </w:p>
        </w:tc>
        <w:tc>
          <w:tcPr>
            <w:tcW w:w="1440" w:type="pct"/>
            <w:noWrap w:val="0"/>
            <w:vAlign w:val="center"/>
          </w:tcPr>
          <w:p w14:paraId="79CC754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 单孔钢筋混凝土圆管涵</w:t>
            </w:r>
          </w:p>
        </w:tc>
        <w:tc>
          <w:tcPr>
            <w:tcW w:w="447" w:type="pct"/>
            <w:noWrap w:val="0"/>
            <w:vAlign w:val="center"/>
          </w:tcPr>
          <w:p w14:paraId="2E4D074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p>
        </w:tc>
        <w:tc>
          <w:tcPr>
            <w:tcW w:w="1183" w:type="pct"/>
            <w:vMerge w:val="restart"/>
            <w:noWrap w:val="0"/>
            <w:vAlign w:val="center"/>
          </w:tcPr>
          <w:p w14:paraId="72B4838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依据图纸所示，按不同孔径的涵身长度(进出口端墙外侧间距离)计算， 以米为单位计量</w:t>
            </w:r>
          </w:p>
        </w:tc>
        <w:tc>
          <w:tcPr>
            <w:tcW w:w="1354" w:type="pct"/>
            <w:vMerge w:val="restart"/>
            <w:noWrap w:val="0"/>
            <w:vAlign w:val="center"/>
          </w:tcPr>
          <w:p w14:paraId="7910FC6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1.挖基、基坑排水、基底清理、地基处理；</w:t>
            </w:r>
          </w:p>
          <w:p w14:paraId="57D7995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2.基座砌筑或浇筑；</w:t>
            </w:r>
          </w:p>
          <w:p w14:paraId="714ADA7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3.垫层材料铺筑；</w:t>
            </w:r>
          </w:p>
          <w:p w14:paraId="57625F7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4.钢筋制作安装；</w:t>
            </w:r>
          </w:p>
          <w:p w14:paraId="32B8993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5.预制或现浇钢筋混凝土管；</w:t>
            </w:r>
          </w:p>
          <w:p w14:paraId="6BFEE5A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6.铺涂防水层；</w:t>
            </w:r>
          </w:p>
          <w:p w14:paraId="7FD112B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7.安装、接缝；</w:t>
            </w:r>
          </w:p>
          <w:p w14:paraId="5C5A65E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8.砌筑进出口(端墙、翼墙、八字墙井口)；</w:t>
            </w:r>
          </w:p>
          <w:p w14:paraId="77CE56C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9.防水、防冻、防腐措施；</w:t>
            </w:r>
          </w:p>
          <w:p w14:paraId="3FB6E11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10.回填</w:t>
            </w:r>
          </w:p>
        </w:tc>
      </w:tr>
      <w:tr w14:paraId="07CED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gridSpan w:val="2"/>
            <w:noWrap w:val="0"/>
            <w:vAlign w:val="center"/>
          </w:tcPr>
          <w:p w14:paraId="454CADE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-b</w:t>
            </w:r>
          </w:p>
        </w:tc>
        <w:tc>
          <w:tcPr>
            <w:tcW w:w="1440" w:type="pct"/>
            <w:noWrap w:val="0"/>
            <w:vAlign w:val="center"/>
          </w:tcPr>
          <w:p w14:paraId="4DFDE23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 双孔钢筋混凝土圆管涵</w:t>
            </w:r>
          </w:p>
        </w:tc>
        <w:tc>
          <w:tcPr>
            <w:tcW w:w="447" w:type="pct"/>
            <w:noWrap w:val="0"/>
            <w:vAlign w:val="center"/>
          </w:tcPr>
          <w:p w14:paraId="01DA02B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p>
        </w:tc>
        <w:tc>
          <w:tcPr>
            <w:tcW w:w="1183" w:type="pct"/>
            <w:vMerge w:val="continue"/>
            <w:tcBorders>
              <w:top w:val="nil"/>
            </w:tcBorders>
            <w:noWrap w:val="0"/>
            <w:vAlign w:val="center"/>
          </w:tcPr>
          <w:p w14:paraId="3AA1427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354" w:type="pct"/>
            <w:vMerge w:val="continue"/>
            <w:tcBorders>
              <w:top w:val="nil"/>
            </w:tcBorders>
            <w:noWrap w:val="0"/>
            <w:vAlign w:val="center"/>
          </w:tcPr>
          <w:p w14:paraId="1A66EC3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r>
      <w:tr w14:paraId="5A183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gridSpan w:val="2"/>
            <w:noWrap w:val="0"/>
            <w:vAlign w:val="center"/>
          </w:tcPr>
          <w:p w14:paraId="534DE1C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505-1</w:t>
            </w:r>
          </w:p>
        </w:tc>
        <w:tc>
          <w:tcPr>
            <w:tcW w:w="1440" w:type="pct"/>
            <w:noWrap w:val="0"/>
            <w:vAlign w:val="center"/>
          </w:tcPr>
          <w:p w14:paraId="2A30E25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倒虹吸（不分孔径）</w:t>
            </w:r>
          </w:p>
        </w:tc>
        <w:tc>
          <w:tcPr>
            <w:tcW w:w="447" w:type="pct"/>
            <w:noWrap w:val="0"/>
            <w:vAlign w:val="center"/>
          </w:tcPr>
          <w:p w14:paraId="067FAA5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p>
        </w:tc>
        <w:tc>
          <w:tcPr>
            <w:tcW w:w="1183" w:type="pct"/>
            <w:noWrap w:val="0"/>
            <w:vAlign w:val="center"/>
          </w:tcPr>
          <w:p w14:paraId="732E81C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依据图纸所示，不分孔径按涵身长度(进出口端墙外侧间距离)计算，以米为单位计量</w:t>
            </w:r>
          </w:p>
        </w:tc>
        <w:tc>
          <w:tcPr>
            <w:tcW w:w="1354" w:type="pct"/>
            <w:noWrap w:val="0"/>
            <w:vAlign w:val="center"/>
          </w:tcPr>
          <w:p w14:paraId="353738A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1.挖基、基坑排水、基底清理；</w:t>
            </w:r>
          </w:p>
          <w:p w14:paraId="74DE990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2.基座砌筑或浇筑；</w:t>
            </w:r>
          </w:p>
          <w:p w14:paraId="7C12F37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3.垫层材料铺筑；</w:t>
            </w:r>
          </w:p>
          <w:p w14:paraId="16F056E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4.钢筋制作安装；</w:t>
            </w:r>
          </w:p>
          <w:p w14:paraId="6782E48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5.预制或现浇钢筋混凝土管；</w:t>
            </w:r>
          </w:p>
          <w:p w14:paraId="5EF3808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6.铺涂防水层；</w:t>
            </w:r>
          </w:p>
          <w:p w14:paraId="0EC884F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7.安装、接缝；</w:t>
            </w:r>
          </w:p>
          <w:p w14:paraId="365E0CE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8.砌筑进出口(端墙、翼墙、八字墙井口)；</w:t>
            </w:r>
          </w:p>
          <w:p w14:paraId="37AD4DE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9.防水、防冻、防腐措施；</w:t>
            </w:r>
          </w:p>
          <w:p w14:paraId="1456C89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10.回填</w:t>
            </w:r>
          </w:p>
        </w:tc>
      </w:tr>
      <w:tr w14:paraId="17D6A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gridSpan w:val="2"/>
            <w:noWrap w:val="0"/>
            <w:vAlign w:val="center"/>
          </w:tcPr>
          <w:p w14:paraId="51D94A5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506-1</w:t>
            </w:r>
          </w:p>
        </w:tc>
        <w:tc>
          <w:tcPr>
            <w:tcW w:w="1440" w:type="pct"/>
            <w:noWrap w:val="0"/>
            <w:vAlign w:val="center"/>
          </w:tcPr>
          <w:p w14:paraId="369E052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钢筋混凝土盖板涵</w:t>
            </w:r>
          </w:p>
        </w:tc>
        <w:tc>
          <w:tcPr>
            <w:tcW w:w="447" w:type="pct"/>
            <w:noWrap w:val="0"/>
            <w:vAlign w:val="center"/>
          </w:tcPr>
          <w:p w14:paraId="4967948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183" w:type="pct"/>
            <w:noWrap w:val="0"/>
            <w:vAlign w:val="center"/>
          </w:tcPr>
          <w:p w14:paraId="2F3F804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354" w:type="pct"/>
            <w:noWrap w:val="0"/>
            <w:vAlign w:val="center"/>
          </w:tcPr>
          <w:p w14:paraId="6BB9FC1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r>
      <w:tr w14:paraId="26A96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0" w:type="pct"/>
            <w:noWrap w:val="0"/>
            <w:vAlign w:val="center"/>
          </w:tcPr>
          <w:p w14:paraId="566370F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-a</w:t>
            </w:r>
          </w:p>
        </w:tc>
        <w:tc>
          <w:tcPr>
            <w:tcW w:w="1444" w:type="pct"/>
            <w:gridSpan w:val="2"/>
            <w:noWrap w:val="0"/>
            <w:vAlign w:val="center"/>
          </w:tcPr>
          <w:p w14:paraId="0882DAE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1-…m</w:t>
            </w:r>
            <w:r>
              <w:rPr>
                <w:rFonts w:ascii="Arial" w:hAnsi="Arial" w:cs="Arial"/>
                <w:kern w:val="0"/>
                <w:sz w:val="22"/>
                <w:szCs w:val="21"/>
                <w:highlight w:val="none"/>
                <w:lang w:val="zh-CN" w:bidi="zh-CN"/>
              </w:rPr>
              <w:t>×</w:t>
            </w:r>
            <w:r>
              <w:rPr>
                <w:rFonts w:hint="eastAsia" w:ascii="Times New Roman" w:hAnsi="Times New Roman" w:cs="宋体"/>
                <w:kern w:val="0"/>
                <w:sz w:val="22"/>
                <w:szCs w:val="21"/>
                <w:highlight w:val="none"/>
                <w:lang w:val="zh-CN" w:bidi="zh-CN"/>
              </w:rPr>
              <w:t>…m 钢筋混凝土盖板涵</w:t>
            </w:r>
          </w:p>
        </w:tc>
        <w:tc>
          <w:tcPr>
            <w:tcW w:w="447" w:type="pct"/>
            <w:noWrap w:val="0"/>
            <w:vAlign w:val="center"/>
          </w:tcPr>
          <w:p w14:paraId="77959DB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p>
        </w:tc>
        <w:tc>
          <w:tcPr>
            <w:tcW w:w="1183" w:type="pct"/>
            <w:vMerge w:val="restart"/>
            <w:noWrap w:val="0"/>
            <w:vAlign w:val="center"/>
          </w:tcPr>
          <w:p w14:paraId="0503119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依据图纸所示，按不同跨径的盖板涵长度以米为单位计量</w:t>
            </w:r>
          </w:p>
        </w:tc>
        <w:tc>
          <w:tcPr>
            <w:tcW w:w="1354" w:type="pct"/>
            <w:vMerge w:val="restart"/>
            <w:noWrap w:val="0"/>
            <w:vAlign w:val="center"/>
          </w:tcPr>
          <w:p w14:paraId="3A8591F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1.场地清理；</w:t>
            </w:r>
          </w:p>
          <w:p w14:paraId="2AC048F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2.围堰、排水，基坑开挖，</w:t>
            </w:r>
          </w:p>
          <w:p w14:paraId="6A3AAEC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基坑支护；</w:t>
            </w:r>
          </w:p>
          <w:p w14:paraId="6C247F3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3.基础、地基处理、涵台施工；</w:t>
            </w:r>
          </w:p>
          <w:p w14:paraId="1F66CA3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4.施工缝设置、处理；</w:t>
            </w:r>
          </w:p>
          <w:p w14:paraId="1A75E52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5.盖板预制，运输，安装；</w:t>
            </w:r>
          </w:p>
          <w:p w14:paraId="7BA7DF5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6.砂浆制作、填缝；</w:t>
            </w:r>
          </w:p>
          <w:p w14:paraId="73A185A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7.防水、防冻、防腐措施；</w:t>
            </w:r>
          </w:p>
          <w:p w14:paraId="30FF77B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8.回填</w:t>
            </w:r>
          </w:p>
        </w:tc>
      </w:tr>
      <w:tr w14:paraId="0409B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0" w:type="pct"/>
            <w:noWrap w:val="0"/>
            <w:vAlign w:val="center"/>
          </w:tcPr>
          <w:p w14:paraId="5F4242E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-b</w:t>
            </w:r>
          </w:p>
        </w:tc>
        <w:tc>
          <w:tcPr>
            <w:tcW w:w="1444" w:type="pct"/>
            <w:gridSpan w:val="2"/>
            <w:noWrap w:val="0"/>
            <w:vAlign w:val="center"/>
          </w:tcPr>
          <w:p w14:paraId="744035F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2-…m</w:t>
            </w:r>
            <w:r>
              <w:rPr>
                <w:rFonts w:ascii="Arial" w:hAnsi="Arial" w:cs="Arial"/>
                <w:kern w:val="0"/>
                <w:sz w:val="22"/>
                <w:szCs w:val="21"/>
                <w:highlight w:val="none"/>
                <w:lang w:val="zh-CN" w:bidi="zh-CN"/>
              </w:rPr>
              <w:t>×</w:t>
            </w:r>
            <w:r>
              <w:rPr>
                <w:rFonts w:hint="eastAsia" w:ascii="Times New Roman" w:hAnsi="Times New Roman" w:cs="宋体"/>
                <w:kern w:val="0"/>
                <w:sz w:val="22"/>
                <w:szCs w:val="21"/>
                <w:highlight w:val="none"/>
                <w:lang w:val="zh-CN" w:bidi="zh-CN"/>
              </w:rPr>
              <w:t>…m 钢筋混凝土盖板涵</w:t>
            </w:r>
          </w:p>
        </w:tc>
        <w:tc>
          <w:tcPr>
            <w:tcW w:w="447" w:type="pct"/>
            <w:noWrap w:val="0"/>
            <w:vAlign w:val="center"/>
          </w:tcPr>
          <w:p w14:paraId="7D7A26A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p>
        </w:tc>
        <w:tc>
          <w:tcPr>
            <w:tcW w:w="1183" w:type="pct"/>
            <w:vMerge w:val="continue"/>
            <w:tcBorders>
              <w:top w:val="nil"/>
            </w:tcBorders>
            <w:noWrap w:val="0"/>
            <w:vAlign w:val="center"/>
          </w:tcPr>
          <w:p w14:paraId="3D3AF96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354" w:type="pct"/>
            <w:vMerge w:val="continue"/>
            <w:tcBorders>
              <w:top w:val="nil"/>
            </w:tcBorders>
            <w:noWrap w:val="0"/>
            <w:vAlign w:val="center"/>
          </w:tcPr>
          <w:p w14:paraId="744521F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r>
      <w:tr w14:paraId="532D0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0" w:type="pct"/>
            <w:noWrap w:val="0"/>
            <w:vAlign w:val="center"/>
          </w:tcPr>
          <w:p w14:paraId="732264D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507-1</w:t>
            </w:r>
          </w:p>
        </w:tc>
        <w:tc>
          <w:tcPr>
            <w:tcW w:w="1444" w:type="pct"/>
            <w:gridSpan w:val="2"/>
            <w:noWrap w:val="0"/>
            <w:vAlign w:val="center"/>
          </w:tcPr>
          <w:p w14:paraId="33EEF8F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钢筋混凝土箱涵</w:t>
            </w:r>
          </w:p>
        </w:tc>
        <w:tc>
          <w:tcPr>
            <w:tcW w:w="447" w:type="pct"/>
            <w:noWrap w:val="0"/>
            <w:vAlign w:val="center"/>
          </w:tcPr>
          <w:p w14:paraId="7C9A76A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183" w:type="pct"/>
            <w:noWrap w:val="0"/>
            <w:vAlign w:val="center"/>
          </w:tcPr>
          <w:p w14:paraId="25CCEF4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354" w:type="pct"/>
            <w:noWrap w:val="0"/>
            <w:vAlign w:val="center"/>
          </w:tcPr>
          <w:p w14:paraId="69393A0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r>
      <w:tr w14:paraId="0002F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0" w:type="pct"/>
            <w:noWrap w:val="0"/>
            <w:vAlign w:val="center"/>
          </w:tcPr>
          <w:p w14:paraId="727BB1F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-a</w:t>
            </w:r>
          </w:p>
        </w:tc>
        <w:tc>
          <w:tcPr>
            <w:tcW w:w="1444" w:type="pct"/>
            <w:gridSpan w:val="2"/>
            <w:noWrap w:val="0"/>
            <w:vAlign w:val="center"/>
          </w:tcPr>
          <w:p w14:paraId="53AF6AA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1-…m</w:t>
            </w:r>
            <w:r>
              <w:rPr>
                <w:rFonts w:ascii="Arial" w:hAnsi="Arial" w:cs="Arial"/>
                <w:kern w:val="0"/>
                <w:sz w:val="22"/>
                <w:szCs w:val="21"/>
                <w:highlight w:val="none"/>
                <w:lang w:val="zh-CN" w:bidi="zh-CN"/>
              </w:rPr>
              <w:t>×</w:t>
            </w:r>
            <w:r>
              <w:rPr>
                <w:rFonts w:hint="eastAsia" w:ascii="Times New Roman" w:hAnsi="Times New Roman" w:cs="宋体"/>
                <w:kern w:val="0"/>
                <w:sz w:val="22"/>
                <w:szCs w:val="21"/>
                <w:highlight w:val="none"/>
                <w:lang w:val="zh-CN" w:bidi="zh-CN"/>
              </w:rPr>
              <w:t>…m 钢筋混凝土箱涵</w:t>
            </w:r>
          </w:p>
        </w:tc>
        <w:tc>
          <w:tcPr>
            <w:tcW w:w="447" w:type="pct"/>
            <w:noWrap w:val="0"/>
            <w:vAlign w:val="center"/>
          </w:tcPr>
          <w:p w14:paraId="3DA2F16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p>
        </w:tc>
        <w:tc>
          <w:tcPr>
            <w:tcW w:w="1183" w:type="pct"/>
            <w:vMerge w:val="restart"/>
            <w:noWrap w:val="0"/>
            <w:vAlign w:val="center"/>
          </w:tcPr>
          <w:p w14:paraId="6875A3A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依据图纸所示，按不同跨径的箱涵长度以米为单位计量</w:t>
            </w:r>
          </w:p>
        </w:tc>
        <w:tc>
          <w:tcPr>
            <w:tcW w:w="1354" w:type="pct"/>
            <w:vMerge w:val="restart"/>
            <w:noWrap w:val="0"/>
            <w:vAlign w:val="center"/>
          </w:tcPr>
          <w:p w14:paraId="59EA30B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1.围堰、排水，基坑开挖；</w:t>
            </w:r>
          </w:p>
          <w:p w14:paraId="205CA38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2.垫层、基础施工；</w:t>
            </w:r>
          </w:p>
          <w:p w14:paraId="6ABDBC3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3.搭拆作业平台；</w:t>
            </w:r>
          </w:p>
          <w:p w14:paraId="06B9A35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4.模板安设、加固、检查；</w:t>
            </w:r>
          </w:p>
          <w:p w14:paraId="4960DAD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5.钢筋安设、支承及固定；</w:t>
            </w:r>
          </w:p>
          <w:p w14:paraId="3F03844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6.混凝土配运料、拌和、运输、浇筑、养护；</w:t>
            </w:r>
          </w:p>
          <w:p w14:paraId="751F516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7.施工缝设置、处理；</w:t>
            </w:r>
          </w:p>
          <w:p w14:paraId="1EB2349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8.防水、防冻、防腐措施；</w:t>
            </w:r>
          </w:p>
          <w:p w14:paraId="3AE35FB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9.回填</w:t>
            </w:r>
          </w:p>
        </w:tc>
      </w:tr>
      <w:tr w14:paraId="6EF3C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0" w:type="pct"/>
            <w:noWrap w:val="0"/>
            <w:vAlign w:val="center"/>
          </w:tcPr>
          <w:p w14:paraId="62763BB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p w14:paraId="449E236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-b</w:t>
            </w:r>
          </w:p>
        </w:tc>
        <w:tc>
          <w:tcPr>
            <w:tcW w:w="1444" w:type="pct"/>
            <w:gridSpan w:val="2"/>
            <w:noWrap w:val="0"/>
            <w:vAlign w:val="center"/>
          </w:tcPr>
          <w:p w14:paraId="1B102C8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p w14:paraId="0B62EC0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2-…m</w:t>
            </w:r>
            <w:r>
              <w:rPr>
                <w:rFonts w:ascii="Arial" w:hAnsi="Arial" w:cs="Arial"/>
                <w:kern w:val="0"/>
                <w:sz w:val="22"/>
                <w:szCs w:val="21"/>
                <w:highlight w:val="none"/>
                <w:lang w:val="zh-CN" w:bidi="zh-CN"/>
              </w:rPr>
              <w:t>×</w:t>
            </w:r>
            <w:r>
              <w:rPr>
                <w:rFonts w:hint="eastAsia" w:ascii="Times New Roman" w:hAnsi="Times New Roman" w:cs="宋体"/>
                <w:kern w:val="0"/>
                <w:sz w:val="22"/>
                <w:szCs w:val="21"/>
                <w:highlight w:val="none"/>
                <w:lang w:val="zh-CN" w:bidi="zh-CN"/>
              </w:rPr>
              <w:t>…m 钢筋混凝土箱涵</w:t>
            </w:r>
          </w:p>
        </w:tc>
        <w:tc>
          <w:tcPr>
            <w:tcW w:w="447" w:type="pct"/>
            <w:noWrap w:val="0"/>
            <w:vAlign w:val="center"/>
          </w:tcPr>
          <w:p w14:paraId="5604FC8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p w14:paraId="1F2E363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p>
        </w:tc>
        <w:tc>
          <w:tcPr>
            <w:tcW w:w="1183" w:type="pct"/>
            <w:vMerge w:val="continue"/>
            <w:tcBorders>
              <w:top w:val="nil"/>
            </w:tcBorders>
            <w:noWrap w:val="0"/>
            <w:vAlign w:val="center"/>
          </w:tcPr>
          <w:p w14:paraId="433CFC3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354" w:type="pct"/>
            <w:vMerge w:val="continue"/>
            <w:tcBorders>
              <w:top w:val="nil"/>
            </w:tcBorders>
            <w:noWrap w:val="0"/>
            <w:vAlign w:val="center"/>
          </w:tcPr>
          <w:p w14:paraId="645541A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r>
      <w:tr w14:paraId="7D479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4" w:type="pct"/>
            <w:gridSpan w:val="2"/>
            <w:noWrap w:val="0"/>
            <w:vAlign w:val="center"/>
          </w:tcPr>
          <w:p w14:paraId="508E847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508-1</w:t>
            </w:r>
          </w:p>
        </w:tc>
        <w:tc>
          <w:tcPr>
            <w:tcW w:w="1440" w:type="pct"/>
            <w:noWrap w:val="0"/>
            <w:vAlign w:val="center"/>
          </w:tcPr>
          <w:p w14:paraId="4DAE413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拱涵</w:t>
            </w:r>
          </w:p>
        </w:tc>
        <w:tc>
          <w:tcPr>
            <w:tcW w:w="447" w:type="pct"/>
            <w:noWrap w:val="0"/>
            <w:vAlign w:val="center"/>
          </w:tcPr>
          <w:p w14:paraId="3707831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p>
        </w:tc>
        <w:tc>
          <w:tcPr>
            <w:tcW w:w="1183" w:type="pct"/>
            <w:noWrap w:val="0"/>
            <w:vAlign w:val="center"/>
          </w:tcPr>
          <w:p w14:paraId="2CA6D3F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依据图纸所示，按不同跨径的混凝土拱涵长度以米为单位计量</w:t>
            </w:r>
          </w:p>
        </w:tc>
        <w:tc>
          <w:tcPr>
            <w:tcW w:w="1354" w:type="pct"/>
            <w:noWrap w:val="0"/>
            <w:vAlign w:val="center"/>
          </w:tcPr>
          <w:p w14:paraId="1ECEF1D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1.场地清理；</w:t>
            </w:r>
          </w:p>
          <w:p w14:paraId="032938C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2.围堰、排水，基坑开挖，</w:t>
            </w:r>
          </w:p>
          <w:p w14:paraId="5B126EA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基坑支护；</w:t>
            </w:r>
          </w:p>
          <w:p w14:paraId="1DD5380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3.基础及涵台施工；</w:t>
            </w:r>
          </w:p>
          <w:p w14:paraId="5196DE1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4.搭拆作业平台；</w:t>
            </w:r>
          </w:p>
          <w:p w14:paraId="6688D0E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5.安拆支架、拱盔；</w:t>
            </w:r>
          </w:p>
          <w:p w14:paraId="3A227A0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6.配、拌、运混凝土、浇筑、养护；</w:t>
            </w:r>
          </w:p>
          <w:p w14:paraId="7E8BE45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7.防水、防冻、防腐措施</w:t>
            </w:r>
          </w:p>
        </w:tc>
      </w:tr>
    </w:tbl>
    <w:p w14:paraId="7B2C31D3">
      <w:pPr>
        <w:widowControl/>
        <w:autoSpaceDE w:val="0"/>
        <w:autoSpaceDN w:val="0"/>
        <w:spacing w:line="360" w:lineRule="auto"/>
        <w:ind w:firstLine="640" w:firstLineChars="200"/>
        <w:jc w:val="center"/>
        <w:rPr>
          <w:rFonts w:ascii="Times New Roman" w:hAnsi="Times New Roman" w:cs="宋体"/>
          <w:kern w:val="0"/>
          <w:sz w:val="32"/>
          <w:szCs w:val="32"/>
          <w:highlight w:val="none"/>
          <w:lang w:val="zh-CN" w:bidi="zh-CN"/>
        </w:rPr>
      </w:pPr>
    </w:p>
    <w:p w14:paraId="4F8AD0B9">
      <w:pPr>
        <w:widowControl/>
        <w:autoSpaceDE w:val="0"/>
        <w:autoSpaceDN w:val="0"/>
        <w:spacing w:line="360" w:lineRule="auto"/>
        <w:ind w:firstLine="640" w:firstLineChars="200"/>
        <w:jc w:val="center"/>
        <w:rPr>
          <w:rFonts w:ascii="Times New Roman" w:hAnsi="Times New Roman" w:cs="宋体"/>
          <w:kern w:val="0"/>
          <w:sz w:val="32"/>
          <w:szCs w:val="32"/>
          <w:highlight w:val="none"/>
          <w:lang w:val="zh-CN" w:bidi="zh-CN"/>
        </w:rPr>
      </w:pPr>
      <w:r>
        <w:rPr>
          <w:rFonts w:ascii="Times New Roman" w:hAnsi="Times New Roman" w:cs="宋体"/>
          <w:kern w:val="0"/>
          <w:sz w:val="32"/>
          <w:szCs w:val="32"/>
          <w:highlight w:val="none"/>
          <w:lang w:val="zh-CN" w:bidi="zh-CN"/>
        </w:rPr>
        <w:br w:type="page"/>
      </w:r>
      <w:r>
        <w:rPr>
          <w:rFonts w:hint="eastAsia" w:ascii="Times New Roman" w:hAnsi="Times New Roman" w:cs="宋体"/>
          <w:kern w:val="0"/>
          <w:sz w:val="32"/>
          <w:szCs w:val="32"/>
          <w:highlight w:val="none"/>
          <w:lang w:val="zh-CN" w:bidi="zh-CN"/>
        </w:rPr>
        <w:t>第 600 章 防护</w:t>
      </w:r>
    </w:p>
    <w:tbl>
      <w:tblPr>
        <w:tblStyle w:val="30"/>
        <w:tblW w:w="511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61"/>
        <w:gridCol w:w="6"/>
        <w:gridCol w:w="1619"/>
        <w:gridCol w:w="7"/>
        <w:gridCol w:w="939"/>
        <w:gridCol w:w="22"/>
        <w:gridCol w:w="3016"/>
        <w:gridCol w:w="20"/>
        <w:gridCol w:w="2538"/>
        <w:gridCol w:w="9"/>
      </w:tblGrid>
      <w:tr w14:paraId="0DEB1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577" w:type="pct"/>
            <w:gridSpan w:val="2"/>
            <w:shd w:val="pct20" w:color="auto" w:fill="auto"/>
            <w:noWrap w:val="0"/>
            <w:vAlign w:val="center"/>
          </w:tcPr>
          <w:p w14:paraId="0597BFE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子目号</w:t>
            </w:r>
          </w:p>
        </w:tc>
        <w:tc>
          <w:tcPr>
            <w:tcW w:w="880" w:type="pct"/>
            <w:gridSpan w:val="2"/>
            <w:shd w:val="pct20" w:color="auto" w:fill="auto"/>
            <w:noWrap w:val="0"/>
            <w:vAlign w:val="center"/>
          </w:tcPr>
          <w:p w14:paraId="0DF8813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子目名称</w:t>
            </w:r>
          </w:p>
        </w:tc>
        <w:tc>
          <w:tcPr>
            <w:tcW w:w="508" w:type="pct"/>
            <w:shd w:val="pct20" w:color="auto" w:fill="auto"/>
            <w:noWrap w:val="0"/>
            <w:vAlign w:val="center"/>
          </w:tcPr>
          <w:p w14:paraId="195546B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单位</w:t>
            </w:r>
          </w:p>
        </w:tc>
        <w:tc>
          <w:tcPr>
            <w:tcW w:w="1655" w:type="pct"/>
            <w:gridSpan w:val="3"/>
            <w:shd w:val="pct20" w:color="auto" w:fill="auto"/>
            <w:noWrap w:val="0"/>
            <w:vAlign w:val="center"/>
          </w:tcPr>
          <w:p w14:paraId="550F7B4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工程量计量</w:t>
            </w:r>
          </w:p>
        </w:tc>
        <w:tc>
          <w:tcPr>
            <w:tcW w:w="1378" w:type="pct"/>
            <w:gridSpan w:val="2"/>
            <w:shd w:val="pct20" w:color="auto" w:fill="auto"/>
            <w:noWrap w:val="0"/>
            <w:vAlign w:val="center"/>
          </w:tcPr>
          <w:p w14:paraId="5A23C5F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工程内容</w:t>
            </w:r>
          </w:p>
        </w:tc>
      </w:tr>
      <w:tr w14:paraId="55B52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7" w:type="pct"/>
            <w:gridSpan w:val="2"/>
            <w:noWrap w:val="0"/>
            <w:vAlign w:val="center"/>
          </w:tcPr>
          <w:p w14:paraId="6E3BDE2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601-1</w:t>
            </w:r>
          </w:p>
        </w:tc>
        <w:tc>
          <w:tcPr>
            <w:tcW w:w="880" w:type="pct"/>
            <w:gridSpan w:val="2"/>
            <w:noWrap w:val="0"/>
            <w:vAlign w:val="center"/>
          </w:tcPr>
          <w:p w14:paraId="481A395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喷锚护面</w:t>
            </w:r>
          </w:p>
        </w:tc>
        <w:tc>
          <w:tcPr>
            <w:tcW w:w="508" w:type="pct"/>
            <w:noWrap w:val="0"/>
            <w:vAlign w:val="center"/>
          </w:tcPr>
          <w:p w14:paraId="6F3CDA5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655" w:type="pct"/>
            <w:gridSpan w:val="3"/>
            <w:noWrap w:val="0"/>
            <w:vAlign w:val="center"/>
          </w:tcPr>
          <w:p w14:paraId="3A78AAA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378" w:type="pct"/>
            <w:gridSpan w:val="2"/>
            <w:noWrap w:val="0"/>
            <w:vAlign w:val="center"/>
          </w:tcPr>
          <w:p w14:paraId="2A9CA23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r>
      <w:tr w14:paraId="6C3B4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7" w:type="pct"/>
            <w:gridSpan w:val="2"/>
            <w:noWrap w:val="0"/>
            <w:vAlign w:val="center"/>
          </w:tcPr>
          <w:p w14:paraId="6FAFB1B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-a</w:t>
            </w:r>
          </w:p>
        </w:tc>
        <w:tc>
          <w:tcPr>
            <w:tcW w:w="880" w:type="pct"/>
            <w:gridSpan w:val="2"/>
            <w:noWrap w:val="0"/>
            <w:vAlign w:val="center"/>
          </w:tcPr>
          <w:p w14:paraId="067B769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挂网喷锚</w:t>
            </w:r>
          </w:p>
        </w:tc>
        <w:tc>
          <w:tcPr>
            <w:tcW w:w="508" w:type="pct"/>
            <w:noWrap w:val="0"/>
            <w:vAlign w:val="center"/>
          </w:tcPr>
          <w:p w14:paraId="6345D19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²</w:t>
            </w:r>
          </w:p>
        </w:tc>
        <w:tc>
          <w:tcPr>
            <w:tcW w:w="1655" w:type="pct"/>
            <w:gridSpan w:val="3"/>
            <w:noWrap w:val="0"/>
            <w:vAlign w:val="center"/>
          </w:tcPr>
          <w:p w14:paraId="1F2DB2C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依据图纸所示位置及 混凝土或砂浆强度等级， 按照不同厚度喷射混凝 土或砂浆防护面积，以平方米为单位计量</w:t>
            </w:r>
          </w:p>
        </w:tc>
        <w:tc>
          <w:tcPr>
            <w:tcW w:w="1378" w:type="pct"/>
            <w:gridSpan w:val="2"/>
            <w:noWrap w:val="0"/>
            <w:vAlign w:val="center"/>
          </w:tcPr>
          <w:p w14:paraId="3DCB553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1.坡面清理、修整；</w:t>
            </w:r>
          </w:p>
          <w:p w14:paraId="22D4ABC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2.钻孔，制作、安放、固定锚杆；</w:t>
            </w:r>
          </w:p>
          <w:p w14:paraId="1B6E70C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3.挂网、支承及固定；</w:t>
            </w:r>
          </w:p>
          <w:p w14:paraId="1C8513C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4.混凝土或砂浆拌制；</w:t>
            </w:r>
          </w:p>
          <w:p w14:paraId="1E24FE7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5.喷射；</w:t>
            </w:r>
          </w:p>
          <w:p w14:paraId="4EF60DA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6.沉降缝设置；</w:t>
            </w:r>
          </w:p>
          <w:p w14:paraId="002C26C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7.设备安装与拆除；</w:t>
            </w:r>
          </w:p>
          <w:p w14:paraId="6036F31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8.养护；</w:t>
            </w:r>
          </w:p>
          <w:p w14:paraId="1A796DE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9.现场清理</w:t>
            </w:r>
          </w:p>
        </w:tc>
      </w:tr>
      <w:tr w14:paraId="26A76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7" w:type="pct"/>
            <w:gridSpan w:val="2"/>
            <w:noWrap w:val="0"/>
            <w:vAlign w:val="center"/>
          </w:tcPr>
          <w:p w14:paraId="78735F0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-b</w:t>
            </w:r>
          </w:p>
        </w:tc>
        <w:tc>
          <w:tcPr>
            <w:tcW w:w="880" w:type="pct"/>
            <w:gridSpan w:val="2"/>
            <w:noWrap w:val="0"/>
            <w:vAlign w:val="center"/>
          </w:tcPr>
          <w:p w14:paraId="28FCB82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素喷（不挂网）</w:t>
            </w:r>
          </w:p>
        </w:tc>
        <w:tc>
          <w:tcPr>
            <w:tcW w:w="508" w:type="pct"/>
            <w:noWrap w:val="0"/>
            <w:vAlign w:val="center"/>
          </w:tcPr>
          <w:p w14:paraId="7C0CCEF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²</w:t>
            </w:r>
          </w:p>
        </w:tc>
        <w:tc>
          <w:tcPr>
            <w:tcW w:w="1655" w:type="pct"/>
            <w:gridSpan w:val="3"/>
            <w:noWrap w:val="0"/>
            <w:vAlign w:val="center"/>
          </w:tcPr>
          <w:p w14:paraId="15EC021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p w14:paraId="2CD6826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依据图纸所示位置及 混凝土或砂浆强度等级， 按照不同厚度喷射混凝 土或砂浆防护面积，以平方米为单位计量</w:t>
            </w:r>
          </w:p>
        </w:tc>
        <w:tc>
          <w:tcPr>
            <w:tcW w:w="1378" w:type="pct"/>
            <w:gridSpan w:val="2"/>
            <w:noWrap w:val="0"/>
            <w:vAlign w:val="center"/>
          </w:tcPr>
          <w:p w14:paraId="065B9E2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1.坡面清理、修整；</w:t>
            </w:r>
          </w:p>
          <w:p w14:paraId="15A8BFD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2.混凝土或水泥砂浆拌制；</w:t>
            </w:r>
          </w:p>
          <w:p w14:paraId="49D6F74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3.喷射；</w:t>
            </w:r>
          </w:p>
          <w:p w14:paraId="3738EF9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4.沉降缝设置；</w:t>
            </w:r>
          </w:p>
          <w:p w14:paraId="6539B07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5.设备安装与拆除；</w:t>
            </w:r>
          </w:p>
          <w:p w14:paraId="341E7E2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6.养护；</w:t>
            </w:r>
          </w:p>
          <w:p w14:paraId="67831F1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7.现场清理</w:t>
            </w:r>
          </w:p>
        </w:tc>
      </w:tr>
      <w:tr w14:paraId="3C722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7" w:type="pct"/>
            <w:gridSpan w:val="2"/>
            <w:noWrap w:val="0"/>
            <w:vAlign w:val="center"/>
          </w:tcPr>
          <w:p w14:paraId="5A29CA7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602-1</w:t>
            </w:r>
          </w:p>
        </w:tc>
        <w:tc>
          <w:tcPr>
            <w:tcW w:w="880" w:type="pct"/>
            <w:gridSpan w:val="2"/>
            <w:noWrap w:val="0"/>
            <w:vAlign w:val="center"/>
          </w:tcPr>
          <w:p w14:paraId="4832E15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护坡</w:t>
            </w:r>
          </w:p>
        </w:tc>
        <w:tc>
          <w:tcPr>
            <w:tcW w:w="508" w:type="pct"/>
            <w:noWrap w:val="0"/>
            <w:vAlign w:val="center"/>
          </w:tcPr>
          <w:p w14:paraId="711C467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655" w:type="pct"/>
            <w:gridSpan w:val="3"/>
            <w:noWrap w:val="0"/>
            <w:vAlign w:val="center"/>
          </w:tcPr>
          <w:p w14:paraId="2C076D2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378" w:type="pct"/>
            <w:gridSpan w:val="2"/>
            <w:noWrap w:val="0"/>
            <w:vAlign w:val="center"/>
          </w:tcPr>
          <w:p w14:paraId="0B7A048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r>
      <w:tr w14:paraId="2D19F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7" w:type="pct"/>
            <w:gridSpan w:val="2"/>
            <w:noWrap w:val="0"/>
            <w:vAlign w:val="center"/>
          </w:tcPr>
          <w:p w14:paraId="55C297A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-a</w:t>
            </w:r>
          </w:p>
        </w:tc>
        <w:tc>
          <w:tcPr>
            <w:tcW w:w="880" w:type="pct"/>
            <w:gridSpan w:val="2"/>
            <w:noWrap w:val="0"/>
            <w:vAlign w:val="center"/>
          </w:tcPr>
          <w:p w14:paraId="1EE604E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混凝土护坡</w:t>
            </w:r>
          </w:p>
        </w:tc>
        <w:tc>
          <w:tcPr>
            <w:tcW w:w="508" w:type="pct"/>
            <w:noWrap w:val="0"/>
            <w:vAlign w:val="center"/>
          </w:tcPr>
          <w:p w14:paraId="058C232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655" w:type="pct"/>
            <w:gridSpan w:val="3"/>
            <w:noWrap w:val="0"/>
            <w:vAlign w:val="center"/>
          </w:tcPr>
          <w:p w14:paraId="0552B44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378" w:type="pct"/>
            <w:gridSpan w:val="2"/>
            <w:noWrap w:val="0"/>
            <w:vAlign w:val="center"/>
          </w:tcPr>
          <w:p w14:paraId="4EEDB8B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r>
      <w:tr w14:paraId="74838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7" w:type="pct"/>
            <w:gridSpan w:val="2"/>
            <w:noWrap w:val="0"/>
            <w:vAlign w:val="center"/>
          </w:tcPr>
          <w:p w14:paraId="55AA2E4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-a-1</w:t>
            </w:r>
          </w:p>
        </w:tc>
        <w:tc>
          <w:tcPr>
            <w:tcW w:w="880" w:type="pct"/>
            <w:gridSpan w:val="2"/>
            <w:noWrap w:val="0"/>
            <w:vAlign w:val="center"/>
          </w:tcPr>
          <w:p w14:paraId="7E5BAE2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现浇混凝土护坡</w:t>
            </w:r>
          </w:p>
        </w:tc>
        <w:tc>
          <w:tcPr>
            <w:tcW w:w="508" w:type="pct"/>
            <w:noWrap w:val="0"/>
            <w:vAlign w:val="center"/>
          </w:tcPr>
          <w:p w14:paraId="3DC11D1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1655" w:type="pct"/>
            <w:gridSpan w:val="3"/>
            <w:noWrap w:val="0"/>
            <w:vAlign w:val="center"/>
          </w:tcPr>
          <w:p w14:paraId="7BBE9E1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依据图纸所示位置及断面尺寸，按照不同强度等级混凝土浇筑的实体体积以立方米为单位计量</w:t>
            </w:r>
          </w:p>
        </w:tc>
        <w:tc>
          <w:tcPr>
            <w:tcW w:w="1378" w:type="pct"/>
            <w:gridSpan w:val="2"/>
            <w:noWrap w:val="0"/>
            <w:vAlign w:val="center"/>
          </w:tcPr>
          <w:p w14:paraId="22D3C45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1.清理边坡，坡面夯实， 基坑开挖；</w:t>
            </w:r>
          </w:p>
          <w:p w14:paraId="20D6CC9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2.铺筑砂砾垫层；</w:t>
            </w:r>
          </w:p>
          <w:p w14:paraId="5BC327A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3.模板制作、安装、拆除；</w:t>
            </w:r>
          </w:p>
          <w:p w14:paraId="5A8F5C6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4.混凝土拌和、运输、浇筑、养护；</w:t>
            </w:r>
          </w:p>
          <w:p w14:paraId="307160E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5.勾缝、填缝、沉降缝、泄水管；</w:t>
            </w:r>
          </w:p>
          <w:p w14:paraId="0D021A9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6.回填；</w:t>
            </w:r>
          </w:p>
          <w:p w14:paraId="529FC66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7.清理现场</w:t>
            </w:r>
          </w:p>
        </w:tc>
      </w:tr>
      <w:tr w14:paraId="32FC3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7" w:type="pct"/>
            <w:gridSpan w:val="2"/>
            <w:noWrap w:val="0"/>
            <w:vAlign w:val="center"/>
          </w:tcPr>
          <w:p w14:paraId="3F87F37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-a-2</w:t>
            </w:r>
          </w:p>
        </w:tc>
        <w:tc>
          <w:tcPr>
            <w:tcW w:w="880" w:type="pct"/>
            <w:gridSpan w:val="2"/>
            <w:noWrap w:val="0"/>
            <w:vAlign w:val="center"/>
          </w:tcPr>
          <w:p w14:paraId="54D364B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混凝土预制件护坡</w:t>
            </w:r>
          </w:p>
        </w:tc>
        <w:tc>
          <w:tcPr>
            <w:tcW w:w="508" w:type="pct"/>
            <w:noWrap w:val="0"/>
            <w:vAlign w:val="center"/>
          </w:tcPr>
          <w:p w14:paraId="06D405B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1655" w:type="pct"/>
            <w:gridSpan w:val="3"/>
            <w:noWrap w:val="0"/>
            <w:vAlign w:val="center"/>
          </w:tcPr>
          <w:p w14:paraId="742BEE4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依据图纸所示位置和构造尺寸，按照不同强度等级混凝土预制件铺砌坡面的实体体积以立方米为单位计量</w:t>
            </w:r>
          </w:p>
        </w:tc>
        <w:tc>
          <w:tcPr>
            <w:tcW w:w="1378" w:type="pct"/>
            <w:gridSpan w:val="2"/>
            <w:noWrap w:val="0"/>
            <w:vAlign w:val="center"/>
          </w:tcPr>
          <w:p w14:paraId="3231DE6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1.清理边坡，坡面夯实， 基坑开挖；</w:t>
            </w:r>
          </w:p>
          <w:p w14:paraId="4F4F091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2.铺筑砂砾垫层；</w:t>
            </w:r>
          </w:p>
          <w:p w14:paraId="3FCE58A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3.预制场建设；</w:t>
            </w:r>
          </w:p>
          <w:p w14:paraId="74E0173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4.预制件预制、运输、装卸；</w:t>
            </w:r>
          </w:p>
          <w:p w14:paraId="476A42A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5.预制件安装；</w:t>
            </w:r>
          </w:p>
          <w:p w14:paraId="768ECB7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6.勾缝、填缝、沉降缝、泄水管；</w:t>
            </w:r>
          </w:p>
          <w:p w14:paraId="423042C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7.回填；</w:t>
            </w:r>
          </w:p>
          <w:p w14:paraId="213E4CD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8.清理现场</w:t>
            </w:r>
          </w:p>
        </w:tc>
      </w:tr>
      <w:tr w14:paraId="23350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7" w:type="pct"/>
            <w:gridSpan w:val="2"/>
            <w:noWrap w:val="0"/>
            <w:vAlign w:val="center"/>
          </w:tcPr>
          <w:p w14:paraId="4823124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-b</w:t>
            </w:r>
          </w:p>
        </w:tc>
        <w:tc>
          <w:tcPr>
            <w:tcW w:w="880" w:type="pct"/>
            <w:gridSpan w:val="2"/>
            <w:noWrap w:val="0"/>
            <w:vAlign w:val="center"/>
          </w:tcPr>
          <w:p w14:paraId="183FA79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浆砌片（卵）石护坡</w:t>
            </w:r>
          </w:p>
        </w:tc>
        <w:tc>
          <w:tcPr>
            <w:tcW w:w="508" w:type="pct"/>
            <w:noWrap w:val="0"/>
            <w:vAlign w:val="center"/>
          </w:tcPr>
          <w:p w14:paraId="74E2365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1655" w:type="pct"/>
            <w:gridSpan w:val="3"/>
            <w:noWrap w:val="0"/>
            <w:vAlign w:val="center"/>
          </w:tcPr>
          <w:p w14:paraId="099CD3A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依据图纸所示位置和铺砌厚度、水泥砂浆强度，按照铺砌体积以立方米为单位计量</w:t>
            </w:r>
          </w:p>
        </w:tc>
        <w:tc>
          <w:tcPr>
            <w:tcW w:w="1378" w:type="pct"/>
            <w:gridSpan w:val="2"/>
            <w:noWrap w:val="0"/>
            <w:vAlign w:val="center"/>
          </w:tcPr>
          <w:p w14:paraId="2C6AAA3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1.清理边坡，坡面夯实， 基础开挖；</w:t>
            </w:r>
          </w:p>
          <w:p w14:paraId="3D11CD6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2.铺筑砂砾垫层；</w:t>
            </w:r>
          </w:p>
          <w:p w14:paraId="068D210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3.浆砌片石；</w:t>
            </w:r>
          </w:p>
          <w:p w14:paraId="3CA7E66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4.勾缝、抹面、泄水管、养护；</w:t>
            </w:r>
          </w:p>
          <w:p w14:paraId="3BF8AC0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5.回填；</w:t>
            </w:r>
          </w:p>
          <w:p w14:paraId="2F7376F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6.清理现场</w:t>
            </w:r>
          </w:p>
        </w:tc>
      </w:tr>
      <w:tr w14:paraId="3598A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7" w:type="pct"/>
            <w:gridSpan w:val="2"/>
            <w:noWrap w:val="0"/>
            <w:vAlign w:val="center"/>
          </w:tcPr>
          <w:p w14:paraId="44B1B12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603-1</w:t>
            </w:r>
          </w:p>
        </w:tc>
        <w:tc>
          <w:tcPr>
            <w:tcW w:w="880" w:type="pct"/>
            <w:gridSpan w:val="2"/>
            <w:noWrap w:val="0"/>
            <w:vAlign w:val="center"/>
          </w:tcPr>
          <w:p w14:paraId="37A2312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挡土墙</w:t>
            </w:r>
          </w:p>
        </w:tc>
        <w:tc>
          <w:tcPr>
            <w:tcW w:w="508" w:type="pct"/>
            <w:noWrap w:val="0"/>
            <w:vAlign w:val="center"/>
          </w:tcPr>
          <w:p w14:paraId="7FEAB11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655" w:type="pct"/>
            <w:gridSpan w:val="3"/>
            <w:noWrap w:val="0"/>
            <w:vAlign w:val="center"/>
          </w:tcPr>
          <w:p w14:paraId="1661241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378" w:type="pct"/>
            <w:gridSpan w:val="2"/>
            <w:noWrap w:val="0"/>
            <w:vAlign w:val="center"/>
          </w:tcPr>
          <w:p w14:paraId="60C21B5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r>
      <w:tr w14:paraId="68FED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7" w:type="pct"/>
            <w:gridSpan w:val="2"/>
            <w:noWrap w:val="0"/>
            <w:vAlign w:val="center"/>
          </w:tcPr>
          <w:p w14:paraId="0582462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-a</w:t>
            </w:r>
          </w:p>
        </w:tc>
        <w:tc>
          <w:tcPr>
            <w:tcW w:w="880" w:type="pct"/>
            <w:gridSpan w:val="2"/>
            <w:noWrap w:val="0"/>
            <w:vAlign w:val="center"/>
          </w:tcPr>
          <w:p w14:paraId="689D73D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砌片（块、卵） 石</w:t>
            </w:r>
          </w:p>
        </w:tc>
        <w:tc>
          <w:tcPr>
            <w:tcW w:w="508" w:type="pct"/>
            <w:noWrap w:val="0"/>
            <w:vAlign w:val="center"/>
          </w:tcPr>
          <w:p w14:paraId="1057072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1655" w:type="pct"/>
            <w:gridSpan w:val="3"/>
            <w:noWrap w:val="0"/>
            <w:vAlign w:val="center"/>
          </w:tcPr>
          <w:p w14:paraId="5A91E01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1.依据图纸所示位置和断面尺寸，按图示不同强度等级水泥砂浆砌石体 积以立方米为单位计量；</w:t>
            </w:r>
          </w:p>
          <w:p w14:paraId="00FCBFF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2.不扣除沉降缝、泄水孔、预埋件所占体积</w:t>
            </w:r>
          </w:p>
        </w:tc>
        <w:tc>
          <w:tcPr>
            <w:tcW w:w="1378" w:type="pct"/>
            <w:gridSpan w:val="2"/>
            <w:noWrap w:val="0"/>
            <w:vAlign w:val="center"/>
          </w:tcPr>
          <w:p w14:paraId="50CA77D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1.基坑开挖、清理、平整、夯实；</w:t>
            </w:r>
          </w:p>
          <w:p w14:paraId="0B7AE18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2.临时排水、铺筑垫层；</w:t>
            </w:r>
          </w:p>
          <w:p w14:paraId="16685E3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3.浆砌片（块）石，设泄水孔及其滤水层；</w:t>
            </w:r>
          </w:p>
          <w:p w14:paraId="5A1FB7F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4.接缝处理；</w:t>
            </w:r>
          </w:p>
          <w:p w14:paraId="742D447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5.勾缝、抹面、墙背排水设施设置、墙背填料分层填筑；</w:t>
            </w:r>
          </w:p>
          <w:p w14:paraId="46F59C2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6.清理场地、废方弃运</w:t>
            </w:r>
          </w:p>
        </w:tc>
      </w:tr>
      <w:tr w14:paraId="18DA4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7" w:type="pct"/>
            <w:gridSpan w:val="2"/>
            <w:noWrap w:val="0"/>
            <w:vAlign w:val="center"/>
          </w:tcPr>
          <w:p w14:paraId="2E8602B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-b</w:t>
            </w:r>
          </w:p>
        </w:tc>
        <w:tc>
          <w:tcPr>
            <w:tcW w:w="880" w:type="pct"/>
            <w:gridSpan w:val="2"/>
            <w:noWrap w:val="0"/>
            <w:vAlign w:val="center"/>
          </w:tcPr>
          <w:p w14:paraId="128B5CCD">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混凝土挡土墙</w:t>
            </w:r>
          </w:p>
        </w:tc>
        <w:tc>
          <w:tcPr>
            <w:tcW w:w="508" w:type="pct"/>
            <w:noWrap w:val="0"/>
            <w:vAlign w:val="center"/>
          </w:tcPr>
          <w:p w14:paraId="5A91FA6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1655" w:type="pct"/>
            <w:gridSpan w:val="3"/>
            <w:noWrap w:val="0"/>
            <w:vAlign w:val="center"/>
          </w:tcPr>
          <w:p w14:paraId="07D1F0B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1.依据图纸所示位置和断面尺寸，按图示不同强度等级混凝土体积以立方米为单位计量；</w:t>
            </w:r>
          </w:p>
          <w:p w14:paraId="1526FBA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2.不扣除沉降缝、泄水孔、预埋件所占体积</w:t>
            </w:r>
          </w:p>
        </w:tc>
        <w:tc>
          <w:tcPr>
            <w:tcW w:w="1378" w:type="pct"/>
            <w:gridSpan w:val="2"/>
            <w:noWrap w:val="0"/>
            <w:vAlign w:val="center"/>
          </w:tcPr>
          <w:p w14:paraId="4DF2138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1.基坑开挖、清理、平整、夯实；</w:t>
            </w:r>
          </w:p>
          <w:p w14:paraId="0A2BDE2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2.临时排水、铺筑垫层；</w:t>
            </w:r>
          </w:p>
          <w:p w14:paraId="0A7CDC4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3.钢筋的运输、保护、存储、加工及安设、支承、固定；</w:t>
            </w:r>
          </w:p>
          <w:p w14:paraId="6919BCE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4.模板制作、安装、拆除；</w:t>
            </w:r>
          </w:p>
          <w:p w14:paraId="48FA190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5.混凝土拌和、运输、浇筑、养护；</w:t>
            </w:r>
          </w:p>
          <w:p w14:paraId="7D2BECD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6.泄水孔及其滤水层、沉降缝设置；</w:t>
            </w:r>
          </w:p>
          <w:p w14:paraId="5FF06E4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7.墙背填料分层填筑；</w:t>
            </w:r>
          </w:p>
          <w:p w14:paraId="263628E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8.清理场地，废方弃运</w:t>
            </w:r>
          </w:p>
        </w:tc>
      </w:tr>
      <w:tr w14:paraId="67C18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7" w:type="pct"/>
            <w:gridSpan w:val="2"/>
            <w:noWrap w:val="0"/>
            <w:vAlign w:val="center"/>
          </w:tcPr>
          <w:p w14:paraId="19485DA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-c</w:t>
            </w:r>
          </w:p>
        </w:tc>
        <w:tc>
          <w:tcPr>
            <w:tcW w:w="880" w:type="pct"/>
            <w:gridSpan w:val="2"/>
            <w:noWrap w:val="0"/>
            <w:vAlign w:val="center"/>
          </w:tcPr>
          <w:p w14:paraId="6FA5CE09">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加筋土挡土墙</w:t>
            </w:r>
          </w:p>
        </w:tc>
        <w:tc>
          <w:tcPr>
            <w:tcW w:w="508" w:type="pct"/>
            <w:noWrap w:val="0"/>
            <w:vAlign w:val="center"/>
          </w:tcPr>
          <w:p w14:paraId="66F10E0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655" w:type="pct"/>
            <w:gridSpan w:val="3"/>
            <w:noWrap w:val="0"/>
            <w:vAlign w:val="center"/>
          </w:tcPr>
          <w:p w14:paraId="480BAAF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378" w:type="pct"/>
            <w:gridSpan w:val="2"/>
            <w:noWrap w:val="0"/>
            <w:vAlign w:val="center"/>
          </w:tcPr>
          <w:p w14:paraId="29FA027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r>
      <w:tr w14:paraId="285D6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7" w:type="pct"/>
            <w:gridSpan w:val="2"/>
            <w:noWrap w:val="0"/>
            <w:vAlign w:val="center"/>
          </w:tcPr>
          <w:p w14:paraId="466E7A8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-c-1</w:t>
            </w:r>
          </w:p>
        </w:tc>
        <w:tc>
          <w:tcPr>
            <w:tcW w:w="880" w:type="pct"/>
            <w:gridSpan w:val="2"/>
            <w:noWrap w:val="0"/>
            <w:vAlign w:val="center"/>
          </w:tcPr>
          <w:p w14:paraId="40B35BB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基础及帽石</w:t>
            </w:r>
          </w:p>
        </w:tc>
        <w:tc>
          <w:tcPr>
            <w:tcW w:w="508" w:type="pct"/>
            <w:noWrap w:val="0"/>
            <w:vAlign w:val="center"/>
          </w:tcPr>
          <w:p w14:paraId="4409590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1655" w:type="pct"/>
            <w:gridSpan w:val="3"/>
            <w:noWrap w:val="0"/>
            <w:vAlign w:val="center"/>
          </w:tcPr>
          <w:p w14:paraId="4B946D7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根据图纸所示位置和断面尺寸，按图示不同强度等级水泥砂浆砌体或混凝土体积，以立方米为单位计量</w:t>
            </w:r>
          </w:p>
        </w:tc>
        <w:tc>
          <w:tcPr>
            <w:tcW w:w="1378" w:type="pct"/>
            <w:gridSpan w:val="2"/>
            <w:noWrap w:val="0"/>
            <w:vAlign w:val="center"/>
          </w:tcPr>
          <w:p w14:paraId="56D1580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1.基坑开挖、清理、平整、夯实，废方弃运；</w:t>
            </w:r>
          </w:p>
          <w:p w14:paraId="69EC022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2.混凝土或砂浆制作、运输；</w:t>
            </w:r>
          </w:p>
          <w:p w14:paraId="7924A72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3.模板制作、安装、拆除；</w:t>
            </w:r>
          </w:p>
          <w:p w14:paraId="6F85929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4.砌筑片石或振捣浇筑混凝土；</w:t>
            </w:r>
          </w:p>
          <w:p w14:paraId="2A562A1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5.养护；</w:t>
            </w:r>
          </w:p>
          <w:p w14:paraId="238835D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6.回填、夯实；</w:t>
            </w:r>
          </w:p>
          <w:p w14:paraId="3674075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7.清理现场，废方弃运</w:t>
            </w:r>
          </w:p>
        </w:tc>
      </w:tr>
      <w:tr w14:paraId="644A8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7" w:type="pct"/>
            <w:gridSpan w:val="2"/>
            <w:noWrap w:val="0"/>
            <w:vAlign w:val="center"/>
          </w:tcPr>
          <w:p w14:paraId="178C546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-c-2</w:t>
            </w:r>
          </w:p>
        </w:tc>
        <w:tc>
          <w:tcPr>
            <w:tcW w:w="880" w:type="pct"/>
            <w:gridSpan w:val="2"/>
            <w:noWrap w:val="0"/>
            <w:vAlign w:val="center"/>
          </w:tcPr>
          <w:p w14:paraId="7A5512F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预制安装混凝土墙面板</w:t>
            </w:r>
          </w:p>
        </w:tc>
        <w:tc>
          <w:tcPr>
            <w:tcW w:w="508" w:type="pct"/>
            <w:noWrap w:val="0"/>
            <w:vAlign w:val="center"/>
          </w:tcPr>
          <w:p w14:paraId="54297F0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1655" w:type="pct"/>
            <w:gridSpan w:val="3"/>
            <w:noWrap w:val="0"/>
            <w:vAlign w:val="center"/>
          </w:tcPr>
          <w:p w14:paraId="260DA6C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1.根据图纸所示位置及断面尺寸，按照不同强度等级混凝土体积，以立方米为单位计量；</w:t>
            </w:r>
          </w:p>
          <w:p w14:paraId="7F2A000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2.加筋挡土墙的路堤填料在 204-1 中计量；</w:t>
            </w:r>
          </w:p>
          <w:p w14:paraId="1797CF9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3.钢筋、加筋带等不单独计量</w:t>
            </w:r>
          </w:p>
        </w:tc>
        <w:tc>
          <w:tcPr>
            <w:tcW w:w="1378" w:type="pct"/>
            <w:gridSpan w:val="2"/>
            <w:noWrap w:val="0"/>
            <w:vAlign w:val="center"/>
          </w:tcPr>
          <w:p w14:paraId="77F8F09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1.沟槽开挖；</w:t>
            </w:r>
          </w:p>
          <w:p w14:paraId="1C06B9D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2.预制场建设；</w:t>
            </w:r>
          </w:p>
          <w:p w14:paraId="1C946D7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3.预制件预制、运输、装卸；</w:t>
            </w:r>
          </w:p>
          <w:p w14:paraId="6115CBA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4.预制件安装；</w:t>
            </w:r>
          </w:p>
          <w:p w14:paraId="7A1920A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5.钢筋的运输、保护、存储、加工及安设、支承、固定；</w:t>
            </w:r>
          </w:p>
          <w:p w14:paraId="1196584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6.铺设加筋带、填料摊平及分层压实；</w:t>
            </w:r>
          </w:p>
          <w:p w14:paraId="4884F49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7.墙背回填（不含路堤填料回填）及排水系统施工；</w:t>
            </w:r>
          </w:p>
          <w:p w14:paraId="7D05B21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8.清理现场、废方弃运</w:t>
            </w:r>
          </w:p>
        </w:tc>
      </w:tr>
      <w:tr w14:paraId="14E8B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7" w:type="pct"/>
            <w:gridSpan w:val="2"/>
            <w:noWrap w:val="0"/>
            <w:vAlign w:val="center"/>
          </w:tcPr>
          <w:p w14:paraId="54CD2DA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604-1</w:t>
            </w:r>
          </w:p>
        </w:tc>
        <w:tc>
          <w:tcPr>
            <w:tcW w:w="880" w:type="pct"/>
            <w:gridSpan w:val="2"/>
            <w:noWrap w:val="0"/>
            <w:vAlign w:val="center"/>
          </w:tcPr>
          <w:p w14:paraId="44F4442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河道防护</w:t>
            </w:r>
          </w:p>
        </w:tc>
        <w:tc>
          <w:tcPr>
            <w:tcW w:w="508" w:type="pct"/>
            <w:noWrap w:val="0"/>
            <w:vAlign w:val="center"/>
          </w:tcPr>
          <w:p w14:paraId="454F981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655" w:type="pct"/>
            <w:gridSpan w:val="3"/>
            <w:noWrap w:val="0"/>
            <w:vAlign w:val="center"/>
          </w:tcPr>
          <w:p w14:paraId="2CF3837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378" w:type="pct"/>
            <w:gridSpan w:val="2"/>
            <w:noWrap w:val="0"/>
            <w:vAlign w:val="center"/>
          </w:tcPr>
          <w:p w14:paraId="50A8205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r>
      <w:tr w14:paraId="7EF54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7" w:type="pct"/>
            <w:gridSpan w:val="2"/>
            <w:noWrap w:val="0"/>
            <w:vAlign w:val="center"/>
          </w:tcPr>
          <w:p w14:paraId="566D00A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-a</w:t>
            </w:r>
          </w:p>
        </w:tc>
        <w:tc>
          <w:tcPr>
            <w:tcW w:w="880" w:type="pct"/>
            <w:gridSpan w:val="2"/>
            <w:noWrap w:val="0"/>
            <w:vAlign w:val="center"/>
          </w:tcPr>
          <w:p w14:paraId="4CEF524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河床铺砌</w:t>
            </w:r>
          </w:p>
        </w:tc>
        <w:tc>
          <w:tcPr>
            <w:tcW w:w="508" w:type="pct"/>
            <w:noWrap w:val="0"/>
            <w:vAlign w:val="center"/>
          </w:tcPr>
          <w:p w14:paraId="5B7EB97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655" w:type="pct"/>
            <w:gridSpan w:val="3"/>
            <w:noWrap w:val="0"/>
            <w:vAlign w:val="center"/>
          </w:tcPr>
          <w:p w14:paraId="53422F9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378" w:type="pct"/>
            <w:gridSpan w:val="2"/>
            <w:noWrap w:val="0"/>
            <w:vAlign w:val="center"/>
          </w:tcPr>
          <w:p w14:paraId="106BD54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r>
      <w:tr w14:paraId="08CD5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7" w:type="pct"/>
            <w:gridSpan w:val="2"/>
            <w:noWrap w:val="0"/>
            <w:vAlign w:val="center"/>
          </w:tcPr>
          <w:p w14:paraId="6996E45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-a-1</w:t>
            </w:r>
          </w:p>
        </w:tc>
        <w:tc>
          <w:tcPr>
            <w:tcW w:w="880" w:type="pct"/>
            <w:gridSpan w:val="2"/>
            <w:noWrap w:val="0"/>
            <w:vAlign w:val="center"/>
          </w:tcPr>
          <w:p w14:paraId="4E132B4D">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浆砌片石铺砌</w:t>
            </w:r>
          </w:p>
        </w:tc>
        <w:tc>
          <w:tcPr>
            <w:tcW w:w="508" w:type="pct"/>
            <w:noWrap w:val="0"/>
            <w:vAlign w:val="center"/>
          </w:tcPr>
          <w:p w14:paraId="4502B36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1655" w:type="pct"/>
            <w:gridSpan w:val="3"/>
            <w:noWrap w:val="0"/>
            <w:vAlign w:val="center"/>
          </w:tcPr>
          <w:p w14:paraId="16D5C5B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依据图纸所示位置和断面尺寸，按图示不同强度等级水泥砂浆铺砌体积以立方米为单位计量</w:t>
            </w:r>
          </w:p>
        </w:tc>
        <w:tc>
          <w:tcPr>
            <w:tcW w:w="1378" w:type="pct"/>
            <w:gridSpan w:val="2"/>
            <w:noWrap w:val="0"/>
            <w:vAlign w:val="center"/>
          </w:tcPr>
          <w:p w14:paraId="4D9CEA3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1.临时排水；</w:t>
            </w:r>
          </w:p>
          <w:p w14:paraId="7E203BB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2.基坑开挖；</w:t>
            </w:r>
          </w:p>
          <w:p w14:paraId="32941B2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3.拌、运砂浆；</w:t>
            </w:r>
          </w:p>
          <w:p w14:paraId="2988B48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4.砌筑；</w:t>
            </w:r>
          </w:p>
          <w:p w14:paraId="10CAE6A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5.养护；</w:t>
            </w:r>
          </w:p>
          <w:p w14:paraId="4DD2EA0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6.清理现场</w:t>
            </w:r>
          </w:p>
        </w:tc>
      </w:tr>
      <w:tr w14:paraId="09021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7" w:type="pct"/>
            <w:gridSpan w:val="2"/>
            <w:noWrap w:val="0"/>
            <w:vAlign w:val="center"/>
          </w:tcPr>
          <w:p w14:paraId="12C4B63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-a-2</w:t>
            </w:r>
          </w:p>
        </w:tc>
        <w:tc>
          <w:tcPr>
            <w:tcW w:w="880" w:type="pct"/>
            <w:gridSpan w:val="2"/>
            <w:noWrap w:val="0"/>
            <w:vAlign w:val="center"/>
          </w:tcPr>
          <w:p w14:paraId="4C7B8DCF">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混凝土铺砌</w:t>
            </w:r>
          </w:p>
        </w:tc>
        <w:tc>
          <w:tcPr>
            <w:tcW w:w="508" w:type="pct"/>
            <w:noWrap w:val="0"/>
            <w:vAlign w:val="center"/>
          </w:tcPr>
          <w:p w14:paraId="014CDB2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1655" w:type="pct"/>
            <w:gridSpan w:val="3"/>
            <w:noWrap w:val="0"/>
            <w:vAlign w:val="center"/>
          </w:tcPr>
          <w:p w14:paraId="7990832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依据图纸所示位置及断面尺寸，按照不同强度等级混凝土铺筑体积以立方米为单位计量</w:t>
            </w:r>
          </w:p>
        </w:tc>
        <w:tc>
          <w:tcPr>
            <w:tcW w:w="1378" w:type="pct"/>
            <w:gridSpan w:val="2"/>
            <w:noWrap w:val="0"/>
            <w:vAlign w:val="center"/>
          </w:tcPr>
          <w:p w14:paraId="5B876F8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1.临时排水；</w:t>
            </w:r>
          </w:p>
          <w:p w14:paraId="77C0EF7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2.基坑开挖；</w:t>
            </w:r>
          </w:p>
          <w:p w14:paraId="4484419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3.模板制作、安装、拆除；</w:t>
            </w:r>
          </w:p>
          <w:p w14:paraId="66AAE8C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4.混凝土拌和、运输、浇筑、养护；</w:t>
            </w:r>
          </w:p>
          <w:p w14:paraId="20FDE8F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5.清理现场</w:t>
            </w:r>
          </w:p>
        </w:tc>
      </w:tr>
      <w:tr w14:paraId="1292C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7" w:type="pct"/>
            <w:gridSpan w:val="2"/>
            <w:noWrap w:val="0"/>
            <w:vAlign w:val="center"/>
          </w:tcPr>
          <w:p w14:paraId="7696BCA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-b</w:t>
            </w:r>
          </w:p>
        </w:tc>
        <w:tc>
          <w:tcPr>
            <w:tcW w:w="880" w:type="pct"/>
            <w:gridSpan w:val="2"/>
            <w:noWrap w:val="0"/>
            <w:vAlign w:val="center"/>
          </w:tcPr>
          <w:p w14:paraId="61FD556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导流设施 （护岸墙、顺坝、丁坝、调水坝、锥坡）</w:t>
            </w:r>
          </w:p>
        </w:tc>
        <w:tc>
          <w:tcPr>
            <w:tcW w:w="508" w:type="pct"/>
            <w:noWrap w:val="0"/>
            <w:vAlign w:val="center"/>
          </w:tcPr>
          <w:p w14:paraId="4D71265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655" w:type="pct"/>
            <w:gridSpan w:val="3"/>
            <w:noWrap w:val="0"/>
            <w:vAlign w:val="center"/>
          </w:tcPr>
          <w:p w14:paraId="5B03DD1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378" w:type="pct"/>
            <w:gridSpan w:val="2"/>
            <w:noWrap w:val="0"/>
            <w:vAlign w:val="center"/>
          </w:tcPr>
          <w:p w14:paraId="57A91E8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r>
      <w:tr w14:paraId="14C80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7" w:type="pct"/>
            <w:gridSpan w:val="2"/>
            <w:noWrap w:val="0"/>
            <w:vAlign w:val="center"/>
          </w:tcPr>
          <w:p w14:paraId="1E44AD4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-b-1</w:t>
            </w:r>
          </w:p>
        </w:tc>
        <w:tc>
          <w:tcPr>
            <w:tcW w:w="880" w:type="pct"/>
            <w:gridSpan w:val="2"/>
            <w:noWrap w:val="0"/>
            <w:vAlign w:val="center"/>
          </w:tcPr>
          <w:p w14:paraId="3507856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浆砌片石</w:t>
            </w:r>
          </w:p>
        </w:tc>
        <w:tc>
          <w:tcPr>
            <w:tcW w:w="508" w:type="pct"/>
            <w:noWrap w:val="0"/>
            <w:vAlign w:val="center"/>
          </w:tcPr>
          <w:p w14:paraId="79115EC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1655" w:type="pct"/>
            <w:gridSpan w:val="3"/>
            <w:noWrap w:val="0"/>
            <w:vAlign w:val="center"/>
          </w:tcPr>
          <w:p w14:paraId="6639F3B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图纸所示位置和断面尺寸，按图示不同强度等级水泥砂浆砌石体积以立方米为单位计量</w:t>
            </w:r>
          </w:p>
        </w:tc>
        <w:tc>
          <w:tcPr>
            <w:tcW w:w="1378" w:type="pct"/>
            <w:gridSpan w:val="2"/>
            <w:noWrap w:val="0"/>
            <w:vAlign w:val="center"/>
          </w:tcPr>
          <w:p w14:paraId="19E42C3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1.围堰、临时排水工程施工；</w:t>
            </w:r>
          </w:p>
          <w:p w14:paraId="6DAD7BA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2.基坑修整、清理夯实， 废方弃运；</w:t>
            </w:r>
          </w:p>
          <w:p w14:paraId="377C3A0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3.拌、运砂浆；</w:t>
            </w:r>
          </w:p>
          <w:p w14:paraId="1597F3E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4.砌筑、勾缝、抹面、养护；</w:t>
            </w:r>
          </w:p>
          <w:p w14:paraId="670DFC4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5.墙背回填、夯实</w:t>
            </w:r>
          </w:p>
        </w:tc>
      </w:tr>
      <w:tr w14:paraId="2A202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77" w:type="pct"/>
            <w:gridSpan w:val="2"/>
            <w:noWrap w:val="0"/>
            <w:vAlign w:val="center"/>
          </w:tcPr>
          <w:p w14:paraId="2461050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-b-2</w:t>
            </w:r>
          </w:p>
        </w:tc>
        <w:tc>
          <w:tcPr>
            <w:tcW w:w="880" w:type="pct"/>
            <w:gridSpan w:val="2"/>
            <w:noWrap w:val="0"/>
            <w:vAlign w:val="center"/>
          </w:tcPr>
          <w:p w14:paraId="5ADDE24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混凝土</w:t>
            </w:r>
          </w:p>
        </w:tc>
        <w:tc>
          <w:tcPr>
            <w:tcW w:w="508" w:type="pct"/>
            <w:noWrap w:val="0"/>
            <w:vAlign w:val="center"/>
          </w:tcPr>
          <w:p w14:paraId="2FADF2A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1655" w:type="pct"/>
            <w:gridSpan w:val="3"/>
            <w:noWrap w:val="0"/>
            <w:vAlign w:val="center"/>
          </w:tcPr>
          <w:p w14:paraId="3E5C2CE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依据图纸所示位置及断面尺寸，按照不同强度等级混凝土浇筑体积以立方米为单位计量</w:t>
            </w:r>
          </w:p>
        </w:tc>
        <w:tc>
          <w:tcPr>
            <w:tcW w:w="1378" w:type="pct"/>
            <w:gridSpan w:val="2"/>
            <w:noWrap w:val="0"/>
            <w:vAlign w:val="center"/>
          </w:tcPr>
          <w:p w14:paraId="2E892BC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1.围堰、临时排水工程施工；</w:t>
            </w:r>
          </w:p>
          <w:p w14:paraId="4DBD57F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2.基坑修整、清理夯实， 废方弃运；</w:t>
            </w:r>
          </w:p>
          <w:p w14:paraId="7E82AB6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3.模板制作、安装、拆除、修理及保养；</w:t>
            </w:r>
          </w:p>
          <w:p w14:paraId="18DEBA8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.混凝土制作、运输、浇筑、振捣、养护；</w:t>
            </w:r>
          </w:p>
          <w:p w14:paraId="3030A88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5.墙背回填、夯实</w:t>
            </w:r>
          </w:p>
        </w:tc>
      </w:tr>
      <w:tr w14:paraId="1406E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23" w:hRule="atLeast"/>
          <w:jc w:val="center"/>
        </w:trPr>
        <w:tc>
          <w:tcPr>
            <w:tcW w:w="574" w:type="pct"/>
            <w:noWrap w:val="0"/>
            <w:vAlign w:val="center"/>
          </w:tcPr>
          <w:p w14:paraId="010B096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605-1</w:t>
            </w:r>
          </w:p>
        </w:tc>
        <w:tc>
          <w:tcPr>
            <w:tcW w:w="879" w:type="pct"/>
            <w:gridSpan w:val="2"/>
            <w:noWrap w:val="0"/>
            <w:vAlign w:val="center"/>
          </w:tcPr>
          <w:p w14:paraId="5CD7C8B2">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防风固沙设施</w:t>
            </w:r>
          </w:p>
        </w:tc>
        <w:tc>
          <w:tcPr>
            <w:tcW w:w="524" w:type="pct"/>
            <w:gridSpan w:val="3"/>
            <w:noWrap w:val="0"/>
            <w:vAlign w:val="center"/>
          </w:tcPr>
          <w:p w14:paraId="123874B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632" w:type="pct"/>
            <w:noWrap w:val="0"/>
            <w:vAlign w:val="center"/>
          </w:tcPr>
          <w:p w14:paraId="7A731DD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384" w:type="pct"/>
            <w:gridSpan w:val="2"/>
            <w:noWrap w:val="0"/>
            <w:vAlign w:val="center"/>
          </w:tcPr>
          <w:p w14:paraId="6F44FE3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r>
      <w:tr w14:paraId="11A68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23" w:hRule="atLeast"/>
          <w:jc w:val="center"/>
        </w:trPr>
        <w:tc>
          <w:tcPr>
            <w:tcW w:w="574" w:type="pct"/>
            <w:noWrap w:val="0"/>
            <w:vAlign w:val="center"/>
          </w:tcPr>
          <w:p w14:paraId="39E233C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-a</w:t>
            </w:r>
          </w:p>
        </w:tc>
        <w:tc>
          <w:tcPr>
            <w:tcW w:w="879" w:type="pct"/>
            <w:gridSpan w:val="2"/>
            <w:noWrap w:val="0"/>
            <w:vAlign w:val="center"/>
          </w:tcPr>
          <w:p w14:paraId="532CC31C">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芦苇栅栏</w:t>
            </w:r>
          </w:p>
        </w:tc>
        <w:tc>
          <w:tcPr>
            <w:tcW w:w="524" w:type="pct"/>
            <w:gridSpan w:val="3"/>
            <w:noWrap w:val="0"/>
            <w:vAlign w:val="center"/>
          </w:tcPr>
          <w:p w14:paraId="7A6DAA6A">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p>
        </w:tc>
        <w:tc>
          <w:tcPr>
            <w:tcW w:w="1632" w:type="pct"/>
            <w:noWrap w:val="0"/>
            <w:vAlign w:val="center"/>
          </w:tcPr>
          <w:p w14:paraId="4636A485">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依据图纸所示位置及尺寸，设置芦苇栅栏，按单排长度以米为单位计量</w:t>
            </w:r>
          </w:p>
        </w:tc>
        <w:tc>
          <w:tcPr>
            <w:tcW w:w="1384" w:type="pct"/>
            <w:gridSpan w:val="2"/>
            <w:noWrap w:val="0"/>
            <w:vAlign w:val="center"/>
          </w:tcPr>
          <w:p w14:paraId="159809E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1.放样、挖沟槽、准备芦苇；</w:t>
            </w:r>
          </w:p>
          <w:p w14:paraId="5D4B19C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2.设置木桩；</w:t>
            </w:r>
          </w:p>
          <w:p w14:paraId="4053A70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3.埋设芦苇；</w:t>
            </w:r>
          </w:p>
          <w:p w14:paraId="3CF36F9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4.夯实、整平、固定；</w:t>
            </w:r>
          </w:p>
          <w:p w14:paraId="667150B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5.清理现场</w:t>
            </w:r>
          </w:p>
        </w:tc>
      </w:tr>
      <w:tr w14:paraId="1FBD6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23" w:hRule="atLeast"/>
          <w:jc w:val="center"/>
        </w:trPr>
        <w:tc>
          <w:tcPr>
            <w:tcW w:w="574" w:type="pct"/>
            <w:noWrap w:val="0"/>
            <w:vAlign w:val="center"/>
          </w:tcPr>
          <w:p w14:paraId="597E36E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-b</w:t>
            </w:r>
          </w:p>
        </w:tc>
        <w:tc>
          <w:tcPr>
            <w:tcW w:w="879" w:type="pct"/>
            <w:gridSpan w:val="2"/>
            <w:noWrap w:val="0"/>
            <w:vAlign w:val="center"/>
          </w:tcPr>
          <w:p w14:paraId="5C99AEE8">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芦苇草方格</w:t>
            </w:r>
          </w:p>
        </w:tc>
        <w:tc>
          <w:tcPr>
            <w:tcW w:w="524" w:type="pct"/>
            <w:gridSpan w:val="3"/>
            <w:noWrap w:val="0"/>
            <w:vAlign w:val="center"/>
          </w:tcPr>
          <w:p w14:paraId="541F7287">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²</w:t>
            </w:r>
          </w:p>
        </w:tc>
        <w:tc>
          <w:tcPr>
            <w:tcW w:w="1632" w:type="pct"/>
            <w:noWrap w:val="0"/>
            <w:vAlign w:val="center"/>
          </w:tcPr>
          <w:p w14:paraId="6EA6538A">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依据图纸所示位置及 尺寸，设置芦苇草方格， 以平方米为单位计量</w:t>
            </w:r>
          </w:p>
        </w:tc>
        <w:tc>
          <w:tcPr>
            <w:tcW w:w="1384" w:type="pct"/>
            <w:gridSpan w:val="2"/>
            <w:noWrap w:val="0"/>
            <w:vAlign w:val="center"/>
          </w:tcPr>
          <w:p w14:paraId="647F7F6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1.放样、挖沟槽、准备芦苇；</w:t>
            </w:r>
          </w:p>
          <w:p w14:paraId="4FDF4E9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2.埋设芦苇；</w:t>
            </w:r>
          </w:p>
          <w:p w14:paraId="251DA01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3.整形、封砂、夯实；</w:t>
            </w:r>
          </w:p>
          <w:p w14:paraId="07A8ED6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4.清理现场</w:t>
            </w:r>
          </w:p>
        </w:tc>
      </w:tr>
      <w:tr w14:paraId="59FF1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23" w:hRule="atLeast"/>
          <w:jc w:val="center"/>
        </w:trPr>
        <w:tc>
          <w:tcPr>
            <w:tcW w:w="574" w:type="pct"/>
            <w:noWrap w:val="0"/>
            <w:vAlign w:val="center"/>
          </w:tcPr>
          <w:p w14:paraId="26A67B1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879" w:type="pct"/>
            <w:gridSpan w:val="2"/>
            <w:noWrap w:val="0"/>
            <w:vAlign w:val="center"/>
          </w:tcPr>
          <w:p w14:paraId="11B5EBC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边坡覆盖</w:t>
            </w:r>
          </w:p>
        </w:tc>
        <w:tc>
          <w:tcPr>
            <w:tcW w:w="524" w:type="pct"/>
            <w:gridSpan w:val="3"/>
            <w:noWrap w:val="0"/>
            <w:vAlign w:val="center"/>
          </w:tcPr>
          <w:p w14:paraId="33DBD3D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²</w:t>
            </w:r>
          </w:p>
        </w:tc>
        <w:tc>
          <w:tcPr>
            <w:tcW w:w="1632" w:type="pct"/>
            <w:noWrap w:val="0"/>
            <w:vAlign w:val="center"/>
          </w:tcPr>
          <w:p w14:paraId="4408CA8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根据图纸所示位置及断面尺寸，按照边坡覆盖的面积，以平方米为单位计量</w:t>
            </w:r>
          </w:p>
        </w:tc>
        <w:tc>
          <w:tcPr>
            <w:tcW w:w="1384" w:type="pct"/>
            <w:gridSpan w:val="2"/>
            <w:noWrap w:val="0"/>
            <w:vAlign w:val="center"/>
          </w:tcPr>
          <w:p w14:paraId="2EE5566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1.修整路基表层；</w:t>
            </w:r>
          </w:p>
          <w:p w14:paraId="08A3481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2.覆盖砂砾、片石等并进行整形；</w:t>
            </w:r>
          </w:p>
          <w:p w14:paraId="66D963D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3.清理现场</w:t>
            </w:r>
          </w:p>
        </w:tc>
      </w:tr>
    </w:tbl>
    <w:p w14:paraId="04882EFF">
      <w:pPr>
        <w:widowControl/>
        <w:autoSpaceDE w:val="0"/>
        <w:autoSpaceDN w:val="0"/>
        <w:spacing w:line="360" w:lineRule="auto"/>
        <w:ind w:firstLine="640" w:firstLineChars="200"/>
        <w:jc w:val="center"/>
        <w:rPr>
          <w:rFonts w:ascii="Times New Roman" w:hAnsi="Times New Roman" w:cs="宋体"/>
          <w:kern w:val="0"/>
          <w:sz w:val="32"/>
          <w:szCs w:val="32"/>
          <w:highlight w:val="none"/>
          <w:lang w:val="zh-CN" w:bidi="zh-CN"/>
        </w:rPr>
      </w:pPr>
    </w:p>
    <w:p w14:paraId="5A523994">
      <w:pPr>
        <w:widowControl/>
        <w:autoSpaceDE w:val="0"/>
        <w:autoSpaceDN w:val="0"/>
        <w:spacing w:line="360" w:lineRule="auto"/>
        <w:ind w:firstLine="640" w:firstLineChars="200"/>
        <w:jc w:val="center"/>
        <w:rPr>
          <w:rFonts w:ascii="Times New Roman" w:hAnsi="Times New Roman" w:cs="宋体"/>
          <w:kern w:val="0"/>
          <w:sz w:val="32"/>
          <w:szCs w:val="32"/>
          <w:highlight w:val="none"/>
          <w:lang w:val="zh-CN" w:bidi="zh-CN"/>
        </w:rPr>
      </w:pPr>
      <w:r>
        <w:rPr>
          <w:rFonts w:ascii="Times New Roman" w:hAnsi="Times New Roman" w:cs="宋体"/>
          <w:kern w:val="0"/>
          <w:sz w:val="32"/>
          <w:szCs w:val="32"/>
          <w:highlight w:val="none"/>
          <w:lang w:val="zh-CN" w:bidi="zh-CN"/>
        </w:rPr>
        <w:br w:type="page"/>
      </w:r>
      <w:r>
        <w:rPr>
          <w:rFonts w:hint="eastAsia" w:ascii="Times New Roman" w:hAnsi="Times New Roman" w:cs="宋体"/>
          <w:kern w:val="0"/>
          <w:sz w:val="32"/>
          <w:szCs w:val="32"/>
          <w:highlight w:val="none"/>
          <w:lang w:val="zh-CN" w:bidi="zh-CN"/>
        </w:rPr>
        <w:t>第 700 章 安全设施</w:t>
      </w:r>
    </w:p>
    <w:tbl>
      <w:tblPr>
        <w:tblStyle w:val="30"/>
        <w:tblW w:w="504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21"/>
        <w:gridCol w:w="1779"/>
        <w:gridCol w:w="1079"/>
        <w:gridCol w:w="2526"/>
        <w:gridCol w:w="2603"/>
      </w:tblGrid>
      <w:tr w14:paraId="7D765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615" w:type="pct"/>
            <w:shd w:val="pct20" w:color="auto" w:fill="auto"/>
            <w:noWrap w:val="0"/>
            <w:vAlign w:val="center"/>
          </w:tcPr>
          <w:p w14:paraId="660DE1F5">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子目号</w:t>
            </w:r>
          </w:p>
        </w:tc>
        <w:tc>
          <w:tcPr>
            <w:tcW w:w="976" w:type="pct"/>
            <w:shd w:val="pct20" w:color="auto" w:fill="auto"/>
            <w:noWrap w:val="0"/>
            <w:vAlign w:val="center"/>
          </w:tcPr>
          <w:p w14:paraId="2C81A7B0">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子目名称</w:t>
            </w:r>
          </w:p>
        </w:tc>
        <w:tc>
          <w:tcPr>
            <w:tcW w:w="592" w:type="pct"/>
            <w:shd w:val="pct20" w:color="auto" w:fill="auto"/>
            <w:noWrap w:val="0"/>
            <w:vAlign w:val="center"/>
          </w:tcPr>
          <w:p w14:paraId="54BCA955">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单位</w:t>
            </w:r>
          </w:p>
        </w:tc>
        <w:tc>
          <w:tcPr>
            <w:tcW w:w="1386" w:type="pct"/>
            <w:shd w:val="pct20" w:color="auto" w:fill="auto"/>
            <w:noWrap w:val="0"/>
            <w:vAlign w:val="center"/>
          </w:tcPr>
          <w:p w14:paraId="2DC14D9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工程量计量</w:t>
            </w:r>
          </w:p>
        </w:tc>
        <w:tc>
          <w:tcPr>
            <w:tcW w:w="1428" w:type="pct"/>
            <w:shd w:val="pct20" w:color="auto" w:fill="auto"/>
            <w:noWrap w:val="0"/>
            <w:vAlign w:val="center"/>
          </w:tcPr>
          <w:p w14:paraId="0CBBB1C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工程内容</w:t>
            </w:r>
          </w:p>
        </w:tc>
      </w:tr>
      <w:tr w14:paraId="0BD6F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5" w:type="pct"/>
            <w:noWrap w:val="0"/>
            <w:vAlign w:val="center"/>
          </w:tcPr>
          <w:p w14:paraId="1176D80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701-1</w:t>
            </w:r>
          </w:p>
        </w:tc>
        <w:tc>
          <w:tcPr>
            <w:tcW w:w="976" w:type="pct"/>
            <w:noWrap w:val="0"/>
            <w:vAlign w:val="center"/>
          </w:tcPr>
          <w:p w14:paraId="65B6906F">
            <w:pPr>
              <w:widowControl/>
              <w:autoSpaceDE w:val="0"/>
              <w:autoSpaceDN w:val="0"/>
              <w:spacing w:line="360" w:lineRule="auto"/>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钢筋混凝土柱式护栏</w:t>
            </w:r>
          </w:p>
        </w:tc>
        <w:tc>
          <w:tcPr>
            <w:tcW w:w="592" w:type="pct"/>
            <w:noWrap w:val="0"/>
            <w:vAlign w:val="center"/>
          </w:tcPr>
          <w:p w14:paraId="2DD8DB2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根</w:t>
            </w:r>
          </w:p>
        </w:tc>
        <w:tc>
          <w:tcPr>
            <w:tcW w:w="1386" w:type="pct"/>
            <w:noWrap w:val="0"/>
            <w:vAlign w:val="center"/>
          </w:tcPr>
          <w:p w14:paraId="38F1DF0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按图示预制并依据图纸所示位置施工，以根为单位计量</w:t>
            </w:r>
          </w:p>
        </w:tc>
        <w:tc>
          <w:tcPr>
            <w:tcW w:w="1428" w:type="pct"/>
            <w:noWrap w:val="0"/>
            <w:vAlign w:val="center"/>
          </w:tcPr>
          <w:p w14:paraId="12D0A46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1.钢筋的运输、存储、加工、安设；</w:t>
            </w:r>
          </w:p>
          <w:p w14:paraId="26AD4AF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2.钢筋混凝土护栏的预制、运输；</w:t>
            </w:r>
          </w:p>
          <w:p w14:paraId="27879A5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3.基槽开挖；</w:t>
            </w:r>
          </w:p>
          <w:p w14:paraId="41A54B3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4.钢筋混凝土护栏安装；</w:t>
            </w:r>
          </w:p>
          <w:p w14:paraId="6DF8E69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5.基坑回填，夯实；</w:t>
            </w:r>
          </w:p>
          <w:p w14:paraId="77D8E72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6.清理场地，弃方处理</w:t>
            </w:r>
          </w:p>
          <w:p w14:paraId="5493A8B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7.油漆保护处理</w:t>
            </w:r>
          </w:p>
        </w:tc>
      </w:tr>
      <w:tr w14:paraId="3E82E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5" w:type="pct"/>
            <w:noWrap w:val="0"/>
            <w:vAlign w:val="center"/>
          </w:tcPr>
          <w:p w14:paraId="3DC4138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702-1</w:t>
            </w:r>
          </w:p>
        </w:tc>
        <w:tc>
          <w:tcPr>
            <w:tcW w:w="976" w:type="pct"/>
            <w:noWrap w:val="0"/>
            <w:vAlign w:val="center"/>
          </w:tcPr>
          <w:p w14:paraId="59D892A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墙式护栏</w:t>
            </w:r>
          </w:p>
        </w:tc>
        <w:tc>
          <w:tcPr>
            <w:tcW w:w="592" w:type="pct"/>
            <w:noWrap w:val="0"/>
            <w:vAlign w:val="center"/>
          </w:tcPr>
          <w:p w14:paraId="3E5EE21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³</w:t>
            </w:r>
          </w:p>
        </w:tc>
        <w:tc>
          <w:tcPr>
            <w:tcW w:w="1386" w:type="pct"/>
            <w:noWrap w:val="0"/>
            <w:vAlign w:val="center"/>
          </w:tcPr>
          <w:p w14:paraId="3699712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依据图纸所示位置和断面尺寸，按图示浇筑的不同强度的混凝土体积，以立方米为单位计量</w:t>
            </w:r>
          </w:p>
        </w:tc>
        <w:tc>
          <w:tcPr>
            <w:tcW w:w="1428" w:type="pct"/>
            <w:noWrap w:val="0"/>
            <w:vAlign w:val="center"/>
          </w:tcPr>
          <w:p w14:paraId="27C6B93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1.基槽开挖、基底清理；</w:t>
            </w:r>
          </w:p>
          <w:p w14:paraId="121F25F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2.铺筑碎（砾）石垫层；</w:t>
            </w:r>
          </w:p>
          <w:p w14:paraId="43292E6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 xml:space="preserve">3.模板架立，钢筋的运输、存储、加工、安设； </w:t>
            </w:r>
          </w:p>
          <w:p w14:paraId="1E6D2EF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4.混凝土浇筑、养护；</w:t>
            </w:r>
          </w:p>
          <w:p w14:paraId="155468E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5.灌缝处理，勾缝抹面；</w:t>
            </w:r>
          </w:p>
          <w:p w14:paraId="424CC98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6.基坑回填，夯实；</w:t>
            </w:r>
          </w:p>
          <w:p w14:paraId="5393E7E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7.清理场地，弃方处理；</w:t>
            </w:r>
          </w:p>
          <w:p w14:paraId="138DCF8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8.油漆保护处理</w:t>
            </w:r>
          </w:p>
        </w:tc>
      </w:tr>
      <w:tr w14:paraId="32BDC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5" w:type="pct"/>
            <w:noWrap w:val="0"/>
            <w:vAlign w:val="center"/>
          </w:tcPr>
          <w:p w14:paraId="34E923E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703-1</w:t>
            </w:r>
          </w:p>
        </w:tc>
        <w:tc>
          <w:tcPr>
            <w:tcW w:w="976" w:type="pct"/>
            <w:noWrap w:val="0"/>
            <w:vAlign w:val="center"/>
          </w:tcPr>
          <w:p w14:paraId="7D831BA1">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示警桩</w:t>
            </w:r>
          </w:p>
        </w:tc>
        <w:tc>
          <w:tcPr>
            <w:tcW w:w="592" w:type="pct"/>
            <w:noWrap w:val="0"/>
            <w:vAlign w:val="center"/>
          </w:tcPr>
          <w:p w14:paraId="38C07B4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个</w:t>
            </w:r>
          </w:p>
        </w:tc>
        <w:tc>
          <w:tcPr>
            <w:tcW w:w="1386" w:type="pct"/>
            <w:noWrap w:val="0"/>
            <w:vAlign w:val="center"/>
          </w:tcPr>
          <w:p w14:paraId="4C02FD9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依据图纸所示位置和断面尺寸，分不同</w:t>
            </w:r>
            <w:r>
              <w:rPr>
                <w:rFonts w:hint="eastAsia" w:cs="宋体"/>
                <w:kern w:val="0"/>
                <w:sz w:val="22"/>
                <w:szCs w:val="21"/>
                <w:highlight w:val="none"/>
                <w:lang w:val="en-US" w:bidi="zh-CN"/>
              </w:rPr>
              <w:t>类型和材质</w:t>
            </w:r>
            <w:r>
              <w:rPr>
                <w:rFonts w:hint="eastAsia" w:ascii="Times New Roman" w:hAnsi="Times New Roman" w:cs="宋体"/>
                <w:kern w:val="0"/>
                <w:sz w:val="22"/>
                <w:szCs w:val="21"/>
                <w:highlight w:val="none"/>
                <w:lang w:val="zh-CN" w:bidi="zh-CN"/>
              </w:rPr>
              <w:t>，按图示</w:t>
            </w:r>
            <w:r>
              <w:rPr>
                <w:rFonts w:hint="eastAsia" w:cs="宋体"/>
                <w:kern w:val="0"/>
                <w:sz w:val="22"/>
                <w:szCs w:val="21"/>
                <w:highlight w:val="none"/>
                <w:lang w:val="en-US" w:bidi="zh-CN"/>
              </w:rPr>
              <w:t>示警桩</w:t>
            </w:r>
            <w:r>
              <w:rPr>
                <w:rFonts w:hint="eastAsia" w:ascii="Times New Roman" w:hAnsi="Times New Roman" w:cs="宋体"/>
                <w:kern w:val="0"/>
                <w:sz w:val="22"/>
                <w:szCs w:val="21"/>
                <w:highlight w:val="none"/>
                <w:lang w:val="zh-CN" w:bidi="zh-CN"/>
              </w:rPr>
              <w:t>数量以个为单位计量</w:t>
            </w:r>
          </w:p>
        </w:tc>
        <w:tc>
          <w:tcPr>
            <w:tcW w:w="1428" w:type="pct"/>
            <w:noWrap w:val="0"/>
            <w:vAlign w:val="center"/>
          </w:tcPr>
          <w:p w14:paraId="38B698BD">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w:t>
            </w:r>
            <w:r>
              <w:rPr>
                <w:rFonts w:hint="eastAsia" w:cs="宋体"/>
                <w:kern w:val="0"/>
                <w:sz w:val="22"/>
                <w:szCs w:val="21"/>
                <w:highlight w:val="none"/>
                <w:lang w:val="en-US" w:bidi="zh-CN"/>
              </w:rPr>
              <w:t>示警桩制作</w:t>
            </w:r>
            <w:r>
              <w:rPr>
                <w:rFonts w:hint="eastAsia" w:ascii="Times New Roman" w:hAnsi="Times New Roman" w:cs="宋体"/>
                <w:kern w:val="0"/>
                <w:sz w:val="22"/>
                <w:szCs w:val="21"/>
                <w:highlight w:val="none"/>
                <w:lang w:val="zh-CN" w:bidi="zh-CN"/>
              </w:rPr>
              <w:br w:type="textWrapping"/>
            </w:r>
            <w:r>
              <w:rPr>
                <w:rFonts w:hint="eastAsia" w:ascii="Times New Roman" w:hAnsi="Times New Roman" w:cs="宋体"/>
                <w:kern w:val="0"/>
                <w:sz w:val="22"/>
                <w:szCs w:val="21"/>
                <w:highlight w:val="none"/>
                <w:lang w:val="zh-CN" w:bidi="zh-CN"/>
              </w:rPr>
              <w:t>2.</w:t>
            </w:r>
            <w:r>
              <w:rPr>
                <w:rFonts w:hint="eastAsia" w:cs="宋体"/>
                <w:kern w:val="0"/>
                <w:sz w:val="22"/>
                <w:szCs w:val="21"/>
                <w:highlight w:val="none"/>
                <w:lang w:val="en-US" w:bidi="zh-CN"/>
              </w:rPr>
              <w:t>立柱钢管柱打入</w:t>
            </w:r>
            <w:r>
              <w:rPr>
                <w:rFonts w:hint="eastAsia" w:ascii="Times New Roman" w:hAnsi="Times New Roman" w:cs="宋体"/>
                <w:kern w:val="0"/>
                <w:sz w:val="22"/>
                <w:szCs w:val="21"/>
                <w:highlight w:val="none"/>
                <w:lang w:val="zh-CN" w:bidi="zh-CN"/>
              </w:rPr>
              <w:br w:type="textWrapping"/>
            </w:r>
            <w:r>
              <w:rPr>
                <w:rFonts w:hint="eastAsia" w:ascii="Times New Roman" w:hAnsi="Times New Roman" w:cs="宋体"/>
                <w:kern w:val="0"/>
                <w:sz w:val="22"/>
                <w:szCs w:val="21"/>
                <w:highlight w:val="none"/>
                <w:lang w:val="zh-CN" w:bidi="zh-CN"/>
              </w:rPr>
              <w:t>3.反光膜设置</w:t>
            </w:r>
          </w:p>
        </w:tc>
      </w:tr>
      <w:tr w14:paraId="3CF06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615" w:type="pct"/>
            <w:noWrap w:val="0"/>
            <w:vAlign w:val="center"/>
          </w:tcPr>
          <w:p w14:paraId="046CD6BE">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704-1</w:t>
            </w:r>
          </w:p>
        </w:tc>
        <w:tc>
          <w:tcPr>
            <w:tcW w:w="976" w:type="pct"/>
            <w:noWrap w:val="0"/>
            <w:vAlign w:val="center"/>
          </w:tcPr>
          <w:p w14:paraId="5E3AAE86">
            <w:pPr>
              <w:widowControl/>
              <w:autoSpaceDE w:val="0"/>
              <w:autoSpaceDN w:val="0"/>
              <w:spacing w:line="360" w:lineRule="auto"/>
              <w:jc w:val="center"/>
              <w:rPr>
                <w:rFonts w:ascii="Times New Roman" w:hAnsi="Times New Roman" w:cs="宋体"/>
                <w:kern w:val="0"/>
                <w:sz w:val="22"/>
                <w:szCs w:val="21"/>
                <w:highlight w:val="none"/>
                <w:lang w:val="zh-CN" w:bidi="zh-CN"/>
              </w:rPr>
            </w:pPr>
            <w:r>
              <w:rPr>
                <w:rFonts w:ascii="Times New Roman" w:hAnsi="Times New Roman" w:cs="宋体"/>
                <w:kern w:val="0"/>
                <w:sz w:val="22"/>
                <w:szCs w:val="21"/>
                <w:highlight w:val="none"/>
                <w:lang w:val="zh-CN" w:bidi="zh-CN"/>
              </w:rPr>
              <w:t>钢板标志牌</w:t>
            </w:r>
          </w:p>
        </w:tc>
        <w:tc>
          <w:tcPr>
            <w:tcW w:w="592" w:type="pct"/>
            <w:noWrap w:val="0"/>
            <w:vAlign w:val="center"/>
          </w:tcPr>
          <w:p w14:paraId="12BD3ED8">
            <w:pPr>
              <w:widowControl/>
              <w:autoSpaceDE w:val="0"/>
              <w:autoSpaceDN w:val="0"/>
              <w:spacing w:line="360" w:lineRule="auto"/>
              <w:jc w:val="center"/>
              <w:rPr>
                <w:rFonts w:ascii="Times New Roman" w:hAnsi="Times New Roman" w:cs="宋体"/>
                <w:kern w:val="0"/>
                <w:sz w:val="22"/>
                <w:szCs w:val="21"/>
                <w:highlight w:val="none"/>
                <w:lang w:val="zh-CN" w:bidi="zh-CN"/>
              </w:rPr>
            </w:pPr>
          </w:p>
        </w:tc>
        <w:tc>
          <w:tcPr>
            <w:tcW w:w="1386" w:type="pct"/>
            <w:noWrap w:val="0"/>
            <w:vAlign w:val="center"/>
          </w:tcPr>
          <w:p w14:paraId="20415BA4">
            <w:pPr>
              <w:widowControl/>
              <w:autoSpaceDE w:val="0"/>
              <w:autoSpaceDN w:val="0"/>
              <w:spacing w:line="360" w:lineRule="auto"/>
              <w:jc w:val="left"/>
              <w:rPr>
                <w:rFonts w:ascii="Times New Roman" w:hAnsi="Times New Roman" w:cs="宋体"/>
                <w:kern w:val="0"/>
                <w:sz w:val="22"/>
                <w:szCs w:val="21"/>
                <w:highlight w:val="none"/>
                <w:lang w:val="zh-CN" w:bidi="zh-CN"/>
              </w:rPr>
            </w:pPr>
          </w:p>
        </w:tc>
        <w:tc>
          <w:tcPr>
            <w:tcW w:w="1428" w:type="pct"/>
            <w:noWrap w:val="0"/>
            <w:vAlign w:val="center"/>
          </w:tcPr>
          <w:p w14:paraId="23EB2B17">
            <w:pPr>
              <w:widowControl/>
              <w:autoSpaceDE w:val="0"/>
              <w:autoSpaceDN w:val="0"/>
              <w:spacing w:line="360" w:lineRule="auto"/>
              <w:jc w:val="left"/>
              <w:rPr>
                <w:rFonts w:ascii="Times New Roman" w:hAnsi="Times New Roman" w:cs="宋体"/>
                <w:kern w:val="0"/>
                <w:sz w:val="22"/>
                <w:szCs w:val="21"/>
                <w:highlight w:val="none"/>
                <w:lang w:val="zh-CN" w:bidi="zh-CN"/>
              </w:rPr>
            </w:pPr>
          </w:p>
        </w:tc>
      </w:tr>
      <w:tr w14:paraId="2AA37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5" w:type="pct"/>
            <w:noWrap w:val="0"/>
            <w:vAlign w:val="center"/>
          </w:tcPr>
          <w:p w14:paraId="45CED69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-a</w:t>
            </w:r>
          </w:p>
        </w:tc>
        <w:tc>
          <w:tcPr>
            <w:tcW w:w="976" w:type="pct"/>
            <w:noWrap w:val="0"/>
            <w:vAlign w:val="center"/>
          </w:tcPr>
          <w:p w14:paraId="5F25767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单柱式</w:t>
            </w:r>
          </w:p>
        </w:tc>
        <w:tc>
          <w:tcPr>
            <w:tcW w:w="592" w:type="pct"/>
            <w:noWrap w:val="0"/>
            <w:vAlign w:val="center"/>
          </w:tcPr>
          <w:p w14:paraId="76F852F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个</w:t>
            </w:r>
          </w:p>
        </w:tc>
        <w:tc>
          <w:tcPr>
            <w:tcW w:w="1386" w:type="pct"/>
            <w:noWrap w:val="0"/>
            <w:vAlign w:val="center"/>
          </w:tcPr>
          <w:p w14:paraId="6EE26E9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依据图纸所示位置和断面尺寸，分不同规格的标志板面，按安装就位的标志数量以个为单位计量</w:t>
            </w:r>
          </w:p>
        </w:tc>
        <w:tc>
          <w:tcPr>
            <w:tcW w:w="1428" w:type="pct"/>
            <w:noWrap w:val="0"/>
            <w:vAlign w:val="center"/>
          </w:tcPr>
          <w:p w14:paraId="0CFDD57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1.基槽开挖；</w:t>
            </w:r>
          </w:p>
          <w:p w14:paraId="6D167B5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2.基础施工（钢筋与预埋件安装、混凝土浇筑等）；</w:t>
            </w:r>
          </w:p>
          <w:p w14:paraId="494DCA8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 xml:space="preserve"> 3.立柱、标志板及各种匹配件制作与安装；</w:t>
            </w:r>
          </w:p>
          <w:p w14:paraId="6F32E8F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4.清理，弃方处理</w:t>
            </w:r>
          </w:p>
        </w:tc>
      </w:tr>
      <w:tr w14:paraId="3D35E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5" w:type="pct"/>
            <w:noWrap w:val="0"/>
            <w:vAlign w:val="center"/>
          </w:tcPr>
          <w:p w14:paraId="30705C5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-b</w:t>
            </w:r>
          </w:p>
        </w:tc>
        <w:tc>
          <w:tcPr>
            <w:tcW w:w="976" w:type="pct"/>
            <w:noWrap w:val="0"/>
            <w:vAlign w:val="center"/>
          </w:tcPr>
          <w:p w14:paraId="5BB2355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双柱式</w:t>
            </w:r>
          </w:p>
        </w:tc>
        <w:tc>
          <w:tcPr>
            <w:tcW w:w="592" w:type="pct"/>
            <w:noWrap w:val="0"/>
            <w:vAlign w:val="center"/>
          </w:tcPr>
          <w:p w14:paraId="29CAFA4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个</w:t>
            </w:r>
          </w:p>
        </w:tc>
        <w:tc>
          <w:tcPr>
            <w:tcW w:w="1386" w:type="pct"/>
            <w:noWrap w:val="0"/>
            <w:vAlign w:val="center"/>
          </w:tcPr>
          <w:p w14:paraId="7DD82CC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依据图纸所示位置和断面尺寸，分不同规格的标志板面，按安装就位的标志数量以个为单位计量</w:t>
            </w:r>
          </w:p>
        </w:tc>
        <w:tc>
          <w:tcPr>
            <w:tcW w:w="1428" w:type="pct"/>
            <w:noWrap w:val="0"/>
            <w:vAlign w:val="center"/>
          </w:tcPr>
          <w:p w14:paraId="1AAB34C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1.基槽开挖；</w:t>
            </w:r>
          </w:p>
          <w:p w14:paraId="16C33CC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2.基础施工（钢筋与预埋件安装、混凝土浇筑等）；</w:t>
            </w:r>
          </w:p>
          <w:p w14:paraId="1984733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3.立柱、标志板及各种匹配件制作与安装；</w:t>
            </w:r>
          </w:p>
          <w:p w14:paraId="636A7AF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4.清理，弃方处理</w:t>
            </w:r>
          </w:p>
        </w:tc>
      </w:tr>
      <w:tr w14:paraId="26919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5" w:type="pct"/>
            <w:noWrap w:val="0"/>
            <w:vAlign w:val="center"/>
          </w:tcPr>
          <w:p w14:paraId="4AE51B6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-c</w:t>
            </w:r>
          </w:p>
        </w:tc>
        <w:tc>
          <w:tcPr>
            <w:tcW w:w="976" w:type="pct"/>
            <w:noWrap w:val="0"/>
            <w:vAlign w:val="center"/>
          </w:tcPr>
          <w:p w14:paraId="12E537E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门架式</w:t>
            </w:r>
          </w:p>
        </w:tc>
        <w:tc>
          <w:tcPr>
            <w:tcW w:w="592" w:type="pct"/>
            <w:noWrap w:val="0"/>
            <w:vAlign w:val="center"/>
          </w:tcPr>
          <w:p w14:paraId="0A699E1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个</w:t>
            </w:r>
          </w:p>
        </w:tc>
        <w:tc>
          <w:tcPr>
            <w:tcW w:w="1386" w:type="pct"/>
            <w:noWrap w:val="0"/>
            <w:vAlign w:val="center"/>
          </w:tcPr>
          <w:p w14:paraId="412388E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依据图纸所示位置和断面尺寸，分不同规格的标志板面，按安装就位的标志数量以个为单位计量</w:t>
            </w:r>
          </w:p>
        </w:tc>
        <w:tc>
          <w:tcPr>
            <w:tcW w:w="1428" w:type="pct"/>
            <w:noWrap w:val="0"/>
            <w:vAlign w:val="center"/>
          </w:tcPr>
          <w:p w14:paraId="18F365F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1.基槽开挖；</w:t>
            </w:r>
          </w:p>
          <w:p w14:paraId="664DCC1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2.基础施工（钢筋与预埋件安装、混凝土浇筑等）；</w:t>
            </w:r>
          </w:p>
          <w:p w14:paraId="1F31E13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3.门架构件、标志板及各种匹配件制作与安装；</w:t>
            </w:r>
          </w:p>
          <w:p w14:paraId="4CCEF1B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4.清理，弃方处理</w:t>
            </w:r>
          </w:p>
        </w:tc>
      </w:tr>
      <w:tr w14:paraId="31601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5" w:type="pct"/>
            <w:noWrap w:val="0"/>
            <w:vAlign w:val="center"/>
          </w:tcPr>
          <w:p w14:paraId="063EFB8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705-1</w:t>
            </w:r>
          </w:p>
        </w:tc>
        <w:tc>
          <w:tcPr>
            <w:tcW w:w="976" w:type="pct"/>
            <w:noWrap w:val="0"/>
            <w:vAlign w:val="center"/>
          </w:tcPr>
          <w:p w14:paraId="79D111F0">
            <w:pPr>
              <w:widowControl/>
              <w:autoSpaceDE w:val="0"/>
              <w:autoSpaceDN w:val="0"/>
              <w:spacing w:line="360" w:lineRule="auto"/>
              <w:ind w:firstLine="220" w:firstLineChars="1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铝合金标志牌</w:t>
            </w:r>
          </w:p>
        </w:tc>
        <w:tc>
          <w:tcPr>
            <w:tcW w:w="592" w:type="pct"/>
            <w:noWrap w:val="0"/>
            <w:vAlign w:val="center"/>
          </w:tcPr>
          <w:p w14:paraId="65553E6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386" w:type="pct"/>
            <w:noWrap w:val="0"/>
            <w:vAlign w:val="center"/>
          </w:tcPr>
          <w:p w14:paraId="4784C91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428" w:type="pct"/>
            <w:noWrap w:val="0"/>
            <w:vAlign w:val="center"/>
          </w:tcPr>
          <w:p w14:paraId="288FAB0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r>
      <w:tr w14:paraId="0C67A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5" w:type="pct"/>
            <w:noWrap w:val="0"/>
            <w:vAlign w:val="center"/>
          </w:tcPr>
          <w:p w14:paraId="312EE9B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-a</w:t>
            </w:r>
          </w:p>
        </w:tc>
        <w:tc>
          <w:tcPr>
            <w:tcW w:w="976" w:type="pct"/>
            <w:vMerge w:val="restart"/>
            <w:noWrap w:val="0"/>
            <w:vAlign w:val="center"/>
          </w:tcPr>
          <w:p w14:paraId="225A37ED">
            <w:pPr>
              <w:widowControl/>
              <w:autoSpaceDE w:val="0"/>
              <w:autoSpaceDN w:val="0"/>
              <w:spacing w:line="360" w:lineRule="auto"/>
              <w:ind w:firstLine="440" w:firstLineChars="200"/>
              <w:jc w:val="left"/>
              <w:rPr>
                <w:rFonts w:hint="eastAsia"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单柱式</w:t>
            </w:r>
          </w:p>
          <w:p w14:paraId="43682FC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592" w:type="pct"/>
            <w:vMerge w:val="restart"/>
            <w:noWrap w:val="0"/>
            <w:vAlign w:val="center"/>
          </w:tcPr>
          <w:p w14:paraId="04F1217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个</w:t>
            </w:r>
          </w:p>
        </w:tc>
        <w:tc>
          <w:tcPr>
            <w:tcW w:w="1386" w:type="pct"/>
            <w:vMerge w:val="restart"/>
            <w:noWrap w:val="0"/>
            <w:vAlign w:val="center"/>
          </w:tcPr>
          <w:p w14:paraId="4B42A66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依据图纸所示位置和断面尺寸，分不同规格的标志板面，按安装就位的标志数量以个为单位计量</w:t>
            </w:r>
          </w:p>
        </w:tc>
        <w:tc>
          <w:tcPr>
            <w:tcW w:w="1428" w:type="pct"/>
            <w:vMerge w:val="restart"/>
            <w:noWrap w:val="0"/>
            <w:vAlign w:val="center"/>
          </w:tcPr>
          <w:p w14:paraId="617DD94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1.基槽开挖；</w:t>
            </w:r>
          </w:p>
          <w:p w14:paraId="07CA67D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2.基础施工（钢筋与预埋件安装、混凝土浇筑等）；</w:t>
            </w:r>
          </w:p>
          <w:p w14:paraId="75A7BCC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 xml:space="preserve"> 3.立柱、标志板及各种匹配件制作与安装；</w:t>
            </w:r>
          </w:p>
          <w:p w14:paraId="49C2E39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4.清理，弃方处理</w:t>
            </w:r>
          </w:p>
        </w:tc>
      </w:tr>
      <w:tr w14:paraId="6A62C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5" w:type="pct"/>
            <w:noWrap w:val="0"/>
            <w:vAlign w:val="center"/>
          </w:tcPr>
          <w:p w14:paraId="1775C7E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-b</w:t>
            </w:r>
          </w:p>
        </w:tc>
        <w:tc>
          <w:tcPr>
            <w:tcW w:w="976" w:type="pct"/>
            <w:vMerge w:val="continue"/>
            <w:noWrap w:val="0"/>
            <w:vAlign w:val="center"/>
          </w:tcPr>
          <w:p w14:paraId="288D853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592" w:type="pct"/>
            <w:vMerge w:val="continue"/>
            <w:noWrap w:val="0"/>
            <w:vAlign w:val="center"/>
          </w:tcPr>
          <w:p w14:paraId="35CE9D7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386" w:type="pct"/>
            <w:vMerge w:val="continue"/>
            <w:noWrap w:val="0"/>
            <w:vAlign w:val="center"/>
          </w:tcPr>
          <w:p w14:paraId="2C040F9C">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c>
          <w:tcPr>
            <w:tcW w:w="1428" w:type="pct"/>
            <w:vMerge w:val="continue"/>
            <w:noWrap w:val="0"/>
            <w:vAlign w:val="center"/>
          </w:tcPr>
          <w:p w14:paraId="50F02DE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tc>
      </w:tr>
      <w:tr w14:paraId="4F882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5" w:type="pct"/>
            <w:noWrap w:val="0"/>
            <w:vAlign w:val="center"/>
          </w:tcPr>
          <w:p w14:paraId="1B1D3D8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w:t>
            </w:r>
            <w:r>
              <w:rPr>
                <w:rFonts w:hint="eastAsia" w:cs="宋体"/>
                <w:kern w:val="0"/>
                <w:sz w:val="22"/>
                <w:szCs w:val="21"/>
                <w:highlight w:val="none"/>
                <w:lang w:val="en-US" w:bidi="zh-CN"/>
              </w:rPr>
              <w:t>b</w:t>
            </w:r>
          </w:p>
        </w:tc>
        <w:tc>
          <w:tcPr>
            <w:tcW w:w="976" w:type="pct"/>
            <w:noWrap w:val="0"/>
            <w:vAlign w:val="center"/>
          </w:tcPr>
          <w:p w14:paraId="4B2CA60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cs="宋体"/>
                <w:kern w:val="0"/>
                <w:sz w:val="22"/>
                <w:szCs w:val="21"/>
                <w:highlight w:val="none"/>
                <w:lang w:val="en-US" w:bidi="zh-CN"/>
              </w:rPr>
              <w:t>双柱</w:t>
            </w:r>
            <w:r>
              <w:rPr>
                <w:rFonts w:hint="eastAsia" w:ascii="Times New Roman" w:hAnsi="Times New Roman" w:cs="宋体"/>
                <w:kern w:val="0"/>
                <w:sz w:val="22"/>
                <w:szCs w:val="21"/>
                <w:highlight w:val="none"/>
                <w:lang w:val="zh-CN" w:bidi="zh-CN"/>
              </w:rPr>
              <w:t>式</w:t>
            </w:r>
          </w:p>
        </w:tc>
        <w:tc>
          <w:tcPr>
            <w:tcW w:w="592" w:type="pct"/>
            <w:noWrap w:val="0"/>
            <w:vAlign w:val="center"/>
          </w:tcPr>
          <w:p w14:paraId="4536982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个</w:t>
            </w:r>
          </w:p>
        </w:tc>
        <w:tc>
          <w:tcPr>
            <w:tcW w:w="1386" w:type="pct"/>
            <w:noWrap w:val="0"/>
            <w:vAlign w:val="center"/>
          </w:tcPr>
          <w:p w14:paraId="0FB38700">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依据图纸所示位置和断面尺寸，分不同规格的标志板面，按安装就位的标志数量以个为单位计量</w:t>
            </w:r>
          </w:p>
        </w:tc>
        <w:tc>
          <w:tcPr>
            <w:tcW w:w="1428" w:type="pct"/>
            <w:noWrap w:val="0"/>
            <w:vAlign w:val="center"/>
          </w:tcPr>
          <w:p w14:paraId="4916D782">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1.基槽开挖；</w:t>
            </w:r>
          </w:p>
          <w:p w14:paraId="3A662E3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2.基础施工（钢筋与预埋件安装、混凝土浇筑等）；</w:t>
            </w:r>
          </w:p>
          <w:p w14:paraId="1AD334CE">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 xml:space="preserve"> 3.立柱、标志板及各种匹配件制作与安装；</w:t>
            </w:r>
          </w:p>
          <w:p w14:paraId="514DD32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4.清理，弃方处理</w:t>
            </w:r>
          </w:p>
        </w:tc>
      </w:tr>
      <w:tr w14:paraId="3801A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5" w:type="pct"/>
            <w:noWrap w:val="0"/>
            <w:vAlign w:val="center"/>
          </w:tcPr>
          <w:p w14:paraId="3D43C96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706-1</w:t>
            </w:r>
          </w:p>
        </w:tc>
        <w:tc>
          <w:tcPr>
            <w:tcW w:w="976" w:type="pct"/>
            <w:noWrap w:val="0"/>
            <w:vAlign w:val="center"/>
          </w:tcPr>
          <w:p w14:paraId="50E50B1A">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路面标线</w:t>
            </w:r>
          </w:p>
        </w:tc>
        <w:tc>
          <w:tcPr>
            <w:tcW w:w="592" w:type="pct"/>
            <w:noWrap w:val="0"/>
            <w:vAlign w:val="center"/>
          </w:tcPr>
          <w:p w14:paraId="0419892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m</w:t>
            </w:r>
            <w:r>
              <w:rPr>
                <w:rFonts w:ascii="Times New Roman" w:hAnsi="Times New Roman" w:cs="宋体"/>
                <w:kern w:val="0"/>
                <w:sz w:val="22"/>
                <w:szCs w:val="21"/>
                <w:highlight w:val="none"/>
                <w:lang w:val="zh-CN" w:bidi="zh-CN"/>
              </w:rPr>
              <w:t>²</w:t>
            </w:r>
          </w:p>
        </w:tc>
        <w:tc>
          <w:tcPr>
            <w:tcW w:w="1386" w:type="pct"/>
            <w:noWrap w:val="0"/>
            <w:vAlign w:val="center"/>
          </w:tcPr>
          <w:p w14:paraId="542AC43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依据图纸所示位置和断面尺寸，分不同类型，按图示标线面积以平方米为单位计量</w:t>
            </w:r>
          </w:p>
        </w:tc>
        <w:tc>
          <w:tcPr>
            <w:tcW w:w="1428" w:type="pct"/>
            <w:noWrap w:val="0"/>
            <w:vAlign w:val="center"/>
          </w:tcPr>
          <w:p w14:paraId="45F2493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1.路面清扫；</w:t>
            </w:r>
          </w:p>
          <w:p w14:paraId="1AC6B4C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2.刮涂底油，涂料加热溶解，喷（刮）标线，撒布玻璃珠（反光标线），初期养护</w:t>
            </w:r>
          </w:p>
        </w:tc>
      </w:tr>
      <w:tr w14:paraId="03673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5" w:type="pct"/>
            <w:noWrap w:val="0"/>
            <w:vAlign w:val="center"/>
          </w:tcPr>
          <w:p w14:paraId="2EBCACF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707-1</w:t>
            </w:r>
          </w:p>
        </w:tc>
        <w:tc>
          <w:tcPr>
            <w:tcW w:w="976" w:type="pct"/>
            <w:noWrap w:val="0"/>
            <w:vAlign w:val="center"/>
          </w:tcPr>
          <w:p w14:paraId="4D9256C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里程碑</w:t>
            </w:r>
          </w:p>
        </w:tc>
        <w:tc>
          <w:tcPr>
            <w:tcW w:w="592" w:type="pct"/>
            <w:noWrap w:val="0"/>
            <w:vAlign w:val="center"/>
          </w:tcPr>
          <w:p w14:paraId="49BD9C3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个</w:t>
            </w:r>
          </w:p>
        </w:tc>
        <w:tc>
          <w:tcPr>
            <w:tcW w:w="1386" w:type="pct"/>
            <w:noWrap w:val="0"/>
            <w:vAlign w:val="center"/>
          </w:tcPr>
          <w:p w14:paraId="31D2A593">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依据图纸所示位置和断面尺寸，按图示里程碑数量以个为单位计量</w:t>
            </w:r>
          </w:p>
        </w:tc>
        <w:tc>
          <w:tcPr>
            <w:tcW w:w="1428" w:type="pct"/>
            <w:noWrap w:val="0"/>
            <w:vAlign w:val="center"/>
          </w:tcPr>
          <w:p w14:paraId="529FD488">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1.基础施工或设置连接件；</w:t>
            </w:r>
          </w:p>
          <w:p w14:paraId="270068DB">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2.里程碑制作与安装</w:t>
            </w:r>
          </w:p>
        </w:tc>
      </w:tr>
      <w:tr w14:paraId="7457F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5" w:type="pct"/>
            <w:noWrap w:val="0"/>
            <w:vAlign w:val="center"/>
          </w:tcPr>
          <w:p w14:paraId="3F1FB8F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708-1</w:t>
            </w:r>
          </w:p>
        </w:tc>
        <w:tc>
          <w:tcPr>
            <w:tcW w:w="976" w:type="pct"/>
            <w:noWrap w:val="0"/>
            <w:vAlign w:val="center"/>
          </w:tcPr>
          <w:p w14:paraId="68F4AB01">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公路界碑</w:t>
            </w:r>
          </w:p>
        </w:tc>
        <w:tc>
          <w:tcPr>
            <w:tcW w:w="592" w:type="pct"/>
            <w:noWrap w:val="0"/>
            <w:vAlign w:val="center"/>
          </w:tcPr>
          <w:p w14:paraId="0323369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个</w:t>
            </w:r>
          </w:p>
        </w:tc>
        <w:tc>
          <w:tcPr>
            <w:tcW w:w="1386" w:type="pct"/>
            <w:noWrap w:val="0"/>
            <w:vAlign w:val="center"/>
          </w:tcPr>
          <w:p w14:paraId="720A789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依据图纸所示位置和断面尺寸，按图示公路界碑数量以个为单位计量</w:t>
            </w:r>
          </w:p>
        </w:tc>
        <w:tc>
          <w:tcPr>
            <w:tcW w:w="1428" w:type="pct"/>
            <w:noWrap w:val="0"/>
            <w:vAlign w:val="center"/>
          </w:tcPr>
          <w:p w14:paraId="5B3E1B4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1.界碑制作；</w:t>
            </w:r>
          </w:p>
          <w:p w14:paraId="48FECC54">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2.基槽开挖、基槽混凝土浇筑、界碑埋设；</w:t>
            </w:r>
          </w:p>
          <w:p w14:paraId="0B753AE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3.基坑回填、夯实；</w:t>
            </w:r>
          </w:p>
          <w:p w14:paraId="787B4E9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4.清理，弃方处理</w:t>
            </w:r>
          </w:p>
        </w:tc>
      </w:tr>
      <w:tr w14:paraId="3A9C0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5" w:type="pct"/>
            <w:noWrap w:val="0"/>
            <w:vAlign w:val="center"/>
          </w:tcPr>
          <w:p w14:paraId="29AF2C89">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709-1</w:t>
            </w:r>
          </w:p>
        </w:tc>
        <w:tc>
          <w:tcPr>
            <w:tcW w:w="976" w:type="pct"/>
            <w:noWrap w:val="0"/>
            <w:vAlign w:val="center"/>
          </w:tcPr>
          <w:p w14:paraId="420AF3B7">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百米桩</w:t>
            </w:r>
          </w:p>
        </w:tc>
        <w:tc>
          <w:tcPr>
            <w:tcW w:w="592" w:type="pct"/>
            <w:noWrap w:val="0"/>
            <w:vAlign w:val="center"/>
          </w:tcPr>
          <w:p w14:paraId="076F158D">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个</w:t>
            </w:r>
          </w:p>
        </w:tc>
        <w:tc>
          <w:tcPr>
            <w:tcW w:w="1386" w:type="pct"/>
            <w:noWrap w:val="0"/>
            <w:vAlign w:val="center"/>
          </w:tcPr>
          <w:p w14:paraId="5A523385">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依据图纸所示位置和断面尺寸，分不同类型，按图示百米桩数量以个为单位计量</w:t>
            </w:r>
          </w:p>
        </w:tc>
        <w:tc>
          <w:tcPr>
            <w:tcW w:w="1428" w:type="pct"/>
            <w:noWrap w:val="0"/>
            <w:vAlign w:val="center"/>
          </w:tcPr>
          <w:p w14:paraId="5F774A0F">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p>
          <w:p w14:paraId="34457096">
            <w:pPr>
              <w:widowControl/>
              <w:autoSpaceDE w:val="0"/>
              <w:autoSpaceDN w:val="0"/>
              <w:spacing w:line="360" w:lineRule="auto"/>
              <w:ind w:firstLine="440" w:firstLineChars="200"/>
              <w:jc w:val="left"/>
              <w:rPr>
                <w:rFonts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百米桩制作、运输、安装</w:t>
            </w:r>
          </w:p>
        </w:tc>
      </w:tr>
      <w:tr w14:paraId="3794B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5" w:type="pct"/>
            <w:noWrap w:val="0"/>
            <w:vAlign w:val="center"/>
          </w:tcPr>
          <w:p w14:paraId="79F42D13">
            <w:pPr>
              <w:widowControl/>
              <w:autoSpaceDE w:val="0"/>
              <w:autoSpaceDN w:val="0"/>
              <w:spacing w:line="360" w:lineRule="auto"/>
              <w:ind w:firstLine="440" w:firstLineChars="200"/>
              <w:jc w:val="left"/>
              <w:rPr>
                <w:rFonts w:hint="default" w:ascii="Times New Roman" w:hAnsi="Times New Roman" w:cs="宋体"/>
                <w:kern w:val="0"/>
                <w:sz w:val="22"/>
                <w:szCs w:val="21"/>
                <w:highlight w:val="none"/>
                <w:lang w:val="en-US" w:bidi="zh-CN"/>
              </w:rPr>
            </w:pPr>
            <w:r>
              <w:rPr>
                <w:rFonts w:hint="eastAsia" w:cs="宋体"/>
                <w:kern w:val="0"/>
                <w:sz w:val="22"/>
                <w:szCs w:val="21"/>
                <w:highlight w:val="none"/>
                <w:lang w:val="en-US" w:bidi="zh-CN"/>
              </w:rPr>
              <w:t>710-1</w:t>
            </w:r>
          </w:p>
        </w:tc>
        <w:tc>
          <w:tcPr>
            <w:tcW w:w="976" w:type="pct"/>
            <w:noWrap w:val="0"/>
            <w:vAlign w:val="center"/>
          </w:tcPr>
          <w:p w14:paraId="3D5900CD">
            <w:pPr>
              <w:widowControl/>
              <w:autoSpaceDE w:val="0"/>
              <w:autoSpaceDN w:val="0"/>
              <w:spacing w:line="360" w:lineRule="auto"/>
              <w:ind w:firstLine="440" w:firstLineChars="200"/>
              <w:jc w:val="left"/>
              <w:rPr>
                <w:rFonts w:hint="default" w:ascii="Times New Roman" w:hAnsi="Times New Roman" w:cs="宋体"/>
                <w:kern w:val="0"/>
                <w:sz w:val="22"/>
                <w:szCs w:val="21"/>
                <w:highlight w:val="none"/>
                <w:lang w:val="en-US" w:bidi="zh-CN"/>
              </w:rPr>
            </w:pPr>
            <w:r>
              <w:rPr>
                <w:rFonts w:hint="eastAsia" w:cs="宋体"/>
                <w:kern w:val="0"/>
                <w:sz w:val="22"/>
                <w:szCs w:val="21"/>
                <w:highlight w:val="none"/>
                <w:lang w:val="en-US" w:bidi="zh-CN"/>
              </w:rPr>
              <w:t>减速带</w:t>
            </w:r>
          </w:p>
        </w:tc>
        <w:tc>
          <w:tcPr>
            <w:tcW w:w="592" w:type="pct"/>
            <w:noWrap w:val="0"/>
            <w:vAlign w:val="center"/>
          </w:tcPr>
          <w:p w14:paraId="79CD2AF5">
            <w:pPr>
              <w:widowControl/>
              <w:autoSpaceDE w:val="0"/>
              <w:autoSpaceDN w:val="0"/>
              <w:spacing w:line="360" w:lineRule="auto"/>
              <w:ind w:firstLine="440" w:firstLineChars="200"/>
              <w:jc w:val="left"/>
              <w:rPr>
                <w:rFonts w:hint="eastAsia" w:ascii="Times New Roman" w:hAnsi="Times New Roman" w:cs="宋体"/>
                <w:kern w:val="0"/>
                <w:sz w:val="22"/>
                <w:szCs w:val="21"/>
                <w:highlight w:val="none"/>
                <w:lang w:val="zh-CN" w:bidi="zh-CN"/>
              </w:rPr>
            </w:pPr>
          </w:p>
        </w:tc>
        <w:tc>
          <w:tcPr>
            <w:tcW w:w="1386" w:type="pct"/>
            <w:noWrap w:val="0"/>
            <w:vAlign w:val="center"/>
          </w:tcPr>
          <w:p w14:paraId="656D8BDC">
            <w:pPr>
              <w:widowControl/>
              <w:autoSpaceDE w:val="0"/>
              <w:autoSpaceDN w:val="0"/>
              <w:spacing w:line="360" w:lineRule="auto"/>
              <w:ind w:firstLine="440" w:firstLineChars="200"/>
              <w:jc w:val="left"/>
              <w:rPr>
                <w:rFonts w:hint="eastAsia" w:ascii="Times New Roman" w:hAnsi="Times New Roman" w:cs="宋体"/>
                <w:kern w:val="0"/>
                <w:sz w:val="22"/>
                <w:szCs w:val="21"/>
                <w:highlight w:val="none"/>
                <w:lang w:val="zh-CN" w:bidi="zh-CN"/>
              </w:rPr>
            </w:pPr>
          </w:p>
        </w:tc>
        <w:tc>
          <w:tcPr>
            <w:tcW w:w="1428" w:type="pct"/>
            <w:noWrap w:val="0"/>
            <w:vAlign w:val="center"/>
          </w:tcPr>
          <w:p w14:paraId="3443784E">
            <w:pPr>
              <w:widowControl/>
              <w:autoSpaceDE w:val="0"/>
              <w:autoSpaceDN w:val="0"/>
              <w:spacing w:line="360" w:lineRule="auto"/>
              <w:ind w:firstLine="440" w:firstLineChars="200"/>
              <w:jc w:val="left"/>
              <w:rPr>
                <w:rFonts w:hint="eastAsia" w:ascii="Times New Roman" w:hAnsi="Times New Roman" w:cs="宋体"/>
                <w:kern w:val="0"/>
                <w:sz w:val="22"/>
                <w:szCs w:val="21"/>
                <w:highlight w:val="none"/>
                <w:lang w:val="zh-CN" w:bidi="zh-CN"/>
              </w:rPr>
            </w:pPr>
          </w:p>
        </w:tc>
      </w:tr>
      <w:tr w14:paraId="66063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5" w:type="pct"/>
            <w:noWrap w:val="0"/>
            <w:vAlign w:val="center"/>
          </w:tcPr>
          <w:p w14:paraId="2CA753FE">
            <w:pPr>
              <w:widowControl/>
              <w:autoSpaceDE w:val="0"/>
              <w:autoSpaceDN w:val="0"/>
              <w:spacing w:line="360" w:lineRule="auto"/>
              <w:ind w:firstLine="440" w:firstLineChars="200"/>
              <w:jc w:val="left"/>
              <w:rPr>
                <w:rFonts w:hint="eastAsia" w:cs="宋体"/>
                <w:kern w:val="0"/>
                <w:sz w:val="22"/>
                <w:szCs w:val="21"/>
                <w:highlight w:val="none"/>
                <w:lang w:val="en-US" w:bidi="zh-CN"/>
              </w:rPr>
            </w:pPr>
            <w:r>
              <w:rPr>
                <w:rFonts w:hint="eastAsia" w:ascii="Times New Roman" w:hAnsi="Times New Roman" w:cs="宋体"/>
                <w:kern w:val="0"/>
                <w:sz w:val="22"/>
                <w:szCs w:val="21"/>
                <w:highlight w:val="none"/>
                <w:lang w:val="zh-CN" w:bidi="zh-CN"/>
              </w:rPr>
              <w:t>-a</w:t>
            </w:r>
          </w:p>
        </w:tc>
        <w:tc>
          <w:tcPr>
            <w:tcW w:w="976" w:type="pct"/>
            <w:noWrap w:val="0"/>
            <w:vAlign w:val="center"/>
          </w:tcPr>
          <w:p w14:paraId="64CE1702">
            <w:pPr>
              <w:widowControl/>
              <w:autoSpaceDE w:val="0"/>
              <w:autoSpaceDN w:val="0"/>
              <w:spacing w:line="360" w:lineRule="auto"/>
              <w:ind w:firstLine="440" w:firstLineChars="200"/>
              <w:jc w:val="left"/>
              <w:rPr>
                <w:rFonts w:hint="default" w:cs="宋体"/>
                <w:kern w:val="0"/>
                <w:sz w:val="22"/>
                <w:szCs w:val="21"/>
                <w:highlight w:val="none"/>
                <w:lang w:val="en-US" w:bidi="zh-CN"/>
              </w:rPr>
            </w:pPr>
            <w:r>
              <w:rPr>
                <w:rFonts w:hint="eastAsia" w:cs="宋体"/>
                <w:kern w:val="0"/>
                <w:sz w:val="22"/>
                <w:szCs w:val="21"/>
                <w:highlight w:val="none"/>
                <w:lang w:val="en-US" w:bidi="zh-CN"/>
              </w:rPr>
              <w:t>橡胶减速带</w:t>
            </w:r>
          </w:p>
        </w:tc>
        <w:tc>
          <w:tcPr>
            <w:tcW w:w="592" w:type="pct"/>
            <w:noWrap w:val="0"/>
            <w:vAlign w:val="center"/>
          </w:tcPr>
          <w:p w14:paraId="5CBFF1D3">
            <w:pPr>
              <w:widowControl/>
              <w:autoSpaceDE w:val="0"/>
              <w:autoSpaceDN w:val="0"/>
              <w:spacing w:line="360" w:lineRule="auto"/>
              <w:ind w:firstLine="440" w:firstLineChars="200"/>
              <w:jc w:val="left"/>
              <w:rPr>
                <w:rFonts w:hint="default" w:ascii="Times New Roman" w:hAnsi="Times New Roman" w:cs="宋体"/>
                <w:kern w:val="0"/>
                <w:sz w:val="22"/>
                <w:szCs w:val="21"/>
                <w:highlight w:val="none"/>
                <w:lang w:val="en-US" w:bidi="zh-CN"/>
              </w:rPr>
            </w:pPr>
            <w:r>
              <w:rPr>
                <w:rFonts w:hint="eastAsia" w:cs="宋体"/>
                <w:kern w:val="0"/>
                <w:sz w:val="22"/>
                <w:szCs w:val="21"/>
                <w:highlight w:val="none"/>
                <w:lang w:val="en-US" w:bidi="zh-CN"/>
              </w:rPr>
              <w:t>m</w:t>
            </w:r>
          </w:p>
        </w:tc>
        <w:tc>
          <w:tcPr>
            <w:tcW w:w="1386" w:type="pct"/>
            <w:noWrap w:val="0"/>
            <w:vAlign w:val="center"/>
          </w:tcPr>
          <w:p w14:paraId="279343DA">
            <w:pPr>
              <w:widowControl/>
              <w:autoSpaceDE w:val="0"/>
              <w:autoSpaceDN w:val="0"/>
              <w:spacing w:line="360" w:lineRule="auto"/>
              <w:ind w:firstLine="440" w:firstLineChars="200"/>
              <w:jc w:val="left"/>
              <w:rPr>
                <w:rFonts w:hint="eastAsia" w:ascii="Times New Roman" w:hAnsi="Times New Roman" w:cs="宋体"/>
                <w:kern w:val="0"/>
                <w:sz w:val="22"/>
                <w:szCs w:val="21"/>
                <w:highlight w:val="none"/>
                <w:lang w:val="zh-CN" w:bidi="zh-CN"/>
              </w:rPr>
            </w:pPr>
            <w:r>
              <w:rPr>
                <w:rFonts w:hint="eastAsia" w:ascii="Times New Roman" w:hAnsi="Times New Roman" w:cs="宋体"/>
                <w:kern w:val="0"/>
                <w:sz w:val="22"/>
                <w:szCs w:val="21"/>
                <w:highlight w:val="none"/>
                <w:lang w:val="zh-CN" w:bidi="zh-CN"/>
              </w:rPr>
              <w:t>依据图纸所示位置和断面尺寸，分不同类型，按图示</w:t>
            </w:r>
            <w:r>
              <w:rPr>
                <w:rFonts w:hint="eastAsia" w:cs="宋体"/>
                <w:kern w:val="0"/>
                <w:sz w:val="22"/>
                <w:szCs w:val="21"/>
                <w:highlight w:val="none"/>
                <w:lang w:val="en-US" w:bidi="zh-CN"/>
              </w:rPr>
              <w:t>橡胶减速带</w:t>
            </w:r>
            <w:r>
              <w:rPr>
                <w:rFonts w:hint="eastAsia" w:ascii="Times New Roman" w:hAnsi="Times New Roman" w:cs="宋体"/>
                <w:kern w:val="0"/>
                <w:sz w:val="22"/>
                <w:szCs w:val="21"/>
                <w:highlight w:val="none"/>
                <w:lang w:val="zh-CN" w:bidi="zh-CN"/>
              </w:rPr>
              <w:t>数量以</w:t>
            </w:r>
            <w:r>
              <w:rPr>
                <w:rFonts w:hint="eastAsia" w:cs="宋体"/>
                <w:kern w:val="0"/>
                <w:sz w:val="22"/>
                <w:szCs w:val="21"/>
                <w:highlight w:val="none"/>
                <w:lang w:val="en-US" w:bidi="zh-CN"/>
              </w:rPr>
              <w:t>m</w:t>
            </w:r>
            <w:r>
              <w:rPr>
                <w:rFonts w:hint="eastAsia" w:ascii="Times New Roman" w:hAnsi="Times New Roman" w:cs="宋体"/>
                <w:kern w:val="0"/>
                <w:sz w:val="22"/>
                <w:szCs w:val="21"/>
                <w:highlight w:val="none"/>
                <w:lang w:val="zh-CN" w:bidi="zh-CN"/>
              </w:rPr>
              <w:t>为单位计量</w:t>
            </w:r>
          </w:p>
        </w:tc>
        <w:tc>
          <w:tcPr>
            <w:tcW w:w="1428" w:type="pct"/>
            <w:noWrap w:val="0"/>
            <w:vAlign w:val="center"/>
          </w:tcPr>
          <w:p w14:paraId="1FF9ABCB">
            <w:pPr>
              <w:widowControl/>
              <w:autoSpaceDE w:val="0"/>
              <w:autoSpaceDN w:val="0"/>
              <w:spacing w:line="360" w:lineRule="auto"/>
              <w:ind w:firstLine="440" w:firstLineChars="200"/>
              <w:jc w:val="left"/>
              <w:rPr>
                <w:rFonts w:hint="eastAsia" w:ascii="Times New Roman" w:hAnsi="Times New Roman" w:cs="宋体"/>
                <w:kern w:val="0"/>
                <w:sz w:val="22"/>
                <w:szCs w:val="21"/>
                <w:highlight w:val="none"/>
                <w:lang w:val="zh-CN" w:bidi="zh-CN"/>
              </w:rPr>
            </w:pPr>
            <w:r>
              <w:rPr>
                <w:rFonts w:hint="eastAsia" w:cs="宋体"/>
                <w:kern w:val="0"/>
                <w:sz w:val="22"/>
                <w:szCs w:val="21"/>
                <w:highlight w:val="none"/>
                <w:lang w:val="en-US" w:bidi="zh-CN"/>
              </w:rPr>
              <w:t>橡胶减速带</w:t>
            </w:r>
            <w:r>
              <w:rPr>
                <w:rFonts w:hint="eastAsia" w:ascii="Times New Roman" w:hAnsi="Times New Roman" w:cs="宋体"/>
                <w:kern w:val="0"/>
                <w:sz w:val="22"/>
                <w:szCs w:val="21"/>
                <w:highlight w:val="none"/>
                <w:lang w:val="zh-CN" w:bidi="zh-CN"/>
              </w:rPr>
              <w:t>制作、运输、安装</w:t>
            </w:r>
          </w:p>
        </w:tc>
      </w:tr>
    </w:tbl>
    <w:p w14:paraId="5404B0C4">
      <w:pPr>
        <w:rPr>
          <w:rFonts w:hint="eastAsia"/>
          <w:color w:val="000080"/>
          <w:sz w:val="20"/>
          <w:highlight w:val="none"/>
        </w:rPr>
      </w:pPr>
      <w:r>
        <w:rPr>
          <w:rFonts w:hint="eastAsia"/>
          <w:color w:val="000080"/>
          <w:sz w:val="20"/>
          <w:highlight w:val="none"/>
        </w:rPr>
        <w:t xml:space="preserve"> </w:t>
      </w:r>
    </w:p>
    <w:p w14:paraId="3F2548BB">
      <w:pPr>
        <w:rPr>
          <w:highlight w:val="none"/>
        </w:rPr>
      </w:pPr>
    </w:p>
    <w:p w14:paraId="35F4E773">
      <w:pPr>
        <w:numPr>
          <w:ilvl w:val="0"/>
          <w:numId w:val="0"/>
        </w:numPr>
        <w:ind w:firstLine="2891" w:firstLineChars="900"/>
        <w:rPr>
          <w:rFonts w:hint="default" w:ascii="宋体" w:hAnsi="宋体" w:eastAsia="宋体" w:cs="宋体"/>
          <w:b/>
          <w:color w:val="auto"/>
          <w:kern w:val="2"/>
          <w:sz w:val="32"/>
          <w:szCs w:val="32"/>
          <w:highlight w:val="none"/>
          <w:lang w:val="en-US" w:eastAsia="zh-CN" w:bidi="ar-SA"/>
        </w:rPr>
      </w:pPr>
    </w:p>
    <w:p w14:paraId="5EA35EDC">
      <w:pPr>
        <w:pStyle w:val="12"/>
        <w:rPr>
          <w:sz w:val="20"/>
          <w:highlight w:val="none"/>
        </w:rPr>
      </w:pPr>
    </w:p>
    <w:p w14:paraId="3765E194">
      <w:pPr>
        <w:pStyle w:val="12"/>
        <w:rPr>
          <w:sz w:val="20"/>
          <w:highlight w:val="none"/>
        </w:rPr>
      </w:pPr>
    </w:p>
    <w:p w14:paraId="077F02CB">
      <w:pPr>
        <w:overflowPunct w:val="0"/>
        <w:autoSpaceDE w:val="0"/>
        <w:autoSpaceDN w:val="0"/>
        <w:spacing w:line="400" w:lineRule="exact"/>
        <w:jc w:val="center"/>
        <w:textAlignment w:val="bottom"/>
        <w:rPr>
          <w:rFonts w:hAnsi="宋体"/>
          <w:b/>
          <w:szCs w:val="21"/>
          <w:highlight w:val="none"/>
        </w:rPr>
      </w:pPr>
    </w:p>
    <w:p w14:paraId="6D38D4A8">
      <w:pPr>
        <w:overflowPunct w:val="0"/>
        <w:autoSpaceDE w:val="0"/>
        <w:autoSpaceDN w:val="0"/>
        <w:spacing w:line="400" w:lineRule="exact"/>
        <w:jc w:val="center"/>
        <w:textAlignment w:val="bottom"/>
        <w:rPr>
          <w:rFonts w:hAnsi="宋体"/>
          <w:b/>
          <w:szCs w:val="21"/>
          <w:highlight w:val="none"/>
        </w:rPr>
      </w:pPr>
    </w:p>
    <w:p w14:paraId="653C9B79">
      <w:pPr>
        <w:overflowPunct w:val="0"/>
        <w:autoSpaceDE w:val="0"/>
        <w:autoSpaceDN w:val="0"/>
        <w:spacing w:line="400" w:lineRule="exact"/>
        <w:jc w:val="center"/>
        <w:textAlignment w:val="bottom"/>
        <w:rPr>
          <w:rFonts w:hAnsi="宋体"/>
          <w:b/>
          <w:szCs w:val="21"/>
          <w:highlight w:val="none"/>
        </w:rPr>
      </w:pPr>
    </w:p>
    <w:p w14:paraId="7173D7C3">
      <w:pPr>
        <w:overflowPunct w:val="0"/>
        <w:autoSpaceDE w:val="0"/>
        <w:autoSpaceDN w:val="0"/>
        <w:spacing w:line="400" w:lineRule="exact"/>
        <w:jc w:val="center"/>
        <w:textAlignment w:val="bottom"/>
        <w:rPr>
          <w:rFonts w:hAnsi="宋体"/>
          <w:b/>
          <w:szCs w:val="21"/>
          <w:highlight w:val="yellow"/>
        </w:rPr>
      </w:pPr>
    </w:p>
    <w:p w14:paraId="6D7A3864">
      <w:pPr>
        <w:rPr>
          <w:highlight w:val="yellow"/>
        </w:rPr>
      </w:pPr>
    </w:p>
    <w:p w14:paraId="2F5AA32D">
      <w:pPr>
        <w:pStyle w:val="12"/>
        <w:rPr>
          <w:sz w:val="20"/>
          <w:highlight w:val="yellow"/>
        </w:rPr>
      </w:pPr>
    </w:p>
    <w:p w14:paraId="16B4671F">
      <w:pPr>
        <w:pStyle w:val="12"/>
        <w:rPr>
          <w:sz w:val="20"/>
        </w:rPr>
      </w:pPr>
    </w:p>
    <w:p w14:paraId="39BB14EE">
      <w:pPr>
        <w:overflowPunct w:val="0"/>
        <w:autoSpaceDE w:val="0"/>
        <w:autoSpaceDN w:val="0"/>
        <w:spacing w:line="400" w:lineRule="exact"/>
        <w:jc w:val="center"/>
        <w:textAlignment w:val="bottom"/>
        <w:rPr>
          <w:rFonts w:hAnsi="宋体"/>
          <w:b/>
          <w:szCs w:val="21"/>
        </w:rPr>
      </w:pPr>
      <w:bookmarkStart w:id="169" w:name="_Toc13349"/>
    </w:p>
    <w:p w14:paraId="244113A2">
      <w:pPr>
        <w:overflowPunct w:val="0"/>
        <w:autoSpaceDE w:val="0"/>
        <w:autoSpaceDN w:val="0"/>
        <w:spacing w:line="400" w:lineRule="exact"/>
        <w:jc w:val="center"/>
        <w:textAlignment w:val="bottom"/>
        <w:rPr>
          <w:rFonts w:hAnsi="宋体"/>
          <w:b/>
          <w:szCs w:val="21"/>
        </w:rPr>
      </w:pPr>
    </w:p>
    <w:p w14:paraId="46DC0321">
      <w:pPr>
        <w:pStyle w:val="24"/>
        <w:ind w:left="0" w:leftChars="0" w:firstLine="0" w:firstLineChars="0"/>
        <w:jc w:val="both"/>
        <w:outlineLvl w:val="0"/>
        <w:rPr>
          <w:rFonts w:hint="eastAsia" w:ascii="宋体" w:hAnsi="宋体" w:eastAsia="宋体" w:cs="宋体"/>
          <w:b/>
          <w:color w:val="auto"/>
          <w:kern w:val="2"/>
          <w:sz w:val="32"/>
          <w:szCs w:val="32"/>
          <w:highlight w:val="none"/>
          <w:lang w:val="en-US" w:eastAsia="zh-CN" w:bidi="ar-SA"/>
        </w:rPr>
      </w:pPr>
    </w:p>
    <w:p w14:paraId="02A13090">
      <w:pPr>
        <w:pStyle w:val="24"/>
        <w:ind w:left="0" w:leftChars="0" w:firstLine="0" w:firstLineChars="0"/>
        <w:jc w:val="center"/>
        <w:outlineLvl w:val="0"/>
        <w:rPr>
          <w:rFonts w:hint="eastAsia" w:ascii="宋体" w:hAnsi="宋体" w:eastAsia="宋体" w:cs="宋体"/>
          <w:b/>
          <w:color w:val="auto"/>
          <w:kern w:val="2"/>
          <w:sz w:val="32"/>
          <w:szCs w:val="32"/>
          <w:highlight w:val="none"/>
          <w:lang w:val="en-US" w:eastAsia="zh-CN" w:bidi="ar-SA"/>
        </w:rPr>
      </w:pPr>
    </w:p>
    <w:p w14:paraId="1D6B4194">
      <w:pPr>
        <w:pStyle w:val="24"/>
        <w:ind w:left="0" w:leftChars="0" w:firstLine="0" w:firstLineChars="0"/>
        <w:jc w:val="center"/>
        <w:outlineLvl w:val="0"/>
        <w:rPr>
          <w:rFonts w:hint="default"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第</w:t>
      </w:r>
      <w:r>
        <w:rPr>
          <w:rFonts w:hint="eastAsia" w:ascii="宋体" w:hAnsi="宋体" w:cs="宋体"/>
          <w:b/>
          <w:color w:val="auto"/>
          <w:kern w:val="2"/>
          <w:sz w:val="32"/>
          <w:szCs w:val="32"/>
          <w:highlight w:val="none"/>
          <w:lang w:val="en-US" w:eastAsia="zh-CN" w:bidi="ar-SA"/>
        </w:rPr>
        <w:t>十一</w:t>
      </w:r>
      <w:r>
        <w:rPr>
          <w:rFonts w:hint="eastAsia" w:ascii="宋体" w:hAnsi="宋体" w:eastAsia="宋体" w:cs="宋体"/>
          <w:b/>
          <w:color w:val="auto"/>
          <w:kern w:val="2"/>
          <w:sz w:val="32"/>
          <w:szCs w:val="32"/>
          <w:highlight w:val="none"/>
          <w:lang w:val="en-US" w:eastAsia="zh-CN" w:bidi="ar-SA"/>
        </w:rPr>
        <w:t>章</w:t>
      </w:r>
      <w:r>
        <w:rPr>
          <w:rFonts w:hint="eastAsia" w:ascii="宋体" w:hAnsi="宋体" w:cs="宋体"/>
          <w:b/>
          <w:color w:val="auto"/>
          <w:kern w:val="2"/>
          <w:sz w:val="32"/>
          <w:szCs w:val="32"/>
          <w:highlight w:val="none"/>
          <w:lang w:val="en-US" w:eastAsia="zh-CN" w:bidi="ar-SA"/>
        </w:rPr>
        <w:t xml:space="preserve">  </w:t>
      </w:r>
      <w:bookmarkEnd w:id="169"/>
      <w:r>
        <w:rPr>
          <w:rFonts w:hint="eastAsia" w:ascii="宋体" w:hAnsi="宋体" w:cs="宋体"/>
          <w:b/>
          <w:color w:val="auto"/>
          <w:kern w:val="2"/>
          <w:sz w:val="32"/>
          <w:szCs w:val="32"/>
          <w:highlight w:val="none"/>
          <w:lang w:val="en-US" w:eastAsia="zh-CN" w:bidi="ar-SA"/>
        </w:rPr>
        <w:t>磋商响应</w:t>
      </w:r>
      <w:r>
        <w:rPr>
          <w:rFonts w:hint="eastAsia" w:ascii="宋体" w:hAnsi="宋体" w:eastAsia="宋体" w:cs="宋体"/>
          <w:b/>
          <w:color w:val="auto"/>
          <w:kern w:val="2"/>
          <w:sz w:val="32"/>
          <w:szCs w:val="32"/>
          <w:highlight w:val="none"/>
          <w:lang w:val="en-US" w:eastAsia="zh-CN" w:bidi="ar-SA"/>
        </w:rPr>
        <w:t>文件格式</w:t>
      </w:r>
    </w:p>
    <w:p w14:paraId="3C433A3F">
      <w:pPr>
        <w:pStyle w:val="24"/>
        <w:ind w:left="0" w:leftChars="0" w:firstLine="0" w:firstLineChars="0"/>
        <w:jc w:val="center"/>
        <w:outlineLvl w:val="0"/>
        <w:rPr>
          <w:rFonts w:hint="default" w:ascii="宋体" w:hAnsi="宋体" w:eastAsia="宋体" w:cs="宋体"/>
          <w:b/>
          <w:color w:val="auto"/>
          <w:kern w:val="2"/>
          <w:sz w:val="32"/>
          <w:szCs w:val="32"/>
          <w:highlight w:val="none"/>
          <w:lang w:val="en-US" w:eastAsia="zh-CN" w:bidi="ar-SA"/>
        </w:rPr>
      </w:pPr>
    </w:p>
    <w:p w14:paraId="0FB97BBA">
      <w:pPr>
        <w:jc w:val="both"/>
        <w:rPr>
          <w:rFonts w:hint="eastAsia" w:ascii="宋体" w:hAnsi="宋体"/>
          <w:b/>
          <w:color w:val="auto"/>
          <w:kern w:val="0"/>
          <w:highlight w:val="none"/>
        </w:rPr>
      </w:pPr>
    </w:p>
    <w:p w14:paraId="698138F5">
      <w:pPr>
        <w:rPr>
          <w:rFonts w:hint="eastAsia" w:ascii="宋体" w:hAnsi="宋体"/>
          <w:color w:val="auto"/>
          <w:kern w:val="0"/>
          <w:highlight w:val="none"/>
        </w:rPr>
      </w:pPr>
    </w:p>
    <w:p w14:paraId="5429B549">
      <w:pPr>
        <w:spacing w:line="360" w:lineRule="auto"/>
        <w:textAlignment w:val="baseline"/>
        <w:rPr>
          <w:rStyle w:val="74"/>
          <w:rFonts w:hint="eastAsia" w:ascii="宋体" w:hAnsi="宋体" w:cs="宋体"/>
          <w:b/>
          <w:color w:val="auto"/>
          <w:sz w:val="28"/>
          <w:szCs w:val="28"/>
          <w:highlight w:val="none"/>
        </w:rPr>
      </w:pPr>
      <w:r>
        <w:rPr>
          <w:rStyle w:val="74"/>
          <w:rFonts w:hint="eastAsia" w:ascii="宋体" w:hAnsi="宋体" w:cs="宋体"/>
          <w:b/>
          <w:color w:val="auto"/>
          <w:sz w:val="28"/>
          <w:szCs w:val="28"/>
          <w:highlight w:val="none"/>
        </w:rPr>
        <w:t>1.竞争性磋商响应文件封面格式</w:t>
      </w:r>
    </w:p>
    <w:p w14:paraId="23B24A19">
      <w:pPr>
        <w:pStyle w:val="77"/>
        <w:ind w:firstLine="560"/>
        <w:rPr>
          <w:rStyle w:val="74"/>
          <w:rFonts w:hint="eastAsia" w:ascii="宋体" w:hAnsi="宋体" w:cs="宋体"/>
          <w:color w:val="auto"/>
          <w:sz w:val="28"/>
          <w:szCs w:val="28"/>
          <w:highlight w:val="none"/>
        </w:rPr>
      </w:pPr>
    </w:p>
    <w:p w14:paraId="3F61F6A9">
      <w:pPr>
        <w:pStyle w:val="77"/>
        <w:ind w:firstLine="560"/>
        <w:rPr>
          <w:rStyle w:val="74"/>
          <w:rFonts w:hint="eastAsia" w:ascii="宋体" w:hAnsi="宋体" w:cs="宋体"/>
          <w:color w:val="auto"/>
          <w:sz w:val="28"/>
          <w:szCs w:val="28"/>
          <w:highlight w:val="none"/>
        </w:rPr>
      </w:pPr>
    </w:p>
    <w:p w14:paraId="79F74731">
      <w:pPr>
        <w:pStyle w:val="77"/>
        <w:ind w:left="0" w:leftChars="0" w:firstLine="0" w:firstLineChars="0"/>
        <w:rPr>
          <w:rStyle w:val="74"/>
          <w:rFonts w:hint="eastAsia" w:ascii="宋体" w:hAnsi="宋体" w:cs="宋体"/>
          <w:color w:val="auto"/>
          <w:sz w:val="28"/>
          <w:szCs w:val="28"/>
          <w:highlight w:val="none"/>
        </w:rPr>
      </w:pPr>
    </w:p>
    <w:p w14:paraId="629AFF17">
      <w:pPr>
        <w:pStyle w:val="77"/>
        <w:ind w:left="0" w:leftChars="0" w:firstLine="0" w:firstLineChars="0"/>
        <w:rPr>
          <w:rStyle w:val="74"/>
          <w:rFonts w:hint="eastAsia" w:ascii="宋体" w:hAnsi="宋体" w:cs="宋体"/>
          <w:color w:val="auto"/>
          <w:sz w:val="28"/>
          <w:szCs w:val="28"/>
          <w:highlight w:val="none"/>
        </w:rPr>
      </w:pPr>
    </w:p>
    <w:p w14:paraId="1A995377">
      <w:pPr>
        <w:tabs>
          <w:tab w:val="left" w:pos="1140"/>
        </w:tabs>
        <w:snapToGrid w:val="0"/>
        <w:spacing w:line="360" w:lineRule="auto"/>
        <w:ind w:firstLine="1687" w:firstLineChars="600"/>
        <w:textAlignment w:val="baseline"/>
        <w:rPr>
          <w:rFonts w:hint="eastAsia" w:ascii="宋体" w:hAnsi="宋体" w:cs="宋体"/>
          <w:b/>
          <w:color w:val="auto"/>
          <w:sz w:val="28"/>
          <w:szCs w:val="28"/>
          <w:highlight w:val="none"/>
        </w:rPr>
      </w:pPr>
    </w:p>
    <w:p w14:paraId="5EB5C7BD">
      <w:pPr>
        <w:tabs>
          <w:tab w:val="left" w:pos="1140"/>
        </w:tabs>
        <w:snapToGrid w:val="0"/>
        <w:spacing w:line="360" w:lineRule="auto"/>
        <w:jc w:val="center"/>
        <w:textAlignment w:val="baseline"/>
        <w:rPr>
          <w:rStyle w:val="74"/>
          <w:rFonts w:hint="eastAsia" w:ascii="宋体" w:hAnsi="宋体" w:cs="宋体"/>
          <w:b/>
          <w:bCs/>
          <w:color w:val="auto"/>
          <w:sz w:val="48"/>
          <w:szCs w:val="48"/>
          <w:highlight w:val="none"/>
        </w:rPr>
      </w:pPr>
      <w:r>
        <w:rPr>
          <w:rStyle w:val="74"/>
          <w:rFonts w:hint="eastAsia" w:ascii="宋体" w:hAnsi="宋体" w:cs="宋体"/>
          <w:b/>
          <w:bCs/>
          <w:color w:val="auto"/>
          <w:sz w:val="48"/>
          <w:szCs w:val="48"/>
          <w:highlight w:val="none"/>
        </w:rPr>
        <w:t>竞争性磋商响应文件</w:t>
      </w:r>
    </w:p>
    <w:p w14:paraId="1F8502DD">
      <w:pPr>
        <w:spacing w:line="360" w:lineRule="auto"/>
        <w:ind w:firstLine="964" w:firstLineChars="300"/>
        <w:rPr>
          <w:rFonts w:hint="default" w:ascii="宋体" w:hAnsi="宋体" w:eastAsia="宋体" w:cs="宋体"/>
          <w:b/>
          <w:color w:val="auto"/>
          <w:sz w:val="32"/>
          <w:szCs w:val="31"/>
          <w:highlight w:val="none"/>
          <w:lang w:val="en-US" w:eastAsia="zh-CN"/>
        </w:rPr>
      </w:pPr>
      <w:r>
        <w:rPr>
          <w:rFonts w:hint="eastAsia" w:ascii="宋体" w:hAnsi="宋体" w:cs="宋体"/>
          <w:b/>
          <w:color w:val="auto"/>
          <w:sz w:val="32"/>
          <w:szCs w:val="31"/>
          <w:highlight w:val="none"/>
          <w:lang w:val="en-US" w:eastAsia="zh-CN"/>
        </w:rPr>
        <w:t xml:space="preserve">       </w:t>
      </w:r>
      <w:r>
        <w:rPr>
          <w:rFonts w:hint="eastAsia" w:ascii="宋体" w:hAnsi="宋体" w:eastAsia="宋体" w:cs="宋体"/>
          <w:b/>
          <w:bCs w:val="0"/>
          <w:color w:val="auto"/>
          <w:sz w:val="32"/>
          <w:szCs w:val="31"/>
          <w:highlight w:val="none"/>
          <w:lang w:val="en-US" w:eastAsia="zh-CN"/>
        </w:rPr>
        <w:t>项目</w:t>
      </w:r>
      <w:r>
        <w:rPr>
          <w:rFonts w:hint="eastAsia" w:ascii="宋体" w:hAnsi="宋体" w:eastAsia="宋体" w:cs="宋体"/>
          <w:b/>
          <w:bCs w:val="0"/>
          <w:color w:val="auto"/>
          <w:sz w:val="32"/>
          <w:szCs w:val="31"/>
          <w:highlight w:val="none"/>
        </w:rPr>
        <w:t>编号：</w:t>
      </w:r>
      <w:r>
        <w:rPr>
          <w:rFonts w:hint="eastAsia" w:asciiTheme="minorEastAsia" w:hAnsiTheme="minorEastAsia" w:eastAsiaTheme="minorEastAsia" w:cstheme="minorEastAsia"/>
          <w:b/>
          <w:bCs w:val="0"/>
          <w:color w:val="auto"/>
          <w:sz w:val="33"/>
          <w:highlight w:val="none"/>
          <w:lang w:eastAsia="zh-CN"/>
        </w:rPr>
        <w:t>XJJSZC（JZXCS）2025-0</w:t>
      </w:r>
      <w:r>
        <w:rPr>
          <w:rFonts w:hint="eastAsia" w:asciiTheme="minorEastAsia" w:hAnsiTheme="minorEastAsia" w:eastAsiaTheme="minorEastAsia" w:cstheme="minorEastAsia"/>
          <w:b/>
          <w:bCs w:val="0"/>
          <w:color w:val="auto"/>
          <w:sz w:val="33"/>
          <w:highlight w:val="none"/>
          <w:lang w:val="en-US" w:eastAsia="zh-CN"/>
        </w:rPr>
        <w:t>15</w:t>
      </w:r>
    </w:p>
    <w:p w14:paraId="59461FF0">
      <w:pPr>
        <w:pStyle w:val="45"/>
        <w:spacing w:line="480" w:lineRule="auto"/>
        <w:jc w:val="left"/>
        <w:rPr>
          <w:rFonts w:hint="eastAsia" w:ascii="宋体" w:hAnsi="宋体" w:eastAsia="宋体" w:cs="宋体"/>
          <w:b/>
          <w:color w:val="auto"/>
          <w:sz w:val="32"/>
          <w:szCs w:val="31"/>
          <w:highlight w:val="none"/>
          <w:lang w:eastAsia="zh-CN"/>
        </w:rPr>
      </w:pPr>
    </w:p>
    <w:p w14:paraId="4C4A6BB4">
      <w:pPr>
        <w:pStyle w:val="77"/>
        <w:ind w:left="0" w:leftChars="0" w:firstLine="0" w:firstLineChars="0"/>
        <w:rPr>
          <w:rStyle w:val="74"/>
          <w:rFonts w:hint="eastAsia" w:ascii="宋体" w:hAnsi="宋体" w:cs="宋体"/>
          <w:color w:val="auto"/>
          <w:sz w:val="28"/>
          <w:szCs w:val="28"/>
          <w:highlight w:val="none"/>
        </w:rPr>
      </w:pPr>
    </w:p>
    <w:p w14:paraId="3A9777FA">
      <w:pPr>
        <w:pStyle w:val="77"/>
        <w:ind w:firstLine="560"/>
        <w:rPr>
          <w:rStyle w:val="74"/>
          <w:rFonts w:hint="eastAsia" w:ascii="宋体" w:hAnsi="宋体" w:cs="宋体"/>
          <w:color w:val="auto"/>
          <w:sz w:val="28"/>
          <w:szCs w:val="28"/>
          <w:highlight w:val="none"/>
        </w:rPr>
      </w:pPr>
    </w:p>
    <w:p w14:paraId="6246C470">
      <w:pPr>
        <w:pStyle w:val="77"/>
        <w:ind w:firstLine="560"/>
        <w:rPr>
          <w:rStyle w:val="74"/>
          <w:rFonts w:hint="eastAsia" w:ascii="宋体" w:hAnsi="宋体" w:cs="宋体"/>
          <w:color w:val="auto"/>
          <w:sz w:val="28"/>
          <w:szCs w:val="28"/>
          <w:highlight w:val="none"/>
        </w:rPr>
      </w:pPr>
    </w:p>
    <w:p w14:paraId="7B24B7A9">
      <w:pPr>
        <w:tabs>
          <w:tab w:val="left" w:pos="1140"/>
        </w:tabs>
        <w:snapToGrid w:val="0"/>
        <w:spacing w:line="360" w:lineRule="auto"/>
        <w:ind w:firstLine="560" w:firstLineChars="200"/>
        <w:textAlignment w:val="baseline"/>
        <w:rPr>
          <w:rStyle w:val="74"/>
          <w:rFonts w:hint="eastAsia" w:ascii="宋体" w:hAnsi="宋体" w:cs="宋体"/>
          <w:color w:val="auto"/>
          <w:sz w:val="28"/>
          <w:szCs w:val="28"/>
          <w:highlight w:val="none"/>
        </w:rPr>
      </w:pPr>
    </w:p>
    <w:p w14:paraId="5174C261">
      <w:pPr>
        <w:spacing w:line="480" w:lineRule="auto"/>
        <w:ind w:firstLine="560" w:firstLineChars="200"/>
        <w:textAlignment w:val="baseline"/>
        <w:rPr>
          <w:rStyle w:val="74"/>
          <w:rFonts w:hint="eastAsia" w:ascii="宋体" w:hAnsi="宋体" w:cs="宋体"/>
          <w:color w:val="auto"/>
          <w:sz w:val="28"/>
          <w:szCs w:val="28"/>
          <w:highlight w:val="none"/>
          <w:u w:val="single"/>
          <w:lang w:val="zh-CN"/>
        </w:rPr>
      </w:pPr>
      <w:r>
        <w:rPr>
          <w:rStyle w:val="74"/>
          <w:rFonts w:hint="eastAsia" w:ascii="宋体" w:hAnsi="宋体" w:cs="宋体"/>
          <w:color w:val="auto"/>
          <w:sz w:val="28"/>
          <w:szCs w:val="28"/>
          <w:highlight w:val="none"/>
          <w:lang w:val="zh-CN"/>
        </w:rPr>
        <w:t>项目名称：</w:t>
      </w:r>
      <w:r>
        <w:rPr>
          <w:rStyle w:val="74"/>
          <w:rFonts w:hint="eastAsia" w:ascii="宋体" w:hAnsi="宋体" w:cs="宋体"/>
          <w:color w:val="auto"/>
          <w:sz w:val="28"/>
          <w:szCs w:val="28"/>
          <w:highlight w:val="none"/>
          <w:u w:val="single" w:color="000000"/>
          <w:lang w:val="zh-CN"/>
        </w:rPr>
        <w:t xml:space="preserve">     　　　</w:t>
      </w:r>
      <w:r>
        <w:rPr>
          <w:rStyle w:val="74"/>
          <w:rFonts w:hint="eastAsia" w:ascii="宋体" w:hAnsi="宋体" w:cs="宋体"/>
          <w:color w:val="auto"/>
          <w:sz w:val="28"/>
          <w:szCs w:val="28"/>
          <w:highlight w:val="none"/>
          <w:u w:val="single" w:color="000000"/>
        </w:rPr>
        <w:t xml:space="preserve">                       </w:t>
      </w:r>
      <w:r>
        <w:rPr>
          <w:rStyle w:val="74"/>
          <w:rFonts w:hint="eastAsia" w:ascii="宋体" w:hAnsi="宋体" w:cs="宋体"/>
          <w:color w:val="auto"/>
          <w:sz w:val="28"/>
          <w:szCs w:val="28"/>
          <w:highlight w:val="none"/>
          <w:u w:val="single" w:color="000000"/>
          <w:lang w:val="zh-CN"/>
        </w:rPr>
        <w:t xml:space="preserve">　               </w:t>
      </w:r>
    </w:p>
    <w:p w14:paraId="6C94D52A">
      <w:pPr>
        <w:spacing w:line="480" w:lineRule="auto"/>
        <w:ind w:firstLine="560" w:firstLineChars="200"/>
        <w:textAlignment w:val="baseline"/>
        <w:rPr>
          <w:rStyle w:val="74"/>
          <w:rFonts w:hint="eastAsia" w:ascii="宋体" w:hAnsi="宋体" w:cs="宋体"/>
          <w:color w:val="auto"/>
          <w:sz w:val="28"/>
          <w:szCs w:val="28"/>
          <w:highlight w:val="none"/>
          <w:lang w:val="zh-CN"/>
        </w:rPr>
      </w:pPr>
      <w:r>
        <w:rPr>
          <w:rStyle w:val="74"/>
          <w:rFonts w:hint="eastAsia" w:ascii="宋体" w:hAnsi="宋体" w:cs="宋体"/>
          <w:color w:val="auto"/>
          <w:sz w:val="28"/>
          <w:szCs w:val="28"/>
          <w:highlight w:val="none"/>
          <w:lang w:val="zh-CN"/>
        </w:rPr>
        <w:t>投标单位（</w:t>
      </w:r>
      <w:r>
        <w:rPr>
          <w:rStyle w:val="74"/>
          <w:rFonts w:hint="eastAsia" w:ascii="宋体" w:hAnsi="宋体" w:cs="宋体"/>
          <w:color w:val="auto"/>
          <w:sz w:val="28"/>
          <w:szCs w:val="28"/>
          <w:highlight w:val="none"/>
        </w:rPr>
        <w:t>盖章</w:t>
      </w:r>
      <w:r>
        <w:rPr>
          <w:rStyle w:val="74"/>
          <w:rFonts w:hint="eastAsia" w:ascii="宋体" w:hAnsi="宋体" w:cs="宋体"/>
          <w:color w:val="auto"/>
          <w:sz w:val="28"/>
          <w:szCs w:val="28"/>
          <w:highlight w:val="none"/>
          <w:lang w:val="zh-CN"/>
        </w:rPr>
        <w:t>）：</w:t>
      </w:r>
      <w:r>
        <w:rPr>
          <w:rStyle w:val="74"/>
          <w:rFonts w:hint="eastAsia" w:ascii="宋体" w:hAnsi="宋体" w:cs="宋体"/>
          <w:color w:val="auto"/>
          <w:sz w:val="28"/>
          <w:szCs w:val="28"/>
          <w:highlight w:val="none"/>
          <w:u w:val="single" w:color="000000"/>
        </w:rPr>
        <w:t xml:space="preserve">                  </w:t>
      </w:r>
      <w:r>
        <w:rPr>
          <w:rStyle w:val="74"/>
          <w:rFonts w:hint="eastAsia" w:ascii="宋体" w:hAnsi="宋体" w:cs="宋体"/>
          <w:color w:val="auto"/>
          <w:sz w:val="28"/>
          <w:szCs w:val="28"/>
          <w:highlight w:val="none"/>
          <w:u w:val="single" w:color="000000"/>
          <w:lang w:val="zh-CN"/>
        </w:rPr>
        <w:t xml:space="preserve">　                  </w:t>
      </w:r>
      <w:r>
        <w:rPr>
          <w:rStyle w:val="74"/>
          <w:rFonts w:hint="eastAsia" w:ascii="宋体" w:hAnsi="宋体" w:cs="宋体"/>
          <w:color w:val="auto"/>
          <w:sz w:val="28"/>
          <w:szCs w:val="28"/>
          <w:highlight w:val="none"/>
          <w:u w:val="single" w:color="000000"/>
        </w:rPr>
        <w:t xml:space="preserve"> </w:t>
      </w:r>
      <w:r>
        <w:rPr>
          <w:rStyle w:val="74"/>
          <w:rFonts w:hint="eastAsia" w:ascii="宋体" w:hAnsi="宋体" w:cs="宋体"/>
          <w:color w:val="auto"/>
          <w:sz w:val="28"/>
          <w:szCs w:val="28"/>
          <w:highlight w:val="none"/>
          <w:lang w:val="zh-CN"/>
        </w:rPr>
        <w:t xml:space="preserve">       </w:t>
      </w:r>
      <w:r>
        <w:rPr>
          <w:rStyle w:val="74"/>
          <w:rFonts w:hint="eastAsia" w:ascii="宋体" w:hAnsi="宋体" w:cs="宋体"/>
          <w:color w:val="auto"/>
          <w:sz w:val="28"/>
          <w:szCs w:val="28"/>
          <w:highlight w:val="none"/>
        </w:rPr>
        <w:t xml:space="preserve">                   </w:t>
      </w:r>
      <w:r>
        <w:rPr>
          <w:rStyle w:val="74"/>
          <w:rFonts w:hint="eastAsia" w:ascii="宋体" w:hAnsi="宋体" w:cs="宋体"/>
          <w:color w:val="auto"/>
          <w:sz w:val="28"/>
          <w:szCs w:val="28"/>
          <w:highlight w:val="none"/>
          <w:lang w:val="zh-CN"/>
        </w:rPr>
        <w:t>　</w:t>
      </w:r>
      <w:r>
        <w:rPr>
          <w:rStyle w:val="74"/>
          <w:rFonts w:hint="eastAsia" w:ascii="宋体" w:hAnsi="宋体" w:cs="宋体"/>
          <w:color w:val="auto"/>
          <w:sz w:val="28"/>
          <w:szCs w:val="28"/>
          <w:highlight w:val="none"/>
        </w:rPr>
        <w:t xml:space="preserve">    </w:t>
      </w:r>
      <w:r>
        <w:rPr>
          <w:rStyle w:val="74"/>
          <w:rFonts w:hint="eastAsia" w:ascii="宋体" w:hAnsi="宋体" w:cs="宋体"/>
          <w:color w:val="auto"/>
          <w:sz w:val="28"/>
          <w:szCs w:val="28"/>
          <w:highlight w:val="none"/>
          <w:lang w:val="zh-CN"/>
        </w:rPr>
        <w:t>　</w:t>
      </w:r>
      <w:r>
        <w:rPr>
          <w:rStyle w:val="74"/>
          <w:rFonts w:hint="eastAsia" w:ascii="宋体" w:hAnsi="宋体" w:cs="宋体"/>
          <w:color w:val="auto"/>
          <w:sz w:val="28"/>
          <w:szCs w:val="28"/>
          <w:highlight w:val="none"/>
        </w:rPr>
        <w:t xml:space="preserve"> </w:t>
      </w:r>
      <w:r>
        <w:rPr>
          <w:rStyle w:val="74"/>
          <w:rFonts w:hint="eastAsia" w:ascii="宋体" w:hAnsi="宋体" w:cs="宋体"/>
          <w:color w:val="auto"/>
          <w:sz w:val="28"/>
          <w:szCs w:val="28"/>
          <w:highlight w:val="none"/>
          <w:lang w:val="zh-CN"/>
        </w:rPr>
        <w:t xml:space="preserve">　 </w:t>
      </w:r>
    </w:p>
    <w:p w14:paraId="4580F009">
      <w:pPr>
        <w:spacing w:line="480" w:lineRule="auto"/>
        <w:ind w:firstLine="560" w:firstLineChars="200"/>
        <w:textAlignment w:val="baseline"/>
        <w:rPr>
          <w:rStyle w:val="74"/>
          <w:rFonts w:hint="eastAsia" w:ascii="宋体" w:hAnsi="宋体" w:cs="宋体"/>
          <w:color w:val="auto"/>
          <w:sz w:val="28"/>
          <w:szCs w:val="28"/>
          <w:highlight w:val="none"/>
        </w:rPr>
      </w:pPr>
      <w:r>
        <w:rPr>
          <w:rStyle w:val="74"/>
          <w:rFonts w:hint="eastAsia" w:ascii="宋体" w:hAnsi="宋体" w:cs="宋体"/>
          <w:color w:val="auto"/>
          <w:sz w:val="28"/>
          <w:szCs w:val="28"/>
          <w:highlight w:val="none"/>
        </w:rPr>
        <w:t>法定代表人或委托代理人（签字或盖章）：</w:t>
      </w:r>
      <w:r>
        <w:rPr>
          <w:rStyle w:val="74"/>
          <w:rFonts w:hint="eastAsia" w:ascii="宋体" w:hAnsi="宋体" w:cs="宋体"/>
          <w:color w:val="auto"/>
          <w:sz w:val="28"/>
          <w:szCs w:val="28"/>
          <w:highlight w:val="none"/>
          <w:u w:val="single" w:color="000000"/>
        </w:rPr>
        <w:t xml:space="preserve">                  </w:t>
      </w:r>
      <w:r>
        <w:rPr>
          <w:rStyle w:val="74"/>
          <w:rFonts w:hint="eastAsia" w:ascii="宋体" w:hAnsi="宋体" w:cs="宋体"/>
          <w:color w:val="auto"/>
          <w:sz w:val="28"/>
          <w:szCs w:val="28"/>
          <w:highlight w:val="none"/>
          <w:u w:val="single" w:color="000000"/>
          <w:lang w:val="zh-CN"/>
        </w:rPr>
        <w:t xml:space="preserve">    </w:t>
      </w:r>
      <w:r>
        <w:rPr>
          <w:rStyle w:val="74"/>
          <w:rFonts w:hint="eastAsia" w:ascii="宋体" w:hAnsi="宋体" w:cs="宋体"/>
          <w:color w:val="auto"/>
          <w:sz w:val="28"/>
          <w:szCs w:val="28"/>
          <w:highlight w:val="none"/>
          <w:u w:val="single" w:color="000000"/>
        </w:rPr>
        <w:t xml:space="preserve"> </w:t>
      </w:r>
    </w:p>
    <w:p w14:paraId="0785A7FF">
      <w:pPr>
        <w:spacing w:line="480" w:lineRule="auto"/>
        <w:ind w:firstLine="560" w:firstLineChars="200"/>
        <w:textAlignment w:val="baseline"/>
        <w:rPr>
          <w:rStyle w:val="74"/>
          <w:rFonts w:hint="eastAsia" w:ascii="宋体" w:hAnsi="宋体" w:cs="宋体"/>
          <w:color w:val="auto"/>
          <w:sz w:val="28"/>
          <w:szCs w:val="28"/>
          <w:highlight w:val="none"/>
        </w:rPr>
      </w:pPr>
      <w:r>
        <w:rPr>
          <w:rStyle w:val="74"/>
          <w:rFonts w:hint="eastAsia" w:ascii="宋体" w:hAnsi="宋体" w:cs="宋体"/>
          <w:color w:val="auto"/>
          <w:sz w:val="28"/>
          <w:szCs w:val="28"/>
          <w:highlight w:val="none"/>
        </w:rPr>
        <w:t>投标单位地址:</w:t>
      </w:r>
      <w:r>
        <w:rPr>
          <w:rStyle w:val="74"/>
          <w:rFonts w:hint="eastAsia" w:ascii="宋体" w:hAnsi="宋体" w:cs="宋体"/>
          <w:color w:val="auto"/>
          <w:sz w:val="28"/>
          <w:szCs w:val="28"/>
          <w:highlight w:val="none"/>
          <w:lang w:val="zh-CN"/>
        </w:rPr>
        <w:t xml:space="preserve">  </w:t>
      </w:r>
      <w:r>
        <w:rPr>
          <w:rStyle w:val="74"/>
          <w:rFonts w:hint="eastAsia" w:ascii="宋体" w:hAnsi="宋体" w:cs="宋体"/>
          <w:color w:val="auto"/>
          <w:sz w:val="28"/>
          <w:szCs w:val="28"/>
          <w:highlight w:val="none"/>
          <w:u w:val="single" w:color="000000"/>
        </w:rPr>
        <w:t xml:space="preserve">                  </w:t>
      </w:r>
      <w:r>
        <w:rPr>
          <w:rStyle w:val="74"/>
          <w:rFonts w:hint="eastAsia" w:ascii="宋体" w:hAnsi="宋体" w:cs="宋体"/>
          <w:color w:val="auto"/>
          <w:sz w:val="28"/>
          <w:szCs w:val="28"/>
          <w:highlight w:val="none"/>
          <w:u w:val="single" w:color="000000"/>
          <w:lang w:val="zh-CN"/>
        </w:rPr>
        <w:t xml:space="preserve">　          </w:t>
      </w:r>
      <w:r>
        <w:rPr>
          <w:rStyle w:val="74"/>
          <w:rFonts w:hint="eastAsia" w:ascii="宋体" w:hAnsi="宋体" w:cs="宋体"/>
          <w:color w:val="auto"/>
          <w:sz w:val="28"/>
          <w:szCs w:val="28"/>
          <w:highlight w:val="none"/>
          <w:u w:val="single" w:color="000000"/>
        </w:rPr>
        <w:t xml:space="preserve">      </w:t>
      </w:r>
      <w:r>
        <w:rPr>
          <w:rStyle w:val="74"/>
          <w:rFonts w:hint="eastAsia" w:ascii="宋体" w:hAnsi="宋体" w:cs="宋体"/>
          <w:color w:val="auto"/>
          <w:sz w:val="28"/>
          <w:szCs w:val="28"/>
          <w:highlight w:val="none"/>
          <w:u w:val="single" w:color="000000"/>
          <w:lang w:val="zh-CN"/>
        </w:rPr>
        <w:t xml:space="preserve">        </w:t>
      </w:r>
      <w:r>
        <w:rPr>
          <w:rStyle w:val="74"/>
          <w:rFonts w:hint="eastAsia" w:ascii="宋体" w:hAnsi="宋体" w:cs="宋体"/>
          <w:color w:val="auto"/>
          <w:sz w:val="28"/>
          <w:szCs w:val="28"/>
          <w:highlight w:val="none"/>
          <w:u w:val="single" w:color="000000"/>
        </w:rPr>
        <w:t xml:space="preserve"> </w:t>
      </w:r>
      <w:r>
        <w:rPr>
          <w:rStyle w:val="74"/>
          <w:rFonts w:hint="eastAsia" w:ascii="宋体" w:hAnsi="宋体" w:cs="宋体"/>
          <w:color w:val="auto"/>
          <w:sz w:val="28"/>
          <w:szCs w:val="28"/>
          <w:highlight w:val="none"/>
          <w:lang w:val="zh-CN"/>
        </w:rPr>
        <w:t xml:space="preserve">     </w:t>
      </w:r>
      <w:r>
        <w:rPr>
          <w:rStyle w:val="74"/>
          <w:rFonts w:hint="eastAsia" w:ascii="宋体" w:hAnsi="宋体" w:cs="宋体"/>
          <w:color w:val="auto"/>
          <w:sz w:val="28"/>
          <w:szCs w:val="28"/>
          <w:highlight w:val="none"/>
        </w:rPr>
        <w:t xml:space="preserve">                   </w:t>
      </w:r>
      <w:r>
        <w:rPr>
          <w:rStyle w:val="74"/>
          <w:rFonts w:hint="eastAsia" w:ascii="宋体" w:hAnsi="宋体" w:cs="宋体"/>
          <w:color w:val="auto"/>
          <w:sz w:val="28"/>
          <w:szCs w:val="28"/>
          <w:highlight w:val="none"/>
          <w:lang w:val="zh-CN"/>
        </w:rPr>
        <w:t>　　</w:t>
      </w:r>
      <w:r>
        <w:rPr>
          <w:rStyle w:val="74"/>
          <w:rFonts w:hint="eastAsia" w:ascii="宋体" w:hAnsi="宋体" w:cs="宋体"/>
          <w:color w:val="auto"/>
          <w:sz w:val="28"/>
          <w:szCs w:val="28"/>
          <w:highlight w:val="none"/>
        </w:rPr>
        <w:t xml:space="preserve">                              </w:t>
      </w:r>
      <w:r>
        <w:rPr>
          <w:rStyle w:val="74"/>
          <w:rFonts w:hint="eastAsia" w:ascii="宋体" w:hAnsi="宋体" w:cs="宋体"/>
          <w:color w:val="auto"/>
          <w:sz w:val="28"/>
          <w:szCs w:val="28"/>
          <w:highlight w:val="none"/>
          <w:u w:val="single" w:color="000000"/>
          <w:lang w:val="zh-CN"/>
        </w:rPr>
        <w:t xml:space="preserve">       </w:t>
      </w:r>
      <w:r>
        <w:rPr>
          <w:rStyle w:val="74"/>
          <w:rFonts w:hint="eastAsia" w:ascii="宋体" w:hAnsi="宋体" w:cs="宋体"/>
          <w:color w:val="auto"/>
          <w:sz w:val="28"/>
          <w:szCs w:val="28"/>
          <w:highlight w:val="none"/>
          <w:u w:val="single" w:color="000000"/>
        </w:rPr>
        <w:t xml:space="preserve">              </w:t>
      </w:r>
    </w:p>
    <w:p w14:paraId="4D645DF7">
      <w:pPr>
        <w:tabs>
          <w:tab w:val="left" w:pos="1140"/>
        </w:tabs>
        <w:snapToGrid w:val="0"/>
        <w:spacing w:line="360" w:lineRule="auto"/>
        <w:jc w:val="right"/>
        <w:textAlignment w:val="baseline"/>
        <w:rPr>
          <w:rStyle w:val="74"/>
          <w:rFonts w:hint="eastAsia" w:ascii="宋体" w:hAnsi="宋体" w:cs="宋体"/>
          <w:color w:val="auto"/>
          <w:sz w:val="28"/>
          <w:szCs w:val="28"/>
          <w:highlight w:val="none"/>
        </w:rPr>
      </w:pPr>
    </w:p>
    <w:p w14:paraId="148DCDE9">
      <w:pPr>
        <w:tabs>
          <w:tab w:val="left" w:pos="1140"/>
        </w:tabs>
        <w:snapToGrid w:val="0"/>
        <w:spacing w:line="360" w:lineRule="auto"/>
        <w:jc w:val="right"/>
        <w:textAlignment w:val="baseline"/>
        <w:rPr>
          <w:rStyle w:val="74"/>
          <w:rFonts w:hint="eastAsia" w:ascii="宋体" w:hAnsi="宋体" w:cs="宋体"/>
          <w:color w:val="auto"/>
          <w:sz w:val="28"/>
          <w:szCs w:val="28"/>
          <w:highlight w:val="none"/>
        </w:rPr>
      </w:pPr>
      <w:r>
        <w:rPr>
          <w:rStyle w:val="74"/>
          <w:rFonts w:hint="eastAsia" w:ascii="宋体" w:hAnsi="宋体" w:cs="宋体"/>
          <w:color w:val="auto"/>
          <w:sz w:val="28"/>
          <w:szCs w:val="28"/>
          <w:highlight w:val="none"/>
        </w:rPr>
        <w:t>年    月    日</w:t>
      </w:r>
    </w:p>
    <w:p w14:paraId="5097374D">
      <w:pPr>
        <w:tabs>
          <w:tab w:val="left" w:pos="1140"/>
        </w:tabs>
        <w:snapToGrid w:val="0"/>
        <w:spacing w:line="360" w:lineRule="auto"/>
        <w:jc w:val="right"/>
        <w:textAlignment w:val="baseline"/>
        <w:rPr>
          <w:rStyle w:val="74"/>
          <w:rFonts w:hint="eastAsia" w:ascii="宋体" w:hAnsi="宋体" w:cs="宋体"/>
          <w:color w:val="auto"/>
          <w:sz w:val="28"/>
          <w:szCs w:val="28"/>
          <w:highlight w:val="none"/>
        </w:rPr>
      </w:pPr>
    </w:p>
    <w:p w14:paraId="5EF6E93D">
      <w:pPr>
        <w:spacing w:line="360" w:lineRule="auto"/>
        <w:textAlignment w:val="baseline"/>
        <w:rPr>
          <w:rStyle w:val="74"/>
          <w:rFonts w:hint="eastAsia" w:ascii="宋体" w:hAnsi="宋体" w:cs="宋体"/>
          <w:b/>
          <w:color w:val="auto"/>
          <w:sz w:val="28"/>
          <w:szCs w:val="28"/>
          <w:highlight w:val="none"/>
        </w:rPr>
      </w:pPr>
      <w:r>
        <w:rPr>
          <w:rStyle w:val="74"/>
          <w:rFonts w:hint="eastAsia" w:ascii="宋体" w:hAnsi="宋体" w:cs="宋体"/>
          <w:b/>
          <w:color w:val="auto"/>
          <w:sz w:val="28"/>
          <w:szCs w:val="28"/>
          <w:highlight w:val="none"/>
        </w:rPr>
        <w:t>2.投标文件目录格式</w:t>
      </w:r>
    </w:p>
    <w:p w14:paraId="4055B915">
      <w:pPr>
        <w:pStyle w:val="2"/>
        <w:rPr>
          <w:rFonts w:hint="eastAsia"/>
          <w:color w:val="auto"/>
          <w:highlight w:val="none"/>
        </w:rPr>
      </w:pPr>
    </w:p>
    <w:p w14:paraId="240C3C83">
      <w:pPr>
        <w:spacing w:line="360" w:lineRule="auto"/>
        <w:jc w:val="center"/>
        <w:rPr>
          <w:rStyle w:val="74"/>
          <w:rFonts w:hint="eastAsia" w:ascii="宋体" w:hAnsi="宋体" w:cs="宋体"/>
          <w:color w:val="auto"/>
          <w:sz w:val="44"/>
          <w:szCs w:val="44"/>
          <w:highlight w:val="none"/>
        </w:rPr>
      </w:pPr>
      <w:r>
        <w:rPr>
          <w:rFonts w:hint="eastAsia" w:ascii="宋体" w:hAnsi="宋体" w:cs="宋体"/>
          <w:b/>
          <w:color w:val="auto"/>
          <w:sz w:val="44"/>
          <w:szCs w:val="44"/>
          <w:highlight w:val="none"/>
          <w:lang w:val="en-US" w:eastAsia="zh-CN"/>
        </w:rPr>
        <w:t xml:space="preserve">   </w:t>
      </w:r>
      <w:r>
        <w:rPr>
          <w:rFonts w:hint="eastAsia" w:ascii="宋体" w:hAnsi="宋体" w:cs="宋体"/>
          <w:b/>
          <w:color w:val="auto"/>
          <w:sz w:val="44"/>
          <w:szCs w:val="44"/>
          <w:highlight w:val="none"/>
        </w:rPr>
        <w:t>目  录</w:t>
      </w:r>
    </w:p>
    <w:p w14:paraId="7E768970">
      <w:pPr>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一、投标函（格式附后）</w:t>
      </w:r>
    </w:p>
    <w:p w14:paraId="006935BF">
      <w:pPr>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二、法定代表人身份证明或法人授权委托书（格式附后）</w:t>
      </w:r>
    </w:p>
    <w:p w14:paraId="3222F5AA">
      <w:pPr>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三、开标一览表（格式附后）</w:t>
      </w:r>
    </w:p>
    <w:p w14:paraId="6EA037F9">
      <w:pPr>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四、商务及技术偏离表（格式附后）</w:t>
      </w:r>
    </w:p>
    <w:p w14:paraId="4106AB93">
      <w:pPr>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五、资格证明文件（具体要求详见采购文件）</w:t>
      </w:r>
    </w:p>
    <w:p w14:paraId="493A1B85">
      <w:pPr>
        <w:pStyle w:val="3"/>
        <w:ind w:firstLine="482" w:firstLineChars="200"/>
        <w:jc w:val="both"/>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①</w:t>
      </w:r>
      <w:r>
        <w:rPr>
          <w:rFonts w:hint="eastAsia" w:ascii="宋体" w:hAnsi="宋体" w:eastAsia="宋体" w:cs="宋体"/>
          <w:b/>
          <w:color w:val="auto"/>
          <w:sz w:val="24"/>
          <w:highlight w:val="none"/>
        </w:rPr>
        <w:t>符合《中华人民共和国政府采购法》第二十二条的相关规定</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②企业资格；③项目负责人资格；④信用查询；⑤投标保证金；⑥未组成联合体投标；⑦其它要求；⑧中小企业声明函（格式附后）。</w:t>
      </w:r>
    </w:p>
    <w:p w14:paraId="550C585D">
      <w:pPr>
        <w:numPr>
          <w:ilvl w:val="0"/>
          <w:numId w:val="18"/>
        </w:numPr>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ru-RU" w:eastAsia="zh-CN"/>
        </w:rPr>
        <w:t>近三年</w:t>
      </w:r>
      <w:r>
        <w:rPr>
          <w:rFonts w:hint="eastAsia" w:ascii="宋体" w:hAnsi="宋体" w:eastAsia="宋体" w:cs="宋体"/>
          <w:color w:val="auto"/>
          <w:sz w:val="24"/>
          <w:szCs w:val="24"/>
          <w:highlight w:val="none"/>
          <w:lang w:val="en-US" w:eastAsia="zh-CN"/>
        </w:rPr>
        <w:t>企业类似业绩（格式附后）</w:t>
      </w:r>
    </w:p>
    <w:p w14:paraId="58D03AE2">
      <w:pPr>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val="zh-CN" w:eastAsia="zh-CN"/>
        </w:rPr>
        <w:t>项目管理人员（</w:t>
      </w:r>
      <w:r>
        <w:rPr>
          <w:rFonts w:hint="eastAsia" w:ascii="宋体" w:hAnsi="宋体" w:eastAsia="宋体" w:cs="宋体"/>
          <w:color w:val="auto"/>
          <w:sz w:val="24"/>
          <w:szCs w:val="24"/>
          <w:highlight w:val="none"/>
          <w:lang w:val="en-US" w:eastAsia="zh-CN"/>
        </w:rPr>
        <w:t>格式附后</w:t>
      </w:r>
      <w:r>
        <w:rPr>
          <w:rFonts w:hint="eastAsia" w:ascii="宋体" w:hAnsi="宋体" w:eastAsia="宋体" w:cs="宋体"/>
          <w:color w:val="auto"/>
          <w:sz w:val="24"/>
          <w:szCs w:val="24"/>
          <w:highlight w:val="none"/>
          <w:lang w:val="zh-CN" w:eastAsia="zh-CN"/>
        </w:rPr>
        <w:t>）</w:t>
      </w:r>
    </w:p>
    <w:p w14:paraId="2109BC57">
      <w:pPr>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八、施工组织设计（技术标）</w:t>
      </w:r>
    </w:p>
    <w:p w14:paraId="05440C30">
      <w:pPr>
        <w:spacing w:line="360" w:lineRule="auto"/>
        <w:textAlignment w:val="baseline"/>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（1）</w:t>
      </w:r>
      <w:r>
        <w:rPr>
          <w:rFonts w:hint="eastAsia" w:ascii="宋体" w:hAnsi="宋体" w:eastAsia="Times New Roman" w:cs="宋体"/>
          <w:color w:val="auto"/>
          <w:kern w:val="0"/>
          <w:sz w:val="24"/>
          <w:szCs w:val="24"/>
          <w:highlight w:val="none"/>
          <w:lang w:val="en-US" w:eastAsia="en-US" w:bidi="ar-SA"/>
        </w:rPr>
        <w:t>总体施工组织布置及规划</w:t>
      </w:r>
    </w:p>
    <w:p w14:paraId="7C4376FB">
      <w:pPr>
        <w:spacing w:line="360" w:lineRule="auto"/>
        <w:textAlignment w:val="baseline"/>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（2）</w:t>
      </w:r>
      <w:r>
        <w:rPr>
          <w:rFonts w:hint="eastAsia" w:ascii="宋体" w:hAnsi="宋体" w:eastAsia="Times New Roman" w:cs="宋体"/>
          <w:color w:val="auto"/>
          <w:kern w:val="0"/>
          <w:sz w:val="24"/>
          <w:szCs w:val="24"/>
          <w:highlight w:val="none"/>
          <w:lang w:val="en-US" w:eastAsia="en-US" w:bidi="ar-SA"/>
        </w:rPr>
        <w:t>主要工程项目的施工方案、方法与技术措施</w:t>
      </w:r>
    </w:p>
    <w:p w14:paraId="54B02CD8">
      <w:pPr>
        <w:spacing w:line="360" w:lineRule="auto"/>
        <w:textAlignment w:val="baseline"/>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（3）工期保证体系及保证措施</w:t>
      </w:r>
    </w:p>
    <w:p w14:paraId="5CFCF493">
      <w:pPr>
        <w:spacing w:line="360" w:lineRule="auto"/>
        <w:textAlignment w:val="baseline"/>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（4）工程质量管理体系及保证措施</w:t>
      </w:r>
    </w:p>
    <w:p w14:paraId="4C32DF93">
      <w:pPr>
        <w:spacing w:line="360" w:lineRule="auto"/>
        <w:textAlignment w:val="baseline"/>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（5）安全生产管理体系及保证措施</w:t>
      </w:r>
    </w:p>
    <w:p w14:paraId="08B6504E">
      <w:pPr>
        <w:spacing w:line="360" w:lineRule="auto"/>
        <w:textAlignment w:val="baseline"/>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（6）环境保护、水土保持保证体系及保证措施</w:t>
      </w:r>
    </w:p>
    <w:p w14:paraId="7E0D7F9A">
      <w:pPr>
        <w:spacing w:line="360" w:lineRule="auto"/>
        <w:textAlignment w:val="baseline"/>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（7）文明施工、文物保护保证体系及保证措施</w:t>
      </w:r>
    </w:p>
    <w:p w14:paraId="06713EC9">
      <w:pPr>
        <w:spacing w:line="360" w:lineRule="auto"/>
        <w:textAlignment w:val="baseline"/>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（8）项目风险预测与防范，事故应急预案</w:t>
      </w:r>
    </w:p>
    <w:p w14:paraId="0DCF8E0C">
      <w:pPr>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九、投标预算（</w:t>
      </w:r>
      <w:r>
        <w:rPr>
          <w:rFonts w:hint="eastAsia" w:ascii="宋体" w:hAnsi="宋体" w:cs="宋体"/>
          <w:color w:val="auto"/>
          <w:sz w:val="24"/>
          <w:szCs w:val="24"/>
          <w:highlight w:val="none"/>
          <w:lang w:val="en-US" w:eastAsia="zh-CN"/>
        </w:rPr>
        <w:t>经济标</w:t>
      </w:r>
      <w:r>
        <w:rPr>
          <w:rFonts w:hint="eastAsia" w:ascii="宋体" w:hAnsi="宋体" w:eastAsia="宋体" w:cs="宋体"/>
          <w:color w:val="auto"/>
          <w:sz w:val="24"/>
          <w:szCs w:val="24"/>
          <w:highlight w:val="none"/>
          <w:lang w:val="en-US" w:eastAsia="zh-CN"/>
        </w:rPr>
        <w:t>）</w:t>
      </w:r>
    </w:p>
    <w:p w14:paraId="48A0C85C">
      <w:pPr>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注：需</w:t>
      </w:r>
      <w:r>
        <w:rPr>
          <w:rFonts w:hint="eastAsia" w:ascii="宋体" w:hAnsi="宋体" w:eastAsia="宋体" w:cs="宋体"/>
          <w:color w:val="auto"/>
          <w:sz w:val="24"/>
          <w:szCs w:val="24"/>
          <w:highlight w:val="none"/>
          <w:lang w:val="en-US" w:eastAsia="zh-CN"/>
        </w:rPr>
        <w:t>按照采购人提供的工程量清单填入单价。</w:t>
      </w:r>
    </w:p>
    <w:p w14:paraId="582FBC59">
      <w:pPr>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十、提供其它有利于磋商的资料</w:t>
      </w:r>
    </w:p>
    <w:p w14:paraId="4691092D">
      <w:pPr>
        <w:rPr>
          <w:rFonts w:hint="eastAsia" w:ascii="宋体" w:hAnsi="宋体"/>
          <w:b/>
          <w:color w:val="auto"/>
          <w:kern w:val="0"/>
          <w:highlight w:val="none"/>
        </w:rPr>
      </w:pPr>
    </w:p>
    <w:p w14:paraId="287CDA80">
      <w:pPr>
        <w:rPr>
          <w:rFonts w:hint="eastAsia" w:ascii="宋体" w:hAnsi="宋体"/>
          <w:b/>
          <w:color w:val="auto"/>
          <w:kern w:val="0"/>
          <w:highlight w:val="none"/>
        </w:rPr>
      </w:pPr>
    </w:p>
    <w:p w14:paraId="42790E3B">
      <w:pPr>
        <w:rPr>
          <w:rFonts w:hint="eastAsia" w:ascii="宋体" w:hAnsi="宋体"/>
          <w:b/>
          <w:color w:val="auto"/>
          <w:kern w:val="0"/>
          <w:highlight w:val="none"/>
        </w:rPr>
      </w:pPr>
    </w:p>
    <w:p w14:paraId="3FCAB9D8">
      <w:pPr>
        <w:pStyle w:val="2"/>
        <w:jc w:val="both"/>
        <w:rPr>
          <w:rFonts w:hint="default" w:eastAsia="宋体"/>
          <w:color w:val="auto"/>
          <w:sz w:val="28"/>
          <w:szCs w:val="28"/>
          <w:highlight w:val="none"/>
          <w:lang w:val="en-US" w:eastAsia="zh-CN"/>
        </w:rPr>
      </w:pPr>
      <w:r>
        <w:rPr>
          <w:rFonts w:hint="eastAsia"/>
          <w:color w:val="auto"/>
          <w:sz w:val="28"/>
          <w:szCs w:val="28"/>
          <w:highlight w:val="none"/>
          <w:lang w:val="en-US" w:eastAsia="zh-CN"/>
        </w:rPr>
        <w:t>一、投标函格式：</w:t>
      </w:r>
    </w:p>
    <w:p w14:paraId="75D99FB0">
      <w:pPr>
        <w:spacing w:line="440" w:lineRule="exact"/>
        <w:jc w:val="center"/>
        <w:rPr>
          <w:rFonts w:hint="eastAsia" w:ascii="宋体" w:hAnsi="宋体"/>
          <w:b/>
          <w:color w:val="auto"/>
          <w:kern w:val="0"/>
          <w:highlight w:val="none"/>
        </w:rPr>
      </w:pPr>
    </w:p>
    <w:p w14:paraId="2891EFB0">
      <w:pPr>
        <w:pStyle w:val="2"/>
        <w:keepLines/>
        <w:spacing w:line="360" w:lineRule="auto"/>
        <w:ind w:left="0" w:leftChars="0"/>
        <w:jc w:val="center"/>
        <w:rPr>
          <w:rFonts w:hint="eastAsia" w:ascii="Cambria" w:hAnsi="Cambria" w:eastAsia="宋体" w:cs="Times New Roman"/>
          <w:bCs/>
          <w:color w:val="auto"/>
          <w:kern w:val="44"/>
          <w:sz w:val="32"/>
          <w:szCs w:val="32"/>
          <w:highlight w:val="none"/>
          <w:lang w:val="en-US" w:eastAsia="zh-CN"/>
        </w:rPr>
      </w:pPr>
      <w:r>
        <w:rPr>
          <w:rFonts w:hint="eastAsia" w:ascii="Cambria" w:hAnsi="Cambria" w:eastAsia="宋体" w:cs="Times New Roman"/>
          <w:bCs/>
          <w:color w:val="auto"/>
          <w:kern w:val="44"/>
          <w:sz w:val="32"/>
          <w:szCs w:val="32"/>
          <w:highlight w:val="none"/>
          <w:lang w:val="en-US" w:eastAsia="zh-CN"/>
        </w:rPr>
        <w:t>投  标  函</w:t>
      </w:r>
    </w:p>
    <w:p w14:paraId="3A173840">
      <w:pPr>
        <w:spacing w:line="360" w:lineRule="auto"/>
        <w:ind w:left="484" w:leftChars="1" w:hanging="482" w:hangingChars="20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p>
    <w:p w14:paraId="4482F6D9">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1、根据已收到的</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工程的竞争性磋商文件，我单位经考察现场和研究贵方的竞争性磋商文件后，将接受该工程竞争性磋商文件中的各条款内容并且以</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en-US" w:eastAsia="zh-CN" w:bidi="ar-SA"/>
        </w:rPr>
        <w:t>（元）</w:t>
      </w:r>
      <w:r>
        <w:rPr>
          <w:rFonts w:hint="eastAsia" w:ascii="宋体" w:hAnsi="宋体" w:eastAsia="宋体" w:cs="宋体"/>
          <w:color w:val="auto"/>
          <w:kern w:val="2"/>
          <w:sz w:val="24"/>
          <w:szCs w:val="24"/>
          <w:highlight w:val="none"/>
          <w:lang w:val="en-US" w:eastAsia="zh-CN" w:bidi="ar-SA"/>
        </w:rPr>
        <w:t>的投标价格承包本招标范围内的工程。</w:t>
      </w:r>
    </w:p>
    <w:p w14:paraId="10C3AD45">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2、如果我方中标，非业主原因，我方保证将在下列日期内组织施工：工期</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日历天，计划</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年</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月</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日开工，计划</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年</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月</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日竣工；</w:t>
      </w:r>
    </w:p>
    <w:p w14:paraId="521E2433">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cs="宋体"/>
          <w:color w:val="auto"/>
          <w:sz w:val="24"/>
          <w:szCs w:val="24"/>
          <w:highlight w:val="none"/>
        </w:rPr>
        <w:t>我方承诺按照磋商文件要求</w:t>
      </w:r>
      <w:r>
        <w:rPr>
          <w:rFonts w:hint="eastAsia" w:ascii="宋体" w:hAnsi="宋体" w:cs="宋体"/>
          <w:color w:val="auto"/>
          <w:sz w:val="24"/>
          <w:szCs w:val="24"/>
          <w:highlight w:val="none"/>
          <w:lang w:val="en-US" w:eastAsia="zh-CN"/>
        </w:rPr>
        <w:t>进行施工</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建设地点为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，质量要求为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安全目标为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承包方式为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，付款方式为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，磋商有效期为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责任缺陷期为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，质</w:t>
      </w:r>
      <w:r>
        <w:rPr>
          <w:rFonts w:hint="eastAsia" w:ascii="宋体" w:hAnsi="宋体" w:cs="宋体"/>
          <w:color w:val="auto"/>
          <w:sz w:val="24"/>
          <w:szCs w:val="24"/>
          <w:highlight w:val="none"/>
          <w:lang w:val="en-US" w:eastAsia="zh-CN"/>
        </w:rPr>
        <w:t>量保修期</w:t>
      </w:r>
      <w:r>
        <w:rPr>
          <w:rFonts w:hint="eastAsia" w:ascii="宋体" w:hAnsi="宋体" w:cs="宋体"/>
          <w:color w:val="auto"/>
          <w:sz w:val="24"/>
          <w:szCs w:val="24"/>
          <w:highlight w:val="none"/>
        </w:rPr>
        <w:t>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，质保金为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，投标保证金为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t xml:space="preserve">      </w:t>
      </w:r>
    </w:p>
    <w:p w14:paraId="79B40704">
      <w:pPr>
        <w:numPr>
          <w:ilvl w:val="0"/>
          <w:numId w:val="0"/>
        </w:num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4、如果我方中标，我方将按竞争性磋商文件规定的时间内签订承包合同。</w:t>
      </w:r>
    </w:p>
    <w:p w14:paraId="1899B780">
      <w:pPr>
        <w:numPr>
          <w:ilvl w:val="0"/>
          <w:numId w:val="0"/>
        </w:numPr>
        <w:spacing w:line="360" w:lineRule="auto"/>
        <w:ind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5、贵方的竞争性磋商文件、中标通知书（或成交通知书）、我方的投标文件将构成约束双方的合同一部分。</w:t>
      </w:r>
    </w:p>
    <w:p w14:paraId="113E7228">
      <w:pPr>
        <w:spacing w:line="360" w:lineRule="auto"/>
        <w:ind w:firstLine="4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6、如果我方未中标，贵方没有必要对我方做出任何解释和说明，我方将充分尊重和理解贵方的选择。</w:t>
      </w:r>
    </w:p>
    <w:p w14:paraId="254E3C1A">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7、我方愿意遵守国家有关规定和招标文件中规定的收费标准,承付中标服务费。</w:t>
      </w:r>
    </w:p>
    <w:p w14:paraId="47DE57DE">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8、其它承诺事宜：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w:t>
      </w:r>
    </w:p>
    <w:p w14:paraId="7C2A6FCA">
      <w:pPr>
        <w:pStyle w:val="24"/>
        <w:rPr>
          <w:rFonts w:hint="default" w:ascii="宋体" w:hAnsi="宋体" w:eastAsia="宋体" w:cs="宋体"/>
          <w:color w:val="auto"/>
          <w:kern w:val="2"/>
          <w:sz w:val="24"/>
          <w:szCs w:val="24"/>
          <w:highlight w:val="none"/>
          <w:lang w:val="en-US" w:eastAsia="zh-CN" w:bidi="ar-SA"/>
        </w:rPr>
      </w:pPr>
    </w:p>
    <w:p w14:paraId="5C3C80C4">
      <w:pPr>
        <w:pStyle w:val="87"/>
        <w:rPr>
          <w:rFonts w:hint="default" w:ascii="宋体" w:hAnsi="宋体" w:eastAsia="宋体" w:cs="宋体"/>
          <w:color w:val="auto"/>
          <w:kern w:val="2"/>
          <w:sz w:val="24"/>
          <w:szCs w:val="24"/>
          <w:highlight w:val="none"/>
          <w:lang w:val="en-US" w:eastAsia="zh-CN" w:bidi="ar-SA"/>
        </w:rPr>
      </w:pPr>
    </w:p>
    <w:p w14:paraId="287AECCC">
      <w:pPr>
        <w:rPr>
          <w:rFonts w:hint="eastAsia" w:ascii="宋体" w:hAnsi="宋体" w:eastAsia="宋体" w:cs="宋体"/>
          <w:color w:val="auto"/>
          <w:kern w:val="2"/>
          <w:sz w:val="24"/>
          <w:szCs w:val="24"/>
          <w:highlight w:val="none"/>
          <w:lang w:val="en-US" w:eastAsia="zh-CN" w:bidi="ar-SA"/>
        </w:rPr>
      </w:pPr>
    </w:p>
    <w:p w14:paraId="34397D6E">
      <w:pPr>
        <w:numPr>
          <w:ilvl w:val="0"/>
          <w:numId w:val="0"/>
        </w:numPr>
        <w:spacing w:line="360" w:lineRule="auto"/>
        <w:ind w:leftChars="0" w:firstLine="1680" w:firstLineChars="7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投标单位（盖章）：</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p>
    <w:p w14:paraId="1FAEBE90">
      <w:pPr>
        <w:numPr>
          <w:ilvl w:val="0"/>
          <w:numId w:val="0"/>
        </w:numPr>
        <w:spacing w:line="360" w:lineRule="auto"/>
        <w:ind w:leftChars="0" w:firstLine="480" w:firstLineChars="200"/>
        <w:rPr>
          <w:rFonts w:hint="eastAsia" w:ascii="宋体" w:hAnsi="宋体" w:eastAsia="宋体" w:cs="宋体"/>
          <w:color w:val="auto"/>
          <w:kern w:val="2"/>
          <w:sz w:val="24"/>
          <w:szCs w:val="24"/>
          <w:highlight w:val="none"/>
          <w:lang w:val="en-US" w:eastAsia="zh-CN" w:bidi="ar-SA"/>
        </w:rPr>
      </w:pPr>
    </w:p>
    <w:p w14:paraId="1C5699EF">
      <w:pPr>
        <w:numPr>
          <w:ilvl w:val="0"/>
          <w:numId w:val="0"/>
        </w:numPr>
        <w:spacing w:line="360" w:lineRule="auto"/>
        <w:ind w:leftChars="0" w:firstLine="1680" w:firstLineChars="700"/>
        <w:rPr>
          <w:rFonts w:hint="default"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法定代表人或委托代理人（签字或盖章）：</w:t>
      </w:r>
      <w:r>
        <w:rPr>
          <w:rFonts w:hint="eastAsia" w:ascii="宋体" w:hAnsi="宋体" w:eastAsia="宋体" w:cs="宋体"/>
          <w:color w:val="auto"/>
          <w:kern w:val="2"/>
          <w:sz w:val="24"/>
          <w:szCs w:val="24"/>
          <w:highlight w:val="none"/>
          <w:u w:val="single"/>
          <w:lang w:val="en-US" w:eastAsia="zh-CN" w:bidi="ar-SA"/>
        </w:rPr>
        <w:t xml:space="preserve">                  </w:t>
      </w:r>
    </w:p>
    <w:p w14:paraId="2DB1F87D">
      <w:pPr>
        <w:numPr>
          <w:ilvl w:val="0"/>
          <w:numId w:val="0"/>
        </w:numPr>
        <w:spacing w:line="360" w:lineRule="auto"/>
        <w:ind w:leftChars="0" w:firstLine="480" w:firstLineChars="200"/>
        <w:rPr>
          <w:rFonts w:hint="eastAsia" w:ascii="宋体" w:hAnsi="宋体" w:eastAsia="宋体" w:cs="宋体"/>
          <w:color w:val="auto"/>
          <w:kern w:val="2"/>
          <w:sz w:val="24"/>
          <w:szCs w:val="24"/>
          <w:highlight w:val="none"/>
          <w:lang w:val="en-US" w:eastAsia="zh-CN" w:bidi="ar-SA"/>
        </w:rPr>
      </w:pPr>
    </w:p>
    <w:p w14:paraId="0FC39B70">
      <w:pPr>
        <w:numPr>
          <w:ilvl w:val="0"/>
          <w:numId w:val="0"/>
        </w:numPr>
        <w:spacing w:line="360" w:lineRule="auto"/>
        <w:ind w:leftChars="0" w:firstLine="1680" w:firstLineChars="7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  期：    年    月    日</w:t>
      </w:r>
    </w:p>
    <w:p w14:paraId="02075CAF">
      <w:pPr>
        <w:spacing w:line="360" w:lineRule="auto"/>
        <w:ind w:left="0" w:leftChars="0" w:firstLine="0" w:firstLineChars="0"/>
        <w:rPr>
          <w:rFonts w:hint="eastAsia" w:ascii="宋体" w:hAnsi="宋体" w:cs="宋体"/>
          <w:b/>
          <w:color w:val="auto"/>
          <w:kern w:val="0"/>
          <w:sz w:val="28"/>
          <w:szCs w:val="28"/>
          <w:highlight w:val="none"/>
        </w:rPr>
      </w:pPr>
    </w:p>
    <w:p w14:paraId="66F7CC7D">
      <w:pPr>
        <w:spacing w:line="360" w:lineRule="auto"/>
        <w:ind w:left="0" w:leftChars="0" w:firstLine="0" w:firstLineChars="0"/>
        <w:rPr>
          <w:rFonts w:hint="eastAsia" w:ascii="宋体" w:hAnsi="宋体" w:cs="宋体"/>
          <w:b/>
          <w:color w:val="auto"/>
          <w:kern w:val="0"/>
          <w:sz w:val="28"/>
          <w:szCs w:val="28"/>
          <w:highlight w:val="none"/>
        </w:rPr>
      </w:pPr>
    </w:p>
    <w:p w14:paraId="25ACEED9">
      <w:pPr>
        <w:pStyle w:val="8"/>
        <w:ind w:left="0" w:leftChars="0" w:firstLine="0" w:firstLineChars="0"/>
        <w:rPr>
          <w:rFonts w:hint="default" w:ascii="Cambria" w:hAnsi="Cambria" w:eastAsia="宋体" w:cs="Times New Roman"/>
          <w:b/>
          <w:bCs/>
          <w:color w:val="auto"/>
          <w:kern w:val="44"/>
          <w:sz w:val="28"/>
          <w:szCs w:val="28"/>
          <w:highlight w:val="none"/>
          <w:lang w:val="en-US" w:eastAsia="zh-CN" w:bidi="ar-SA"/>
        </w:rPr>
      </w:pPr>
      <w:r>
        <w:rPr>
          <w:rFonts w:hint="eastAsia" w:ascii="Cambria" w:hAnsi="Cambria" w:eastAsia="宋体" w:cs="Times New Roman"/>
          <w:b/>
          <w:bCs/>
          <w:color w:val="auto"/>
          <w:kern w:val="44"/>
          <w:sz w:val="28"/>
          <w:szCs w:val="28"/>
          <w:highlight w:val="none"/>
          <w:lang w:val="en-US" w:eastAsia="zh-CN" w:bidi="ar-SA"/>
        </w:rPr>
        <w:t>二、法定代表人身份证明或法人授权委托书格式：</w:t>
      </w:r>
    </w:p>
    <w:p w14:paraId="4EC3F077">
      <w:pPr>
        <w:ind w:left="0" w:leftChars="0" w:firstLine="0" w:firstLineChars="0"/>
        <w:rPr>
          <w:rFonts w:hint="eastAsia" w:ascii="宋体" w:hAnsi="宋体"/>
          <w:b/>
          <w:color w:val="auto"/>
          <w:kern w:val="0"/>
          <w:highlight w:val="none"/>
        </w:rPr>
      </w:pPr>
    </w:p>
    <w:p w14:paraId="4D26785D">
      <w:pPr>
        <w:pStyle w:val="88"/>
        <w:jc w:val="both"/>
        <w:outlineLvl w:val="9"/>
        <w:rPr>
          <w:rFonts w:hint="eastAsia" w:cs="宋体"/>
          <w:b w:val="0"/>
          <w:color w:val="auto"/>
          <w:sz w:val="28"/>
          <w:szCs w:val="28"/>
          <w:highlight w:val="none"/>
        </w:rPr>
      </w:pPr>
      <w:bookmarkStart w:id="170" w:name="_Toc480368595"/>
      <w:bookmarkStart w:id="171" w:name="_Toc480368424"/>
      <w:bookmarkStart w:id="172" w:name="_Toc480371721"/>
      <w:bookmarkStart w:id="173" w:name="_Toc480368653"/>
      <w:bookmarkStart w:id="174" w:name="_Toc30613"/>
      <w:bookmarkStart w:id="175" w:name="_Toc18505"/>
      <w:bookmarkStart w:id="176" w:name="_Toc15747"/>
    </w:p>
    <w:bookmarkEnd w:id="170"/>
    <w:bookmarkEnd w:id="171"/>
    <w:bookmarkEnd w:id="172"/>
    <w:bookmarkEnd w:id="173"/>
    <w:p w14:paraId="0CBCFF9D">
      <w:pPr>
        <w:pStyle w:val="2"/>
        <w:jc w:val="center"/>
        <w:rPr>
          <w:rFonts w:hint="eastAsia" w:ascii="宋体" w:hAnsi="宋体" w:cs="宋体"/>
          <w:color w:val="auto"/>
          <w:kern w:val="0"/>
          <w:sz w:val="28"/>
          <w:szCs w:val="28"/>
          <w:highlight w:val="none"/>
        </w:rPr>
      </w:pPr>
      <w:r>
        <w:rPr>
          <w:rFonts w:hint="eastAsia" w:eastAsia="宋体" w:cs="Times New Roman"/>
          <w:b/>
          <w:bCs/>
          <w:color w:val="auto"/>
          <w:highlight w:val="none"/>
          <w:lang w:val="en-US" w:eastAsia="zh-CN"/>
        </w:rPr>
        <w:t>法定代表人身份证明书</w:t>
      </w:r>
    </w:p>
    <w:p w14:paraId="37A5E450">
      <w:pPr>
        <w:jc w:val="center"/>
        <w:rPr>
          <w:rFonts w:hint="eastAsia" w:ascii="宋体" w:hAnsi="宋体" w:cs="宋体"/>
          <w:color w:val="auto"/>
          <w:kern w:val="0"/>
          <w:sz w:val="28"/>
          <w:szCs w:val="28"/>
          <w:highlight w:val="none"/>
        </w:rPr>
      </w:pPr>
    </w:p>
    <w:p w14:paraId="1F79F8AC">
      <w:pPr>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企业名称：</w:t>
      </w:r>
      <w:r>
        <w:rPr>
          <w:rFonts w:hint="eastAsia" w:ascii="宋体" w:hAnsi="宋体" w:cs="宋体"/>
          <w:color w:val="auto"/>
          <w:kern w:val="0"/>
          <w:sz w:val="24"/>
          <w:szCs w:val="24"/>
          <w:highlight w:val="none"/>
          <w:u w:val="single"/>
        </w:rPr>
        <w:t xml:space="preserve">                                                   </w:t>
      </w:r>
    </w:p>
    <w:p w14:paraId="687EB647">
      <w:pPr>
        <w:rPr>
          <w:rFonts w:hint="eastAsia" w:ascii="宋体" w:hAnsi="宋体" w:cs="宋体"/>
          <w:color w:val="auto"/>
          <w:kern w:val="0"/>
          <w:sz w:val="24"/>
          <w:szCs w:val="24"/>
          <w:highlight w:val="none"/>
          <w:u w:val="single"/>
        </w:rPr>
      </w:pPr>
    </w:p>
    <w:p w14:paraId="1947DD9F">
      <w:pPr>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企业类型：</w:t>
      </w:r>
      <w:r>
        <w:rPr>
          <w:rFonts w:hint="eastAsia" w:ascii="宋体" w:hAnsi="宋体" w:cs="宋体"/>
          <w:color w:val="auto"/>
          <w:kern w:val="0"/>
          <w:sz w:val="24"/>
          <w:szCs w:val="24"/>
          <w:highlight w:val="none"/>
          <w:u w:val="single"/>
        </w:rPr>
        <w:t xml:space="preserve">                                                   </w:t>
      </w:r>
    </w:p>
    <w:p w14:paraId="6C272C71">
      <w:pPr>
        <w:rPr>
          <w:rFonts w:hint="eastAsia" w:ascii="宋体" w:hAnsi="宋体" w:cs="宋体"/>
          <w:color w:val="auto"/>
          <w:kern w:val="0"/>
          <w:sz w:val="24"/>
          <w:szCs w:val="24"/>
          <w:highlight w:val="none"/>
        </w:rPr>
      </w:pPr>
    </w:p>
    <w:p w14:paraId="4D3C254F">
      <w:pPr>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地    址：</w:t>
      </w:r>
      <w:r>
        <w:rPr>
          <w:rFonts w:hint="eastAsia" w:ascii="宋体" w:hAnsi="宋体" w:cs="宋体"/>
          <w:color w:val="auto"/>
          <w:kern w:val="0"/>
          <w:sz w:val="24"/>
          <w:szCs w:val="24"/>
          <w:highlight w:val="none"/>
          <w:u w:val="single"/>
        </w:rPr>
        <w:t xml:space="preserve">                                                   </w:t>
      </w:r>
    </w:p>
    <w:p w14:paraId="1B3E3A91">
      <w:pPr>
        <w:rPr>
          <w:rFonts w:hint="eastAsia" w:ascii="宋体" w:hAnsi="宋体" w:cs="宋体"/>
          <w:color w:val="auto"/>
          <w:kern w:val="0"/>
          <w:sz w:val="24"/>
          <w:szCs w:val="24"/>
          <w:highlight w:val="none"/>
        </w:rPr>
      </w:pPr>
    </w:p>
    <w:p w14:paraId="3CCF7109">
      <w:pPr>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营业期限：</w:t>
      </w:r>
      <w:r>
        <w:rPr>
          <w:rFonts w:hint="eastAsia" w:ascii="宋体" w:hAnsi="宋体" w:cs="宋体"/>
          <w:color w:val="auto"/>
          <w:kern w:val="0"/>
          <w:sz w:val="24"/>
          <w:szCs w:val="24"/>
          <w:highlight w:val="none"/>
          <w:u w:val="single"/>
        </w:rPr>
        <w:t xml:space="preserve">                                                   </w:t>
      </w:r>
    </w:p>
    <w:p w14:paraId="507063A4">
      <w:pPr>
        <w:rPr>
          <w:rFonts w:hint="eastAsia" w:ascii="宋体" w:hAnsi="宋体" w:cs="宋体"/>
          <w:color w:val="auto"/>
          <w:kern w:val="0"/>
          <w:sz w:val="24"/>
          <w:szCs w:val="24"/>
          <w:highlight w:val="none"/>
        </w:rPr>
      </w:pPr>
    </w:p>
    <w:p w14:paraId="218FCA63">
      <w:pPr>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成立时间：</w:t>
      </w:r>
      <w:r>
        <w:rPr>
          <w:rFonts w:hint="eastAsia" w:ascii="宋体" w:hAnsi="宋体" w:cs="宋体"/>
          <w:color w:val="auto"/>
          <w:kern w:val="0"/>
          <w:sz w:val="24"/>
          <w:szCs w:val="24"/>
          <w:highlight w:val="none"/>
          <w:u w:val="single"/>
        </w:rPr>
        <w:t xml:space="preserve">                                                   </w:t>
      </w:r>
    </w:p>
    <w:p w14:paraId="4866CD80">
      <w:pPr>
        <w:rPr>
          <w:rFonts w:hint="eastAsia" w:ascii="宋体" w:hAnsi="宋体" w:cs="宋体"/>
          <w:color w:val="auto"/>
          <w:kern w:val="0"/>
          <w:sz w:val="24"/>
          <w:szCs w:val="24"/>
          <w:highlight w:val="none"/>
          <w:u w:val="single"/>
        </w:rPr>
      </w:pPr>
    </w:p>
    <w:p w14:paraId="3529A206">
      <w:pPr>
        <w:spacing w:line="48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法定代表人信息：</w:t>
      </w:r>
    </w:p>
    <w:p w14:paraId="347D5E06">
      <w:pPr>
        <w:spacing w:line="48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姓名：</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    性别：</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 ；       </w:t>
      </w:r>
    </w:p>
    <w:p w14:paraId="1F28FA8D">
      <w:pPr>
        <w:spacing w:line="48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年龄：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    职务：</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 ；   </w:t>
      </w:r>
    </w:p>
    <w:p w14:paraId="0DC13F19">
      <w:pPr>
        <w:spacing w:line="48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系 </w:t>
      </w:r>
      <w:r>
        <w:rPr>
          <w:rFonts w:hint="eastAsia" w:ascii="宋体" w:hAnsi="宋体" w:cs="宋体"/>
          <w:color w:val="auto"/>
          <w:kern w:val="0"/>
          <w:sz w:val="24"/>
          <w:szCs w:val="24"/>
          <w:highlight w:val="none"/>
          <w:u w:val="single"/>
        </w:rPr>
        <w:t xml:space="preserve">         （投标人名称）               </w:t>
      </w:r>
      <w:r>
        <w:rPr>
          <w:rFonts w:hint="eastAsia" w:ascii="宋体" w:hAnsi="宋体" w:cs="宋体"/>
          <w:color w:val="auto"/>
          <w:kern w:val="0"/>
          <w:sz w:val="24"/>
          <w:szCs w:val="24"/>
          <w:highlight w:val="none"/>
        </w:rPr>
        <w:t>的法定代表人。</w:t>
      </w:r>
    </w:p>
    <w:p w14:paraId="6B277747">
      <w:pPr>
        <w:rPr>
          <w:rFonts w:hint="eastAsia" w:ascii="宋体" w:hAnsi="宋体" w:cs="宋体"/>
          <w:color w:val="auto"/>
          <w:kern w:val="0"/>
          <w:sz w:val="24"/>
          <w:szCs w:val="24"/>
          <w:highlight w:val="none"/>
        </w:rPr>
      </w:pPr>
    </w:p>
    <w:p w14:paraId="398F039D">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特此证明。</w:t>
      </w:r>
    </w:p>
    <w:p w14:paraId="1725F5AA">
      <w:pPr>
        <w:rPr>
          <w:rFonts w:hint="eastAsia" w:ascii="宋体" w:hAnsi="宋体" w:cs="宋体"/>
          <w:color w:val="auto"/>
          <w:kern w:val="0"/>
          <w:sz w:val="24"/>
          <w:szCs w:val="24"/>
          <w:highlight w:val="none"/>
        </w:rPr>
      </w:pPr>
    </w:p>
    <w:p w14:paraId="3F25DF2E">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（附法定代表人身份证正反面）</w:t>
      </w:r>
    </w:p>
    <w:p w14:paraId="00E1E2C3">
      <w:pPr>
        <w:rPr>
          <w:rFonts w:hint="eastAsia" w:ascii="宋体" w:hAnsi="宋体" w:cs="宋体"/>
          <w:color w:val="auto"/>
          <w:kern w:val="0"/>
          <w:sz w:val="24"/>
          <w:szCs w:val="24"/>
          <w:highlight w:val="none"/>
        </w:rPr>
      </w:pPr>
    </w:p>
    <w:p w14:paraId="1716DCCE">
      <w:pPr>
        <w:pStyle w:val="2"/>
        <w:rPr>
          <w:rFonts w:hint="eastAsia"/>
          <w:color w:val="auto"/>
          <w:highlight w:val="none"/>
        </w:rPr>
      </w:pPr>
    </w:p>
    <w:p w14:paraId="58D97CB7">
      <w:pPr>
        <w:rPr>
          <w:rFonts w:hint="eastAsia" w:ascii="宋体" w:hAnsi="宋体" w:cs="宋体"/>
          <w:color w:val="auto"/>
          <w:kern w:val="0"/>
          <w:sz w:val="24"/>
          <w:szCs w:val="24"/>
          <w:highlight w:val="none"/>
        </w:rPr>
      </w:pPr>
    </w:p>
    <w:p w14:paraId="2B8F7422">
      <w:pPr>
        <w:wordWrap w:val="0"/>
        <w:spacing w:line="480" w:lineRule="auto"/>
        <w:jc w:val="righ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投标单位（盖章）：</w:t>
      </w:r>
      <w:r>
        <w:rPr>
          <w:rFonts w:hint="eastAsia" w:ascii="宋体" w:hAnsi="宋体" w:cs="宋体"/>
          <w:color w:val="auto"/>
          <w:kern w:val="0"/>
          <w:sz w:val="24"/>
          <w:szCs w:val="24"/>
          <w:highlight w:val="none"/>
          <w:u w:val="single"/>
        </w:rPr>
        <w:t xml:space="preserve">                      </w:t>
      </w:r>
    </w:p>
    <w:p w14:paraId="45C0E823">
      <w:pPr>
        <w:spacing w:line="480" w:lineRule="auto"/>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 xml:space="preserve">    </w:t>
      </w:r>
    </w:p>
    <w:p w14:paraId="3F85C726">
      <w:pPr>
        <w:spacing w:line="480" w:lineRule="auto"/>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 日    期：</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p>
    <w:p w14:paraId="53D8EFCE">
      <w:pPr>
        <w:rPr>
          <w:rFonts w:hint="eastAsia" w:ascii="宋体" w:hAnsi="宋体" w:cs="宋体"/>
          <w:b/>
          <w:bCs/>
          <w:color w:val="auto"/>
          <w:kern w:val="0"/>
          <w:sz w:val="28"/>
          <w:szCs w:val="28"/>
          <w:highlight w:val="none"/>
        </w:rPr>
      </w:pPr>
    </w:p>
    <w:p w14:paraId="191ECFA9">
      <w:pPr>
        <w:pStyle w:val="2"/>
        <w:rPr>
          <w:rFonts w:hint="eastAsia" w:ascii="宋体" w:hAnsi="宋体" w:cs="宋体"/>
          <w:b/>
          <w:bCs/>
          <w:color w:val="auto"/>
          <w:kern w:val="0"/>
          <w:sz w:val="28"/>
          <w:szCs w:val="28"/>
          <w:highlight w:val="none"/>
        </w:rPr>
      </w:pPr>
    </w:p>
    <w:p w14:paraId="5E67A90A">
      <w:pPr>
        <w:rPr>
          <w:rFonts w:hint="eastAsia"/>
          <w:color w:val="auto"/>
          <w:highlight w:val="none"/>
        </w:rPr>
      </w:pPr>
    </w:p>
    <w:p w14:paraId="70D2167F">
      <w:pPr>
        <w:jc w:val="center"/>
        <w:rPr>
          <w:rFonts w:hint="eastAsia" w:ascii="Cambria" w:hAnsi="Cambria" w:eastAsia="宋体" w:cs="Times New Roman"/>
          <w:b/>
          <w:bCs/>
          <w:color w:val="auto"/>
          <w:kern w:val="44"/>
          <w:sz w:val="32"/>
          <w:szCs w:val="44"/>
          <w:highlight w:val="none"/>
          <w:lang w:val="en-US" w:eastAsia="zh-CN" w:bidi="ar-SA"/>
        </w:rPr>
      </w:pPr>
      <w:r>
        <w:rPr>
          <w:rFonts w:hint="eastAsia" w:ascii="Cambria" w:hAnsi="Cambria" w:eastAsia="宋体" w:cs="Times New Roman"/>
          <w:b/>
          <w:bCs/>
          <w:color w:val="auto"/>
          <w:kern w:val="44"/>
          <w:sz w:val="32"/>
          <w:szCs w:val="44"/>
          <w:highlight w:val="none"/>
          <w:lang w:val="en-US" w:eastAsia="zh-CN" w:bidi="ar-SA"/>
        </w:rPr>
        <w:t>法人授权委托书</w:t>
      </w:r>
    </w:p>
    <w:p w14:paraId="7D20E06C">
      <w:pPr>
        <w:jc w:val="center"/>
        <w:rPr>
          <w:rFonts w:hint="eastAsia" w:ascii="宋体" w:hAnsi="宋体" w:cs="宋体"/>
          <w:b/>
          <w:color w:val="auto"/>
          <w:kern w:val="0"/>
          <w:sz w:val="28"/>
          <w:szCs w:val="28"/>
          <w:highlight w:val="none"/>
        </w:rPr>
      </w:pPr>
    </w:p>
    <w:p w14:paraId="44A7C58D">
      <w:pPr>
        <w:rPr>
          <w:rFonts w:hint="eastAsia" w:ascii="宋体" w:hAnsi="宋体" w:cs="宋体"/>
          <w:color w:val="auto"/>
          <w:kern w:val="0"/>
          <w:sz w:val="28"/>
          <w:szCs w:val="28"/>
          <w:highlight w:val="none"/>
        </w:rPr>
      </w:pPr>
    </w:p>
    <w:p w14:paraId="2C4DD696">
      <w:pPr>
        <w:spacing w:line="360" w:lineRule="auto"/>
        <w:ind w:firstLine="63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本授权委托书声明：我</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（姓名）系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（投标人名称）的法定代表人，现授权委托</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（投标人名称）的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（姓名）为我公司代理人，以本公司的名义参加</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（招标人）的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招标工程的投标活动。代理人签署的投标文件和参加整个工程招标投标活动中所签署的一切文件和处理与之有关的一切事物，我均予以承认。</w:t>
      </w:r>
    </w:p>
    <w:p w14:paraId="2CFECE93">
      <w:pPr>
        <w:spacing w:line="360" w:lineRule="auto"/>
        <w:rPr>
          <w:rFonts w:hint="eastAsia" w:ascii="宋体" w:hAnsi="宋体" w:cs="宋体"/>
          <w:color w:val="auto"/>
          <w:kern w:val="0"/>
          <w:sz w:val="24"/>
          <w:szCs w:val="24"/>
          <w:highlight w:val="none"/>
        </w:rPr>
      </w:pPr>
    </w:p>
    <w:p w14:paraId="01CC06BE">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代理人：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none"/>
        </w:rPr>
        <w:t xml:space="preserve"> </w:t>
      </w:r>
      <w:r>
        <w:rPr>
          <w:rFonts w:hint="eastAsia" w:ascii="宋体" w:hAnsi="宋体" w:cs="宋体"/>
          <w:color w:val="auto"/>
          <w:kern w:val="0"/>
          <w:sz w:val="24"/>
          <w:szCs w:val="24"/>
          <w:highlight w:val="none"/>
          <w:u w:val="none"/>
          <w:lang w:val="en-US" w:eastAsia="zh-CN"/>
        </w:rPr>
        <w:t xml:space="preserve"> </w:t>
      </w:r>
      <w:r>
        <w:rPr>
          <w:rFonts w:hint="eastAsia" w:ascii="宋体" w:hAnsi="宋体" w:cs="宋体"/>
          <w:color w:val="auto"/>
          <w:kern w:val="0"/>
          <w:sz w:val="24"/>
          <w:szCs w:val="24"/>
          <w:highlight w:val="none"/>
        </w:rPr>
        <w:t>性别：</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none"/>
        </w:rPr>
        <w:t xml:space="preserve"> </w:t>
      </w:r>
      <w:r>
        <w:rPr>
          <w:rFonts w:hint="eastAsia" w:ascii="宋体" w:hAnsi="宋体" w:cs="宋体"/>
          <w:color w:val="auto"/>
          <w:kern w:val="0"/>
          <w:sz w:val="24"/>
          <w:szCs w:val="24"/>
          <w:highlight w:val="none"/>
          <w:u w:val="none"/>
          <w:lang w:val="en-US" w:eastAsia="zh-CN"/>
        </w:rPr>
        <w:t xml:space="preserve">  </w:t>
      </w:r>
      <w:r>
        <w:rPr>
          <w:rFonts w:hint="eastAsia" w:ascii="宋体" w:hAnsi="宋体" w:cs="宋体"/>
          <w:color w:val="auto"/>
          <w:kern w:val="0"/>
          <w:sz w:val="24"/>
          <w:szCs w:val="24"/>
          <w:highlight w:val="none"/>
        </w:rPr>
        <w:t>年龄：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p>
    <w:p w14:paraId="370D1525">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单  位：</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none"/>
        </w:rPr>
        <w:t xml:space="preserve"> </w:t>
      </w:r>
      <w:r>
        <w:rPr>
          <w:rFonts w:hint="eastAsia" w:ascii="宋体" w:hAnsi="宋体" w:cs="宋体"/>
          <w:color w:val="auto"/>
          <w:kern w:val="0"/>
          <w:sz w:val="24"/>
          <w:szCs w:val="24"/>
          <w:highlight w:val="none"/>
          <w:u w:val="none"/>
          <w:lang w:val="en-US" w:eastAsia="zh-CN"/>
        </w:rPr>
        <w:t xml:space="preserve"> </w:t>
      </w:r>
      <w:r>
        <w:rPr>
          <w:rFonts w:hint="eastAsia" w:ascii="宋体" w:hAnsi="宋体" w:cs="宋体"/>
          <w:color w:val="auto"/>
          <w:kern w:val="0"/>
          <w:sz w:val="24"/>
          <w:szCs w:val="24"/>
          <w:highlight w:val="none"/>
        </w:rPr>
        <w:t>部门：</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none"/>
        </w:rPr>
        <w:t xml:space="preserve"> </w:t>
      </w:r>
      <w:r>
        <w:rPr>
          <w:rFonts w:hint="eastAsia" w:ascii="宋体" w:hAnsi="宋体" w:cs="宋体"/>
          <w:color w:val="auto"/>
          <w:kern w:val="0"/>
          <w:sz w:val="24"/>
          <w:szCs w:val="24"/>
          <w:highlight w:val="none"/>
          <w:u w:val="none"/>
          <w:lang w:val="en-US" w:eastAsia="zh-CN"/>
        </w:rPr>
        <w:t xml:space="preserve">  </w:t>
      </w:r>
      <w:r>
        <w:rPr>
          <w:rFonts w:hint="eastAsia" w:ascii="宋体" w:hAnsi="宋体" w:cs="宋体"/>
          <w:color w:val="auto"/>
          <w:kern w:val="0"/>
          <w:sz w:val="24"/>
          <w:szCs w:val="24"/>
          <w:highlight w:val="none"/>
        </w:rPr>
        <w:t>职务：</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p>
    <w:p w14:paraId="31F0E2F2">
      <w:pPr>
        <w:rPr>
          <w:rFonts w:hint="eastAsia" w:ascii="宋体" w:hAnsi="宋体" w:cs="宋体"/>
          <w:color w:val="auto"/>
          <w:kern w:val="0"/>
          <w:sz w:val="24"/>
          <w:szCs w:val="24"/>
          <w:highlight w:val="none"/>
        </w:rPr>
      </w:pPr>
    </w:p>
    <w:p w14:paraId="564082F7">
      <w:pPr>
        <w:rPr>
          <w:rFonts w:hint="eastAsia" w:ascii="宋体" w:hAnsi="宋体" w:cs="宋体"/>
          <w:color w:val="auto"/>
          <w:kern w:val="0"/>
          <w:sz w:val="24"/>
          <w:szCs w:val="24"/>
          <w:highlight w:val="none"/>
        </w:rPr>
      </w:pPr>
    </w:p>
    <w:p w14:paraId="32D7400A">
      <w:pPr>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代理人无转委权。特此委托。</w:t>
      </w:r>
    </w:p>
    <w:p w14:paraId="1792E0E3">
      <w:pPr>
        <w:rPr>
          <w:rFonts w:hint="eastAsia" w:ascii="宋体" w:hAnsi="宋体" w:cs="宋体"/>
          <w:color w:val="auto"/>
          <w:kern w:val="0"/>
          <w:sz w:val="24"/>
          <w:szCs w:val="24"/>
          <w:highlight w:val="none"/>
        </w:rPr>
      </w:pPr>
    </w:p>
    <w:p w14:paraId="47C5E21B">
      <w:pPr>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（附法定代表人身份证正反面及代理人身份证正反面）</w:t>
      </w:r>
    </w:p>
    <w:p w14:paraId="544EAE8E">
      <w:pPr>
        <w:rPr>
          <w:rFonts w:hint="eastAsia" w:ascii="宋体" w:hAnsi="宋体" w:cs="宋体"/>
          <w:color w:val="auto"/>
          <w:kern w:val="0"/>
          <w:sz w:val="24"/>
          <w:szCs w:val="24"/>
          <w:highlight w:val="none"/>
        </w:rPr>
      </w:pPr>
    </w:p>
    <w:p w14:paraId="7A42AD54">
      <w:pPr>
        <w:rPr>
          <w:rFonts w:hint="eastAsia" w:ascii="宋体" w:hAnsi="宋体" w:cs="宋体"/>
          <w:color w:val="auto"/>
          <w:kern w:val="0"/>
          <w:sz w:val="24"/>
          <w:szCs w:val="24"/>
          <w:highlight w:val="none"/>
        </w:rPr>
      </w:pPr>
    </w:p>
    <w:p w14:paraId="3BFF3C7F">
      <w:pPr>
        <w:ind w:firstLine="1920" w:firstLineChars="8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投标单位（盖章）：</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p>
    <w:p w14:paraId="2B5E3673">
      <w:pPr>
        <w:rPr>
          <w:rFonts w:hint="eastAsia" w:ascii="宋体" w:hAnsi="宋体" w:cs="宋体"/>
          <w:color w:val="auto"/>
          <w:kern w:val="0"/>
          <w:sz w:val="24"/>
          <w:szCs w:val="24"/>
          <w:highlight w:val="none"/>
        </w:rPr>
      </w:pPr>
    </w:p>
    <w:p w14:paraId="19ACD8B2">
      <w:pPr>
        <w:rPr>
          <w:rFonts w:hint="eastAsia" w:ascii="宋体" w:hAnsi="宋体" w:cs="宋体"/>
          <w:color w:val="auto"/>
          <w:kern w:val="0"/>
          <w:sz w:val="24"/>
          <w:szCs w:val="24"/>
          <w:highlight w:val="none"/>
        </w:rPr>
      </w:pPr>
    </w:p>
    <w:p w14:paraId="13B8A8F9">
      <w:pPr>
        <w:ind w:firstLine="1920" w:firstLineChars="8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法定代表人（签字或盖章）：</w:t>
      </w:r>
      <w:r>
        <w:rPr>
          <w:rFonts w:hint="eastAsia" w:ascii="宋体" w:hAnsi="宋体" w:cs="宋体"/>
          <w:color w:val="auto"/>
          <w:kern w:val="0"/>
          <w:sz w:val="24"/>
          <w:szCs w:val="24"/>
          <w:highlight w:val="none"/>
          <w:u w:val="single"/>
        </w:rPr>
        <w:t xml:space="preserve">                         </w:t>
      </w:r>
    </w:p>
    <w:p w14:paraId="0A27BFC6">
      <w:pPr>
        <w:pStyle w:val="24"/>
        <w:ind w:left="560" w:hanging="560"/>
        <w:rPr>
          <w:rFonts w:hint="eastAsia" w:ascii="宋体" w:hAnsi="宋体" w:cs="宋体"/>
          <w:color w:val="auto"/>
          <w:sz w:val="24"/>
          <w:szCs w:val="24"/>
          <w:highlight w:val="none"/>
        </w:rPr>
      </w:pPr>
    </w:p>
    <w:p w14:paraId="6E20587B">
      <w:pPr>
        <w:pStyle w:val="24"/>
        <w:ind w:left="560" w:hanging="560"/>
        <w:rPr>
          <w:rFonts w:hint="eastAsia" w:ascii="宋体" w:hAnsi="宋体" w:cs="宋体"/>
          <w:color w:val="auto"/>
          <w:sz w:val="24"/>
          <w:szCs w:val="24"/>
          <w:highlight w:val="none"/>
        </w:rPr>
      </w:pPr>
    </w:p>
    <w:p w14:paraId="6DD76866">
      <w:pPr>
        <w:ind w:firstLine="1920" w:firstLineChars="8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委托代理人（签字或盖章）：</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p>
    <w:p w14:paraId="15230817">
      <w:pPr>
        <w:jc w:val="center"/>
        <w:rPr>
          <w:rFonts w:hint="eastAsia" w:ascii="宋体" w:hAnsi="宋体" w:cs="宋体"/>
          <w:color w:val="auto"/>
          <w:kern w:val="0"/>
          <w:sz w:val="24"/>
          <w:szCs w:val="24"/>
          <w:highlight w:val="none"/>
        </w:rPr>
      </w:pPr>
    </w:p>
    <w:p w14:paraId="73D98935">
      <w:pPr>
        <w:jc w:val="center"/>
        <w:rPr>
          <w:rFonts w:hint="eastAsia" w:ascii="宋体" w:hAnsi="宋体" w:cs="宋体"/>
          <w:b/>
          <w:color w:val="auto"/>
          <w:kern w:val="0"/>
          <w:sz w:val="24"/>
          <w:szCs w:val="24"/>
          <w:highlight w:val="none"/>
        </w:rPr>
      </w:pPr>
    </w:p>
    <w:p w14:paraId="10CA5DF7">
      <w:pPr>
        <w:spacing w:before="120" w:beforeLines="50" w:after="120" w:afterLines="50" w:line="44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日</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期：</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日</w:t>
      </w:r>
    </w:p>
    <w:p w14:paraId="28D76594">
      <w:pPr>
        <w:spacing w:before="120" w:beforeLines="50" w:after="120" w:afterLines="50" w:line="440" w:lineRule="exact"/>
        <w:jc w:val="center"/>
        <w:rPr>
          <w:rFonts w:hint="eastAsia" w:ascii="宋体" w:hAnsi="宋体" w:cs="宋体"/>
          <w:color w:val="auto"/>
          <w:kern w:val="0"/>
          <w:sz w:val="24"/>
          <w:szCs w:val="24"/>
          <w:highlight w:val="none"/>
        </w:rPr>
      </w:pPr>
    </w:p>
    <w:p w14:paraId="4CD2BF62">
      <w:pPr>
        <w:spacing w:line="360" w:lineRule="auto"/>
        <w:jc w:val="center"/>
        <w:rPr>
          <w:rFonts w:hint="eastAsia" w:ascii="宋体" w:hAnsi="宋体" w:eastAsia="宋体" w:cs="宋体"/>
          <w:b/>
          <w:color w:val="auto"/>
          <w:sz w:val="36"/>
          <w:szCs w:val="36"/>
          <w:highlight w:val="none"/>
          <w:lang w:val="en-US" w:eastAsia="zh-CN"/>
        </w:rPr>
      </w:pPr>
    </w:p>
    <w:p w14:paraId="05EA4B22">
      <w:pPr>
        <w:spacing w:line="360" w:lineRule="auto"/>
        <w:jc w:val="center"/>
        <w:rPr>
          <w:rFonts w:hint="eastAsia" w:ascii="宋体" w:hAnsi="宋体" w:eastAsia="宋体" w:cs="宋体"/>
          <w:b/>
          <w:color w:val="auto"/>
          <w:sz w:val="36"/>
          <w:szCs w:val="36"/>
          <w:highlight w:val="none"/>
          <w:lang w:val="en-US" w:eastAsia="zh-CN"/>
        </w:rPr>
      </w:pPr>
    </w:p>
    <w:p w14:paraId="1B7D6FE1">
      <w:pPr>
        <w:spacing w:line="360" w:lineRule="auto"/>
        <w:jc w:val="center"/>
        <w:rPr>
          <w:rFonts w:hint="eastAsia" w:ascii="宋体" w:hAnsi="宋体" w:eastAsia="宋体" w:cs="宋体"/>
          <w:b/>
          <w:color w:val="auto"/>
          <w:sz w:val="36"/>
          <w:szCs w:val="36"/>
          <w:highlight w:val="none"/>
          <w:lang w:val="en-US" w:eastAsia="zh-CN"/>
        </w:rPr>
      </w:pPr>
    </w:p>
    <w:p w14:paraId="50696723">
      <w:pPr>
        <w:spacing w:line="360" w:lineRule="auto"/>
        <w:jc w:val="both"/>
        <w:rPr>
          <w:rFonts w:hint="eastAsia" w:ascii="Cambria" w:hAnsi="Cambria" w:eastAsia="宋体" w:cs="Times New Roman"/>
          <w:b/>
          <w:bCs/>
          <w:color w:val="auto"/>
          <w:kern w:val="44"/>
          <w:sz w:val="28"/>
          <w:szCs w:val="28"/>
          <w:highlight w:val="none"/>
          <w:lang w:val="en-US" w:eastAsia="zh-CN" w:bidi="ar-SA"/>
        </w:rPr>
      </w:pPr>
    </w:p>
    <w:p w14:paraId="366FCC9A">
      <w:pPr>
        <w:spacing w:line="360" w:lineRule="auto"/>
        <w:jc w:val="both"/>
        <w:rPr>
          <w:rFonts w:hint="default" w:ascii="Cambria" w:hAnsi="Cambria" w:eastAsia="宋体" w:cs="Times New Roman"/>
          <w:b/>
          <w:bCs/>
          <w:color w:val="auto"/>
          <w:kern w:val="44"/>
          <w:sz w:val="28"/>
          <w:szCs w:val="28"/>
          <w:highlight w:val="none"/>
          <w:lang w:val="en-US" w:eastAsia="zh-CN" w:bidi="ar-SA"/>
        </w:rPr>
      </w:pPr>
      <w:r>
        <w:rPr>
          <w:rFonts w:hint="eastAsia" w:ascii="Cambria" w:hAnsi="Cambria" w:eastAsia="宋体" w:cs="Times New Roman"/>
          <w:b/>
          <w:bCs/>
          <w:color w:val="auto"/>
          <w:kern w:val="44"/>
          <w:sz w:val="28"/>
          <w:szCs w:val="28"/>
          <w:highlight w:val="none"/>
          <w:lang w:val="en-US" w:eastAsia="zh-CN" w:bidi="ar-SA"/>
        </w:rPr>
        <w:t>三、开标一览表格式：</w:t>
      </w:r>
    </w:p>
    <w:p w14:paraId="0353122E">
      <w:pPr>
        <w:spacing w:line="360" w:lineRule="auto"/>
        <w:jc w:val="center"/>
        <w:rPr>
          <w:rFonts w:hint="eastAsia" w:ascii="宋体" w:hAnsi="宋体" w:eastAsia="宋体" w:cs="宋体"/>
          <w:b/>
          <w:color w:val="auto"/>
          <w:sz w:val="36"/>
          <w:szCs w:val="36"/>
          <w:highlight w:val="none"/>
          <w:lang w:val="en-US" w:eastAsia="zh-CN"/>
        </w:rPr>
      </w:pPr>
    </w:p>
    <w:p w14:paraId="271E6986">
      <w:pPr>
        <w:pStyle w:val="2"/>
        <w:jc w:val="center"/>
        <w:rPr>
          <w:rFonts w:hint="eastAsia" w:ascii="宋体" w:hAnsi="宋体" w:eastAsia="宋体" w:cs="宋体"/>
          <w:color w:val="auto"/>
          <w:sz w:val="28"/>
          <w:szCs w:val="28"/>
          <w:highlight w:val="none"/>
        </w:rPr>
      </w:pPr>
      <w:r>
        <w:rPr>
          <w:rFonts w:hint="eastAsia" w:eastAsia="宋体" w:cs="Times New Roman"/>
          <w:b/>
          <w:bCs/>
          <w:color w:val="auto"/>
          <w:highlight w:val="none"/>
          <w:lang w:val="en-US" w:eastAsia="zh-CN"/>
        </w:rPr>
        <w:t>开标一览表</w:t>
      </w:r>
      <w:bookmarkEnd w:id="174"/>
      <w:bookmarkEnd w:id="175"/>
      <w:bookmarkEnd w:id="176"/>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6934"/>
      </w:tblGrid>
      <w:tr w14:paraId="454A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1844" w:type="dxa"/>
            <w:tcBorders>
              <w:bottom w:val="single" w:color="auto" w:sz="4" w:space="0"/>
            </w:tcBorders>
            <w:noWrap w:val="0"/>
            <w:vAlign w:val="center"/>
          </w:tcPr>
          <w:p w14:paraId="624C1500">
            <w:pPr>
              <w:pStyle w:val="89"/>
              <w:tabs>
                <w:tab w:val="left" w:pos="1337"/>
              </w:tabs>
              <w:spacing w:line="360" w:lineRule="auto"/>
              <w:jc w:val="center"/>
              <w:rPr>
                <w:rFonts w:hint="eastAsia" w:ascii="宋体" w:hAnsi="宋体" w:cs="宋体"/>
                <w:color w:val="auto"/>
                <w:sz w:val="24"/>
                <w:szCs w:val="24"/>
                <w:highlight w:val="none"/>
              </w:rPr>
            </w:pPr>
            <w:r>
              <w:rPr>
                <w:rFonts w:hint="eastAsia" w:ascii="宋体" w:hAnsi="宋体" w:cs="宋体"/>
                <w:bCs/>
                <w:color w:val="auto"/>
                <w:sz w:val="24"/>
                <w:szCs w:val="24"/>
                <w:highlight w:val="none"/>
              </w:rPr>
              <w:t>项目名称</w:t>
            </w:r>
          </w:p>
        </w:tc>
        <w:tc>
          <w:tcPr>
            <w:tcW w:w="6934" w:type="dxa"/>
            <w:tcBorders>
              <w:bottom w:val="single" w:color="auto" w:sz="4" w:space="0"/>
            </w:tcBorders>
            <w:noWrap w:val="0"/>
            <w:vAlign w:val="center"/>
          </w:tcPr>
          <w:p w14:paraId="505FAC8F">
            <w:pPr>
              <w:pStyle w:val="89"/>
              <w:tabs>
                <w:tab w:val="left" w:pos="1337"/>
              </w:tabs>
              <w:spacing w:line="360" w:lineRule="auto"/>
              <w:rPr>
                <w:rFonts w:hint="eastAsia" w:ascii="宋体" w:hAnsi="宋体" w:cs="宋体"/>
                <w:bCs/>
                <w:color w:val="auto"/>
                <w:sz w:val="24"/>
                <w:szCs w:val="24"/>
                <w:highlight w:val="none"/>
              </w:rPr>
            </w:pPr>
          </w:p>
        </w:tc>
      </w:tr>
      <w:tr w14:paraId="264A6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844" w:type="dxa"/>
            <w:tcBorders>
              <w:bottom w:val="single" w:color="auto" w:sz="4" w:space="0"/>
            </w:tcBorders>
            <w:noWrap w:val="0"/>
            <w:vAlign w:val="center"/>
          </w:tcPr>
          <w:p w14:paraId="0A4D492F">
            <w:pPr>
              <w:pStyle w:val="89"/>
              <w:tabs>
                <w:tab w:val="left" w:pos="1337"/>
              </w:tabs>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项目</w:t>
            </w:r>
            <w:r>
              <w:rPr>
                <w:rFonts w:hint="eastAsia" w:ascii="宋体" w:hAnsi="宋体" w:cs="宋体"/>
                <w:bCs/>
                <w:color w:val="auto"/>
                <w:sz w:val="24"/>
                <w:szCs w:val="24"/>
                <w:highlight w:val="none"/>
              </w:rPr>
              <w:t>编号</w:t>
            </w:r>
          </w:p>
        </w:tc>
        <w:tc>
          <w:tcPr>
            <w:tcW w:w="6934" w:type="dxa"/>
            <w:tcBorders>
              <w:bottom w:val="single" w:color="auto" w:sz="4" w:space="0"/>
            </w:tcBorders>
            <w:noWrap w:val="0"/>
            <w:vAlign w:val="center"/>
          </w:tcPr>
          <w:p w14:paraId="6BC53AEF">
            <w:pPr>
              <w:pStyle w:val="89"/>
              <w:tabs>
                <w:tab w:val="left" w:pos="1337"/>
              </w:tabs>
              <w:spacing w:line="360" w:lineRule="auto"/>
              <w:rPr>
                <w:rFonts w:hint="eastAsia" w:ascii="宋体" w:hAnsi="宋体" w:cs="宋体"/>
                <w:color w:val="auto"/>
                <w:sz w:val="24"/>
                <w:szCs w:val="24"/>
                <w:highlight w:val="none"/>
                <w:u w:val="single"/>
              </w:rPr>
            </w:pPr>
          </w:p>
        </w:tc>
      </w:tr>
      <w:tr w14:paraId="289D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1844" w:type="dxa"/>
            <w:noWrap w:val="0"/>
            <w:vAlign w:val="center"/>
          </w:tcPr>
          <w:p w14:paraId="1F617385">
            <w:pPr>
              <w:pStyle w:val="89"/>
              <w:tabs>
                <w:tab w:val="left" w:pos="1337"/>
              </w:tabs>
              <w:spacing w:line="360" w:lineRule="auto"/>
              <w:jc w:val="center"/>
              <w:rPr>
                <w:rStyle w:val="74"/>
                <w:rFonts w:hint="eastAsia" w:ascii="宋体" w:hAnsi="宋体" w:cs="宋体"/>
                <w:color w:val="auto"/>
                <w:sz w:val="24"/>
                <w:szCs w:val="24"/>
                <w:highlight w:val="none"/>
              </w:rPr>
            </w:pPr>
          </w:p>
          <w:p w14:paraId="0BE03AC6">
            <w:pPr>
              <w:pStyle w:val="89"/>
              <w:tabs>
                <w:tab w:val="left" w:pos="1337"/>
              </w:tabs>
              <w:spacing w:line="360" w:lineRule="auto"/>
              <w:jc w:val="center"/>
              <w:rPr>
                <w:rStyle w:val="74"/>
                <w:rFonts w:hint="eastAsia" w:ascii="宋体" w:hAnsi="宋体" w:cs="宋体"/>
                <w:color w:val="auto"/>
                <w:sz w:val="24"/>
                <w:szCs w:val="24"/>
                <w:highlight w:val="none"/>
              </w:rPr>
            </w:pPr>
            <w:r>
              <w:rPr>
                <w:rStyle w:val="74"/>
                <w:rFonts w:hint="eastAsia" w:ascii="宋体" w:hAnsi="宋体" w:cs="宋体"/>
                <w:color w:val="auto"/>
                <w:sz w:val="24"/>
                <w:szCs w:val="24"/>
                <w:highlight w:val="none"/>
              </w:rPr>
              <w:t>投标报价</w:t>
            </w:r>
          </w:p>
          <w:p w14:paraId="3F7E2C8E">
            <w:pPr>
              <w:pStyle w:val="89"/>
              <w:tabs>
                <w:tab w:val="left" w:pos="1337"/>
              </w:tabs>
              <w:spacing w:line="360" w:lineRule="auto"/>
              <w:rPr>
                <w:rFonts w:hint="eastAsia" w:ascii="宋体" w:hAnsi="宋体" w:cs="宋体"/>
                <w:color w:val="auto"/>
                <w:sz w:val="24"/>
                <w:szCs w:val="24"/>
                <w:highlight w:val="none"/>
              </w:rPr>
            </w:pPr>
          </w:p>
        </w:tc>
        <w:tc>
          <w:tcPr>
            <w:tcW w:w="6934" w:type="dxa"/>
            <w:noWrap w:val="0"/>
            <w:vAlign w:val="center"/>
          </w:tcPr>
          <w:p w14:paraId="2395E98F">
            <w:pPr>
              <w:pStyle w:val="89"/>
              <w:tabs>
                <w:tab w:val="left" w:pos="1337"/>
              </w:tabs>
              <w:spacing w:line="360" w:lineRule="auto"/>
              <w:rPr>
                <w:rFonts w:hint="eastAsia" w:ascii="宋体" w:hAnsi="宋体" w:cs="宋体"/>
                <w:bCs/>
                <w:color w:val="auto"/>
                <w:sz w:val="24"/>
                <w:szCs w:val="24"/>
                <w:highlight w:val="none"/>
                <w:u w:val="single"/>
              </w:rPr>
            </w:pPr>
            <w:r>
              <w:rPr>
                <w:rFonts w:hint="eastAsia" w:ascii="宋体" w:hAnsi="宋体" w:cs="宋体"/>
                <w:color w:val="auto"/>
                <w:spacing w:val="6"/>
                <w:sz w:val="24"/>
                <w:szCs w:val="24"/>
                <w:highlight w:val="none"/>
              </w:rPr>
              <w:t xml:space="preserve">小写： </w:t>
            </w:r>
            <w:r>
              <w:rPr>
                <w:rFonts w:hint="eastAsia" w:ascii="宋体" w:hAnsi="宋体" w:cs="宋体"/>
                <w:color w:val="auto"/>
                <w:spacing w:val="6"/>
                <w:sz w:val="24"/>
                <w:szCs w:val="24"/>
                <w:highlight w:val="none"/>
                <w:u w:val="single"/>
              </w:rPr>
              <w:t xml:space="preserve">                         </w:t>
            </w:r>
          </w:p>
          <w:p w14:paraId="39626A21">
            <w:pPr>
              <w:pStyle w:val="89"/>
              <w:tabs>
                <w:tab w:val="left" w:pos="1337"/>
              </w:tabs>
              <w:spacing w:line="360" w:lineRule="auto"/>
              <w:rPr>
                <w:rFonts w:hint="eastAsia" w:ascii="宋体" w:hAnsi="宋体" w:cs="宋体"/>
                <w:color w:val="auto"/>
                <w:sz w:val="24"/>
                <w:szCs w:val="24"/>
                <w:highlight w:val="none"/>
              </w:rPr>
            </w:pPr>
            <w:r>
              <w:rPr>
                <w:rFonts w:hint="eastAsia" w:ascii="宋体" w:hAnsi="宋体" w:cs="宋体"/>
                <w:color w:val="auto"/>
                <w:spacing w:val="6"/>
                <w:sz w:val="24"/>
                <w:szCs w:val="24"/>
                <w:highlight w:val="none"/>
              </w:rPr>
              <w:t>大写：</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 xml:space="preserve"> </w:t>
            </w:r>
          </w:p>
        </w:tc>
      </w:tr>
      <w:tr w14:paraId="4853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844" w:type="dxa"/>
            <w:noWrap w:val="0"/>
            <w:vAlign w:val="center"/>
          </w:tcPr>
          <w:p w14:paraId="3D75CF63">
            <w:pPr>
              <w:pStyle w:val="89"/>
              <w:tabs>
                <w:tab w:val="left" w:pos="1337"/>
              </w:tabs>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质量要求</w:t>
            </w:r>
          </w:p>
        </w:tc>
        <w:tc>
          <w:tcPr>
            <w:tcW w:w="6934" w:type="dxa"/>
            <w:noWrap w:val="0"/>
            <w:vAlign w:val="center"/>
          </w:tcPr>
          <w:p w14:paraId="349F0F01">
            <w:pPr>
              <w:pStyle w:val="89"/>
              <w:tabs>
                <w:tab w:val="left" w:pos="1337"/>
              </w:tabs>
              <w:spacing w:line="360" w:lineRule="auto"/>
              <w:rPr>
                <w:rFonts w:hint="eastAsia" w:ascii="宋体" w:hAnsi="宋体" w:cs="宋体"/>
                <w:color w:val="auto"/>
                <w:sz w:val="24"/>
                <w:szCs w:val="24"/>
                <w:highlight w:val="none"/>
                <w:u w:val="single"/>
              </w:rPr>
            </w:pPr>
          </w:p>
        </w:tc>
      </w:tr>
      <w:tr w14:paraId="3421C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844" w:type="dxa"/>
            <w:noWrap w:val="0"/>
            <w:vAlign w:val="center"/>
          </w:tcPr>
          <w:p w14:paraId="26624515">
            <w:pPr>
              <w:pStyle w:val="89"/>
              <w:tabs>
                <w:tab w:val="left" w:pos="1337"/>
              </w:tabs>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施工工期</w:t>
            </w:r>
          </w:p>
        </w:tc>
        <w:tc>
          <w:tcPr>
            <w:tcW w:w="6934" w:type="dxa"/>
            <w:noWrap w:val="0"/>
            <w:vAlign w:val="center"/>
          </w:tcPr>
          <w:p w14:paraId="2AF9A463">
            <w:pPr>
              <w:pStyle w:val="89"/>
              <w:tabs>
                <w:tab w:val="left" w:pos="1337"/>
              </w:tabs>
              <w:spacing w:line="360" w:lineRule="auto"/>
              <w:rPr>
                <w:rFonts w:hint="eastAsia" w:ascii="宋体" w:hAnsi="宋体" w:cs="宋体"/>
                <w:color w:val="auto"/>
                <w:sz w:val="24"/>
                <w:szCs w:val="24"/>
                <w:highlight w:val="none"/>
                <w:u w:val="single"/>
              </w:rPr>
            </w:pPr>
          </w:p>
        </w:tc>
      </w:tr>
      <w:tr w14:paraId="7362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844" w:type="dxa"/>
            <w:noWrap w:val="0"/>
            <w:vAlign w:val="center"/>
          </w:tcPr>
          <w:p w14:paraId="428E914A">
            <w:pPr>
              <w:pStyle w:val="89"/>
              <w:tabs>
                <w:tab w:val="left" w:pos="1337"/>
              </w:tabs>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其它</w:t>
            </w:r>
          </w:p>
        </w:tc>
        <w:tc>
          <w:tcPr>
            <w:tcW w:w="6934" w:type="dxa"/>
            <w:noWrap w:val="0"/>
            <w:vAlign w:val="center"/>
          </w:tcPr>
          <w:p w14:paraId="7BB6183A">
            <w:pPr>
              <w:pStyle w:val="89"/>
              <w:tabs>
                <w:tab w:val="left" w:pos="1337"/>
              </w:tabs>
              <w:spacing w:line="360" w:lineRule="auto"/>
              <w:rPr>
                <w:rFonts w:hint="eastAsia" w:ascii="宋体" w:hAnsi="宋体" w:cs="宋体"/>
                <w:color w:val="auto"/>
                <w:sz w:val="24"/>
                <w:szCs w:val="24"/>
                <w:highlight w:val="none"/>
                <w:u w:val="single"/>
              </w:rPr>
            </w:pPr>
          </w:p>
        </w:tc>
      </w:tr>
      <w:tr w14:paraId="5C4A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8778" w:type="dxa"/>
            <w:gridSpan w:val="2"/>
            <w:noWrap w:val="0"/>
            <w:vAlign w:val="center"/>
          </w:tcPr>
          <w:p w14:paraId="2CC5AAB1">
            <w:pPr>
              <w:pStyle w:val="89"/>
              <w:tabs>
                <w:tab w:val="left" w:pos="1337"/>
              </w:tabs>
              <w:spacing w:line="360" w:lineRule="auto"/>
              <w:rPr>
                <w:rFonts w:hint="eastAsia" w:ascii="宋体" w:hAnsi="宋体" w:cs="宋体"/>
                <w:color w:val="auto"/>
                <w:sz w:val="24"/>
                <w:szCs w:val="24"/>
                <w:highlight w:val="none"/>
              </w:rPr>
            </w:pPr>
            <w:r>
              <w:rPr>
                <w:rFonts w:hint="eastAsia" w:ascii="宋体" w:hAnsi="宋体" w:cs="宋体"/>
                <w:bCs/>
                <w:color w:val="auto"/>
                <w:sz w:val="24"/>
                <w:szCs w:val="24"/>
                <w:highlight w:val="none"/>
              </w:rPr>
              <w:t>备注：</w:t>
            </w:r>
          </w:p>
        </w:tc>
      </w:tr>
    </w:tbl>
    <w:p w14:paraId="51A7E3F0">
      <w:pPr>
        <w:pStyle w:val="89"/>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说明：1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投标单位严格按照规定的格式填写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任何有选择或有条件的投标报价或表中某一包填写多个报价，均将导致投标被拒绝</w:t>
      </w:r>
      <w:r>
        <w:rPr>
          <w:rFonts w:hint="eastAsia" w:ascii="宋体" w:hAnsi="宋体" w:cs="宋体"/>
          <w:color w:val="auto"/>
          <w:sz w:val="24"/>
          <w:szCs w:val="24"/>
          <w:highlight w:val="none"/>
          <w:lang w:eastAsia="zh-CN"/>
        </w:rPr>
        <w:t>；</w:t>
      </w:r>
    </w:p>
    <w:p w14:paraId="4AA522AE">
      <w:pPr>
        <w:pStyle w:val="89"/>
        <w:spacing w:line="360" w:lineRule="auto"/>
        <w:ind w:left="1197" w:leftChars="570" w:firstLine="1680" w:firstLineChars="700"/>
        <w:rPr>
          <w:rFonts w:hint="eastAsia" w:ascii="宋体" w:hAnsi="宋体" w:cs="宋体"/>
          <w:color w:val="auto"/>
          <w:sz w:val="24"/>
          <w:szCs w:val="24"/>
          <w:highlight w:val="none"/>
        </w:rPr>
      </w:pPr>
    </w:p>
    <w:p w14:paraId="0F30A63D">
      <w:pPr>
        <w:pStyle w:val="89"/>
        <w:spacing w:line="360" w:lineRule="auto"/>
        <w:ind w:left="1197" w:leftChars="570" w:firstLine="1680" w:firstLineChars="700"/>
        <w:rPr>
          <w:rFonts w:hint="eastAsia" w:ascii="宋体" w:hAnsi="宋体" w:cs="宋体"/>
          <w:color w:val="auto"/>
          <w:sz w:val="24"/>
          <w:szCs w:val="24"/>
          <w:highlight w:val="none"/>
        </w:rPr>
      </w:pPr>
      <w:r>
        <w:rPr>
          <w:rFonts w:hint="eastAsia" w:ascii="宋体" w:hAnsi="宋体" w:cs="宋体"/>
          <w:color w:val="auto"/>
          <w:sz w:val="24"/>
          <w:szCs w:val="24"/>
          <w:highlight w:val="none"/>
        </w:rPr>
        <w:t>投标单位（盖章）：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p>
    <w:p w14:paraId="0436A8CE">
      <w:pPr>
        <w:pStyle w:val="87"/>
        <w:ind w:firstLine="0"/>
        <w:rPr>
          <w:rFonts w:hint="eastAsia" w:ascii="宋体" w:hAnsi="宋体" w:cs="宋体"/>
          <w:color w:val="auto"/>
          <w:sz w:val="24"/>
          <w:szCs w:val="24"/>
          <w:highlight w:val="none"/>
        </w:rPr>
      </w:pPr>
    </w:p>
    <w:p w14:paraId="08BF0959">
      <w:pPr>
        <w:spacing w:line="500" w:lineRule="exact"/>
        <w:ind w:firstLine="1440" w:firstLineChars="6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法定代表人或委托代理人（签字或盖章）：</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p>
    <w:p w14:paraId="69821916">
      <w:pPr>
        <w:rPr>
          <w:rFonts w:hint="eastAsia" w:ascii="宋体" w:hAnsi="宋体" w:cs="宋体"/>
          <w:color w:val="auto"/>
          <w:kern w:val="0"/>
          <w:sz w:val="24"/>
          <w:szCs w:val="24"/>
          <w:highlight w:val="none"/>
        </w:rPr>
      </w:pPr>
    </w:p>
    <w:p w14:paraId="6D08AEFD">
      <w:pPr>
        <w:wordWrap w:val="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p>
    <w:p w14:paraId="042B893A">
      <w:pPr>
        <w:wordWrap w:val="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 日</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期：</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p>
    <w:p w14:paraId="6EC709A8">
      <w:pPr>
        <w:rPr>
          <w:rFonts w:hint="eastAsia"/>
          <w:color w:val="auto"/>
          <w:sz w:val="24"/>
          <w:szCs w:val="24"/>
          <w:highlight w:val="none"/>
        </w:rPr>
      </w:pPr>
    </w:p>
    <w:p w14:paraId="726D2B85">
      <w:pPr>
        <w:pStyle w:val="8"/>
        <w:rPr>
          <w:rFonts w:hint="eastAsia"/>
          <w:color w:val="auto"/>
          <w:sz w:val="24"/>
          <w:szCs w:val="24"/>
          <w:highlight w:val="none"/>
        </w:rPr>
      </w:pPr>
    </w:p>
    <w:p w14:paraId="05D5F0F4">
      <w:pPr>
        <w:pStyle w:val="8"/>
        <w:ind w:left="0" w:leftChars="0" w:firstLine="0" w:firstLineChars="0"/>
        <w:rPr>
          <w:rFonts w:hint="eastAsia"/>
          <w:color w:val="auto"/>
          <w:highlight w:val="none"/>
        </w:rPr>
      </w:pPr>
    </w:p>
    <w:p w14:paraId="48146E0D">
      <w:pPr>
        <w:rPr>
          <w:rFonts w:hint="eastAsia"/>
          <w:color w:val="auto"/>
          <w:highlight w:val="none"/>
        </w:rPr>
      </w:pPr>
    </w:p>
    <w:p w14:paraId="22655F50">
      <w:pPr>
        <w:rPr>
          <w:rFonts w:hint="eastAsia"/>
          <w:color w:val="auto"/>
          <w:highlight w:val="none"/>
        </w:rPr>
      </w:pPr>
    </w:p>
    <w:p w14:paraId="33A7CF26">
      <w:pPr>
        <w:pStyle w:val="90"/>
        <w:spacing w:line="360" w:lineRule="auto"/>
        <w:jc w:val="both"/>
        <w:outlineLvl w:val="2"/>
        <w:rPr>
          <w:rFonts w:hint="eastAsia" w:ascii="Cambria" w:hAnsi="Cambria" w:eastAsia="宋体" w:cs="Times New Roman"/>
          <w:b/>
          <w:bCs/>
          <w:color w:val="auto"/>
          <w:kern w:val="44"/>
          <w:sz w:val="28"/>
          <w:szCs w:val="28"/>
          <w:highlight w:val="none"/>
          <w:lang w:val="en-US" w:eastAsia="zh-CN" w:bidi="ar-SA"/>
        </w:rPr>
      </w:pPr>
    </w:p>
    <w:p w14:paraId="5C055DDE">
      <w:pPr>
        <w:pStyle w:val="90"/>
        <w:spacing w:line="360" w:lineRule="auto"/>
        <w:jc w:val="both"/>
        <w:outlineLvl w:val="2"/>
        <w:rPr>
          <w:rFonts w:hint="eastAsia" w:ascii="Cambria" w:hAnsi="Cambria" w:eastAsia="宋体" w:cs="Times New Roman"/>
          <w:b/>
          <w:bCs/>
          <w:color w:val="auto"/>
          <w:kern w:val="44"/>
          <w:sz w:val="28"/>
          <w:szCs w:val="28"/>
          <w:highlight w:val="none"/>
          <w:lang w:val="en-US" w:eastAsia="zh-CN" w:bidi="ar-SA"/>
        </w:rPr>
      </w:pPr>
      <w:r>
        <w:rPr>
          <w:rFonts w:hint="eastAsia" w:ascii="Cambria" w:hAnsi="Cambria" w:eastAsia="宋体" w:cs="Times New Roman"/>
          <w:b/>
          <w:bCs/>
          <w:color w:val="auto"/>
          <w:kern w:val="44"/>
          <w:sz w:val="28"/>
          <w:szCs w:val="28"/>
          <w:highlight w:val="none"/>
          <w:lang w:val="en-US" w:eastAsia="zh-CN" w:bidi="ar-SA"/>
        </w:rPr>
        <w:t>四、商务及技术偏离表格式</w:t>
      </w:r>
    </w:p>
    <w:p w14:paraId="661B2913">
      <w:pPr>
        <w:pStyle w:val="90"/>
        <w:spacing w:line="360" w:lineRule="auto"/>
        <w:jc w:val="both"/>
        <w:outlineLvl w:val="2"/>
        <w:rPr>
          <w:rFonts w:hint="eastAsia" w:ascii="Cambria" w:hAnsi="Cambria" w:eastAsia="宋体" w:cs="Times New Roman"/>
          <w:b/>
          <w:bCs/>
          <w:color w:val="auto"/>
          <w:kern w:val="44"/>
          <w:sz w:val="28"/>
          <w:szCs w:val="28"/>
          <w:highlight w:val="none"/>
          <w:lang w:val="en-US" w:eastAsia="zh-CN" w:bidi="ar-SA"/>
        </w:rPr>
      </w:pPr>
    </w:p>
    <w:p w14:paraId="219949D1">
      <w:pPr>
        <w:pStyle w:val="90"/>
        <w:spacing w:line="360" w:lineRule="auto"/>
        <w:jc w:val="center"/>
        <w:outlineLvl w:val="2"/>
        <w:rPr>
          <w:rFonts w:hint="eastAsia" w:ascii="Cambria" w:hAnsi="Cambria" w:eastAsia="宋体" w:cs="Times New Roman"/>
          <w:b/>
          <w:bCs/>
          <w:color w:val="auto"/>
          <w:kern w:val="44"/>
          <w:sz w:val="32"/>
          <w:szCs w:val="44"/>
          <w:highlight w:val="none"/>
          <w:lang w:val="en-US" w:eastAsia="zh-CN" w:bidi="ar-SA"/>
        </w:rPr>
      </w:pPr>
      <w:r>
        <w:rPr>
          <w:rFonts w:hint="eastAsia" w:ascii="Cambria" w:hAnsi="Cambria" w:eastAsia="宋体" w:cs="Times New Roman"/>
          <w:b/>
          <w:bCs/>
          <w:color w:val="auto"/>
          <w:kern w:val="44"/>
          <w:sz w:val="32"/>
          <w:szCs w:val="44"/>
          <w:highlight w:val="none"/>
          <w:lang w:val="en-US" w:eastAsia="zh-CN" w:bidi="ar-SA"/>
        </w:rPr>
        <w:t>商务及技术偏离表</w:t>
      </w:r>
    </w:p>
    <w:p w14:paraId="7FF23C23">
      <w:pPr>
        <w:spacing w:line="360" w:lineRule="auto"/>
        <w:ind w:firstLine="630"/>
        <w:rPr>
          <w:rFonts w:hint="eastAsia" w:ascii="宋体" w:hAnsi="宋体" w:cs="宋体"/>
          <w:color w:val="auto"/>
          <w:kern w:val="0"/>
          <w:sz w:val="28"/>
          <w:szCs w:val="28"/>
          <w:highlight w:val="none"/>
        </w:rPr>
      </w:pPr>
    </w:p>
    <w:p w14:paraId="7742BB87">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项目名称：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       </w:t>
      </w:r>
    </w:p>
    <w:p w14:paraId="7C79C7AC">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项目</w:t>
      </w:r>
      <w:r>
        <w:rPr>
          <w:rFonts w:hint="eastAsia" w:ascii="宋体" w:hAnsi="宋体" w:cs="宋体"/>
          <w:color w:val="auto"/>
          <w:kern w:val="0"/>
          <w:sz w:val="24"/>
          <w:szCs w:val="24"/>
          <w:highlight w:val="none"/>
        </w:rPr>
        <w:t>编号：</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2747"/>
        <w:gridCol w:w="3120"/>
        <w:gridCol w:w="1736"/>
      </w:tblGrid>
      <w:tr w14:paraId="6034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144" w:type="dxa"/>
            <w:noWrap w:val="0"/>
            <w:vAlign w:val="bottom"/>
          </w:tcPr>
          <w:p w14:paraId="6A0D2928">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2747" w:type="dxa"/>
            <w:noWrap w:val="0"/>
            <w:vAlign w:val="bottom"/>
          </w:tcPr>
          <w:p w14:paraId="47BEB18A">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招标</w:t>
            </w:r>
            <w:r>
              <w:rPr>
                <w:rFonts w:hint="eastAsia" w:ascii="宋体" w:hAnsi="宋体" w:cs="宋体"/>
                <w:b/>
                <w:bCs/>
                <w:color w:val="auto"/>
                <w:kern w:val="0"/>
                <w:sz w:val="24"/>
                <w:szCs w:val="24"/>
                <w:highlight w:val="none"/>
              </w:rPr>
              <w:t>文件的条款</w:t>
            </w:r>
          </w:p>
        </w:tc>
        <w:tc>
          <w:tcPr>
            <w:tcW w:w="3120" w:type="dxa"/>
            <w:noWrap w:val="0"/>
            <w:vAlign w:val="bottom"/>
          </w:tcPr>
          <w:p w14:paraId="548AC064">
            <w:pPr>
              <w:spacing w:line="360" w:lineRule="auto"/>
              <w:ind w:firstLine="241" w:firstLineChars="100"/>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投标</w:t>
            </w:r>
            <w:r>
              <w:rPr>
                <w:rFonts w:hint="eastAsia" w:ascii="宋体" w:hAnsi="宋体" w:cs="宋体"/>
                <w:b/>
                <w:bCs/>
                <w:color w:val="auto"/>
                <w:kern w:val="0"/>
                <w:sz w:val="24"/>
                <w:szCs w:val="24"/>
                <w:highlight w:val="none"/>
                <w:lang w:val="en-US" w:eastAsia="zh-CN"/>
              </w:rPr>
              <w:t>响应</w:t>
            </w:r>
            <w:r>
              <w:rPr>
                <w:rFonts w:hint="eastAsia" w:ascii="宋体" w:hAnsi="宋体" w:cs="宋体"/>
                <w:b/>
                <w:bCs/>
                <w:color w:val="auto"/>
                <w:kern w:val="0"/>
                <w:sz w:val="24"/>
                <w:szCs w:val="24"/>
                <w:highlight w:val="none"/>
              </w:rPr>
              <w:t>文件的条款</w:t>
            </w:r>
          </w:p>
        </w:tc>
        <w:tc>
          <w:tcPr>
            <w:tcW w:w="1736" w:type="dxa"/>
            <w:noWrap w:val="0"/>
            <w:vAlign w:val="bottom"/>
          </w:tcPr>
          <w:p w14:paraId="33F9B962">
            <w:pPr>
              <w:spacing w:line="360" w:lineRule="auto"/>
              <w:ind w:firstLine="482" w:firstLineChars="200"/>
              <w:jc w:val="both"/>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说</w:t>
            </w:r>
            <w:r>
              <w:rPr>
                <w:rFonts w:hint="eastAsia" w:ascii="宋体" w:hAnsi="宋体" w:cs="宋体"/>
                <w:b/>
                <w:bCs/>
                <w:color w:val="auto"/>
                <w:kern w:val="0"/>
                <w:sz w:val="24"/>
                <w:szCs w:val="24"/>
                <w:highlight w:val="none"/>
                <w:lang w:val="en-US" w:eastAsia="zh-CN"/>
              </w:rPr>
              <w:t xml:space="preserve"> </w:t>
            </w:r>
            <w:r>
              <w:rPr>
                <w:rFonts w:hint="eastAsia" w:ascii="宋体" w:hAnsi="宋体" w:cs="宋体"/>
                <w:b/>
                <w:bCs/>
                <w:color w:val="auto"/>
                <w:kern w:val="0"/>
                <w:sz w:val="24"/>
                <w:szCs w:val="24"/>
                <w:highlight w:val="none"/>
              </w:rPr>
              <w:t>明</w:t>
            </w:r>
          </w:p>
        </w:tc>
      </w:tr>
      <w:tr w14:paraId="5166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144" w:type="dxa"/>
            <w:noWrap w:val="0"/>
            <w:vAlign w:val="bottom"/>
          </w:tcPr>
          <w:p w14:paraId="2C15E8A0">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747" w:type="dxa"/>
            <w:noWrap w:val="0"/>
            <w:vAlign w:val="center"/>
          </w:tcPr>
          <w:p w14:paraId="76E6D2FA">
            <w:pPr>
              <w:spacing w:line="360" w:lineRule="auto"/>
              <w:ind w:firstLine="630"/>
              <w:jc w:val="center"/>
              <w:rPr>
                <w:rFonts w:hint="eastAsia" w:ascii="宋体" w:hAnsi="宋体" w:cs="宋体"/>
                <w:color w:val="auto"/>
                <w:kern w:val="0"/>
                <w:sz w:val="24"/>
                <w:szCs w:val="24"/>
                <w:highlight w:val="none"/>
              </w:rPr>
            </w:pPr>
          </w:p>
        </w:tc>
        <w:tc>
          <w:tcPr>
            <w:tcW w:w="3120" w:type="dxa"/>
            <w:noWrap w:val="0"/>
            <w:vAlign w:val="center"/>
          </w:tcPr>
          <w:p w14:paraId="045D609D">
            <w:pPr>
              <w:spacing w:line="360" w:lineRule="auto"/>
              <w:ind w:firstLine="630"/>
              <w:jc w:val="center"/>
              <w:rPr>
                <w:rFonts w:hint="eastAsia" w:ascii="宋体" w:hAnsi="宋体" w:cs="宋体"/>
                <w:color w:val="auto"/>
                <w:kern w:val="0"/>
                <w:sz w:val="24"/>
                <w:szCs w:val="24"/>
                <w:highlight w:val="none"/>
              </w:rPr>
            </w:pPr>
          </w:p>
        </w:tc>
        <w:tc>
          <w:tcPr>
            <w:tcW w:w="1736" w:type="dxa"/>
            <w:noWrap w:val="0"/>
            <w:vAlign w:val="center"/>
          </w:tcPr>
          <w:p w14:paraId="6EAE1DD4">
            <w:pPr>
              <w:spacing w:line="360" w:lineRule="auto"/>
              <w:ind w:firstLine="630"/>
              <w:jc w:val="center"/>
              <w:rPr>
                <w:rFonts w:hint="eastAsia" w:ascii="宋体" w:hAnsi="宋体" w:cs="宋体"/>
                <w:color w:val="auto"/>
                <w:kern w:val="0"/>
                <w:sz w:val="24"/>
                <w:szCs w:val="24"/>
                <w:highlight w:val="none"/>
              </w:rPr>
            </w:pPr>
          </w:p>
        </w:tc>
      </w:tr>
      <w:tr w14:paraId="4445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144" w:type="dxa"/>
            <w:noWrap w:val="0"/>
            <w:vAlign w:val="bottom"/>
          </w:tcPr>
          <w:p w14:paraId="4B0CB738">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2747" w:type="dxa"/>
            <w:noWrap w:val="0"/>
            <w:vAlign w:val="center"/>
          </w:tcPr>
          <w:p w14:paraId="2B7ED8BC">
            <w:pPr>
              <w:spacing w:line="360" w:lineRule="auto"/>
              <w:ind w:firstLine="630"/>
              <w:jc w:val="center"/>
              <w:rPr>
                <w:rFonts w:hint="eastAsia" w:ascii="宋体" w:hAnsi="宋体" w:cs="宋体"/>
                <w:color w:val="auto"/>
                <w:kern w:val="0"/>
                <w:sz w:val="24"/>
                <w:szCs w:val="24"/>
                <w:highlight w:val="none"/>
              </w:rPr>
            </w:pPr>
          </w:p>
        </w:tc>
        <w:tc>
          <w:tcPr>
            <w:tcW w:w="3120" w:type="dxa"/>
            <w:noWrap w:val="0"/>
            <w:vAlign w:val="center"/>
          </w:tcPr>
          <w:p w14:paraId="5460A8A0">
            <w:pPr>
              <w:spacing w:line="360" w:lineRule="auto"/>
              <w:ind w:firstLine="630"/>
              <w:jc w:val="center"/>
              <w:rPr>
                <w:rFonts w:hint="eastAsia" w:ascii="宋体" w:hAnsi="宋体" w:cs="宋体"/>
                <w:color w:val="auto"/>
                <w:kern w:val="0"/>
                <w:sz w:val="24"/>
                <w:szCs w:val="24"/>
                <w:highlight w:val="none"/>
              </w:rPr>
            </w:pPr>
          </w:p>
        </w:tc>
        <w:tc>
          <w:tcPr>
            <w:tcW w:w="1736" w:type="dxa"/>
            <w:noWrap w:val="0"/>
            <w:vAlign w:val="center"/>
          </w:tcPr>
          <w:p w14:paraId="407DEE09">
            <w:pPr>
              <w:spacing w:line="360" w:lineRule="auto"/>
              <w:ind w:firstLine="630"/>
              <w:jc w:val="center"/>
              <w:rPr>
                <w:rFonts w:hint="eastAsia" w:ascii="宋体" w:hAnsi="宋体" w:cs="宋体"/>
                <w:color w:val="auto"/>
                <w:kern w:val="0"/>
                <w:sz w:val="24"/>
                <w:szCs w:val="24"/>
                <w:highlight w:val="none"/>
              </w:rPr>
            </w:pPr>
          </w:p>
        </w:tc>
      </w:tr>
      <w:tr w14:paraId="58E7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144" w:type="dxa"/>
            <w:noWrap w:val="0"/>
            <w:vAlign w:val="bottom"/>
          </w:tcPr>
          <w:p w14:paraId="4D018714">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2747" w:type="dxa"/>
            <w:noWrap w:val="0"/>
            <w:vAlign w:val="center"/>
          </w:tcPr>
          <w:p w14:paraId="0AB02B54">
            <w:pPr>
              <w:spacing w:line="360" w:lineRule="auto"/>
              <w:ind w:firstLine="630"/>
              <w:jc w:val="center"/>
              <w:rPr>
                <w:rFonts w:hint="eastAsia" w:ascii="宋体" w:hAnsi="宋体" w:cs="宋体"/>
                <w:color w:val="auto"/>
                <w:kern w:val="0"/>
                <w:sz w:val="24"/>
                <w:szCs w:val="24"/>
                <w:highlight w:val="none"/>
              </w:rPr>
            </w:pPr>
          </w:p>
        </w:tc>
        <w:tc>
          <w:tcPr>
            <w:tcW w:w="3120" w:type="dxa"/>
            <w:noWrap w:val="0"/>
            <w:vAlign w:val="center"/>
          </w:tcPr>
          <w:p w14:paraId="3A64A6E8">
            <w:pPr>
              <w:spacing w:line="360" w:lineRule="auto"/>
              <w:ind w:firstLine="630"/>
              <w:jc w:val="center"/>
              <w:rPr>
                <w:rFonts w:hint="eastAsia" w:ascii="宋体" w:hAnsi="宋体" w:cs="宋体"/>
                <w:color w:val="auto"/>
                <w:kern w:val="0"/>
                <w:sz w:val="24"/>
                <w:szCs w:val="24"/>
                <w:highlight w:val="none"/>
              </w:rPr>
            </w:pPr>
          </w:p>
        </w:tc>
        <w:tc>
          <w:tcPr>
            <w:tcW w:w="1736" w:type="dxa"/>
            <w:noWrap w:val="0"/>
            <w:vAlign w:val="center"/>
          </w:tcPr>
          <w:p w14:paraId="5241F4DF">
            <w:pPr>
              <w:spacing w:line="360" w:lineRule="auto"/>
              <w:ind w:firstLine="630"/>
              <w:jc w:val="center"/>
              <w:rPr>
                <w:rFonts w:hint="eastAsia" w:ascii="宋体" w:hAnsi="宋体" w:cs="宋体"/>
                <w:color w:val="auto"/>
                <w:kern w:val="0"/>
                <w:sz w:val="24"/>
                <w:szCs w:val="24"/>
                <w:highlight w:val="none"/>
              </w:rPr>
            </w:pPr>
          </w:p>
        </w:tc>
      </w:tr>
      <w:tr w14:paraId="0386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144" w:type="dxa"/>
            <w:noWrap w:val="0"/>
            <w:vAlign w:val="bottom"/>
          </w:tcPr>
          <w:p w14:paraId="67607F7D">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2747" w:type="dxa"/>
            <w:noWrap w:val="0"/>
            <w:vAlign w:val="center"/>
          </w:tcPr>
          <w:p w14:paraId="266AA1E3">
            <w:pPr>
              <w:spacing w:line="360" w:lineRule="auto"/>
              <w:ind w:firstLine="630"/>
              <w:jc w:val="center"/>
              <w:rPr>
                <w:rFonts w:hint="eastAsia" w:ascii="宋体" w:hAnsi="宋体" w:cs="宋体"/>
                <w:color w:val="auto"/>
                <w:kern w:val="0"/>
                <w:sz w:val="24"/>
                <w:szCs w:val="24"/>
                <w:highlight w:val="none"/>
              </w:rPr>
            </w:pPr>
          </w:p>
        </w:tc>
        <w:tc>
          <w:tcPr>
            <w:tcW w:w="3120" w:type="dxa"/>
            <w:noWrap w:val="0"/>
            <w:vAlign w:val="center"/>
          </w:tcPr>
          <w:p w14:paraId="4FB80592">
            <w:pPr>
              <w:spacing w:line="360" w:lineRule="auto"/>
              <w:ind w:firstLine="630"/>
              <w:jc w:val="center"/>
              <w:rPr>
                <w:rFonts w:hint="eastAsia" w:ascii="宋体" w:hAnsi="宋体" w:cs="宋体"/>
                <w:color w:val="auto"/>
                <w:kern w:val="0"/>
                <w:sz w:val="24"/>
                <w:szCs w:val="24"/>
                <w:highlight w:val="none"/>
              </w:rPr>
            </w:pPr>
          </w:p>
        </w:tc>
        <w:tc>
          <w:tcPr>
            <w:tcW w:w="1736" w:type="dxa"/>
            <w:noWrap w:val="0"/>
            <w:vAlign w:val="center"/>
          </w:tcPr>
          <w:p w14:paraId="71067EE3">
            <w:pPr>
              <w:spacing w:line="360" w:lineRule="auto"/>
              <w:ind w:firstLine="630"/>
              <w:jc w:val="center"/>
              <w:rPr>
                <w:rFonts w:hint="eastAsia" w:ascii="宋体" w:hAnsi="宋体" w:cs="宋体"/>
                <w:color w:val="auto"/>
                <w:kern w:val="0"/>
                <w:sz w:val="24"/>
                <w:szCs w:val="24"/>
                <w:highlight w:val="none"/>
              </w:rPr>
            </w:pPr>
          </w:p>
        </w:tc>
      </w:tr>
      <w:tr w14:paraId="7781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1144" w:type="dxa"/>
            <w:noWrap w:val="0"/>
            <w:vAlign w:val="bottom"/>
          </w:tcPr>
          <w:p w14:paraId="6A3456D3">
            <w:pPr>
              <w:pStyle w:val="41"/>
              <w:jc w:val="center"/>
              <w:rPr>
                <w:rFonts w:hint="eastAsia" w:hAnsi="宋体"/>
                <w:color w:val="auto"/>
                <w:sz w:val="24"/>
                <w:szCs w:val="24"/>
                <w:highlight w:val="none"/>
              </w:rPr>
            </w:pPr>
          </w:p>
          <w:p w14:paraId="23FB43CB">
            <w:pPr>
              <w:pStyle w:val="41"/>
              <w:jc w:val="center"/>
              <w:rPr>
                <w:rFonts w:hint="default" w:hAnsi="宋体" w:eastAsia="宋体"/>
                <w:color w:val="auto"/>
                <w:sz w:val="24"/>
                <w:szCs w:val="24"/>
                <w:highlight w:val="none"/>
                <w:lang w:val="en-US" w:eastAsia="zh-CN"/>
              </w:rPr>
            </w:pPr>
            <w:r>
              <w:rPr>
                <w:rFonts w:hint="eastAsia"/>
                <w:color w:val="auto"/>
                <w:sz w:val="24"/>
                <w:szCs w:val="24"/>
                <w:highlight w:val="none"/>
                <w:lang w:val="en-US" w:eastAsia="zh-CN"/>
              </w:rPr>
              <w:t>......</w:t>
            </w:r>
          </w:p>
        </w:tc>
        <w:tc>
          <w:tcPr>
            <w:tcW w:w="2747" w:type="dxa"/>
            <w:noWrap w:val="0"/>
            <w:vAlign w:val="bottom"/>
          </w:tcPr>
          <w:p w14:paraId="5D4ED6FF">
            <w:pPr>
              <w:spacing w:line="360" w:lineRule="auto"/>
              <w:ind w:firstLine="630"/>
              <w:jc w:val="center"/>
              <w:rPr>
                <w:rFonts w:hint="eastAsia" w:ascii="宋体" w:hAnsi="宋体" w:cs="宋体"/>
                <w:color w:val="auto"/>
                <w:kern w:val="0"/>
                <w:sz w:val="24"/>
                <w:szCs w:val="24"/>
                <w:highlight w:val="none"/>
              </w:rPr>
            </w:pPr>
          </w:p>
        </w:tc>
        <w:tc>
          <w:tcPr>
            <w:tcW w:w="3120" w:type="dxa"/>
            <w:noWrap w:val="0"/>
            <w:vAlign w:val="bottom"/>
          </w:tcPr>
          <w:p w14:paraId="63964871">
            <w:pPr>
              <w:spacing w:line="360" w:lineRule="auto"/>
              <w:ind w:firstLine="630"/>
              <w:jc w:val="center"/>
              <w:rPr>
                <w:rFonts w:hint="eastAsia" w:ascii="宋体" w:hAnsi="宋体" w:cs="宋体"/>
                <w:color w:val="auto"/>
                <w:kern w:val="0"/>
                <w:sz w:val="24"/>
                <w:szCs w:val="24"/>
                <w:highlight w:val="none"/>
              </w:rPr>
            </w:pPr>
          </w:p>
        </w:tc>
        <w:tc>
          <w:tcPr>
            <w:tcW w:w="1736" w:type="dxa"/>
            <w:noWrap w:val="0"/>
            <w:vAlign w:val="bottom"/>
          </w:tcPr>
          <w:p w14:paraId="55FD55EC">
            <w:pPr>
              <w:spacing w:line="360" w:lineRule="auto"/>
              <w:ind w:firstLine="630"/>
              <w:jc w:val="center"/>
              <w:rPr>
                <w:rFonts w:hint="eastAsia" w:ascii="宋体" w:hAnsi="宋体" w:cs="宋体"/>
                <w:color w:val="auto"/>
                <w:kern w:val="0"/>
                <w:sz w:val="24"/>
                <w:szCs w:val="24"/>
                <w:highlight w:val="none"/>
              </w:rPr>
            </w:pPr>
          </w:p>
        </w:tc>
      </w:tr>
    </w:tbl>
    <w:p w14:paraId="36032803">
      <w:pPr>
        <w:spacing w:line="360" w:lineRule="auto"/>
        <w:ind w:firstLine="630"/>
        <w:rPr>
          <w:rFonts w:hint="eastAsia" w:ascii="宋体" w:hAnsi="宋体" w:cs="宋体"/>
          <w:color w:val="auto"/>
          <w:kern w:val="0"/>
          <w:sz w:val="24"/>
          <w:szCs w:val="24"/>
          <w:highlight w:val="none"/>
        </w:rPr>
      </w:pPr>
    </w:p>
    <w:p w14:paraId="38A056B0">
      <w:pPr>
        <w:pStyle w:val="89"/>
        <w:spacing w:line="360" w:lineRule="auto"/>
        <w:ind w:left="1197" w:leftChars="570" w:firstLine="1680" w:firstLineChars="700"/>
        <w:rPr>
          <w:rFonts w:hint="eastAsia" w:ascii="宋体" w:hAnsi="宋体" w:cs="宋体"/>
          <w:color w:val="auto"/>
          <w:sz w:val="24"/>
          <w:szCs w:val="24"/>
          <w:highlight w:val="none"/>
        </w:rPr>
      </w:pPr>
      <w:r>
        <w:rPr>
          <w:rFonts w:hint="eastAsia" w:ascii="宋体" w:hAnsi="宋体" w:cs="宋体"/>
          <w:color w:val="auto"/>
          <w:sz w:val="24"/>
          <w:szCs w:val="24"/>
          <w:highlight w:val="none"/>
        </w:rPr>
        <w:t>投标单位（盖章）：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p>
    <w:p w14:paraId="150399C9">
      <w:pPr>
        <w:pStyle w:val="87"/>
        <w:ind w:firstLine="0"/>
        <w:rPr>
          <w:rFonts w:hint="eastAsia" w:ascii="宋体" w:hAnsi="宋体" w:cs="宋体"/>
          <w:color w:val="auto"/>
          <w:sz w:val="24"/>
          <w:szCs w:val="24"/>
          <w:highlight w:val="none"/>
        </w:rPr>
      </w:pPr>
    </w:p>
    <w:p w14:paraId="77EF4DB7">
      <w:pPr>
        <w:spacing w:line="500" w:lineRule="exact"/>
        <w:ind w:firstLine="1440" w:firstLineChars="6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法定代表人或委托代理人（签字或盖章）：</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p>
    <w:p w14:paraId="15A5D83A">
      <w:pPr>
        <w:rPr>
          <w:rFonts w:hint="eastAsia" w:ascii="宋体" w:hAnsi="宋体" w:cs="宋体"/>
          <w:color w:val="auto"/>
          <w:kern w:val="0"/>
          <w:sz w:val="24"/>
          <w:szCs w:val="24"/>
          <w:highlight w:val="none"/>
        </w:rPr>
      </w:pPr>
    </w:p>
    <w:p w14:paraId="79A44F2F">
      <w:pPr>
        <w:wordWrap w:val="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p>
    <w:p w14:paraId="7199C986">
      <w:pPr>
        <w:wordWrap w:val="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 日</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期：</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p>
    <w:p w14:paraId="1E3F761D">
      <w:pPr>
        <w:rPr>
          <w:rFonts w:hint="eastAsia"/>
          <w:color w:val="auto"/>
          <w:sz w:val="24"/>
          <w:szCs w:val="24"/>
          <w:highlight w:val="none"/>
        </w:rPr>
      </w:pPr>
    </w:p>
    <w:p w14:paraId="21F4017B">
      <w:pPr>
        <w:pStyle w:val="8"/>
        <w:rPr>
          <w:rFonts w:hint="eastAsia"/>
          <w:color w:val="auto"/>
          <w:sz w:val="24"/>
          <w:szCs w:val="24"/>
          <w:highlight w:val="none"/>
        </w:rPr>
      </w:pPr>
    </w:p>
    <w:p w14:paraId="1DEF0B66">
      <w:pPr>
        <w:rPr>
          <w:rFonts w:hint="eastAsia" w:ascii="宋体" w:hAnsi="宋体" w:cs="宋体"/>
          <w:color w:val="auto"/>
          <w:kern w:val="0"/>
          <w:sz w:val="24"/>
          <w:szCs w:val="24"/>
          <w:highlight w:val="none"/>
        </w:rPr>
      </w:pPr>
    </w:p>
    <w:p w14:paraId="18582532">
      <w:pPr>
        <w:pStyle w:val="2"/>
        <w:rPr>
          <w:rFonts w:hint="eastAsia" w:ascii="宋体" w:hAnsi="宋体" w:cs="宋体"/>
          <w:color w:val="auto"/>
          <w:kern w:val="0"/>
          <w:sz w:val="24"/>
          <w:szCs w:val="24"/>
          <w:highlight w:val="none"/>
        </w:rPr>
      </w:pPr>
    </w:p>
    <w:p w14:paraId="647732F6">
      <w:pPr>
        <w:rPr>
          <w:rFonts w:hint="eastAsia" w:ascii="宋体" w:hAnsi="宋体" w:cs="宋体"/>
          <w:color w:val="auto"/>
          <w:kern w:val="0"/>
          <w:sz w:val="24"/>
          <w:szCs w:val="24"/>
          <w:highlight w:val="none"/>
        </w:rPr>
      </w:pPr>
    </w:p>
    <w:p w14:paraId="12DC3855">
      <w:pPr>
        <w:pStyle w:val="2"/>
        <w:rPr>
          <w:rFonts w:hint="eastAsia" w:ascii="宋体" w:hAnsi="宋体" w:cs="宋体"/>
          <w:color w:val="auto"/>
          <w:kern w:val="0"/>
          <w:sz w:val="24"/>
          <w:szCs w:val="24"/>
          <w:highlight w:val="none"/>
        </w:rPr>
      </w:pPr>
    </w:p>
    <w:p w14:paraId="7AB49127">
      <w:pPr>
        <w:rPr>
          <w:rFonts w:hint="eastAsia" w:ascii="宋体" w:hAnsi="宋体" w:cs="宋体"/>
          <w:color w:val="auto"/>
          <w:kern w:val="0"/>
          <w:sz w:val="24"/>
          <w:szCs w:val="24"/>
          <w:highlight w:val="none"/>
        </w:rPr>
      </w:pPr>
    </w:p>
    <w:p w14:paraId="04CA4226">
      <w:pPr>
        <w:pStyle w:val="2"/>
        <w:rPr>
          <w:rFonts w:hint="eastAsia" w:ascii="宋体" w:hAnsi="宋体" w:cs="宋体"/>
          <w:color w:val="auto"/>
          <w:kern w:val="0"/>
          <w:sz w:val="24"/>
          <w:szCs w:val="24"/>
          <w:highlight w:val="none"/>
        </w:rPr>
      </w:pPr>
    </w:p>
    <w:p w14:paraId="57420858">
      <w:pPr>
        <w:rPr>
          <w:rFonts w:hint="eastAsia" w:ascii="宋体" w:hAnsi="宋体" w:cs="宋体"/>
          <w:color w:val="auto"/>
          <w:kern w:val="0"/>
          <w:sz w:val="24"/>
          <w:szCs w:val="24"/>
          <w:highlight w:val="none"/>
        </w:rPr>
      </w:pPr>
    </w:p>
    <w:p w14:paraId="18740855">
      <w:pPr>
        <w:pStyle w:val="2"/>
        <w:rPr>
          <w:rFonts w:hint="eastAsia" w:ascii="宋体" w:hAnsi="宋体" w:cs="宋体"/>
          <w:color w:val="auto"/>
          <w:kern w:val="0"/>
          <w:sz w:val="24"/>
          <w:szCs w:val="24"/>
          <w:highlight w:val="none"/>
        </w:rPr>
      </w:pPr>
    </w:p>
    <w:p w14:paraId="5E5BAF72">
      <w:pPr>
        <w:rPr>
          <w:rFonts w:hint="eastAsia" w:ascii="宋体" w:hAnsi="宋体" w:cs="宋体"/>
          <w:color w:val="auto"/>
          <w:kern w:val="0"/>
          <w:sz w:val="24"/>
          <w:szCs w:val="24"/>
          <w:highlight w:val="none"/>
        </w:rPr>
      </w:pPr>
    </w:p>
    <w:p w14:paraId="031D8031">
      <w:pPr>
        <w:numPr>
          <w:ilvl w:val="0"/>
          <w:numId w:val="0"/>
        </w:numPr>
        <w:spacing w:line="360" w:lineRule="auto"/>
        <w:textAlignment w:val="baseline"/>
        <w:rPr>
          <w:rFonts w:hint="eastAsia" w:ascii="Cambria" w:hAnsi="Cambria" w:eastAsia="宋体" w:cs="Times New Roman"/>
          <w:b/>
          <w:bCs/>
          <w:color w:val="auto"/>
          <w:kern w:val="44"/>
          <w:sz w:val="28"/>
          <w:szCs w:val="28"/>
          <w:highlight w:val="none"/>
          <w:lang w:val="ru-RU" w:eastAsia="zh-CN" w:bidi="ar-SA"/>
        </w:rPr>
      </w:pPr>
    </w:p>
    <w:p w14:paraId="36EDFD67">
      <w:pPr>
        <w:rPr>
          <w:rFonts w:hint="eastAsia" w:ascii="Times New Roman" w:hAnsi="Times New Roman" w:eastAsia="宋体" w:cs="Times New Roman"/>
          <w:b/>
          <w:color w:val="auto"/>
          <w:sz w:val="28"/>
          <w:szCs w:val="28"/>
          <w:highlight w:val="none"/>
          <w:lang w:val="en-US" w:eastAsia="zh-CN"/>
        </w:rPr>
      </w:pPr>
      <w:r>
        <w:rPr>
          <w:rFonts w:hint="eastAsia" w:ascii="Times New Roman" w:hAnsi="Times New Roman" w:eastAsia="宋体" w:cs="Times New Roman"/>
          <w:b/>
          <w:color w:val="auto"/>
          <w:sz w:val="28"/>
          <w:szCs w:val="28"/>
          <w:highlight w:val="none"/>
          <w:lang w:val="en-US" w:eastAsia="zh-CN"/>
        </w:rPr>
        <w:br w:type="page"/>
      </w:r>
    </w:p>
    <w:p w14:paraId="4ADDDB11">
      <w:pPr>
        <w:spacing w:line="360" w:lineRule="auto"/>
        <w:ind w:right="1002" w:rightChars="477"/>
        <w:jc w:val="left"/>
        <w:rPr>
          <w:rFonts w:hint="eastAsia" w:ascii="Times New Roman" w:hAnsi="Times New Roman" w:eastAsia="宋体" w:cs="Times New Roman"/>
          <w:b/>
          <w:color w:val="auto"/>
          <w:sz w:val="28"/>
          <w:szCs w:val="28"/>
          <w:highlight w:val="none"/>
        </w:rPr>
      </w:pPr>
      <w:r>
        <w:rPr>
          <w:rFonts w:hint="eastAsia" w:ascii="Times New Roman" w:hAnsi="Times New Roman" w:eastAsia="宋体" w:cs="Times New Roman"/>
          <w:b/>
          <w:color w:val="auto"/>
          <w:sz w:val="28"/>
          <w:szCs w:val="28"/>
          <w:highlight w:val="none"/>
          <w:lang w:val="en-US" w:eastAsia="zh-CN"/>
        </w:rPr>
        <w:t>五、</w:t>
      </w:r>
      <w:r>
        <w:rPr>
          <w:rFonts w:hint="eastAsia" w:ascii="Times New Roman" w:hAnsi="Times New Roman" w:eastAsia="宋体" w:cs="Times New Roman"/>
          <w:b/>
          <w:color w:val="auto"/>
          <w:sz w:val="28"/>
          <w:szCs w:val="28"/>
          <w:highlight w:val="none"/>
        </w:rPr>
        <w:t>声明函格式（中小微企业提供）</w:t>
      </w:r>
    </w:p>
    <w:p w14:paraId="0902880C">
      <w:pPr>
        <w:pStyle w:val="77"/>
        <w:ind w:firstLine="560"/>
        <w:rPr>
          <w:rStyle w:val="74"/>
          <w:rFonts w:hint="eastAsia" w:ascii="宋体" w:hAnsi="宋体" w:cs="宋体"/>
          <w:color w:val="auto"/>
          <w:sz w:val="28"/>
          <w:szCs w:val="28"/>
          <w:highlight w:val="none"/>
        </w:rPr>
      </w:pPr>
    </w:p>
    <w:p w14:paraId="30FE5CB3">
      <w:pPr>
        <w:spacing w:line="360" w:lineRule="auto"/>
        <w:ind w:right="1002" w:rightChars="477"/>
        <w:jc w:val="center"/>
        <w:rPr>
          <w:rFonts w:hint="eastAsia"/>
          <w:b/>
          <w:color w:val="auto"/>
          <w:sz w:val="28"/>
          <w:szCs w:val="28"/>
          <w:highlight w:val="none"/>
        </w:rPr>
      </w:pPr>
      <w:r>
        <w:rPr>
          <w:rFonts w:hint="eastAsia"/>
          <w:b/>
          <w:color w:val="auto"/>
          <w:sz w:val="28"/>
          <w:szCs w:val="28"/>
          <w:highlight w:val="none"/>
        </w:rPr>
        <w:t xml:space="preserve">    </w:t>
      </w:r>
      <w:r>
        <w:rPr>
          <w:rFonts w:hint="eastAsia"/>
          <w:b/>
          <w:color w:val="auto"/>
          <w:sz w:val="28"/>
          <w:szCs w:val="28"/>
          <w:highlight w:val="none"/>
          <w:lang w:eastAsia="zh-CN"/>
        </w:rPr>
        <w:t>（</w:t>
      </w:r>
      <w:r>
        <w:rPr>
          <w:rFonts w:hint="eastAsia"/>
          <w:b/>
          <w:color w:val="auto"/>
          <w:sz w:val="28"/>
          <w:szCs w:val="28"/>
          <w:highlight w:val="none"/>
          <w:lang w:val="en-US" w:eastAsia="zh-CN"/>
        </w:rPr>
        <w:t>1</w:t>
      </w:r>
      <w:r>
        <w:rPr>
          <w:rFonts w:hint="eastAsia"/>
          <w:b/>
          <w:color w:val="auto"/>
          <w:sz w:val="28"/>
          <w:szCs w:val="28"/>
          <w:highlight w:val="none"/>
          <w:lang w:eastAsia="zh-CN"/>
        </w:rPr>
        <w:t>）</w:t>
      </w:r>
      <w:r>
        <w:rPr>
          <w:b/>
          <w:color w:val="auto"/>
          <w:sz w:val="28"/>
          <w:szCs w:val="28"/>
          <w:highlight w:val="none"/>
        </w:rPr>
        <w:t>中小企业声明函（</w:t>
      </w:r>
      <w:r>
        <w:rPr>
          <w:rFonts w:hint="eastAsia"/>
          <w:b/>
          <w:color w:val="auto"/>
          <w:sz w:val="28"/>
          <w:szCs w:val="28"/>
          <w:highlight w:val="none"/>
        </w:rPr>
        <w:t>工程）</w:t>
      </w:r>
    </w:p>
    <w:p w14:paraId="19175A51">
      <w:pPr>
        <w:spacing w:line="360" w:lineRule="auto"/>
        <w:ind w:right="1002" w:rightChars="477"/>
        <w:jc w:val="center"/>
        <w:rPr>
          <w:b/>
          <w:color w:val="auto"/>
          <w:sz w:val="28"/>
          <w:szCs w:val="28"/>
          <w:highlight w:val="none"/>
        </w:rPr>
      </w:pPr>
      <w:r>
        <w:rPr>
          <w:b/>
          <w:color w:val="auto"/>
          <w:sz w:val="28"/>
          <w:szCs w:val="28"/>
          <w:highlight w:val="none"/>
        </w:rPr>
        <w:t> </w:t>
      </w:r>
    </w:p>
    <w:p w14:paraId="0C39039F">
      <w:pPr>
        <w:widowControl w:val="0"/>
        <w:spacing w:after="120"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本公司（联合体）郑重声明，根据《政府采购促进中小企业发展管理办法》（财库）（2020）46号）的规定，本公司（联合体）参加（单位名称）</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的（项目名称）</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采购活动，工程的施工单位全部为符合政策的中小企业（或者服务全部由符合中小企业政策要求的中小企业承接）。相关企业（含联合体中的中小企业、签订分包意向协议的中小企业）的具体情况如下：</w:t>
      </w:r>
    </w:p>
    <w:p w14:paraId="52F0E87C">
      <w:pPr>
        <w:widowControl w:val="0"/>
        <w:spacing w:after="120" w:line="360" w:lineRule="auto"/>
        <w:rPr>
          <w:rFonts w:ascii="宋体" w:hAnsi="宋体" w:cs="宋体"/>
          <w:color w:val="auto"/>
          <w:kern w:val="0"/>
          <w:sz w:val="24"/>
          <w:szCs w:val="24"/>
          <w:highlight w:val="none"/>
        </w:rPr>
      </w:pPr>
      <w:r>
        <w:rPr>
          <w:rFonts w:ascii="宋体" w:hAnsi="宋体" w:cs="宋体"/>
          <w:color w:val="auto"/>
          <w:kern w:val="0"/>
          <w:sz w:val="24"/>
          <w:szCs w:val="24"/>
          <w:highlight w:val="none"/>
        </w:rPr>
        <w:t>1.（标的名称）</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 xml:space="preserve"> ，属于（采购文件中明确的所属行业）</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 承建（承接）企业为（企业名称）</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，从业人员</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 xml:space="preserve"> 人，营业收入为</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万元，资产总额为</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万元 ，属于</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（中型企业、 小型企业、微型企业）；</w:t>
      </w:r>
    </w:p>
    <w:p w14:paraId="01944544">
      <w:pPr>
        <w:widowControl w:val="0"/>
        <w:spacing w:after="120" w:line="360" w:lineRule="auto"/>
        <w:rPr>
          <w:rFonts w:ascii="宋体" w:hAnsi="宋体" w:cs="宋体"/>
          <w:color w:val="auto"/>
          <w:kern w:val="0"/>
          <w:sz w:val="24"/>
          <w:szCs w:val="24"/>
          <w:highlight w:val="none"/>
        </w:rPr>
      </w:pPr>
      <w:r>
        <w:rPr>
          <w:rFonts w:ascii="宋体" w:hAnsi="宋体" w:cs="宋体"/>
          <w:color w:val="auto"/>
          <w:kern w:val="0"/>
          <w:sz w:val="24"/>
          <w:szCs w:val="24"/>
          <w:highlight w:val="none"/>
        </w:rPr>
        <w:t>2.（标的名称）</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 xml:space="preserve"> ，属于（采购文件中明确的所属行业）</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 承建（承接）企业为（企业名称）</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，从业人员</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人，营业 收入为</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万元，资产总额为</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万元，属于</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 xml:space="preserve">（中型企业、 小型企业、微型企业）； </w:t>
      </w:r>
    </w:p>
    <w:p w14:paraId="0D4AC8BA">
      <w:pPr>
        <w:widowControl w:val="0"/>
        <w:spacing w:after="120" w:line="360" w:lineRule="auto"/>
        <w:rPr>
          <w:rFonts w:ascii="宋体" w:hAnsi="宋体" w:cs="宋体"/>
          <w:color w:val="auto"/>
          <w:kern w:val="0"/>
          <w:sz w:val="24"/>
          <w:szCs w:val="24"/>
          <w:highlight w:val="none"/>
        </w:rPr>
      </w:pPr>
      <w:r>
        <w:rPr>
          <w:rFonts w:ascii="宋体" w:hAnsi="宋体" w:cs="宋体"/>
          <w:color w:val="auto"/>
          <w:kern w:val="0"/>
          <w:sz w:val="24"/>
          <w:szCs w:val="24"/>
          <w:highlight w:val="none"/>
        </w:rPr>
        <w:t>……</w:t>
      </w:r>
    </w:p>
    <w:p w14:paraId="4B927ED7">
      <w:pPr>
        <w:widowControl w:val="0"/>
        <w:spacing w:after="120" w:line="360" w:lineRule="auto"/>
        <w:ind w:firstLine="560"/>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以上企业，不属于大企业的分支机构，不存在控股股东 为大企业的情形，也不存在与大企业的负责人为同一人的情形。 本企业对上述声明内容的真实性负责。如有虚假，将依法承担相应责任。 </w:t>
      </w:r>
    </w:p>
    <w:p w14:paraId="54E7D180">
      <w:pPr>
        <w:widowControl w:val="0"/>
        <w:spacing w:after="120" w:line="360" w:lineRule="auto"/>
        <w:ind w:firstLine="3273" w:firstLineChars="1364"/>
        <w:rPr>
          <w:rFonts w:ascii="宋体" w:hAnsi="宋体" w:cs="宋体"/>
          <w:color w:val="auto"/>
          <w:kern w:val="0"/>
          <w:sz w:val="24"/>
          <w:szCs w:val="24"/>
          <w:highlight w:val="none"/>
        </w:rPr>
      </w:pPr>
      <w:r>
        <w:rPr>
          <w:rFonts w:ascii="宋体" w:hAnsi="宋体" w:cs="宋体"/>
          <w:color w:val="auto"/>
          <w:kern w:val="0"/>
          <w:sz w:val="24"/>
          <w:szCs w:val="24"/>
          <w:highlight w:val="none"/>
        </w:rPr>
        <w:t>企业名称（盖章）：</w:t>
      </w:r>
    </w:p>
    <w:p w14:paraId="715C4034">
      <w:pPr>
        <w:widowControl w:val="0"/>
        <w:spacing w:after="120" w:line="360" w:lineRule="auto"/>
        <w:rPr>
          <w:rFonts w:hint="eastAsia" w:ascii="Times New Roman" w:hAnsi="Times New Roman" w:eastAsia="宋体" w:cs="Times New Roman"/>
          <w:b/>
          <w:color w:val="auto"/>
          <w:sz w:val="28"/>
          <w:szCs w:val="28"/>
          <w:highlight w:val="none"/>
          <w:lang w:eastAsia="zh-CN"/>
        </w:rPr>
      </w:pPr>
      <w:r>
        <w:rPr>
          <w:rFonts w:ascii="宋体" w:hAnsi="宋体" w:cs="宋体"/>
          <w:color w:val="auto"/>
          <w:kern w:val="0"/>
          <w:sz w:val="24"/>
          <w:szCs w:val="24"/>
          <w:highlight w:val="none"/>
        </w:rPr>
        <w:t xml:space="preserve">                                     日 期</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w:t>
      </w:r>
    </w:p>
    <w:p w14:paraId="099D2D03">
      <w:pPr>
        <w:widowControl/>
        <w:spacing w:line="4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备注：1、从业人员、营业收入、资产总额填报上一年度数据，无上一年度数据的新成立企业可不填报。</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投标人为中小企业时需提供本声明函，并完整填写从业人员、营业收入、资产总额等内容。</w:t>
      </w:r>
    </w:p>
    <w:p w14:paraId="37562773">
      <w:pPr>
        <w:spacing w:line="360" w:lineRule="auto"/>
        <w:ind w:right="1002" w:rightChars="477"/>
        <w:jc w:val="center"/>
        <w:rPr>
          <w:rFonts w:hint="eastAsia" w:ascii="Times New Roman" w:hAnsi="Times New Roman" w:eastAsia="宋体" w:cs="Times New Roman"/>
          <w:b/>
          <w:color w:val="auto"/>
          <w:sz w:val="28"/>
          <w:szCs w:val="28"/>
          <w:highlight w:val="none"/>
          <w:lang w:eastAsia="zh-CN"/>
        </w:rPr>
      </w:pPr>
    </w:p>
    <w:p w14:paraId="17F0325F">
      <w:pPr>
        <w:spacing w:line="360" w:lineRule="auto"/>
        <w:ind w:right="1002" w:rightChars="477"/>
        <w:jc w:val="both"/>
        <w:rPr>
          <w:rFonts w:hint="eastAsia" w:ascii="Times New Roman" w:hAnsi="Times New Roman" w:eastAsia="宋体" w:cs="Times New Roman"/>
          <w:b/>
          <w:color w:val="auto"/>
          <w:sz w:val="28"/>
          <w:szCs w:val="28"/>
          <w:highlight w:val="none"/>
          <w:lang w:eastAsia="zh-CN"/>
        </w:rPr>
      </w:pPr>
    </w:p>
    <w:p w14:paraId="4BD81B46">
      <w:pPr>
        <w:spacing w:line="360" w:lineRule="auto"/>
        <w:ind w:right="1002" w:rightChars="477"/>
        <w:jc w:val="center"/>
        <w:rPr>
          <w:rFonts w:hint="eastAsia" w:ascii="Times New Roman" w:hAnsi="Times New Roman" w:eastAsia="宋体" w:cs="Times New Roman"/>
          <w:b/>
          <w:color w:val="auto"/>
          <w:sz w:val="28"/>
          <w:szCs w:val="28"/>
          <w:highlight w:val="none"/>
          <w:lang w:eastAsia="zh-CN"/>
        </w:rPr>
      </w:pPr>
    </w:p>
    <w:p w14:paraId="2DC4A96D">
      <w:pPr>
        <w:spacing w:line="360" w:lineRule="auto"/>
        <w:ind w:right="1002" w:rightChars="477"/>
        <w:jc w:val="center"/>
        <w:rPr>
          <w:rFonts w:hint="eastAsia" w:ascii="Times New Roman" w:hAnsi="Times New Roman" w:eastAsia="宋体" w:cs="Times New Roman"/>
          <w:b/>
          <w:color w:val="auto"/>
          <w:sz w:val="28"/>
          <w:szCs w:val="28"/>
          <w:highlight w:val="none"/>
        </w:rPr>
      </w:pPr>
      <w:r>
        <w:rPr>
          <w:rFonts w:hint="eastAsia" w:ascii="Times New Roman" w:hAnsi="Times New Roman" w:eastAsia="宋体" w:cs="Times New Roman"/>
          <w:b/>
          <w:color w:val="auto"/>
          <w:sz w:val="28"/>
          <w:szCs w:val="28"/>
          <w:highlight w:val="none"/>
          <w:lang w:eastAsia="zh-CN"/>
        </w:rPr>
        <w:t>（</w:t>
      </w:r>
      <w:r>
        <w:rPr>
          <w:rFonts w:hint="eastAsia" w:ascii="Times New Roman" w:hAnsi="Times New Roman" w:eastAsia="宋体" w:cs="Times New Roman"/>
          <w:b/>
          <w:color w:val="auto"/>
          <w:sz w:val="28"/>
          <w:szCs w:val="28"/>
          <w:highlight w:val="none"/>
          <w:lang w:val="en-US" w:eastAsia="zh-CN"/>
        </w:rPr>
        <w:t>2</w:t>
      </w:r>
      <w:r>
        <w:rPr>
          <w:rFonts w:hint="eastAsia" w:ascii="Times New Roman" w:hAnsi="Times New Roman" w:eastAsia="宋体" w:cs="Times New Roman"/>
          <w:b/>
          <w:color w:val="auto"/>
          <w:sz w:val="28"/>
          <w:szCs w:val="28"/>
          <w:highlight w:val="none"/>
          <w:lang w:eastAsia="zh-CN"/>
        </w:rPr>
        <w:t>）</w:t>
      </w:r>
      <w:r>
        <w:rPr>
          <w:rFonts w:hint="eastAsia" w:ascii="Times New Roman" w:hAnsi="Times New Roman" w:eastAsia="宋体" w:cs="Times New Roman"/>
          <w:b/>
          <w:color w:val="auto"/>
          <w:sz w:val="28"/>
          <w:szCs w:val="28"/>
          <w:highlight w:val="none"/>
        </w:rPr>
        <w:t>监狱企业声明函</w:t>
      </w:r>
    </w:p>
    <w:p w14:paraId="408699AB">
      <w:pPr>
        <w:keepNext w:val="0"/>
        <w:keepLines w:val="0"/>
        <w:pageBreakBefore w:val="0"/>
        <w:widowControl/>
        <w:kinsoku/>
        <w:wordWrap/>
        <w:overflowPunct/>
        <w:topLinePunct w:val="0"/>
        <w:bidi w:val="0"/>
        <w:snapToGrid/>
        <w:spacing w:line="360" w:lineRule="auto"/>
        <w:ind w:firstLine="3360" w:firstLineChars="14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(监狱企业适用)</w:t>
      </w:r>
    </w:p>
    <w:p w14:paraId="34302658">
      <w:pPr>
        <w:pStyle w:val="29"/>
        <w:tabs>
          <w:tab w:val="left" w:pos="720"/>
          <w:tab w:val="left" w:pos="900"/>
          <w:tab w:val="left" w:pos="1260"/>
          <w:tab w:val="left" w:pos="2160"/>
          <w:tab w:val="left" w:pos="2880"/>
          <w:tab w:val="left" w:pos="3600"/>
          <w:tab w:val="left" w:pos="4320"/>
          <w:tab w:val="left" w:pos="5040"/>
          <w:tab w:val="left" w:pos="5760"/>
        </w:tabs>
        <w:spacing w:line="360" w:lineRule="auto"/>
        <w:rPr>
          <w:rFonts w:hint="eastAsia" w:asciiTheme="minorEastAsia" w:hAnsiTheme="minorEastAsia" w:eastAsiaTheme="minorEastAsia" w:cstheme="minorEastAsia"/>
          <w:sz w:val="24"/>
          <w:szCs w:val="24"/>
        </w:rPr>
      </w:pPr>
    </w:p>
    <w:p w14:paraId="3C7D7EFD">
      <w:pPr>
        <w:spacing w:line="360" w:lineRule="auto"/>
        <w:ind w:firstLine="482" w:firstLineChars="200"/>
        <w:jc w:val="both"/>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监狱企业声明函【服务类，监狱企业如需享受优惠政策，还须另行提供省级以上监狱管理局、戒毒管理局（含新疆生产建设兵团）出具的监狱企业证明文件】</w:t>
      </w:r>
    </w:p>
    <w:p w14:paraId="09FCC116">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本投标人郑重声明，根据《财政部司法部关于政府采购支持监狱企业发展有关问题的通知》（财库〔2014〕68号）的规定，本投标人参加</w:t>
      </w:r>
      <w:r>
        <w:rPr>
          <w:rFonts w:hint="eastAsia" w:asciiTheme="minorEastAsia" w:hAnsiTheme="minorEastAsia" w:eastAsiaTheme="minorEastAsia" w:cstheme="minorEastAsia"/>
          <w:b/>
          <w:bCs/>
          <w:sz w:val="24"/>
          <w:szCs w:val="24"/>
          <w:u w:val="single"/>
        </w:rPr>
        <w:t>（采购人名称）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b/>
          <w:bCs/>
          <w:sz w:val="24"/>
          <w:szCs w:val="24"/>
          <w:u w:val="single"/>
        </w:rPr>
        <w:t>（项目名称）</w:t>
      </w:r>
      <w:r>
        <w:rPr>
          <w:rFonts w:hint="eastAsia" w:asciiTheme="minorEastAsia" w:hAnsiTheme="minorEastAsia" w:eastAsiaTheme="minorEastAsia" w:cstheme="minorEastAsia"/>
          <w:sz w:val="24"/>
          <w:szCs w:val="24"/>
        </w:rPr>
        <w:t>采购活动，服务全部由符合政策要求的监狱企业承接。相关监狱企业的具体情况如下：</w:t>
      </w:r>
    </w:p>
    <w:p w14:paraId="55C04ABB">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b/>
          <w:bCs/>
          <w:sz w:val="24"/>
          <w:szCs w:val="24"/>
          <w:u w:val="single"/>
        </w:rPr>
        <w:t xml:space="preserve"> （标的名称）</w:t>
      </w:r>
      <w:r>
        <w:rPr>
          <w:rFonts w:hint="eastAsia" w:asciiTheme="minorEastAsia" w:hAnsiTheme="minorEastAsia" w:eastAsiaTheme="minorEastAsia" w:cstheme="minorEastAsia"/>
          <w:sz w:val="24"/>
          <w:szCs w:val="24"/>
        </w:rPr>
        <w:t xml:space="preserve"> ，承接单位为</w:t>
      </w:r>
      <w:r>
        <w:rPr>
          <w:rFonts w:hint="eastAsia" w:asciiTheme="minorEastAsia" w:hAnsiTheme="minorEastAsia" w:eastAsiaTheme="minorEastAsia" w:cstheme="minorEastAsia"/>
          <w:b/>
          <w:bCs/>
          <w:sz w:val="24"/>
          <w:szCs w:val="24"/>
          <w:u w:val="single"/>
        </w:rPr>
        <w:t>（企业名称）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b/>
          <w:bCs/>
          <w:sz w:val="24"/>
          <w:szCs w:val="24"/>
          <w:u w:val="single"/>
        </w:rPr>
        <w:t>监狱企业</w:t>
      </w:r>
      <w:r>
        <w:rPr>
          <w:rFonts w:hint="eastAsia" w:asciiTheme="minorEastAsia" w:hAnsiTheme="minorEastAsia" w:eastAsiaTheme="minorEastAsia" w:cstheme="minorEastAsia"/>
          <w:sz w:val="24"/>
          <w:szCs w:val="24"/>
        </w:rPr>
        <w:t>；</w:t>
      </w:r>
    </w:p>
    <w:p w14:paraId="5F56B0ED">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b/>
          <w:bCs/>
          <w:sz w:val="24"/>
          <w:szCs w:val="24"/>
          <w:u w:val="single"/>
        </w:rPr>
        <w:t xml:space="preserve"> （标的名称）</w:t>
      </w:r>
      <w:r>
        <w:rPr>
          <w:rFonts w:hint="eastAsia" w:asciiTheme="minorEastAsia" w:hAnsiTheme="minorEastAsia" w:eastAsiaTheme="minorEastAsia" w:cstheme="minorEastAsia"/>
          <w:sz w:val="24"/>
          <w:szCs w:val="24"/>
        </w:rPr>
        <w:t xml:space="preserve"> ，承接单位为</w:t>
      </w:r>
      <w:r>
        <w:rPr>
          <w:rFonts w:hint="eastAsia" w:asciiTheme="minorEastAsia" w:hAnsiTheme="minorEastAsia" w:eastAsiaTheme="minorEastAsia" w:cstheme="minorEastAsia"/>
          <w:b/>
          <w:bCs/>
          <w:sz w:val="24"/>
          <w:szCs w:val="24"/>
          <w:u w:val="single"/>
        </w:rPr>
        <w:t>（企业名称）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b/>
          <w:bCs/>
          <w:sz w:val="24"/>
          <w:szCs w:val="24"/>
          <w:u w:val="single"/>
        </w:rPr>
        <w:t>监狱企业</w:t>
      </w:r>
      <w:r>
        <w:rPr>
          <w:rFonts w:hint="eastAsia" w:asciiTheme="minorEastAsia" w:hAnsiTheme="minorEastAsia" w:eastAsiaTheme="minorEastAsia" w:cstheme="minorEastAsia"/>
          <w:sz w:val="24"/>
          <w:szCs w:val="24"/>
        </w:rPr>
        <w:t>。</w:t>
      </w:r>
    </w:p>
    <w:p w14:paraId="5AD4F09D">
      <w:pPr>
        <w:spacing w:line="360" w:lineRule="auto"/>
        <w:ind w:firstLine="480" w:firstLineChars="200"/>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4E858A33">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本投标人对上述声明内容的真实性负责。如有虚假，将依法承担相应责任。</w:t>
      </w:r>
    </w:p>
    <w:p w14:paraId="3845EBF8">
      <w:pPr>
        <w:spacing w:line="360" w:lineRule="auto"/>
        <w:ind w:firstLine="480" w:firstLineChars="200"/>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sz w:val="24"/>
          <w:szCs w:val="24"/>
        </w:rPr>
        <w:t>附：省级以上监狱管理局、戒毒管理局（含新疆生产建设兵团）出具的监狱企业证明文件。</w:t>
      </w:r>
    </w:p>
    <w:p w14:paraId="1573465D">
      <w:pPr>
        <w:keepNext w:val="0"/>
        <w:keepLines w:val="0"/>
        <w:pageBreakBefore w:val="0"/>
        <w:widowControl/>
        <w:kinsoku/>
        <w:wordWrap/>
        <w:overflowPunct/>
        <w:topLinePunct w:val="0"/>
        <w:bidi w:val="0"/>
        <w:snapToGrid/>
        <w:spacing w:line="360" w:lineRule="auto"/>
        <w:ind w:firstLine="480" w:firstLineChars="200"/>
        <w:rPr>
          <w:rFonts w:hint="eastAsia" w:asciiTheme="minorEastAsia" w:hAnsiTheme="minorEastAsia" w:eastAsiaTheme="minorEastAsia" w:cstheme="minorEastAsia"/>
          <w:color w:val="auto"/>
          <w:sz w:val="24"/>
          <w:szCs w:val="24"/>
        </w:rPr>
      </w:pPr>
    </w:p>
    <w:p w14:paraId="59097734">
      <w:pPr>
        <w:keepNext w:val="0"/>
        <w:keepLines w:val="0"/>
        <w:pageBreakBefore w:val="0"/>
        <w:widowControl/>
        <w:kinsoku/>
        <w:wordWrap/>
        <w:overflowPunct/>
        <w:topLinePunct w:val="0"/>
        <w:bidi w:val="0"/>
        <w:snapToGrid/>
        <w:spacing w:line="360" w:lineRule="auto"/>
        <w:rPr>
          <w:rFonts w:hint="eastAsia" w:asciiTheme="minorEastAsia" w:hAnsiTheme="minorEastAsia" w:eastAsiaTheme="minorEastAsia" w:cstheme="minorEastAsia"/>
          <w:color w:val="auto"/>
          <w:sz w:val="24"/>
          <w:szCs w:val="24"/>
        </w:rPr>
      </w:pPr>
    </w:p>
    <w:p w14:paraId="6631E70E">
      <w:pPr>
        <w:keepNext w:val="0"/>
        <w:keepLines w:val="0"/>
        <w:pageBreakBefore w:val="0"/>
        <w:widowControl/>
        <w:kinsoku/>
        <w:wordWrap/>
        <w:overflowPunct/>
        <w:topLinePunct w:val="0"/>
        <w:bidi w:val="0"/>
        <w:snapToGrid/>
        <w:spacing w:line="360" w:lineRule="auto"/>
        <w:ind w:firstLine="3600" w:firstLineChars="15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企业名称(盖公章):</w:t>
      </w:r>
    </w:p>
    <w:p w14:paraId="7A2D69F9">
      <w:pPr>
        <w:keepNext w:val="0"/>
        <w:keepLines w:val="0"/>
        <w:pageBreakBefore w:val="0"/>
        <w:widowControl/>
        <w:kinsoku/>
        <w:wordWrap/>
        <w:overflowPunct/>
        <w:topLinePunct w:val="0"/>
        <w:bidi w:val="0"/>
        <w:snapToGrid/>
        <w:spacing w:line="360" w:lineRule="auto"/>
        <w:ind w:firstLine="3600" w:firstLineChars="15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法定代表人(负责人)或其授权代表(签字):</w:t>
      </w:r>
    </w:p>
    <w:p w14:paraId="1BED314F">
      <w:pPr>
        <w:keepNext w:val="0"/>
        <w:keepLines w:val="0"/>
        <w:pageBreakBefore w:val="0"/>
        <w:widowControl/>
        <w:kinsoku/>
        <w:wordWrap/>
        <w:overflowPunct/>
        <w:topLinePunct w:val="0"/>
        <w:bidi w:val="0"/>
        <w:snapToGrid/>
        <w:spacing w:line="360" w:lineRule="auto"/>
        <w:ind w:firstLine="3600" w:firstLineChars="15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p>
    <w:p w14:paraId="198CEEFC">
      <w:pPr>
        <w:pStyle w:val="12"/>
        <w:spacing w:line="360" w:lineRule="auto"/>
        <w:rPr>
          <w:rFonts w:hint="eastAsia" w:asciiTheme="minorEastAsia" w:hAnsiTheme="minorEastAsia" w:eastAsiaTheme="minorEastAsia" w:cstheme="minorEastAsia"/>
          <w:color w:val="auto"/>
          <w:sz w:val="24"/>
          <w:szCs w:val="24"/>
        </w:rPr>
      </w:pPr>
    </w:p>
    <w:p w14:paraId="3F72AE4A">
      <w:pPr>
        <w:pStyle w:val="12"/>
        <w:spacing w:line="360" w:lineRule="auto"/>
        <w:rPr>
          <w:rFonts w:hint="eastAsia" w:asciiTheme="minorEastAsia" w:hAnsiTheme="minorEastAsia" w:eastAsiaTheme="minorEastAsia" w:cstheme="minorEastAsia"/>
          <w:color w:val="auto"/>
          <w:sz w:val="24"/>
          <w:szCs w:val="24"/>
        </w:rPr>
      </w:pPr>
    </w:p>
    <w:p w14:paraId="203B7FEE">
      <w:pPr>
        <w:pStyle w:val="12"/>
        <w:spacing w:line="360" w:lineRule="auto"/>
        <w:rPr>
          <w:rFonts w:hint="eastAsia" w:asciiTheme="minorEastAsia" w:hAnsiTheme="minorEastAsia" w:eastAsiaTheme="minorEastAsia" w:cstheme="minorEastAsia"/>
          <w:color w:val="auto"/>
          <w:sz w:val="24"/>
          <w:szCs w:val="24"/>
        </w:rPr>
      </w:pPr>
    </w:p>
    <w:p w14:paraId="4268984A">
      <w:pPr>
        <w:pStyle w:val="12"/>
        <w:spacing w:line="360" w:lineRule="auto"/>
        <w:rPr>
          <w:rFonts w:hint="eastAsia" w:asciiTheme="minorEastAsia" w:hAnsiTheme="minorEastAsia" w:eastAsiaTheme="minorEastAsia" w:cstheme="minorEastAsia"/>
          <w:color w:val="auto"/>
          <w:sz w:val="24"/>
          <w:szCs w:val="24"/>
        </w:rPr>
      </w:pPr>
    </w:p>
    <w:p w14:paraId="6DFF3861">
      <w:pPr>
        <w:pStyle w:val="12"/>
        <w:spacing w:line="360" w:lineRule="auto"/>
        <w:rPr>
          <w:rFonts w:hint="eastAsia" w:asciiTheme="minorEastAsia" w:hAnsiTheme="minorEastAsia" w:eastAsiaTheme="minorEastAsia" w:cstheme="minorEastAsia"/>
          <w:color w:val="auto"/>
          <w:sz w:val="24"/>
          <w:szCs w:val="24"/>
        </w:rPr>
      </w:pPr>
    </w:p>
    <w:p w14:paraId="7E1144D9">
      <w:pPr>
        <w:pStyle w:val="12"/>
        <w:spacing w:line="360" w:lineRule="auto"/>
        <w:rPr>
          <w:rFonts w:hint="eastAsia" w:asciiTheme="minorEastAsia" w:hAnsiTheme="minorEastAsia" w:eastAsiaTheme="minorEastAsia" w:cstheme="minorEastAsia"/>
          <w:color w:val="auto"/>
          <w:sz w:val="24"/>
          <w:szCs w:val="24"/>
        </w:rPr>
      </w:pPr>
    </w:p>
    <w:p w14:paraId="0F896F65">
      <w:pPr>
        <w:pStyle w:val="12"/>
        <w:spacing w:line="360" w:lineRule="auto"/>
        <w:rPr>
          <w:rFonts w:hint="eastAsia" w:asciiTheme="minorEastAsia" w:hAnsiTheme="minorEastAsia" w:eastAsiaTheme="minorEastAsia" w:cstheme="minorEastAsia"/>
          <w:color w:val="auto"/>
          <w:sz w:val="24"/>
          <w:szCs w:val="24"/>
        </w:rPr>
      </w:pPr>
    </w:p>
    <w:p w14:paraId="1CBADA60">
      <w:pPr>
        <w:pStyle w:val="40"/>
        <w:ind w:left="0" w:leftChars="0" w:firstLine="0" w:firstLineChars="0"/>
        <w:rPr>
          <w:rFonts w:hint="eastAsia" w:asciiTheme="minorEastAsia" w:hAnsiTheme="minorEastAsia" w:eastAsiaTheme="minorEastAsia" w:cstheme="minorEastAsia"/>
          <w:color w:val="auto"/>
          <w:sz w:val="24"/>
          <w:szCs w:val="22"/>
        </w:rPr>
      </w:pPr>
    </w:p>
    <w:p w14:paraId="5862113C">
      <w:pPr>
        <w:rPr>
          <w:rFonts w:hint="eastAsia" w:asciiTheme="minorEastAsia" w:hAnsiTheme="minorEastAsia" w:eastAsiaTheme="minorEastAsia" w:cstheme="minorEastAsia"/>
        </w:rPr>
      </w:pPr>
    </w:p>
    <w:p w14:paraId="727EB2AC">
      <w:pPr>
        <w:pStyle w:val="29"/>
        <w:tabs>
          <w:tab w:val="left" w:pos="720"/>
          <w:tab w:val="left" w:pos="900"/>
          <w:tab w:val="left" w:pos="1260"/>
          <w:tab w:val="left" w:pos="2160"/>
          <w:tab w:val="left" w:pos="2880"/>
          <w:tab w:val="left" w:pos="3600"/>
          <w:tab w:val="left" w:pos="4320"/>
          <w:tab w:val="left" w:pos="5040"/>
          <w:tab w:val="left" w:pos="5760"/>
        </w:tabs>
        <w:rPr>
          <w:rFonts w:hint="eastAsia" w:asciiTheme="minorEastAsia" w:hAnsiTheme="minorEastAsia" w:eastAsiaTheme="minorEastAsia" w:cstheme="minorEastAsia"/>
        </w:rPr>
      </w:pPr>
    </w:p>
    <w:p w14:paraId="02A05C9B">
      <w:pPr>
        <w:spacing w:line="360" w:lineRule="auto"/>
        <w:ind w:right="1002" w:rightChars="477"/>
        <w:jc w:val="center"/>
        <w:rPr>
          <w:rFonts w:hint="eastAsia" w:ascii="Times New Roman" w:hAnsi="Times New Roman" w:eastAsia="宋体" w:cs="Times New Roman"/>
          <w:b/>
          <w:color w:val="auto"/>
          <w:sz w:val="28"/>
          <w:szCs w:val="28"/>
          <w:highlight w:val="none"/>
        </w:rPr>
      </w:pPr>
      <w:r>
        <w:rPr>
          <w:rFonts w:hint="eastAsia" w:ascii="Times New Roman" w:hAnsi="Times New Roman" w:eastAsia="宋体" w:cs="Times New Roman"/>
          <w:b/>
          <w:color w:val="auto"/>
          <w:sz w:val="28"/>
          <w:szCs w:val="28"/>
          <w:highlight w:val="none"/>
          <w:lang w:eastAsia="zh-CN"/>
        </w:rPr>
        <w:t>（</w:t>
      </w:r>
      <w:r>
        <w:rPr>
          <w:rFonts w:hint="eastAsia" w:ascii="Times New Roman" w:hAnsi="Times New Roman" w:eastAsia="宋体" w:cs="Times New Roman"/>
          <w:b/>
          <w:color w:val="auto"/>
          <w:sz w:val="28"/>
          <w:szCs w:val="28"/>
          <w:highlight w:val="none"/>
          <w:lang w:val="en-US" w:eastAsia="zh-CN"/>
        </w:rPr>
        <w:t>3</w:t>
      </w:r>
      <w:r>
        <w:rPr>
          <w:rFonts w:hint="eastAsia" w:ascii="Times New Roman" w:hAnsi="Times New Roman" w:eastAsia="宋体" w:cs="Times New Roman"/>
          <w:b/>
          <w:color w:val="auto"/>
          <w:sz w:val="28"/>
          <w:szCs w:val="28"/>
          <w:highlight w:val="none"/>
          <w:lang w:eastAsia="zh-CN"/>
        </w:rPr>
        <w:t>）</w:t>
      </w:r>
      <w:r>
        <w:rPr>
          <w:rFonts w:hint="eastAsia" w:ascii="Times New Roman" w:hAnsi="Times New Roman" w:eastAsia="宋体" w:cs="Times New Roman"/>
          <w:b/>
          <w:color w:val="auto"/>
          <w:sz w:val="28"/>
          <w:szCs w:val="28"/>
          <w:highlight w:val="none"/>
        </w:rPr>
        <w:t>残疾人福利性单位声明函</w:t>
      </w:r>
    </w:p>
    <w:p w14:paraId="6151BEEC">
      <w:pPr>
        <w:widowControl/>
        <w:spacing w:line="360" w:lineRule="auto"/>
        <w:ind w:firstLine="480" w:firstLineChars="200"/>
        <w:rPr>
          <w:rFonts w:hint="eastAsia" w:asciiTheme="minorEastAsia" w:hAnsiTheme="minorEastAsia" w:eastAsiaTheme="minorEastAsia" w:cstheme="minorEastAsia"/>
          <w:color w:val="auto"/>
          <w:sz w:val="24"/>
          <w:szCs w:val="22"/>
        </w:rPr>
      </w:pPr>
    </w:p>
    <w:p w14:paraId="7814D397">
      <w:pPr>
        <w:jc w:val="center"/>
        <w:outlineLvl w:val="3"/>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残疾人福利性单位声明函</w:t>
      </w:r>
    </w:p>
    <w:p w14:paraId="3FE21C7E">
      <w:pPr>
        <w:rPr>
          <w:rFonts w:hint="eastAsia" w:asciiTheme="minorEastAsia" w:hAnsiTheme="minorEastAsia" w:eastAsiaTheme="minorEastAsia" w:cstheme="minorEastAsia"/>
          <w:b/>
          <w:bCs/>
        </w:rPr>
      </w:pPr>
    </w:p>
    <w:p w14:paraId="79E693F8">
      <w:pPr>
        <w:ind w:firstLine="480" w:firstLineChars="200"/>
        <w:rPr>
          <w:rFonts w:hint="eastAsia" w:asciiTheme="minorEastAsia" w:hAnsiTheme="minorEastAsia" w:eastAsiaTheme="minorEastAsia" w:cstheme="minorEastAsia"/>
          <w:sz w:val="24"/>
          <w:szCs w:val="24"/>
        </w:rPr>
      </w:pPr>
    </w:p>
    <w:p w14:paraId="1B10D9F2">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本投标人郑重声明，根据《财政部民政部中国残疾人联合会关于促进残疾人就业政府采购政策的通知》（财库〔2017〕141 号）的规定，本投标人参加</w:t>
      </w:r>
      <w:r>
        <w:rPr>
          <w:rFonts w:hint="eastAsia" w:asciiTheme="minorEastAsia" w:hAnsiTheme="minorEastAsia" w:eastAsiaTheme="minorEastAsia" w:cstheme="minorEastAsia"/>
          <w:b/>
          <w:bCs/>
          <w:sz w:val="24"/>
          <w:szCs w:val="24"/>
          <w:u w:val="single"/>
        </w:rPr>
        <w:t>（采购人名称）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b/>
          <w:bCs/>
          <w:sz w:val="24"/>
          <w:szCs w:val="24"/>
          <w:u w:val="single"/>
        </w:rPr>
        <w:t>（项目名称）</w:t>
      </w:r>
      <w:r>
        <w:rPr>
          <w:rFonts w:hint="eastAsia" w:asciiTheme="minorEastAsia" w:hAnsiTheme="minorEastAsia" w:eastAsiaTheme="minorEastAsia" w:cstheme="minorEastAsia"/>
          <w:sz w:val="24"/>
          <w:szCs w:val="24"/>
        </w:rPr>
        <w:t>采购活动，服务全部由符合政策要求的残疾人福利性单位承接。相关残疾人福利性单位的具体情况如下：</w:t>
      </w:r>
    </w:p>
    <w:p w14:paraId="4634987F">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b/>
          <w:bCs/>
          <w:sz w:val="24"/>
          <w:szCs w:val="24"/>
          <w:u w:val="single"/>
        </w:rPr>
        <w:t xml:space="preserve"> （标的名称）</w:t>
      </w:r>
      <w:r>
        <w:rPr>
          <w:rFonts w:hint="eastAsia" w:asciiTheme="minorEastAsia" w:hAnsiTheme="minorEastAsia" w:eastAsiaTheme="minorEastAsia" w:cstheme="minorEastAsia"/>
          <w:sz w:val="24"/>
          <w:szCs w:val="24"/>
        </w:rPr>
        <w:t xml:space="preserve"> ，承接企业为</w:t>
      </w:r>
      <w:r>
        <w:rPr>
          <w:rFonts w:hint="eastAsia" w:asciiTheme="minorEastAsia" w:hAnsiTheme="minorEastAsia" w:eastAsiaTheme="minorEastAsia" w:cstheme="minorEastAsia"/>
          <w:b/>
          <w:bCs/>
          <w:sz w:val="24"/>
          <w:szCs w:val="24"/>
          <w:u w:val="single"/>
        </w:rPr>
        <w:t>（单位名称）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b/>
          <w:bCs/>
          <w:sz w:val="24"/>
          <w:szCs w:val="24"/>
          <w:u w:val="single"/>
        </w:rPr>
        <w:t>残疾人福利性单位</w:t>
      </w:r>
      <w:r>
        <w:rPr>
          <w:rFonts w:hint="eastAsia" w:asciiTheme="minorEastAsia" w:hAnsiTheme="minorEastAsia" w:eastAsiaTheme="minorEastAsia" w:cstheme="minorEastAsia"/>
          <w:sz w:val="24"/>
          <w:szCs w:val="24"/>
        </w:rPr>
        <w:t>；</w:t>
      </w:r>
    </w:p>
    <w:p w14:paraId="24556A0D">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b/>
          <w:bCs/>
          <w:sz w:val="24"/>
          <w:szCs w:val="24"/>
          <w:u w:val="single"/>
        </w:rPr>
        <w:t xml:space="preserve"> （标的名称）</w:t>
      </w:r>
      <w:r>
        <w:rPr>
          <w:rFonts w:hint="eastAsia" w:asciiTheme="minorEastAsia" w:hAnsiTheme="minorEastAsia" w:eastAsiaTheme="minorEastAsia" w:cstheme="minorEastAsia"/>
          <w:sz w:val="24"/>
          <w:szCs w:val="24"/>
        </w:rPr>
        <w:t xml:space="preserve"> ，承接企业为</w:t>
      </w:r>
      <w:r>
        <w:rPr>
          <w:rFonts w:hint="eastAsia" w:asciiTheme="minorEastAsia" w:hAnsiTheme="minorEastAsia" w:eastAsiaTheme="minorEastAsia" w:cstheme="minorEastAsia"/>
          <w:b/>
          <w:bCs/>
          <w:sz w:val="24"/>
          <w:szCs w:val="24"/>
          <w:u w:val="single"/>
        </w:rPr>
        <w:t>（单位名称）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b/>
          <w:bCs/>
          <w:sz w:val="24"/>
          <w:szCs w:val="24"/>
          <w:u w:val="single"/>
        </w:rPr>
        <w:t>残疾人福利性单位</w:t>
      </w:r>
      <w:r>
        <w:rPr>
          <w:rFonts w:hint="eastAsia" w:asciiTheme="minorEastAsia" w:hAnsiTheme="minorEastAsia" w:eastAsiaTheme="minorEastAsia" w:cstheme="minorEastAsia"/>
          <w:sz w:val="24"/>
          <w:szCs w:val="24"/>
        </w:rPr>
        <w:t>。</w:t>
      </w:r>
    </w:p>
    <w:p w14:paraId="0520AEDE">
      <w:pPr>
        <w:spacing w:line="360" w:lineRule="auto"/>
        <w:ind w:firstLine="480" w:firstLineChars="200"/>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1CD25487">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本投标人已知悉《财政部民政部中国残疾人联合会关于促进残疾人就业政府采购政策的通知》（财库〔2017〕141 号）的规定，承诺提供的声明函内容是真实的，如提供声明函内容不实，则依法追究相关法律责任。</w:t>
      </w:r>
    </w:p>
    <w:p w14:paraId="49347E1A">
      <w:pPr>
        <w:pStyle w:val="12"/>
        <w:keepNext w:val="0"/>
        <w:keepLines w:val="0"/>
        <w:pageBreakBefore w:val="0"/>
        <w:kinsoku/>
        <w:wordWrap/>
        <w:overflowPunct/>
        <w:topLinePunct w:val="0"/>
        <w:bidi w:val="0"/>
        <w:snapToGrid/>
        <w:spacing w:line="360" w:lineRule="auto"/>
        <w:rPr>
          <w:rFonts w:hint="eastAsia" w:asciiTheme="minorEastAsia" w:hAnsiTheme="minorEastAsia" w:eastAsiaTheme="minorEastAsia" w:cstheme="minorEastAsia"/>
          <w:color w:val="auto"/>
          <w:sz w:val="24"/>
          <w:szCs w:val="24"/>
        </w:rPr>
      </w:pPr>
    </w:p>
    <w:p w14:paraId="287767C8">
      <w:pPr>
        <w:keepNext w:val="0"/>
        <w:keepLines w:val="0"/>
        <w:pageBreakBefore w:val="0"/>
        <w:widowControl/>
        <w:kinsoku/>
        <w:wordWrap/>
        <w:overflowPunct/>
        <w:topLinePunct w:val="0"/>
        <w:bidi w:val="0"/>
        <w:snapToGrid/>
        <w:spacing w:line="360" w:lineRule="auto"/>
        <w:ind w:firstLine="3600" w:firstLineChars="15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企业名称(盖公章):</w:t>
      </w:r>
    </w:p>
    <w:p w14:paraId="6754DA8B">
      <w:pPr>
        <w:keepNext w:val="0"/>
        <w:keepLines w:val="0"/>
        <w:pageBreakBefore w:val="0"/>
        <w:widowControl/>
        <w:kinsoku/>
        <w:wordWrap/>
        <w:overflowPunct/>
        <w:topLinePunct w:val="0"/>
        <w:bidi w:val="0"/>
        <w:snapToGrid/>
        <w:spacing w:line="360" w:lineRule="auto"/>
        <w:ind w:firstLine="3600" w:firstLineChars="15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法定代表人(负责人)或其授权代表(签字):</w:t>
      </w:r>
    </w:p>
    <w:p w14:paraId="13770794">
      <w:pPr>
        <w:keepNext w:val="0"/>
        <w:keepLines w:val="0"/>
        <w:pageBreakBefore w:val="0"/>
        <w:widowControl/>
        <w:kinsoku/>
        <w:wordWrap/>
        <w:overflowPunct/>
        <w:topLinePunct w:val="0"/>
        <w:bidi w:val="0"/>
        <w:snapToGrid/>
        <w:spacing w:line="360" w:lineRule="auto"/>
        <w:ind w:firstLine="3600" w:firstLineChars="15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p>
    <w:p w14:paraId="3A9DBBB9">
      <w:pPr>
        <w:pStyle w:val="12"/>
        <w:spacing w:line="360" w:lineRule="auto"/>
        <w:rPr>
          <w:rFonts w:hint="eastAsia" w:asciiTheme="minorEastAsia" w:hAnsiTheme="minorEastAsia" w:eastAsiaTheme="minorEastAsia" w:cstheme="minorEastAsia"/>
          <w:color w:val="auto"/>
          <w:sz w:val="24"/>
          <w:szCs w:val="22"/>
        </w:rPr>
      </w:pPr>
    </w:p>
    <w:p w14:paraId="33511BB2">
      <w:pPr>
        <w:pStyle w:val="12"/>
        <w:rPr>
          <w:rFonts w:hint="eastAsia" w:asciiTheme="minorEastAsia" w:hAnsiTheme="minorEastAsia" w:eastAsiaTheme="minorEastAsia" w:cstheme="minorEastAsia"/>
          <w:color w:val="auto"/>
          <w:sz w:val="24"/>
          <w:szCs w:val="22"/>
        </w:rPr>
      </w:pPr>
    </w:p>
    <w:p w14:paraId="05FFA80A">
      <w:pPr>
        <w:keepNext w:val="0"/>
        <w:keepLines w:val="0"/>
        <w:pageBreakBefore w:val="0"/>
        <w:kinsoku/>
        <w:wordWrap/>
        <w:overflowPunct/>
        <w:topLinePunct w:val="0"/>
        <w:bidi w:val="0"/>
        <w:snapToGrid/>
        <w:spacing w:line="600" w:lineRule="exact"/>
        <w:jc w:val="center"/>
        <w:rPr>
          <w:rFonts w:hint="eastAsia" w:asciiTheme="minorEastAsia" w:hAnsiTheme="minorEastAsia" w:eastAsiaTheme="minorEastAsia" w:cstheme="minorEastAsia"/>
          <w:b/>
          <w:bCs/>
          <w:color w:val="auto"/>
          <w:sz w:val="36"/>
          <w:szCs w:val="24"/>
          <w:lang w:eastAsia="zh-CN"/>
        </w:rPr>
      </w:pPr>
    </w:p>
    <w:p w14:paraId="6A3093DF">
      <w:pPr>
        <w:keepNext w:val="0"/>
        <w:keepLines w:val="0"/>
        <w:pageBreakBefore w:val="0"/>
        <w:kinsoku/>
        <w:wordWrap/>
        <w:overflowPunct/>
        <w:topLinePunct w:val="0"/>
        <w:bidi w:val="0"/>
        <w:snapToGrid/>
        <w:spacing w:line="600" w:lineRule="exact"/>
        <w:jc w:val="center"/>
        <w:rPr>
          <w:rFonts w:hint="eastAsia" w:asciiTheme="minorEastAsia" w:hAnsiTheme="minorEastAsia" w:eastAsiaTheme="minorEastAsia" w:cstheme="minorEastAsia"/>
          <w:b/>
          <w:bCs/>
          <w:color w:val="auto"/>
          <w:sz w:val="36"/>
          <w:szCs w:val="24"/>
          <w:lang w:eastAsia="zh-CN"/>
        </w:rPr>
      </w:pPr>
    </w:p>
    <w:p w14:paraId="0597BA29">
      <w:pPr>
        <w:keepNext w:val="0"/>
        <w:keepLines w:val="0"/>
        <w:pageBreakBefore w:val="0"/>
        <w:kinsoku/>
        <w:wordWrap/>
        <w:overflowPunct/>
        <w:topLinePunct w:val="0"/>
        <w:bidi w:val="0"/>
        <w:snapToGrid/>
        <w:spacing w:line="600" w:lineRule="exact"/>
        <w:jc w:val="center"/>
        <w:rPr>
          <w:rFonts w:hint="eastAsia" w:asciiTheme="minorEastAsia" w:hAnsiTheme="minorEastAsia" w:eastAsiaTheme="minorEastAsia" w:cstheme="minorEastAsia"/>
          <w:b/>
          <w:bCs/>
          <w:color w:val="auto"/>
          <w:sz w:val="36"/>
          <w:szCs w:val="24"/>
          <w:lang w:eastAsia="zh-CN"/>
        </w:rPr>
      </w:pPr>
    </w:p>
    <w:p w14:paraId="035ED8DE">
      <w:pPr>
        <w:keepNext w:val="0"/>
        <w:keepLines w:val="0"/>
        <w:pageBreakBefore w:val="0"/>
        <w:kinsoku/>
        <w:wordWrap/>
        <w:overflowPunct/>
        <w:topLinePunct w:val="0"/>
        <w:bidi w:val="0"/>
        <w:snapToGrid/>
        <w:spacing w:line="600" w:lineRule="exact"/>
        <w:jc w:val="center"/>
        <w:rPr>
          <w:rFonts w:hint="eastAsia" w:asciiTheme="minorEastAsia" w:hAnsiTheme="minorEastAsia" w:eastAsiaTheme="minorEastAsia" w:cstheme="minorEastAsia"/>
          <w:b/>
          <w:bCs/>
          <w:color w:val="auto"/>
          <w:sz w:val="36"/>
          <w:szCs w:val="24"/>
          <w:lang w:eastAsia="zh-CN"/>
        </w:rPr>
      </w:pPr>
    </w:p>
    <w:p w14:paraId="3D5178C3">
      <w:pPr>
        <w:numPr>
          <w:ilvl w:val="0"/>
          <w:numId w:val="0"/>
        </w:numPr>
        <w:spacing w:line="360" w:lineRule="auto"/>
        <w:textAlignment w:val="baseline"/>
        <w:rPr>
          <w:rFonts w:hint="eastAsia" w:ascii="Cambria" w:hAnsi="Cambria" w:eastAsia="宋体" w:cs="Times New Roman"/>
          <w:b/>
          <w:bCs/>
          <w:color w:val="auto"/>
          <w:kern w:val="44"/>
          <w:sz w:val="28"/>
          <w:szCs w:val="28"/>
          <w:highlight w:val="none"/>
          <w:lang w:val="en-US" w:eastAsia="zh-CN" w:bidi="ar-SA"/>
        </w:rPr>
      </w:pPr>
    </w:p>
    <w:p w14:paraId="3A423113">
      <w:pPr>
        <w:numPr>
          <w:ilvl w:val="0"/>
          <w:numId w:val="0"/>
        </w:numPr>
        <w:spacing w:line="360" w:lineRule="auto"/>
        <w:textAlignment w:val="baseline"/>
        <w:rPr>
          <w:rFonts w:hint="eastAsia" w:ascii="Cambria" w:hAnsi="Cambria" w:eastAsia="宋体" w:cs="Times New Roman"/>
          <w:b/>
          <w:bCs/>
          <w:color w:val="auto"/>
          <w:kern w:val="44"/>
          <w:sz w:val="28"/>
          <w:szCs w:val="28"/>
          <w:highlight w:val="none"/>
          <w:lang w:val="en-US" w:eastAsia="zh-CN" w:bidi="ar-SA"/>
        </w:rPr>
      </w:pPr>
    </w:p>
    <w:p w14:paraId="72E36DB4">
      <w:pPr>
        <w:numPr>
          <w:ilvl w:val="0"/>
          <w:numId w:val="0"/>
        </w:numPr>
        <w:spacing w:line="360" w:lineRule="auto"/>
        <w:textAlignment w:val="baseline"/>
        <w:rPr>
          <w:rFonts w:hint="eastAsia" w:ascii="Cambria" w:hAnsi="Cambria" w:eastAsia="宋体" w:cs="Times New Roman"/>
          <w:b/>
          <w:bCs/>
          <w:color w:val="auto"/>
          <w:kern w:val="44"/>
          <w:sz w:val="28"/>
          <w:szCs w:val="28"/>
          <w:highlight w:val="none"/>
          <w:lang w:val="en-US" w:eastAsia="zh-CN" w:bidi="ar-SA"/>
        </w:rPr>
      </w:pPr>
    </w:p>
    <w:p w14:paraId="4F7C0385">
      <w:pPr>
        <w:numPr>
          <w:ilvl w:val="0"/>
          <w:numId w:val="0"/>
        </w:numPr>
        <w:spacing w:line="360" w:lineRule="auto"/>
        <w:textAlignment w:val="baseline"/>
        <w:rPr>
          <w:rFonts w:hint="eastAsia" w:ascii="Cambria" w:hAnsi="Cambria" w:eastAsia="宋体" w:cs="Times New Roman"/>
          <w:b/>
          <w:bCs/>
          <w:color w:val="auto"/>
          <w:kern w:val="44"/>
          <w:sz w:val="28"/>
          <w:szCs w:val="28"/>
          <w:highlight w:val="none"/>
          <w:lang w:val="en-US" w:eastAsia="zh-CN" w:bidi="ar-SA"/>
        </w:rPr>
      </w:pPr>
    </w:p>
    <w:p w14:paraId="143215A0">
      <w:pPr>
        <w:numPr>
          <w:ilvl w:val="0"/>
          <w:numId w:val="0"/>
        </w:numPr>
        <w:spacing w:line="360" w:lineRule="auto"/>
        <w:textAlignment w:val="baseline"/>
        <w:rPr>
          <w:rFonts w:hint="eastAsia" w:ascii="Cambria" w:hAnsi="Cambria" w:eastAsia="宋体" w:cs="Times New Roman"/>
          <w:b/>
          <w:bCs/>
          <w:color w:val="auto"/>
          <w:kern w:val="44"/>
          <w:sz w:val="28"/>
          <w:szCs w:val="28"/>
          <w:highlight w:val="none"/>
          <w:lang w:val="ru-RU" w:eastAsia="zh-CN" w:bidi="ar-SA"/>
        </w:rPr>
      </w:pPr>
      <w:r>
        <w:rPr>
          <w:rFonts w:hint="eastAsia" w:ascii="Cambria" w:hAnsi="Cambria" w:eastAsia="宋体" w:cs="Times New Roman"/>
          <w:b/>
          <w:bCs/>
          <w:color w:val="auto"/>
          <w:kern w:val="44"/>
          <w:sz w:val="28"/>
          <w:szCs w:val="28"/>
          <w:highlight w:val="none"/>
          <w:lang w:val="en-US" w:eastAsia="zh-CN" w:bidi="ar-SA"/>
        </w:rPr>
        <w:t>六、</w:t>
      </w:r>
      <w:r>
        <w:rPr>
          <w:rFonts w:hint="eastAsia" w:ascii="Cambria" w:hAnsi="Cambria" w:eastAsia="宋体" w:cs="Times New Roman"/>
          <w:b/>
          <w:bCs/>
          <w:color w:val="auto"/>
          <w:kern w:val="44"/>
          <w:sz w:val="28"/>
          <w:szCs w:val="28"/>
          <w:highlight w:val="none"/>
          <w:lang w:val="ru-RU" w:eastAsia="zh-CN" w:bidi="ar-SA"/>
        </w:rPr>
        <w:t>近三年</w:t>
      </w:r>
      <w:r>
        <w:rPr>
          <w:rFonts w:hint="eastAsia" w:ascii="Cambria" w:hAnsi="Cambria" w:eastAsia="宋体" w:cs="Times New Roman"/>
          <w:b/>
          <w:bCs/>
          <w:color w:val="auto"/>
          <w:kern w:val="44"/>
          <w:sz w:val="28"/>
          <w:szCs w:val="28"/>
          <w:highlight w:val="none"/>
          <w:lang w:val="en-US" w:eastAsia="zh-CN" w:bidi="ar-SA"/>
        </w:rPr>
        <w:t>企业类似项目业绩格式</w:t>
      </w:r>
    </w:p>
    <w:p w14:paraId="7B4DE3C4">
      <w:pPr>
        <w:jc w:val="center"/>
        <w:rPr>
          <w:rFonts w:hint="default"/>
          <w:color w:val="auto"/>
          <w:highlight w:val="none"/>
          <w:lang w:val="en-US"/>
        </w:rPr>
      </w:pPr>
      <w:r>
        <w:rPr>
          <w:rFonts w:hint="eastAsia" w:ascii="Cambria" w:hAnsi="Cambria" w:eastAsia="宋体" w:cs="Times New Roman"/>
          <w:b/>
          <w:bCs/>
          <w:color w:val="auto"/>
          <w:kern w:val="44"/>
          <w:sz w:val="28"/>
          <w:szCs w:val="28"/>
          <w:highlight w:val="none"/>
          <w:lang w:val="en-US" w:eastAsia="zh-CN" w:bidi="ar-SA"/>
        </w:rPr>
        <w:t xml:space="preserve">  </w:t>
      </w:r>
      <w:r>
        <w:rPr>
          <w:rFonts w:hint="eastAsia" w:ascii="Cambria" w:hAnsi="Cambria" w:eastAsia="宋体" w:cs="Times New Roman"/>
          <w:b/>
          <w:bCs/>
          <w:color w:val="auto"/>
          <w:kern w:val="44"/>
          <w:sz w:val="28"/>
          <w:szCs w:val="28"/>
          <w:highlight w:val="none"/>
          <w:lang w:val="ru-RU" w:eastAsia="zh-CN" w:bidi="ar-SA"/>
        </w:rPr>
        <w:t>近三年</w:t>
      </w:r>
      <w:r>
        <w:rPr>
          <w:rFonts w:hint="eastAsia" w:ascii="Cambria" w:hAnsi="Cambria" w:eastAsia="宋体" w:cs="Times New Roman"/>
          <w:b/>
          <w:bCs/>
          <w:color w:val="auto"/>
          <w:kern w:val="44"/>
          <w:sz w:val="28"/>
          <w:szCs w:val="28"/>
          <w:highlight w:val="none"/>
          <w:lang w:val="en-US" w:eastAsia="zh-CN" w:bidi="ar-SA"/>
        </w:rPr>
        <w:t>企业类似项目业绩表</w:t>
      </w:r>
    </w:p>
    <w:tbl>
      <w:tblPr>
        <w:tblStyle w:val="30"/>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5"/>
        <w:gridCol w:w="6483"/>
      </w:tblGrid>
      <w:tr w14:paraId="7EBF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035" w:type="dxa"/>
            <w:noWrap w:val="0"/>
            <w:vAlign w:val="center"/>
          </w:tcPr>
          <w:p w14:paraId="2CE90D14">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项目名称</w:t>
            </w:r>
          </w:p>
        </w:tc>
        <w:tc>
          <w:tcPr>
            <w:tcW w:w="6483" w:type="dxa"/>
            <w:noWrap w:val="0"/>
            <w:vAlign w:val="center"/>
          </w:tcPr>
          <w:p w14:paraId="300A47D5">
            <w:pPr>
              <w:jc w:val="center"/>
              <w:rPr>
                <w:rFonts w:ascii="宋体" w:hAnsi="宋体"/>
                <w:color w:val="auto"/>
                <w:szCs w:val="21"/>
                <w:highlight w:val="none"/>
              </w:rPr>
            </w:pPr>
          </w:p>
        </w:tc>
      </w:tr>
      <w:tr w14:paraId="4793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035" w:type="dxa"/>
            <w:noWrap w:val="0"/>
            <w:vAlign w:val="center"/>
          </w:tcPr>
          <w:p w14:paraId="64BD56F2">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项目所在地</w:t>
            </w:r>
          </w:p>
        </w:tc>
        <w:tc>
          <w:tcPr>
            <w:tcW w:w="6483" w:type="dxa"/>
            <w:noWrap w:val="0"/>
            <w:vAlign w:val="center"/>
          </w:tcPr>
          <w:p w14:paraId="369D449E">
            <w:pPr>
              <w:jc w:val="center"/>
              <w:rPr>
                <w:rFonts w:ascii="宋体" w:hAnsi="宋体"/>
                <w:color w:val="auto"/>
                <w:szCs w:val="21"/>
                <w:highlight w:val="none"/>
              </w:rPr>
            </w:pPr>
          </w:p>
        </w:tc>
      </w:tr>
      <w:tr w14:paraId="79396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35" w:type="dxa"/>
            <w:noWrap w:val="0"/>
            <w:vAlign w:val="center"/>
          </w:tcPr>
          <w:p w14:paraId="7ADA19C8">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合同签订日期</w:t>
            </w:r>
          </w:p>
        </w:tc>
        <w:tc>
          <w:tcPr>
            <w:tcW w:w="6483" w:type="dxa"/>
            <w:noWrap w:val="0"/>
            <w:vAlign w:val="center"/>
          </w:tcPr>
          <w:p w14:paraId="7C1FF99C">
            <w:pPr>
              <w:jc w:val="center"/>
              <w:rPr>
                <w:rFonts w:ascii="宋体" w:hAnsi="宋体"/>
                <w:color w:val="auto"/>
                <w:szCs w:val="21"/>
                <w:highlight w:val="none"/>
              </w:rPr>
            </w:pPr>
          </w:p>
        </w:tc>
      </w:tr>
      <w:tr w14:paraId="65A0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035" w:type="dxa"/>
            <w:noWrap w:val="0"/>
            <w:vAlign w:val="center"/>
          </w:tcPr>
          <w:p w14:paraId="2D6F30A2">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发包人名称</w:t>
            </w:r>
          </w:p>
        </w:tc>
        <w:tc>
          <w:tcPr>
            <w:tcW w:w="6483" w:type="dxa"/>
            <w:noWrap w:val="0"/>
            <w:vAlign w:val="center"/>
          </w:tcPr>
          <w:p w14:paraId="3F6A1980">
            <w:pPr>
              <w:jc w:val="center"/>
              <w:rPr>
                <w:rFonts w:ascii="宋体" w:hAnsi="宋体"/>
                <w:color w:val="auto"/>
                <w:szCs w:val="21"/>
                <w:highlight w:val="none"/>
              </w:rPr>
            </w:pPr>
          </w:p>
        </w:tc>
      </w:tr>
      <w:tr w14:paraId="5745F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035" w:type="dxa"/>
            <w:noWrap w:val="0"/>
            <w:vAlign w:val="center"/>
          </w:tcPr>
          <w:p w14:paraId="3EE6E152">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发包人联系人及电话</w:t>
            </w:r>
          </w:p>
        </w:tc>
        <w:tc>
          <w:tcPr>
            <w:tcW w:w="6483" w:type="dxa"/>
            <w:noWrap w:val="0"/>
            <w:vAlign w:val="center"/>
          </w:tcPr>
          <w:p w14:paraId="12DE6E1D">
            <w:pPr>
              <w:jc w:val="center"/>
              <w:rPr>
                <w:rFonts w:ascii="宋体" w:hAnsi="宋体"/>
                <w:color w:val="auto"/>
                <w:szCs w:val="21"/>
                <w:highlight w:val="none"/>
              </w:rPr>
            </w:pPr>
          </w:p>
        </w:tc>
      </w:tr>
      <w:tr w14:paraId="61D1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035" w:type="dxa"/>
            <w:noWrap w:val="0"/>
            <w:vAlign w:val="center"/>
          </w:tcPr>
          <w:p w14:paraId="0967E2B2">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合同价格</w:t>
            </w:r>
          </w:p>
        </w:tc>
        <w:tc>
          <w:tcPr>
            <w:tcW w:w="6483" w:type="dxa"/>
            <w:noWrap w:val="0"/>
            <w:vAlign w:val="center"/>
          </w:tcPr>
          <w:p w14:paraId="66F69748">
            <w:pPr>
              <w:jc w:val="center"/>
              <w:rPr>
                <w:rFonts w:ascii="宋体" w:hAnsi="宋体"/>
                <w:color w:val="auto"/>
                <w:szCs w:val="21"/>
                <w:highlight w:val="none"/>
              </w:rPr>
            </w:pPr>
          </w:p>
        </w:tc>
      </w:tr>
      <w:tr w14:paraId="460ED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035" w:type="dxa"/>
            <w:noWrap w:val="0"/>
            <w:vAlign w:val="center"/>
          </w:tcPr>
          <w:p w14:paraId="0064E149">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开/竣工日期</w:t>
            </w:r>
          </w:p>
        </w:tc>
        <w:tc>
          <w:tcPr>
            <w:tcW w:w="6483" w:type="dxa"/>
            <w:noWrap w:val="0"/>
            <w:vAlign w:val="center"/>
          </w:tcPr>
          <w:p w14:paraId="3772483C">
            <w:pPr>
              <w:jc w:val="center"/>
              <w:rPr>
                <w:rFonts w:ascii="宋体" w:hAnsi="宋体"/>
                <w:color w:val="auto"/>
                <w:szCs w:val="21"/>
                <w:highlight w:val="none"/>
              </w:rPr>
            </w:pPr>
          </w:p>
        </w:tc>
      </w:tr>
      <w:tr w14:paraId="0078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35" w:type="dxa"/>
            <w:noWrap w:val="0"/>
            <w:vAlign w:val="center"/>
          </w:tcPr>
          <w:p w14:paraId="554F784C">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承担的工作</w:t>
            </w:r>
          </w:p>
        </w:tc>
        <w:tc>
          <w:tcPr>
            <w:tcW w:w="6483" w:type="dxa"/>
            <w:noWrap w:val="0"/>
            <w:vAlign w:val="center"/>
          </w:tcPr>
          <w:p w14:paraId="536FC8B8">
            <w:pPr>
              <w:jc w:val="center"/>
              <w:rPr>
                <w:rFonts w:ascii="宋体" w:hAnsi="宋体"/>
                <w:color w:val="auto"/>
                <w:szCs w:val="21"/>
                <w:highlight w:val="none"/>
              </w:rPr>
            </w:pPr>
          </w:p>
        </w:tc>
      </w:tr>
      <w:tr w14:paraId="34CA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035" w:type="dxa"/>
            <w:noWrap w:val="0"/>
            <w:vAlign w:val="center"/>
          </w:tcPr>
          <w:p w14:paraId="237C25FA">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工程质量</w:t>
            </w:r>
          </w:p>
        </w:tc>
        <w:tc>
          <w:tcPr>
            <w:tcW w:w="6483" w:type="dxa"/>
            <w:noWrap w:val="0"/>
            <w:vAlign w:val="center"/>
          </w:tcPr>
          <w:p w14:paraId="6B187E20">
            <w:pPr>
              <w:jc w:val="center"/>
              <w:rPr>
                <w:rFonts w:ascii="宋体" w:hAnsi="宋体"/>
                <w:color w:val="auto"/>
                <w:szCs w:val="21"/>
                <w:highlight w:val="none"/>
              </w:rPr>
            </w:pPr>
          </w:p>
        </w:tc>
      </w:tr>
      <w:tr w14:paraId="4E8B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5" w:type="dxa"/>
            <w:noWrap w:val="0"/>
            <w:vAlign w:val="center"/>
          </w:tcPr>
          <w:p w14:paraId="49A85BF7">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项目经理</w:t>
            </w:r>
          </w:p>
        </w:tc>
        <w:tc>
          <w:tcPr>
            <w:tcW w:w="6483" w:type="dxa"/>
            <w:noWrap w:val="0"/>
            <w:vAlign w:val="center"/>
          </w:tcPr>
          <w:p w14:paraId="6AE1FDE4">
            <w:pPr>
              <w:jc w:val="center"/>
              <w:rPr>
                <w:rFonts w:ascii="宋体" w:hAnsi="宋体"/>
                <w:color w:val="auto"/>
                <w:szCs w:val="21"/>
                <w:highlight w:val="none"/>
              </w:rPr>
            </w:pPr>
          </w:p>
        </w:tc>
      </w:tr>
      <w:tr w14:paraId="2B250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035" w:type="dxa"/>
            <w:noWrap w:val="0"/>
            <w:vAlign w:val="center"/>
          </w:tcPr>
          <w:p w14:paraId="2DD24AC8">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总监理工程师及电话</w:t>
            </w:r>
          </w:p>
        </w:tc>
        <w:tc>
          <w:tcPr>
            <w:tcW w:w="6483" w:type="dxa"/>
            <w:noWrap w:val="0"/>
            <w:vAlign w:val="center"/>
          </w:tcPr>
          <w:p w14:paraId="4447CA66">
            <w:pPr>
              <w:jc w:val="center"/>
              <w:rPr>
                <w:rFonts w:ascii="宋体" w:hAnsi="宋体"/>
                <w:color w:val="auto"/>
                <w:szCs w:val="21"/>
                <w:highlight w:val="none"/>
              </w:rPr>
            </w:pPr>
          </w:p>
        </w:tc>
      </w:tr>
      <w:tr w14:paraId="50E4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035" w:type="dxa"/>
            <w:noWrap w:val="0"/>
            <w:vAlign w:val="center"/>
          </w:tcPr>
          <w:p w14:paraId="7DACC2F5">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项目描述</w:t>
            </w:r>
          </w:p>
        </w:tc>
        <w:tc>
          <w:tcPr>
            <w:tcW w:w="6483" w:type="dxa"/>
            <w:noWrap w:val="0"/>
            <w:vAlign w:val="center"/>
          </w:tcPr>
          <w:p w14:paraId="1A44E317">
            <w:pPr>
              <w:jc w:val="center"/>
              <w:rPr>
                <w:rFonts w:ascii="宋体" w:hAnsi="宋体"/>
                <w:color w:val="auto"/>
                <w:szCs w:val="21"/>
                <w:highlight w:val="none"/>
              </w:rPr>
            </w:pPr>
          </w:p>
        </w:tc>
      </w:tr>
      <w:tr w14:paraId="0B18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5" w:type="dxa"/>
            <w:noWrap w:val="0"/>
            <w:vAlign w:val="center"/>
          </w:tcPr>
          <w:p w14:paraId="3C2D16C6">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w:t>
            </w:r>
          </w:p>
        </w:tc>
        <w:tc>
          <w:tcPr>
            <w:tcW w:w="6483" w:type="dxa"/>
            <w:noWrap w:val="0"/>
            <w:vAlign w:val="center"/>
          </w:tcPr>
          <w:p w14:paraId="42C9503C">
            <w:pPr>
              <w:jc w:val="center"/>
              <w:rPr>
                <w:rFonts w:ascii="宋体" w:hAnsi="宋体"/>
                <w:color w:val="auto"/>
                <w:szCs w:val="21"/>
                <w:highlight w:val="none"/>
              </w:rPr>
            </w:pPr>
          </w:p>
        </w:tc>
      </w:tr>
    </w:tbl>
    <w:p w14:paraId="1D035A75">
      <w:p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eastAsia="Times New Roman" w:cs="宋体"/>
          <w:color w:val="auto"/>
          <w:kern w:val="0"/>
          <w:sz w:val="24"/>
          <w:szCs w:val="24"/>
          <w:highlight w:val="none"/>
          <w:lang w:val="en-US" w:eastAsia="zh-CN" w:bidi="ar-SA"/>
        </w:rPr>
        <w:t>说明：</w:t>
      </w:r>
      <w:r>
        <w:rPr>
          <w:rFonts w:hint="eastAsia" w:ascii="宋体" w:hAnsi="宋体" w:eastAsia="Times New Roman" w:cs="宋体"/>
          <w:color w:val="auto"/>
          <w:kern w:val="0"/>
          <w:sz w:val="24"/>
          <w:szCs w:val="24"/>
          <w:highlight w:val="none"/>
          <w:lang w:val="zh-CN" w:eastAsia="zh-CN" w:bidi="ar-SA"/>
        </w:rPr>
        <w:t>供应商</w:t>
      </w:r>
      <w:r>
        <w:rPr>
          <w:rFonts w:hint="eastAsia" w:ascii="宋体" w:hAnsi="宋体" w:eastAsia="Times New Roman" w:cs="宋体"/>
          <w:color w:val="auto"/>
          <w:kern w:val="0"/>
          <w:sz w:val="24"/>
          <w:szCs w:val="24"/>
          <w:highlight w:val="none"/>
          <w:lang w:val="en-US" w:eastAsia="zh-CN" w:bidi="ar-SA"/>
        </w:rPr>
        <w:t>提供</w:t>
      </w:r>
      <w:r>
        <w:rPr>
          <w:rFonts w:hint="eastAsia" w:ascii="宋体" w:hAnsi="宋体" w:eastAsia="Times New Roman" w:cs="宋体"/>
          <w:color w:val="auto"/>
          <w:kern w:val="0"/>
          <w:sz w:val="24"/>
          <w:szCs w:val="24"/>
          <w:highlight w:val="none"/>
          <w:lang w:val="zh-CN" w:eastAsia="zh-CN" w:bidi="ar-SA"/>
        </w:rPr>
        <w:t>近三年（</w:t>
      </w:r>
      <w:r>
        <w:rPr>
          <w:rFonts w:hint="eastAsia" w:ascii="宋体" w:hAnsi="宋体" w:eastAsia="Times New Roman" w:cs="宋体"/>
          <w:color w:val="auto"/>
          <w:kern w:val="0"/>
          <w:sz w:val="24"/>
          <w:szCs w:val="24"/>
          <w:highlight w:val="none"/>
          <w:lang w:val="en-US" w:eastAsia="zh-CN" w:bidi="ar-SA"/>
        </w:rPr>
        <w:t>2022年6月至投标截止日止，以合同签订日期为准</w:t>
      </w:r>
      <w:r>
        <w:rPr>
          <w:rFonts w:hint="eastAsia" w:ascii="宋体" w:hAnsi="宋体" w:eastAsia="Times New Roman" w:cs="宋体"/>
          <w:color w:val="auto"/>
          <w:kern w:val="0"/>
          <w:sz w:val="24"/>
          <w:szCs w:val="24"/>
          <w:highlight w:val="none"/>
          <w:lang w:val="zh-CN" w:eastAsia="zh-CN" w:bidi="ar-SA"/>
        </w:rPr>
        <w:t>）</w:t>
      </w:r>
      <w:r>
        <w:rPr>
          <w:rFonts w:hint="eastAsia" w:ascii="宋体" w:hAnsi="宋体" w:eastAsia="Times New Roman" w:cs="宋体"/>
          <w:color w:val="auto"/>
          <w:kern w:val="0"/>
          <w:sz w:val="24"/>
          <w:szCs w:val="24"/>
          <w:highlight w:val="none"/>
          <w:lang w:val="en-US" w:eastAsia="zh-CN" w:bidi="ar-SA"/>
        </w:rPr>
        <w:t>完成的类似业绩；本表后附中标通知书（或成交通知书）+合同协议书+工程接收证书（或工程竣工验收证书）的等原件扫描件；每张表格只填写一个项目，并标明序号。；</w:t>
      </w:r>
    </w:p>
    <w:p w14:paraId="72B2B9AD">
      <w:pPr>
        <w:spacing w:line="500" w:lineRule="exact"/>
        <w:rPr>
          <w:rFonts w:hint="eastAsia" w:ascii="宋体" w:hAnsi="宋体"/>
          <w:bCs/>
          <w:color w:val="auto"/>
          <w:sz w:val="24"/>
          <w:szCs w:val="21"/>
          <w:highlight w:val="none"/>
          <w:lang w:val="en-US" w:eastAsia="zh-CN"/>
        </w:rPr>
      </w:pPr>
    </w:p>
    <w:p w14:paraId="005B2B3F">
      <w:pPr>
        <w:pStyle w:val="89"/>
        <w:spacing w:line="360" w:lineRule="auto"/>
        <w:ind w:left="1197" w:leftChars="570" w:firstLine="1680" w:firstLineChars="700"/>
        <w:rPr>
          <w:rFonts w:hint="eastAsia" w:ascii="宋体" w:hAnsi="宋体" w:cs="宋体"/>
          <w:color w:val="auto"/>
          <w:sz w:val="24"/>
          <w:szCs w:val="24"/>
          <w:highlight w:val="none"/>
        </w:rPr>
      </w:pPr>
      <w:r>
        <w:rPr>
          <w:rFonts w:hint="eastAsia" w:ascii="宋体" w:hAnsi="宋体" w:cs="宋体"/>
          <w:color w:val="auto"/>
          <w:sz w:val="24"/>
          <w:szCs w:val="24"/>
          <w:highlight w:val="none"/>
        </w:rPr>
        <w:t>投标单位（盖章）：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p>
    <w:p w14:paraId="608604B8">
      <w:pPr>
        <w:spacing w:line="500" w:lineRule="exact"/>
        <w:ind w:firstLine="1440" w:firstLineChars="6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法定代表人或委托代理人（签字或盖章）：</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p>
    <w:p w14:paraId="5114B974">
      <w:pPr>
        <w:rPr>
          <w:rFonts w:hint="eastAsia" w:ascii="宋体" w:hAnsi="宋体" w:cs="宋体"/>
          <w:color w:val="auto"/>
          <w:kern w:val="0"/>
          <w:sz w:val="24"/>
          <w:szCs w:val="24"/>
          <w:highlight w:val="none"/>
        </w:rPr>
      </w:pPr>
    </w:p>
    <w:p w14:paraId="4A9CD033">
      <w:pPr>
        <w:wordWrap w:val="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 日</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期：</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p>
    <w:p w14:paraId="6795490F">
      <w:pPr>
        <w:wordWrap w:val="0"/>
        <w:jc w:val="center"/>
        <w:rPr>
          <w:rFonts w:hint="eastAsia" w:ascii="宋体" w:hAnsi="宋体" w:cs="宋体"/>
          <w:color w:val="auto"/>
          <w:kern w:val="0"/>
          <w:sz w:val="24"/>
          <w:szCs w:val="24"/>
          <w:highlight w:val="none"/>
        </w:rPr>
      </w:pPr>
    </w:p>
    <w:p w14:paraId="3B57E8D3">
      <w:pPr>
        <w:wordWrap w:val="0"/>
        <w:jc w:val="center"/>
        <w:rPr>
          <w:rFonts w:hint="eastAsia" w:ascii="宋体" w:hAnsi="宋体" w:cs="宋体"/>
          <w:color w:val="auto"/>
          <w:kern w:val="0"/>
          <w:sz w:val="24"/>
          <w:szCs w:val="24"/>
          <w:highlight w:val="none"/>
        </w:rPr>
      </w:pPr>
    </w:p>
    <w:p w14:paraId="510D0D6D">
      <w:pPr>
        <w:wordWrap w:val="0"/>
        <w:jc w:val="center"/>
        <w:rPr>
          <w:rFonts w:hint="eastAsia" w:ascii="宋体" w:hAnsi="宋体" w:cs="宋体"/>
          <w:color w:val="auto"/>
          <w:kern w:val="0"/>
          <w:sz w:val="24"/>
          <w:szCs w:val="24"/>
          <w:highlight w:val="none"/>
        </w:rPr>
      </w:pPr>
    </w:p>
    <w:p w14:paraId="4FE0B925">
      <w:pPr>
        <w:wordWrap w:val="0"/>
        <w:jc w:val="center"/>
        <w:rPr>
          <w:rFonts w:hint="eastAsia" w:ascii="宋体" w:hAnsi="宋体" w:cs="宋体"/>
          <w:color w:val="auto"/>
          <w:kern w:val="0"/>
          <w:sz w:val="24"/>
          <w:szCs w:val="24"/>
          <w:highlight w:val="none"/>
        </w:rPr>
      </w:pPr>
    </w:p>
    <w:p w14:paraId="08174340">
      <w:pPr>
        <w:wordWrap w:val="0"/>
        <w:jc w:val="center"/>
        <w:rPr>
          <w:rFonts w:hint="eastAsia" w:ascii="宋体" w:hAnsi="宋体" w:cs="宋体"/>
          <w:color w:val="auto"/>
          <w:kern w:val="0"/>
          <w:sz w:val="24"/>
          <w:szCs w:val="24"/>
          <w:highlight w:val="none"/>
        </w:rPr>
      </w:pPr>
    </w:p>
    <w:p w14:paraId="7A5022BC">
      <w:pPr>
        <w:wordWrap w:val="0"/>
        <w:jc w:val="center"/>
        <w:rPr>
          <w:rFonts w:hint="eastAsia" w:ascii="宋体" w:hAnsi="宋体" w:cs="宋体"/>
          <w:color w:val="auto"/>
          <w:kern w:val="0"/>
          <w:sz w:val="24"/>
          <w:szCs w:val="24"/>
          <w:highlight w:val="none"/>
        </w:rPr>
      </w:pPr>
    </w:p>
    <w:p w14:paraId="151236E5">
      <w:pPr>
        <w:wordWrap w:val="0"/>
        <w:jc w:val="center"/>
        <w:rPr>
          <w:rFonts w:hint="eastAsia" w:ascii="宋体" w:hAnsi="宋体" w:cs="宋体"/>
          <w:color w:val="auto"/>
          <w:kern w:val="0"/>
          <w:sz w:val="24"/>
          <w:szCs w:val="24"/>
          <w:highlight w:val="none"/>
        </w:rPr>
      </w:pPr>
    </w:p>
    <w:p w14:paraId="69CEA032">
      <w:pPr>
        <w:wordWrap w:val="0"/>
        <w:jc w:val="center"/>
        <w:rPr>
          <w:rFonts w:hint="eastAsia" w:ascii="宋体" w:hAnsi="宋体" w:cs="宋体"/>
          <w:color w:val="auto"/>
          <w:kern w:val="0"/>
          <w:sz w:val="24"/>
          <w:szCs w:val="24"/>
          <w:highlight w:val="none"/>
        </w:rPr>
      </w:pPr>
    </w:p>
    <w:p w14:paraId="448C7C30">
      <w:pPr>
        <w:wordWrap w:val="0"/>
        <w:jc w:val="center"/>
        <w:rPr>
          <w:rFonts w:hint="eastAsia" w:ascii="宋体" w:hAnsi="宋体" w:cs="宋体"/>
          <w:color w:val="auto"/>
          <w:kern w:val="0"/>
          <w:sz w:val="24"/>
          <w:szCs w:val="24"/>
          <w:highlight w:val="none"/>
        </w:rPr>
      </w:pPr>
    </w:p>
    <w:p w14:paraId="7A1A9F5D">
      <w:pPr>
        <w:wordWrap w:val="0"/>
        <w:jc w:val="center"/>
        <w:rPr>
          <w:rFonts w:hint="eastAsia" w:ascii="宋体" w:hAnsi="宋体" w:cs="宋体"/>
          <w:color w:val="auto"/>
          <w:kern w:val="0"/>
          <w:sz w:val="24"/>
          <w:szCs w:val="24"/>
          <w:highlight w:val="none"/>
        </w:rPr>
      </w:pPr>
    </w:p>
    <w:p w14:paraId="63D1C692">
      <w:pPr>
        <w:wordWrap w:val="0"/>
        <w:jc w:val="center"/>
        <w:rPr>
          <w:rFonts w:hint="eastAsia" w:ascii="宋体" w:hAnsi="宋体" w:cs="宋体"/>
          <w:color w:val="auto"/>
          <w:kern w:val="0"/>
          <w:sz w:val="24"/>
          <w:szCs w:val="24"/>
          <w:highlight w:val="none"/>
        </w:rPr>
      </w:pPr>
    </w:p>
    <w:p w14:paraId="5C4782DE">
      <w:pPr>
        <w:rPr>
          <w:rFonts w:hint="eastAsia"/>
          <w:color w:val="auto"/>
          <w:highlight w:val="none"/>
        </w:rPr>
      </w:pPr>
    </w:p>
    <w:p w14:paraId="7EFFF291">
      <w:pPr>
        <w:pStyle w:val="2"/>
        <w:numPr>
          <w:ilvl w:val="0"/>
          <w:numId w:val="18"/>
        </w:numPr>
        <w:ind w:left="0" w:leftChars="0" w:firstLine="0" w:firstLineChars="0"/>
        <w:jc w:val="left"/>
        <w:rPr>
          <w:rFonts w:hint="eastAsia" w:eastAsia="宋体" w:cs="Times New Roman"/>
          <w:b/>
          <w:bCs/>
          <w:color w:val="auto"/>
          <w:kern w:val="44"/>
          <w:sz w:val="28"/>
          <w:szCs w:val="28"/>
          <w:highlight w:val="none"/>
          <w:lang w:val="en-US" w:eastAsia="zh-CN" w:bidi="ar-SA"/>
        </w:rPr>
      </w:pPr>
      <w:r>
        <w:rPr>
          <w:rFonts w:hint="eastAsia" w:ascii="Cambria" w:hAnsi="Cambria" w:eastAsia="宋体" w:cs="Times New Roman"/>
          <w:b/>
          <w:bCs/>
          <w:color w:val="auto"/>
          <w:kern w:val="44"/>
          <w:sz w:val="28"/>
          <w:szCs w:val="28"/>
          <w:highlight w:val="none"/>
          <w:lang w:val="en-US" w:eastAsia="zh-CN" w:bidi="ar-SA"/>
        </w:rPr>
        <w:t>项目管理人员格式</w:t>
      </w:r>
      <w:r>
        <w:rPr>
          <w:rFonts w:hint="eastAsia" w:eastAsia="宋体" w:cs="Times New Roman"/>
          <w:b/>
          <w:bCs/>
          <w:color w:val="auto"/>
          <w:kern w:val="44"/>
          <w:sz w:val="28"/>
          <w:szCs w:val="28"/>
          <w:highlight w:val="none"/>
          <w:lang w:val="en-US" w:eastAsia="zh-CN" w:bidi="ar-SA"/>
        </w:rPr>
        <w:t>：</w:t>
      </w:r>
    </w:p>
    <w:p w14:paraId="7726DF36">
      <w:pPr>
        <w:widowControl w:val="0"/>
        <w:numPr>
          <w:ilvl w:val="0"/>
          <w:numId w:val="0"/>
        </w:numPr>
        <w:jc w:val="both"/>
        <w:rPr>
          <w:rFonts w:hint="default"/>
          <w:lang w:val="en-US" w:eastAsia="zh-CN"/>
        </w:rPr>
      </w:pPr>
    </w:p>
    <w:p w14:paraId="6E9DB75D">
      <w:pPr>
        <w:widowControl w:val="0"/>
        <w:numPr>
          <w:ilvl w:val="0"/>
          <w:numId w:val="0"/>
        </w:numPr>
        <w:jc w:val="both"/>
        <w:rPr>
          <w:rFonts w:hint="default"/>
          <w:lang w:val="en-US" w:eastAsia="zh-CN"/>
        </w:rPr>
      </w:pPr>
    </w:p>
    <w:p w14:paraId="08AFE233">
      <w:pPr>
        <w:jc w:val="center"/>
        <w:rPr>
          <w:rFonts w:hint="eastAsia" w:ascii="Cambria" w:hAnsi="Cambria" w:eastAsia="宋体" w:cs="Times New Roman"/>
          <w:b/>
          <w:bCs/>
          <w:color w:val="auto"/>
          <w:kern w:val="44"/>
          <w:sz w:val="28"/>
          <w:szCs w:val="28"/>
          <w:highlight w:val="none"/>
          <w:lang w:val="en-US" w:eastAsia="en-US" w:bidi="ar-SA"/>
        </w:rPr>
      </w:pPr>
      <w:r>
        <w:rPr>
          <w:rFonts w:hint="eastAsia" w:ascii="Cambria" w:hAnsi="Cambria" w:eastAsia="宋体" w:cs="Times New Roman"/>
          <w:b/>
          <w:bCs/>
          <w:color w:val="auto"/>
          <w:kern w:val="44"/>
          <w:sz w:val="28"/>
          <w:szCs w:val="28"/>
          <w:highlight w:val="none"/>
          <w:lang w:val="en-US" w:eastAsia="zh-CN" w:bidi="ar-SA"/>
        </w:rPr>
        <w:t xml:space="preserve">（一）项目管理机构配备情况表 </w:t>
      </w:r>
    </w:p>
    <w:p w14:paraId="0E6C0595">
      <w:pPr>
        <w:widowControl w:val="0"/>
        <w:numPr>
          <w:ilvl w:val="0"/>
          <w:numId w:val="0"/>
        </w:numPr>
        <w:jc w:val="both"/>
        <w:rPr>
          <w:rFonts w:hint="default"/>
          <w:lang w:val="en-US" w:eastAsia="zh-CN"/>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334"/>
        <w:gridCol w:w="786"/>
        <w:gridCol w:w="800"/>
        <w:gridCol w:w="902"/>
        <w:gridCol w:w="746"/>
        <w:gridCol w:w="1067"/>
        <w:gridCol w:w="1360"/>
        <w:gridCol w:w="1528"/>
      </w:tblGrid>
      <w:tr w14:paraId="34EA2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719" w:type="dxa"/>
            <w:vAlign w:val="center"/>
          </w:tcPr>
          <w:p w14:paraId="5719077E">
            <w:pPr>
              <w:spacing w:line="440" w:lineRule="exact"/>
              <w:jc w:val="center"/>
              <w:rPr>
                <w:rFonts w:hint="default" w:ascii="宋体" w:hAnsi="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序号</w:t>
            </w:r>
          </w:p>
        </w:tc>
        <w:tc>
          <w:tcPr>
            <w:tcW w:w="1334" w:type="dxa"/>
            <w:vAlign w:val="center"/>
          </w:tcPr>
          <w:p w14:paraId="258883C3">
            <w:pPr>
              <w:spacing w:line="440" w:lineRule="exact"/>
              <w:jc w:val="center"/>
              <w:rPr>
                <w:rFonts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项目组所</w:t>
            </w:r>
          </w:p>
          <w:p w14:paraId="67CEB278">
            <w:pPr>
              <w:spacing w:line="440" w:lineRule="exact"/>
              <w:jc w:val="center"/>
              <w:rPr>
                <w:rFonts w:hint="default" w:ascii="宋体" w:hAnsi="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任职务</w:t>
            </w:r>
          </w:p>
        </w:tc>
        <w:tc>
          <w:tcPr>
            <w:tcW w:w="786" w:type="dxa"/>
            <w:vAlign w:val="center"/>
          </w:tcPr>
          <w:p w14:paraId="54B90FF2">
            <w:pPr>
              <w:spacing w:line="440" w:lineRule="exact"/>
              <w:jc w:val="center"/>
              <w:rPr>
                <w:rFonts w:hint="eastAsia" w:ascii="宋体" w:hAnsi="宋体" w:cs="Times New Roman"/>
                <w:color w:val="auto"/>
                <w:sz w:val="24"/>
                <w:szCs w:val="24"/>
                <w:highlight w:val="none"/>
                <w:lang w:val="en-US" w:eastAsia="zh-CN"/>
              </w:rPr>
            </w:pPr>
          </w:p>
          <w:p w14:paraId="3FF1289E">
            <w:pPr>
              <w:spacing w:line="440" w:lineRule="exact"/>
              <w:jc w:val="center"/>
              <w:rPr>
                <w:rFonts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姓名</w:t>
            </w:r>
          </w:p>
          <w:p w14:paraId="78E34090">
            <w:pPr>
              <w:spacing w:line="440" w:lineRule="exact"/>
              <w:jc w:val="center"/>
              <w:rPr>
                <w:rFonts w:hint="default" w:ascii="宋体" w:hAnsi="宋体" w:cs="Times New Roman"/>
                <w:color w:val="auto"/>
                <w:sz w:val="24"/>
                <w:szCs w:val="24"/>
                <w:highlight w:val="none"/>
                <w:lang w:val="en-US" w:eastAsia="zh-CN"/>
              </w:rPr>
            </w:pPr>
          </w:p>
        </w:tc>
        <w:tc>
          <w:tcPr>
            <w:tcW w:w="800" w:type="dxa"/>
            <w:vAlign w:val="center"/>
          </w:tcPr>
          <w:p w14:paraId="012268D3">
            <w:pPr>
              <w:spacing w:line="440" w:lineRule="exact"/>
              <w:jc w:val="both"/>
              <w:rPr>
                <w:rFonts w:hint="eastAsia" w:ascii="宋体" w:hAnsi="宋体" w:cs="Times New Roman"/>
                <w:color w:val="auto"/>
                <w:sz w:val="24"/>
                <w:szCs w:val="24"/>
                <w:highlight w:val="none"/>
                <w:lang w:val="en-US" w:eastAsia="zh-CN"/>
              </w:rPr>
            </w:pPr>
          </w:p>
          <w:p w14:paraId="6F5DC052">
            <w:pPr>
              <w:spacing w:line="440" w:lineRule="exact"/>
              <w:jc w:val="both"/>
              <w:rPr>
                <w:rFonts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性别</w:t>
            </w:r>
          </w:p>
          <w:p w14:paraId="4BD10C48">
            <w:pPr>
              <w:spacing w:line="440" w:lineRule="exact"/>
              <w:jc w:val="center"/>
              <w:rPr>
                <w:rFonts w:hint="default" w:ascii="宋体" w:hAnsi="宋体" w:cs="Times New Roman"/>
                <w:color w:val="auto"/>
                <w:sz w:val="24"/>
                <w:szCs w:val="24"/>
                <w:highlight w:val="none"/>
                <w:lang w:val="en-US" w:eastAsia="zh-CN"/>
              </w:rPr>
            </w:pPr>
          </w:p>
        </w:tc>
        <w:tc>
          <w:tcPr>
            <w:tcW w:w="902" w:type="dxa"/>
            <w:vAlign w:val="center"/>
          </w:tcPr>
          <w:p w14:paraId="425AE0B6">
            <w:pPr>
              <w:spacing w:line="440" w:lineRule="exact"/>
              <w:jc w:val="both"/>
              <w:rPr>
                <w:rFonts w:hint="eastAsia" w:ascii="宋体" w:hAnsi="宋体" w:cs="Times New Roman"/>
                <w:color w:val="auto"/>
                <w:sz w:val="24"/>
                <w:szCs w:val="24"/>
                <w:highlight w:val="none"/>
                <w:lang w:val="en-US" w:eastAsia="zh-CN"/>
              </w:rPr>
            </w:pPr>
          </w:p>
          <w:p w14:paraId="031C4EEC">
            <w:pPr>
              <w:spacing w:line="440" w:lineRule="exact"/>
              <w:jc w:val="both"/>
              <w:rPr>
                <w:rFonts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年龄</w:t>
            </w:r>
          </w:p>
          <w:p w14:paraId="27F70662">
            <w:pPr>
              <w:spacing w:line="440" w:lineRule="exact"/>
              <w:jc w:val="center"/>
              <w:rPr>
                <w:rFonts w:hint="default" w:ascii="宋体" w:hAnsi="宋体" w:cs="Times New Roman"/>
                <w:color w:val="auto"/>
                <w:sz w:val="24"/>
                <w:szCs w:val="24"/>
                <w:highlight w:val="none"/>
                <w:lang w:val="en-US" w:eastAsia="zh-CN"/>
              </w:rPr>
            </w:pPr>
          </w:p>
        </w:tc>
        <w:tc>
          <w:tcPr>
            <w:tcW w:w="746" w:type="dxa"/>
            <w:vAlign w:val="center"/>
          </w:tcPr>
          <w:p w14:paraId="4C52D738">
            <w:pPr>
              <w:spacing w:line="440" w:lineRule="exact"/>
              <w:jc w:val="center"/>
              <w:rPr>
                <w:rFonts w:hint="eastAsia" w:ascii="宋体" w:hAnsi="宋体" w:cs="Times New Roman"/>
                <w:color w:val="auto"/>
                <w:sz w:val="24"/>
                <w:szCs w:val="24"/>
                <w:highlight w:val="none"/>
                <w:lang w:val="en-US" w:eastAsia="zh-CN"/>
              </w:rPr>
            </w:pPr>
          </w:p>
          <w:p w14:paraId="77893EBE">
            <w:pPr>
              <w:spacing w:line="440" w:lineRule="exact"/>
              <w:jc w:val="center"/>
              <w:rPr>
                <w:rFonts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职称</w:t>
            </w:r>
          </w:p>
          <w:p w14:paraId="6F5879EC">
            <w:pPr>
              <w:spacing w:line="440" w:lineRule="exact"/>
              <w:jc w:val="center"/>
              <w:rPr>
                <w:rFonts w:hint="default" w:ascii="宋体" w:hAnsi="宋体" w:cs="Times New Roman"/>
                <w:color w:val="auto"/>
                <w:sz w:val="24"/>
                <w:szCs w:val="24"/>
                <w:highlight w:val="none"/>
                <w:lang w:val="en-US" w:eastAsia="zh-CN"/>
              </w:rPr>
            </w:pPr>
          </w:p>
        </w:tc>
        <w:tc>
          <w:tcPr>
            <w:tcW w:w="1067" w:type="dxa"/>
            <w:vAlign w:val="center"/>
          </w:tcPr>
          <w:p w14:paraId="38C24AFB">
            <w:pPr>
              <w:spacing w:line="240" w:lineRule="auto"/>
              <w:jc w:val="center"/>
              <w:rPr>
                <w:rFonts w:hint="eastAsia" w:ascii="宋体" w:hAnsi="宋体" w:cs="Times New Roman"/>
                <w:color w:val="auto"/>
                <w:sz w:val="24"/>
                <w:szCs w:val="24"/>
                <w:highlight w:val="none"/>
                <w:lang w:val="en-US" w:eastAsia="zh-CN"/>
              </w:rPr>
            </w:pPr>
          </w:p>
          <w:p w14:paraId="76F9C6F3">
            <w:pPr>
              <w:spacing w:line="240" w:lineRule="auto"/>
              <w:jc w:val="center"/>
              <w:rPr>
                <w:rFonts w:hint="eastAsia" w:ascii="宋体" w:hAnsi="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专业/</w:t>
            </w:r>
          </w:p>
          <w:p w14:paraId="7C818540">
            <w:pPr>
              <w:spacing w:line="240" w:lineRule="auto"/>
              <w:jc w:val="center"/>
              <w:rPr>
                <w:rFonts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资格</w:t>
            </w:r>
          </w:p>
          <w:p w14:paraId="0E2AF782">
            <w:pPr>
              <w:spacing w:line="240" w:lineRule="auto"/>
              <w:jc w:val="center"/>
              <w:rPr>
                <w:rFonts w:hint="default" w:ascii="宋体" w:hAnsi="宋体" w:cs="Times New Roman"/>
                <w:color w:val="auto"/>
                <w:sz w:val="24"/>
                <w:szCs w:val="24"/>
                <w:highlight w:val="none"/>
                <w:lang w:val="en-US" w:eastAsia="zh-CN"/>
              </w:rPr>
            </w:pPr>
          </w:p>
        </w:tc>
        <w:tc>
          <w:tcPr>
            <w:tcW w:w="1360" w:type="dxa"/>
            <w:vAlign w:val="center"/>
          </w:tcPr>
          <w:p w14:paraId="5673158F">
            <w:pPr>
              <w:spacing w:line="240" w:lineRule="auto"/>
              <w:jc w:val="center"/>
              <w:rPr>
                <w:rFonts w:hint="eastAsia" w:ascii="宋体" w:hAnsi="宋体" w:cs="Times New Roman"/>
                <w:color w:val="auto"/>
                <w:sz w:val="24"/>
                <w:szCs w:val="24"/>
                <w:highlight w:val="none"/>
                <w:lang w:val="en-US" w:eastAsia="zh-CN"/>
              </w:rPr>
            </w:pPr>
          </w:p>
          <w:p w14:paraId="1BD59CB2">
            <w:pPr>
              <w:spacing w:line="240" w:lineRule="auto"/>
              <w:jc w:val="center"/>
              <w:rPr>
                <w:rFonts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从事本工</w:t>
            </w:r>
          </w:p>
          <w:p w14:paraId="7B8EB299">
            <w:pPr>
              <w:spacing w:line="240" w:lineRule="auto"/>
              <w:jc w:val="center"/>
              <w:rPr>
                <w:rFonts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作时间</w:t>
            </w:r>
          </w:p>
          <w:p w14:paraId="37A1D6AC">
            <w:pPr>
              <w:spacing w:line="240" w:lineRule="auto"/>
              <w:jc w:val="center"/>
              <w:rPr>
                <w:rFonts w:hint="default" w:ascii="宋体" w:hAnsi="宋体" w:cs="Times New Roman"/>
                <w:color w:val="auto"/>
                <w:sz w:val="24"/>
                <w:szCs w:val="24"/>
                <w:highlight w:val="none"/>
                <w:lang w:val="en-US" w:eastAsia="zh-CN"/>
              </w:rPr>
            </w:pPr>
          </w:p>
        </w:tc>
        <w:tc>
          <w:tcPr>
            <w:tcW w:w="1528" w:type="dxa"/>
            <w:vAlign w:val="center"/>
          </w:tcPr>
          <w:p w14:paraId="4330F9A8">
            <w:pPr>
              <w:spacing w:line="240" w:lineRule="auto"/>
              <w:jc w:val="center"/>
              <w:rPr>
                <w:rFonts w:hint="eastAsia" w:ascii="宋体" w:hAnsi="宋体" w:cs="Times New Roman"/>
                <w:color w:val="auto"/>
                <w:sz w:val="24"/>
                <w:szCs w:val="24"/>
                <w:highlight w:val="none"/>
                <w:lang w:val="en-US" w:eastAsia="zh-CN"/>
              </w:rPr>
            </w:pPr>
          </w:p>
          <w:p w14:paraId="3CCE20DE">
            <w:pPr>
              <w:spacing w:line="240" w:lineRule="auto"/>
              <w:jc w:val="center"/>
              <w:rPr>
                <w:rFonts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典型业务</w:t>
            </w:r>
          </w:p>
          <w:p w14:paraId="7D6F5AAB">
            <w:pPr>
              <w:spacing w:line="240" w:lineRule="auto"/>
              <w:jc w:val="center"/>
              <w:rPr>
                <w:rFonts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与技术专长</w:t>
            </w:r>
          </w:p>
          <w:p w14:paraId="24F568B0">
            <w:pPr>
              <w:spacing w:line="240" w:lineRule="auto"/>
              <w:jc w:val="center"/>
              <w:rPr>
                <w:rFonts w:hint="default" w:ascii="宋体" w:hAnsi="宋体" w:cs="Times New Roman"/>
                <w:color w:val="auto"/>
                <w:sz w:val="24"/>
                <w:szCs w:val="24"/>
                <w:highlight w:val="none"/>
                <w:lang w:val="en-US" w:eastAsia="zh-CN"/>
              </w:rPr>
            </w:pPr>
          </w:p>
        </w:tc>
      </w:tr>
      <w:tr w14:paraId="77E6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19" w:type="dxa"/>
          </w:tcPr>
          <w:p w14:paraId="63D22CEA">
            <w:pPr>
              <w:widowControl w:val="0"/>
              <w:numPr>
                <w:ilvl w:val="0"/>
                <w:numId w:val="0"/>
              </w:numPr>
              <w:jc w:val="both"/>
              <w:rPr>
                <w:rFonts w:hint="default"/>
                <w:vertAlign w:val="baseline"/>
                <w:lang w:val="en-US" w:eastAsia="zh-CN"/>
              </w:rPr>
            </w:pPr>
          </w:p>
        </w:tc>
        <w:tc>
          <w:tcPr>
            <w:tcW w:w="1334" w:type="dxa"/>
          </w:tcPr>
          <w:p w14:paraId="14F32B88">
            <w:pPr>
              <w:widowControl w:val="0"/>
              <w:numPr>
                <w:ilvl w:val="0"/>
                <w:numId w:val="0"/>
              </w:numPr>
              <w:jc w:val="both"/>
              <w:rPr>
                <w:rFonts w:hint="default"/>
                <w:vertAlign w:val="baseline"/>
                <w:lang w:val="en-US" w:eastAsia="zh-CN"/>
              </w:rPr>
            </w:pPr>
          </w:p>
        </w:tc>
        <w:tc>
          <w:tcPr>
            <w:tcW w:w="786" w:type="dxa"/>
          </w:tcPr>
          <w:p w14:paraId="6BAB7D2E">
            <w:pPr>
              <w:widowControl w:val="0"/>
              <w:numPr>
                <w:ilvl w:val="0"/>
                <w:numId w:val="0"/>
              </w:numPr>
              <w:jc w:val="both"/>
              <w:rPr>
                <w:rFonts w:hint="default"/>
                <w:vertAlign w:val="baseline"/>
                <w:lang w:val="en-US" w:eastAsia="zh-CN"/>
              </w:rPr>
            </w:pPr>
          </w:p>
        </w:tc>
        <w:tc>
          <w:tcPr>
            <w:tcW w:w="800" w:type="dxa"/>
          </w:tcPr>
          <w:p w14:paraId="26B73C6D">
            <w:pPr>
              <w:widowControl w:val="0"/>
              <w:numPr>
                <w:ilvl w:val="0"/>
                <w:numId w:val="0"/>
              </w:numPr>
              <w:jc w:val="both"/>
              <w:rPr>
                <w:rFonts w:hint="default"/>
                <w:vertAlign w:val="baseline"/>
                <w:lang w:val="en-US" w:eastAsia="zh-CN"/>
              </w:rPr>
            </w:pPr>
          </w:p>
        </w:tc>
        <w:tc>
          <w:tcPr>
            <w:tcW w:w="902" w:type="dxa"/>
          </w:tcPr>
          <w:p w14:paraId="299BA501">
            <w:pPr>
              <w:widowControl w:val="0"/>
              <w:numPr>
                <w:ilvl w:val="0"/>
                <w:numId w:val="0"/>
              </w:numPr>
              <w:jc w:val="both"/>
              <w:rPr>
                <w:rFonts w:hint="default"/>
                <w:vertAlign w:val="baseline"/>
                <w:lang w:val="en-US" w:eastAsia="zh-CN"/>
              </w:rPr>
            </w:pPr>
          </w:p>
        </w:tc>
        <w:tc>
          <w:tcPr>
            <w:tcW w:w="746" w:type="dxa"/>
          </w:tcPr>
          <w:p w14:paraId="1E18B0E0">
            <w:pPr>
              <w:widowControl w:val="0"/>
              <w:numPr>
                <w:ilvl w:val="0"/>
                <w:numId w:val="0"/>
              </w:numPr>
              <w:jc w:val="both"/>
              <w:rPr>
                <w:rFonts w:hint="default"/>
                <w:vertAlign w:val="baseline"/>
                <w:lang w:val="en-US" w:eastAsia="zh-CN"/>
              </w:rPr>
            </w:pPr>
          </w:p>
        </w:tc>
        <w:tc>
          <w:tcPr>
            <w:tcW w:w="1067" w:type="dxa"/>
          </w:tcPr>
          <w:p w14:paraId="74857EBA">
            <w:pPr>
              <w:widowControl w:val="0"/>
              <w:numPr>
                <w:ilvl w:val="0"/>
                <w:numId w:val="0"/>
              </w:numPr>
              <w:jc w:val="both"/>
              <w:rPr>
                <w:rFonts w:hint="default"/>
                <w:vertAlign w:val="baseline"/>
                <w:lang w:val="en-US" w:eastAsia="zh-CN"/>
              </w:rPr>
            </w:pPr>
          </w:p>
        </w:tc>
        <w:tc>
          <w:tcPr>
            <w:tcW w:w="1360" w:type="dxa"/>
          </w:tcPr>
          <w:p w14:paraId="3657FBE6">
            <w:pPr>
              <w:widowControl w:val="0"/>
              <w:numPr>
                <w:ilvl w:val="0"/>
                <w:numId w:val="0"/>
              </w:numPr>
              <w:jc w:val="both"/>
              <w:rPr>
                <w:rFonts w:hint="default"/>
                <w:vertAlign w:val="baseline"/>
                <w:lang w:val="en-US" w:eastAsia="zh-CN"/>
              </w:rPr>
            </w:pPr>
          </w:p>
        </w:tc>
        <w:tc>
          <w:tcPr>
            <w:tcW w:w="1528" w:type="dxa"/>
          </w:tcPr>
          <w:p w14:paraId="75FCEED5">
            <w:pPr>
              <w:widowControl w:val="0"/>
              <w:numPr>
                <w:ilvl w:val="0"/>
                <w:numId w:val="0"/>
              </w:numPr>
              <w:jc w:val="both"/>
              <w:rPr>
                <w:rFonts w:hint="default"/>
                <w:vertAlign w:val="baseline"/>
                <w:lang w:val="en-US" w:eastAsia="zh-CN"/>
              </w:rPr>
            </w:pPr>
          </w:p>
        </w:tc>
      </w:tr>
      <w:tr w14:paraId="6147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19" w:type="dxa"/>
          </w:tcPr>
          <w:p w14:paraId="5B1414C5">
            <w:pPr>
              <w:widowControl w:val="0"/>
              <w:numPr>
                <w:ilvl w:val="0"/>
                <w:numId w:val="0"/>
              </w:numPr>
              <w:jc w:val="both"/>
              <w:rPr>
                <w:rFonts w:hint="default"/>
                <w:vertAlign w:val="baseline"/>
                <w:lang w:val="en-US" w:eastAsia="zh-CN"/>
              </w:rPr>
            </w:pPr>
          </w:p>
        </w:tc>
        <w:tc>
          <w:tcPr>
            <w:tcW w:w="1334" w:type="dxa"/>
          </w:tcPr>
          <w:p w14:paraId="36FAD6B2">
            <w:pPr>
              <w:widowControl w:val="0"/>
              <w:numPr>
                <w:ilvl w:val="0"/>
                <w:numId w:val="0"/>
              </w:numPr>
              <w:jc w:val="both"/>
              <w:rPr>
                <w:rFonts w:hint="default"/>
                <w:vertAlign w:val="baseline"/>
                <w:lang w:val="en-US" w:eastAsia="zh-CN"/>
              </w:rPr>
            </w:pPr>
          </w:p>
        </w:tc>
        <w:tc>
          <w:tcPr>
            <w:tcW w:w="786" w:type="dxa"/>
          </w:tcPr>
          <w:p w14:paraId="325F75F1">
            <w:pPr>
              <w:widowControl w:val="0"/>
              <w:numPr>
                <w:ilvl w:val="0"/>
                <w:numId w:val="0"/>
              </w:numPr>
              <w:jc w:val="both"/>
              <w:rPr>
                <w:rFonts w:hint="default"/>
                <w:vertAlign w:val="baseline"/>
                <w:lang w:val="en-US" w:eastAsia="zh-CN"/>
              </w:rPr>
            </w:pPr>
          </w:p>
        </w:tc>
        <w:tc>
          <w:tcPr>
            <w:tcW w:w="800" w:type="dxa"/>
          </w:tcPr>
          <w:p w14:paraId="63358AAA">
            <w:pPr>
              <w:widowControl w:val="0"/>
              <w:numPr>
                <w:ilvl w:val="0"/>
                <w:numId w:val="0"/>
              </w:numPr>
              <w:jc w:val="both"/>
              <w:rPr>
                <w:rFonts w:hint="default"/>
                <w:vertAlign w:val="baseline"/>
                <w:lang w:val="en-US" w:eastAsia="zh-CN"/>
              </w:rPr>
            </w:pPr>
          </w:p>
        </w:tc>
        <w:tc>
          <w:tcPr>
            <w:tcW w:w="902" w:type="dxa"/>
          </w:tcPr>
          <w:p w14:paraId="7BAA0C30">
            <w:pPr>
              <w:widowControl w:val="0"/>
              <w:numPr>
                <w:ilvl w:val="0"/>
                <w:numId w:val="0"/>
              </w:numPr>
              <w:jc w:val="both"/>
              <w:rPr>
                <w:rFonts w:hint="default"/>
                <w:vertAlign w:val="baseline"/>
                <w:lang w:val="en-US" w:eastAsia="zh-CN"/>
              </w:rPr>
            </w:pPr>
          </w:p>
        </w:tc>
        <w:tc>
          <w:tcPr>
            <w:tcW w:w="746" w:type="dxa"/>
          </w:tcPr>
          <w:p w14:paraId="4B15A6CB">
            <w:pPr>
              <w:widowControl w:val="0"/>
              <w:numPr>
                <w:ilvl w:val="0"/>
                <w:numId w:val="0"/>
              </w:numPr>
              <w:jc w:val="both"/>
              <w:rPr>
                <w:rFonts w:hint="default"/>
                <w:vertAlign w:val="baseline"/>
                <w:lang w:val="en-US" w:eastAsia="zh-CN"/>
              </w:rPr>
            </w:pPr>
          </w:p>
        </w:tc>
        <w:tc>
          <w:tcPr>
            <w:tcW w:w="1067" w:type="dxa"/>
          </w:tcPr>
          <w:p w14:paraId="0AD45DA1">
            <w:pPr>
              <w:widowControl w:val="0"/>
              <w:numPr>
                <w:ilvl w:val="0"/>
                <w:numId w:val="0"/>
              </w:numPr>
              <w:jc w:val="both"/>
              <w:rPr>
                <w:rFonts w:hint="default"/>
                <w:vertAlign w:val="baseline"/>
                <w:lang w:val="en-US" w:eastAsia="zh-CN"/>
              </w:rPr>
            </w:pPr>
          </w:p>
        </w:tc>
        <w:tc>
          <w:tcPr>
            <w:tcW w:w="1360" w:type="dxa"/>
          </w:tcPr>
          <w:p w14:paraId="0F0C5092">
            <w:pPr>
              <w:widowControl w:val="0"/>
              <w:numPr>
                <w:ilvl w:val="0"/>
                <w:numId w:val="0"/>
              </w:numPr>
              <w:jc w:val="both"/>
              <w:rPr>
                <w:rFonts w:hint="default"/>
                <w:vertAlign w:val="baseline"/>
                <w:lang w:val="en-US" w:eastAsia="zh-CN"/>
              </w:rPr>
            </w:pPr>
          </w:p>
        </w:tc>
        <w:tc>
          <w:tcPr>
            <w:tcW w:w="1528" w:type="dxa"/>
          </w:tcPr>
          <w:p w14:paraId="6219982B">
            <w:pPr>
              <w:widowControl w:val="0"/>
              <w:numPr>
                <w:ilvl w:val="0"/>
                <w:numId w:val="0"/>
              </w:numPr>
              <w:jc w:val="both"/>
              <w:rPr>
                <w:rFonts w:hint="default"/>
                <w:vertAlign w:val="baseline"/>
                <w:lang w:val="en-US" w:eastAsia="zh-CN"/>
              </w:rPr>
            </w:pPr>
          </w:p>
        </w:tc>
      </w:tr>
      <w:tr w14:paraId="5679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19" w:type="dxa"/>
          </w:tcPr>
          <w:p w14:paraId="70EC3570">
            <w:pPr>
              <w:widowControl w:val="0"/>
              <w:numPr>
                <w:ilvl w:val="0"/>
                <w:numId w:val="0"/>
              </w:numPr>
              <w:jc w:val="both"/>
              <w:rPr>
                <w:rFonts w:hint="default"/>
                <w:vertAlign w:val="baseline"/>
                <w:lang w:val="en-US" w:eastAsia="zh-CN"/>
              </w:rPr>
            </w:pPr>
          </w:p>
        </w:tc>
        <w:tc>
          <w:tcPr>
            <w:tcW w:w="1334" w:type="dxa"/>
          </w:tcPr>
          <w:p w14:paraId="7620516A">
            <w:pPr>
              <w:widowControl w:val="0"/>
              <w:numPr>
                <w:ilvl w:val="0"/>
                <w:numId w:val="0"/>
              </w:numPr>
              <w:jc w:val="both"/>
              <w:rPr>
                <w:rFonts w:hint="default"/>
                <w:vertAlign w:val="baseline"/>
                <w:lang w:val="en-US" w:eastAsia="zh-CN"/>
              </w:rPr>
            </w:pPr>
          </w:p>
        </w:tc>
        <w:tc>
          <w:tcPr>
            <w:tcW w:w="786" w:type="dxa"/>
          </w:tcPr>
          <w:p w14:paraId="079F3568">
            <w:pPr>
              <w:widowControl w:val="0"/>
              <w:numPr>
                <w:ilvl w:val="0"/>
                <w:numId w:val="0"/>
              </w:numPr>
              <w:jc w:val="both"/>
              <w:rPr>
                <w:rFonts w:hint="default"/>
                <w:vertAlign w:val="baseline"/>
                <w:lang w:val="en-US" w:eastAsia="zh-CN"/>
              </w:rPr>
            </w:pPr>
          </w:p>
        </w:tc>
        <w:tc>
          <w:tcPr>
            <w:tcW w:w="800" w:type="dxa"/>
          </w:tcPr>
          <w:p w14:paraId="7220BCF0">
            <w:pPr>
              <w:widowControl w:val="0"/>
              <w:numPr>
                <w:ilvl w:val="0"/>
                <w:numId w:val="0"/>
              </w:numPr>
              <w:jc w:val="both"/>
              <w:rPr>
                <w:rFonts w:hint="default"/>
                <w:vertAlign w:val="baseline"/>
                <w:lang w:val="en-US" w:eastAsia="zh-CN"/>
              </w:rPr>
            </w:pPr>
          </w:p>
        </w:tc>
        <w:tc>
          <w:tcPr>
            <w:tcW w:w="902" w:type="dxa"/>
          </w:tcPr>
          <w:p w14:paraId="1E6B2971">
            <w:pPr>
              <w:widowControl w:val="0"/>
              <w:numPr>
                <w:ilvl w:val="0"/>
                <w:numId w:val="0"/>
              </w:numPr>
              <w:jc w:val="both"/>
              <w:rPr>
                <w:rFonts w:hint="default"/>
                <w:vertAlign w:val="baseline"/>
                <w:lang w:val="en-US" w:eastAsia="zh-CN"/>
              </w:rPr>
            </w:pPr>
          </w:p>
        </w:tc>
        <w:tc>
          <w:tcPr>
            <w:tcW w:w="746" w:type="dxa"/>
          </w:tcPr>
          <w:p w14:paraId="12BFC8A0">
            <w:pPr>
              <w:widowControl w:val="0"/>
              <w:numPr>
                <w:ilvl w:val="0"/>
                <w:numId w:val="0"/>
              </w:numPr>
              <w:jc w:val="both"/>
              <w:rPr>
                <w:rFonts w:hint="default"/>
                <w:vertAlign w:val="baseline"/>
                <w:lang w:val="en-US" w:eastAsia="zh-CN"/>
              </w:rPr>
            </w:pPr>
          </w:p>
        </w:tc>
        <w:tc>
          <w:tcPr>
            <w:tcW w:w="1067" w:type="dxa"/>
          </w:tcPr>
          <w:p w14:paraId="5AFE5D38">
            <w:pPr>
              <w:widowControl w:val="0"/>
              <w:numPr>
                <w:ilvl w:val="0"/>
                <w:numId w:val="0"/>
              </w:numPr>
              <w:jc w:val="both"/>
              <w:rPr>
                <w:rFonts w:hint="default"/>
                <w:vertAlign w:val="baseline"/>
                <w:lang w:val="en-US" w:eastAsia="zh-CN"/>
              </w:rPr>
            </w:pPr>
          </w:p>
        </w:tc>
        <w:tc>
          <w:tcPr>
            <w:tcW w:w="1360" w:type="dxa"/>
          </w:tcPr>
          <w:p w14:paraId="5362200B">
            <w:pPr>
              <w:widowControl w:val="0"/>
              <w:numPr>
                <w:ilvl w:val="0"/>
                <w:numId w:val="0"/>
              </w:numPr>
              <w:jc w:val="both"/>
              <w:rPr>
                <w:rFonts w:hint="default"/>
                <w:vertAlign w:val="baseline"/>
                <w:lang w:val="en-US" w:eastAsia="zh-CN"/>
              </w:rPr>
            </w:pPr>
          </w:p>
        </w:tc>
        <w:tc>
          <w:tcPr>
            <w:tcW w:w="1528" w:type="dxa"/>
          </w:tcPr>
          <w:p w14:paraId="0E9398CC">
            <w:pPr>
              <w:widowControl w:val="0"/>
              <w:numPr>
                <w:ilvl w:val="0"/>
                <w:numId w:val="0"/>
              </w:numPr>
              <w:jc w:val="both"/>
              <w:rPr>
                <w:rFonts w:hint="default"/>
                <w:vertAlign w:val="baseline"/>
                <w:lang w:val="en-US" w:eastAsia="zh-CN"/>
              </w:rPr>
            </w:pPr>
          </w:p>
        </w:tc>
      </w:tr>
      <w:tr w14:paraId="27707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19" w:type="dxa"/>
          </w:tcPr>
          <w:p w14:paraId="417713E4">
            <w:pPr>
              <w:widowControl w:val="0"/>
              <w:numPr>
                <w:ilvl w:val="0"/>
                <w:numId w:val="0"/>
              </w:numPr>
              <w:jc w:val="both"/>
              <w:rPr>
                <w:rFonts w:hint="default"/>
                <w:vertAlign w:val="baseline"/>
                <w:lang w:val="en-US" w:eastAsia="zh-CN"/>
              </w:rPr>
            </w:pPr>
          </w:p>
        </w:tc>
        <w:tc>
          <w:tcPr>
            <w:tcW w:w="1334" w:type="dxa"/>
          </w:tcPr>
          <w:p w14:paraId="745302A3">
            <w:pPr>
              <w:widowControl w:val="0"/>
              <w:numPr>
                <w:ilvl w:val="0"/>
                <w:numId w:val="0"/>
              </w:numPr>
              <w:jc w:val="both"/>
              <w:rPr>
                <w:rFonts w:hint="default"/>
                <w:vertAlign w:val="baseline"/>
                <w:lang w:val="en-US" w:eastAsia="zh-CN"/>
              </w:rPr>
            </w:pPr>
          </w:p>
        </w:tc>
        <w:tc>
          <w:tcPr>
            <w:tcW w:w="786" w:type="dxa"/>
          </w:tcPr>
          <w:p w14:paraId="528D3BE7">
            <w:pPr>
              <w:widowControl w:val="0"/>
              <w:numPr>
                <w:ilvl w:val="0"/>
                <w:numId w:val="0"/>
              </w:numPr>
              <w:jc w:val="both"/>
              <w:rPr>
                <w:rFonts w:hint="default"/>
                <w:vertAlign w:val="baseline"/>
                <w:lang w:val="en-US" w:eastAsia="zh-CN"/>
              </w:rPr>
            </w:pPr>
          </w:p>
        </w:tc>
        <w:tc>
          <w:tcPr>
            <w:tcW w:w="800" w:type="dxa"/>
          </w:tcPr>
          <w:p w14:paraId="05767AF1">
            <w:pPr>
              <w:widowControl w:val="0"/>
              <w:numPr>
                <w:ilvl w:val="0"/>
                <w:numId w:val="0"/>
              </w:numPr>
              <w:jc w:val="both"/>
              <w:rPr>
                <w:rFonts w:hint="default"/>
                <w:vertAlign w:val="baseline"/>
                <w:lang w:val="en-US" w:eastAsia="zh-CN"/>
              </w:rPr>
            </w:pPr>
          </w:p>
        </w:tc>
        <w:tc>
          <w:tcPr>
            <w:tcW w:w="902" w:type="dxa"/>
          </w:tcPr>
          <w:p w14:paraId="6B7B05D3">
            <w:pPr>
              <w:widowControl w:val="0"/>
              <w:numPr>
                <w:ilvl w:val="0"/>
                <w:numId w:val="0"/>
              </w:numPr>
              <w:jc w:val="both"/>
              <w:rPr>
                <w:rFonts w:hint="default"/>
                <w:vertAlign w:val="baseline"/>
                <w:lang w:val="en-US" w:eastAsia="zh-CN"/>
              </w:rPr>
            </w:pPr>
          </w:p>
        </w:tc>
        <w:tc>
          <w:tcPr>
            <w:tcW w:w="746" w:type="dxa"/>
          </w:tcPr>
          <w:p w14:paraId="5EFA4FCA">
            <w:pPr>
              <w:widowControl w:val="0"/>
              <w:numPr>
                <w:ilvl w:val="0"/>
                <w:numId w:val="0"/>
              </w:numPr>
              <w:jc w:val="both"/>
              <w:rPr>
                <w:rFonts w:hint="default"/>
                <w:vertAlign w:val="baseline"/>
                <w:lang w:val="en-US" w:eastAsia="zh-CN"/>
              </w:rPr>
            </w:pPr>
          </w:p>
        </w:tc>
        <w:tc>
          <w:tcPr>
            <w:tcW w:w="1067" w:type="dxa"/>
          </w:tcPr>
          <w:p w14:paraId="76B904F6">
            <w:pPr>
              <w:widowControl w:val="0"/>
              <w:numPr>
                <w:ilvl w:val="0"/>
                <w:numId w:val="0"/>
              </w:numPr>
              <w:jc w:val="both"/>
              <w:rPr>
                <w:rFonts w:hint="default"/>
                <w:vertAlign w:val="baseline"/>
                <w:lang w:val="en-US" w:eastAsia="zh-CN"/>
              </w:rPr>
            </w:pPr>
          </w:p>
        </w:tc>
        <w:tc>
          <w:tcPr>
            <w:tcW w:w="1360" w:type="dxa"/>
          </w:tcPr>
          <w:p w14:paraId="09D93369">
            <w:pPr>
              <w:widowControl w:val="0"/>
              <w:numPr>
                <w:ilvl w:val="0"/>
                <w:numId w:val="0"/>
              </w:numPr>
              <w:jc w:val="both"/>
              <w:rPr>
                <w:rFonts w:hint="default"/>
                <w:vertAlign w:val="baseline"/>
                <w:lang w:val="en-US" w:eastAsia="zh-CN"/>
              </w:rPr>
            </w:pPr>
          </w:p>
        </w:tc>
        <w:tc>
          <w:tcPr>
            <w:tcW w:w="1528" w:type="dxa"/>
          </w:tcPr>
          <w:p w14:paraId="570F3F10">
            <w:pPr>
              <w:widowControl w:val="0"/>
              <w:numPr>
                <w:ilvl w:val="0"/>
                <w:numId w:val="0"/>
              </w:numPr>
              <w:jc w:val="both"/>
              <w:rPr>
                <w:rFonts w:hint="default"/>
                <w:vertAlign w:val="baseline"/>
                <w:lang w:val="en-US" w:eastAsia="zh-CN"/>
              </w:rPr>
            </w:pPr>
          </w:p>
        </w:tc>
      </w:tr>
      <w:tr w14:paraId="57373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19" w:type="dxa"/>
          </w:tcPr>
          <w:p w14:paraId="039E1A16">
            <w:pPr>
              <w:widowControl w:val="0"/>
              <w:numPr>
                <w:ilvl w:val="0"/>
                <w:numId w:val="0"/>
              </w:numPr>
              <w:jc w:val="both"/>
              <w:rPr>
                <w:rFonts w:hint="default"/>
                <w:vertAlign w:val="baseline"/>
                <w:lang w:val="en-US" w:eastAsia="zh-CN"/>
              </w:rPr>
            </w:pPr>
          </w:p>
        </w:tc>
        <w:tc>
          <w:tcPr>
            <w:tcW w:w="1334" w:type="dxa"/>
          </w:tcPr>
          <w:p w14:paraId="5C12EC5E">
            <w:pPr>
              <w:widowControl w:val="0"/>
              <w:numPr>
                <w:ilvl w:val="0"/>
                <w:numId w:val="0"/>
              </w:numPr>
              <w:jc w:val="both"/>
              <w:rPr>
                <w:rFonts w:hint="default"/>
                <w:vertAlign w:val="baseline"/>
                <w:lang w:val="en-US" w:eastAsia="zh-CN"/>
              </w:rPr>
            </w:pPr>
          </w:p>
        </w:tc>
        <w:tc>
          <w:tcPr>
            <w:tcW w:w="786" w:type="dxa"/>
          </w:tcPr>
          <w:p w14:paraId="5C1A2D3C">
            <w:pPr>
              <w:widowControl w:val="0"/>
              <w:numPr>
                <w:ilvl w:val="0"/>
                <w:numId w:val="0"/>
              </w:numPr>
              <w:jc w:val="both"/>
              <w:rPr>
                <w:rFonts w:hint="default"/>
                <w:vertAlign w:val="baseline"/>
                <w:lang w:val="en-US" w:eastAsia="zh-CN"/>
              </w:rPr>
            </w:pPr>
          </w:p>
        </w:tc>
        <w:tc>
          <w:tcPr>
            <w:tcW w:w="800" w:type="dxa"/>
          </w:tcPr>
          <w:p w14:paraId="579350A8">
            <w:pPr>
              <w:widowControl w:val="0"/>
              <w:numPr>
                <w:ilvl w:val="0"/>
                <w:numId w:val="0"/>
              </w:numPr>
              <w:jc w:val="both"/>
              <w:rPr>
                <w:rFonts w:hint="default"/>
                <w:vertAlign w:val="baseline"/>
                <w:lang w:val="en-US" w:eastAsia="zh-CN"/>
              </w:rPr>
            </w:pPr>
          </w:p>
        </w:tc>
        <w:tc>
          <w:tcPr>
            <w:tcW w:w="902" w:type="dxa"/>
          </w:tcPr>
          <w:p w14:paraId="766AF6A2">
            <w:pPr>
              <w:widowControl w:val="0"/>
              <w:numPr>
                <w:ilvl w:val="0"/>
                <w:numId w:val="0"/>
              </w:numPr>
              <w:jc w:val="both"/>
              <w:rPr>
                <w:rFonts w:hint="default"/>
                <w:vertAlign w:val="baseline"/>
                <w:lang w:val="en-US" w:eastAsia="zh-CN"/>
              </w:rPr>
            </w:pPr>
          </w:p>
        </w:tc>
        <w:tc>
          <w:tcPr>
            <w:tcW w:w="746" w:type="dxa"/>
          </w:tcPr>
          <w:p w14:paraId="1D88A8B3">
            <w:pPr>
              <w:widowControl w:val="0"/>
              <w:numPr>
                <w:ilvl w:val="0"/>
                <w:numId w:val="0"/>
              </w:numPr>
              <w:jc w:val="both"/>
              <w:rPr>
                <w:rFonts w:hint="default"/>
                <w:vertAlign w:val="baseline"/>
                <w:lang w:val="en-US" w:eastAsia="zh-CN"/>
              </w:rPr>
            </w:pPr>
          </w:p>
        </w:tc>
        <w:tc>
          <w:tcPr>
            <w:tcW w:w="1067" w:type="dxa"/>
          </w:tcPr>
          <w:p w14:paraId="0FD57056">
            <w:pPr>
              <w:widowControl w:val="0"/>
              <w:numPr>
                <w:ilvl w:val="0"/>
                <w:numId w:val="0"/>
              </w:numPr>
              <w:jc w:val="both"/>
              <w:rPr>
                <w:rFonts w:hint="default"/>
                <w:vertAlign w:val="baseline"/>
                <w:lang w:val="en-US" w:eastAsia="zh-CN"/>
              </w:rPr>
            </w:pPr>
          </w:p>
        </w:tc>
        <w:tc>
          <w:tcPr>
            <w:tcW w:w="1360" w:type="dxa"/>
          </w:tcPr>
          <w:p w14:paraId="3680D5FE">
            <w:pPr>
              <w:widowControl w:val="0"/>
              <w:numPr>
                <w:ilvl w:val="0"/>
                <w:numId w:val="0"/>
              </w:numPr>
              <w:jc w:val="both"/>
              <w:rPr>
                <w:rFonts w:hint="default"/>
                <w:vertAlign w:val="baseline"/>
                <w:lang w:val="en-US" w:eastAsia="zh-CN"/>
              </w:rPr>
            </w:pPr>
          </w:p>
        </w:tc>
        <w:tc>
          <w:tcPr>
            <w:tcW w:w="1528" w:type="dxa"/>
          </w:tcPr>
          <w:p w14:paraId="6E45ED76">
            <w:pPr>
              <w:widowControl w:val="0"/>
              <w:numPr>
                <w:ilvl w:val="0"/>
                <w:numId w:val="0"/>
              </w:numPr>
              <w:jc w:val="both"/>
              <w:rPr>
                <w:rFonts w:hint="default"/>
                <w:vertAlign w:val="baseline"/>
                <w:lang w:val="en-US" w:eastAsia="zh-CN"/>
              </w:rPr>
            </w:pPr>
          </w:p>
        </w:tc>
      </w:tr>
      <w:tr w14:paraId="438AA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19" w:type="dxa"/>
          </w:tcPr>
          <w:p w14:paraId="3E203ED2">
            <w:pPr>
              <w:widowControl w:val="0"/>
              <w:numPr>
                <w:ilvl w:val="0"/>
                <w:numId w:val="0"/>
              </w:numPr>
              <w:jc w:val="both"/>
              <w:rPr>
                <w:rFonts w:hint="default"/>
                <w:vertAlign w:val="baseline"/>
                <w:lang w:val="en-US" w:eastAsia="zh-CN"/>
              </w:rPr>
            </w:pPr>
          </w:p>
        </w:tc>
        <w:tc>
          <w:tcPr>
            <w:tcW w:w="1334" w:type="dxa"/>
          </w:tcPr>
          <w:p w14:paraId="71A9F146">
            <w:pPr>
              <w:widowControl w:val="0"/>
              <w:numPr>
                <w:ilvl w:val="0"/>
                <w:numId w:val="0"/>
              </w:numPr>
              <w:jc w:val="both"/>
              <w:rPr>
                <w:rFonts w:hint="default"/>
                <w:vertAlign w:val="baseline"/>
                <w:lang w:val="en-US" w:eastAsia="zh-CN"/>
              </w:rPr>
            </w:pPr>
          </w:p>
        </w:tc>
        <w:tc>
          <w:tcPr>
            <w:tcW w:w="786" w:type="dxa"/>
          </w:tcPr>
          <w:p w14:paraId="08687B61">
            <w:pPr>
              <w:widowControl w:val="0"/>
              <w:numPr>
                <w:ilvl w:val="0"/>
                <w:numId w:val="0"/>
              </w:numPr>
              <w:jc w:val="both"/>
              <w:rPr>
                <w:rFonts w:hint="default"/>
                <w:vertAlign w:val="baseline"/>
                <w:lang w:val="en-US" w:eastAsia="zh-CN"/>
              </w:rPr>
            </w:pPr>
          </w:p>
        </w:tc>
        <w:tc>
          <w:tcPr>
            <w:tcW w:w="800" w:type="dxa"/>
          </w:tcPr>
          <w:p w14:paraId="7CC74345">
            <w:pPr>
              <w:widowControl w:val="0"/>
              <w:numPr>
                <w:ilvl w:val="0"/>
                <w:numId w:val="0"/>
              </w:numPr>
              <w:jc w:val="both"/>
              <w:rPr>
                <w:rFonts w:hint="default"/>
                <w:vertAlign w:val="baseline"/>
                <w:lang w:val="en-US" w:eastAsia="zh-CN"/>
              </w:rPr>
            </w:pPr>
          </w:p>
        </w:tc>
        <w:tc>
          <w:tcPr>
            <w:tcW w:w="902" w:type="dxa"/>
          </w:tcPr>
          <w:p w14:paraId="3D7C72AA">
            <w:pPr>
              <w:widowControl w:val="0"/>
              <w:numPr>
                <w:ilvl w:val="0"/>
                <w:numId w:val="0"/>
              </w:numPr>
              <w:jc w:val="both"/>
              <w:rPr>
                <w:rFonts w:hint="default"/>
                <w:vertAlign w:val="baseline"/>
                <w:lang w:val="en-US" w:eastAsia="zh-CN"/>
              </w:rPr>
            </w:pPr>
          </w:p>
        </w:tc>
        <w:tc>
          <w:tcPr>
            <w:tcW w:w="746" w:type="dxa"/>
          </w:tcPr>
          <w:p w14:paraId="0345A48D">
            <w:pPr>
              <w:widowControl w:val="0"/>
              <w:numPr>
                <w:ilvl w:val="0"/>
                <w:numId w:val="0"/>
              </w:numPr>
              <w:jc w:val="both"/>
              <w:rPr>
                <w:rFonts w:hint="default"/>
                <w:vertAlign w:val="baseline"/>
                <w:lang w:val="en-US" w:eastAsia="zh-CN"/>
              </w:rPr>
            </w:pPr>
          </w:p>
        </w:tc>
        <w:tc>
          <w:tcPr>
            <w:tcW w:w="1067" w:type="dxa"/>
          </w:tcPr>
          <w:p w14:paraId="183E25F0">
            <w:pPr>
              <w:widowControl w:val="0"/>
              <w:numPr>
                <w:ilvl w:val="0"/>
                <w:numId w:val="0"/>
              </w:numPr>
              <w:jc w:val="both"/>
              <w:rPr>
                <w:rFonts w:hint="default"/>
                <w:vertAlign w:val="baseline"/>
                <w:lang w:val="en-US" w:eastAsia="zh-CN"/>
              </w:rPr>
            </w:pPr>
          </w:p>
        </w:tc>
        <w:tc>
          <w:tcPr>
            <w:tcW w:w="1360" w:type="dxa"/>
          </w:tcPr>
          <w:p w14:paraId="3B2BAACA">
            <w:pPr>
              <w:widowControl w:val="0"/>
              <w:numPr>
                <w:ilvl w:val="0"/>
                <w:numId w:val="0"/>
              </w:numPr>
              <w:jc w:val="both"/>
              <w:rPr>
                <w:rFonts w:hint="default"/>
                <w:vertAlign w:val="baseline"/>
                <w:lang w:val="en-US" w:eastAsia="zh-CN"/>
              </w:rPr>
            </w:pPr>
          </w:p>
        </w:tc>
        <w:tc>
          <w:tcPr>
            <w:tcW w:w="1528" w:type="dxa"/>
          </w:tcPr>
          <w:p w14:paraId="7619C248">
            <w:pPr>
              <w:widowControl w:val="0"/>
              <w:numPr>
                <w:ilvl w:val="0"/>
                <w:numId w:val="0"/>
              </w:numPr>
              <w:jc w:val="both"/>
              <w:rPr>
                <w:rFonts w:hint="default"/>
                <w:vertAlign w:val="baseline"/>
                <w:lang w:val="en-US" w:eastAsia="zh-CN"/>
              </w:rPr>
            </w:pPr>
          </w:p>
        </w:tc>
      </w:tr>
      <w:tr w14:paraId="3E0C1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19" w:type="dxa"/>
          </w:tcPr>
          <w:p w14:paraId="2B8F84C9">
            <w:pPr>
              <w:widowControl w:val="0"/>
              <w:numPr>
                <w:ilvl w:val="0"/>
                <w:numId w:val="0"/>
              </w:numPr>
              <w:jc w:val="both"/>
              <w:rPr>
                <w:rFonts w:hint="default"/>
                <w:vertAlign w:val="baseline"/>
                <w:lang w:val="en-US" w:eastAsia="zh-CN"/>
              </w:rPr>
            </w:pPr>
          </w:p>
        </w:tc>
        <w:tc>
          <w:tcPr>
            <w:tcW w:w="1334" w:type="dxa"/>
          </w:tcPr>
          <w:p w14:paraId="6F28FA39">
            <w:pPr>
              <w:widowControl w:val="0"/>
              <w:numPr>
                <w:ilvl w:val="0"/>
                <w:numId w:val="0"/>
              </w:numPr>
              <w:jc w:val="both"/>
              <w:rPr>
                <w:rFonts w:hint="default"/>
                <w:vertAlign w:val="baseline"/>
                <w:lang w:val="en-US" w:eastAsia="zh-CN"/>
              </w:rPr>
            </w:pPr>
          </w:p>
        </w:tc>
        <w:tc>
          <w:tcPr>
            <w:tcW w:w="786" w:type="dxa"/>
          </w:tcPr>
          <w:p w14:paraId="755650D5">
            <w:pPr>
              <w:widowControl w:val="0"/>
              <w:numPr>
                <w:ilvl w:val="0"/>
                <w:numId w:val="0"/>
              </w:numPr>
              <w:jc w:val="both"/>
              <w:rPr>
                <w:rFonts w:hint="default"/>
                <w:vertAlign w:val="baseline"/>
                <w:lang w:val="en-US" w:eastAsia="zh-CN"/>
              </w:rPr>
            </w:pPr>
          </w:p>
        </w:tc>
        <w:tc>
          <w:tcPr>
            <w:tcW w:w="800" w:type="dxa"/>
          </w:tcPr>
          <w:p w14:paraId="0CC6E30B">
            <w:pPr>
              <w:widowControl w:val="0"/>
              <w:numPr>
                <w:ilvl w:val="0"/>
                <w:numId w:val="0"/>
              </w:numPr>
              <w:jc w:val="both"/>
              <w:rPr>
                <w:rFonts w:hint="default"/>
                <w:vertAlign w:val="baseline"/>
                <w:lang w:val="en-US" w:eastAsia="zh-CN"/>
              </w:rPr>
            </w:pPr>
          </w:p>
        </w:tc>
        <w:tc>
          <w:tcPr>
            <w:tcW w:w="902" w:type="dxa"/>
          </w:tcPr>
          <w:p w14:paraId="657D7F41">
            <w:pPr>
              <w:widowControl w:val="0"/>
              <w:numPr>
                <w:ilvl w:val="0"/>
                <w:numId w:val="0"/>
              </w:numPr>
              <w:jc w:val="both"/>
              <w:rPr>
                <w:rFonts w:hint="default"/>
                <w:vertAlign w:val="baseline"/>
                <w:lang w:val="en-US" w:eastAsia="zh-CN"/>
              </w:rPr>
            </w:pPr>
          </w:p>
        </w:tc>
        <w:tc>
          <w:tcPr>
            <w:tcW w:w="746" w:type="dxa"/>
          </w:tcPr>
          <w:p w14:paraId="12DAB7EA">
            <w:pPr>
              <w:widowControl w:val="0"/>
              <w:numPr>
                <w:ilvl w:val="0"/>
                <w:numId w:val="0"/>
              </w:numPr>
              <w:jc w:val="both"/>
              <w:rPr>
                <w:rFonts w:hint="default"/>
                <w:vertAlign w:val="baseline"/>
                <w:lang w:val="en-US" w:eastAsia="zh-CN"/>
              </w:rPr>
            </w:pPr>
          </w:p>
        </w:tc>
        <w:tc>
          <w:tcPr>
            <w:tcW w:w="1067" w:type="dxa"/>
          </w:tcPr>
          <w:p w14:paraId="2ABDE70C">
            <w:pPr>
              <w:widowControl w:val="0"/>
              <w:numPr>
                <w:ilvl w:val="0"/>
                <w:numId w:val="0"/>
              </w:numPr>
              <w:jc w:val="both"/>
              <w:rPr>
                <w:rFonts w:hint="default"/>
                <w:vertAlign w:val="baseline"/>
                <w:lang w:val="en-US" w:eastAsia="zh-CN"/>
              </w:rPr>
            </w:pPr>
          </w:p>
        </w:tc>
        <w:tc>
          <w:tcPr>
            <w:tcW w:w="1360" w:type="dxa"/>
          </w:tcPr>
          <w:p w14:paraId="5CFD9AE3">
            <w:pPr>
              <w:widowControl w:val="0"/>
              <w:numPr>
                <w:ilvl w:val="0"/>
                <w:numId w:val="0"/>
              </w:numPr>
              <w:jc w:val="both"/>
              <w:rPr>
                <w:rFonts w:hint="default"/>
                <w:vertAlign w:val="baseline"/>
                <w:lang w:val="en-US" w:eastAsia="zh-CN"/>
              </w:rPr>
            </w:pPr>
          </w:p>
        </w:tc>
        <w:tc>
          <w:tcPr>
            <w:tcW w:w="1528" w:type="dxa"/>
          </w:tcPr>
          <w:p w14:paraId="046677FB">
            <w:pPr>
              <w:widowControl w:val="0"/>
              <w:numPr>
                <w:ilvl w:val="0"/>
                <w:numId w:val="0"/>
              </w:numPr>
              <w:jc w:val="both"/>
              <w:rPr>
                <w:rFonts w:hint="default"/>
                <w:vertAlign w:val="baseline"/>
                <w:lang w:val="en-US" w:eastAsia="zh-CN"/>
              </w:rPr>
            </w:pPr>
          </w:p>
        </w:tc>
      </w:tr>
      <w:tr w14:paraId="4525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19" w:type="dxa"/>
          </w:tcPr>
          <w:p w14:paraId="401AC3C6">
            <w:pPr>
              <w:widowControl w:val="0"/>
              <w:numPr>
                <w:ilvl w:val="0"/>
                <w:numId w:val="0"/>
              </w:numPr>
              <w:jc w:val="both"/>
              <w:rPr>
                <w:rFonts w:hint="default"/>
                <w:highlight w:val="none"/>
                <w:vertAlign w:val="baseline"/>
                <w:lang w:val="en-US" w:eastAsia="zh-CN"/>
              </w:rPr>
            </w:pPr>
          </w:p>
        </w:tc>
        <w:tc>
          <w:tcPr>
            <w:tcW w:w="1334" w:type="dxa"/>
          </w:tcPr>
          <w:p w14:paraId="77BAC94E">
            <w:pPr>
              <w:widowControl w:val="0"/>
              <w:numPr>
                <w:ilvl w:val="0"/>
                <w:numId w:val="0"/>
              </w:numPr>
              <w:jc w:val="both"/>
              <w:rPr>
                <w:rFonts w:hint="default"/>
                <w:highlight w:val="none"/>
                <w:vertAlign w:val="baseline"/>
                <w:lang w:val="en-US" w:eastAsia="zh-CN"/>
              </w:rPr>
            </w:pPr>
          </w:p>
        </w:tc>
        <w:tc>
          <w:tcPr>
            <w:tcW w:w="786" w:type="dxa"/>
          </w:tcPr>
          <w:p w14:paraId="04AC0492">
            <w:pPr>
              <w:widowControl w:val="0"/>
              <w:numPr>
                <w:ilvl w:val="0"/>
                <w:numId w:val="0"/>
              </w:numPr>
              <w:jc w:val="both"/>
              <w:rPr>
                <w:rFonts w:hint="default"/>
                <w:highlight w:val="none"/>
                <w:vertAlign w:val="baseline"/>
                <w:lang w:val="en-US" w:eastAsia="zh-CN"/>
              </w:rPr>
            </w:pPr>
          </w:p>
        </w:tc>
        <w:tc>
          <w:tcPr>
            <w:tcW w:w="800" w:type="dxa"/>
          </w:tcPr>
          <w:p w14:paraId="5B6B5336">
            <w:pPr>
              <w:widowControl w:val="0"/>
              <w:numPr>
                <w:ilvl w:val="0"/>
                <w:numId w:val="0"/>
              </w:numPr>
              <w:jc w:val="both"/>
              <w:rPr>
                <w:rFonts w:hint="default"/>
                <w:highlight w:val="none"/>
                <w:vertAlign w:val="baseline"/>
                <w:lang w:val="en-US" w:eastAsia="zh-CN"/>
              </w:rPr>
            </w:pPr>
          </w:p>
        </w:tc>
        <w:tc>
          <w:tcPr>
            <w:tcW w:w="902" w:type="dxa"/>
          </w:tcPr>
          <w:p w14:paraId="7A4DD3C1">
            <w:pPr>
              <w:widowControl w:val="0"/>
              <w:numPr>
                <w:ilvl w:val="0"/>
                <w:numId w:val="0"/>
              </w:numPr>
              <w:jc w:val="both"/>
              <w:rPr>
                <w:rFonts w:hint="default"/>
                <w:highlight w:val="none"/>
                <w:vertAlign w:val="baseline"/>
                <w:lang w:val="en-US" w:eastAsia="zh-CN"/>
              </w:rPr>
            </w:pPr>
          </w:p>
        </w:tc>
        <w:tc>
          <w:tcPr>
            <w:tcW w:w="746" w:type="dxa"/>
          </w:tcPr>
          <w:p w14:paraId="4F0262CC">
            <w:pPr>
              <w:widowControl w:val="0"/>
              <w:numPr>
                <w:ilvl w:val="0"/>
                <w:numId w:val="0"/>
              </w:numPr>
              <w:jc w:val="both"/>
              <w:rPr>
                <w:rFonts w:hint="default"/>
                <w:highlight w:val="none"/>
                <w:vertAlign w:val="baseline"/>
                <w:lang w:val="en-US" w:eastAsia="zh-CN"/>
              </w:rPr>
            </w:pPr>
          </w:p>
        </w:tc>
        <w:tc>
          <w:tcPr>
            <w:tcW w:w="1067" w:type="dxa"/>
          </w:tcPr>
          <w:p w14:paraId="146AF1A0">
            <w:pPr>
              <w:widowControl w:val="0"/>
              <w:numPr>
                <w:ilvl w:val="0"/>
                <w:numId w:val="0"/>
              </w:numPr>
              <w:jc w:val="both"/>
              <w:rPr>
                <w:rFonts w:hint="default"/>
                <w:highlight w:val="none"/>
                <w:vertAlign w:val="baseline"/>
                <w:lang w:val="en-US" w:eastAsia="zh-CN"/>
              </w:rPr>
            </w:pPr>
          </w:p>
        </w:tc>
        <w:tc>
          <w:tcPr>
            <w:tcW w:w="1360" w:type="dxa"/>
          </w:tcPr>
          <w:p w14:paraId="76E03889">
            <w:pPr>
              <w:widowControl w:val="0"/>
              <w:numPr>
                <w:ilvl w:val="0"/>
                <w:numId w:val="0"/>
              </w:numPr>
              <w:jc w:val="both"/>
              <w:rPr>
                <w:rFonts w:hint="default"/>
                <w:highlight w:val="none"/>
                <w:vertAlign w:val="baseline"/>
                <w:lang w:val="en-US" w:eastAsia="zh-CN"/>
              </w:rPr>
            </w:pPr>
          </w:p>
        </w:tc>
        <w:tc>
          <w:tcPr>
            <w:tcW w:w="1528" w:type="dxa"/>
          </w:tcPr>
          <w:p w14:paraId="56973185">
            <w:pPr>
              <w:widowControl w:val="0"/>
              <w:numPr>
                <w:ilvl w:val="0"/>
                <w:numId w:val="0"/>
              </w:numPr>
              <w:jc w:val="both"/>
              <w:rPr>
                <w:rFonts w:hint="default"/>
                <w:highlight w:val="none"/>
                <w:vertAlign w:val="baseline"/>
                <w:lang w:val="en-US" w:eastAsia="zh-CN"/>
              </w:rPr>
            </w:pPr>
          </w:p>
        </w:tc>
      </w:tr>
    </w:tbl>
    <w:p w14:paraId="73CF20D0">
      <w:pPr>
        <w:pStyle w:val="91"/>
        <w:ind w:left="0" w:leftChars="0" w:firstLine="0" w:firstLineChars="0"/>
        <w:rPr>
          <w:rFonts w:hint="eastAsia" w:ascii="宋体" w:hAnsi="宋体" w:cs="Times New Roman"/>
          <w:color w:val="auto"/>
          <w:sz w:val="24"/>
          <w:szCs w:val="21"/>
          <w:highlight w:val="none"/>
          <w:lang w:val="en-US" w:eastAsia="zh-CN"/>
        </w:rPr>
      </w:pPr>
      <w:r>
        <w:rPr>
          <w:rFonts w:hint="eastAsia" w:ascii="宋体" w:hAnsi="宋体" w:eastAsia="宋体" w:cs="Times New Roman"/>
          <w:color w:val="auto"/>
          <w:kern w:val="2"/>
          <w:sz w:val="24"/>
          <w:szCs w:val="21"/>
          <w:highlight w:val="none"/>
          <w:lang w:val="en-US" w:eastAsia="zh-CN" w:bidi="ar-SA"/>
        </w:rPr>
        <w:t>注：</w:t>
      </w:r>
      <w:r>
        <w:rPr>
          <w:rFonts w:hint="eastAsia" w:ascii="宋体" w:hAnsi="宋体" w:cs="Times New Roman"/>
          <w:color w:val="auto"/>
          <w:kern w:val="2"/>
          <w:sz w:val="24"/>
          <w:szCs w:val="21"/>
          <w:highlight w:val="none"/>
          <w:lang w:val="en-US" w:eastAsia="zh-CN" w:bidi="ar-SA"/>
        </w:rPr>
        <w:t>1.</w:t>
      </w:r>
      <w:r>
        <w:rPr>
          <w:rFonts w:hint="eastAsia" w:ascii="宋体" w:hAnsi="宋体" w:eastAsia="宋体" w:cs="Times New Roman"/>
          <w:color w:val="auto"/>
          <w:kern w:val="2"/>
          <w:sz w:val="24"/>
          <w:szCs w:val="21"/>
          <w:highlight w:val="none"/>
          <w:lang w:val="en-US" w:eastAsia="zh-CN" w:bidi="ar-SA"/>
        </w:rPr>
        <w:t>“项目组人员”指投标人完成本项目所配备的人员，其中最低配置要求中①项目总工(技术负责人)需提供公路工程相关专业工程师及以上职称证书扫描件，有效的安全生产考核合格证书( B类)扫描件、毕业证书扫描件、本单位社保证明的扫描件；</w:t>
      </w:r>
      <w:r>
        <w:rPr>
          <w:rFonts w:hint="eastAsia" w:ascii="宋体" w:hAnsi="宋体" w:eastAsia="宋体" w:cs="宋体"/>
          <w:color w:val="auto"/>
          <w:kern w:val="2"/>
          <w:sz w:val="24"/>
          <w:szCs w:val="21"/>
          <w:highlight w:val="none"/>
          <w:lang w:val="en-US" w:eastAsia="zh-CN" w:bidi="ar-SA"/>
        </w:rPr>
        <w:t>②</w:t>
      </w:r>
      <w:r>
        <w:rPr>
          <w:rFonts w:hint="eastAsia" w:ascii="宋体" w:hAnsi="宋体" w:eastAsia="宋体" w:cs="Times New Roman"/>
          <w:color w:val="auto"/>
          <w:kern w:val="2"/>
          <w:sz w:val="24"/>
          <w:szCs w:val="21"/>
          <w:highlight w:val="none"/>
          <w:lang w:val="en-US" w:eastAsia="zh-CN" w:bidi="ar-SA"/>
        </w:rPr>
        <w:t>道路工程师需提供</w:t>
      </w:r>
      <w:r>
        <w:rPr>
          <w:rFonts w:hint="eastAsia" w:ascii="宋体" w:hAnsi="宋体" w:eastAsia="宋体" w:cs="宋体"/>
          <w:color w:val="000000"/>
          <w:kern w:val="0"/>
          <w:sz w:val="23"/>
          <w:szCs w:val="23"/>
          <w:highlight w:val="none"/>
          <w:lang w:val="en-US" w:eastAsia="zh-CN" w:bidi="ar"/>
        </w:rPr>
        <w:t>公路工程相关专业工程师及以上职称</w:t>
      </w:r>
      <w:r>
        <w:rPr>
          <w:rFonts w:hint="eastAsia" w:ascii="宋体" w:hAnsi="宋体" w:eastAsia="宋体" w:cs="Times New Roman"/>
          <w:color w:val="auto"/>
          <w:kern w:val="2"/>
          <w:sz w:val="24"/>
          <w:szCs w:val="21"/>
          <w:highlight w:val="none"/>
          <w:lang w:val="en-US" w:eastAsia="zh-CN" w:bidi="ar-SA"/>
        </w:rPr>
        <w:t>证书扫描件、毕业证书扫描件</w:t>
      </w:r>
      <w:r>
        <w:rPr>
          <w:rFonts w:hint="eastAsia" w:ascii="宋体" w:hAnsi="宋体" w:cs="Times New Roman"/>
          <w:color w:val="auto"/>
          <w:kern w:val="2"/>
          <w:sz w:val="24"/>
          <w:szCs w:val="21"/>
          <w:highlight w:val="none"/>
          <w:lang w:val="en-US" w:eastAsia="zh-CN" w:bidi="ar-SA"/>
        </w:rPr>
        <w:t>、</w:t>
      </w:r>
      <w:r>
        <w:rPr>
          <w:rFonts w:hint="eastAsia" w:ascii="宋体" w:hAnsi="宋体" w:cs="Times New Roman"/>
          <w:color w:val="auto"/>
          <w:sz w:val="24"/>
          <w:szCs w:val="21"/>
          <w:highlight w:val="none"/>
          <w:lang w:val="en-US" w:eastAsia="zh-CN"/>
        </w:rPr>
        <w:t>本单位社保证明</w:t>
      </w:r>
      <w:r>
        <w:rPr>
          <w:rFonts w:hint="eastAsia" w:ascii="宋体" w:hAnsi="宋体" w:eastAsia="宋体" w:cs="Times New Roman"/>
          <w:color w:val="auto"/>
          <w:kern w:val="2"/>
          <w:sz w:val="24"/>
          <w:szCs w:val="21"/>
          <w:highlight w:val="none"/>
          <w:lang w:val="en-US" w:eastAsia="zh-CN" w:bidi="ar-SA"/>
        </w:rPr>
        <w:t>的扫描件</w:t>
      </w:r>
      <w:r>
        <w:rPr>
          <w:rFonts w:hint="eastAsia" w:ascii="宋体" w:hAnsi="宋体" w:cs="Times New Roman"/>
          <w:color w:val="auto"/>
          <w:kern w:val="2"/>
          <w:sz w:val="24"/>
          <w:szCs w:val="21"/>
          <w:highlight w:val="none"/>
          <w:lang w:val="en-US" w:eastAsia="zh-CN" w:bidi="ar-SA"/>
        </w:rPr>
        <w:t>；</w:t>
      </w:r>
      <w:r>
        <w:rPr>
          <w:rFonts w:hint="eastAsia" w:ascii="宋体" w:hAnsi="宋体" w:eastAsia="宋体" w:cs="宋体"/>
          <w:color w:val="auto"/>
          <w:kern w:val="2"/>
          <w:sz w:val="24"/>
          <w:szCs w:val="21"/>
          <w:highlight w:val="none"/>
          <w:lang w:val="en-US" w:eastAsia="zh-CN" w:bidi="ar-SA"/>
        </w:rPr>
        <w:t>③</w:t>
      </w:r>
      <w:r>
        <w:rPr>
          <w:rFonts w:hint="eastAsia" w:ascii="宋体" w:hAnsi="宋体" w:eastAsia="宋体" w:cs="Times New Roman"/>
          <w:color w:val="auto"/>
          <w:kern w:val="2"/>
          <w:sz w:val="24"/>
          <w:szCs w:val="21"/>
          <w:highlight w:val="none"/>
          <w:lang w:val="en-US" w:eastAsia="zh-CN" w:bidi="ar-SA"/>
        </w:rPr>
        <w:t>安全员须提供安全员C类证书扫描件且在有效期内</w:t>
      </w:r>
      <w:r>
        <w:rPr>
          <w:rFonts w:hint="eastAsia" w:ascii="宋体" w:hAnsi="宋体" w:cs="Times New Roman"/>
          <w:color w:val="auto"/>
          <w:kern w:val="2"/>
          <w:sz w:val="24"/>
          <w:szCs w:val="21"/>
          <w:highlight w:val="none"/>
          <w:lang w:val="en-US" w:eastAsia="zh-CN" w:bidi="ar-SA"/>
        </w:rPr>
        <w:t>、</w:t>
      </w:r>
      <w:r>
        <w:rPr>
          <w:rFonts w:hint="eastAsia" w:ascii="宋体" w:hAnsi="宋体" w:cs="Times New Roman"/>
          <w:color w:val="auto"/>
          <w:sz w:val="24"/>
          <w:szCs w:val="21"/>
          <w:highlight w:val="none"/>
          <w:lang w:val="en-US" w:eastAsia="zh-CN"/>
        </w:rPr>
        <w:t>本单位社保证明</w:t>
      </w:r>
      <w:r>
        <w:rPr>
          <w:rFonts w:hint="eastAsia" w:ascii="宋体" w:hAnsi="宋体" w:eastAsia="宋体" w:cs="Times New Roman"/>
          <w:color w:val="auto"/>
          <w:kern w:val="2"/>
          <w:sz w:val="24"/>
          <w:szCs w:val="21"/>
          <w:highlight w:val="none"/>
          <w:lang w:val="en-US" w:eastAsia="zh-CN" w:bidi="ar-SA"/>
        </w:rPr>
        <w:t>扫描件</w:t>
      </w:r>
      <w:r>
        <w:rPr>
          <w:rFonts w:hint="eastAsia" w:ascii="宋体" w:hAnsi="宋体" w:cs="Times New Roman"/>
          <w:color w:val="auto"/>
          <w:kern w:val="2"/>
          <w:sz w:val="24"/>
          <w:szCs w:val="21"/>
          <w:highlight w:val="none"/>
          <w:lang w:val="en-US" w:eastAsia="zh-CN" w:bidi="ar-SA"/>
        </w:rPr>
        <w:t>；其余</w:t>
      </w:r>
      <w:r>
        <w:rPr>
          <w:rFonts w:hint="eastAsia" w:ascii="宋体" w:hAnsi="宋体" w:cs="Times New Roman"/>
          <w:color w:val="auto"/>
          <w:sz w:val="24"/>
          <w:szCs w:val="21"/>
          <w:highlight w:val="none"/>
          <w:lang w:val="en-US" w:eastAsia="zh-CN"/>
        </w:rPr>
        <w:t>各专业人员需附职称证 (如有) 、执业注册证 (如有) 、岗位资格证、本单位社保证明等相关证明材料原件的扫描件。</w:t>
      </w:r>
    </w:p>
    <w:p w14:paraId="04E4AB6D">
      <w:pPr>
        <w:pStyle w:val="91"/>
        <w:ind w:left="0" w:leftChars="0" w:firstLine="480" w:firstLineChars="200"/>
        <w:rPr>
          <w:rFonts w:hint="eastAsia" w:ascii="宋体" w:hAnsi="宋体" w:cs="Times New Roman"/>
          <w:color w:val="auto"/>
          <w:sz w:val="24"/>
          <w:szCs w:val="21"/>
          <w:highlight w:val="none"/>
          <w:lang w:val="en-US" w:eastAsia="zh-CN"/>
        </w:rPr>
      </w:pPr>
      <w:r>
        <w:rPr>
          <w:rFonts w:hint="eastAsia" w:ascii="宋体" w:hAnsi="宋体" w:cs="Times New Roman"/>
          <w:color w:val="auto"/>
          <w:sz w:val="24"/>
          <w:szCs w:val="21"/>
          <w:highlight w:val="none"/>
          <w:lang w:val="en-US" w:eastAsia="zh-CN"/>
        </w:rPr>
        <w:t>2.表格不够填写可添加。</w:t>
      </w:r>
    </w:p>
    <w:p w14:paraId="1F768C6D">
      <w:pPr>
        <w:widowControl w:val="0"/>
        <w:numPr>
          <w:ilvl w:val="0"/>
          <w:numId w:val="0"/>
        </w:numPr>
        <w:spacing w:line="420" w:lineRule="exact"/>
        <w:jc w:val="both"/>
        <w:rPr>
          <w:rFonts w:hint="eastAsia" w:ascii="宋体" w:hAnsi="宋体" w:cs="Times New Roman"/>
          <w:color w:val="auto"/>
          <w:sz w:val="24"/>
          <w:szCs w:val="21"/>
          <w:highlight w:val="none"/>
          <w:lang w:val="en-US" w:eastAsia="zh-CN"/>
        </w:rPr>
      </w:pPr>
    </w:p>
    <w:p w14:paraId="52FE94F6">
      <w:pPr>
        <w:widowControl w:val="0"/>
        <w:numPr>
          <w:ilvl w:val="0"/>
          <w:numId w:val="0"/>
        </w:numPr>
        <w:spacing w:line="420" w:lineRule="exact"/>
        <w:jc w:val="both"/>
        <w:rPr>
          <w:rFonts w:hint="eastAsia" w:ascii="宋体" w:hAnsi="宋体" w:eastAsia="宋体" w:cs="Times New Roman"/>
          <w:color w:val="auto"/>
          <w:kern w:val="2"/>
          <w:sz w:val="24"/>
          <w:szCs w:val="21"/>
          <w:highlight w:val="yellow"/>
          <w:lang w:val="en-US" w:eastAsia="zh-CN" w:bidi="ar-SA"/>
        </w:rPr>
      </w:pPr>
    </w:p>
    <w:p w14:paraId="2085FE8F">
      <w:pPr>
        <w:widowControl w:val="0"/>
        <w:numPr>
          <w:ilvl w:val="0"/>
          <w:numId w:val="0"/>
        </w:numPr>
        <w:spacing w:line="420" w:lineRule="exact"/>
        <w:jc w:val="both"/>
        <w:rPr>
          <w:rFonts w:hint="eastAsia" w:ascii="宋体" w:hAnsi="宋体" w:cs="Times New Roman"/>
          <w:color w:val="auto"/>
          <w:sz w:val="24"/>
          <w:szCs w:val="21"/>
          <w:highlight w:val="none"/>
          <w:lang w:val="en-US" w:eastAsia="zh-CN"/>
        </w:rPr>
      </w:pPr>
    </w:p>
    <w:p w14:paraId="4A835631">
      <w:pPr>
        <w:widowControl w:val="0"/>
        <w:numPr>
          <w:ilvl w:val="0"/>
          <w:numId w:val="0"/>
        </w:numPr>
        <w:spacing w:line="420" w:lineRule="exact"/>
        <w:jc w:val="both"/>
        <w:rPr>
          <w:rFonts w:hint="eastAsia" w:ascii="宋体" w:hAnsi="宋体" w:cs="Times New Roman"/>
          <w:color w:val="auto"/>
          <w:sz w:val="24"/>
          <w:szCs w:val="21"/>
          <w:highlight w:val="none"/>
          <w:lang w:val="en-US" w:eastAsia="zh-CN"/>
        </w:rPr>
      </w:pPr>
    </w:p>
    <w:p w14:paraId="34118BF3">
      <w:pPr>
        <w:widowControl w:val="0"/>
        <w:numPr>
          <w:ilvl w:val="0"/>
          <w:numId w:val="0"/>
        </w:numPr>
        <w:spacing w:line="420" w:lineRule="exact"/>
        <w:jc w:val="both"/>
        <w:rPr>
          <w:rFonts w:hint="eastAsia" w:ascii="宋体" w:hAnsi="宋体" w:cs="Times New Roman"/>
          <w:color w:val="auto"/>
          <w:sz w:val="24"/>
          <w:szCs w:val="21"/>
          <w:highlight w:val="none"/>
          <w:lang w:val="en-US" w:eastAsia="zh-CN"/>
        </w:rPr>
      </w:pPr>
    </w:p>
    <w:p w14:paraId="6B34D6EF">
      <w:pPr>
        <w:widowControl w:val="0"/>
        <w:numPr>
          <w:ilvl w:val="0"/>
          <w:numId w:val="0"/>
        </w:numPr>
        <w:spacing w:line="420" w:lineRule="exact"/>
        <w:jc w:val="both"/>
        <w:rPr>
          <w:rFonts w:hint="eastAsia" w:ascii="宋体" w:hAnsi="宋体" w:cs="Times New Roman"/>
          <w:color w:val="auto"/>
          <w:sz w:val="24"/>
          <w:szCs w:val="21"/>
          <w:highlight w:val="none"/>
          <w:lang w:val="en-US" w:eastAsia="zh-CN"/>
        </w:rPr>
      </w:pPr>
    </w:p>
    <w:p w14:paraId="23A602DF">
      <w:pPr>
        <w:widowControl/>
        <w:jc w:val="center"/>
        <w:outlineLvl w:val="2"/>
        <w:rPr>
          <w:rFonts w:ascii="黑体" w:hAnsi="黑体" w:eastAsia="黑体" w:cs="黑体"/>
          <w:b/>
          <w:color w:val="auto"/>
          <w:kern w:val="0"/>
          <w:sz w:val="28"/>
          <w:szCs w:val="24"/>
          <w:highlight w:val="none"/>
          <w:lang w:eastAsia="en-US"/>
        </w:rPr>
      </w:pPr>
      <w:bookmarkStart w:id="177" w:name="_Toc27036"/>
      <w:r>
        <w:rPr>
          <w:rFonts w:hint="eastAsia" w:ascii="Cambria" w:hAnsi="Cambria" w:eastAsia="宋体" w:cs="Times New Roman"/>
          <w:b/>
          <w:bCs/>
          <w:color w:val="auto"/>
          <w:kern w:val="44"/>
          <w:sz w:val="28"/>
          <w:szCs w:val="28"/>
          <w:highlight w:val="none"/>
          <w:lang w:val="en-US" w:eastAsia="zh-CN" w:bidi="ar-SA"/>
        </w:rPr>
        <w:t>（二）</w:t>
      </w:r>
      <w:r>
        <w:rPr>
          <w:rFonts w:hint="eastAsia" w:ascii="Cambria" w:hAnsi="Cambria" w:eastAsia="宋体" w:cs="Times New Roman"/>
          <w:b/>
          <w:bCs/>
          <w:color w:val="auto"/>
          <w:kern w:val="44"/>
          <w:sz w:val="28"/>
          <w:szCs w:val="28"/>
          <w:highlight w:val="none"/>
          <w:lang w:val="en-US" w:eastAsia="en-US" w:bidi="ar-SA"/>
        </w:rPr>
        <w:t>项目经理简历表</w:t>
      </w:r>
      <w:bookmarkEnd w:id="177"/>
    </w:p>
    <w:p w14:paraId="2A30DEC3">
      <w:pPr>
        <w:spacing w:line="4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项目经理应附建造师执业资格证书</w:t>
      </w:r>
      <w:r>
        <w:rPr>
          <w:rFonts w:hint="eastAsia" w:ascii="宋体" w:hAnsi="宋体"/>
          <w:color w:val="auto"/>
          <w:sz w:val="24"/>
          <w:szCs w:val="21"/>
          <w:highlight w:val="none"/>
          <w:lang w:val="en-US" w:eastAsia="zh-CN"/>
        </w:rPr>
        <w:t>扫描件</w:t>
      </w:r>
      <w:r>
        <w:rPr>
          <w:rFonts w:hint="eastAsia" w:ascii="宋体" w:hAnsi="宋体"/>
          <w:color w:val="auto"/>
          <w:sz w:val="24"/>
          <w:szCs w:val="21"/>
          <w:highlight w:val="none"/>
        </w:rPr>
        <w:t>、注册证书</w:t>
      </w:r>
      <w:r>
        <w:rPr>
          <w:rFonts w:hint="eastAsia" w:ascii="宋体" w:hAnsi="宋体"/>
          <w:color w:val="auto"/>
          <w:sz w:val="24"/>
          <w:szCs w:val="21"/>
          <w:highlight w:val="none"/>
          <w:lang w:val="en-US" w:eastAsia="zh-CN"/>
        </w:rPr>
        <w:t>扫描件</w:t>
      </w:r>
      <w:r>
        <w:rPr>
          <w:rFonts w:hint="eastAsia" w:ascii="宋体" w:hAnsi="宋体"/>
          <w:color w:val="auto"/>
          <w:sz w:val="24"/>
          <w:szCs w:val="21"/>
          <w:highlight w:val="none"/>
        </w:rPr>
        <w:t>、安全生产考核合格证书</w:t>
      </w:r>
      <w:r>
        <w:rPr>
          <w:rFonts w:hint="eastAsia" w:ascii="宋体" w:hAnsi="宋体"/>
          <w:color w:val="auto"/>
          <w:sz w:val="24"/>
          <w:szCs w:val="21"/>
          <w:highlight w:val="none"/>
          <w:lang w:val="en-US" w:eastAsia="zh-CN"/>
        </w:rPr>
        <w:t>扫描件</w:t>
      </w:r>
      <w:r>
        <w:rPr>
          <w:rFonts w:hint="eastAsia" w:ascii="宋体" w:hAnsi="宋体"/>
          <w:color w:val="auto"/>
          <w:sz w:val="24"/>
          <w:szCs w:val="21"/>
          <w:highlight w:val="none"/>
        </w:rPr>
        <w:t>、身份证</w:t>
      </w:r>
      <w:r>
        <w:rPr>
          <w:rFonts w:hint="eastAsia" w:ascii="宋体" w:hAnsi="宋体"/>
          <w:color w:val="auto"/>
          <w:sz w:val="24"/>
          <w:szCs w:val="21"/>
          <w:highlight w:val="none"/>
          <w:lang w:val="en-US" w:eastAsia="zh-CN"/>
        </w:rPr>
        <w:t>扫描件</w:t>
      </w:r>
      <w:r>
        <w:rPr>
          <w:rFonts w:hint="eastAsia" w:ascii="宋体" w:hAnsi="宋体"/>
          <w:color w:val="auto"/>
          <w:sz w:val="24"/>
          <w:szCs w:val="21"/>
          <w:highlight w:val="none"/>
        </w:rPr>
        <w:t>、职称证</w:t>
      </w:r>
      <w:r>
        <w:rPr>
          <w:rFonts w:hint="eastAsia" w:ascii="宋体" w:hAnsi="宋体"/>
          <w:color w:val="auto"/>
          <w:sz w:val="24"/>
          <w:szCs w:val="21"/>
          <w:highlight w:val="none"/>
          <w:lang w:val="en-US" w:eastAsia="zh-CN"/>
        </w:rPr>
        <w:t>扫描件</w:t>
      </w:r>
      <w:r>
        <w:rPr>
          <w:rFonts w:hint="eastAsia" w:ascii="宋体" w:hAnsi="宋体"/>
          <w:color w:val="auto"/>
          <w:sz w:val="24"/>
          <w:szCs w:val="21"/>
          <w:highlight w:val="none"/>
        </w:rPr>
        <w:t>、学历证</w:t>
      </w:r>
      <w:r>
        <w:rPr>
          <w:rFonts w:hint="eastAsia" w:ascii="宋体" w:hAnsi="宋体"/>
          <w:color w:val="auto"/>
          <w:sz w:val="24"/>
          <w:szCs w:val="21"/>
          <w:highlight w:val="none"/>
          <w:lang w:val="en-US" w:eastAsia="zh-CN"/>
        </w:rPr>
        <w:t>扫描件</w:t>
      </w:r>
      <w:r>
        <w:rPr>
          <w:rFonts w:hint="eastAsia" w:ascii="宋体" w:hAnsi="宋体"/>
          <w:color w:val="auto"/>
          <w:sz w:val="24"/>
          <w:szCs w:val="21"/>
          <w:highlight w:val="none"/>
        </w:rPr>
        <w:t>、养老保险</w:t>
      </w:r>
      <w:r>
        <w:rPr>
          <w:rFonts w:hint="eastAsia" w:ascii="宋体" w:hAnsi="宋体"/>
          <w:color w:val="auto"/>
          <w:sz w:val="24"/>
          <w:szCs w:val="21"/>
          <w:highlight w:val="none"/>
          <w:lang w:val="en-US" w:eastAsia="zh-CN"/>
        </w:rPr>
        <w:t>扫描件</w:t>
      </w:r>
      <w:r>
        <w:rPr>
          <w:rFonts w:hint="eastAsia" w:ascii="宋体" w:hAnsi="宋体"/>
          <w:color w:val="auto"/>
          <w:sz w:val="24"/>
          <w:szCs w:val="21"/>
          <w:highlight w:val="none"/>
        </w:rPr>
        <w:t>，管理过的项目业绩须附合同协议书</w:t>
      </w:r>
      <w:r>
        <w:rPr>
          <w:rFonts w:hint="eastAsia" w:ascii="宋体" w:hAnsi="宋体"/>
          <w:color w:val="auto"/>
          <w:sz w:val="24"/>
          <w:szCs w:val="21"/>
          <w:highlight w:val="none"/>
          <w:lang w:val="en-US" w:eastAsia="zh-CN"/>
        </w:rPr>
        <w:t>扫描件</w:t>
      </w:r>
      <w:r>
        <w:rPr>
          <w:rFonts w:hint="eastAsia" w:ascii="宋体" w:hAnsi="宋体"/>
          <w:color w:val="auto"/>
          <w:sz w:val="24"/>
          <w:szCs w:val="21"/>
          <w:highlight w:val="none"/>
          <w:lang w:eastAsia="zh-CN"/>
        </w:rPr>
        <w:t>，</w:t>
      </w:r>
      <w:r>
        <w:rPr>
          <w:rFonts w:hint="eastAsia" w:ascii="宋体" w:hAnsi="宋体"/>
          <w:color w:val="auto"/>
          <w:sz w:val="24"/>
          <w:szCs w:val="21"/>
          <w:highlight w:val="none"/>
        </w:rPr>
        <w:t>类似项目限于以项目经理身份参与的项目</w:t>
      </w:r>
      <w:r>
        <w:rPr>
          <w:rFonts w:hint="eastAsia" w:ascii="宋体" w:hAnsi="宋体"/>
          <w:color w:val="auto"/>
          <w:sz w:val="24"/>
          <w:szCs w:val="21"/>
          <w:highlight w:val="none"/>
          <w:lang w:val="en-US" w:eastAsia="zh-CN"/>
        </w:rPr>
        <w:t>（若有）</w:t>
      </w:r>
      <w:r>
        <w:rPr>
          <w:rFonts w:hint="eastAsia" w:ascii="宋体" w:hAnsi="宋体"/>
          <w:color w:val="auto"/>
          <w:sz w:val="24"/>
          <w:szCs w:val="21"/>
          <w:highlight w:val="none"/>
        </w:rPr>
        <w:t>。</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57"/>
        <w:gridCol w:w="1035"/>
        <w:gridCol w:w="627"/>
        <w:gridCol w:w="507"/>
        <w:gridCol w:w="768"/>
        <w:gridCol w:w="507"/>
        <w:gridCol w:w="1739"/>
        <w:gridCol w:w="2230"/>
      </w:tblGrid>
      <w:tr w14:paraId="377E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599" w:type="dxa"/>
            <w:gridSpan w:val="2"/>
            <w:noWrap w:val="0"/>
            <w:vAlign w:val="center"/>
          </w:tcPr>
          <w:p w14:paraId="34B54833">
            <w:pPr>
              <w:widowControl w:val="0"/>
              <w:jc w:val="center"/>
              <w:rPr>
                <w:rFonts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姓  名</w:t>
            </w:r>
          </w:p>
        </w:tc>
        <w:tc>
          <w:tcPr>
            <w:tcW w:w="1035" w:type="dxa"/>
            <w:noWrap w:val="0"/>
            <w:vAlign w:val="center"/>
          </w:tcPr>
          <w:p w14:paraId="0A584D49">
            <w:pPr>
              <w:widowControl w:val="0"/>
              <w:jc w:val="center"/>
              <w:rPr>
                <w:rFonts w:ascii="宋体" w:hAnsi="宋体" w:eastAsia="宋体"/>
                <w:color w:val="auto"/>
                <w:kern w:val="2"/>
                <w:sz w:val="24"/>
                <w:szCs w:val="24"/>
                <w:highlight w:val="none"/>
                <w:lang w:val="en-US" w:eastAsia="zh-CN" w:bidi="ar-SA"/>
              </w:rPr>
            </w:pPr>
          </w:p>
        </w:tc>
        <w:tc>
          <w:tcPr>
            <w:tcW w:w="1134" w:type="dxa"/>
            <w:gridSpan w:val="2"/>
            <w:noWrap w:val="0"/>
            <w:vAlign w:val="center"/>
          </w:tcPr>
          <w:p w14:paraId="7FCAC5A6">
            <w:pPr>
              <w:widowControl w:val="0"/>
              <w:jc w:val="center"/>
              <w:rPr>
                <w:rFonts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年  龄</w:t>
            </w:r>
          </w:p>
        </w:tc>
        <w:tc>
          <w:tcPr>
            <w:tcW w:w="1275" w:type="dxa"/>
            <w:gridSpan w:val="2"/>
            <w:noWrap w:val="0"/>
            <w:vAlign w:val="center"/>
          </w:tcPr>
          <w:p w14:paraId="716E5F1F">
            <w:pPr>
              <w:widowControl w:val="0"/>
              <w:jc w:val="center"/>
              <w:rPr>
                <w:rFonts w:ascii="宋体" w:hAnsi="宋体" w:eastAsia="宋体"/>
                <w:color w:val="auto"/>
                <w:kern w:val="2"/>
                <w:sz w:val="24"/>
                <w:szCs w:val="24"/>
                <w:highlight w:val="none"/>
                <w:lang w:val="en-US" w:eastAsia="zh-CN" w:bidi="ar-SA"/>
              </w:rPr>
            </w:pPr>
          </w:p>
        </w:tc>
        <w:tc>
          <w:tcPr>
            <w:tcW w:w="1739" w:type="dxa"/>
            <w:noWrap w:val="0"/>
            <w:vAlign w:val="center"/>
          </w:tcPr>
          <w:p w14:paraId="7FD350D7">
            <w:pPr>
              <w:widowControl w:val="0"/>
              <w:jc w:val="center"/>
              <w:rPr>
                <w:rFonts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学历</w:t>
            </w:r>
          </w:p>
        </w:tc>
        <w:tc>
          <w:tcPr>
            <w:tcW w:w="2230" w:type="dxa"/>
            <w:noWrap w:val="0"/>
            <w:vAlign w:val="center"/>
          </w:tcPr>
          <w:p w14:paraId="151269FB">
            <w:pPr>
              <w:widowControl w:val="0"/>
              <w:jc w:val="center"/>
              <w:rPr>
                <w:rFonts w:ascii="宋体" w:hAnsi="宋体" w:eastAsia="宋体"/>
                <w:color w:val="auto"/>
                <w:kern w:val="2"/>
                <w:sz w:val="24"/>
                <w:szCs w:val="24"/>
                <w:highlight w:val="none"/>
                <w:lang w:val="en-US" w:eastAsia="zh-CN" w:bidi="ar-SA"/>
              </w:rPr>
            </w:pPr>
          </w:p>
        </w:tc>
      </w:tr>
      <w:tr w14:paraId="7F479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99" w:type="dxa"/>
            <w:gridSpan w:val="2"/>
            <w:noWrap w:val="0"/>
            <w:vAlign w:val="center"/>
          </w:tcPr>
          <w:p w14:paraId="516A93B8">
            <w:pPr>
              <w:widowControl w:val="0"/>
              <w:jc w:val="center"/>
              <w:rPr>
                <w:rFonts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职  称</w:t>
            </w:r>
          </w:p>
        </w:tc>
        <w:tc>
          <w:tcPr>
            <w:tcW w:w="1035" w:type="dxa"/>
            <w:noWrap w:val="0"/>
            <w:vAlign w:val="center"/>
          </w:tcPr>
          <w:p w14:paraId="39347C6C">
            <w:pPr>
              <w:widowControl w:val="0"/>
              <w:jc w:val="center"/>
              <w:rPr>
                <w:rFonts w:ascii="宋体" w:hAnsi="宋体" w:eastAsia="宋体"/>
                <w:color w:val="auto"/>
                <w:kern w:val="2"/>
                <w:sz w:val="24"/>
                <w:szCs w:val="24"/>
                <w:highlight w:val="none"/>
                <w:lang w:val="en-US" w:eastAsia="zh-CN" w:bidi="ar-SA"/>
              </w:rPr>
            </w:pPr>
          </w:p>
        </w:tc>
        <w:tc>
          <w:tcPr>
            <w:tcW w:w="1134" w:type="dxa"/>
            <w:gridSpan w:val="2"/>
            <w:noWrap w:val="0"/>
            <w:vAlign w:val="center"/>
          </w:tcPr>
          <w:p w14:paraId="2B27DDAC">
            <w:pPr>
              <w:widowControl w:val="0"/>
              <w:jc w:val="center"/>
              <w:rPr>
                <w:rFonts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职  务</w:t>
            </w:r>
          </w:p>
        </w:tc>
        <w:tc>
          <w:tcPr>
            <w:tcW w:w="1275" w:type="dxa"/>
            <w:gridSpan w:val="2"/>
            <w:noWrap w:val="0"/>
            <w:vAlign w:val="center"/>
          </w:tcPr>
          <w:p w14:paraId="001D7DB1">
            <w:pPr>
              <w:widowControl w:val="0"/>
              <w:jc w:val="center"/>
              <w:rPr>
                <w:rFonts w:ascii="宋体" w:hAnsi="宋体" w:eastAsia="宋体"/>
                <w:color w:val="auto"/>
                <w:kern w:val="2"/>
                <w:sz w:val="24"/>
                <w:szCs w:val="24"/>
                <w:highlight w:val="none"/>
                <w:lang w:val="en-US" w:eastAsia="zh-CN" w:bidi="ar-SA"/>
              </w:rPr>
            </w:pPr>
          </w:p>
        </w:tc>
        <w:tc>
          <w:tcPr>
            <w:tcW w:w="1739" w:type="dxa"/>
            <w:noWrap w:val="0"/>
            <w:vAlign w:val="center"/>
          </w:tcPr>
          <w:p w14:paraId="1B9F772A">
            <w:pPr>
              <w:widowControl w:val="0"/>
              <w:jc w:val="center"/>
              <w:rPr>
                <w:rFonts w:hint="eastAsia"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拟在本工程</w:t>
            </w:r>
          </w:p>
          <w:p w14:paraId="234E0DFD">
            <w:pPr>
              <w:widowControl w:val="0"/>
              <w:jc w:val="center"/>
              <w:rPr>
                <w:rFonts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任职</w:t>
            </w:r>
          </w:p>
        </w:tc>
        <w:tc>
          <w:tcPr>
            <w:tcW w:w="2230" w:type="dxa"/>
            <w:noWrap w:val="0"/>
            <w:vAlign w:val="center"/>
          </w:tcPr>
          <w:p w14:paraId="2C429A7D">
            <w:pPr>
              <w:widowControl w:val="0"/>
              <w:jc w:val="center"/>
              <w:rPr>
                <w:rFonts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项目经理</w:t>
            </w:r>
          </w:p>
        </w:tc>
      </w:tr>
      <w:tr w14:paraId="48BE4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261" w:type="dxa"/>
            <w:gridSpan w:val="4"/>
            <w:noWrap w:val="0"/>
            <w:vAlign w:val="center"/>
          </w:tcPr>
          <w:p w14:paraId="33A9CE90">
            <w:pPr>
              <w:widowControl w:val="0"/>
              <w:jc w:val="center"/>
              <w:rPr>
                <w:rFonts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注册建造师执业资格等级</w:t>
            </w:r>
          </w:p>
        </w:tc>
        <w:tc>
          <w:tcPr>
            <w:tcW w:w="1782" w:type="dxa"/>
            <w:gridSpan w:val="3"/>
            <w:noWrap w:val="0"/>
            <w:vAlign w:val="center"/>
          </w:tcPr>
          <w:p w14:paraId="795EA6C6">
            <w:pPr>
              <w:widowControl w:val="0"/>
              <w:jc w:val="center"/>
              <w:rPr>
                <w:rFonts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 xml:space="preserve">       级</w:t>
            </w:r>
          </w:p>
        </w:tc>
        <w:tc>
          <w:tcPr>
            <w:tcW w:w="1739" w:type="dxa"/>
            <w:noWrap w:val="0"/>
            <w:vAlign w:val="center"/>
          </w:tcPr>
          <w:p w14:paraId="4F77FB68">
            <w:pPr>
              <w:widowControl w:val="0"/>
              <w:jc w:val="center"/>
              <w:rPr>
                <w:rFonts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建造师专业</w:t>
            </w:r>
          </w:p>
        </w:tc>
        <w:tc>
          <w:tcPr>
            <w:tcW w:w="2230" w:type="dxa"/>
            <w:noWrap w:val="0"/>
            <w:vAlign w:val="center"/>
          </w:tcPr>
          <w:p w14:paraId="7897145D">
            <w:pPr>
              <w:widowControl w:val="0"/>
              <w:jc w:val="center"/>
              <w:rPr>
                <w:rFonts w:ascii="宋体" w:hAnsi="宋体" w:eastAsia="宋体"/>
                <w:color w:val="auto"/>
                <w:kern w:val="2"/>
                <w:sz w:val="24"/>
                <w:szCs w:val="24"/>
                <w:highlight w:val="none"/>
                <w:lang w:val="en-US" w:eastAsia="zh-CN" w:bidi="ar-SA"/>
              </w:rPr>
            </w:pPr>
          </w:p>
        </w:tc>
      </w:tr>
      <w:tr w14:paraId="22D6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261" w:type="dxa"/>
            <w:gridSpan w:val="4"/>
            <w:noWrap w:val="0"/>
            <w:vAlign w:val="center"/>
          </w:tcPr>
          <w:p w14:paraId="78336846">
            <w:pPr>
              <w:widowControl w:val="0"/>
              <w:jc w:val="center"/>
              <w:rPr>
                <w:rFonts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安全生产考核合格证书</w:t>
            </w:r>
          </w:p>
        </w:tc>
        <w:tc>
          <w:tcPr>
            <w:tcW w:w="5751" w:type="dxa"/>
            <w:gridSpan w:val="5"/>
            <w:noWrap w:val="0"/>
            <w:vAlign w:val="center"/>
          </w:tcPr>
          <w:p w14:paraId="53094A92">
            <w:pPr>
              <w:widowControl w:val="0"/>
              <w:jc w:val="center"/>
              <w:rPr>
                <w:rFonts w:ascii="宋体" w:hAnsi="宋体" w:eastAsia="宋体"/>
                <w:color w:val="auto"/>
                <w:kern w:val="2"/>
                <w:sz w:val="24"/>
                <w:szCs w:val="24"/>
                <w:highlight w:val="none"/>
                <w:lang w:val="en-US" w:eastAsia="zh-CN" w:bidi="ar-SA"/>
              </w:rPr>
            </w:pPr>
          </w:p>
        </w:tc>
      </w:tr>
      <w:tr w14:paraId="0097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42" w:type="dxa"/>
            <w:noWrap w:val="0"/>
            <w:vAlign w:val="center"/>
          </w:tcPr>
          <w:p w14:paraId="0CCAC292">
            <w:pPr>
              <w:widowControl w:val="0"/>
              <w:jc w:val="center"/>
              <w:rPr>
                <w:rFonts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毕业学校</w:t>
            </w:r>
          </w:p>
        </w:tc>
        <w:tc>
          <w:tcPr>
            <w:tcW w:w="7470" w:type="dxa"/>
            <w:gridSpan w:val="8"/>
            <w:noWrap w:val="0"/>
            <w:vAlign w:val="center"/>
          </w:tcPr>
          <w:p w14:paraId="365A6E0B">
            <w:pPr>
              <w:widowControl w:val="0"/>
              <w:jc w:val="center"/>
              <w:rPr>
                <w:rFonts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年毕业于                  学校            专业</w:t>
            </w:r>
          </w:p>
        </w:tc>
      </w:tr>
      <w:tr w14:paraId="11B4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012" w:type="dxa"/>
            <w:gridSpan w:val="9"/>
            <w:noWrap w:val="0"/>
            <w:vAlign w:val="center"/>
          </w:tcPr>
          <w:p w14:paraId="31053E5D">
            <w:pPr>
              <w:widowControl w:val="0"/>
              <w:jc w:val="center"/>
              <w:rPr>
                <w:rFonts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主要工作经历</w:t>
            </w:r>
          </w:p>
        </w:tc>
      </w:tr>
      <w:tr w14:paraId="0D38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2" w:type="dxa"/>
            <w:noWrap w:val="0"/>
            <w:vAlign w:val="center"/>
          </w:tcPr>
          <w:p w14:paraId="28D5F1F4">
            <w:pPr>
              <w:widowControl w:val="0"/>
              <w:jc w:val="center"/>
              <w:rPr>
                <w:rFonts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时  间</w:t>
            </w:r>
          </w:p>
        </w:tc>
        <w:tc>
          <w:tcPr>
            <w:tcW w:w="2994" w:type="dxa"/>
            <w:gridSpan w:val="5"/>
            <w:noWrap w:val="0"/>
            <w:vAlign w:val="center"/>
          </w:tcPr>
          <w:p w14:paraId="26AAB378">
            <w:pPr>
              <w:widowControl w:val="0"/>
              <w:jc w:val="center"/>
              <w:rPr>
                <w:rFonts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参加过的类似项目名称</w:t>
            </w:r>
          </w:p>
        </w:tc>
        <w:tc>
          <w:tcPr>
            <w:tcW w:w="2246" w:type="dxa"/>
            <w:gridSpan w:val="2"/>
            <w:noWrap w:val="0"/>
            <w:vAlign w:val="center"/>
          </w:tcPr>
          <w:p w14:paraId="48A5E25E">
            <w:pPr>
              <w:widowControl w:val="0"/>
              <w:jc w:val="center"/>
              <w:rPr>
                <w:rFonts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工程概况说明</w:t>
            </w:r>
          </w:p>
        </w:tc>
        <w:tc>
          <w:tcPr>
            <w:tcW w:w="2230" w:type="dxa"/>
            <w:noWrap w:val="0"/>
            <w:vAlign w:val="center"/>
          </w:tcPr>
          <w:p w14:paraId="07EA1B9E">
            <w:pPr>
              <w:widowControl w:val="0"/>
              <w:jc w:val="center"/>
              <w:rPr>
                <w:rFonts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发包人及联系电话</w:t>
            </w:r>
          </w:p>
        </w:tc>
      </w:tr>
      <w:tr w14:paraId="1B09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noWrap w:val="0"/>
            <w:vAlign w:val="center"/>
          </w:tcPr>
          <w:p w14:paraId="38C0E86D">
            <w:pPr>
              <w:widowControl w:val="0"/>
              <w:jc w:val="center"/>
              <w:rPr>
                <w:rFonts w:ascii="宋体" w:hAnsi="宋体" w:eastAsia="宋体"/>
                <w:color w:val="auto"/>
                <w:kern w:val="2"/>
                <w:sz w:val="24"/>
                <w:szCs w:val="24"/>
                <w:highlight w:val="none"/>
                <w:lang w:val="en-US" w:eastAsia="zh-CN" w:bidi="ar-SA"/>
              </w:rPr>
            </w:pPr>
          </w:p>
        </w:tc>
        <w:tc>
          <w:tcPr>
            <w:tcW w:w="2994" w:type="dxa"/>
            <w:gridSpan w:val="5"/>
            <w:noWrap w:val="0"/>
            <w:vAlign w:val="center"/>
          </w:tcPr>
          <w:p w14:paraId="59DA0B79">
            <w:pPr>
              <w:widowControl w:val="0"/>
              <w:jc w:val="center"/>
              <w:rPr>
                <w:rFonts w:ascii="宋体" w:hAnsi="宋体" w:eastAsia="宋体"/>
                <w:color w:val="auto"/>
                <w:kern w:val="2"/>
                <w:sz w:val="24"/>
                <w:szCs w:val="24"/>
                <w:highlight w:val="none"/>
                <w:lang w:val="en-US" w:eastAsia="zh-CN" w:bidi="ar-SA"/>
              </w:rPr>
            </w:pPr>
          </w:p>
        </w:tc>
        <w:tc>
          <w:tcPr>
            <w:tcW w:w="2246" w:type="dxa"/>
            <w:gridSpan w:val="2"/>
            <w:noWrap w:val="0"/>
            <w:vAlign w:val="center"/>
          </w:tcPr>
          <w:p w14:paraId="14BF055E">
            <w:pPr>
              <w:widowControl w:val="0"/>
              <w:jc w:val="center"/>
              <w:rPr>
                <w:rFonts w:ascii="宋体" w:hAnsi="宋体" w:eastAsia="宋体"/>
                <w:color w:val="auto"/>
                <w:kern w:val="2"/>
                <w:sz w:val="24"/>
                <w:szCs w:val="24"/>
                <w:highlight w:val="none"/>
                <w:lang w:val="en-US" w:eastAsia="zh-CN" w:bidi="ar-SA"/>
              </w:rPr>
            </w:pPr>
          </w:p>
        </w:tc>
        <w:tc>
          <w:tcPr>
            <w:tcW w:w="2230" w:type="dxa"/>
            <w:noWrap w:val="0"/>
            <w:vAlign w:val="center"/>
          </w:tcPr>
          <w:p w14:paraId="644BF9CD">
            <w:pPr>
              <w:widowControl w:val="0"/>
              <w:jc w:val="center"/>
              <w:rPr>
                <w:rFonts w:ascii="宋体" w:hAnsi="宋体" w:eastAsia="宋体"/>
                <w:color w:val="auto"/>
                <w:kern w:val="2"/>
                <w:sz w:val="24"/>
                <w:szCs w:val="24"/>
                <w:highlight w:val="none"/>
                <w:lang w:val="en-US" w:eastAsia="zh-CN" w:bidi="ar-SA"/>
              </w:rPr>
            </w:pPr>
          </w:p>
        </w:tc>
      </w:tr>
      <w:tr w14:paraId="03C1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noWrap w:val="0"/>
            <w:vAlign w:val="center"/>
          </w:tcPr>
          <w:p w14:paraId="3EF8E67B">
            <w:pPr>
              <w:widowControl w:val="0"/>
              <w:jc w:val="center"/>
              <w:rPr>
                <w:rFonts w:ascii="宋体" w:hAnsi="宋体" w:eastAsia="宋体"/>
                <w:color w:val="auto"/>
                <w:kern w:val="2"/>
                <w:sz w:val="24"/>
                <w:szCs w:val="24"/>
                <w:highlight w:val="none"/>
                <w:lang w:val="en-US" w:eastAsia="zh-CN" w:bidi="ar-SA"/>
              </w:rPr>
            </w:pPr>
          </w:p>
        </w:tc>
        <w:tc>
          <w:tcPr>
            <w:tcW w:w="2994" w:type="dxa"/>
            <w:gridSpan w:val="5"/>
            <w:noWrap w:val="0"/>
            <w:vAlign w:val="center"/>
          </w:tcPr>
          <w:p w14:paraId="40C65868">
            <w:pPr>
              <w:widowControl w:val="0"/>
              <w:jc w:val="center"/>
              <w:rPr>
                <w:rFonts w:ascii="宋体" w:hAnsi="宋体" w:eastAsia="宋体"/>
                <w:color w:val="auto"/>
                <w:kern w:val="2"/>
                <w:sz w:val="24"/>
                <w:szCs w:val="24"/>
                <w:highlight w:val="none"/>
                <w:lang w:val="en-US" w:eastAsia="zh-CN" w:bidi="ar-SA"/>
              </w:rPr>
            </w:pPr>
          </w:p>
        </w:tc>
        <w:tc>
          <w:tcPr>
            <w:tcW w:w="2246" w:type="dxa"/>
            <w:gridSpan w:val="2"/>
            <w:noWrap w:val="0"/>
            <w:vAlign w:val="center"/>
          </w:tcPr>
          <w:p w14:paraId="0F1B3D3F">
            <w:pPr>
              <w:widowControl w:val="0"/>
              <w:jc w:val="center"/>
              <w:rPr>
                <w:rFonts w:ascii="宋体" w:hAnsi="宋体" w:eastAsia="宋体"/>
                <w:color w:val="auto"/>
                <w:kern w:val="2"/>
                <w:sz w:val="24"/>
                <w:szCs w:val="24"/>
                <w:highlight w:val="none"/>
                <w:lang w:val="en-US" w:eastAsia="zh-CN" w:bidi="ar-SA"/>
              </w:rPr>
            </w:pPr>
          </w:p>
        </w:tc>
        <w:tc>
          <w:tcPr>
            <w:tcW w:w="2230" w:type="dxa"/>
            <w:noWrap w:val="0"/>
            <w:vAlign w:val="center"/>
          </w:tcPr>
          <w:p w14:paraId="1C8464EE">
            <w:pPr>
              <w:widowControl w:val="0"/>
              <w:jc w:val="center"/>
              <w:rPr>
                <w:rFonts w:ascii="宋体" w:hAnsi="宋体" w:eastAsia="宋体"/>
                <w:color w:val="auto"/>
                <w:kern w:val="2"/>
                <w:sz w:val="24"/>
                <w:szCs w:val="24"/>
                <w:highlight w:val="none"/>
                <w:lang w:val="en-US" w:eastAsia="zh-CN" w:bidi="ar-SA"/>
              </w:rPr>
            </w:pPr>
          </w:p>
        </w:tc>
      </w:tr>
      <w:tr w14:paraId="08C6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noWrap w:val="0"/>
            <w:vAlign w:val="center"/>
          </w:tcPr>
          <w:p w14:paraId="4DE23C09">
            <w:pPr>
              <w:widowControl w:val="0"/>
              <w:jc w:val="center"/>
              <w:rPr>
                <w:rFonts w:ascii="宋体" w:hAnsi="宋体" w:eastAsia="宋体"/>
                <w:color w:val="auto"/>
                <w:kern w:val="2"/>
                <w:sz w:val="24"/>
                <w:szCs w:val="24"/>
                <w:highlight w:val="none"/>
                <w:lang w:val="en-US" w:eastAsia="zh-CN" w:bidi="ar-SA"/>
              </w:rPr>
            </w:pPr>
          </w:p>
        </w:tc>
        <w:tc>
          <w:tcPr>
            <w:tcW w:w="2994" w:type="dxa"/>
            <w:gridSpan w:val="5"/>
            <w:noWrap w:val="0"/>
            <w:vAlign w:val="center"/>
          </w:tcPr>
          <w:p w14:paraId="27C1B614">
            <w:pPr>
              <w:widowControl w:val="0"/>
              <w:jc w:val="center"/>
              <w:rPr>
                <w:rFonts w:ascii="宋体" w:hAnsi="宋体" w:eastAsia="宋体"/>
                <w:color w:val="auto"/>
                <w:kern w:val="2"/>
                <w:sz w:val="24"/>
                <w:szCs w:val="24"/>
                <w:highlight w:val="none"/>
                <w:lang w:val="en-US" w:eastAsia="zh-CN" w:bidi="ar-SA"/>
              </w:rPr>
            </w:pPr>
          </w:p>
        </w:tc>
        <w:tc>
          <w:tcPr>
            <w:tcW w:w="2246" w:type="dxa"/>
            <w:gridSpan w:val="2"/>
            <w:noWrap w:val="0"/>
            <w:vAlign w:val="center"/>
          </w:tcPr>
          <w:p w14:paraId="276BB079">
            <w:pPr>
              <w:widowControl w:val="0"/>
              <w:jc w:val="center"/>
              <w:rPr>
                <w:rFonts w:ascii="宋体" w:hAnsi="宋体" w:eastAsia="宋体"/>
                <w:color w:val="auto"/>
                <w:kern w:val="2"/>
                <w:sz w:val="24"/>
                <w:szCs w:val="24"/>
                <w:highlight w:val="none"/>
                <w:lang w:val="en-US" w:eastAsia="zh-CN" w:bidi="ar-SA"/>
              </w:rPr>
            </w:pPr>
          </w:p>
        </w:tc>
        <w:tc>
          <w:tcPr>
            <w:tcW w:w="2230" w:type="dxa"/>
            <w:noWrap w:val="0"/>
            <w:vAlign w:val="center"/>
          </w:tcPr>
          <w:p w14:paraId="5146FFD6">
            <w:pPr>
              <w:widowControl w:val="0"/>
              <w:jc w:val="center"/>
              <w:rPr>
                <w:rFonts w:ascii="宋体" w:hAnsi="宋体" w:eastAsia="宋体"/>
                <w:color w:val="auto"/>
                <w:kern w:val="2"/>
                <w:sz w:val="24"/>
                <w:szCs w:val="24"/>
                <w:highlight w:val="none"/>
                <w:lang w:val="en-US" w:eastAsia="zh-CN" w:bidi="ar-SA"/>
              </w:rPr>
            </w:pPr>
          </w:p>
        </w:tc>
      </w:tr>
      <w:tr w14:paraId="3804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noWrap w:val="0"/>
            <w:vAlign w:val="center"/>
          </w:tcPr>
          <w:p w14:paraId="2A2D480D">
            <w:pPr>
              <w:widowControl w:val="0"/>
              <w:jc w:val="center"/>
              <w:rPr>
                <w:rFonts w:ascii="宋体" w:hAnsi="宋体" w:eastAsia="宋体"/>
                <w:color w:val="auto"/>
                <w:kern w:val="2"/>
                <w:sz w:val="24"/>
                <w:szCs w:val="24"/>
                <w:highlight w:val="none"/>
                <w:lang w:val="en-US" w:eastAsia="zh-CN" w:bidi="ar-SA"/>
              </w:rPr>
            </w:pPr>
          </w:p>
        </w:tc>
        <w:tc>
          <w:tcPr>
            <w:tcW w:w="2994" w:type="dxa"/>
            <w:gridSpan w:val="5"/>
            <w:noWrap w:val="0"/>
            <w:vAlign w:val="center"/>
          </w:tcPr>
          <w:p w14:paraId="5A4E55E6">
            <w:pPr>
              <w:widowControl w:val="0"/>
              <w:jc w:val="center"/>
              <w:rPr>
                <w:rFonts w:ascii="宋体" w:hAnsi="宋体" w:eastAsia="宋体"/>
                <w:color w:val="auto"/>
                <w:kern w:val="2"/>
                <w:sz w:val="24"/>
                <w:szCs w:val="24"/>
                <w:highlight w:val="none"/>
                <w:lang w:val="en-US" w:eastAsia="zh-CN" w:bidi="ar-SA"/>
              </w:rPr>
            </w:pPr>
          </w:p>
        </w:tc>
        <w:tc>
          <w:tcPr>
            <w:tcW w:w="2246" w:type="dxa"/>
            <w:gridSpan w:val="2"/>
            <w:noWrap w:val="0"/>
            <w:vAlign w:val="center"/>
          </w:tcPr>
          <w:p w14:paraId="192A3760">
            <w:pPr>
              <w:widowControl w:val="0"/>
              <w:jc w:val="center"/>
              <w:rPr>
                <w:rFonts w:ascii="宋体" w:hAnsi="宋体" w:eastAsia="宋体"/>
                <w:color w:val="auto"/>
                <w:kern w:val="2"/>
                <w:sz w:val="24"/>
                <w:szCs w:val="24"/>
                <w:highlight w:val="none"/>
                <w:lang w:val="en-US" w:eastAsia="zh-CN" w:bidi="ar-SA"/>
              </w:rPr>
            </w:pPr>
          </w:p>
        </w:tc>
        <w:tc>
          <w:tcPr>
            <w:tcW w:w="2230" w:type="dxa"/>
            <w:noWrap w:val="0"/>
            <w:vAlign w:val="center"/>
          </w:tcPr>
          <w:p w14:paraId="2D4CDB4D">
            <w:pPr>
              <w:widowControl w:val="0"/>
              <w:jc w:val="center"/>
              <w:rPr>
                <w:rFonts w:ascii="宋体" w:hAnsi="宋体" w:eastAsia="宋体"/>
                <w:color w:val="auto"/>
                <w:kern w:val="2"/>
                <w:sz w:val="24"/>
                <w:szCs w:val="24"/>
                <w:highlight w:val="none"/>
                <w:lang w:val="en-US" w:eastAsia="zh-CN" w:bidi="ar-SA"/>
              </w:rPr>
            </w:pPr>
          </w:p>
        </w:tc>
      </w:tr>
      <w:tr w14:paraId="4F59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noWrap w:val="0"/>
            <w:vAlign w:val="center"/>
          </w:tcPr>
          <w:p w14:paraId="333E455E">
            <w:pPr>
              <w:widowControl w:val="0"/>
              <w:jc w:val="center"/>
              <w:rPr>
                <w:rFonts w:ascii="宋体" w:hAnsi="宋体" w:eastAsia="宋体"/>
                <w:color w:val="auto"/>
                <w:kern w:val="2"/>
                <w:sz w:val="21"/>
                <w:szCs w:val="21"/>
                <w:highlight w:val="none"/>
                <w:lang w:val="en-US" w:eastAsia="zh-CN" w:bidi="ar-SA"/>
              </w:rPr>
            </w:pPr>
          </w:p>
        </w:tc>
        <w:tc>
          <w:tcPr>
            <w:tcW w:w="2994" w:type="dxa"/>
            <w:gridSpan w:val="5"/>
            <w:noWrap w:val="0"/>
            <w:vAlign w:val="center"/>
          </w:tcPr>
          <w:p w14:paraId="125AD692">
            <w:pPr>
              <w:widowControl w:val="0"/>
              <w:jc w:val="center"/>
              <w:rPr>
                <w:rFonts w:ascii="宋体" w:hAnsi="宋体" w:eastAsia="宋体"/>
                <w:color w:val="auto"/>
                <w:kern w:val="2"/>
                <w:sz w:val="21"/>
                <w:szCs w:val="21"/>
                <w:highlight w:val="none"/>
                <w:lang w:val="en-US" w:eastAsia="zh-CN" w:bidi="ar-SA"/>
              </w:rPr>
            </w:pPr>
          </w:p>
        </w:tc>
        <w:tc>
          <w:tcPr>
            <w:tcW w:w="2246" w:type="dxa"/>
            <w:gridSpan w:val="2"/>
            <w:noWrap w:val="0"/>
            <w:vAlign w:val="center"/>
          </w:tcPr>
          <w:p w14:paraId="3428BA46">
            <w:pPr>
              <w:widowControl w:val="0"/>
              <w:jc w:val="center"/>
              <w:rPr>
                <w:rFonts w:ascii="宋体" w:hAnsi="宋体" w:eastAsia="宋体"/>
                <w:color w:val="auto"/>
                <w:kern w:val="2"/>
                <w:sz w:val="21"/>
                <w:szCs w:val="21"/>
                <w:highlight w:val="none"/>
                <w:lang w:val="en-US" w:eastAsia="zh-CN" w:bidi="ar-SA"/>
              </w:rPr>
            </w:pPr>
          </w:p>
        </w:tc>
        <w:tc>
          <w:tcPr>
            <w:tcW w:w="2230" w:type="dxa"/>
            <w:noWrap w:val="0"/>
            <w:vAlign w:val="center"/>
          </w:tcPr>
          <w:p w14:paraId="594F1DCB">
            <w:pPr>
              <w:widowControl w:val="0"/>
              <w:jc w:val="center"/>
              <w:rPr>
                <w:rFonts w:ascii="宋体" w:hAnsi="宋体" w:eastAsia="宋体"/>
                <w:color w:val="auto"/>
                <w:kern w:val="2"/>
                <w:sz w:val="21"/>
                <w:szCs w:val="21"/>
                <w:highlight w:val="none"/>
                <w:lang w:val="en-US" w:eastAsia="zh-CN" w:bidi="ar-SA"/>
              </w:rPr>
            </w:pPr>
          </w:p>
        </w:tc>
      </w:tr>
      <w:tr w14:paraId="2F89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noWrap w:val="0"/>
            <w:vAlign w:val="center"/>
          </w:tcPr>
          <w:p w14:paraId="00EDC68F">
            <w:pPr>
              <w:widowControl w:val="0"/>
              <w:jc w:val="center"/>
              <w:rPr>
                <w:rFonts w:ascii="宋体" w:hAnsi="宋体" w:eastAsia="宋体"/>
                <w:color w:val="auto"/>
                <w:kern w:val="2"/>
                <w:sz w:val="21"/>
                <w:szCs w:val="21"/>
                <w:highlight w:val="none"/>
                <w:lang w:val="en-US" w:eastAsia="zh-CN" w:bidi="ar-SA"/>
              </w:rPr>
            </w:pPr>
          </w:p>
        </w:tc>
        <w:tc>
          <w:tcPr>
            <w:tcW w:w="2994" w:type="dxa"/>
            <w:gridSpan w:val="5"/>
            <w:noWrap w:val="0"/>
            <w:vAlign w:val="center"/>
          </w:tcPr>
          <w:p w14:paraId="59C571CB">
            <w:pPr>
              <w:widowControl w:val="0"/>
              <w:jc w:val="center"/>
              <w:rPr>
                <w:rFonts w:ascii="宋体" w:hAnsi="宋体" w:eastAsia="宋体"/>
                <w:color w:val="auto"/>
                <w:kern w:val="2"/>
                <w:sz w:val="21"/>
                <w:szCs w:val="21"/>
                <w:highlight w:val="none"/>
                <w:lang w:val="en-US" w:eastAsia="zh-CN" w:bidi="ar-SA"/>
              </w:rPr>
            </w:pPr>
          </w:p>
        </w:tc>
        <w:tc>
          <w:tcPr>
            <w:tcW w:w="2246" w:type="dxa"/>
            <w:gridSpan w:val="2"/>
            <w:noWrap w:val="0"/>
            <w:vAlign w:val="center"/>
          </w:tcPr>
          <w:p w14:paraId="4F53C9F0">
            <w:pPr>
              <w:widowControl w:val="0"/>
              <w:jc w:val="center"/>
              <w:rPr>
                <w:rFonts w:ascii="宋体" w:hAnsi="宋体" w:eastAsia="宋体"/>
                <w:color w:val="auto"/>
                <w:kern w:val="2"/>
                <w:sz w:val="21"/>
                <w:szCs w:val="21"/>
                <w:highlight w:val="none"/>
                <w:lang w:val="en-US" w:eastAsia="zh-CN" w:bidi="ar-SA"/>
              </w:rPr>
            </w:pPr>
          </w:p>
        </w:tc>
        <w:tc>
          <w:tcPr>
            <w:tcW w:w="2230" w:type="dxa"/>
            <w:noWrap w:val="0"/>
            <w:vAlign w:val="center"/>
          </w:tcPr>
          <w:p w14:paraId="3858B740">
            <w:pPr>
              <w:widowControl w:val="0"/>
              <w:jc w:val="center"/>
              <w:rPr>
                <w:rFonts w:ascii="宋体" w:hAnsi="宋体" w:eastAsia="宋体"/>
                <w:color w:val="auto"/>
                <w:kern w:val="2"/>
                <w:sz w:val="21"/>
                <w:szCs w:val="21"/>
                <w:highlight w:val="none"/>
                <w:lang w:val="en-US" w:eastAsia="zh-CN" w:bidi="ar-SA"/>
              </w:rPr>
            </w:pPr>
          </w:p>
        </w:tc>
      </w:tr>
      <w:tr w14:paraId="7566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noWrap w:val="0"/>
            <w:vAlign w:val="center"/>
          </w:tcPr>
          <w:p w14:paraId="2A1C2317">
            <w:pPr>
              <w:widowControl w:val="0"/>
              <w:jc w:val="center"/>
              <w:rPr>
                <w:rFonts w:ascii="宋体" w:hAnsi="宋体" w:eastAsia="宋体"/>
                <w:color w:val="auto"/>
                <w:kern w:val="2"/>
                <w:sz w:val="21"/>
                <w:szCs w:val="21"/>
                <w:highlight w:val="none"/>
                <w:lang w:val="en-US" w:eastAsia="zh-CN" w:bidi="ar-SA"/>
              </w:rPr>
            </w:pPr>
          </w:p>
        </w:tc>
        <w:tc>
          <w:tcPr>
            <w:tcW w:w="2994" w:type="dxa"/>
            <w:gridSpan w:val="5"/>
            <w:noWrap w:val="0"/>
            <w:vAlign w:val="center"/>
          </w:tcPr>
          <w:p w14:paraId="1C1758C1">
            <w:pPr>
              <w:widowControl w:val="0"/>
              <w:jc w:val="center"/>
              <w:rPr>
                <w:rFonts w:ascii="宋体" w:hAnsi="宋体" w:eastAsia="宋体"/>
                <w:color w:val="auto"/>
                <w:kern w:val="2"/>
                <w:sz w:val="21"/>
                <w:szCs w:val="21"/>
                <w:highlight w:val="none"/>
                <w:lang w:val="en-US" w:eastAsia="zh-CN" w:bidi="ar-SA"/>
              </w:rPr>
            </w:pPr>
          </w:p>
        </w:tc>
        <w:tc>
          <w:tcPr>
            <w:tcW w:w="2246" w:type="dxa"/>
            <w:gridSpan w:val="2"/>
            <w:noWrap w:val="0"/>
            <w:vAlign w:val="center"/>
          </w:tcPr>
          <w:p w14:paraId="07E6DA55">
            <w:pPr>
              <w:widowControl w:val="0"/>
              <w:jc w:val="center"/>
              <w:rPr>
                <w:rFonts w:ascii="宋体" w:hAnsi="宋体" w:eastAsia="宋体"/>
                <w:color w:val="auto"/>
                <w:kern w:val="2"/>
                <w:sz w:val="21"/>
                <w:szCs w:val="21"/>
                <w:highlight w:val="none"/>
                <w:lang w:val="en-US" w:eastAsia="zh-CN" w:bidi="ar-SA"/>
              </w:rPr>
            </w:pPr>
          </w:p>
        </w:tc>
        <w:tc>
          <w:tcPr>
            <w:tcW w:w="2230" w:type="dxa"/>
            <w:noWrap w:val="0"/>
            <w:vAlign w:val="center"/>
          </w:tcPr>
          <w:p w14:paraId="6029C3FA">
            <w:pPr>
              <w:widowControl w:val="0"/>
              <w:jc w:val="center"/>
              <w:rPr>
                <w:rFonts w:ascii="宋体" w:hAnsi="宋体" w:eastAsia="宋体"/>
                <w:color w:val="auto"/>
                <w:kern w:val="2"/>
                <w:sz w:val="21"/>
                <w:szCs w:val="21"/>
                <w:highlight w:val="none"/>
                <w:lang w:val="en-US" w:eastAsia="zh-CN" w:bidi="ar-SA"/>
              </w:rPr>
            </w:pPr>
          </w:p>
        </w:tc>
      </w:tr>
      <w:bookmarkEnd w:id="140"/>
      <w:bookmarkEnd w:id="141"/>
    </w:tbl>
    <w:p w14:paraId="26741E67">
      <w:pPr>
        <w:pStyle w:val="3"/>
        <w:rPr>
          <w:rFonts w:hint="eastAsia"/>
        </w:rPr>
      </w:pPr>
    </w:p>
    <w:sectPr>
      <w:headerReference r:id="rId5" w:type="default"/>
      <w:footerReference r:id="rId6" w:type="default"/>
      <w:footerReference r:id="rId7" w:type="even"/>
      <w:pgSz w:w="11906" w:h="16838"/>
      <w:pgMar w:top="1701"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A72A6">
    <w:pPr>
      <w:pStyle w:val="12"/>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7CCAA">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5115898">
                          <w:pPr>
                            <w:pStyle w:val="20"/>
                            <w:rPr>
                              <w:rStyle w:val="34"/>
                            </w:rPr>
                          </w:pPr>
                          <w:r>
                            <w:fldChar w:fldCharType="begin"/>
                          </w:r>
                          <w:r>
                            <w:rPr>
                              <w:rStyle w:val="34"/>
                            </w:rPr>
                            <w:instrText xml:space="preserve">PAGE  </w:instrText>
                          </w:r>
                          <w:r>
                            <w:fldChar w:fldCharType="separate"/>
                          </w:r>
                          <w:r>
                            <w:rPr>
                              <w:rStyle w:val="34"/>
                            </w:rPr>
                            <w:t>72</w:t>
                          </w:r>
                          <w: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ny/KJucB&#10;AADJAwAADgAAAAAAAAABACAAAAAiAQAAZHJzL2Uyb0RvYy54bWxQSwUGAAAAAAYABgBZAQAAewUA&#10;AAAA&#10;">
              <v:fill on="f" focussize="0,0"/>
              <v:stroke on="f" weight="1.25pt"/>
              <v:imagedata o:title=""/>
              <o:lock v:ext="edit" aspectratio="f"/>
              <v:textbox inset="0mm,0mm,0mm,0mm" style="mso-fit-shape-to-text:t;">
                <w:txbxContent>
                  <w:p w14:paraId="45115898">
                    <w:pPr>
                      <w:pStyle w:val="20"/>
                      <w:rPr>
                        <w:rStyle w:val="34"/>
                      </w:rPr>
                    </w:pPr>
                    <w:r>
                      <w:fldChar w:fldCharType="begin"/>
                    </w:r>
                    <w:r>
                      <w:rPr>
                        <w:rStyle w:val="34"/>
                      </w:rPr>
                      <w:instrText xml:space="preserve">PAGE  </w:instrText>
                    </w:r>
                    <w:r>
                      <w:fldChar w:fldCharType="separate"/>
                    </w:r>
                    <w:r>
                      <w:rPr>
                        <w:rStyle w:val="34"/>
                      </w:rPr>
                      <w:t>72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238C3">
    <w:pPr>
      <w:pStyle w:val="20"/>
      <w:framePr w:wrap="around" w:vAnchor="text" w:hAnchor="margin" w:xAlign="center" w:y="1"/>
      <w:rPr>
        <w:rStyle w:val="34"/>
      </w:rPr>
    </w:pPr>
    <w:r>
      <w:fldChar w:fldCharType="begin"/>
    </w:r>
    <w:r>
      <w:rPr>
        <w:rStyle w:val="34"/>
      </w:rPr>
      <w:instrText xml:space="preserve">PAGE  </w:instrText>
    </w:r>
    <w:r>
      <w:fldChar w:fldCharType="separate"/>
    </w:r>
    <w:r>
      <w:rPr>
        <w:rStyle w:val="34"/>
      </w:rPr>
      <w:t>22</w:t>
    </w:r>
    <w:r>
      <w:fldChar w:fldCharType="end"/>
    </w:r>
  </w:p>
  <w:p w14:paraId="18183273">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D8406">
    <w:pPr>
      <w:pStyle w:val="1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694D0">
    <w:pPr>
      <w:pStyle w:val="2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81001"/>
    <w:multiLevelType w:val="singleLevel"/>
    <w:tmpl w:val="8DD81001"/>
    <w:lvl w:ilvl="0" w:tentative="0">
      <w:start w:val="3"/>
      <w:numFmt w:val="chineseCounting"/>
      <w:suff w:val="space"/>
      <w:lvlText w:val="第%1节"/>
      <w:lvlJc w:val="left"/>
      <w:rPr>
        <w:rFonts w:hint="eastAsia"/>
      </w:rPr>
    </w:lvl>
  </w:abstractNum>
  <w:abstractNum w:abstractNumId="1">
    <w:nsid w:val="933ACE30"/>
    <w:multiLevelType w:val="singleLevel"/>
    <w:tmpl w:val="933ACE30"/>
    <w:lvl w:ilvl="0" w:tentative="0">
      <w:start w:val="9"/>
      <w:numFmt w:val="chineseCounting"/>
      <w:suff w:val="space"/>
      <w:lvlText w:val="第%1章"/>
      <w:lvlJc w:val="left"/>
      <w:rPr>
        <w:rFonts w:hint="eastAsia"/>
      </w:rPr>
    </w:lvl>
  </w:abstractNum>
  <w:abstractNum w:abstractNumId="2">
    <w:nsid w:val="C51CDD02"/>
    <w:multiLevelType w:val="singleLevel"/>
    <w:tmpl w:val="C51CDD02"/>
    <w:lvl w:ilvl="0" w:tentative="0">
      <w:start w:val="1"/>
      <w:numFmt w:val="decimal"/>
      <w:suff w:val="nothing"/>
      <w:lvlText w:val="（%1）"/>
      <w:lvlJc w:val="left"/>
    </w:lvl>
  </w:abstractNum>
  <w:abstractNum w:abstractNumId="3">
    <w:nsid w:val="C5282D84"/>
    <w:multiLevelType w:val="singleLevel"/>
    <w:tmpl w:val="C5282D84"/>
    <w:lvl w:ilvl="0" w:tentative="0">
      <w:start w:val="2"/>
      <w:numFmt w:val="chineseCounting"/>
      <w:suff w:val="space"/>
      <w:lvlText w:val="第%1章"/>
      <w:lvlJc w:val="left"/>
      <w:rPr>
        <w:rFonts w:hint="eastAsia"/>
      </w:rPr>
    </w:lvl>
  </w:abstractNum>
  <w:abstractNum w:abstractNumId="4">
    <w:nsid w:val="F9C39B7B"/>
    <w:multiLevelType w:val="singleLevel"/>
    <w:tmpl w:val="F9C39B7B"/>
    <w:lvl w:ilvl="0" w:tentative="0">
      <w:start w:val="6"/>
      <w:numFmt w:val="chineseCounting"/>
      <w:suff w:val="nothing"/>
      <w:lvlText w:val="%1、"/>
      <w:lvlJc w:val="left"/>
      <w:rPr>
        <w:rFonts w:hint="eastAsia"/>
      </w:rPr>
    </w:lvl>
  </w:abstractNum>
  <w:abstractNum w:abstractNumId="5">
    <w:nsid w:val="00000024"/>
    <w:multiLevelType w:val="multilevel"/>
    <w:tmpl w:val="00000024"/>
    <w:lvl w:ilvl="0" w:tentative="0">
      <w:start w:val="1"/>
      <w:numFmt w:val="decimal"/>
      <w:pStyle w:val="7"/>
      <w:lvlText w:val="%1."/>
      <w:lvlJc w:val="left"/>
      <w:pPr>
        <w:tabs>
          <w:tab w:val="left" w:pos="360"/>
        </w:tabs>
        <w:ind w:left="360" w:hanging="360"/>
      </w:pPr>
      <w:rPr>
        <w:rFonts w:hint="default" w:ascii="宋体" w:hAnsi="宋体" w:eastAsia="宋体"/>
        <w:b w:val="0"/>
      </w:rPr>
    </w:lvl>
    <w:lvl w:ilvl="1" w:tentative="0">
      <w:start w:val="1"/>
      <w:numFmt w:val="decimal"/>
      <w:lvlText w:val="6.%2"/>
      <w:lvlJc w:val="left"/>
      <w:pPr>
        <w:tabs>
          <w:tab w:val="left" w:pos="992"/>
        </w:tabs>
        <w:ind w:left="992" w:hanging="567"/>
      </w:pPr>
      <w:rPr>
        <w:rFonts w:hint="eastAsia" w:ascii="宋体" w:hAnsi="宋体" w:eastAsia="宋体"/>
        <w:color w:val="auto"/>
      </w:rPr>
    </w:lvl>
    <w:lvl w:ilvl="2" w:tentative="0">
      <w:start w:val="1"/>
      <w:numFmt w:val="decimal"/>
      <w:lvlText w:val="%1.%2.%3"/>
      <w:lvlJc w:val="left"/>
      <w:pPr>
        <w:tabs>
          <w:tab w:val="left" w:pos="1418"/>
        </w:tabs>
        <w:ind w:left="1418" w:hanging="567"/>
      </w:pPr>
      <w:rPr>
        <w:rFonts w:hint="eastAsia"/>
        <w:color w:val="auto"/>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6">
    <w:nsid w:val="046E2D7F"/>
    <w:multiLevelType w:val="multilevel"/>
    <w:tmpl w:val="046E2D7F"/>
    <w:lvl w:ilvl="0" w:tentative="0">
      <w:start w:val="3"/>
      <w:numFmt w:val="decimal"/>
      <w:pStyle w:val="50"/>
      <w:lvlText w:val="%1、"/>
      <w:lvlJc w:val="left"/>
      <w:pPr>
        <w:tabs>
          <w:tab w:val="left" w:pos="1170"/>
        </w:tabs>
        <w:ind w:left="1170" w:hanging="720"/>
      </w:pPr>
      <w:rPr>
        <w:rFonts w:hint="default"/>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7">
    <w:nsid w:val="1D9B98EB"/>
    <w:multiLevelType w:val="multilevel"/>
    <w:tmpl w:val="1D9B98EB"/>
    <w:lvl w:ilvl="0" w:tentative="0">
      <w:start w:val="5"/>
      <w:numFmt w:val="decimal"/>
      <w:lvlText w:val="%1"/>
      <w:lvlJc w:val="left"/>
      <w:pPr>
        <w:ind w:left="384" w:hanging="540"/>
      </w:pPr>
    </w:lvl>
    <w:lvl w:ilvl="1" w:tentative="0">
      <w:start w:val="1"/>
      <w:numFmt w:val="decimal"/>
      <w:lvlText w:val="%1.%2"/>
      <w:lvlJc w:val="left"/>
      <w:pPr>
        <w:ind w:left="384" w:hanging="540"/>
      </w:pPr>
      <w:rPr>
        <w:rFonts w:hint="default" w:ascii="Times New Roman" w:hAnsi="Times New Roman" w:eastAsia="Times New Roman" w:cs="Times New Roman"/>
        <w:spacing w:val="-24"/>
        <w:w w:val="100"/>
        <w:sz w:val="24"/>
        <w:szCs w:val="24"/>
      </w:rPr>
    </w:lvl>
    <w:lvl w:ilvl="2" w:tentative="0">
      <w:start w:val="0"/>
      <w:numFmt w:val="bullet"/>
      <w:lvlText w:val="•"/>
      <w:lvlJc w:val="left"/>
      <w:pPr>
        <w:ind w:left="2209" w:hanging="540"/>
      </w:pPr>
    </w:lvl>
    <w:lvl w:ilvl="3" w:tentative="0">
      <w:start w:val="0"/>
      <w:numFmt w:val="bullet"/>
      <w:lvlText w:val="•"/>
      <w:lvlJc w:val="left"/>
      <w:pPr>
        <w:ind w:left="3124" w:hanging="540"/>
      </w:pPr>
    </w:lvl>
    <w:lvl w:ilvl="4" w:tentative="0">
      <w:start w:val="0"/>
      <w:numFmt w:val="bullet"/>
      <w:lvlText w:val="•"/>
      <w:lvlJc w:val="left"/>
      <w:pPr>
        <w:ind w:left="4038" w:hanging="540"/>
      </w:pPr>
    </w:lvl>
    <w:lvl w:ilvl="5" w:tentative="0">
      <w:start w:val="0"/>
      <w:numFmt w:val="bullet"/>
      <w:lvlText w:val="•"/>
      <w:lvlJc w:val="left"/>
      <w:pPr>
        <w:ind w:left="4953" w:hanging="540"/>
      </w:pPr>
    </w:lvl>
    <w:lvl w:ilvl="6" w:tentative="0">
      <w:start w:val="0"/>
      <w:numFmt w:val="bullet"/>
      <w:lvlText w:val="•"/>
      <w:lvlJc w:val="left"/>
      <w:pPr>
        <w:ind w:left="5868" w:hanging="540"/>
      </w:pPr>
    </w:lvl>
    <w:lvl w:ilvl="7" w:tentative="0">
      <w:start w:val="0"/>
      <w:numFmt w:val="bullet"/>
      <w:lvlText w:val="•"/>
      <w:lvlJc w:val="left"/>
      <w:pPr>
        <w:ind w:left="6782" w:hanging="540"/>
      </w:pPr>
    </w:lvl>
    <w:lvl w:ilvl="8" w:tentative="0">
      <w:start w:val="0"/>
      <w:numFmt w:val="bullet"/>
      <w:lvlText w:val="•"/>
      <w:lvlJc w:val="left"/>
      <w:pPr>
        <w:ind w:left="7697" w:hanging="540"/>
      </w:pPr>
    </w:lvl>
  </w:abstractNum>
  <w:abstractNum w:abstractNumId="8">
    <w:nsid w:val="274C388B"/>
    <w:multiLevelType w:val="singleLevel"/>
    <w:tmpl w:val="274C388B"/>
    <w:lvl w:ilvl="0" w:tentative="0">
      <w:start w:val="1"/>
      <w:numFmt w:val="decimal"/>
      <w:suff w:val="space"/>
      <w:lvlText w:val="（%1）"/>
      <w:lvlJc w:val="left"/>
    </w:lvl>
  </w:abstractNum>
  <w:abstractNum w:abstractNumId="9">
    <w:nsid w:val="2A8F537B"/>
    <w:multiLevelType w:val="multilevel"/>
    <w:tmpl w:val="2A8F537B"/>
    <w:lvl w:ilvl="0" w:tentative="0">
      <w:start w:val="1"/>
      <w:numFmt w:val="decimal"/>
      <w:lvlText w:val="%1"/>
      <w:lvlJc w:val="left"/>
      <w:pPr>
        <w:ind w:left="728" w:hanging="209"/>
      </w:pPr>
      <w:rPr>
        <w:rFonts w:hint="default" w:ascii="宋体" w:hAnsi="宋体" w:eastAsia="宋体" w:cs="宋体"/>
        <w:w w:val="99"/>
        <w:sz w:val="21"/>
        <w:szCs w:val="21"/>
        <w:lang w:val="zh-CN" w:eastAsia="zh-CN" w:bidi="zh-CN"/>
      </w:rPr>
    </w:lvl>
    <w:lvl w:ilvl="1" w:tentative="0">
      <w:start w:val="1"/>
      <w:numFmt w:val="decimal"/>
      <w:lvlText w:val="%2."/>
      <w:lvlJc w:val="left"/>
      <w:pPr>
        <w:ind w:left="1041" w:hanging="181"/>
      </w:pPr>
      <w:rPr>
        <w:rFonts w:hint="default" w:ascii="Times New Roman" w:hAnsi="Times New Roman" w:eastAsia="Times New Roman" w:cs="Times New Roman"/>
        <w:w w:val="100"/>
        <w:sz w:val="22"/>
        <w:szCs w:val="22"/>
        <w:lang w:val="zh-CN" w:eastAsia="zh-CN" w:bidi="zh-CN"/>
      </w:rPr>
    </w:lvl>
    <w:lvl w:ilvl="2" w:tentative="0">
      <w:start w:val="0"/>
      <w:numFmt w:val="bullet"/>
      <w:lvlText w:val="•"/>
      <w:lvlJc w:val="left"/>
      <w:pPr>
        <w:ind w:left="1911" w:hanging="181"/>
      </w:pPr>
      <w:rPr>
        <w:rFonts w:hint="default"/>
        <w:lang w:val="zh-CN" w:eastAsia="zh-CN" w:bidi="zh-CN"/>
      </w:rPr>
    </w:lvl>
    <w:lvl w:ilvl="3" w:tentative="0">
      <w:start w:val="0"/>
      <w:numFmt w:val="bullet"/>
      <w:lvlText w:val="•"/>
      <w:lvlJc w:val="left"/>
      <w:pPr>
        <w:ind w:left="2782" w:hanging="181"/>
      </w:pPr>
      <w:rPr>
        <w:rFonts w:hint="default"/>
        <w:lang w:val="zh-CN" w:eastAsia="zh-CN" w:bidi="zh-CN"/>
      </w:rPr>
    </w:lvl>
    <w:lvl w:ilvl="4" w:tentative="0">
      <w:start w:val="0"/>
      <w:numFmt w:val="bullet"/>
      <w:lvlText w:val="•"/>
      <w:lvlJc w:val="left"/>
      <w:pPr>
        <w:ind w:left="3653" w:hanging="181"/>
      </w:pPr>
      <w:rPr>
        <w:rFonts w:hint="default"/>
        <w:lang w:val="zh-CN" w:eastAsia="zh-CN" w:bidi="zh-CN"/>
      </w:rPr>
    </w:lvl>
    <w:lvl w:ilvl="5" w:tentative="0">
      <w:start w:val="0"/>
      <w:numFmt w:val="bullet"/>
      <w:lvlText w:val="•"/>
      <w:lvlJc w:val="left"/>
      <w:pPr>
        <w:ind w:left="4524" w:hanging="181"/>
      </w:pPr>
      <w:rPr>
        <w:rFonts w:hint="default"/>
        <w:lang w:val="zh-CN" w:eastAsia="zh-CN" w:bidi="zh-CN"/>
      </w:rPr>
    </w:lvl>
    <w:lvl w:ilvl="6" w:tentative="0">
      <w:start w:val="0"/>
      <w:numFmt w:val="bullet"/>
      <w:lvlText w:val="•"/>
      <w:lvlJc w:val="left"/>
      <w:pPr>
        <w:ind w:left="5395" w:hanging="181"/>
      </w:pPr>
      <w:rPr>
        <w:rFonts w:hint="default"/>
        <w:lang w:val="zh-CN" w:eastAsia="zh-CN" w:bidi="zh-CN"/>
      </w:rPr>
    </w:lvl>
    <w:lvl w:ilvl="7" w:tentative="0">
      <w:start w:val="0"/>
      <w:numFmt w:val="bullet"/>
      <w:lvlText w:val="•"/>
      <w:lvlJc w:val="left"/>
      <w:pPr>
        <w:ind w:left="6266" w:hanging="181"/>
      </w:pPr>
      <w:rPr>
        <w:rFonts w:hint="default"/>
        <w:lang w:val="zh-CN" w:eastAsia="zh-CN" w:bidi="zh-CN"/>
      </w:rPr>
    </w:lvl>
    <w:lvl w:ilvl="8" w:tentative="0">
      <w:start w:val="0"/>
      <w:numFmt w:val="bullet"/>
      <w:lvlText w:val="•"/>
      <w:lvlJc w:val="left"/>
      <w:pPr>
        <w:ind w:left="7137" w:hanging="181"/>
      </w:pPr>
      <w:rPr>
        <w:rFonts w:hint="default"/>
        <w:lang w:val="zh-CN" w:eastAsia="zh-CN" w:bidi="zh-CN"/>
      </w:rPr>
    </w:lvl>
  </w:abstractNum>
  <w:abstractNum w:abstractNumId="10">
    <w:nsid w:val="310A51B7"/>
    <w:multiLevelType w:val="singleLevel"/>
    <w:tmpl w:val="310A51B7"/>
    <w:lvl w:ilvl="0" w:tentative="0">
      <w:start w:val="7"/>
      <w:numFmt w:val="chineseCounting"/>
      <w:suff w:val="space"/>
      <w:lvlText w:val="第%1章"/>
      <w:lvlJc w:val="left"/>
      <w:rPr>
        <w:rFonts w:hint="eastAsia"/>
      </w:rPr>
    </w:lvl>
  </w:abstractNum>
  <w:abstractNum w:abstractNumId="11">
    <w:nsid w:val="420C153B"/>
    <w:multiLevelType w:val="multilevel"/>
    <w:tmpl w:val="420C153B"/>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4E26490F"/>
    <w:multiLevelType w:val="multilevel"/>
    <w:tmpl w:val="4E26490F"/>
    <w:lvl w:ilvl="0" w:tentative="0">
      <w:start w:val="1"/>
      <w:numFmt w:val="decimal"/>
      <w:lvlText w:val="%1."/>
      <w:lvlJc w:val="left"/>
      <w:pPr>
        <w:ind w:left="384" w:hanging="300"/>
      </w:pPr>
      <w:rPr>
        <w:rFonts w:hint="default" w:ascii="Times New Roman" w:hAnsi="Times New Roman" w:eastAsia="Times New Roman" w:cs="Times New Roman"/>
        <w:w w:val="100"/>
        <w:sz w:val="24"/>
        <w:szCs w:val="24"/>
      </w:rPr>
    </w:lvl>
    <w:lvl w:ilvl="1" w:tentative="0">
      <w:start w:val="0"/>
      <w:numFmt w:val="bullet"/>
      <w:lvlText w:val="•"/>
      <w:lvlJc w:val="left"/>
      <w:pPr>
        <w:ind w:left="1580" w:hanging="300"/>
      </w:pPr>
      <w:rPr>
        <w:rFonts w:hint="default"/>
      </w:rPr>
    </w:lvl>
    <w:lvl w:ilvl="2" w:tentative="0">
      <w:start w:val="0"/>
      <w:numFmt w:val="bullet"/>
      <w:lvlText w:val="•"/>
      <w:lvlJc w:val="left"/>
      <w:pPr>
        <w:ind w:left="2456" w:hanging="300"/>
      </w:pPr>
      <w:rPr>
        <w:rFonts w:hint="default"/>
      </w:rPr>
    </w:lvl>
    <w:lvl w:ilvl="3" w:tentative="0">
      <w:start w:val="0"/>
      <w:numFmt w:val="bullet"/>
      <w:lvlText w:val="•"/>
      <w:lvlJc w:val="left"/>
      <w:pPr>
        <w:ind w:left="3332" w:hanging="300"/>
      </w:pPr>
      <w:rPr>
        <w:rFonts w:hint="default"/>
      </w:rPr>
    </w:lvl>
    <w:lvl w:ilvl="4" w:tentative="0">
      <w:start w:val="0"/>
      <w:numFmt w:val="bullet"/>
      <w:lvlText w:val="•"/>
      <w:lvlJc w:val="left"/>
      <w:pPr>
        <w:ind w:left="4209" w:hanging="300"/>
      </w:pPr>
      <w:rPr>
        <w:rFonts w:hint="default"/>
      </w:rPr>
    </w:lvl>
    <w:lvl w:ilvl="5" w:tentative="0">
      <w:start w:val="0"/>
      <w:numFmt w:val="bullet"/>
      <w:lvlText w:val="•"/>
      <w:lvlJc w:val="left"/>
      <w:pPr>
        <w:ind w:left="5085" w:hanging="300"/>
      </w:pPr>
      <w:rPr>
        <w:rFonts w:hint="default"/>
      </w:rPr>
    </w:lvl>
    <w:lvl w:ilvl="6" w:tentative="0">
      <w:start w:val="0"/>
      <w:numFmt w:val="bullet"/>
      <w:lvlText w:val="•"/>
      <w:lvlJc w:val="left"/>
      <w:pPr>
        <w:ind w:left="5961" w:hanging="300"/>
      </w:pPr>
      <w:rPr>
        <w:rFonts w:hint="default"/>
      </w:rPr>
    </w:lvl>
    <w:lvl w:ilvl="7" w:tentative="0">
      <w:start w:val="0"/>
      <w:numFmt w:val="bullet"/>
      <w:lvlText w:val="•"/>
      <w:lvlJc w:val="left"/>
      <w:pPr>
        <w:ind w:left="6838" w:hanging="300"/>
      </w:pPr>
      <w:rPr>
        <w:rFonts w:hint="default"/>
      </w:rPr>
    </w:lvl>
    <w:lvl w:ilvl="8" w:tentative="0">
      <w:start w:val="0"/>
      <w:numFmt w:val="bullet"/>
      <w:lvlText w:val="•"/>
      <w:lvlJc w:val="left"/>
      <w:pPr>
        <w:ind w:left="7714" w:hanging="300"/>
      </w:pPr>
      <w:rPr>
        <w:rFonts w:hint="default"/>
      </w:rPr>
    </w:lvl>
  </w:abstractNum>
  <w:abstractNum w:abstractNumId="13">
    <w:nsid w:val="4F2FABCA"/>
    <w:multiLevelType w:val="multilevel"/>
    <w:tmpl w:val="4F2FABCA"/>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color w:val="auto"/>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4">
    <w:nsid w:val="60F201CB"/>
    <w:multiLevelType w:val="multilevel"/>
    <w:tmpl w:val="60F201CB"/>
    <w:lvl w:ilvl="0" w:tentative="0">
      <w:start w:val="1"/>
      <w:numFmt w:val="decimal"/>
      <w:lvlText w:val="%1."/>
      <w:lvlJc w:val="left"/>
      <w:pPr>
        <w:ind w:left="384" w:hanging="300"/>
      </w:pPr>
      <w:rPr>
        <w:rFonts w:hint="default" w:ascii="Times New Roman" w:hAnsi="Times New Roman" w:eastAsia="Times New Roman" w:cs="Times New Roman"/>
        <w:w w:val="100"/>
        <w:sz w:val="24"/>
        <w:szCs w:val="24"/>
      </w:rPr>
    </w:lvl>
    <w:lvl w:ilvl="1" w:tentative="0">
      <w:start w:val="0"/>
      <w:numFmt w:val="bullet"/>
      <w:lvlText w:val="•"/>
      <w:lvlJc w:val="left"/>
      <w:pPr>
        <w:ind w:left="1294" w:hanging="300"/>
      </w:pPr>
      <w:rPr>
        <w:rFonts w:hint="default"/>
      </w:rPr>
    </w:lvl>
    <w:lvl w:ilvl="2" w:tentative="0">
      <w:start w:val="0"/>
      <w:numFmt w:val="bullet"/>
      <w:lvlText w:val="•"/>
      <w:lvlJc w:val="left"/>
      <w:pPr>
        <w:ind w:left="2209" w:hanging="300"/>
      </w:pPr>
      <w:rPr>
        <w:rFonts w:hint="default"/>
      </w:rPr>
    </w:lvl>
    <w:lvl w:ilvl="3" w:tentative="0">
      <w:start w:val="0"/>
      <w:numFmt w:val="bullet"/>
      <w:lvlText w:val="•"/>
      <w:lvlJc w:val="left"/>
      <w:pPr>
        <w:ind w:left="3124" w:hanging="300"/>
      </w:pPr>
      <w:rPr>
        <w:rFonts w:hint="default"/>
      </w:rPr>
    </w:lvl>
    <w:lvl w:ilvl="4" w:tentative="0">
      <w:start w:val="0"/>
      <w:numFmt w:val="bullet"/>
      <w:lvlText w:val="•"/>
      <w:lvlJc w:val="left"/>
      <w:pPr>
        <w:ind w:left="4038" w:hanging="300"/>
      </w:pPr>
      <w:rPr>
        <w:rFonts w:hint="default"/>
      </w:rPr>
    </w:lvl>
    <w:lvl w:ilvl="5" w:tentative="0">
      <w:start w:val="0"/>
      <w:numFmt w:val="bullet"/>
      <w:lvlText w:val="•"/>
      <w:lvlJc w:val="left"/>
      <w:pPr>
        <w:ind w:left="4953" w:hanging="300"/>
      </w:pPr>
      <w:rPr>
        <w:rFonts w:hint="default"/>
      </w:rPr>
    </w:lvl>
    <w:lvl w:ilvl="6" w:tentative="0">
      <w:start w:val="0"/>
      <w:numFmt w:val="bullet"/>
      <w:lvlText w:val="•"/>
      <w:lvlJc w:val="left"/>
      <w:pPr>
        <w:ind w:left="5868" w:hanging="300"/>
      </w:pPr>
      <w:rPr>
        <w:rFonts w:hint="default"/>
      </w:rPr>
    </w:lvl>
    <w:lvl w:ilvl="7" w:tentative="0">
      <w:start w:val="0"/>
      <w:numFmt w:val="bullet"/>
      <w:lvlText w:val="•"/>
      <w:lvlJc w:val="left"/>
      <w:pPr>
        <w:ind w:left="6782" w:hanging="300"/>
      </w:pPr>
      <w:rPr>
        <w:rFonts w:hint="default"/>
      </w:rPr>
    </w:lvl>
    <w:lvl w:ilvl="8" w:tentative="0">
      <w:start w:val="0"/>
      <w:numFmt w:val="bullet"/>
      <w:lvlText w:val="•"/>
      <w:lvlJc w:val="left"/>
      <w:pPr>
        <w:ind w:left="7697" w:hanging="300"/>
      </w:pPr>
      <w:rPr>
        <w:rFonts w:hint="default"/>
      </w:rPr>
    </w:lvl>
  </w:abstractNum>
  <w:abstractNum w:abstractNumId="15">
    <w:nsid w:val="61B51AE7"/>
    <w:multiLevelType w:val="multilevel"/>
    <w:tmpl w:val="61B51AE7"/>
    <w:lvl w:ilvl="0" w:tentative="0">
      <w:start w:val="1"/>
      <w:numFmt w:val="decimal"/>
      <w:lvlText w:val="%1."/>
      <w:lvlJc w:val="left"/>
      <w:pPr>
        <w:ind w:left="384" w:hanging="300"/>
      </w:pPr>
      <w:rPr>
        <w:rFonts w:hint="default" w:ascii="Times New Roman" w:hAnsi="Times New Roman" w:eastAsia="Times New Roman" w:cs="Times New Roman"/>
        <w:w w:val="100"/>
        <w:sz w:val="24"/>
        <w:szCs w:val="24"/>
      </w:rPr>
    </w:lvl>
    <w:lvl w:ilvl="1" w:tentative="0">
      <w:start w:val="0"/>
      <w:numFmt w:val="bullet"/>
      <w:lvlText w:val="•"/>
      <w:lvlJc w:val="left"/>
      <w:pPr>
        <w:ind w:left="1294" w:hanging="300"/>
      </w:pPr>
      <w:rPr>
        <w:rFonts w:hint="default"/>
      </w:rPr>
    </w:lvl>
    <w:lvl w:ilvl="2" w:tentative="0">
      <w:start w:val="0"/>
      <w:numFmt w:val="bullet"/>
      <w:lvlText w:val="•"/>
      <w:lvlJc w:val="left"/>
      <w:pPr>
        <w:ind w:left="2209" w:hanging="300"/>
      </w:pPr>
      <w:rPr>
        <w:rFonts w:hint="default"/>
      </w:rPr>
    </w:lvl>
    <w:lvl w:ilvl="3" w:tentative="0">
      <w:start w:val="0"/>
      <w:numFmt w:val="bullet"/>
      <w:lvlText w:val="•"/>
      <w:lvlJc w:val="left"/>
      <w:pPr>
        <w:ind w:left="3124" w:hanging="300"/>
      </w:pPr>
      <w:rPr>
        <w:rFonts w:hint="default"/>
      </w:rPr>
    </w:lvl>
    <w:lvl w:ilvl="4" w:tentative="0">
      <w:start w:val="0"/>
      <w:numFmt w:val="bullet"/>
      <w:lvlText w:val="•"/>
      <w:lvlJc w:val="left"/>
      <w:pPr>
        <w:ind w:left="4038" w:hanging="300"/>
      </w:pPr>
      <w:rPr>
        <w:rFonts w:hint="default"/>
      </w:rPr>
    </w:lvl>
    <w:lvl w:ilvl="5" w:tentative="0">
      <w:start w:val="0"/>
      <w:numFmt w:val="bullet"/>
      <w:lvlText w:val="•"/>
      <w:lvlJc w:val="left"/>
      <w:pPr>
        <w:ind w:left="4953" w:hanging="300"/>
      </w:pPr>
      <w:rPr>
        <w:rFonts w:hint="default"/>
      </w:rPr>
    </w:lvl>
    <w:lvl w:ilvl="6" w:tentative="0">
      <w:start w:val="0"/>
      <w:numFmt w:val="bullet"/>
      <w:lvlText w:val="•"/>
      <w:lvlJc w:val="left"/>
      <w:pPr>
        <w:ind w:left="5868" w:hanging="300"/>
      </w:pPr>
      <w:rPr>
        <w:rFonts w:hint="default"/>
      </w:rPr>
    </w:lvl>
    <w:lvl w:ilvl="7" w:tentative="0">
      <w:start w:val="0"/>
      <w:numFmt w:val="bullet"/>
      <w:lvlText w:val="•"/>
      <w:lvlJc w:val="left"/>
      <w:pPr>
        <w:ind w:left="6782" w:hanging="300"/>
      </w:pPr>
      <w:rPr>
        <w:rFonts w:hint="default"/>
      </w:rPr>
    </w:lvl>
    <w:lvl w:ilvl="8" w:tentative="0">
      <w:start w:val="0"/>
      <w:numFmt w:val="bullet"/>
      <w:lvlText w:val="•"/>
      <w:lvlJc w:val="left"/>
      <w:pPr>
        <w:ind w:left="7697" w:hanging="300"/>
      </w:pPr>
      <w:rPr>
        <w:rFonts w:hint="default"/>
      </w:rPr>
    </w:lvl>
  </w:abstractNum>
  <w:abstractNum w:abstractNumId="16">
    <w:nsid w:val="6F8D4CB1"/>
    <w:multiLevelType w:val="multilevel"/>
    <w:tmpl w:val="6F8D4CB1"/>
    <w:lvl w:ilvl="0" w:tentative="0">
      <w:start w:val="4"/>
      <w:numFmt w:val="decimal"/>
      <w:lvlText w:val="%1."/>
      <w:lvlJc w:val="left"/>
      <w:pPr>
        <w:ind w:left="384" w:hanging="300"/>
      </w:pPr>
      <w:rPr>
        <w:rFonts w:hint="default" w:ascii="Times New Roman" w:hAnsi="Times New Roman" w:eastAsia="Times New Roman" w:cs="Times New Roman"/>
        <w:spacing w:val="-24"/>
        <w:w w:val="100"/>
        <w:sz w:val="24"/>
        <w:szCs w:val="24"/>
      </w:rPr>
    </w:lvl>
    <w:lvl w:ilvl="1" w:tentative="0">
      <w:start w:val="0"/>
      <w:numFmt w:val="bullet"/>
      <w:lvlText w:val="•"/>
      <w:lvlJc w:val="left"/>
      <w:pPr>
        <w:ind w:left="1294" w:hanging="300"/>
      </w:pPr>
      <w:rPr>
        <w:rFonts w:hint="default"/>
      </w:rPr>
    </w:lvl>
    <w:lvl w:ilvl="2" w:tentative="0">
      <w:start w:val="0"/>
      <w:numFmt w:val="bullet"/>
      <w:lvlText w:val="•"/>
      <w:lvlJc w:val="left"/>
      <w:pPr>
        <w:ind w:left="2209" w:hanging="300"/>
      </w:pPr>
      <w:rPr>
        <w:rFonts w:hint="default"/>
      </w:rPr>
    </w:lvl>
    <w:lvl w:ilvl="3" w:tentative="0">
      <w:start w:val="0"/>
      <w:numFmt w:val="bullet"/>
      <w:lvlText w:val="•"/>
      <w:lvlJc w:val="left"/>
      <w:pPr>
        <w:ind w:left="3124" w:hanging="300"/>
      </w:pPr>
      <w:rPr>
        <w:rFonts w:hint="default"/>
      </w:rPr>
    </w:lvl>
    <w:lvl w:ilvl="4" w:tentative="0">
      <w:start w:val="0"/>
      <w:numFmt w:val="bullet"/>
      <w:lvlText w:val="•"/>
      <w:lvlJc w:val="left"/>
      <w:pPr>
        <w:ind w:left="4038" w:hanging="300"/>
      </w:pPr>
      <w:rPr>
        <w:rFonts w:hint="default"/>
      </w:rPr>
    </w:lvl>
    <w:lvl w:ilvl="5" w:tentative="0">
      <w:start w:val="0"/>
      <w:numFmt w:val="bullet"/>
      <w:lvlText w:val="•"/>
      <w:lvlJc w:val="left"/>
      <w:pPr>
        <w:ind w:left="4953" w:hanging="300"/>
      </w:pPr>
      <w:rPr>
        <w:rFonts w:hint="default"/>
      </w:rPr>
    </w:lvl>
    <w:lvl w:ilvl="6" w:tentative="0">
      <w:start w:val="0"/>
      <w:numFmt w:val="bullet"/>
      <w:lvlText w:val="•"/>
      <w:lvlJc w:val="left"/>
      <w:pPr>
        <w:ind w:left="5868" w:hanging="300"/>
      </w:pPr>
      <w:rPr>
        <w:rFonts w:hint="default"/>
      </w:rPr>
    </w:lvl>
    <w:lvl w:ilvl="7" w:tentative="0">
      <w:start w:val="0"/>
      <w:numFmt w:val="bullet"/>
      <w:lvlText w:val="•"/>
      <w:lvlJc w:val="left"/>
      <w:pPr>
        <w:ind w:left="6782" w:hanging="300"/>
      </w:pPr>
      <w:rPr>
        <w:rFonts w:hint="default"/>
      </w:rPr>
    </w:lvl>
    <w:lvl w:ilvl="8" w:tentative="0">
      <w:start w:val="0"/>
      <w:numFmt w:val="bullet"/>
      <w:lvlText w:val="•"/>
      <w:lvlJc w:val="left"/>
      <w:pPr>
        <w:ind w:left="7697" w:hanging="300"/>
      </w:pPr>
      <w:rPr>
        <w:rFonts w:hint="default"/>
      </w:rPr>
    </w:lvl>
  </w:abstractNum>
  <w:abstractNum w:abstractNumId="17">
    <w:nsid w:val="7CD1227C"/>
    <w:multiLevelType w:val="multilevel"/>
    <w:tmpl w:val="7CD1227C"/>
    <w:lvl w:ilvl="0" w:tentative="0">
      <w:start w:val="3"/>
      <w:numFmt w:val="decimal"/>
      <w:lvlText w:val="（%1）"/>
      <w:lvlJc w:val="left"/>
      <w:pPr>
        <w:ind w:left="1584" w:hanging="720"/>
      </w:pPr>
      <w:rPr>
        <w:rFonts w:hint="default"/>
      </w:rPr>
    </w:lvl>
    <w:lvl w:ilvl="1" w:tentative="0">
      <w:start w:val="1"/>
      <w:numFmt w:val="lowerLetter"/>
      <w:lvlText w:val="%2)"/>
      <w:lvlJc w:val="left"/>
      <w:pPr>
        <w:ind w:left="1704" w:hanging="420"/>
      </w:pPr>
    </w:lvl>
    <w:lvl w:ilvl="2" w:tentative="0">
      <w:start w:val="1"/>
      <w:numFmt w:val="lowerRoman"/>
      <w:lvlText w:val="%3."/>
      <w:lvlJc w:val="right"/>
      <w:pPr>
        <w:ind w:left="2124" w:hanging="420"/>
      </w:pPr>
    </w:lvl>
    <w:lvl w:ilvl="3" w:tentative="0">
      <w:start w:val="1"/>
      <w:numFmt w:val="decimal"/>
      <w:lvlText w:val="%4."/>
      <w:lvlJc w:val="left"/>
      <w:pPr>
        <w:ind w:left="2544" w:hanging="420"/>
      </w:pPr>
    </w:lvl>
    <w:lvl w:ilvl="4" w:tentative="0">
      <w:start w:val="1"/>
      <w:numFmt w:val="lowerLetter"/>
      <w:lvlText w:val="%5)"/>
      <w:lvlJc w:val="left"/>
      <w:pPr>
        <w:ind w:left="2964" w:hanging="420"/>
      </w:pPr>
    </w:lvl>
    <w:lvl w:ilvl="5" w:tentative="0">
      <w:start w:val="1"/>
      <w:numFmt w:val="lowerRoman"/>
      <w:lvlText w:val="%6."/>
      <w:lvlJc w:val="right"/>
      <w:pPr>
        <w:ind w:left="3384" w:hanging="420"/>
      </w:pPr>
    </w:lvl>
    <w:lvl w:ilvl="6" w:tentative="0">
      <w:start w:val="1"/>
      <w:numFmt w:val="decimal"/>
      <w:lvlText w:val="%7."/>
      <w:lvlJc w:val="left"/>
      <w:pPr>
        <w:ind w:left="3804" w:hanging="420"/>
      </w:pPr>
    </w:lvl>
    <w:lvl w:ilvl="7" w:tentative="0">
      <w:start w:val="1"/>
      <w:numFmt w:val="lowerLetter"/>
      <w:lvlText w:val="%8)"/>
      <w:lvlJc w:val="left"/>
      <w:pPr>
        <w:ind w:left="4224" w:hanging="420"/>
      </w:pPr>
    </w:lvl>
    <w:lvl w:ilvl="8" w:tentative="0">
      <w:start w:val="1"/>
      <w:numFmt w:val="lowerRoman"/>
      <w:lvlText w:val="%9."/>
      <w:lvlJc w:val="right"/>
      <w:pPr>
        <w:ind w:left="4644" w:hanging="420"/>
      </w:pPr>
    </w:lvl>
  </w:abstractNum>
  <w:num w:numId="1">
    <w:abstractNumId w:val="5"/>
  </w:num>
  <w:num w:numId="2">
    <w:abstractNumId w:val="11"/>
  </w:num>
  <w:num w:numId="3">
    <w:abstractNumId w:val="6"/>
  </w:num>
  <w:num w:numId="4">
    <w:abstractNumId w:val="3"/>
  </w:num>
  <w:num w:numId="5">
    <w:abstractNumId w:val="2"/>
  </w:num>
  <w:num w:numId="6">
    <w:abstractNumId w:val="7"/>
  </w:num>
  <w:num w:numId="7">
    <w:abstractNumId w:val="17"/>
  </w:num>
  <w:num w:numId="8">
    <w:abstractNumId w:val="8"/>
  </w:num>
  <w:num w:numId="9">
    <w:abstractNumId w:val="0"/>
  </w:num>
  <w:num w:numId="10">
    <w:abstractNumId w:val="15"/>
  </w:num>
  <w:num w:numId="11">
    <w:abstractNumId w:val="16"/>
  </w:num>
  <w:num w:numId="12">
    <w:abstractNumId w:val="14"/>
  </w:num>
  <w:num w:numId="13">
    <w:abstractNumId w:val="12"/>
  </w:num>
  <w:num w:numId="14">
    <w:abstractNumId w:val="10"/>
  </w:num>
  <w:num w:numId="15">
    <w:abstractNumId w:val="13"/>
  </w:num>
  <w:num w:numId="16">
    <w:abstractNumId w:val="1"/>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lYzJkODUxYTE2ZmM3OTJhY2EyMzQ4MzJlNGU0NjkifQ=="/>
  </w:docVars>
  <w:rsids>
    <w:rsidRoot w:val="00172A27"/>
    <w:rsid w:val="000E0E08"/>
    <w:rsid w:val="00155619"/>
    <w:rsid w:val="00172A27"/>
    <w:rsid w:val="001C2354"/>
    <w:rsid w:val="001C5838"/>
    <w:rsid w:val="001F79E1"/>
    <w:rsid w:val="0021665A"/>
    <w:rsid w:val="00271461"/>
    <w:rsid w:val="002F0178"/>
    <w:rsid w:val="003025C5"/>
    <w:rsid w:val="00372A77"/>
    <w:rsid w:val="00372F90"/>
    <w:rsid w:val="004A5327"/>
    <w:rsid w:val="00556473"/>
    <w:rsid w:val="005856B9"/>
    <w:rsid w:val="005C40F9"/>
    <w:rsid w:val="005D2354"/>
    <w:rsid w:val="0063622E"/>
    <w:rsid w:val="00735171"/>
    <w:rsid w:val="00744E6C"/>
    <w:rsid w:val="00787C2B"/>
    <w:rsid w:val="00905172"/>
    <w:rsid w:val="00A450FF"/>
    <w:rsid w:val="00BF2B89"/>
    <w:rsid w:val="00C13BE0"/>
    <w:rsid w:val="00C75220"/>
    <w:rsid w:val="00CA63D1"/>
    <w:rsid w:val="00D00038"/>
    <w:rsid w:val="00D10B9E"/>
    <w:rsid w:val="00DE0A4C"/>
    <w:rsid w:val="00E07240"/>
    <w:rsid w:val="00EE418A"/>
    <w:rsid w:val="00EE5DDC"/>
    <w:rsid w:val="00EF37E8"/>
    <w:rsid w:val="00F33B20"/>
    <w:rsid w:val="00F54475"/>
    <w:rsid w:val="00F85B0B"/>
    <w:rsid w:val="00F85EB2"/>
    <w:rsid w:val="00FC356B"/>
    <w:rsid w:val="00FD777F"/>
    <w:rsid w:val="01170C55"/>
    <w:rsid w:val="017D5894"/>
    <w:rsid w:val="018C47B0"/>
    <w:rsid w:val="019D55FE"/>
    <w:rsid w:val="01B400AD"/>
    <w:rsid w:val="01B6249B"/>
    <w:rsid w:val="021A2642"/>
    <w:rsid w:val="02840270"/>
    <w:rsid w:val="02CB2268"/>
    <w:rsid w:val="03010450"/>
    <w:rsid w:val="03036481"/>
    <w:rsid w:val="032A36C8"/>
    <w:rsid w:val="0373742A"/>
    <w:rsid w:val="03806F86"/>
    <w:rsid w:val="03BD5AE4"/>
    <w:rsid w:val="03C43707"/>
    <w:rsid w:val="03E24543"/>
    <w:rsid w:val="044F5AED"/>
    <w:rsid w:val="046B3792"/>
    <w:rsid w:val="04AB1DE0"/>
    <w:rsid w:val="04F02BDE"/>
    <w:rsid w:val="054364BD"/>
    <w:rsid w:val="057F71C9"/>
    <w:rsid w:val="059B7094"/>
    <w:rsid w:val="05A02329"/>
    <w:rsid w:val="05BE30C3"/>
    <w:rsid w:val="05FE4B7D"/>
    <w:rsid w:val="060C2A75"/>
    <w:rsid w:val="06224324"/>
    <w:rsid w:val="06245734"/>
    <w:rsid w:val="062D5FEE"/>
    <w:rsid w:val="065B15E4"/>
    <w:rsid w:val="06695AAF"/>
    <w:rsid w:val="066E30C6"/>
    <w:rsid w:val="069049B8"/>
    <w:rsid w:val="06935BA7"/>
    <w:rsid w:val="069F5282"/>
    <w:rsid w:val="06AB3A89"/>
    <w:rsid w:val="06D45DD6"/>
    <w:rsid w:val="07126147"/>
    <w:rsid w:val="071D5AD1"/>
    <w:rsid w:val="07307E77"/>
    <w:rsid w:val="074449BC"/>
    <w:rsid w:val="074F4C92"/>
    <w:rsid w:val="076E113B"/>
    <w:rsid w:val="07A9603C"/>
    <w:rsid w:val="07AC4B13"/>
    <w:rsid w:val="07D2185E"/>
    <w:rsid w:val="08046698"/>
    <w:rsid w:val="081F4263"/>
    <w:rsid w:val="08253C58"/>
    <w:rsid w:val="08451740"/>
    <w:rsid w:val="085D5EB1"/>
    <w:rsid w:val="08985A43"/>
    <w:rsid w:val="08A404FB"/>
    <w:rsid w:val="08C16076"/>
    <w:rsid w:val="08D61475"/>
    <w:rsid w:val="08DA0EE6"/>
    <w:rsid w:val="08E02485"/>
    <w:rsid w:val="08FC6CB7"/>
    <w:rsid w:val="09104908"/>
    <w:rsid w:val="092959CA"/>
    <w:rsid w:val="09305B6C"/>
    <w:rsid w:val="094F50FA"/>
    <w:rsid w:val="096B0293"/>
    <w:rsid w:val="09715B5C"/>
    <w:rsid w:val="097217D3"/>
    <w:rsid w:val="098C5D95"/>
    <w:rsid w:val="09A97E66"/>
    <w:rsid w:val="0A0D7099"/>
    <w:rsid w:val="0A124DEA"/>
    <w:rsid w:val="0A1558FF"/>
    <w:rsid w:val="0A3A2074"/>
    <w:rsid w:val="0A47555B"/>
    <w:rsid w:val="0A6B304D"/>
    <w:rsid w:val="0ACD28E0"/>
    <w:rsid w:val="0ACE7FBF"/>
    <w:rsid w:val="0ACF113B"/>
    <w:rsid w:val="0AD0794C"/>
    <w:rsid w:val="0AE0788C"/>
    <w:rsid w:val="0AE905F7"/>
    <w:rsid w:val="0AEB2A1D"/>
    <w:rsid w:val="0B2174B0"/>
    <w:rsid w:val="0B36617C"/>
    <w:rsid w:val="0B420FC5"/>
    <w:rsid w:val="0B686CF8"/>
    <w:rsid w:val="0B7332AA"/>
    <w:rsid w:val="0B801062"/>
    <w:rsid w:val="0B8E6E97"/>
    <w:rsid w:val="0BB74DD4"/>
    <w:rsid w:val="0BBE4AB4"/>
    <w:rsid w:val="0C006EB6"/>
    <w:rsid w:val="0C2B56C5"/>
    <w:rsid w:val="0C5E2C52"/>
    <w:rsid w:val="0C6E05B4"/>
    <w:rsid w:val="0C7B5776"/>
    <w:rsid w:val="0CC779D3"/>
    <w:rsid w:val="0CDC235C"/>
    <w:rsid w:val="0CF13B49"/>
    <w:rsid w:val="0CFA3EF2"/>
    <w:rsid w:val="0D047C99"/>
    <w:rsid w:val="0D076022"/>
    <w:rsid w:val="0D0F5B7A"/>
    <w:rsid w:val="0D126698"/>
    <w:rsid w:val="0D1412B7"/>
    <w:rsid w:val="0D1F20E2"/>
    <w:rsid w:val="0D2841C5"/>
    <w:rsid w:val="0D2D30AD"/>
    <w:rsid w:val="0D444B80"/>
    <w:rsid w:val="0D4F2C3C"/>
    <w:rsid w:val="0DA91BC0"/>
    <w:rsid w:val="0DD45981"/>
    <w:rsid w:val="0E08136F"/>
    <w:rsid w:val="0E1B6FD8"/>
    <w:rsid w:val="0E2C2F8C"/>
    <w:rsid w:val="0E2D0944"/>
    <w:rsid w:val="0E43150B"/>
    <w:rsid w:val="0E62761C"/>
    <w:rsid w:val="0E8C4A31"/>
    <w:rsid w:val="0E8D4171"/>
    <w:rsid w:val="0E956B1B"/>
    <w:rsid w:val="0E9E6512"/>
    <w:rsid w:val="0EA05995"/>
    <w:rsid w:val="0EA41ABA"/>
    <w:rsid w:val="0F0F0D85"/>
    <w:rsid w:val="0F117C7A"/>
    <w:rsid w:val="0F6901C8"/>
    <w:rsid w:val="0F7B24F3"/>
    <w:rsid w:val="0F9136CD"/>
    <w:rsid w:val="0FD61361"/>
    <w:rsid w:val="0FFE195E"/>
    <w:rsid w:val="10150A56"/>
    <w:rsid w:val="10345380"/>
    <w:rsid w:val="104043CA"/>
    <w:rsid w:val="104F6AFE"/>
    <w:rsid w:val="106A6FF4"/>
    <w:rsid w:val="107D4817"/>
    <w:rsid w:val="10A67900"/>
    <w:rsid w:val="10DE1E24"/>
    <w:rsid w:val="11257567"/>
    <w:rsid w:val="112D790F"/>
    <w:rsid w:val="116C37E2"/>
    <w:rsid w:val="11BF3B95"/>
    <w:rsid w:val="120B754D"/>
    <w:rsid w:val="12106378"/>
    <w:rsid w:val="121C2E6D"/>
    <w:rsid w:val="122A02E3"/>
    <w:rsid w:val="124D0A04"/>
    <w:rsid w:val="12591991"/>
    <w:rsid w:val="127212F9"/>
    <w:rsid w:val="12840A4C"/>
    <w:rsid w:val="129923C2"/>
    <w:rsid w:val="12B5207C"/>
    <w:rsid w:val="12B705D9"/>
    <w:rsid w:val="12F42088"/>
    <w:rsid w:val="12F4774C"/>
    <w:rsid w:val="130B7EEE"/>
    <w:rsid w:val="131C20FB"/>
    <w:rsid w:val="133D09EF"/>
    <w:rsid w:val="1340403C"/>
    <w:rsid w:val="137B4287"/>
    <w:rsid w:val="13A50343"/>
    <w:rsid w:val="13B33653"/>
    <w:rsid w:val="13C2397B"/>
    <w:rsid w:val="13EE27EF"/>
    <w:rsid w:val="140E1078"/>
    <w:rsid w:val="141E3804"/>
    <w:rsid w:val="142147DA"/>
    <w:rsid w:val="1474515F"/>
    <w:rsid w:val="14D6523E"/>
    <w:rsid w:val="150A2690"/>
    <w:rsid w:val="150F67BF"/>
    <w:rsid w:val="154020D1"/>
    <w:rsid w:val="15440D1F"/>
    <w:rsid w:val="15636BDD"/>
    <w:rsid w:val="15844850"/>
    <w:rsid w:val="159E329B"/>
    <w:rsid w:val="15CF1FAE"/>
    <w:rsid w:val="15EA55DE"/>
    <w:rsid w:val="15F17EA4"/>
    <w:rsid w:val="15F7298F"/>
    <w:rsid w:val="160B2022"/>
    <w:rsid w:val="16172C93"/>
    <w:rsid w:val="163D4BC8"/>
    <w:rsid w:val="164C4CE8"/>
    <w:rsid w:val="1666131E"/>
    <w:rsid w:val="16A2150D"/>
    <w:rsid w:val="16B26575"/>
    <w:rsid w:val="16B97C05"/>
    <w:rsid w:val="16D2144F"/>
    <w:rsid w:val="16E93363"/>
    <w:rsid w:val="16EB2510"/>
    <w:rsid w:val="16F325C5"/>
    <w:rsid w:val="171A0164"/>
    <w:rsid w:val="172B6DB1"/>
    <w:rsid w:val="17325EF0"/>
    <w:rsid w:val="176953C3"/>
    <w:rsid w:val="17827870"/>
    <w:rsid w:val="1794670D"/>
    <w:rsid w:val="17A11F25"/>
    <w:rsid w:val="17D3547E"/>
    <w:rsid w:val="17D41D2E"/>
    <w:rsid w:val="17F26C4F"/>
    <w:rsid w:val="182D1CD7"/>
    <w:rsid w:val="185049B4"/>
    <w:rsid w:val="185D55C0"/>
    <w:rsid w:val="18673E19"/>
    <w:rsid w:val="18A450B7"/>
    <w:rsid w:val="18B3377B"/>
    <w:rsid w:val="18DA45EA"/>
    <w:rsid w:val="18DB7583"/>
    <w:rsid w:val="18DF5267"/>
    <w:rsid w:val="18F711F5"/>
    <w:rsid w:val="192D045B"/>
    <w:rsid w:val="19381D80"/>
    <w:rsid w:val="193A152D"/>
    <w:rsid w:val="19DB3197"/>
    <w:rsid w:val="19F67059"/>
    <w:rsid w:val="1A424B3D"/>
    <w:rsid w:val="1A552EF0"/>
    <w:rsid w:val="1A861337"/>
    <w:rsid w:val="1A9E33B7"/>
    <w:rsid w:val="1A9F0813"/>
    <w:rsid w:val="1AC1388F"/>
    <w:rsid w:val="1ADC2370"/>
    <w:rsid w:val="1B024789"/>
    <w:rsid w:val="1B053295"/>
    <w:rsid w:val="1B197621"/>
    <w:rsid w:val="1B2929DC"/>
    <w:rsid w:val="1B3C333B"/>
    <w:rsid w:val="1B7725C5"/>
    <w:rsid w:val="1B9D6BC5"/>
    <w:rsid w:val="1BB74F44"/>
    <w:rsid w:val="1BC05D1A"/>
    <w:rsid w:val="1BF35E31"/>
    <w:rsid w:val="1C14304D"/>
    <w:rsid w:val="1C151D67"/>
    <w:rsid w:val="1C281699"/>
    <w:rsid w:val="1C315AE3"/>
    <w:rsid w:val="1C7134B8"/>
    <w:rsid w:val="1C834A65"/>
    <w:rsid w:val="1C8F571A"/>
    <w:rsid w:val="1C9C5761"/>
    <w:rsid w:val="1CB810E7"/>
    <w:rsid w:val="1CBD289F"/>
    <w:rsid w:val="1D14783F"/>
    <w:rsid w:val="1D274763"/>
    <w:rsid w:val="1D9E02DC"/>
    <w:rsid w:val="1DBD4AAF"/>
    <w:rsid w:val="1DD82CDE"/>
    <w:rsid w:val="1E02388A"/>
    <w:rsid w:val="1E0C3498"/>
    <w:rsid w:val="1E222EF4"/>
    <w:rsid w:val="1E334045"/>
    <w:rsid w:val="1EA2141D"/>
    <w:rsid w:val="1EBD7778"/>
    <w:rsid w:val="1F026502"/>
    <w:rsid w:val="1F405CA6"/>
    <w:rsid w:val="1F4A7FFE"/>
    <w:rsid w:val="1F4B325F"/>
    <w:rsid w:val="1F7C58E9"/>
    <w:rsid w:val="1FBD02D4"/>
    <w:rsid w:val="1FCF0C21"/>
    <w:rsid w:val="1FD4326D"/>
    <w:rsid w:val="1FF24910"/>
    <w:rsid w:val="20090A33"/>
    <w:rsid w:val="204B33D3"/>
    <w:rsid w:val="205F798A"/>
    <w:rsid w:val="208948A0"/>
    <w:rsid w:val="208A5506"/>
    <w:rsid w:val="20B044D4"/>
    <w:rsid w:val="20B23E05"/>
    <w:rsid w:val="20D30DB8"/>
    <w:rsid w:val="20F810A0"/>
    <w:rsid w:val="20F81719"/>
    <w:rsid w:val="20F841A8"/>
    <w:rsid w:val="20FB77F4"/>
    <w:rsid w:val="211114DB"/>
    <w:rsid w:val="215B5A00"/>
    <w:rsid w:val="21903B58"/>
    <w:rsid w:val="21B51576"/>
    <w:rsid w:val="21E662D0"/>
    <w:rsid w:val="220D6AC6"/>
    <w:rsid w:val="220E2CF0"/>
    <w:rsid w:val="22616D0D"/>
    <w:rsid w:val="226506AB"/>
    <w:rsid w:val="22A939AB"/>
    <w:rsid w:val="22BB40ED"/>
    <w:rsid w:val="22BD1205"/>
    <w:rsid w:val="22C510EA"/>
    <w:rsid w:val="22CD4CEA"/>
    <w:rsid w:val="22D362BB"/>
    <w:rsid w:val="231E74ED"/>
    <w:rsid w:val="23530CCB"/>
    <w:rsid w:val="23717628"/>
    <w:rsid w:val="23C1627F"/>
    <w:rsid w:val="23C27E3A"/>
    <w:rsid w:val="23CB1A91"/>
    <w:rsid w:val="23D26F32"/>
    <w:rsid w:val="23E20307"/>
    <w:rsid w:val="23EA0B1B"/>
    <w:rsid w:val="23F45331"/>
    <w:rsid w:val="23F726AE"/>
    <w:rsid w:val="24115083"/>
    <w:rsid w:val="243454F7"/>
    <w:rsid w:val="243D56CF"/>
    <w:rsid w:val="24857B00"/>
    <w:rsid w:val="24BE44C7"/>
    <w:rsid w:val="24D06CF2"/>
    <w:rsid w:val="24F904EE"/>
    <w:rsid w:val="252B21D0"/>
    <w:rsid w:val="256F0552"/>
    <w:rsid w:val="258230C2"/>
    <w:rsid w:val="25875AFA"/>
    <w:rsid w:val="25B311EB"/>
    <w:rsid w:val="25BF7042"/>
    <w:rsid w:val="25DB1A25"/>
    <w:rsid w:val="25E65925"/>
    <w:rsid w:val="25EC303D"/>
    <w:rsid w:val="25F767DC"/>
    <w:rsid w:val="25FC2044"/>
    <w:rsid w:val="2624159B"/>
    <w:rsid w:val="26394488"/>
    <w:rsid w:val="26414B37"/>
    <w:rsid w:val="265D1F8F"/>
    <w:rsid w:val="2689391B"/>
    <w:rsid w:val="2693295B"/>
    <w:rsid w:val="26B402C7"/>
    <w:rsid w:val="26FE037B"/>
    <w:rsid w:val="27045EDC"/>
    <w:rsid w:val="27193993"/>
    <w:rsid w:val="271E423C"/>
    <w:rsid w:val="27205733"/>
    <w:rsid w:val="27746AD6"/>
    <w:rsid w:val="277E27A6"/>
    <w:rsid w:val="277F2241"/>
    <w:rsid w:val="277F7641"/>
    <w:rsid w:val="27A01F15"/>
    <w:rsid w:val="27B03A1B"/>
    <w:rsid w:val="27C070A1"/>
    <w:rsid w:val="27E41C3C"/>
    <w:rsid w:val="27EC4DDD"/>
    <w:rsid w:val="28160AA9"/>
    <w:rsid w:val="281D44F4"/>
    <w:rsid w:val="28726E69"/>
    <w:rsid w:val="28DC72B9"/>
    <w:rsid w:val="29643817"/>
    <w:rsid w:val="29717FC5"/>
    <w:rsid w:val="29A542E4"/>
    <w:rsid w:val="29AF357B"/>
    <w:rsid w:val="29BA39C9"/>
    <w:rsid w:val="29C25353"/>
    <w:rsid w:val="29E2615B"/>
    <w:rsid w:val="29EB07D8"/>
    <w:rsid w:val="29F51284"/>
    <w:rsid w:val="2A066B9C"/>
    <w:rsid w:val="2A067048"/>
    <w:rsid w:val="2A394D80"/>
    <w:rsid w:val="2A5218FD"/>
    <w:rsid w:val="2A97058D"/>
    <w:rsid w:val="2ABF1892"/>
    <w:rsid w:val="2AE337D3"/>
    <w:rsid w:val="2AFB4FC0"/>
    <w:rsid w:val="2B440EAC"/>
    <w:rsid w:val="2B943A19"/>
    <w:rsid w:val="2B9C4A30"/>
    <w:rsid w:val="2BD71E5C"/>
    <w:rsid w:val="2BEF60D7"/>
    <w:rsid w:val="2C0A7E44"/>
    <w:rsid w:val="2C153E60"/>
    <w:rsid w:val="2C163734"/>
    <w:rsid w:val="2C1856FE"/>
    <w:rsid w:val="2C3438FC"/>
    <w:rsid w:val="2C53296B"/>
    <w:rsid w:val="2C7B3E28"/>
    <w:rsid w:val="2C7D639B"/>
    <w:rsid w:val="2C813436"/>
    <w:rsid w:val="2CBE4572"/>
    <w:rsid w:val="2CE662F5"/>
    <w:rsid w:val="2CFE1A5A"/>
    <w:rsid w:val="2D304E35"/>
    <w:rsid w:val="2D455F9C"/>
    <w:rsid w:val="2D564730"/>
    <w:rsid w:val="2D74711E"/>
    <w:rsid w:val="2D921B52"/>
    <w:rsid w:val="2DA134D1"/>
    <w:rsid w:val="2DA77776"/>
    <w:rsid w:val="2DCB7BFB"/>
    <w:rsid w:val="2DCF6BB5"/>
    <w:rsid w:val="2DDF0916"/>
    <w:rsid w:val="2DDF5351"/>
    <w:rsid w:val="2DF96FF8"/>
    <w:rsid w:val="2E4E18AB"/>
    <w:rsid w:val="2E4F5A09"/>
    <w:rsid w:val="2E561C2A"/>
    <w:rsid w:val="2E6F68D1"/>
    <w:rsid w:val="2E824BBB"/>
    <w:rsid w:val="2E934CA9"/>
    <w:rsid w:val="2EFF5429"/>
    <w:rsid w:val="2F124686"/>
    <w:rsid w:val="2F470353"/>
    <w:rsid w:val="2F6D14BB"/>
    <w:rsid w:val="2F7A151E"/>
    <w:rsid w:val="2FB432C0"/>
    <w:rsid w:val="2FCC0489"/>
    <w:rsid w:val="2FCD3987"/>
    <w:rsid w:val="2FD10510"/>
    <w:rsid w:val="2FD80F0E"/>
    <w:rsid w:val="2FDF7015"/>
    <w:rsid w:val="30506B74"/>
    <w:rsid w:val="305807BF"/>
    <w:rsid w:val="30675A9C"/>
    <w:rsid w:val="308807F9"/>
    <w:rsid w:val="30E27814"/>
    <w:rsid w:val="313875B4"/>
    <w:rsid w:val="31672B4C"/>
    <w:rsid w:val="31921AAF"/>
    <w:rsid w:val="31A87524"/>
    <w:rsid w:val="31AC18B2"/>
    <w:rsid w:val="31C205E6"/>
    <w:rsid w:val="31C82FCF"/>
    <w:rsid w:val="31D84173"/>
    <w:rsid w:val="31DF116B"/>
    <w:rsid w:val="32070B68"/>
    <w:rsid w:val="32185788"/>
    <w:rsid w:val="3234761C"/>
    <w:rsid w:val="324F033D"/>
    <w:rsid w:val="32512C1B"/>
    <w:rsid w:val="325D3E6B"/>
    <w:rsid w:val="32625925"/>
    <w:rsid w:val="329F4483"/>
    <w:rsid w:val="32B35F36"/>
    <w:rsid w:val="32CB13F8"/>
    <w:rsid w:val="32D369B1"/>
    <w:rsid w:val="32E03B66"/>
    <w:rsid w:val="32F23D0A"/>
    <w:rsid w:val="32F522F5"/>
    <w:rsid w:val="331103CC"/>
    <w:rsid w:val="331C1EFD"/>
    <w:rsid w:val="335E305A"/>
    <w:rsid w:val="33C00B55"/>
    <w:rsid w:val="33DB5AFF"/>
    <w:rsid w:val="33F507CE"/>
    <w:rsid w:val="342709B9"/>
    <w:rsid w:val="342F346E"/>
    <w:rsid w:val="349F69BC"/>
    <w:rsid w:val="34AE4E61"/>
    <w:rsid w:val="34BA30BB"/>
    <w:rsid w:val="35057941"/>
    <w:rsid w:val="352E0148"/>
    <w:rsid w:val="353B63E4"/>
    <w:rsid w:val="35456445"/>
    <w:rsid w:val="35725E7F"/>
    <w:rsid w:val="35845BB2"/>
    <w:rsid w:val="359130B6"/>
    <w:rsid w:val="35C6307B"/>
    <w:rsid w:val="35E846EC"/>
    <w:rsid w:val="360A255B"/>
    <w:rsid w:val="369332D6"/>
    <w:rsid w:val="36B94AA6"/>
    <w:rsid w:val="36BC3D8B"/>
    <w:rsid w:val="36BD0003"/>
    <w:rsid w:val="36DB06DF"/>
    <w:rsid w:val="370C39F6"/>
    <w:rsid w:val="371E0B4E"/>
    <w:rsid w:val="37541B70"/>
    <w:rsid w:val="37597386"/>
    <w:rsid w:val="37795AA0"/>
    <w:rsid w:val="37920008"/>
    <w:rsid w:val="37A20C8C"/>
    <w:rsid w:val="37B00EE0"/>
    <w:rsid w:val="37B207B5"/>
    <w:rsid w:val="37C13AA8"/>
    <w:rsid w:val="37D5480C"/>
    <w:rsid w:val="38160499"/>
    <w:rsid w:val="3833057A"/>
    <w:rsid w:val="385628CC"/>
    <w:rsid w:val="38BD382A"/>
    <w:rsid w:val="38C0721C"/>
    <w:rsid w:val="38DF286F"/>
    <w:rsid w:val="390019C7"/>
    <w:rsid w:val="390962FB"/>
    <w:rsid w:val="39691347"/>
    <w:rsid w:val="397054E2"/>
    <w:rsid w:val="397A3409"/>
    <w:rsid w:val="397E6E3B"/>
    <w:rsid w:val="39826405"/>
    <w:rsid w:val="3995038E"/>
    <w:rsid w:val="39A8471A"/>
    <w:rsid w:val="39AB2B8B"/>
    <w:rsid w:val="39BF365D"/>
    <w:rsid w:val="39F364AE"/>
    <w:rsid w:val="3A125510"/>
    <w:rsid w:val="3A160B95"/>
    <w:rsid w:val="3A18254A"/>
    <w:rsid w:val="3A425496"/>
    <w:rsid w:val="3A4D6E69"/>
    <w:rsid w:val="3A537D73"/>
    <w:rsid w:val="3A7D599F"/>
    <w:rsid w:val="3A7E0E22"/>
    <w:rsid w:val="3A843F8B"/>
    <w:rsid w:val="3A89118D"/>
    <w:rsid w:val="3A8B0EFD"/>
    <w:rsid w:val="3A992100"/>
    <w:rsid w:val="3AB6112C"/>
    <w:rsid w:val="3AC727C9"/>
    <w:rsid w:val="3AD611D0"/>
    <w:rsid w:val="3B084042"/>
    <w:rsid w:val="3B0C4D1A"/>
    <w:rsid w:val="3B396910"/>
    <w:rsid w:val="3B52429F"/>
    <w:rsid w:val="3B566F51"/>
    <w:rsid w:val="3B6444BC"/>
    <w:rsid w:val="3B77509E"/>
    <w:rsid w:val="3B887E69"/>
    <w:rsid w:val="3B8E6E59"/>
    <w:rsid w:val="3BA65DEC"/>
    <w:rsid w:val="3BBD3DCD"/>
    <w:rsid w:val="3BBF5B96"/>
    <w:rsid w:val="3BE74978"/>
    <w:rsid w:val="3BF43D07"/>
    <w:rsid w:val="3C2701A9"/>
    <w:rsid w:val="3C880E85"/>
    <w:rsid w:val="3CBC7E10"/>
    <w:rsid w:val="3CDA1EE4"/>
    <w:rsid w:val="3CDC2292"/>
    <w:rsid w:val="3D031AB2"/>
    <w:rsid w:val="3D05582A"/>
    <w:rsid w:val="3D261061"/>
    <w:rsid w:val="3D29211F"/>
    <w:rsid w:val="3D455A1C"/>
    <w:rsid w:val="3D4662D9"/>
    <w:rsid w:val="3D5440BC"/>
    <w:rsid w:val="3DA35754"/>
    <w:rsid w:val="3DB5026E"/>
    <w:rsid w:val="3DD12874"/>
    <w:rsid w:val="3DD64167"/>
    <w:rsid w:val="3DEE4511"/>
    <w:rsid w:val="3E01673E"/>
    <w:rsid w:val="3E1453F5"/>
    <w:rsid w:val="3E277EE2"/>
    <w:rsid w:val="3E4D00CB"/>
    <w:rsid w:val="3E8872F6"/>
    <w:rsid w:val="3EC35BBC"/>
    <w:rsid w:val="3ED137EE"/>
    <w:rsid w:val="3F2C52F0"/>
    <w:rsid w:val="3F3761E1"/>
    <w:rsid w:val="3F4F2A01"/>
    <w:rsid w:val="3F6978AA"/>
    <w:rsid w:val="3F913467"/>
    <w:rsid w:val="40090159"/>
    <w:rsid w:val="40542AF7"/>
    <w:rsid w:val="40807087"/>
    <w:rsid w:val="409346DF"/>
    <w:rsid w:val="40A32121"/>
    <w:rsid w:val="40DF7875"/>
    <w:rsid w:val="40E55DD6"/>
    <w:rsid w:val="4103390E"/>
    <w:rsid w:val="4114428E"/>
    <w:rsid w:val="4163623E"/>
    <w:rsid w:val="416656FB"/>
    <w:rsid w:val="41990C37"/>
    <w:rsid w:val="41A5138A"/>
    <w:rsid w:val="41A9311D"/>
    <w:rsid w:val="41E40104"/>
    <w:rsid w:val="41F24094"/>
    <w:rsid w:val="41FA1ACA"/>
    <w:rsid w:val="42157B5E"/>
    <w:rsid w:val="42380B97"/>
    <w:rsid w:val="424114E5"/>
    <w:rsid w:val="424203E8"/>
    <w:rsid w:val="424741EF"/>
    <w:rsid w:val="42507548"/>
    <w:rsid w:val="426970D9"/>
    <w:rsid w:val="42B47119"/>
    <w:rsid w:val="42BD2E06"/>
    <w:rsid w:val="42D72D40"/>
    <w:rsid w:val="42E570DE"/>
    <w:rsid w:val="431C742A"/>
    <w:rsid w:val="43285C89"/>
    <w:rsid w:val="43302100"/>
    <w:rsid w:val="437E3311"/>
    <w:rsid w:val="438D2298"/>
    <w:rsid w:val="43BD65BA"/>
    <w:rsid w:val="43BF1E31"/>
    <w:rsid w:val="43D9356D"/>
    <w:rsid w:val="43E63682"/>
    <w:rsid w:val="44065017"/>
    <w:rsid w:val="44211954"/>
    <w:rsid w:val="44214728"/>
    <w:rsid w:val="4427252A"/>
    <w:rsid w:val="44380293"/>
    <w:rsid w:val="44405A11"/>
    <w:rsid w:val="44670B79"/>
    <w:rsid w:val="4469269E"/>
    <w:rsid w:val="448D3902"/>
    <w:rsid w:val="44A95CEC"/>
    <w:rsid w:val="44C8330E"/>
    <w:rsid w:val="44D437D2"/>
    <w:rsid w:val="44EB1363"/>
    <w:rsid w:val="450B7F44"/>
    <w:rsid w:val="45284E8F"/>
    <w:rsid w:val="455E45F3"/>
    <w:rsid w:val="457C705B"/>
    <w:rsid w:val="458A2D71"/>
    <w:rsid w:val="45922701"/>
    <w:rsid w:val="459B4162"/>
    <w:rsid w:val="45B63B66"/>
    <w:rsid w:val="45DB039B"/>
    <w:rsid w:val="45FB27BA"/>
    <w:rsid w:val="46005D7F"/>
    <w:rsid w:val="46050649"/>
    <w:rsid w:val="463217E8"/>
    <w:rsid w:val="46335317"/>
    <w:rsid w:val="464E1EBB"/>
    <w:rsid w:val="46530AF0"/>
    <w:rsid w:val="46554267"/>
    <w:rsid w:val="46AF70F5"/>
    <w:rsid w:val="473236C0"/>
    <w:rsid w:val="475C70F4"/>
    <w:rsid w:val="47726DDC"/>
    <w:rsid w:val="4781776C"/>
    <w:rsid w:val="47BF736E"/>
    <w:rsid w:val="47E769C5"/>
    <w:rsid w:val="47E904B8"/>
    <w:rsid w:val="48397FC7"/>
    <w:rsid w:val="483B0352"/>
    <w:rsid w:val="483E597A"/>
    <w:rsid w:val="48482A6F"/>
    <w:rsid w:val="486F26F2"/>
    <w:rsid w:val="488162EB"/>
    <w:rsid w:val="48AC4395"/>
    <w:rsid w:val="48D75E88"/>
    <w:rsid w:val="48E21116"/>
    <w:rsid w:val="49750B99"/>
    <w:rsid w:val="498F6E65"/>
    <w:rsid w:val="49BC5E8E"/>
    <w:rsid w:val="49CC5691"/>
    <w:rsid w:val="49D27F33"/>
    <w:rsid w:val="49D448E3"/>
    <w:rsid w:val="49DF1831"/>
    <w:rsid w:val="4A001853"/>
    <w:rsid w:val="4A251698"/>
    <w:rsid w:val="4A2A2D74"/>
    <w:rsid w:val="4A3576EB"/>
    <w:rsid w:val="4AA76173"/>
    <w:rsid w:val="4AC24D5B"/>
    <w:rsid w:val="4ADA2AB3"/>
    <w:rsid w:val="4AE42F23"/>
    <w:rsid w:val="4AF00461"/>
    <w:rsid w:val="4B1A0571"/>
    <w:rsid w:val="4B1A069C"/>
    <w:rsid w:val="4B266B94"/>
    <w:rsid w:val="4B2B0B52"/>
    <w:rsid w:val="4B35552D"/>
    <w:rsid w:val="4B4E2A92"/>
    <w:rsid w:val="4B654FB6"/>
    <w:rsid w:val="4B6A5B83"/>
    <w:rsid w:val="4B716D5D"/>
    <w:rsid w:val="4B954B24"/>
    <w:rsid w:val="4BDA1FB9"/>
    <w:rsid w:val="4BEA5097"/>
    <w:rsid w:val="4C3C28EB"/>
    <w:rsid w:val="4C3E6663"/>
    <w:rsid w:val="4CB74895"/>
    <w:rsid w:val="4CCE45A2"/>
    <w:rsid w:val="4CDD1CD9"/>
    <w:rsid w:val="4CE1778C"/>
    <w:rsid w:val="4D255CC4"/>
    <w:rsid w:val="4D4A249F"/>
    <w:rsid w:val="4D8C5643"/>
    <w:rsid w:val="4D9000BE"/>
    <w:rsid w:val="4DA4784B"/>
    <w:rsid w:val="4DCB520D"/>
    <w:rsid w:val="4DCE5B71"/>
    <w:rsid w:val="4DDA670D"/>
    <w:rsid w:val="4E471638"/>
    <w:rsid w:val="4E5B5AFC"/>
    <w:rsid w:val="4E643E7E"/>
    <w:rsid w:val="4E915170"/>
    <w:rsid w:val="4E9C3B15"/>
    <w:rsid w:val="4EC07803"/>
    <w:rsid w:val="4ECA0682"/>
    <w:rsid w:val="4ECD4BAC"/>
    <w:rsid w:val="4ED2754D"/>
    <w:rsid w:val="4EEF0B69"/>
    <w:rsid w:val="4F4837B7"/>
    <w:rsid w:val="4F601C3B"/>
    <w:rsid w:val="4F6835FE"/>
    <w:rsid w:val="4FB90871"/>
    <w:rsid w:val="4FD806DC"/>
    <w:rsid w:val="501222E0"/>
    <w:rsid w:val="503D0049"/>
    <w:rsid w:val="50455914"/>
    <w:rsid w:val="50672130"/>
    <w:rsid w:val="50850D04"/>
    <w:rsid w:val="50EF1340"/>
    <w:rsid w:val="514D29C2"/>
    <w:rsid w:val="51782A54"/>
    <w:rsid w:val="51F842B8"/>
    <w:rsid w:val="52082FA5"/>
    <w:rsid w:val="521C110E"/>
    <w:rsid w:val="52410C5B"/>
    <w:rsid w:val="524F2DD5"/>
    <w:rsid w:val="52A1643C"/>
    <w:rsid w:val="52F727E4"/>
    <w:rsid w:val="532277F3"/>
    <w:rsid w:val="532D4632"/>
    <w:rsid w:val="53464982"/>
    <w:rsid w:val="5366147A"/>
    <w:rsid w:val="5389481E"/>
    <w:rsid w:val="53AA14DC"/>
    <w:rsid w:val="53AD5667"/>
    <w:rsid w:val="53B13B7E"/>
    <w:rsid w:val="53DE3F33"/>
    <w:rsid w:val="53E47AF0"/>
    <w:rsid w:val="53F464BD"/>
    <w:rsid w:val="541F51DD"/>
    <w:rsid w:val="54AB64BD"/>
    <w:rsid w:val="54DB5F6B"/>
    <w:rsid w:val="55150BCD"/>
    <w:rsid w:val="552D3719"/>
    <w:rsid w:val="553E7A7D"/>
    <w:rsid w:val="55563985"/>
    <w:rsid w:val="55741347"/>
    <w:rsid w:val="559B4B26"/>
    <w:rsid w:val="55A54502"/>
    <w:rsid w:val="55C909CB"/>
    <w:rsid w:val="55F2591C"/>
    <w:rsid w:val="55F34016"/>
    <w:rsid w:val="561D228D"/>
    <w:rsid w:val="562F5193"/>
    <w:rsid w:val="563244E2"/>
    <w:rsid w:val="565E12D9"/>
    <w:rsid w:val="56D402F0"/>
    <w:rsid w:val="56FE536D"/>
    <w:rsid w:val="57055F55"/>
    <w:rsid w:val="57260F75"/>
    <w:rsid w:val="57407733"/>
    <w:rsid w:val="57571199"/>
    <w:rsid w:val="5794182D"/>
    <w:rsid w:val="57986CC2"/>
    <w:rsid w:val="57A777B2"/>
    <w:rsid w:val="57A852D8"/>
    <w:rsid w:val="57D83FAF"/>
    <w:rsid w:val="57E64CF0"/>
    <w:rsid w:val="57EE7073"/>
    <w:rsid w:val="57FD3876"/>
    <w:rsid w:val="583059FA"/>
    <w:rsid w:val="586F5BAC"/>
    <w:rsid w:val="587618AC"/>
    <w:rsid w:val="58922210"/>
    <w:rsid w:val="58AF7D45"/>
    <w:rsid w:val="58BB180B"/>
    <w:rsid w:val="58E45B6A"/>
    <w:rsid w:val="58F00CE5"/>
    <w:rsid w:val="59267F48"/>
    <w:rsid w:val="592A7F03"/>
    <w:rsid w:val="593327A4"/>
    <w:rsid w:val="59933EE6"/>
    <w:rsid w:val="59973179"/>
    <w:rsid w:val="59B14918"/>
    <w:rsid w:val="59D8488B"/>
    <w:rsid w:val="59DA3905"/>
    <w:rsid w:val="59DD4501"/>
    <w:rsid w:val="5A332316"/>
    <w:rsid w:val="5A3D7F5A"/>
    <w:rsid w:val="5A5D2BCB"/>
    <w:rsid w:val="5A641AC6"/>
    <w:rsid w:val="5A8D1DB1"/>
    <w:rsid w:val="5AA77AC9"/>
    <w:rsid w:val="5AA8355F"/>
    <w:rsid w:val="5AE658B8"/>
    <w:rsid w:val="5AED398E"/>
    <w:rsid w:val="5AFF2506"/>
    <w:rsid w:val="5B012003"/>
    <w:rsid w:val="5B0D5B7E"/>
    <w:rsid w:val="5B1C4E82"/>
    <w:rsid w:val="5B3539CB"/>
    <w:rsid w:val="5B5068D8"/>
    <w:rsid w:val="5BA26C0E"/>
    <w:rsid w:val="5BAC158E"/>
    <w:rsid w:val="5BD743DE"/>
    <w:rsid w:val="5BD963A8"/>
    <w:rsid w:val="5C0F5E89"/>
    <w:rsid w:val="5C194129"/>
    <w:rsid w:val="5C1C3400"/>
    <w:rsid w:val="5C2804AD"/>
    <w:rsid w:val="5C3C6CB8"/>
    <w:rsid w:val="5C7D6D34"/>
    <w:rsid w:val="5CA23634"/>
    <w:rsid w:val="5CA478F0"/>
    <w:rsid w:val="5CD03307"/>
    <w:rsid w:val="5CD76BD9"/>
    <w:rsid w:val="5CDD3C76"/>
    <w:rsid w:val="5CE639D8"/>
    <w:rsid w:val="5D327B1E"/>
    <w:rsid w:val="5D942587"/>
    <w:rsid w:val="5DAA1DAA"/>
    <w:rsid w:val="5DB021F7"/>
    <w:rsid w:val="5DDA619B"/>
    <w:rsid w:val="5E00477C"/>
    <w:rsid w:val="5E113AEE"/>
    <w:rsid w:val="5E32072B"/>
    <w:rsid w:val="5E435D88"/>
    <w:rsid w:val="5E6B6BB8"/>
    <w:rsid w:val="5E8343A9"/>
    <w:rsid w:val="5E9B5B97"/>
    <w:rsid w:val="5EDA20E9"/>
    <w:rsid w:val="5EEC63F2"/>
    <w:rsid w:val="5EF7416C"/>
    <w:rsid w:val="5F241E95"/>
    <w:rsid w:val="5F585836"/>
    <w:rsid w:val="5F686815"/>
    <w:rsid w:val="5FE12603"/>
    <w:rsid w:val="5FF65310"/>
    <w:rsid w:val="60177C29"/>
    <w:rsid w:val="60211151"/>
    <w:rsid w:val="60246991"/>
    <w:rsid w:val="60367925"/>
    <w:rsid w:val="609B4D2A"/>
    <w:rsid w:val="60C223EF"/>
    <w:rsid w:val="60DD4BA5"/>
    <w:rsid w:val="612727C6"/>
    <w:rsid w:val="613F0A5C"/>
    <w:rsid w:val="614A0876"/>
    <w:rsid w:val="61587C61"/>
    <w:rsid w:val="61903065"/>
    <w:rsid w:val="61A42FB4"/>
    <w:rsid w:val="61B01958"/>
    <w:rsid w:val="61C05174"/>
    <w:rsid w:val="61C3168D"/>
    <w:rsid w:val="61C3343B"/>
    <w:rsid w:val="61DB4182"/>
    <w:rsid w:val="61DB6F9A"/>
    <w:rsid w:val="61E6537B"/>
    <w:rsid w:val="61E92CCA"/>
    <w:rsid w:val="62281F4B"/>
    <w:rsid w:val="62342D75"/>
    <w:rsid w:val="625A1317"/>
    <w:rsid w:val="62821504"/>
    <w:rsid w:val="62D3757E"/>
    <w:rsid w:val="62E93FA4"/>
    <w:rsid w:val="631D7E23"/>
    <w:rsid w:val="633A7FA4"/>
    <w:rsid w:val="634520EC"/>
    <w:rsid w:val="63506F50"/>
    <w:rsid w:val="636A4689"/>
    <w:rsid w:val="637A5D7B"/>
    <w:rsid w:val="63952BB5"/>
    <w:rsid w:val="639916D3"/>
    <w:rsid w:val="63FD6F73"/>
    <w:rsid w:val="6423627E"/>
    <w:rsid w:val="6424218B"/>
    <w:rsid w:val="64480A16"/>
    <w:rsid w:val="644903C3"/>
    <w:rsid w:val="6463533F"/>
    <w:rsid w:val="64A26BBA"/>
    <w:rsid w:val="64AE6553"/>
    <w:rsid w:val="64B06C0B"/>
    <w:rsid w:val="64E77440"/>
    <w:rsid w:val="64F502BB"/>
    <w:rsid w:val="651F1583"/>
    <w:rsid w:val="656B40A0"/>
    <w:rsid w:val="656E0E00"/>
    <w:rsid w:val="65CE23AE"/>
    <w:rsid w:val="65FA5DBC"/>
    <w:rsid w:val="65FD4038"/>
    <w:rsid w:val="662207D5"/>
    <w:rsid w:val="6636323C"/>
    <w:rsid w:val="66435C4A"/>
    <w:rsid w:val="66833D42"/>
    <w:rsid w:val="66860D55"/>
    <w:rsid w:val="66A6332B"/>
    <w:rsid w:val="66B17B4D"/>
    <w:rsid w:val="66CF44E2"/>
    <w:rsid w:val="66E35E10"/>
    <w:rsid w:val="66FA167E"/>
    <w:rsid w:val="67727D2C"/>
    <w:rsid w:val="67CD6582"/>
    <w:rsid w:val="67D91902"/>
    <w:rsid w:val="67E078DF"/>
    <w:rsid w:val="67FD2842"/>
    <w:rsid w:val="67FF2D16"/>
    <w:rsid w:val="680352E0"/>
    <w:rsid w:val="682069FD"/>
    <w:rsid w:val="683F0AC4"/>
    <w:rsid w:val="68776E8D"/>
    <w:rsid w:val="687E630D"/>
    <w:rsid w:val="688A2124"/>
    <w:rsid w:val="68B74EC8"/>
    <w:rsid w:val="68BE2BAE"/>
    <w:rsid w:val="69113E5F"/>
    <w:rsid w:val="691E364C"/>
    <w:rsid w:val="69282628"/>
    <w:rsid w:val="693E5A9D"/>
    <w:rsid w:val="69431305"/>
    <w:rsid w:val="69530E9A"/>
    <w:rsid w:val="69801C11"/>
    <w:rsid w:val="69CB06BF"/>
    <w:rsid w:val="69D87C9F"/>
    <w:rsid w:val="6A0D5B9B"/>
    <w:rsid w:val="6A13774D"/>
    <w:rsid w:val="6A5E1C04"/>
    <w:rsid w:val="6A605EE2"/>
    <w:rsid w:val="6A8E7313"/>
    <w:rsid w:val="6A906F95"/>
    <w:rsid w:val="6AA21D1D"/>
    <w:rsid w:val="6AB7423C"/>
    <w:rsid w:val="6ABD6813"/>
    <w:rsid w:val="6ACE5484"/>
    <w:rsid w:val="6ACF5BB1"/>
    <w:rsid w:val="6AEE0DD2"/>
    <w:rsid w:val="6B064398"/>
    <w:rsid w:val="6B403D4E"/>
    <w:rsid w:val="6B4B624F"/>
    <w:rsid w:val="6B511AB7"/>
    <w:rsid w:val="6B8644F3"/>
    <w:rsid w:val="6B9648E2"/>
    <w:rsid w:val="6B97389C"/>
    <w:rsid w:val="6BA37E39"/>
    <w:rsid w:val="6BB04D51"/>
    <w:rsid w:val="6BC32289"/>
    <w:rsid w:val="6BCA3EE2"/>
    <w:rsid w:val="6BD83F86"/>
    <w:rsid w:val="6BDD524C"/>
    <w:rsid w:val="6C2F6ED2"/>
    <w:rsid w:val="6C4F42F8"/>
    <w:rsid w:val="6C4F730A"/>
    <w:rsid w:val="6C74101A"/>
    <w:rsid w:val="6C78486E"/>
    <w:rsid w:val="6C804E3A"/>
    <w:rsid w:val="6C88654F"/>
    <w:rsid w:val="6C983716"/>
    <w:rsid w:val="6CA9178D"/>
    <w:rsid w:val="6CB73CF7"/>
    <w:rsid w:val="6CBB4B08"/>
    <w:rsid w:val="6CD02EB0"/>
    <w:rsid w:val="6D47008B"/>
    <w:rsid w:val="6D910B00"/>
    <w:rsid w:val="6DA077C1"/>
    <w:rsid w:val="6DCD0837"/>
    <w:rsid w:val="6E0F072A"/>
    <w:rsid w:val="6E565636"/>
    <w:rsid w:val="6E873A42"/>
    <w:rsid w:val="6EE132C7"/>
    <w:rsid w:val="6EF17222"/>
    <w:rsid w:val="6F0068EF"/>
    <w:rsid w:val="6F050D2E"/>
    <w:rsid w:val="6F145A74"/>
    <w:rsid w:val="6F2968A7"/>
    <w:rsid w:val="6F2E5B23"/>
    <w:rsid w:val="6F303E4E"/>
    <w:rsid w:val="6F3B6D06"/>
    <w:rsid w:val="6F411E43"/>
    <w:rsid w:val="6F437969"/>
    <w:rsid w:val="6F6C44E9"/>
    <w:rsid w:val="6F7E0BD0"/>
    <w:rsid w:val="6F8E5A21"/>
    <w:rsid w:val="6FD607DD"/>
    <w:rsid w:val="6FEF578F"/>
    <w:rsid w:val="701B08E6"/>
    <w:rsid w:val="7026168C"/>
    <w:rsid w:val="70380997"/>
    <w:rsid w:val="7056191E"/>
    <w:rsid w:val="705D619D"/>
    <w:rsid w:val="706B361B"/>
    <w:rsid w:val="70786DFB"/>
    <w:rsid w:val="70E15E3F"/>
    <w:rsid w:val="7190518B"/>
    <w:rsid w:val="71A711AC"/>
    <w:rsid w:val="71B07212"/>
    <w:rsid w:val="71D65935"/>
    <w:rsid w:val="71D965E2"/>
    <w:rsid w:val="71DF0BB3"/>
    <w:rsid w:val="7267584A"/>
    <w:rsid w:val="726F778B"/>
    <w:rsid w:val="72CD0276"/>
    <w:rsid w:val="72D1172F"/>
    <w:rsid w:val="72DC479F"/>
    <w:rsid w:val="73041B05"/>
    <w:rsid w:val="73043725"/>
    <w:rsid w:val="73052279"/>
    <w:rsid w:val="731C71CE"/>
    <w:rsid w:val="73395D1E"/>
    <w:rsid w:val="733E7ADA"/>
    <w:rsid w:val="734839D0"/>
    <w:rsid w:val="73580BCD"/>
    <w:rsid w:val="73780A17"/>
    <w:rsid w:val="739A384D"/>
    <w:rsid w:val="73A66EC1"/>
    <w:rsid w:val="73C7188E"/>
    <w:rsid w:val="73CB43D1"/>
    <w:rsid w:val="73FB4CB6"/>
    <w:rsid w:val="7402791D"/>
    <w:rsid w:val="740578E3"/>
    <w:rsid w:val="74063D9D"/>
    <w:rsid w:val="742F289E"/>
    <w:rsid w:val="743033B3"/>
    <w:rsid w:val="74373814"/>
    <w:rsid w:val="743A7C47"/>
    <w:rsid w:val="74C70889"/>
    <w:rsid w:val="74CF33B1"/>
    <w:rsid w:val="74EF22B9"/>
    <w:rsid w:val="74F234E0"/>
    <w:rsid w:val="74FF23F9"/>
    <w:rsid w:val="7503065E"/>
    <w:rsid w:val="75120509"/>
    <w:rsid w:val="751A73BE"/>
    <w:rsid w:val="754B0D09"/>
    <w:rsid w:val="7581026A"/>
    <w:rsid w:val="75A77531"/>
    <w:rsid w:val="75BC66C7"/>
    <w:rsid w:val="76112F1A"/>
    <w:rsid w:val="76326989"/>
    <w:rsid w:val="76387C78"/>
    <w:rsid w:val="76651C0D"/>
    <w:rsid w:val="767A306F"/>
    <w:rsid w:val="768272AF"/>
    <w:rsid w:val="769D459A"/>
    <w:rsid w:val="769E2951"/>
    <w:rsid w:val="76D82401"/>
    <w:rsid w:val="76E70D63"/>
    <w:rsid w:val="76F53AEF"/>
    <w:rsid w:val="77023642"/>
    <w:rsid w:val="77416E84"/>
    <w:rsid w:val="774372B0"/>
    <w:rsid w:val="77495D38"/>
    <w:rsid w:val="77624E21"/>
    <w:rsid w:val="77B85D22"/>
    <w:rsid w:val="77E3618D"/>
    <w:rsid w:val="77F10179"/>
    <w:rsid w:val="77FC0FFD"/>
    <w:rsid w:val="78212EB3"/>
    <w:rsid w:val="782A4759"/>
    <w:rsid w:val="782B3649"/>
    <w:rsid w:val="784329C7"/>
    <w:rsid w:val="786A240A"/>
    <w:rsid w:val="78886D34"/>
    <w:rsid w:val="788F1479"/>
    <w:rsid w:val="78BD1FA7"/>
    <w:rsid w:val="78E8332F"/>
    <w:rsid w:val="78EA354B"/>
    <w:rsid w:val="78F329FA"/>
    <w:rsid w:val="78FA2DA2"/>
    <w:rsid w:val="78FD04CC"/>
    <w:rsid w:val="79181E66"/>
    <w:rsid w:val="79215E55"/>
    <w:rsid w:val="79703A50"/>
    <w:rsid w:val="798475D4"/>
    <w:rsid w:val="79D36A58"/>
    <w:rsid w:val="79EF5B06"/>
    <w:rsid w:val="7A11408C"/>
    <w:rsid w:val="7A117F7C"/>
    <w:rsid w:val="7A2807F1"/>
    <w:rsid w:val="7A2939B4"/>
    <w:rsid w:val="7A455D6A"/>
    <w:rsid w:val="7A5C2227"/>
    <w:rsid w:val="7A61783D"/>
    <w:rsid w:val="7A992B33"/>
    <w:rsid w:val="7A9D7A99"/>
    <w:rsid w:val="7AA240DD"/>
    <w:rsid w:val="7AD51075"/>
    <w:rsid w:val="7ADA7AB6"/>
    <w:rsid w:val="7AE364A4"/>
    <w:rsid w:val="7B080463"/>
    <w:rsid w:val="7B18439F"/>
    <w:rsid w:val="7B4360C2"/>
    <w:rsid w:val="7B5266EC"/>
    <w:rsid w:val="7B566704"/>
    <w:rsid w:val="7B760503"/>
    <w:rsid w:val="7B8E4B24"/>
    <w:rsid w:val="7B8F3F36"/>
    <w:rsid w:val="7BEE018A"/>
    <w:rsid w:val="7BF22EBA"/>
    <w:rsid w:val="7C0A3D07"/>
    <w:rsid w:val="7C2D409B"/>
    <w:rsid w:val="7C4C454C"/>
    <w:rsid w:val="7C513D15"/>
    <w:rsid w:val="7C5905B6"/>
    <w:rsid w:val="7C9A6AEA"/>
    <w:rsid w:val="7CB03626"/>
    <w:rsid w:val="7CB36D3E"/>
    <w:rsid w:val="7CE432B0"/>
    <w:rsid w:val="7CF27FB9"/>
    <w:rsid w:val="7D0454E2"/>
    <w:rsid w:val="7D220CC3"/>
    <w:rsid w:val="7D667D5C"/>
    <w:rsid w:val="7D6C09D3"/>
    <w:rsid w:val="7D7D673C"/>
    <w:rsid w:val="7DB86121"/>
    <w:rsid w:val="7DBE7C49"/>
    <w:rsid w:val="7DE33CE3"/>
    <w:rsid w:val="7DF82BBE"/>
    <w:rsid w:val="7E15087E"/>
    <w:rsid w:val="7E163059"/>
    <w:rsid w:val="7E4A543B"/>
    <w:rsid w:val="7E6D2DC5"/>
    <w:rsid w:val="7E9628ED"/>
    <w:rsid w:val="7EA97FD5"/>
    <w:rsid w:val="7EB03964"/>
    <w:rsid w:val="7EB4661A"/>
    <w:rsid w:val="7EBD21E5"/>
    <w:rsid w:val="7EFD16EC"/>
    <w:rsid w:val="7F10538E"/>
    <w:rsid w:val="7F1B1084"/>
    <w:rsid w:val="7F6D64CE"/>
    <w:rsid w:val="7FA3761A"/>
    <w:rsid w:val="7FB94E9E"/>
    <w:rsid w:val="7FFE6B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qFormat="1"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8"/>
    <w:qFormat/>
    <w:uiPriority w:val="0"/>
    <w:pPr>
      <w:keepNext/>
      <w:outlineLvl w:val="0"/>
    </w:pPr>
    <w:rPr>
      <w:rFonts w:ascii="宋体" w:hAnsi="宋体" w:cs="宋体"/>
      <w:b/>
      <w:sz w:val="52"/>
      <w:szCs w:val="24"/>
    </w:rPr>
  </w:style>
  <w:style w:type="paragraph" w:styleId="3">
    <w:name w:val="heading 2"/>
    <w:basedOn w:val="1"/>
    <w:next w:val="1"/>
    <w:link w:val="58"/>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416" w:lineRule="auto"/>
      <w:outlineLvl w:val="2"/>
    </w:pPr>
    <w:rPr>
      <w:b/>
      <w:bCs/>
      <w:sz w:val="32"/>
      <w:szCs w:val="32"/>
    </w:rPr>
  </w:style>
  <w:style w:type="paragraph" w:styleId="5">
    <w:name w:val="heading 4"/>
    <w:basedOn w:val="1"/>
    <w:next w:val="1"/>
    <w:qFormat/>
    <w:uiPriority w:val="0"/>
    <w:pPr>
      <w:keepNext/>
      <w:keepLines/>
      <w:spacing w:line="376" w:lineRule="auto"/>
      <w:outlineLvl w:val="3"/>
    </w:pPr>
    <w:rPr>
      <w:rFonts w:ascii="Arial" w:hAnsi="Arial" w:eastAsia="黑体"/>
      <w:b/>
      <w:bCs/>
      <w:sz w:val="28"/>
      <w:szCs w:val="28"/>
    </w:rPr>
  </w:style>
  <w:style w:type="paragraph" w:styleId="6">
    <w:name w:val="heading 7"/>
    <w:basedOn w:val="1"/>
    <w:next w:val="1"/>
    <w:link w:val="63"/>
    <w:qFormat/>
    <w:uiPriority w:val="0"/>
    <w:pPr>
      <w:keepNext/>
      <w:keepLines/>
      <w:spacing w:line="320" w:lineRule="auto"/>
      <w:outlineLvl w:val="6"/>
    </w:pPr>
    <w:rPr>
      <w:b/>
      <w:bCs/>
      <w:sz w:val="24"/>
      <w:szCs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7">
    <w:name w:val="List Number"/>
    <w:basedOn w:val="1"/>
    <w:qFormat/>
    <w:uiPriority w:val="0"/>
    <w:pPr>
      <w:widowControl/>
      <w:numPr>
        <w:ilvl w:val="0"/>
        <w:numId w:val="1"/>
      </w:numPr>
      <w:tabs>
        <w:tab w:val="left" w:pos="454"/>
        <w:tab w:val="left" w:pos="720"/>
        <w:tab w:val="clear" w:pos="360"/>
      </w:tabs>
      <w:spacing w:afterLines="50"/>
      <w:ind w:left="454" w:hanging="284"/>
      <w:jc w:val="left"/>
    </w:pPr>
    <w:rPr>
      <w:kern w:val="0"/>
      <w:sz w:val="24"/>
    </w:rPr>
  </w:style>
  <w:style w:type="paragraph" w:styleId="8">
    <w:name w:val="Normal Indent"/>
    <w:basedOn w:val="1"/>
    <w:next w:val="1"/>
    <w:link w:val="57"/>
    <w:qFormat/>
    <w:uiPriority w:val="0"/>
    <w:pPr>
      <w:ind w:firstLine="420" w:firstLineChars="200"/>
    </w:pPr>
  </w:style>
  <w:style w:type="paragraph" w:styleId="9">
    <w:name w:val="caption"/>
    <w:basedOn w:val="1"/>
    <w:next w:val="1"/>
    <w:qFormat/>
    <w:uiPriority w:val="0"/>
    <w:rPr>
      <w:rFonts w:ascii="Arial" w:hAnsi="Arial" w:eastAsia="黑体" w:cs="Arial"/>
      <w:sz w:val="20"/>
    </w:rPr>
  </w:style>
  <w:style w:type="paragraph" w:styleId="10">
    <w:name w:val="annotation text"/>
    <w:basedOn w:val="1"/>
    <w:semiHidden/>
    <w:qFormat/>
    <w:uiPriority w:val="0"/>
    <w:pPr>
      <w:jc w:val="left"/>
    </w:pPr>
  </w:style>
  <w:style w:type="paragraph" w:styleId="11">
    <w:name w:val="index 6"/>
    <w:basedOn w:val="1"/>
    <w:next w:val="1"/>
    <w:qFormat/>
    <w:uiPriority w:val="99"/>
    <w:pPr>
      <w:ind w:left="2100"/>
    </w:pPr>
  </w:style>
  <w:style w:type="paragraph" w:styleId="12">
    <w:name w:val="Body Text"/>
    <w:basedOn w:val="1"/>
    <w:link w:val="61"/>
    <w:semiHidden/>
    <w:qFormat/>
    <w:uiPriority w:val="0"/>
    <w:pPr>
      <w:autoSpaceDE w:val="0"/>
      <w:autoSpaceDN w:val="0"/>
      <w:adjustRightInd w:val="0"/>
      <w:spacing w:line="320" w:lineRule="atLeast"/>
      <w:ind w:firstLine="357"/>
      <w:textAlignment w:val="baseline"/>
    </w:pPr>
    <w:rPr>
      <w:sz w:val="18"/>
    </w:rPr>
  </w:style>
  <w:style w:type="paragraph" w:styleId="13">
    <w:name w:val="Body Text Indent"/>
    <w:basedOn w:val="1"/>
    <w:next w:val="14"/>
    <w:qFormat/>
    <w:uiPriority w:val="0"/>
    <w:pPr>
      <w:ind w:left="420" w:leftChars="200"/>
    </w:pPr>
  </w:style>
  <w:style w:type="paragraph" w:styleId="14">
    <w:name w:val="Normal (Web)"/>
    <w:basedOn w:val="1"/>
    <w:next w:val="1"/>
    <w:qFormat/>
    <w:uiPriority w:val="0"/>
    <w:pPr>
      <w:widowControl/>
      <w:spacing w:beforeAutospacing="1" w:afterAutospacing="1"/>
      <w:jc w:val="left"/>
    </w:pPr>
    <w:rPr>
      <w:rFonts w:ascii="宋体" w:hAnsi="宋体" w:cs="宋体"/>
      <w:kern w:val="0"/>
      <w:sz w:val="24"/>
      <w:szCs w:val="24"/>
    </w:rPr>
  </w:style>
  <w:style w:type="paragraph" w:styleId="15">
    <w:name w:val="toc 3"/>
    <w:basedOn w:val="1"/>
    <w:next w:val="1"/>
    <w:unhideWhenUsed/>
    <w:qFormat/>
    <w:uiPriority w:val="0"/>
    <w:pPr>
      <w:autoSpaceDE w:val="0"/>
      <w:autoSpaceDN w:val="0"/>
      <w:adjustRightInd w:val="0"/>
      <w:spacing w:line="312" w:lineRule="atLeast"/>
      <w:ind w:left="840" w:leftChars="400"/>
      <w:textAlignment w:val="baseline"/>
    </w:pPr>
    <w:rPr>
      <w:kern w:val="0"/>
    </w:rPr>
  </w:style>
  <w:style w:type="paragraph" w:styleId="16">
    <w:name w:val="Plain Text"/>
    <w:basedOn w:val="1"/>
    <w:link w:val="55"/>
    <w:qFormat/>
    <w:uiPriority w:val="0"/>
    <w:rPr>
      <w:rFonts w:ascii="宋体" w:hAnsi="Courier New"/>
    </w:rPr>
  </w:style>
  <w:style w:type="paragraph" w:styleId="17">
    <w:name w:val="Date"/>
    <w:basedOn w:val="1"/>
    <w:next w:val="1"/>
    <w:qFormat/>
    <w:uiPriority w:val="0"/>
    <w:pPr>
      <w:ind w:left="100"/>
    </w:pPr>
    <w:rPr>
      <w:sz w:val="28"/>
    </w:rPr>
  </w:style>
  <w:style w:type="paragraph" w:styleId="18">
    <w:name w:val="Body Text Indent 2"/>
    <w:basedOn w:val="1"/>
    <w:qFormat/>
    <w:uiPriority w:val="0"/>
    <w:pPr>
      <w:ind w:firstLine="480"/>
    </w:pPr>
    <w:rPr>
      <w:rFonts w:ascii="宋体" w:hAnsi="宋体"/>
      <w:sz w:val="30"/>
      <w:szCs w:val="24"/>
    </w:rPr>
  </w:style>
  <w:style w:type="paragraph" w:styleId="19">
    <w:name w:val="Balloon Text"/>
    <w:basedOn w:val="1"/>
    <w:semiHidden/>
    <w:qFormat/>
    <w:uiPriority w:val="0"/>
    <w:rPr>
      <w:sz w:val="18"/>
      <w:szCs w:val="18"/>
    </w:rPr>
  </w:style>
  <w:style w:type="paragraph" w:styleId="20">
    <w:name w:val="footer"/>
    <w:basedOn w:val="1"/>
    <w:link w:val="62"/>
    <w:qFormat/>
    <w:uiPriority w:val="0"/>
    <w:pPr>
      <w:tabs>
        <w:tab w:val="center" w:pos="4153"/>
        <w:tab w:val="right" w:pos="8306"/>
      </w:tabs>
      <w:snapToGrid w:val="0"/>
      <w:jc w:val="left"/>
    </w:pPr>
    <w:rPr>
      <w:sz w:val="18"/>
    </w:rPr>
  </w:style>
  <w:style w:type="paragraph" w:styleId="21">
    <w:name w:val="envelope return"/>
    <w:basedOn w:val="1"/>
    <w:qFormat/>
    <w:uiPriority w:val="0"/>
    <w:pPr>
      <w:snapToGrid w:val="0"/>
    </w:pPr>
    <w:rPr>
      <w:rFonts w:ascii="Arial" w:hAnsi="Arial"/>
    </w:rPr>
  </w:style>
  <w:style w:type="paragraph" w:styleId="22">
    <w:name w:val="header"/>
    <w:basedOn w:val="1"/>
    <w:link w:val="64"/>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0"/>
    <w:pPr>
      <w:autoSpaceDE w:val="0"/>
      <w:autoSpaceDN w:val="0"/>
      <w:adjustRightInd w:val="0"/>
      <w:spacing w:line="312" w:lineRule="atLeast"/>
      <w:textAlignment w:val="baseline"/>
    </w:pPr>
    <w:rPr>
      <w:kern w:val="0"/>
    </w:rPr>
  </w:style>
  <w:style w:type="paragraph" w:styleId="24">
    <w:name w:val="List"/>
    <w:basedOn w:val="1"/>
    <w:semiHidden/>
    <w:qFormat/>
    <w:uiPriority w:val="0"/>
    <w:pPr>
      <w:autoSpaceDE w:val="0"/>
      <w:autoSpaceDN w:val="0"/>
      <w:adjustRightInd w:val="0"/>
      <w:ind w:left="420" w:hanging="420"/>
      <w:textAlignment w:val="baseline"/>
    </w:pPr>
  </w:style>
  <w:style w:type="paragraph" w:styleId="25">
    <w:name w:val="toc 2"/>
    <w:basedOn w:val="1"/>
    <w:next w:val="1"/>
    <w:unhideWhenUsed/>
    <w:qFormat/>
    <w:uiPriority w:val="0"/>
    <w:pPr>
      <w:autoSpaceDE w:val="0"/>
      <w:autoSpaceDN w:val="0"/>
      <w:adjustRightInd w:val="0"/>
      <w:spacing w:line="312" w:lineRule="atLeast"/>
      <w:ind w:left="420" w:leftChars="200"/>
      <w:textAlignment w:val="baseline"/>
    </w:pPr>
    <w:rPr>
      <w:kern w:val="0"/>
    </w:rPr>
  </w:style>
  <w:style w:type="paragraph" w:styleId="26">
    <w:name w:val="HTML Preformatted"/>
    <w:basedOn w:val="1"/>
    <w:qFormat/>
    <w:uiPriority w:val="0"/>
    <w:rPr>
      <w:rFonts w:ascii="Courier New" w:hAnsi="Courier New"/>
      <w:sz w:val="20"/>
    </w:rPr>
  </w:style>
  <w:style w:type="paragraph" w:styleId="27">
    <w:name w:val="annotation subject"/>
    <w:basedOn w:val="10"/>
    <w:next w:val="10"/>
    <w:semiHidden/>
    <w:qFormat/>
    <w:uiPriority w:val="0"/>
    <w:rPr>
      <w:b/>
      <w:bCs/>
    </w:rPr>
  </w:style>
  <w:style w:type="paragraph" w:styleId="28">
    <w:name w:val="Body Text First Indent"/>
    <w:basedOn w:val="12"/>
    <w:next w:val="1"/>
    <w:link w:val="56"/>
    <w:unhideWhenUsed/>
    <w:qFormat/>
    <w:uiPriority w:val="0"/>
    <w:pPr>
      <w:spacing w:line="312" w:lineRule="atLeast"/>
      <w:ind w:firstLine="420" w:firstLineChars="100"/>
    </w:pPr>
    <w:rPr>
      <w:sz w:val="21"/>
    </w:rPr>
  </w:style>
  <w:style w:type="paragraph" w:styleId="29">
    <w:name w:val="Body Text First Indent 2"/>
    <w:basedOn w:val="13"/>
    <w:qFormat/>
    <w:uiPriority w:val="0"/>
    <w:pPr>
      <w:ind w:firstLine="420" w:firstLineChars="200"/>
    </w:pPr>
    <w:rPr>
      <w:rFonts w:eastAsia="宋?"/>
      <w:sz w:val="32"/>
      <w:szCs w:val="32"/>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0"/>
    <w:rPr>
      <w:b/>
    </w:rPr>
  </w:style>
  <w:style w:type="character" w:styleId="34">
    <w:name w:val="page number"/>
    <w:basedOn w:val="32"/>
    <w:qFormat/>
    <w:uiPriority w:val="0"/>
  </w:style>
  <w:style w:type="character" w:styleId="35">
    <w:name w:val="Hyperlink"/>
    <w:basedOn w:val="32"/>
    <w:qFormat/>
    <w:uiPriority w:val="0"/>
    <w:rPr>
      <w:color w:val="0000FF"/>
      <w:u w:val="single"/>
    </w:rPr>
  </w:style>
  <w:style w:type="character" w:styleId="36">
    <w:name w:val="annotation reference"/>
    <w:basedOn w:val="32"/>
    <w:semiHidden/>
    <w:qFormat/>
    <w:uiPriority w:val="0"/>
    <w:rPr>
      <w:sz w:val="21"/>
      <w:szCs w:val="21"/>
    </w:rPr>
  </w:style>
  <w:style w:type="character" w:styleId="37">
    <w:name w:val="HTML Sample"/>
    <w:basedOn w:val="32"/>
    <w:qFormat/>
    <w:uiPriority w:val="0"/>
    <w:rPr>
      <w:rFonts w:ascii="Courier New" w:hAnsi="Courier New" w:eastAsia="宋体" w:cs="Times New Roman"/>
    </w:rPr>
  </w:style>
  <w:style w:type="character" w:customStyle="1" w:styleId="38">
    <w:name w:val="标题 1 Char"/>
    <w:basedOn w:val="32"/>
    <w:link w:val="2"/>
    <w:qFormat/>
    <w:locked/>
    <w:uiPriority w:val="0"/>
    <w:rPr>
      <w:rFonts w:ascii="宋体" w:hAnsi="宋体" w:eastAsia="宋体" w:cs="宋体"/>
      <w:b/>
      <w:kern w:val="2"/>
      <w:sz w:val="52"/>
      <w:szCs w:val="24"/>
      <w:lang w:val="en-US" w:eastAsia="zh-CN" w:bidi="ar-SA"/>
    </w:rPr>
  </w:style>
  <w:style w:type="paragraph" w:customStyle="1" w:styleId="39">
    <w:name w:val="目录 53"/>
    <w:basedOn w:val="1"/>
    <w:next w:val="1"/>
    <w:qFormat/>
    <w:uiPriority w:val="0"/>
    <w:pPr>
      <w:ind w:left="840"/>
    </w:pPr>
    <w:rPr>
      <w:rFonts w:ascii="Times New Roman"/>
      <w:sz w:val="18"/>
    </w:rPr>
  </w:style>
  <w:style w:type="paragraph" w:customStyle="1" w:styleId="40">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4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42">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3">
    <w:name w:val="标准中文版式_正文"/>
    <w:basedOn w:val="1"/>
    <w:qFormat/>
    <w:uiPriority w:val="0"/>
    <w:pPr>
      <w:spacing w:line="360" w:lineRule="auto"/>
      <w:ind w:firstLine="200" w:firstLineChars="200"/>
    </w:pPr>
    <w:rPr>
      <w:rFonts w:ascii="Arial" w:hAnsi="Arial"/>
      <w:sz w:val="24"/>
    </w:rPr>
  </w:style>
  <w:style w:type="paragraph" w:customStyle="1" w:styleId="44">
    <w:name w:val="样式 样式 样式 首行缩进 + 首行缩进:  2 字符 + 首行缩进:  2 字符 + 首行缩进:  2 字符"/>
    <w:basedOn w:val="1"/>
    <w:qFormat/>
    <w:uiPriority w:val="0"/>
    <w:pPr>
      <w:snapToGrid w:val="0"/>
      <w:spacing w:line="360" w:lineRule="auto"/>
      <w:ind w:left="-180" w:leftChars="-75" w:firstLine="536" w:firstLineChars="182"/>
    </w:pPr>
    <w:rPr>
      <w:rFonts w:ascii="宋体" w:hAnsi="宋体" w:cs="宋体"/>
      <w:spacing w:val="-6"/>
      <w:sz w:val="24"/>
      <w:szCs w:val="24"/>
    </w:rPr>
  </w:style>
  <w:style w:type="paragraph" w:customStyle="1" w:styleId="45">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6">
    <w:name w:val="样式 样式 样式 左侧:  2 字符1 + 首行缩进:  2 字符1 + 首行缩进:  2 字符"/>
    <w:basedOn w:val="1"/>
    <w:qFormat/>
    <w:uiPriority w:val="0"/>
    <w:pPr>
      <w:widowControl/>
      <w:spacing w:line="440" w:lineRule="atLeast"/>
      <w:ind w:firstLine="480"/>
    </w:pPr>
    <w:rPr>
      <w:rFonts w:hint="eastAsia"/>
      <w:sz w:val="24"/>
    </w:rPr>
  </w:style>
  <w:style w:type="paragraph" w:customStyle="1" w:styleId="47">
    <w:name w:val="图1"/>
    <w:basedOn w:val="1"/>
    <w:next w:val="1"/>
    <w:qFormat/>
    <w:uiPriority w:val="0"/>
    <w:pPr>
      <w:numPr>
        <w:ilvl w:val="0"/>
        <w:numId w:val="2"/>
      </w:numPr>
      <w:tabs>
        <w:tab w:val="left" w:pos="777"/>
        <w:tab w:val="clear" w:pos="709"/>
      </w:tabs>
      <w:spacing w:beforeLines="50" w:afterLines="100" w:line="360" w:lineRule="auto"/>
      <w:ind w:left="2210" w:hanging="748"/>
      <w:jc w:val="center"/>
    </w:pPr>
    <w:rPr>
      <w:kern w:val="0"/>
      <w:sz w:val="24"/>
      <w:szCs w:val="24"/>
    </w:rPr>
  </w:style>
  <w:style w:type="paragraph" w:customStyle="1" w:styleId="48">
    <w:name w:val="正文（首行缩进2字符）"/>
    <w:basedOn w:val="1"/>
    <w:link w:val="59"/>
    <w:qFormat/>
    <w:uiPriority w:val="0"/>
    <w:pPr>
      <w:spacing w:line="360" w:lineRule="auto"/>
      <w:ind w:firstLine="480" w:firstLineChars="200"/>
    </w:pPr>
    <w:rPr>
      <w:sz w:val="24"/>
    </w:rPr>
  </w:style>
  <w:style w:type="paragraph" w:customStyle="1" w:styleId="49">
    <w:name w:val="xl30"/>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ascii="Arial Unicode MS" w:hAnsi="Arial Unicode MS"/>
      <w:kern w:val="0"/>
      <w:sz w:val="20"/>
    </w:rPr>
  </w:style>
  <w:style w:type="paragraph" w:customStyle="1" w:styleId="50">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51">
    <w:name w:val="列出段落1"/>
    <w:basedOn w:val="1"/>
    <w:qFormat/>
    <w:uiPriority w:val="0"/>
    <w:pPr>
      <w:ind w:firstLine="420" w:firstLineChars="200"/>
    </w:pPr>
    <w:rPr>
      <w:rFonts w:ascii="Calibri" w:hAnsi="Calibri"/>
      <w:szCs w:val="22"/>
    </w:rPr>
  </w:style>
  <w:style w:type="paragraph" w:customStyle="1" w:styleId="52">
    <w:name w:val="TOC 标题1"/>
    <w:basedOn w:val="2"/>
    <w:next w:val="1"/>
    <w:qFormat/>
    <w:uiPriority w:val="0"/>
    <w:pPr>
      <w:keepLines/>
      <w:widowControl/>
      <w:spacing w:line="276" w:lineRule="auto"/>
      <w:jc w:val="left"/>
      <w:outlineLvl w:val="9"/>
    </w:pPr>
    <w:rPr>
      <w:rFonts w:ascii="Cambria" w:hAnsi="Cambria" w:cs="Times New Roman"/>
      <w:bCs/>
      <w:color w:val="365F91"/>
      <w:kern w:val="0"/>
      <w:sz w:val="28"/>
      <w:szCs w:val="28"/>
    </w:rPr>
  </w:style>
  <w:style w:type="character" w:customStyle="1" w:styleId="53">
    <w:name w:val="Char Char4"/>
    <w:basedOn w:val="32"/>
    <w:qFormat/>
    <w:uiPriority w:val="0"/>
    <w:rPr>
      <w:rFonts w:eastAsia="宋体"/>
      <w:kern w:val="2"/>
      <w:sz w:val="18"/>
      <w:lang w:val="en-US" w:eastAsia="zh-CN" w:bidi="ar-SA"/>
    </w:rPr>
  </w:style>
  <w:style w:type="character" w:customStyle="1" w:styleId="54">
    <w:name w:val="超链接1"/>
    <w:qFormat/>
    <w:uiPriority w:val="0"/>
    <w:rPr>
      <w:color w:val="0000FF"/>
      <w:sz w:val="20"/>
      <w:u w:val="single"/>
    </w:rPr>
  </w:style>
  <w:style w:type="character" w:customStyle="1" w:styleId="55">
    <w:name w:val="纯文本 Char"/>
    <w:basedOn w:val="32"/>
    <w:link w:val="16"/>
    <w:qFormat/>
    <w:uiPriority w:val="0"/>
    <w:rPr>
      <w:rFonts w:ascii="宋体" w:hAnsi="Courier New" w:eastAsia="宋体"/>
      <w:kern w:val="2"/>
      <w:sz w:val="21"/>
      <w:lang w:val="en-US" w:eastAsia="zh-CN" w:bidi="ar-SA"/>
    </w:rPr>
  </w:style>
  <w:style w:type="character" w:customStyle="1" w:styleId="56">
    <w:name w:val="正文首行缩进 Char"/>
    <w:link w:val="28"/>
    <w:semiHidden/>
    <w:qFormat/>
    <w:uiPriority w:val="0"/>
    <w:rPr>
      <w:rFonts w:eastAsia="宋体"/>
      <w:kern w:val="2"/>
      <w:sz w:val="21"/>
      <w:lang w:val="en-US" w:eastAsia="zh-CN" w:bidi="ar-SA"/>
    </w:rPr>
  </w:style>
  <w:style w:type="character" w:customStyle="1" w:styleId="57">
    <w:name w:val="正文缩进 Char"/>
    <w:link w:val="8"/>
    <w:qFormat/>
    <w:uiPriority w:val="0"/>
    <w:rPr>
      <w:rFonts w:eastAsia="宋体"/>
      <w:kern w:val="2"/>
      <w:sz w:val="21"/>
      <w:lang w:val="en-US" w:eastAsia="zh-CN" w:bidi="ar-SA"/>
    </w:rPr>
  </w:style>
  <w:style w:type="character" w:customStyle="1" w:styleId="58">
    <w:name w:val="标题 2 Char"/>
    <w:link w:val="3"/>
    <w:semiHidden/>
    <w:qFormat/>
    <w:uiPriority w:val="0"/>
    <w:rPr>
      <w:rFonts w:ascii="Arial" w:hAnsi="Arial" w:eastAsia="黑体"/>
      <w:b/>
      <w:bCs/>
      <w:kern w:val="2"/>
      <w:sz w:val="32"/>
      <w:szCs w:val="32"/>
      <w:lang w:val="en-US" w:eastAsia="zh-CN" w:bidi="ar-SA"/>
    </w:rPr>
  </w:style>
  <w:style w:type="character" w:customStyle="1" w:styleId="59">
    <w:name w:val="正文（首行缩进2字符） Char"/>
    <w:link w:val="48"/>
    <w:qFormat/>
    <w:uiPriority w:val="0"/>
    <w:rPr>
      <w:rFonts w:eastAsia="宋体"/>
      <w:kern w:val="2"/>
      <w:sz w:val="24"/>
      <w:lang w:bidi="ar-SA"/>
    </w:rPr>
  </w:style>
  <w:style w:type="character" w:customStyle="1" w:styleId="60">
    <w:name w:val="1page sec3 Char"/>
    <w:basedOn w:val="32"/>
    <w:semiHidden/>
    <w:qFormat/>
    <w:uiPriority w:val="0"/>
    <w:rPr>
      <w:rFonts w:eastAsia="宋体"/>
      <w:kern w:val="2"/>
      <w:sz w:val="18"/>
      <w:szCs w:val="18"/>
      <w:lang w:val="en-US" w:eastAsia="zh-CN" w:bidi="ar-SA"/>
    </w:rPr>
  </w:style>
  <w:style w:type="character" w:customStyle="1" w:styleId="61">
    <w:name w:val="正文文本 Char"/>
    <w:basedOn w:val="32"/>
    <w:link w:val="12"/>
    <w:qFormat/>
    <w:uiPriority w:val="0"/>
    <w:rPr>
      <w:rFonts w:eastAsia="宋体"/>
      <w:kern w:val="2"/>
      <w:sz w:val="18"/>
      <w:lang w:val="en-US" w:eastAsia="zh-CN" w:bidi="ar-SA"/>
    </w:rPr>
  </w:style>
  <w:style w:type="character" w:customStyle="1" w:styleId="62">
    <w:name w:val="页脚 Char"/>
    <w:link w:val="20"/>
    <w:qFormat/>
    <w:locked/>
    <w:uiPriority w:val="0"/>
    <w:rPr>
      <w:rFonts w:eastAsia="宋体"/>
      <w:kern w:val="2"/>
      <w:sz w:val="18"/>
      <w:lang w:val="en-US" w:eastAsia="zh-CN" w:bidi="ar-SA"/>
    </w:rPr>
  </w:style>
  <w:style w:type="character" w:customStyle="1" w:styleId="63">
    <w:name w:val="标题 7 Char"/>
    <w:link w:val="6"/>
    <w:qFormat/>
    <w:uiPriority w:val="0"/>
    <w:rPr>
      <w:rFonts w:eastAsia="宋体"/>
      <w:b/>
      <w:bCs/>
      <w:kern w:val="2"/>
      <w:sz w:val="24"/>
      <w:szCs w:val="24"/>
      <w:lang w:val="en-US" w:eastAsia="zh-CN" w:bidi="ar-SA"/>
    </w:rPr>
  </w:style>
  <w:style w:type="character" w:customStyle="1" w:styleId="64">
    <w:name w:val="页眉 Char"/>
    <w:link w:val="22"/>
    <w:qFormat/>
    <w:uiPriority w:val="0"/>
    <w:rPr>
      <w:rFonts w:eastAsia="宋体"/>
      <w:kern w:val="2"/>
      <w:sz w:val="18"/>
      <w:szCs w:val="18"/>
      <w:lang w:val="en-US" w:eastAsia="zh-CN" w:bidi="ar-SA"/>
    </w:rPr>
  </w:style>
  <w:style w:type="paragraph" w:customStyle="1" w:styleId="65">
    <w:name w:val="UserStyle_146"/>
    <w:basedOn w:val="1"/>
    <w:qFormat/>
    <w:uiPriority w:val="0"/>
    <w:pPr>
      <w:jc w:val="left"/>
    </w:pPr>
    <w:rPr>
      <w:rFonts w:ascii="宋体" w:hAnsi="宋体"/>
      <w:kern w:val="0"/>
      <w:sz w:val="22"/>
      <w:lang w:eastAsia="en-US"/>
    </w:rPr>
  </w:style>
  <w:style w:type="character" w:customStyle="1" w:styleId="66">
    <w:name w:val="font41"/>
    <w:basedOn w:val="32"/>
    <w:qFormat/>
    <w:uiPriority w:val="0"/>
    <w:rPr>
      <w:rFonts w:hint="eastAsia" w:ascii="宋体" w:hAnsi="宋体" w:eastAsia="宋体" w:cs="宋体"/>
      <w:color w:val="000000"/>
      <w:sz w:val="32"/>
      <w:szCs w:val="32"/>
      <w:u w:val="single"/>
    </w:rPr>
  </w:style>
  <w:style w:type="character" w:customStyle="1" w:styleId="67">
    <w:name w:val="font11"/>
    <w:basedOn w:val="32"/>
    <w:qFormat/>
    <w:uiPriority w:val="0"/>
    <w:rPr>
      <w:rFonts w:hint="eastAsia" w:ascii="宋体" w:hAnsi="宋体" w:eastAsia="宋体" w:cs="宋体"/>
      <w:color w:val="000000"/>
      <w:sz w:val="32"/>
      <w:szCs w:val="32"/>
      <w:u w:val="none"/>
    </w:rPr>
  </w:style>
  <w:style w:type="character" w:customStyle="1" w:styleId="68">
    <w:name w:val="font31"/>
    <w:basedOn w:val="32"/>
    <w:qFormat/>
    <w:uiPriority w:val="0"/>
    <w:rPr>
      <w:rFonts w:hint="eastAsia" w:ascii="宋体" w:hAnsi="宋体" w:eastAsia="宋体" w:cs="宋体"/>
      <w:color w:val="000000"/>
      <w:sz w:val="32"/>
      <w:szCs w:val="32"/>
      <w:u w:val="single"/>
    </w:rPr>
  </w:style>
  <w:style w:type="paragraph" w:customStyle="1" w:styleId="69">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70">
    <w:name w:val="Table Text"/>
    <w:basedOn w:val="1"/>
    <w:semiHidden/>
    <w:qFormat/>
    <w:uiPriority w:val="0"/>
    <w:rPr>
      <w:rFonts w:ascii="宋体" w:hAnsi="宋体" w:eastAsia="宋体" w:cs="宋体"/>
      <w:sz w:val="20"/>
      <w:szCs w:val="20"/>
      <w:lang w:val="en-US" w:eastAsia="en-US" w:bidi="ar-SA"/>
    </w:rPr>
  </w:style>
  <w:style w:type="table" w:customStyle="1" w:styleId="71">
    <w:name w:val="Table Normal"/>
    <w:semiHidden/>
    <w:unhideWhenUsed/>
    <w:qFormat/>
    <w:uiPriority w:val="0"/>
    <w:tblPr>
      <w:tblCellMar>
        <w:top w:w="0" w:type="dxa"/>
        <w:left w:w="0" w:type="dxa"/>
        <w:bottom w:w="0" w:type="dxa"/>
        <w:right w:w="0" w:type="dxa"/>
      </w:tblCellMar>
    </w:tblPr>
  </w:style>
  <w:style w:type="paragraph" w:customStyle="1" w:styleId="72">
    <w:name w:val="WPSOffice手动目录 1"/>
    <w:qFormat/>
    <w:uiPriority w:val="0"/>
    <w:rPr>
      <w:rFonts w:ascii="Times New Roman" w:hAnsi="Times New Roman" w:eastAsia="宋体" w:cs="Times New Roman"/>
      <w:lang w:val="en-US" w:eastAsia="zh-CN" w:bidi="ar-SA"/>
    </w:rPr>
  </w:style>
  <w:style w:type="paragraph" w:customStyle="1" w:styleId="73">
    <w:name w:val="Normal"/>
    <w:qFormat/>
    <w:uiPriority w:val="0"/>
    <w:rPr>
      <w:rFonts w:ascii="Times New Roman" w:hAnsi="Times New Roman" w:eastAsia="Times New Roman" w:cs="Times New Roman"/>
      <w:sz w:val="24"/>
      <w:szCs w:val="24"/>
      <w:lang w:val="en-US" w:eastAsia="zh-CN" w:bidi="ar-SA"/>
    </w:rPr>
  </w:style>
  <w:style w:type="character" w:customStyle="1" w:styleId="74">
    <w:name w:val="NormalCharacter"/>
    <w:basedOn w:val="32"/>
    <w:semiHidden/>
    <w:qFormat/>
    <w:uiPriority w:val="0"/>
    <w:rPr>
      <w:kern w:val="2"/>
      <w:sz w:val="21"/>
      <w:szCs w:val="22"/>
      <w:lang w:val="en-US" w:eastAsia="zh-CN" w:bidi="ar-SA"/>
    </w:rPr>
  </w:style>
  <w:style w:type="paragraph" w:customStyle="1" w:styleId="75">
    <w:name w:val="正文1"/>
    <w:basedOn w:val="1"/>
    <w:qFormat/>
    <w:uiPriority w:val="0"/>
    <w:pPr>
      <w:spacing w:after="120" w:line="360" w:lineRule="auto"/>
      <w:ind w:firstLine="425"/>
    </w:pPr>
    <w:rPr>
      <w:rFonts w:ascii="Arial" w:hAnsi="Arial"/>
      <w:spacing w:val="8"/>
      <w:sz w:val="24"/>
      <w:szCs w:val="20"/>
    </w:rPr>
  </w:style>
  <w:style w:type="paragraph" w:customStyle="1" w:styleId="76">
    <w:name w:val="正文文字缩进"/>
    <w:basedOn w:val="1"/>
    <w:next w:val="1"/>
    <w:qFormat/>
    <w:uiPriority w:val="0"/>
    <w:pPr>
      <w:spacing w:line="400" w:lineRule="atLeast"/>
      <w:ind w:left="210" w:firstLine="210"/>
      <w:jc w:val="both"/>
    </w:pPr>
    <w:rPr>
      <w:rFonts w:ascii="宋体" w:eastAsia="宋体"/>
      <w:color w:val="000000"/>
      <w:sz w:val="21"/>
    </w:rPr>
  </w:style>
  <w:style w:type="paragraph" w:customStyle="1" w:styleId="77">
    <w:name w:val="BodyText1I2"/>
    <w:basedOn w:val="78"/>
    <w:qFormat/>
    <w:uiPriority w:val="0"/>
    <w:pPr>
      <w:spacing w:after="120"/>
      <w:ind w:left="420" w:leftChars="200" w:firstLine="420" w:firstLineChars="200"/>
      <w:jc w:val="both"/>
      <w:textAlignment w:val="baseline"/>
    </w:pPr>
    <w:rPr>
      <w:rFonts w:ascii="Times New Roman" w:hAnsi="Times New Roman" w:eastAsia="宋?"/>
      <w:sz w:val="32"/>
      <w:szCs w:val="32"/>
    </w:rPr>
  </w:style>
  <w:style w:type="paragraph" w:customStyle="1" w:styleId="78">
    <w:name w:val="BodyTextIndent"/>
    <w:basedOn w:val="1"/>
    <w:qFormat/>
    <w:uiPriority w:val="0"/>
    <w:pPr>
      <w:spacing w:after="120"/>
      <w:ind w:left="420" w:leftChars="200"/>
      <w:jc w:val="both"/>
      <w:textAlignment w:val="baseline"/>
    </w:pPr>
  </w:style>
  <w:style w:type="paragraph" w:customStyle="1" w:styleId="79">
    <w:name w:val="正文_0_0_0"/>
    <w:qFormat/>
    <w:uiPriority w:val="0"/>
    <w:pPr>
      <w:widowControl w:val="0"/>
      <w:jc w:val="both"/>
    </w:pPr>
    <w:rPr>
      <w:rFonts w:ascii="Times New Roman" w:hAnsi="Times New Roman" w:eastAsia="宋体" w:cs="Times New Roman"/>
      <w:kern w:val="2"/>
      <w:sz w:val="28"/>
      <w:szCs w:val="22"/>
      <w:lang w:val="en-US" w:eastAsia="zh-CN" w:bidi="ar-SA"/>
    </w:rPr>
  </w:style>
  <w:style w:type="character" w:customStyle="1" w:styleId="80">
    <w:name w:val="10"/>
    <w:qFormat/>
    <w:uiPriority w:val="0"/>
    <w:rPr>
      <w:rFonts w:ascii="Times New Roman" w:hAnsi="Times New Roman" w:cs="Times New Roman"/>
    </w:rPr>
  </w:style>
  <w:style w:type="paragraph" w:customStyle="1" w:styleId="81">
    <w:name w:val="正文_0"/>
    <w:next w:val="8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正文缩进_0"/>
    <w:basedOn w:val="81"/>
    <w:next w:val="81"/>
    <w:qFormat/>
    <w:uiPriority w:val="0"/>
    <w:pPr>
      <w:adjustRightInd w:val="0"/>
      <w:spacing w:line="360" w:lineRule="atLeast"/>
      <w:ind w:firstLine="482"/>
      <w:textAlignment w:val="baseline"/>
    </w:pPr>
    <w:rPr>
      <w:kern w:val="0"/>
      <w:sz w:val="24"/>
      <w:szCs w:val="20"/>
    </w:rPr>
  </w:style>
  <w:style w:type="paragraph" w:customStyle="1" w:styleId="83">
    <w:name w:val="样式 标题 2 + Times New Roman 四号 非加粗 段前: 5 磅 段后: 0 磅 行距: 固定值 20..."/>
    <w:basedOn w:val="3"/>
    <w:qFormat/>
    <w:uiPriority w:val="0"/>
    <w:pPr>
      <w:keepNext/>
      <w:keepLines/>
      <w:numPr>
        <w:ilvl w:val="1"/>
        <w:numId w:val="0"/>
      </w:numPr>
      <w:spacing w:before="100" w:after="0" w:line="400" w:lineRule="exact"/>
      <w:jc w:val="both"/>
    </w:pPr>
    <w:rPr>
      <w:rFonts w:ascii="Times New Roman" w:hAnsi="Times New Roman" w:eastAsia="黑体" w:cs="宋体"/>
      <w:b w:val="0"/>
      <w:sz w:val="28"/>
    </w:rPr>
  </w:style>
  <w:style w:type="paragraph" w:customStyle="1" w:styleId="84">
    <w:name w:val="标题 3_0"/>
    <w:basedOn w:val="79"/>
    <w:next w:val="79"/>
    <w:qFormat/>
    <w:uiPriority w:val="0"/>
    <w:pPr>
      <w:adjustRightInd w:val="0"/>
      <w:snapToGrid w:val="0"/>
      <w:spacing w:line="500" w:lineRule="exact"/>
      <w:ind w:left="0" w:firstLine="0"/>
      <w:jc w:val="center"/>
      <w:outlineLvl w:val="2"/>
    </w:pPr>
    <w:rPr>
      <w:rFonts w:ascii="宋体" w:hAnsi="宋体" w:eastAsia="宋体"/>
      <w:b/>
      <w:sz w:val="32"/>
      <w:szCs w:val="32"/>
    </w:rPr>
  </w:style>
  <w:style w:type="paragraph" w:customStyle="1" w:styleId="85">
    <w:name w:val="正文文本_0_0"/>
    <w:basedOn w:val="79"/>
    <w:qFormat/>
    <w:uiPriority w:val="0"/>
    <w:rPr>
      <w:rFonts w:eastAsia="黑体"/>
      <w:sz w:val="36"/>
    </w:rPr>
  </w:style>
  <w:style w:type="paragraph" w:customStyle="1" w:styleId="86">
    <w:name w:val="正文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87">
    <w:name w:val="正文缩进4"/>
    <w:basedOn w:val="1"/>
    <w:next w:val="1"/>
    <w:qFormat/>
    <w:uiPriority w:val="0"/>
    <w:pPr>
      <w:widowControl w:val="0"/>
      <w:autoSpaceDE/>
      <w:autoSpaceDN/>
      <w:spacing w:before="0" w:after="0" w:line="240" w:lineRule="auto"/>
      <w:ind w:left="0" w:firstLine="420"/>
      <w:jc w:val="both"/>
    </w:pPr>
    <w:rPr>
      <w:rFonts w:ascii="Times New Roman" w:eastAsia="宋体"/>
      <w:sz w:val="21"/>
    </w:rPr>
  </w:style>
  <w:style w:type="paragraph" w:customStyle="1" w:styleId="88">
    <w:name w:val="标题 3_0_0"/>
    <w:basedOn w:val="79"/>
    <w:next w:val="79"/>
    <w:qFormat/>
    <w:uiPriority w:val="0"/>
    <w:pPr>
      <w:keepNext/>
      <w:keepLines/>
      <w:spacing w:before="120" w:after="120" w:line="360" w:lineRule="auto"/>
      <w:jc w:val="center"/>
      <w:outlineLvl w:val="2"/>
    </w:pPr>
    <w:rPr>
      <w:rFonts w:ascii="宋体" w:hAnsi="宋体"/>
      <w:b/>
      <w:bCs/>
      <w:kern w:val="0"/>
      <w:sz w:val="36"/>
      <w:szCs w:val="18"/>
    </w:rPr>
  </w:style>
  <w:style w:type="paragraph" w:customStyle="1" w:styleId="89">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Normal_5"/>
    <w:qFormat/>
    <w:uiPriority w:val="0"/>
    <w:rPr>
      <w:rFonts w:ascii="黑体" w:hAnsi="黑体" w:eastAsia="黑体" w:cs="Times New Roman"/>
      <w:b/>
      <w:sz w:val="32"/>
      <w:szCs w:val="24"/>
      <w:lang w:val="en-US" w:eastAsia="zh-CN" w:bidi="ar-SA"/>
    </w:rPr>
  </w:style>
  <w:style w:type="paragraph" w:customStyle="1" w:styleId="91">
    <w:name w:val="正文缩进1"/>
    <w:basedOn w:val="1"/>
    <w:qFormat/>
    <w:uiPriority w:val="0"/>
    <w:pPr>
      <w:widowControl/>
      <w:ind w:firstLine="420" w:firstLineChars="200"/>
    </w:pPr>
    <w:rPr>
      <w:rFonts w:ascii="Times New Roman" w:hAnsi="Times New Roman"/>
      <w:szCs w:val="20"/>
    </w:rPr>
  </w:style>
  <w:style w:type="paragraph" w:styleId="92">
    <w:name w:val="List Paragraph"/>
    <w:basedOn w:val="1"/>
    <w:qFormat/>
    <w:uiPriority w:val="34"/>
    <w:pPr>
      <w:ind w:firstLine="420" w:firstLineChars="200"/>
    </w:pPr>
  </w:style>
  <w:style w:type="paragraph" w:customStyle="1" w:styleId="93">
    <w:name w:val="标题 2_2"/>
    <w:basedOn w:val="94"/>
    <w:next w:val="1"/>
    <w:qFormat/>
    <w:uiPriority w:val="0"/>
    <w:pPr>
      <w:keepNext/>
      <w:keepLines/>
      <w:spacing w:before="260" w:after="260" w:line="480" w:lineRule="exact"/>
      <w:jc w:val="center"/>
      <w:outlineLvl w:val="1"/>
    </w:pPr>
    <w:rPr>
      <w:rFonts w:ascii="宋体" w:hAnsi="宋体" w:eastAsia="黑体"/>
      <w:bCs/>
      <w:i/>
      <w:iCs/>
      <w:kern w:val="0"/>
      <w:sz w:val="24"/>
      <w:szCs w:val="20"/>
    </w:rPr>
  </w:style>
  <w:style w:type="paragraph" w:customStyle="1" w:styleId="9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147</Pages>
  <Words>22941</Words>
  <Characters>24403</Characters>
  <Lines>345</Lines>
  <Paragraphs>97</Paragraphs>
  <TotalTime>31</TotalTime>
  <ScaleCrop>false</ScaleCrop>
  <LinksUpToDate>false</LinksUpToDate>
  <CharactersWithSpaces>24777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2016-12-21T01:46:00Z</dcterms:created>
  <dc:creator>User</dc:creator>
  <cp:lastModifiedBy>请叫我小蘑菇。</cp:lastModifiedBy>
  <cp:lastPrinted>2020-11-10T10:45:00Z</cp:lastPrinted>
  <dcterms:modified xsi:type="dcterms:W3CDTF">2025-06-22T10:49:43Z</dcterms:modified>
  <dc:title>阿克苏市某单位平安城市附属技防设施项目(竞争性谈判)</dc:title>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0C0C58D12A084758BC847E952D336EC4_13</vt:lpwstr>
  </property>
  <property fmtid="{D5CDD505-2E9C-101B-9397-08002B2CF9AE}" pid="4" name="KSOTemplateDocerSaveRecord">
    <vt:lpwstr>eyJoZGlkIjoiNjVkMWZhNzM0MzYzZTdmMzg3ZmNjNjI1ZDNkMTdmNDYiLCJ1c2VySWQiOiI0MjE5Nzc1NzkifQ==</vt:lpwstr>
  </property>
</Properties>
</file>