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AAA07">
      <w:pPr>
        <w:pStyle w:val="3"/>
        <w:rPr>
          <w:rFonts w:hint="eastAsia" w:ascii="宋体" w:hAnsi="宋体" w:cs="宋体"/>
          <w:b/>
          <w:bCs/>
          <w:sz w:val="48"/>
          <w:szCs w:val="48"/>
          <w:highlight w:val="none"/>
          <w:lang w:eastAsia="zh-CN"/>
        </w:rPr>
      </w:pPr>
    </w:p>
    <w:p w14:paraId="2F867C4F">
      <w:pPr>
        <w:pStyle w:val="3"/>
        <w:rPr>
          <w:rFonts w:hint="eastAsia" w:ascii="宋体" w:hAnsi="宋体" w:cs="宋体"/>
          <w:b/>
          <w:bCs/>
          <w:sz w:val="48"/>
          <w:szCs w:val="48"/>
          <w:highlight w:val="none"/>
          <w:lang w:eastAsia="zh-CN"/>
        </w:rPr>
      </w:pPr>
    </w:p>
    <w:p w14:paraId="395524D7">
      <w:pPr>
        <w:pStyle w:val="3"/>
        <w:rPr>
          <w:rFonts w:hint="eastAsia" w:ascii="宋体" w:hAnsi="宋体" w:eastAsia="宋体" w:cs="宋体"/>
          <w:sz w:val="48"/>
          <w:szCs w:val="48"/>
          <w:highlight w:val="none"/>
        </w:rPr>
      </w:pPr>
      <w:r>
        <w:rPr>
          <w:rFonts w:hint="eastAsia" w:ascii="宋体" w:hAnsi="宋体" w:cs="宋体"/>
          <w:b/>
          <w:bCs/>
          <w:sz w:val="48"/>
          <w:szCs w:val="48"/>
          <w:highlight w:val="none"/>
          <w:lang w:eastAsia="zh-CN"/>
        </w:rPr>
        <w:t>若羌南部矿区羌河三区110千伏输变电工程（监理）二次</w:t>
      </w:r>
    </w:p>
    <w:p w14:paraId="647EB577">
      <w:pPr>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lang w:eastAsia="zh-CN"/>
        </w:rPr>
        <w:t>竞争性磋商</w:t>
      </w:r>
      <w:r>
        <w:rPr>
          <w:rFonts w:hint="eastAsia" w:ascii="宋体" w:hAnsi="宋体" w:eastAsia="宋体" w:cs="宋体"/>
          <w:b/>
          <w:bCs/>
          <w:sz w:val="48"/>
          <w:szCs w:val="48"/>
          <w:highlight w:val="none"/>
        </w:rPr>
        <w:t>文件</w:t>
      </w:r>
    </w:p>
    <w:p w14:paraId="7EDA7112">
      <w:pPr>
        <w:pStyle w:val="8"/>
        <w:ind w:firstLine="960"/>
        <w:rPr>
          <w:rFonts w:hint="eastAsia" w:ascii="宋体" w:hAnsi="宋体" w:eastAsia="宋体" w:cs="宋体"/>
          <w:b/>
          <w:bCs/>
          <w:sz w:val="48"/>
          <w:szCs w:val="48"/>
          <w:highlight w:val="none"/>
        </w:rPr>
      </w:pPr>
    </w:p>
    <w:p w14:paraId="66170AF1">
      <w:pPr>
        <w:widowControl/>
        <w:ind w:firstLine="2891" w:firstLineChars="600"/>
        <w:rPr>
          <w:rFonts w:hint="eastAsia" w:ascii="宋体" w:hAnsi="宋体" w:eastAsia="宋体" w:cs="宋体"/>
          <w:b/>
          <w:bCs/>
          <w:sz w:val="48"/>
          <w:szCs w:val="48"/>
          <w:highlight w:val="none"/>
        </w:rPr>
      </w:pPr>
    </w:p>
    <w:p w14:paraId="7C76DC41">
      <w:pPr>
        <w:widowControl/>
        <w:ind w:firstLine="2168" w:firstLineChars="600"/>
        <w:rPr>
          <w:rFonts w:hint="eastAsia" w:ascii="宋体" w:hAnsi="宋体" w:eastAsia="宋体" w:cs="宋体"/>
          <w:b/>
          <w:bCs/>
          <w:sz w:val="36"/>
          <w:szCs w:val="20"/>
          <w:highlight w:val="none"/>
          <w:lang w:val="en-US" w:eastAsia="zh-CN"/>
        </w:rPr>
      </w:pPr>
      <w:r>
        <w:rPr>
          <w:rFonts w:hint="eastAsia" w:ascii="宋体" w:hAnsi="宋体" w:eastAsia="宋体" w:cs="宋体"/>
          <w:b/>
          <w:bCs/>
          <w:sz w:val="36"/>
          <w:szCs w:val="20"/>
          <w:highlight w:val="none"/>
        </w:rPr>
        <w:t>项目编号：</w:t>
      </w:r>
      <w:r>
        <w:rPr>
          <w:rFonts w:hint="eastAsia" w:ascii="宋体" w:hAnsi="宋体" w:cs="宋体"/>
          <w:b/>
          <w:bCs/>
          <w:sz w:val="36"/>
          <w:szCs w:val="20"/>
          <w:highlight w:val="yellow"/>
          <w:lang w:eastAsia="zh-CN"/>
        </w:rPr>
        <w:t>XJHR-2025-01701号</w:t>
      </w:r>
    </w:p>
    <w:p w14:paraId="59CC4C59">
      <w:pPr>
        <w:widowControl/>
        <w:ind w:firstLine="1680" w:firstLineChars="600"/>
        <w:rPr>
          <w:rFonts w:hint="eastAsia" w:ascii="宋体" w:hAnsi="宋体" w:eastAsia="宋体" w:cs="宋体"/>
          <w:sz w:val="28"/>
          <w:szCs w:val="28"/>
          <w:highlight w:val="none"/>
        </w:rPr>
      </w:pPr>
    </w:p>
    <w:p w14:paraId="56114DBC">
      <w:pPr>
        <w:autoSpaceDE w:val="0"/>
        <w:autoSpaceDN w:val="0"/>
        <w:jc w:val="both"/>
        <w:rPr>
          <w:rFonts w:hint="eastAsia" w:ascii="宋体" w:hAnsi="宋体" w:eastAsia="宋体" w:cs="宋体"/>
          <w:sz w:val="60"/>
          <w:szCs w:val="52"/>
          <w:highlight w:val="none"/>
          <w:lang w:val="zh-CN"/>
        </w:rPr>
      </w:pPr>
    </w:p>
    <w:p w14:paraId="213EB765">
      <w:pPr>
        <w:pStyle w:val="8"/>
        <w:ind w:firstLine="1200"/>
        <w:rPr>
          <w:rFonts w:hint="eastAsia" w:ascii="宋体" w:hAnsi="宋体" w:eastAsia="宋体" w:cs="宋体"/>
          <w:sz w:val="60"/>
          <w:szCs w:val="52"/>
          <w:highlight w:val="none"/>
          <w:lang w:val="zh-CN"/>
        </w:rPr>
      </w:pPr>
    </w:p>
    <w:p w14:paraId="57EAC17F">
      <w:pPr>
        <w:pStyle w:val="8"/>
        <w:ind w:firstLine="1200"/>
        <w:rPr>
          <w:rFonts w:hint="eastAsia" w:ascii="宋体" w:hAnsi="宋体" w:eastAsia="宋体" w:cs="宋体"/>
          <w:sz w:val="60"/>
          <w:szCs w:val="52"/>
          <w:highlight w:val="none"/>
          <w:lang w:val="zh-CN"/>
        </w:rPr>
      </w:pPr>
    </w:p>
    <w:p w14:paraId="4EFEAC87">
      <w:pPr>
        <w:pStyle w:val="8"/>
        <w:ind w:firstLine="480"/>
        <w:rPr>
          <w:rFonts w:hint="eastAsia" w:ascii="宋体" w:hAnsi="宋体" w:eastAsia="宋体" w:cs="宋体"/>
          <w:sz w:val="24"/>
          <w:szCs w:val="20"/>
          <w:highlight w:val="none"/>
        </w:rPr>
      </w:pPr>
    </w:p>
    <w:p w14:paraId="42D2F8DC">
      <w:pPr>
        <w:pStyle w:val="8"/>
        <w:ind w:firstLine="480"/>
        <w:rPr>
          <w:rFonts w:hint="eastAsia" w:ascii="宋体" w:hAnsi="宋体" w:eastAsia="宋体" w:cs="宋体"/>
          <w:sz w:val="24"/>
          <w:szCs w:val="20"/>
          <w:highlight w:val="none"/>
        </w:rPr>
      </w:pPr>
    </w:p>
    <w:p w14:paraId="56030606">
      <w:pPr>
        <w:ind w:firstLine="640" w:firstLineChars="200"/>
        <w:jc w:val="center"/>
        <w:rPr>
          <w:rFonts w:hint="eastAsia" w:ascii="宋体" w:hAnsi="宋体" w:eastAsia="宋体" w:cs="宋体"/>
          <w:color w:val="auto"/>
          <w:sz w:val="32"/>
          <w:szCs w:val="32"/>
          <w:highlight w:val="none"/>
          <w:lang w:eastAsia="zh-CN"/>
        </w:rPr>
      </w:pPr>
      <w:bookmarkStart w:id="0" w:name="_Toc171913592"/>
      <w:bookmarkStart w:id="1" w:name="_Toc171913666"/>
      <w:r>
        <w:rPr>
          <w:rFonts w:hint="eastAsia" w:ascii="宋体" w:hAnsi="宋体" w:eastAsia="宋体" w:cs="宋体"/>
          <w:color w:val="auto"/>
          <w:sz w:val="32"/>
          <w:szCs w:val="32"/>
          <w:highlight w:val="none"/>
        </w:rPr>
        <w:t>采购单位：</w:t>
      </w:r>
      <w:r>
        <w:rPr>
          <w:rFonts w:hint="eastAsia" w:ascii="宋体" w:hAnsi="宋体" w:cs="宋体"/>
          <w:color w:val="auto"/>
          <w:sz w:val="32"/>
          <w:szCs w:val="32"/>
          <w:highlight w:val="none"/>
          <w:lang w:eastAsia="zh-CN"/>
        </w:rPr>
        <w:t>若羌县发展和改革委员会</w:t>
      </w:r>
    </w:p>
    <w:p w14:paraId="74C21710">
      <w:pPr>
        <w:pStyle w:val="4"/>
        <w:jc w:val="center"/>
        <w:rPr>
          <w:rFonts w:hint="eastAsia" w:ascii="宋体" w:hAnsi="宋体" w:eastAsia="宋体" w:cs="宋体"/>
          <w:sz w:val="28"/>
          <w:szCs w:val="20"/>
          <w:highlight w:val="none"/>
          <w:lang w:eastAsia="zh-CN"/>
        </w:rPr>
      </w:pPr>
    </w:p>
    <w:p w14:paraId="75708212">
      <w:pPr>
        <w:spacing w:before="156" w:beforeLines="50" w:after="156" w:afterLines="50"/>
        <w:ind w:firstLine="640" w:firstLineChars="200"/>
        <w:jc w:val="center"/>
        <w:textAlignment w:val="baseline"/>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采购代理机构：</w:t>
      </w:r>
      <w:r>
        <w:rPr>
          <w:rFonts w:hint="eastAsia" w:ascii="宋体" w:hAnsi="宋体" w:cs="宋体"/>
          <w:color w:val="auto"/>
          <w:sz w:val="32"/>
          <w:szCs w:val="32"/>
          <w:highlight w:val="none"/>
          <w:lang w:eastAsia="zh-CN"/>
        </w:rPr>
        <w:t>新疆海睿工程咨询服务有限公司</w:t>
      </w:r>
    </w:p>
    <w:p w14:paraId="39135D37">
      <w:pPr>
        <w:pStyle w:val="3"/>
        <w:rPr>
          <w:rFonts w:hint="eastAsia" w:ascii="宋体" w:hAnsi="宋体" w:eastAsia="宋体" w:cs="宋体"/>
          <w:color w:val="auto"/>
          <w:sz w:val="28"/>
          <w:szCs w:val="20"/>
          <w:highlight w:val="none"/>
        </w:rPr>
      </w:pPr>
    </w:p>
    <w:p w14:paraId="62E37AF2">
      <w:pPr>
        <w:jc w:val="center"/>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lang w:val="en-US" w:eastAsia="zh-CN"/>
        </w:rPr>
        <w:t>2025</w:t>
      </w:r>
      <w:r>
        <w:rPr>
          <w:rFonts w:hint="eastAsia" w:ascii="宋体" w:hAnsi="宋体" w:eastAsia="宋体" w:cs="宋体"/>
          <w:b/>
          <w:bCs/>
          <w:color w:val="auto"/>
          <w:sz w:val="28"/>
          <w:szCs w:val="32"/>
          <w:highlight w:val="none"/>
          <w:lang w:eastAsia="zh-CN"/>
        </w:rPr>
        <w:t>年</w:t>
      </w:r>
      <w:r>
        <w:rPr>
          <w:rFonts w:hint="eastAsia" w:ascii="宋体" w:hAnsi="宋体" w:cs="宋体"/>
          <w:b/>
          <w:bCs/>
          <w:color w:val="auto"/>
          <w:sz w:val="28"/>
          <w:szCs w:val="32"/>
          <w:highlight w:val="none"/>
          <w:lang w:val="en-US" w:eastAsia="zh-CN"/>
        </w:rPr>
        <w:t>6</w:t>
      </w:r>
      <w:r>
        <w:rPr>
          <w:rFonts w:hint="eastAsia" w:ascii="宋体" w:hAnsi="宋体" w:eastAsia="宋体" w:cs="宋体"/>
          <w:b/>
          <w:bCs/>
          <w:color w:val="auto"/>
          <w:sz w:val="28"/>
          <w:szCs w:val="32"/>
          <w:highlight w:val="none"/>
          <w:lang w:eastAsia="zh-CN"/>
        </w:rPr>
        <w:t>月</w:t>
      </w:r>
    </w:p>
    <w:p w14:paraId="4FADF068">
      <w:pPr>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lang w:eastAsia="zh-CN"/>
        </w:rPr>
        <w:br w:type="page"/>
      </w:r>
      <w:r>
        <w:rPr>
          <w:rFonts w:hint="eastAsia" w:ascii="宋体" w:hAnsi="宋体" w:eastAsia="宋体" w:cs="宋体"/>
          <w:b/>
          <w:bCs/>
          <w:color w:val="auto"/>
          <w:sz w:val="28"/>
          <w:szCs w:val="32"/>
          <w:highlight w:val="none"/>
          <w:lang w:eastAsia="zh-CN"/>
        </w:rPr>
        <w:br w:type="page"/>
      </w:r>
    </w:p>
    <w:p w14:paraId="36C0BB37">
      <w:pPr>
        <w:pStyle w:val="2"/>
        <w:rPr>
          <w:rFonts w:hint="eastAsia"/>
          <w:b/>
          <w:bCs/>
          <w:sz w:val="48"/>
          <w:szCs w:val="48"/>
          <w:lang w:eastAsia="zh-CN"/>
        </w:rPr>
      </w:pPr>
    </w:p>
    <w:p w14:paraId="5DD78009">
      <w:pPr>
        <w:pStyle w:val="2"/>
        <w:jc w:val="center"/>
        <w:rPr>
          <w:rFonts w:hint="eastAsia"/>
          <w:b/>
          <w:bCs/>
          <w:sz w:val="48"/>
          <w:szCs w:val="48"/>
          <w:lang w:val="en-US" w:eastAsia="zh-CN"/>
        </w:rPr>
      </w:pPr>
      <w:r>
        <w:rPr>
          <w:rFonts w:hint="eastAsia"/>
          <w:b/>
          <w:bCs/>
          <w:sz w:val="48"/>
          <w:szCs w:val="48"/>
          <w:lang w:val="en-US" w:eastAsia="zh-CN"/>
        </w:rPr>
        <w:t>目录</w:t>
      </w:r>
    </w:p>
    <w:p w14:paraId="0E797982">
      <w:pPr>
        <w:pStyle w:val="15"/>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TOC \o "1-3" \h \u </w:instrText>
      </w:r>
      <w:r>
        <w:rPr>
          <w:rFonts w:hint="eastAsia"/>
          <w:b/>
          <w:bCs/>
          <w:sz w:val="30"/>
          <w:szCs w:val="30"/>
          <w:lang w:val="en-US" w:eastAsia="zh-CN"/>
        </w:rPr>
        <w:fldChar w:fldCharType="separate"/>
      </w:r>
      <w:r>
        <w:rPr>
          <w:rFonts w:hint="eastAsia"/>
          <w:b/>
          <w:bCs/>
          <w:sz w:val="30"/>
          <w:szCs w:val="30"/>
          <w:lang w:val="en-US" w:eastAsia="zh-CN"/>
        </w:rPr>
        <w:fldChar w:fldCharType="begin"/>
      </w:r>
      <w:r>
        <w:rPr>
          <w:rFonts w:hint="eastAsia"/>
          <w:b/>
          <w:bCs/>
          <w:sz w:val="30"/>
          <w:szCs w:val="30"/>
          <w:lang w:val="en-US" w:eastAsia="zh-CN"/>
        </w:rPr>
        <w:instrText xml:space="preserve"> HYPERLINK \l _Toc7138 </w:instrText>
      </w:r>
      <w:r>
        <w:rPr>
          <w:rFonts w:hint="eastAsia"/>
          <w:b/>
          <w:bCs/>
          <w:sz w:val="30"/>
          <w:szCs w:val="30"/>
          <w:lang w:val="en-US" w:eastAsia="zh-CN"/>
        </w:rPr>
        <w:fldChar w:fldCharType="separate"/>
      </w:r>
      <w:r>
        <w:rPr>
          <w:rFonts w:hint="eastAsia" w:ascii="宋体" w:hAnsi="宋体" w:eastAsia="宋体" w:cs="宋体"/>
          <w:b/>
          <w:bCs/>
          <w:sz w:val="30"/>
          <w:szCs w:val="30"/>
        </w:rPr>
        <w:t xml:space="preserve">第一部分 </w:t>
      </w:r>
      <w:r>
        <w:rPr>
          <w:rFonts w:hint="eastAsia" w:ascii="宋体" w:hAnsi="宋体" w:eastAsia="宋体" w:cs="宋体"/>
          <w:b/>
          <w:bCs/>
          <w:sz w:val="30"/>
          <w:szCs w:val="30"/>
          <w:highlight w:val="none"/>
          <w:lang w:eastAsia="zh-CN"/>
        </w:rPr>
        <w:t>竞争性磋商</w:t>
      </w:r>
      <w:r>
        <w:rPr>
          <w:rFonts w:hint="eastAsia" w:ascii="宋体" w:hAnsi="宋体" w:eastAsia="宋体" w:cs="宋体"/>
          <w:b/>
          <w:bCs/>
          <w:sz w:val="30"/>
          <w:szCs w:val="30"/>
          <w:highlight w:val="none"/>
        </w:rPr>
        <w:t>公告</w:t>
      </w:r>
      <w:r>
        <w:rPr>
          <w:b/>
          <w:bCs/>
          <w:sz w:val="30"/>
          <w:szCs w:val="30"/>
        </w:rPr>
        <w:tab/>
      </w:r>
      <w:r>
        <w:rPr>
          <w:b/>
          <w:bCs/>
          <w:sz w:val="30"/>
          <w:szCs w:val="30"/>
        </w:rPr>
        <w:fldChar w:fldCharType="begin"/>
      </w:r>
      <w:r>
        <w:rPr>
          <w:b/>
          <w:bCs/>
          <w:sz w:val="30"/>
          <w:szCs w:val="30"/>
        </w:rPr>
        <w:instrText xml:space="preserve"> PAGEREF _Toc7138 \h </w:instrText>
      </w:r>
      <w:r>
        <w:rPr>
          <w:b/>
          <w:bCs/>
          <w:sz w:val="30"/>
          <w:szCs w:val="30"/>
        </w:rPr>
        <w:fldChar w:fldCharType="separate"/>
      </w:r>
      <w:r>
        <w:rPr>
          <w:b/>
          <w:bCs/>
          <w:sz w:val="30"/>
          <w:szCs w:val="30"/>
        </w:rPr>
        <w:t>1</w:t>
      </w:r>
      <w:r>
        <w:rPr>
          <w:b/>
          <w:bCs/>
          <w:sz w:val="30"/>
          <w:szCs w:val="30"/>
        </w:rPr>
        <w:fldChar w:fldCharType="end"/>
      </w:r>
      <w:r>
        <w:rPr>
          <w:rFonts w:hint="eastAsia"/>
          <w:b/>
          <w:bCs/>
          <w:sz w:val="30"/>
          <w:szCs w:val="30"/>
          <w:lang w:val="en-US" w:eastAsia="zh-CN"/>
        </w:rPr>
        <w:fldChar w:fldCharType="end"/>
      </w:r>
    </w:p>
    <w:p w14:paraId="035E0FA0">
      <w:pPr>
        <w:pStyle w:val="15"/>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 HYPERLINK \l _Toc27031 </w:instrText>
      </w:r>
      <w:r>
        <w:rPr>
          <w:rFonts w:hint="eastAsia"/>
          <w:b/>
          <w:bCs/>
          <w:sz w:val="30"/>
          <w:szCs w:val="30"/>
          <w:lang w:val="en-US" w:eastAsia="zh-CN"/>
        </w:rPr>
        <w:fldChar w:fldCharType="separate"/>
      </w:r>
      <w:r>
        <w:rPr>
          <w:rFonts w:hint="eastAsia" w:ascii="宋体" w:hAnsi="宋体" w:eastAsia="宋体" w:cs="宋体"/>
          <w:b/>
          <w:bCs/>
          <w:kern w:val="2"/>
          <w:sz w:val="30"/>
          <w:szCs w:val="30"/>
          <w:highlight w:val="none"/>
        </w:rPr>
        <w:t xml:space="preserve">第二部分  </w:t>
      </w:r>
      <w:r>
        <w:rPr>
          <w:rFonts w:hint="eastAsia" w:ascii="宋体" w:hAnsi="宋体" w:eastAsia="宋体" w:cs="宋体"/>
          <w:b/>
          <w:bCs/>
          <w:kern w:val="2"/>
          <w:sz w:val="30"/>
          <w:szCs w:val="30"/>
          <w:highlight w:val="none"/>
          <w:lang w:val="en-US" w:eastAsia="zh-CN"/>
        </w:rPr>
        <w:t>磋商</w:t>
      </w:r>
      <w:r>
        <w:rPr>
          <w:rFonts w:hint="eastAsia" w:ascii="宋体" w:hAnsi="宋体" w:eastAsia="宋体" w:cs="宋体"/>
          <w:b/>
          <w:bCs/>
          <w:kern w:val="2"/>
          <w:sz w:val="30"/>
          <w:szCs w:val="30"/>
          <w:highlight w:val="none"/>
        </w:rPr>
        <w:t>须知前附表</w:t>
      </w:r>
      <w:r>
        <w:rPr>
          <w:b/>
          <w:bCs/>
          <w:sz w:val="30"/>
          <w:szCs w:val="30"/>
        </w:rPr>
        <w:tab/>
      </w:r>
      <w:r>
        <w:rPr>
          <w:b/>
          <w:bCs/>
          <w:sz w:val="30"/>
          <w:szCs w:val="30"/>
        </w:rPr>
        <w:fldChar w:fldCharType="begin"/>
      </w:r>
      <w:r>
        <w:rPr>
          <w:b/>
          <w:bCs/>
          <w:sz w:val="30"/>
          <w:szCs w:val="30"/>
        </w:rPr>
        <w:instrText xml:space="preserve"> PAGEREF _Toc27031 \h </w:instrText>
      </w:r>
      <w:r>
        <w:rPr>
          <w:b/>
          <w:bCs/>
          <w:sz w:val="30"/>
          <w:szCs w:val="30"/>
        </w:rPr>
        <w:fldChar w:fldCharType="separate"/>
      </w:r>
      <w:r>
        <w:rPr>
          <w:b/>
          <w:bCs/>
          <w:sz w:val="30"/>
          <w:szCs w:val="30"/>
        </w:rPr>
        <w:t>6</w:t>
      </w:r>
      <w:r>
        <w:rPr>
          <w:b/>
          <w:bCs/>
          <w:sz w:val="30"/>
          <w:szCs w:val="30"/>
        </w:rPr>
        <w:fldChar w:fldCharType="end"/>
      </w:r>
      <w:r>
        <w:rPr>
          <w:rFonts w:hint="eastAsia"/>
          <w:b/>
          <w:bCs/>
          <w:sz w:val="30"/>
          <w:szCs w:val="30"/>
          <w:lang w:val="en-US" w:eastAsia="zh-CN"/>
        </w:rPr>
        <w:fldChar w:fldCharType="end"/>
      </w:r>
    </w:p>
    <w:p w14:paraId="2CBF8F35">
      <w:pPr>
        <w:pStyle w:val="15"/>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 HYPERLINK \l _Toc16775 </w:instrText>
      </w:r>
      <w:r>
        <w:rPr>
          <w:rFonts w:hint="eastAsia"/>
          <w:b/>
          <w:bCs/>
          <w:sz w:val="30"/>
          <w:szCs w:val="30"/>
          <w:lang w:val="en-US" w:eastAsia="zh-CN"/>
        </w:rPr>
        <w:fldChar w:fldCharType="separate"/>
      </w:r>
      <w:r>
        <w:rPr>
          <w:rFonts w:hint="eastAsia" w:ascii="宋体" w:hAnsi="宋体" w:eastAsia="宋体" w:cs="宋体"/>
          <w:b/>
          <w:bCs/>
          <w:sz w:val="30"/>
          <w:szCs w:val="30"/>
          <w:highlight w:val="none"/>
        </w:rPr>
        <w:t xml:space="preserve">第三部分  </w:t>
      </w:r>
      <w:r>
        <w:rPr>
          <w:rFonts w:hint="eastAsia" w:ascii="宋体" w:hAnsi="宋体" w:eastAsia="宋体" w:cs="宋体"/>
          <w:b/>
          <w:bCs/>
          <w:sz w:val="30"/>
          <w:szCs w:val="30"/>
          <w:highlight w:val="none"/>
          <w:lang w:val="en-US" w:eastAsia="zh-CN"/>
        </w:rPr>
        <w:t>磋商</w:t>
      </w:r>
      <w:r>
        <w:rPr>
          <w:rFonts w:hint="eastAsia" w:ascii="宋体" w:hAnsi="宋体" w:eastAsia="宋体" w:cs="宋体"/>
          <w:b/>
          <w:bCs/>
          <w:sz w:val="30"/>
          <w:szCs w:val="30"/>
          <w:highlight w:val="none"/>
        </w:rPr>
        <w:t>须知</w:t>
      </w:r>
      <w:r>
        <w:rPr>
          <w:b/>
          <w:bCs/>
          <w:sz w:val="30"/>
          <w:szCs w:val="30"/>
        </w:rPr>
        <w:tab/>
      </w:r>
      <w:r>
        <w:rPr>
          <w:b/>
          <w:bCs/>
          <w:sz w:val="30"/>
          <w:szCs w:val="30"/>
        </w:rPr>
        <w:fldChar w:fldCharType="begin"/>
      </w:r>
      <w:r>
        <w:rPr>
          <w:b/>
          <w:bCs/>
          <w:sz w:val="30"/>
          <w:szCs w:val="30"/>
        </w:rPr>
        <w:instrText xml:space="preserve"> PAGEREF _Toc16775 \h </w:instrText>
      </w:r>
      <w:r>
        <w:rPr>
          <w:b/>
          <w:bCs/>
          <w:sz w:val="30"/>
          <w:szCs w:val="30"/>
        </w:rPr>
        <w:fldChar w:fldCharType="separate"/>
      </w:r>
      <w:r>
        <w:rPr>
          <w:b/>
          <w:bCs/>
          <w:sz w:val="30"/>
          <w:szCs w:val="30"/>
        </w:rPr>
        <w:t>14</w:t>
      </w:r>
      <w:r>
        <w:rPr>
          <w:b/>
          <w:bCs/>
          <w:sz w:val="30"/>
          <w:szCs w:val="30"/>
        </w:rPr>
        <w:fldChar w:fldCharType="end"/>
      </w:r>
      <w:r>
        <w:rPr>
          <w:rFonts w:hint="eastAsia"/>
          <w:b/>
          <w:bCs/>
          <w:sz w:val="30"/>
          <w:szCs w:val="30"/>
          <w:lang w:val="en-US" w:eastAsia="zh-CN"/>
        </w:rPr>
        <w:fldChar w:fldCharType="end"/>
      </w:r>
    </w:p>
    <w:p w14:paraId="5D5F87EC">
      <w:pPr>
        <w:pStyle w:val="15"/>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 HYPERLINK \l _Toc1213 </w:instrText>
      </w:r>
      <w:r>
        <w:rPr>
          <w:rFonts w:hint="eastAsia"/>
          <w:b/>
          <w:bCs/>
          <w:sz w:val="30"/>
          <w:szCs w:val="30"/>
          <w:lang w:val="en-US" w:eastAsia="zh-CN"/>
        </w:rPr>
        <w:fldChar w:fldCharType="separate"/>
      </w:r>
      <w:r>
        <w:rPr>
          <w:rFonts w:hint="eastAsia" w:ascii="宋体" w:hAnsi="宋体" w:eastAsia="宋体" w:cs="宋体"/>
          <w:b/>
          <w:bCs/>
          <w:sz w:val="30"/>
          <w:szCs w:val="30"/>
          <w:highlight w:val="none"/>
          <w:lang w:val="en-US" w:eastAsia="zh-CN" w:bidi="ar-SA"/>
        </w:rPr>
        <w:t xml:space="preserve">第四部分 </w:t>
      </w:r>
      <w:r>
        <w:rPr>
          <w:rFonts w:hint="eastAsia" w:ascii="宋体" w:hAnsi="宋体" w:cs="宋体"/>
          <w:b/>
          <w:bCs/>
          <w:sz w:val="30"/>
          <w:szCs w:val="30"/>
          <w:highlight w:val="none"/>
          <w:lang w:val="en-US" w:eastAsia="zh-CN" w:bidi="ar-SA"/>
        </w:rPr>
        <w:t xml:space="preserve"> </w:t>
      </w:r>
      <w:r>
        <w:rPr>
          <w:rFonts w:hint="eastAsia" w:ascii="宋体" w:hAnsi="宋体" w:eastAsia="宋体" w:cs="宋体"/>
          <w:b/>
          <w:bCs/>
          <w:sz w:val="30"/>
          <w:szCs w:val="30"/>
          <w:highlight w:val="none"/>
          <w:lang w:val="en-US" w:eastAsia="zh-CN" w:bidi="ar-SA"/>
        </w:rPr>
        <w:t>服务需求及技术要求</w:t>
      </w:r>
      <w:r>
        <w:rPr>
          <w:b/>
          <w:bCs/>
          <w:sz w:val="30"/>
          <w:szCs w:val="30"/>
        </w:rPr>
        <w:tab/>
      </w:r>
      <w:r>
        <w:rPr>
          <w:b/>
          <w:bCs/>
          <w:sz w:val="30"/>
          <w:szCs w:val="30"/>
        </w:rPr>
        <w:fldChar w:fldCharType="begin"/>
      </w:r>
      <w:r>
        <w:rPr>
          <w:b/>
          <w:bCs/>
          <w:sz w:val="30"/>
          <w:szCs w:val="30"/>
        </w:rPr>
        <w:instrText xml:space="preserve"> PAGEREF _Toc1213 \h </w:instrText>
      </w:r>
      <w:r>
        <w:rPr>
          <w:b/>
          <w:bCs/>
          <w:sz w:val="30"/>
          <w:szCs w:val="30"/>
        </w:rPr>
        <w:fldChar w:fldCharType="separate"/>
      </w:r>
      <w:r>
        <w:rPr>
          <w:b/>
          <w:bCs/>
          <w:sz w:val="30"/>
          <w:szCs w:val="30"/>
        </w:rPr>
        <w:t>26</w:t>
      </w:r>
      <w:r>
        <w:rPr>
          <w:b/>
          <w:bCs/>
          <w:sz w:val="30"/>
          <w:szCs w:val="30"/>
        </w:rPr>
        <w:fldChar w:fldCharType="end"/>
      </w:r>
      <w:r>
        <w:rPr>
          <w:rFonts w:hint="eastAsia"/>
          <w:b/>
          <w:bCs/>
          <w:sz w:val="30"/>
          <w:szCs w:val="30"/>
          <w:lang w:val="en-US" w:eastAsia="zh-CN"/>
        </w:rPr>
        <w:fldChar w:fldCharType="end"/>
      </w:r>
    </w:p>
    <w:p w14:paraId="1E5E99CD">
      <w:pPr>
        <w:pStyle w:val="15"/>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 HYPERLINK \l _Toc28537 </w:instrText>
      </w:r>
      <w:r>
        <w:rPr>
          <w:rFonts w:hint="eastAsia"/>
          <w:b/>
          <w:bCs/>
          <w:sz w:val="30"/>
          <w:szCs w:val="30"/>
          <w:lang w:val="en-US" w:eastAsia="zh-CN"/>
        </w:rPr>
        <w:fldChar w:fldCharType="separate"/>
      </w:r>
      <w:r>
        <w:rPr>
          <w:rFonts w:hint="eastAsia" w:ascii="宋体" w:hAnsi="宋体" w:eastAsia="宋体" w:cs="宋体"/>
          <w:b/>
          <w:bCs/>
          <w:sz w:val="30"/>
          <w:szCs w:val="30"/>
          <w:highlight w:val="none"/>
        </w:rPr>
        <w:t>第</w:t>
      </w:r>
      <w:r>
        <w:rPr>
          <w:rFonts w:hint="eastAsia" w:ascii="宋体" w:hAnsi="宋体" w:eastAsia="宋体" w:cs="宋体"/>
          <w:b/>
          <w:bCs/>
          <w:sz w:val="30"/>
          <w:szCs w:val="30"/>
          <w:highlight w:val="none"/>
          <w:lang w:val="en-US" w:eastAsia="zh-CN"/>
        </w:rPr>
        <w:t>五</w:t>
      </w:r>
      <w:r>
        <w:rPr>
          <w:rFonts w:hint="eastAsia" w:ascii="宋体" w:hAnsi="宋体" w:eastAsia="宋体" w:cs="宋体"/>
          <w:b/>
          <w:bCs/>
          <w:sz w:val="30"/>
          <w:szCs w:val="30"/>
          <w:highlight w:val="none"/>
        </w:rPr>
        <w:t>部分  评审细则和评审方法</w:t>
      </w:r>
      <w:r>
        <w:rPr>
          <w:b/>
          <w:bCs/>
          <w:sz w:val="30"/>
          <w:szCs w:val="30"/>
        </w:rPr>
        <w:tab/>
      </w:r>
      <w:r>
        <w:rPr>
          <w:b/>
          <w:bCs/>
          <w:sz w:val="30"/>
          <w:szCs w:val="30"/>
        </w:rPr>
        <w:fldChar w:fldCharType="begin"/>
      </w:r>
      <w:r>
        <w:rPr>
          <w:b/>
          <w:bCs/>
          <w:sz w:val="30"/>
          <w:szCs w:val="30"/>
        </w:rPr>
        <w:instrText xml:space="preserve"> PAGEREF _Toc28537 \h </w:instrText>
      </w:r>
      <w:r>
        <w:rPr>
          <w:b/>
          <w:bCs/>
          <w:sz w:val="30"/>
          <w:szCs w:val="30"/>
        </w:rPr>
        <w:fldChar w:fldCharType="separate"/>
      </w:r>
      <w:r>
        <w:rPr>
          <w:b/>
          <w:bCs/>
          <w:sz w:val="30"/>
          <w:szCs w:val="30"/>
        </w:rPr>
        <w:t>28</w:t>
      </w:r>
      <w:r>
        <w:rPr>
          <w:b/>
          <w:bCs/>
          <w:sz w:val="30"/>
          <w:szCs w:val="30"/>
        </w:rPr>
        <w:fldChar w:fldCharType="end"/>
      </w:r>
      <w:r>
        <w:rPr>
          <w:rFonts w:hint="eastAsia"/>
          <w:b/>
          <w:bCs/>
          <w:sz w:val="30"/>
          <w:szCs w:val="30"/>
          <w:lang w:val="en-US" w:eastAsia="zh-CN"/>
        </w:rPr>
        <w:fldChar w:fldCharType="end"/>
      </w:r>
    </w:p>
    <w:p w14:paraId="1F27037D">
      <w:pPr>
        <w:pStyle w:val="15"/>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 HYPERLINK \l _Toc4575 </w:instrText>
      </w:r>
      <w:r>
        <w:rPr>
          <w:rFonts w:hint="eastAsia"/>
          <w:b/>
          <w:bCs/>
          <w:sz w:val="30"/>
          <w:szCs w:val="30"/>
          <w:lang w:val="en-US" w:eastAsia="zh-CN"/>
        </w:rPr>
        <w:fldChar w:fldCharType="separate"/>
      </w:r>
      <w:r>
        <w:rPr>
          <w:rFonts w:hint="eastAsia" w:ascii="宋体" w:hAnsi="宋体" w:eastAsia="宋体" w:cs="宋体"/>
          <w:b/>
          <w:bCs/>
          <w:sz w:val="30"/>
          <w:szCs w:val="30"/>
          <w:highlight w:val="none"/>
        </w:rPr>
        <w:t>第</w:t>
      </w:r>
      <w:r>
        <w:rPr>
          <w:rFonts w:hint="eastAsia" w:ascii="宋体" w:hAnsi="宋体" w:eastAsia="宋体" w:cs="宋体"/>
          <w:b/>
          <w:bCs/>
          <w:sz w:val="30"/>
          <w:szCs w:val="30"/>
          <w:highlight w:val="none"/>
          <w:lang w:val="en-US" w:eastAsia="zh-CN"/>
        </w:rPr>
        <w:t>六</w:t>
      </w:r>
      <w:r>
        <w:rPr>
          <w:rFonts w:hint="eastAsia" w:ascii="宋体" w:hAnsi="宋体" w:eastAsia="宋体" w:cs="宋体"/>
          <w:b/>
          <w:bCs/>
          <w:sz w:val="30"/>
          <w:szCs w:val="30"/>
          <w:highlight w:val="none"/>
        </w:rPr>
        <w:t xml:space="preserve">部分 </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rPr>
        <w:t>合同</w:t>
      </w:r>
      <w:r>
        <w:rPr>
          <w:b/>
          <w:bCs/>
          <w:sz w:val="30"/>
          <w:szCs w:val="30"/>
        </w:rPr>
        <w:tab/>
      </w:r>
      <w:r>
        <w:rPr>
          <w:b/>
          <w:bCs/>
          <w:sz w:val="30"/>
          <w:szCs w:val="30"/>
        </w:rPr>
        <w:fldChar w:fldCharType="begin"/>
      </w:r>
      <w:r>
        <w:rPr>
          <w:b/>
          <w:bCs/>
          <w:sz w:val="30"/>
          <w:szCs w:val="30"/>
        </w:rPr>
        <w:instrText xml:space="preserve"> PAGEREF _Toc4575 \h </w:instrText>
      </w:r>
      <w:r>
        <w:rPr>
          <w:b/>
          <w:bCs/>
          <w:sz w:val="30"/>
          <w:szCs w:val="30"/>
        </w:rPr>
        <w:fldChar w:fldCharType="separate"/>
      </w:r>
      <w:r>
        <w:rPr>
          <w:b/>
          <w:bCs/>
          <w:sz w:val="30"/>
          <w:szCs w:val="30"/>
        </w:rPr>
        <w:t>38</w:t>
      </w:r>
      <w:r>
        <w:rPr>
          <w:b/>
          <w:bCs/>
          <w:sz w:val="30"/>
          <w:szCs w:val="30"/>
        </w:rPr>
        <w:fldChar w:fldCharType="end"/>
      </w:r>
      <w:r>
        <w:rPr>
          <w:rFonts w:hint="eastAsia"/>
          <w:b/>
          <w:bCs/>
          <w:sz w:val="30"/>
          <w:szCs w:val="30"/>
          <w:lang w:val="en-US" w:eastAsia="zh-CN"/>
        </w:rPr>
        <w:fldChar w:fldCharType="end"/>
      </w:r>
    </w:p>
    <w:p w14:paraId="3BA0B1E6">
      <w:pPr>
        <w:pStyle w:val="15"/>
        <w:tabs>
          <w:tab w:val="right" w:leader="dot" w:pos="9563"/>
        </w:tabs>
        <w:spacing w:line="480" w:lineRule="auto"/>
        <w:rPr>
          <w:b/>
          <w:bCs/>
          <w:sz w:val="30"/>
          <w:szCs w:val="30"/>
        </w:rPr>
      </w:pPr>
      <w:r>
        <w:rPr>
          <w:rFonts w:hint="eastAsia"/>
          <w:b/>
          <w:bCs/>
          <w:sz w:val="30"/>
          <w:szCs w:val="30"/>
          <w:lang w:val="en-US" w:eastAsia="zh-CN"/>
        </w:rPr>
        <w:fldChar w:fldCharType="begin"/>
      </w:r>
      <w:r>
        <w:rPr>
          <w:rFonts w:hint="eastAsia"/>
          <w:b/>
          <w:bCs/>
          <w:sz w:val="30"/>
          <w:szCs w:val="30"/>
          <w:lang w:val="en-US" w:eastAsia="zh-CN"/>
        </w:rPr>
        <w:instrText xml:space="preserve"> HYPERLINK \l _Toc17355 </w:instrText>
      </w:r>
      <w:r>
        <w:rPr>
          <w:rFonts w:hint="eastAsia"/>
          <w:b/>
          <w:bCs/>
          <w:sz w:val="30"/>
          <w:szCs w:val="30"/>
          <w:lang w:val="en-US" w:eastAsia="zh-CN"/>
        </w:rPr>
        <w:fldChar w:fldCharType="separate"/>
      </w:r>
      <w:r>
        <w:rPr>
          <w:rFonts w:hint="eastAsia" w:ascii="宋体" w:hAnsi="宋体" w:eastAsia="宋体" w:cs="宋体"/>
          <w:b/>
          <w:bCs/>
          <w:sz w:val="30"/>
          <w:szCs w:val="30"/>
          <w:highlight w:val="none"/>
          <w:lang w:val="en-US" w:eastAsia="zh-CN"/>
        </w:rPr>
        <w:t>第七部分</w:t>
      </w:r>
      <w:r>
        <w:rPr>
          <w:rFonts w:hint="eastAsia" w:ascii="宋体" w:hAnsi="宋体" w:eastAsia="宋体" w:cs="宋体"/>
          <w:b/>
          <w:bCs/>
          <w:sz w:val="30"/>
          <w:szCs w:val="30"/>
          <w:highlight w:val="none"/>
          <w:lang w:eastAsia="zh-CN"/>
        </w:rPr>
        <w:t xml:space="preserve"> </w:t>
      </w:r>
      <w:r>
        <w:rPr>
          <w:rFonts w:hint="eastAsia" w:ascii="宋体" w:hAnsi="宋体" w:cs="宋体"/>
          <w:b/>
          <w:bCs/>
          <w:sz w:val="30"/>
          <w:szCs w:val="30"/>
          <w:highlight w:val="none"/>
          <w:lang w:val="en-US" w:eastAsia="zh-CN"/>
        </w:rPr>
        <w:t xml:space="preserve"> </w:t>
      </w:r>
      <w:r>
        <w:rPr>
          <w:rFonts w:hint="eastAsia" w:ascii="宋体" w:hAnsi="宋体" w:eastAsia="宋体" w:cs="宋体"/>
          <w:b/>
          <w:bCs/>
          <w:sz w:val="30"/>
          <w:szCs w:val="30"/>
          <w:highlight w:val="none"/>
          <w:lang w:eastAsia="zh-CN"/>
        </w:rPr>
        <w:t>响应文件</w:t>
      </w:r>
      <w:r>
        <w:rPr>
          <w:rFonts w:hint="eastAsia" w:ascii="宋体" w:hAnsi="宋体" w:eastAsia="宋体" w:cs="宋体"/>
          <w:b/>
          <w:bCs/>
          <w:sz w:val="30"/>
          <w:szCs w:val="30"/>
          <w:highlight w:val="none"/>
        </w:rPr>
        <w:t>格式</w:t>
      </w:r>
      <w:r>
        <w:rPr>
          <w:b/>
          <w:bCs/>
          <w:sz w:val="30"/>
          <w:szCs w:val="30"/>
        </w:rPr>
        <w:tab/>
      </w:r>
      <w:r>
        <w:rPr>
          <w:b/>
          <w:bCs/>
          <w:sz w:val="30"/>
          <w:szCs w:val="30"/>
        </w:rPr>
        <w:fldChar w:fldCharType="begin"/>
      </w:r>
      <w:r>
        <w:rPr>
          <w:b/>
          <w:bCs/>
          <w:sz w:val="30"/>
          <w:szCs w:val="30"/>
        </w:rPr>
        <w:instrText xml:space="preserve"> PAGEREF _Toc17355 \h </w:instrText>
      </w:r>
      <w:r>
        <w:rPr>
          <w:b/>
          <w:bCs/>
          <w:sz w:val="30"/>
          <w:szCs w:val="30"/>
        </w:rPr>
        <w:fldChar w:fldCharType="separate"/>
      </w:r>
      <w:r>
        <w:rPr>
          <w:b/>
          <w:bCs/>
          <w:sz w:val="30"/>
          <w:szCs w:val="30"/>
        </w:rPr>
        <w:t>60</w:t>
      </w:r>
      <w:r>
        <w:rPr>
          <w:b/>
          <w:bCs/>
          <w:sz w:val="30"/>
          <w:szCs w:val="30"/>
        </w:rPr>
        <w:fldChar w:fldCharType="end"/>
      </w:r>
      <w:r>
        <w:rPr>
          <w:rFonts w:hint="eastAsia"/>
          <w:b/>
          <w:bCs/>
          <w:sz w:val="30"/>
          <w:szCs w:val="30"/>
          <w:lang w:val="en-US" w:eastAsia="zh-CN"/>
        </w:rPr>
        <w:fldChar w:fldCharType="end"/>
      </w:r>
    </w:p>
    <w:p w14:paraId="1C363ED9">
      <w:pPr>
        <w:pStyle w:val="3"/>
        <w:spacing w:line="480" w:lineRule="auto"/>
        <w:rPr>
          <w:rFonts w:hint="eastAsia"/>
          <w:b/>
          <w:bCs/>
          <w:sz w:val="30"/>
          <w:szCs w:val="30"/>
          <w:lang w:val="en-US" w:eastAsia="zh-CN"/>
        </w:rPr>
        <w:sectPr>
          <w:headerReference r:id="rId6" w:type="first"/>
          <w:footerReference r:id="rId8" w:type="first"/>
          <w:headerReference r:id="rId5" w:type="default"/>
          <w:footerReference r:id="rId7" w:type="default"/>
          <w:pgSz w:w="12240" w:h="15840"/>
          <w:pgMar w:top="1440" w:right="1418" w:bottom="1440" w:left="1259" w:header="851" w:footer="851" w:gutter="0"/>
          <w:pgNumType w:fmt="decimal"/>
          <w:cols w:space="720" w:num="1"/>
          <w:titlePg/>
          <w:docGrid w:linePitch="312" w:charSpace="0"/>
        </w:sectPr>
      </w:pPr>
      <w:r>
        <w:rPr>
          <w:rFonts w:hint="eastAsia"/>
          <w:b/>
          <w:bCs/>
          <w:sz w:val="30"/>
          <w:szCs w:val="30"/>
          <w:lang w:val="en-US" w:eastAsia="zh-CN"/>
        </w:rPr>
        <w:fldChar w:fldCharType="end"/>
      </w:r>
    </w:p>
    <w:p w14:paraId="362FE69E">
      <w:pPr>
        <w:pStyle w:val="16"/>
        <w:rPr>
          <w:rFonts w:hint="eastAsia" w:ascii="宋体" w:hAnsi="宋体" w:cs="宋体"/>
          <w:b/>
          <w:color w:val="auto"/>
          <w:sz w:val="36"/>
          <w:szCs w:val="44"/>
          <w:highlight w:val="none"/>
          <w:lang w:eastAsia="zh-CN"/>
        </w:rPr>
      </w:pPr>
      <w:r>
        <w:rPr>
          <w:rFonts w:hint="eastAsia" w:ascii="宋体" w:hAnsi="宋体" w:cs="宋体"/>
          <w:b/>
          <w:color w:val="auto"/>
          <w:sz w:val="36"/>
          <w:szCs w:val="44"/>
          <w:highlight w:val="none"/>
          <w:lang w:eastAsia="zh-CN"/>
        </w:rPr>
        <w:t>若羌南部矿区羌河三区110千伏输变电工程（监理）二次</w:t>
      </w:r>
    </w:p>
    <w:p w14:paraId="0B4B9F87">
      <w:pPr>
        <w:pStyle w:val="16"/>
        <w:ind w:left="559" w:leftChars="233" w:firstLine="0" w:firstLineChars="0"/>
        <w:rPr>
          <w:rFonts w:hint="eastAsia" w:ascii="宋体" w:hAnsi="宋体" w:cs="宋体"/>
          <w:b/>
          <w:color w:val="auto"/>
          <w:sz w:val="36"/>
          <w:szCs w:val="44"/>
          <w:highlight w:val="none"/>
          <w:lang w:eastAsia="zh-CN"/>
        </w:rPr>
      </w:pPr>
    </w:p>
    <w:p w14:paraId="371FBB3A">
      <w:pPr>
        <w:pStyle w:val="16"/>
        <w:ind w:left="559" w:leftChars="233" w:firstLine="0" w:firstLineChars="0"/>
        <w:rPr>
          <w:rFonts w:hint="eastAsia" w:ascii="宋体" w:hAnsi="宋体" w:cs="宋体"/>
          <w:b/>
          <w:color w:val="auto"/>
          <w:sz w:val="36"/>
          <w:szCs w:val="44"/>
          <w:highlight w:val="none"/>
          <w:lang w:eastAsia="zh-CN"/>
        </w:rPr>
      </w:pPr>
    </w:p>
    <w:p w14:paraId="75BFA848">
      <w:pPr>
        <w:pStyle w:val="16"/>
        <w:ind w:left="559" w:leftChars="233" w:firstLine="0" w:firstLineChars="0"/>
        <w:rPr>
          <w:rFonts w:hint="eastAsia" w:ascii="宋体" w:hAnsi="宋体" w:cs="宋体"/>
          <w:b/>
          <w:color w:val="auto"/>
          <w:spacing w:val="-20"/>
          <w:sz w:val="28"/>
          <w:szCs w:val="28"/>
          <w:highlight w:val="none"/>
          <w:lang w:eastAsia="zh-CN"/>
        </w:rPr>
      </w:pPr>
      <w:r>
        <w:rPr>
          <w:rFonts w:hint="eastAsia" w:ascii="宋体" w:hAnsi="宋体" w:eastAsia="宋体" w:cs="宋体"/>
          <w:b/>
          <w:color w:val="auto"/>
          <w:sz w:val="28"/>
          <w:szCs w:val="28"/>
          <w:highlight w:val="none"/>
        </w:rPr>
        <w:t xml:space="preserve">项目名称: </w:t>
      </w:r>
      <w:r>
        <w:rPr>
          <w:rFonts w:hint="eastAsia" w:ascii="宋体" w:hAnsi="宋体" w:cs="宋体"/>
          <w:b/>
          <w:color w:val="auto"/>
          <w:spacing w:val="-20"/>
          <w:sz w:val="28"/>
          <w:szCs w:val="28"/>
          <w:highlight w:val="none"/>
          <w:lang w:eastAsia="zh-CN"/>
        </w:rPr>
        <w:t>若羌南部矿区羌河三区110千伏输变电工程（监理）二次</w:t>
      </w:r>
    </w:p>
    <w:p w14:paraId="1DF92191">
      <w:pPr>
        <w:pStyle w:val="16"/>
        <w:rPr>
          <w:rFonts w:hint="eastAsia" w:ascii="宋体" w:hAnsi="宋体" w:cs="宋体"/>
          <w:b/>
          <w:color w:val="auto"/>
          <w:spacing w:val="-20"/>
          <w:sz w:val="28"/>
          <w:szCs w:val="28"/>
          <w:highlight w:val="none"/>
          <w:lang w:eastAsia="zh-CN"/>
        </w:rPr>
      </w:pPr>
    </w:p>
    <w:p w14:paraId="357BB888">
      <w:pPr>
        <w:keepNext w:val="0"/>
        <w:keepLines w:val="0"/>
        <w:pageBreakBefore w:val="0"/>
        <w:widowControl w:val="0"/>
        <w:kinsoku w:val="0"/>
        <w:wordWrap/>
        <w:overflowPunct/>
        <w:topLinePunct w:val="0"/>
        <w:autoSpaceDE w:val="0"/>
        <w:autoSpaceDN w:val="0"/>
        <w:bidi w:val="0"/>
        <w:adjustRightInd w:val="0"/>
        <w:snapToGrid w:val="0"/>
        <w:spacing w:line="480" w:lineRule="auto"/>
        <w:ind w:left="648" w:leftChars="270" w:firstLine="0" w:firstLineChars="0"/>
        <w:jc w:val="left"/>
        <w:textAlignment w:val="auto"/>
        <w:rPr>
          <w:rFonts w:hint="eastAsia" w:ascii="宋体" w:hAnsi="宋体" w:cs="宋体"/>
          <w:b/>
          <w:color w:val="auto"/>
          <w:sz w:val="28"/>
          <w:szCs w:val="28"/>
          <w:highlight w:val="none"/>
          <w:lang w:eastAsia="zh-CN"/>
        </w:rPr>
      </w:pPr>
      <w:r>
        <w:rPr>
          <w:rFonts w:hint="eastAsia" w:ascii="宋体" w:hAnsi="宋体" w:eastAsia="宋体" w:cs="宋体"/>
          <w:b/>
          <w:color w:val="auto"/>
          <w:sz w:val="28"/>
          <w:szCs w:val="28"/>
          <w:highlight w:val="none"/>
        </w:rPr>
        <w:t>建设规模：</w:t>
      </w:r>
      <w:r>
        <w:rPr>
          <w:rFonts w:hint="eastAsia" w:ascii="宋体" w:hAnsi="宋体" w:cs="宋体"/>
          <w:b/>
          <w:color w:val="auto"/>
          <w:sz w:val="28"/>
          <w:szCs w:val="28"/>
          <w:highlight w:val="none"/>
          <w:lang w:eastAsia="zh-CN"/>
        </w:rPr>
        <w:t>若羌南部矿区羌河三区110千伏输变电工程的全部监理内容。</w:t>
      </w:r>
    </w:p>
    <w:p w14:paraId="243CD22C">
      <w:pPr>
        <w:keepNext w:val="0"/>
        <w:keepLines w:val="0"/>
        <w:pageBreakBefore w:val="0"/>
        <w:widowControl w:val="0"/>
        <w:kinsoku w:val="0"/>
        <w:wordWrap/>
        <w:overflowPunct/>
        <w:topLinePunct w:val="0"/>
        <w:autoSpaceDE w:val="0"/>
        <w:autoSpaceDN w:val="0"/>
        <w:bidi w:val="0"/>
        <w:adjustRightInd w:val="0"/>
        <w:snapToGrid w:val="0"/>
        <w:spacing w:line="480" w:lineRule="auto"/>
        <w:ind w:left="648" w:leftChars="270" w:firstLine="0" w:firstLineChars="0"/>
        <w:jc w:val="left"/>
        <w:textAlignment w:val="auto"/>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yellow"/>
        </w:rPr>
        <w:t>项目预</w:t>
      </w:r>
      <w:r>
        <w:rPr>
          <w:rFonts w:hint="eastAsia" w:ascii="宋体" w:hAnsi="宋体" w:eastAsia="宋体" w:cs="宋体"/>
          <w:b/>
          <w:bCs w:val="0"/>
          <w:color w:val="auto"/>
          <w:sz w:val="28"/>
          <w:szCs w:val="28"/>
          <w:highlight w:val="yellow"/>
        </w:rPr>
        <w:t>算金额为：</w:t>
      </w:r>
      <w:r>
        <w:rPr>
          <w:rFonts w:hint="eastAsia" w:ascii="宋体" w:hAnsi="宋体" w:cs="宋体"/>
          <w:b/>
          <w:bCs w:val="0"/>
          <w:color w:val="auto"/>
          <w:sz w:val="28"/>
          <w:szCs w:val="28"/>
          <w:highlight w:val="yellow"/>
          <w:lang w:val="en-US" w:eastAsia="zh-CN"/>
        </w:rPr>
        <w:t>80.00万元</w:t>
      </w:r>
      <w:r>
        <w:rPr>
          <w:rFonts w:hint="eastAsia" w:ascii="宋体" w:hAnsi="宋体" w:eastAsia="宋体" w:cs="宋体"/>
          <w:b/>
          <w:bCs w:val="0"/>
          <w:color w:val="auto"/>
          <w:sz w:val="28"/>
          <w:szCs w:val="28"/>
          <w:highlight w:val="none"/>
        </w:rPr>
        <w:t>。</w:t>
      </w:r>
    </w:p>
    <w:p w14:paraId="465C7FE6">
      <w:pPr>
        <w:keepNext w:val="0"/>
        <w:keepLines w:val="0"/>
        <w:pageBreakBefore w:val="0"/>
        <w:widowControl w:val="0"/>
        <w:kinsoku w:val="0"/>
        <w:wordWrap/>
        <w:overflowPunct/>
        <w:topLinePunct w:val="0"/>
        <w:bidi w:val="0"/>
        <w:adjustRightInd w:val="0"/>
        <w:snapToGrid w:val="0"/>
        <w:spacing w:line="480" w:lineRule="auto"/>
        <w:ind w:firstLine="562"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 xml:space="preserve">招标单位: </w:t>
      </w:r>
      <w:r>
        <w:rPr>
          <w:rFonts w:hint="eastAsia" w:ascii="宋体" w:hAnsi="宋体" w:cs="宋体"/>
          <w:b/>
          <w:color w:val="auto"/>
          <w:sz w:val="28"/>
          <w:szCs w:val="28"/>
          <w:highlight w:val="none"/>
          <w:lang w:eastAsia="zh-CN"/>
        </w:rPr>
        <w:t>若羌县发展和改革委员会</w:t>
      </w:r>
    </w:p>
    <w:p w14:paraId="09B43715">
      <w:pPr>
        <w:keepNext w:val="0"/>
        <w:keepLines w:val="0"/>
        <w:pageBreakBefore w:val="0"/>
        <w:widowControl w:val="0"/>
        <w:kinsoku w:val="0"/>
        <w:wordWrap/>
        <w:overflowPunct/>
        <w:topLinePunct w:val="0"/>
        <w:bidi w:val="0"/>
        <w:adjustRightInd w:val="0"/>
        <w:snapToGrid w:val="0"/>
        <w:spacing w:line="480" w:lineRule="auto"/>
        <w:ind w:firstLine="562"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法定代表人（签章）：</w:t>
      </w:r>
    </w:p>
    <w:p w14:paraId="655C1A8F">
      <w:pPr>
        <w:keepNext w:val="0"/>
        <w:keepLines w:val="0"/>
        <w:pageBreakBefore w:val="0"/>
        <w:widowControl w:val="0"/>
        <w:kinsoku w:val="0"/>
        <w:wordWrap/>
        <w:overflowPunct/>
        <w:topLinePunct w:val="0"/>
        <w:bidi w:val="0"/>
        <w:adjustRightInd w:val="0"/>
        <w:snapToGrid w:val="0"/>
        <w:spacing w:line="480" w:lineRule="auto"/>
        <w:ind w:firstLine="562"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联系人：</w:t>
      </w:r>
      <w:r>
        <w:rPr>
          <w:rFonts w:hint="eastAsia" w:ascii="宋体" w:hAnsi="宋体" w:cs="宋体"/>
          <w:b/>
          <w:color w:val="auto"/>
          <w:sz w:val="28"/>
          <w:szCs w:val="28"/>
          <w:highlight w:val="none"/>
          <w:lang w:eastAsia="zh-CN"/>
        </w:rPr>
        <w:t>关健,周杨杨</w:t>
      </w:r>
    </w:p>
    <w:p w14:paraId="40842995">
      <w:pPr>
        <w:keepNext w:val="0"/>
        <w:keepLines w:val="0"/>
        <w:pageBreakBefore w:val="0"/>
        <w:widowControl w:val="0"/>
        <w:kinsoku w:val="0"/>
        <w:wordWrap/>
        <w:overflowPunct/>
        <w:topLinePunct w:val="0"/>
        <w:bidi w:val="0"/>
        <w:adjustRightInd w:val="0"/>
        <w:snapToGrid w:val="0"/>
        <w:spacing w:line="480" w:lineRule="auto"/>
        <w:ind w:firstLine="562"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联系电话：</w:t>
      </w:r>
      <w:r>
        <w:rPr>
          <w:rFonts w:hint="eastAsia" w:ascii="宋体" w:hAnsi="宋体" w:cs="宋体"/>
          <w:b/>
          <w:color w:val="auto"/>
          <w:sz w:val="28"/>
          <w:szCs w:val="28"/>
          <w:highlight w:val="none"/>
          <w:lang w:eastAsia="zh-CN"/>
        </w:rPr>
        <w:t>16699466767；18095833443</w:t>
      </w:r>
    </w:p>
    <w:p w14:paraId="1742755C">
      <w:pPr>
        <w:keepNext w:val="0"/>
        <w:keepLines w:val="0"/>
        <w:pageBreakBefore w:val="0"/>
        <w:widowControl w:val="0"/>
        <w:kinsoku w:val="0"/>
        <w:wordWrap/>
        <w:overflowPunct/>
        <w:topLinePunct w:val="0"/>
        <w:bidi w:val="0"/>
        <w:adjustRightInd w:val="0"/>
        <w:snapToGrid w:val="0"/>
        <w:spacing w:line="480" w:lineRule="auto"/>
        <w:ind w:left="648" w:leftChars="270" w:firstLine="0" w:firstLineChars="0"/>
        <w:jc w:val="left"/>
        <w:textAlignment w:val="auto"/>
        <w:rPr>
          <w:rFonts w:hint="eastAsia" w:ascii="宋体" w:hAnsi="宋体" w:eastAsia="宋体" w:cs="宋体"/>
          <w:b/>
          <w:color w:val="auto"/>
          <w:sz w:val="28"/>
          <w:szCs w:val="28"/>
          <w:highlight w:val="none"/>
        </w:rPr>
      </w:pPr>
    </w:p>
    <w:p w14:paraId="1173A6BE">
      <w:pPr>
        <w:keepNext w:val="0"/>
        <w:keepLines w:val="0"/>
        <w:pageBreakBefore w:val="0"/>
        <w:widowControl w:val="0"/>
        <w:kinsoku w:val="0"/>
        <w:wordWrap/>
        <w:overflowPunct/>
        <w:topLinePunct w:val="0"/>
        <w:bidi w:val="0"/>
        <w:adjustRightInd w:val="0"/>
        <w:snapToGrid w:val="0"/>
        <w:spacing w:line="480" w:lineRule="auto"/>
        <w:ind w:left="648" w:leftChars="270" w:firstLine="0" w:firstLine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采购代理机构名称：</w:t>
      </w:r>
      <w:r>
        <w:rPr>
          <w:rFonts w:hint="eastAsia" w:ascii="宋体" w:hAnsi="宋体" w:cs="宋体"/>
          <w:b/>
          <w:color w:val="auto"/>
          <w:sz w:val="28"/>
          <w:szCs w:val="28"/>
          <w:highlight w:val="none"/>
          <w:lang w:val="en-US" w:eastAsia="zh-CN"/>
        </w:rPr>
        <w:t>新疆海睿工程咨询服务有限公司</w:t>
      </w:r>
    </w:p>
    <w:p w14:paraId="0D3EC097">
      <w:pPr>
        <w:keepNext w:val="0"/>
        <w:keepLines w:val="0"/>
        <w:pageBreakBefore w:val="0"/>
        <w:widowControl w:val="0"/>
        <w:kinsoku w:val="0"/>
        <w:wordWrap/>
        <w:overflowPunct/>
        <w:topLinePunct w:val="0"/>
        <w:autoSpaceDE w:val="0"/>
        <w:autoSpaceDN w:val="0"/>
        <w:bidi w:val="0"/>
        <w:adjustRightInd w:val="0"/>
        <w:snapToGrid w:val="0"/>
        <w:spacing w:line="480" w:lineRule="auto"/>
        <w:ind w:left="648" w:leftChars="270" w:firstLine="0" w:firstLineChars="0"/>
        <w:jc w:val="left"/>
        <w:textAlignment w:val="auto"/>
        <w:rPr>
          <w:rFonts w:hint="eastAsia" w:ascii="宋体" w:hAnsi="宋体" w:eastAsia="宋体" w:cs="宋体"/>
          <w:sz w:val="24"/>
          <w:szCs w:val="20"/>
          <w:lang w:val="en-US" w:eastAsia="zh-CN"/>
        </w:rPr>
      </w:pPr>
      <w:r>
        <w:rPr>
          <w:rFonts w:hint="eastAsia" w:ascii="宋体" w:hAnsi="宋体" w:eastAsia="宋体" w:cs="宋体"/>
          <w:b/>
          <w:color w:val="auto"/>
          <w:sz w:val="28"/>
          <w:szCs w:val="28"/>
          <w:highlight w:val="none"/>
        </w:rPr>
        <w:t>法定代表人（签章）：</w:t>
      </w:r>
    </w:p>
    <w:p w14:paraId="1AE29B69">
      <w:pPr>
        <w:keepNext w:val="0"/>
        <w:keepLines w:val="0"/>
        <w:pageBreakBefore w:val="0"/>
        <w:widowControl w:val="0"/>
        <w:kinsoku w:val="0"/>
        <w:wordWrap/>
        <w:overflowPunct/>
        <w:topLinePunct w:val="0"/>
        <w:bidi w:val="0"/>
        <w:adjustRightInd w:val="0"/>
        <w:snapToGrid w:val="0"/>
        <w:spacing w:line="480" w:lineRule="auto"/>
        <w:ind w:left="648" w:leftChars="270" w:firstLine="0" w:firstLine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联系人：</w:t>
      </w:r>
      <w:r>
        <w:rPr>
          <w:rFonts w:hint="eastAsia" w:ascii="宋体" w:hAnsi="宋体" w:cs="宋体"/>
          <w:b/>
          <w:color w:val="auto"/>
          <w:sz w:val="28"/>
          <w:szCs w:val="28"/>
          <w:highlight w:val="none"/>
          <w:lang w:val="en-US" w:eastAsia="zh-CN"/>
        </w:rPr>
        <w:t>王女士</w:t>
      </w:r>
    </w:p>
    <w:p w14:paraId="2506CD5B">
      <w:pPr>
        <w:keepNext w:val="0"/>
        <w:keepLines w:val="0"/>
        <w:pageBreakBefore w:val="0"/>
        <w:widowControl w:val="0"/>
        <w:kinsoku w:val="0"/>
        <w:wordWrap/>
        <w:overflowPunct/>
        <w:topLinePunct w:val="0"/>
        <w:bidi w:val="0"/>
        <w:adjustRightInd w:val="0"/>
        <w:snapToGrid w:val="0"/>
        <w:spacing w:line="480" w:lineRule="auto"/>
        <w:ind w:left="648" w:leftChars="270" w:firstLine="0" w:firstLineChars="0"/>
        <w:jc w:val="lef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联系电话：</w:t>
      </w:r>
      <w:r>
        <w:rPr>
          <w:rFonts w:hint="eastAsia" w:ascii="宋体" w:hAnsi="宋体" w:cs="宋体"/>
          <w:b/>
          <w:color w:val="auto"/>
          <w:sz w:val="28"/>
          <w:szCs w:val="28"/>
          <w:highlight w:val="none"/>
          <w:lang w:val="en-US" w:eastAsia="zh-CN"/>
        </w:rPr>
        <w:t>13399756999</w:t>
      </w:r>
    </w:p>
    <w:p w14:paraId="1BBAF573">
      <w:pPr>
        <w:rPr>
          <w:rFonts w:hint="eastAsia" w:ascii="宋体" w:hAnsi="宋体" w:eastAsia="宋体" w:cs="宋体"/>
          <w:sz w:val="24"/>
          <w:szCs w:val="20"/>
          <w:lang w:val="en-US" w:eastAsia="zh-CN"/>
        </w:rPr>
      </w:pPr>
    </w:p>
    <w:p w14:paraId="647EF389">
      <w:pPr>
        <w:rPr>
          <w:rFonts w:hint="eastAsia" w:ascii="宋体" w:hAnsi="宋体" w:eastAsia="宋体" w:cs="宋体"/>
          <w:sz w:val="24"/>
          <w:szCs w:val="20"/>
          <w:highlight w:val="none"/>
        </w:rPr>
        <w:sectPr>
          <w:pgSz w:w="12240" w:h="15840"/>
          <w:pgMar w:top="1440" w:right="1418" w:bottom="1440" w:left="1259" w:header="851" w:footer="851" w:gutter="0"/>
          <w:pgNumType w:fmt="decimal"/>
          <w:cols w:space="720" w:num="1"/>
          <w:titlePg/>
          <w:docGrid w:linePitch="312" w:charSpace="0"/>
        </w:sectPr>
      </w:pPr>
    </w:p>
    <w:p w14:paraId="67508C1A">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right="0" w:rightChars="0" w:firstLine="0" w:firstLineChars="0"/>
        <w:jc w:val="center"/>
        <w:textAlignment w:val="baseline"/>
        <w:outlineLvl w:val="0"/>
        <w:rPr>
          <w:rFonts w:hint="eastAsia" w:ascii="宋体" w:hAnsi="宋体" w:eastAsia="宋体" w:cs="宋体"/>
          <w:sz w:val="24"/>
          <w:szCs w:val="20"/>
          <w:highlight w:val="none"/>
        </w:rPr>
      </w:pPr>
      <w:r>
        <w:rPr>
          <w:rFonts w:hint="eastAsia" w:ascii="宋体" w:hAnsi="宋体" w:cs="宋体"/>
          <w:sz w:val="36"/>
          <w:szCs w:val="32"/>
          <w:highlight w:val="none"/>
          <w:lang w:val="en-US" w:eastAsia="zh-CN"/>
        </w:rPr>
        <w:t xml:space="preserve">  </w:t>
      </w:r>
      <w:bookmarkStart w:id="2" w:name="_Toc7138"/>
      <w:r>
        <w:rPr>
          <w:rFonts w:hint="eastAsia" w:ascii="宋体" w:hAnsi="宋体" w:eastAsia="宋体" w:cs="宋体"/>
          <w:sz w:val="36"/>
          <w:szCs w:val="32"/>
          <w:highlight w:val="none"/>
          <w:lang w:eastAsia="zh-CN"/>
        </w:rPr>
        <w:t>竞争性磋商</w:t>
      </w:r>
      <w:r>
        <w:rPr>
          <w:rFonts w:hint="eastAsia" w:ascii="宋体" w:hAnsi="宋体" w:eastAsia="宋体" w:cs="宋体"/>
          <w:sz w:val="36"/>
          <w:szCs w:val="32"/>
          <w:highlight w:val="none"/>
        </w:rPr>
        <w:t>公告</w:t>
      </w:r>
      <w:bookmarkEnd w:id="2"/>
    </w:p>
    <w:p w14:paraId="0CDD671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cs="宋体"/>
          <w:sz w:val="24"/>
          <w:szCs w:val="22"/>
          <w:highlight w:val="none"/>
          <w:lang w:eastAsia="zh-CN"/>
        </w:rPr>
        <w:t>新疆海睿工程咨询服务有限公司</w:t>
      </w:r>
      <w:r>
        <w:rPr>
          <w:rFonts w:hint="eastAsia" w:ascii="宋体" w:hAnsi="宋体" w:eastAsia="宋体" w:cs="宋体"/>
          <w:sz w:val="24"/>
          <w:szCs w:val="22"/>
          <w:highlight w:val="none"/>
        </w:rPr>
        <w:t>受</w:t>
      </w:r>
      <w:r>
        <w:rPr>
          <w:rFonts w:hint="eastAsia" w:ascii="宋体" w:hAnsi="宋体" w:cs="宋体"/>
          <w:sz w:val="24"/>
          <w:szCs w:val="22"/>
          <w:highlight w:val="none"/>
          <w:lang w:eastAsia="zh-CN"/>
        </w:rPr>
        <w:t>若羌县发展和改革委员会</w:t>
      </w:r>
      <w:r>
        <w:rPr>
          <w:rFonts w:hint="eastAsia" w:ascii="宋体" w:hAnsi="宋体" w:eastAsia="宋体" w:cs="宋体"/>
          <w:sz w:val="24"/>
          <w:szCs w:val="22"/>
          <w:highlight w:val="none"/>
        </w:rPr>
        <w:t>的委托，现对</w:t>
      </w:r>
      <w:r>
        <w:rPr>
          <w:rFonts w:hint="eastAsia" w:ascii="宋体" w:hAnsi="宋体" w:cs="宋体"/>
          <w:sz w:val="24"/>
          <w:szCs w:val="22"/>
          <w:highlight w:val="none"/>
          <w:lang w:eastAsia="zh-CN"/>
        </w:rPr>
        <w:t>若羌南部矿区羌河三区110千伏输变电工程</w:t>
      </w:r>
      <w:r>
        <w:rPr>
          <w:rFonts w:hint="eastAsia" w:ascii="宋体" w:hAnsi="宋体" w:eastAsia="宋体" w:cs="宋体"/>
          <w:sz w:val="24"/>
          <w:szCs w:val="22"/>
          <w:highlight w:val="none"/>
        </w:rPr>
        <w:t>以</w:t>
      </w:r>
      <w:r>
        <w:rPr>
          <w:rFonts w:hint="eastAsia" w:ascii="宋体" w:hAnsi="宋体" w:eastAsia="宋体" w:cs="宋体"/>
          <w:sz w:val="24"/>
          <w:szCs w:val="22"/>
          <w:highlight w:val="none"/>
          <w:lang w:eastAsia="zh-CN"/>
        </w:rPr>
        <w:t>竞争性磋商</w:t>
      </w:r>
      <w:r>
        <w:rPr>
          <w:rFonts w:hint="eastAsia" w:ascii="宋体" w:hAnsi="宋体" w:eastAsia="宋体" w:cs="宋体"/>
          <w:sz w:val="24"/>
          <w:szCs w:val="22"/>
          <w:highlight w:val="none"/>
        </w:rPr>
        <w:t>方式组织采购，现</w:t>
      </w:r>
      <w:r>
        <w:rPr>
          <w:rFonts w:hint="eastAsia" w:ascii="宋体" w:hAnsi="宋体" w:eastAsia="宋体" w:cs="宋体"/>
          <w:sz w:val="24"/>
          <w:szCs w:val="22"/>
          <w:highlight w:val="none"/>
          <w:lang w:val="en-US" w:eastAsia="zh-CN"/>
        </w:rPr>
        <w:t>欢迎</w:t>
      </w:r>
      <w:r>
        <w:rPr>
          <w:rFonts w:hint="eastAsia" w:ascii="宋体" w:hAnsi="宋体" w:eastAsia="宋体" w:cs="宋体"/>
          <w:sz w:val="24"/>
          <w:szCs w:val="22"/>
          <w:highlight w:val="none"/>
        </w:rPr>
        <w:t>合格的</w:t>
      </w:r>
      <w:r>
        <w:rPr>
          <w:rFonts w:hint="eastAsia" w:ascii="宋体" w:hAnsi="宋体" w:eastAsia="宋体" w:cs="宋体"/>
          <w:sz w:val="24"/>
          <w:szCs w:val="22"/>
          <w:highlight w:val="none"/>
          <w:lang w:eastAsia="zh-CN"/>
        </w:rPr>
        <w:t>供应商</w:t>
      </w:r>
      <w:r>
        <w:rPr>
          <w:rFonts w:hint="eastAsia" w:ascii="宋体" w:hAnsi="宋体" w:eastAsia="宋体" w:cs="宋体"/>
          <w:sz w:val="24"/>
          <w:szCs w:val="22"/>
          <w:highlight w:val="none"/>
        </w:rPr>
        <w:t>前来报名并领取</w:t>
      </w:r>
      <w:r>
        <w:rPr>
          <w:rFonts w:hint="eastAsia" w:ascii="宋体" w:hAnsi="宋体" w:eastAsia="宋体" w:cs="宋体"/>
          <w:sz w:val="24"/>
          <w:szCs w:val="22"/>
          <w:highlight w:val="none"/>
          <w:lang w:eastAsia="zh-CN"/>
        </w:rPr>
        <w:t>采购文件</w:t>
      </w:r>
      <w:r>
        <w:rPr>
          <w:rFonts w:hint="eastAsia" w:ascii="宋体" w:hAnsi="宋体" w:eastAsia="宋体" w:cs="宋体"/>
          <w:sz w:val="24"/>
          <w:szCs w:val="22"/>
          <w:highlight w:val="none"/>
        </w:rPr>
        <w:t>。</w:t>
      </w:r>
    </w:p>
    <w:p w14:paraId="4F47AE34">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项目</w:t>
      </w:r>
      <w:r>
        <w:rPr>
          <w:rFonts w:hint="eastAsia" w:ascii="宋体" w:hAnsi="宋体" w:eastAsia="宋体" w:cs="宋体"/>
          <w:sz w:val="24"/>
          <w:szCs w:val="22"/>
          <w:highlight w:val="none"/>
          <w:lang w:val="en-US" w:eastAsia="zh-CN"/>
        </w:rPr>
        <w:t>基本情况：</w:t>
      </w:r>
    </w:p>
    <w:p w14:paraId="76A5BB5D">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val="en-US" w:eastAsia="zh-CN"/>
        </w:rPr>
        <w:t>项目</w:t>
      </w:r>
      <w:r>
        <w:rPr>
          <w:rFonts w:hint="eastAsia" w:ascii="宋体" w:hAnsi="宋体" w:eastAsia="宋体" w:cs="宋体"/>
          <w:sz w:val="24"/>
          <w:szCs w:val="22"/>
          <w:highlight w:val="none"/>
        </w:rPr>
        <w:t>编号：</w:t>
      </w:r>
      <w:r>
        <w:rPr>
          <w:rFonts w:hint="eastAsia" w:ascii="宋体" w:hAnsi="宋体" w:cs="宋体"/>
          <w:sz w:val="24"/>
          <w:szCs w:val="22"/>
          <w:highlight w:val="yellow"/>
          <w:lang w:eastAsia="zh-CN"/>
        </w:rPr>
        <w:t>XJHR-2025-01701号</w:t>
      </w:r>
    </w:p>
    <w:p w14:paraId="4487F3B4">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val="en-US" w:eastAsia="zh-CN"/>
        </w:rPr>
        <w:t>项目名称：</w:t>
      </w:r>
      <w:r>
        <w:rPr>
          <w:rFonts w:hint="eastAsia" w:ascii="宋体" w:hAnsi="宋体" w:cs="宋体"/>
          <w:sz w:val="24"/>
          <w:szCs w:val="22"/>
          <w:highlight w:val="none"/>
          <w:lang w:eastAsia="zh-CN"/>
        </w:rPr>
        <w:t>若羌南部矿区羌河三区110千伏输变电工程（监理）二次</w:t>
      </w:r>
    </w:p>
    <w:p w14:paraId="445680C5">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lang w:val="en-US" w:eastAsia="zh-CN"/>
        </w:rPr>
        <w:t>采购方式：竞争性磋商</w:t>
      </w:r>
    </w:p>
    <w:p w14:paraId="1D088175">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2"/>
          <w:highlight w:val="yellow"/>
          <w:lang w:val="en-US" w:eastAsia="zh-CN"/>
        </w:rPr>
      </w:pPr>
      <w:r>
        <w:rPr>
          <w:rFonts w:hint="eastAsia" w:ascii="宋体" w:hAnsi="宋体" w:eastAsia="宋体" w:cs="宋体"/>
          <w:sz w:val="24"/>
          <w:szCs w:val="22"/>
          <w:highlight w:val="yellow"/>
        </w:rPr>
        <w:t>预算金额：</w:t>
      </w:r>
      <w:r>
        <w:rPr>
          <w:rFonts w:hint="eastAsia" w:ascii="宋体" w:hAnsi="宋体" w:cs="宋体"/>
          <w:sz w:val="24"/>
          <w:szCs w:val="22"/>
          <w:highlight w:val="yellow"/>
          <w:lang w:val="en-US" w:eastAsia="zh-CN"/>
        </w:rPr>
        <w:t>80.00万元</w:t>
      </w:r>
    </w:p>
    <w:p w14:paraId="0FE954C9">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0"/>
          <w:highlight w:val="none"/>
          <w:lang w:eastAsia="zh-CN"/>
        </w:rPr>
      </w:pPr>
      <w:r>
        <w:rPr>
          <w:rFonts w:hint="eastAsia" w:ascii="宋体" w:hAnsi="宋体" w:cs="宋体"/>
          <w:sz w:val="24"/>
          <w:szCs w:val="21"/>
          <w:highlight w:val="none"/>
          <w:lang w:val="en-US" w:eastAsia="zh-CN"/>
        </w:rPr>
        <w:t>建设规模</w:t>
      </w:r>
      <w:r>
        <w:rPr>
          <w:rFonts w:hint="eastAsia" w:ascii="宋体" w:hAnsi="宋体" w:eastAsia="宋体" w:cs="宋体"/>
          <w:sz w:val="24"/>
          <w:szCs w:val="22"/>
          <w:highlight w:val="none"/>
        </w:rPr>
        <w:t>：</w:t>
      </w:r>
      <w:r>
        <w:rPr>
          <w:rFonts w:hint="eastAsia" w:ascii="宋体" w:hAnsi="宋体" w:cs="宋体"/>
          <w:color w:val="auto"/>
          <w:sz w:val="24"/>
          <w:szCs w:val="24"/>
          <w:highlight w:val="none"/>
          <w:lang w:val="en-US" w:eastAsia="zh-CN"/>
        </w:rPr>
        <w:t>项目本期建设110kV变电站一座，远期规划2台主变，容量为2×50MVA，本期建成一台主变，容量为1×50MVA；变电站电源侧进线架设1回110kV输电线路，线路全长约32.1km（本期建设一回，设计同塔双回，单边挂线），负荷侧出线架设1回110kV输电线路至羌河三区，线路全长约42.3km。（详见工程量清单）</w:t>
      </w:r>
    </w:p>
    <w:p w14:paraId="6313F46E">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0"/>
          <w:highlight w:val="none"/>
          <w:lang w:eastAsia="zh-CN"/>
        </w:rPr>
      </w:pPr>
      <w:r>
        <w:rPr>
          <w:rFonts w:hint="eastAsia" w:ascii="宋体" w:hAnsi="宋体" w:cs="宋体"/>
          <w:sz w:val="24"/>
          <w:szCs w:val="21"/>
          <w:highlight w:val="none"/>
          <w:lang w:val="en-US" w:eastAsia="zh-CN"/>
        </w:rPr>
        <w:t>监理范围：</w:t>
      </w:r>
      <w:r>
        <w:rPr>
          <w:rFonts w:hint="eastAsia" w:ascii="宋体" w:hAnsi="宋体" w:cs="宋体"/>
          <w:sz w:val="24"/>
          <w:szCs w:val="22"/>
          <w:highlight w:val="none"/>
          <w:lang w:eastAsia="zh-CN"/>
        </w:rPr>
        <w:t>若羌南部矿区羌河三区110千伏输变电工程</w:t>
      </w:r>
      <w:r>
        <w:rPr>
          <w:rFonts w:hint="eastAsia" w:ascii="宋体" w:hAnsi="宋体" w:eastAsia="宋体" w:cs="宋体"/>
          <w:sz w:val="24"/>
          <w:szCs w:val="22"/>
          <w:highlight w:val="none"/>
        </w:rPr>
        <w:t>全过程监理</w:t>
      </w:r>
      <w:r>
        <w:rPr>
          <w:rFonts w:hint="eastAsia" w:ascii="宋体" w:hAnsi="宋体" w:eastAsia="宋体" w:cs="宋体"/>
          <w:sz w:val="24"/>
          <w:szCs w:val="22"/>
          <w:highlight w:val="none"/>
          <w:lang w:eastAsia="zh-CN"/>
        </w:rPr>
        <w:t>。</w:t>
      </w:r>
    </w:p>
    <w:p w14:paraId="4107E56B">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left="480" w:leftChars="200" w:right="0" w:rightChars="0" w:firstLine="480" w:firstLineChars="200"/>
        <w:textAlignment w:val="baseline"/>
        <w:rPr>
          <w:rFonts w:hint="eastAsia" w:ascii="宋体" w:hAnsi="宋体" w:eastAsia="宋体" w:cs="宋体"/>
          <w:sz w:val="24"/>
          <w:szCs w:val="20"/>
          <w:highlight w:val="none"/>
          <w:lang w:eastAsia="zh-CN"/>
        </w:rPr>
      </w:pPr>
      <w:r>
        <w:rPr>
          <w:rFonts w:hint="eastAsia" w:ascii="宋体" w:hAnsi="宋体" w:eastAsia="宋体" w:cs="宋体"/>
          <w:sz w:val="24"/>
          <w:szCs w:val="22"/>
          <w:highlight w:val="none"/>
        </w:rPr>
        <w:t>服务周期：</w:t>
      </w:r>
      <w:r>
        <w:rPr>
          <w:rFonts w:hint="eastAsia" w:ascii="宋体" w:hAnsi="宋体" w:cs="宋体"/>
          <w:sz w:val="24"/>
          <w:szCs w:val="22"/>
          <w:highlight w:val="none"/>
          <w:lang w:val="en-US" w:eastAsia="zh-CN"/>
        </w:rPr>
        <w:t>随施工工期开始，至工程竣工完毕，并出具最终监理报告日终结。(具体以合同约定为准）</w:t>
      </w:r>
    </w:p>
    <w:p w14:paraId="0805323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二、采购单位：</w:t>
      </w:r>
      <w:r>
        <w:rPr>
          <w:rFonts w:hint="eastAsia" w:ascii="宋体" w:hAnsi="宋体" w:cs="宋体"/>
          <w:sz w:val="24"/>
          <w:szCs w:val="22"/>
          <w:highlight w:val="none"/>
          <w:lang w:eastAsia="zh-CN"/>
        </w:rPr>
        <w:t>若羌县发展和改革委员会</w:t>
      </w:r>
    </w:p>
    <w:p w14:paraId="79F985D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三、采购代理机构：</w:t>
      </w:r>
      <w:r>
        <w:rPr>
          <w:rFonts w:hint="eastAsia" w:ascii="宋体" w:hAnsi="宋体" w:cs="宋体"/>
          <w:sz w:val="24"/>
          <w:szCs w:val="22"/>
          <w:highlight w:val="none"/>
          <w:lang w:eastAsia="zh-CN"/>
        </w:rPr>
        <w:t>新疆海睿工程咨询服务有限公司</w:t>
      </w:r>
    </w:p>
    <w:p w14:paraId="1C68536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四</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申请人</w:t>
      </w:r>
      <w:r>
        <w:rPr>
          <w:rFonts w:hint="eastAsia" w:ascii="宋体" w:hAnsi="宋体" w:eastAsia="宋体" w:cs="宋体"/>
          <w:sz w:val="24"/>
          <w:szCs w:val="22"/>
          <w:highlight w:val="none"/>
        </w:rPr>
        <w:t>资格要求：</w:t>
      </w:r>
    </w:p>
    <w:p w14:paraId="68C910C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720" w:firstLineChars="3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1、符合《中华人民共和国政府采购法》第二十二条的相关规定，</w:t>
      </w:r>
    </w:p>
    <w:p w14:paraId="222F552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1</w:t>
      </w:r>
      <w:r>
        <w:rPr>
          <w:rFonts w:hint="eastAsia" w:ascii="宋体" w:hAnsi="宋体" w:eastAsia="宋体" w:cs="宋体"/>
          <w:sz w:val="24"/>
          <w:szCs w:val="22"/>
          <w:highlight w:val="none"/>
        </w:rPr>
        <w:t>）在中华人民共和国境内依法注册的、具有独立承担民事责任的能力，提供有效的营业执照</w:t>
      </w:r>
      <w:r>
        <w:rPr>
          <w:rFonts w:hint="eastAsia" w:ascii="宋体" w:hAnsi="宋体" w:eastAsia="宋体" w:cs="宋体"/>
          <w:sz w:val="24"/>
          <w:szCs w:val="22"/>
          <w:highlight w:val="none"/>
          <w:lang w:eastAsia="zh-CN"/>
        </w:rPr>
        <w:t>；</w:t>
      </w:r>
    </w:p>
    <w:p w14:paraId="4F89B36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2</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法人须提供：法定代表人资格证明书及身份证；如是委托代理人需提供：法人授权委托书及被授权人身份证</w:t>
      </w:r>
      <w:r>
        <w:rPr>
          <w:rFonts w:hint="eastAsia" w:ascii="宋体" w:hAnsi="宋体" w:eastAsia="宋体" w:cs="宋体"/>
          <w:sz w:val="24"/>
          <w:szCs w:val="22"/>
          <w:highlight w:val="none"/>
          <w:lang w:eastAsia="zh-CN"/>
        </w:rPr>
        <w:t>；</w:t>
      </w:r>
    </w:p>
    <w:p w14:paraId="13C0722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rPr>
        <w:t>）单位负责人为同一人或者存在直接控股、管理关系的不同</w:t>
      </w:r>
      <w:r>
        <w:rPr>
          <w:rFonts w:hint="eastAsia" w:ascii="宋体" w:hAnsi="宋体" w:eastAsia="宋体" w:cs="宋体"/>
          <w:sz w:val="24"/>
          <w:szCs w:val="22"/>
          <w:highlight w:val="none"/>
          <w:lang w:eastAsia="zh-CN"/>
        </w:rPr>
        <w:t>供应商</w:t>
      </w:r>
      <w:r>
        <w:rPr>
          <w:rFonts w:hint="eastAsia" w:ascii="宋体" w:hAnsi="宋体" w:eastAsia="宋体" w:cs="宋体"/>
          <w:sz w:val="24"/>
          <w:szCs w:val="22"/>
          <w:highlight w:val="none"/>
        </w:rPr>
        <w:t>，不得参加同一合同项下的政府采购活动。</w:t>
      </w:r>
    </w:p>
    <w:p w14:paraId="1210C34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4</w:t>
      </w:r>
      <w:r>
        <w:rPr>
          <w:rFonts w:hint="eastAsia" w:ascii="宋体" w:hAnsi="宋体" w:eastAsia="宋体" w:cs="宋体"/>
          <w:sz w:val="24"/>
          <w:szCs w:val="22"/>
          <w:highlight w:val="none"/>
        </w:rPr>
        <w:t>）未被“信用中国”（www.creditchina.gov.cn）、中国政府采购网（www.ccgp.gov.cn）列入失信被执行人、重大税收违法案件当事人名单、政府采购严重违法失信行为记录名单。</w:t>
      </w:r>
    </w:p>
    <w:p w14:paraId="1B3D1BC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(5)</w:t>
      </w:r>
      <w:r>
        <w:rPr>
          <w:rFonts w:hint="eastAsia" w:ascii="宋体" w:hAnsi="宋体" w:eastAsia="宋体" w:cs="宋体"/>
          <w:sz w:val="24"/>
          <w:szCs w:val="22"/>
          <w:highlight w:val="none"/>
        </w:rPr>
        <w:t>本项目不接受联合体投标。</w:t>
      </w:r>
    </w:p>
    <w:p w14:paraId="342A449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2、本项目的特定资格要求</w:t>
      </w:r>
      <w:r>
        <w:rPr>
          <w:rFonts w:hint="eastAsia" w:ascii="宋体" w:hAnsi="宋体" w:eastAsia="宋体" w:cs="宋体"/>
          <w:sz w:val="24"/>
          <w:szCs w:val="22"/>
          <w:highlight w:val="none"/>
        </w:rPr>
        <w:t>：</w:t>
      </w:r>
    </w:p>
    <w:p w14:paraId="33975B3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（1）供应商应具备有效的综合监理资质或电力工程专业监理乙级以上（含乙级）资质企业；新疆维吾尔自治区境外企业提供有效的进疆承揽业务相关信息录入手续；</w:t>
      </w:r>
    </w:p>
    <w:p w14:paraId="76A93F2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(2)供应商拟派总监理工程师应具备有效的电力工程专业注册监理工程师资格，本单位注册；</w:t>
      </w:r>
    </w:p>
    <w:p w14:paraId="2A072A6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rPr>
        <w:t>、落实政府采购政策需满足的资格要求： </w:t>
      </w:r>
    </w:p>
    <w:p w14:paraId="3986970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（1）财政部、国家发展改革委、生态环境部、市场监管总局《关于调整优化节能产品、环境标志产品政府采购执行机制的通知》（财库[2019]9号文）；</w:t>
      </w:r>
    </w:p>
    <w:p w14:paraId="7C92A6A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（2）财政部、生态环境部《关于印发环境标志产品政府采购品目清单的通知》（财库[2019]18号文）；</w:t>
      </w:r>
    </w:p>
    <w:p w14:paraId="2246255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（3）财政部、发展改革委《关于印发节能产品政府采购品目清单的通知》（财库[2019]19号文）；</w:t>
      </w:r>
    </w:p>
    <w:p w14:paraId="77078EC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（4）市场监管总局《市场监管总局关于发布参与实施政府采购节能产品、环境标志产品认证机构名录的公告》（2019年第16号）；</w:t>
      </w:r>
    </w:p>
    <w:p w14:paraId="49B088B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（5）财政部、工业和信息化部《关于印发《政府采购促进中小企业展暂行办法》的通知》（财库[2020]46号文）；</w:t>
      </w:r>
    </w:p>
    <w:p w14:paraId="6E44182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（6）财政部、民政部、中国残疾人联合会《关于促进残疾人就业政府采购政策的通知》（财库[2017]141号）；</w:t>
      </w:r>
    </w:p>
    <w:p w14:paraId="552A5AA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（7）财政部、司法部《关于政府采购支持监狱企业发展有关问题的通知》（财库[2014]68号文）。（中小企业优惠、监狱企业、节能产品、环境标志产品等）。 </w:t>
      </w:r>
    </w:p>
    <w:p w14:paraId="0C90861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（8）扶持中小企业政策：本项目为专门面向</w:t>
      </w:r>
      <w:r>
        <w:rPr>
          <w:rFonts w:hint="eastAsia" w:ascii="宋体" w:hAnsi="宋体" w:cs="宋体"/>
          <w:sz w:val="24"/>
          <w:szCs w:val="22"/>
          <w:highlight w:val="none"/>
          <w:lang w:val="en-US" w:eastAsia="zh-CN"/>
        </w:rPr>
        <w:t>小微</w:t>
      </w:r>
      <w:r>
        <w:rPr>
          <w:rFonts w:hint="eastAsia" w:ascii="宋体" w:hAnsi="宋体" w:eastAsia="宋体" w:cs="宋体"/>
          <w:sz w:val="24"/>
          <w:szCs w:val="22"/>
          <w:highlight w:val="none"/>
          <w:lang w:val="en-US" w:eastAsia="zh-CN"/>
        </w:rPr>
        <w:t>企业（含小型、微型企业）采购项目。</w:t>
      </w:r>
      <w:r>
        <w:rPr>
          <w:rFonts w:hint="eastAsia" w:ascii="宋体" w:hAnsi="宋体" w:cs="宋体"/>
          <w:sz w:val="24"/>
          <w:szCs w:val="22"/>
          <w:highlight w:val="none"/>
          <w:lang w:val="en-US" w:eastAsia="zh-CN"/>
        </w:rPr>
        <w:t>小微</w:t>
      </w:r>
      <w:r>
        <w:rPr>
          <w:rFonts w:hint="eastAsia" w:ascii="宋体" w:hAnsi="宋体" w:eastAsia="宋体" w:cs="宋体"/>
          <w:sz w:val="24"/>
          <w:szCs w:val="22"/>
          <w:highlight w:val="none"/>
          <w:lang w:val="en-US" w:eastAsia="zh-CN"/>
        </w:rPr>
        <w:t>企业是工业和信息化部、国家统计局、发展改革委、财政部《中小企业划型标准规定》（工信部联企业〔2011〕300号）中划分的小、微型企业。</w:t>
      </w:r>
    </w:p>
    <w:p w14:paraId="3B39A448">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（9）《关于运用政府采购政策支持脱贫攻坚的通知》（财库【2019】27号文）。 </w:t>
      </w:r>
    </w:p>
    <w:p w14:paraId="7F3C94B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五</w:t>
      </w:r>
      <w:r>
        <w:rPr>
          <w:rFonts w:hint="eastAsia" w:ascii="宋体" w:hAnsi="宋体" w:eastAsia="宋体" w:cs="宋体"/>
          <w:sz w:val="24"/>
          <w:szCs w:val="22"/>
          <w:highlight w:val="none"/>
        </w:rPr>
        <w:t>、</w:t>
      </w:r>
      <w:r>
        <w:rPr>
          <w:rFonts w:hint="eastAsia" w:ascii="宋体" w:hAnsi="宋体" w:eastAsia="宋体" w:cs="宋体"/>
          <w:sz w:val="24"/>
          <w:szCs w:val="22"/>
          <w:highlight w:val="none"/>
          <w:lang w:eastAsia="zh-CN"/>
        </w:rPr>
        <w:t>采购文件</w:t>
      </w:r>
      <w:r>
        <w:rPr>
          <w:rFonts w:hint="eastAsia" w:ascii="宋体" w:hAnsi="宋体" w:eastAsia="宋体" w:cs="宋体"/>
          <w:sz w:val="24"/>
          <w:szCs w:val="22"/>
          <w:highlight w:val="none"/>
        </w:rPr>
        <w:t>的获取（下载）时间、地址、售价</w:t>
      </w:r>
      <w:r>
        <w:rPr>
          <w:rFonts w:hint="eastAsia" w:ascii="宋体" w:hAnsi="宋体" w:eastAsia="宋体" w:cs="宋体"/>
          <w:sz w:val="24"/>
          <w:szCs w:val="22"/>
          <w:highlight w:val="none"/>
          <w:lang w:eastAsia="zh-CN"/>
        </w:rPr>
        <w:t>：</w:t>
      </w:r>
    </w:p>
    <w:p w14:paraId="21172DC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cs="宋体"/>
          <w:sz w:val="24"/>
          <w:szCs w:val="22"/>
          <w:highlight w:val="yellow"/>
          <w:lang w:eastAsia="zh-CN"/>
        </w:rPr>
      </w:pPr>
      <w:r>
        <w:rPr>
          <w:rFonts w:hint="eastAsia" w:ascii="宋体" w:hAnsi="宋体" w:eastAsia="宋体" w:cs="宋体"/>
          <w:sz w:val="24"/>
          <w:szCs w:val="22"/>
          <w:highlight w:val="none"/>
        </w:rPr>
        <w:t>1、时间</w:t>
      </w:r>
      <w:r>
        <w:rPr>
          <w:rFonts w:hint="eastAsia" w:ascii="宋体" w:hAnsi="宋体" w:eastAsia="宋体" w:cs="宋体"/>
          <w:sz w:val="24"/>
          <w:szCs w:val="22"/>
          <w:highlight w:val="yellow"/>
        </w:rPr>
        <w:t>：</w:t>
      </w:r>
      <w:r>
        <w:rPr>
          <w:rFonts w:hint="eastAsia" w:ascii="宋体" w:hAnsi="宋体" w:cs="宋体"/>
          <w:sz w:val="24"/>
          <w:szCs w:val="22"/>
          <w:highlight w:val="yellow"/>
          <w:lang w:eastAsia="zh-CN"/>
        </w:rPr>
        <w:t>2025年</w:t>
      </w:r>
      <w:r>
        <w:rPr>
          <w:rFonts w:hint="eastAsia" w:ascii="宋体" w:hAnsi="宋体" w:cs="宋体"/>
          <w:sz w:val="24"/>
          <w:szCs w:val="22"/>
          <w:highlight w:val="yellow"/>
          <w:lang w:val="en-US" w:eastAsia="zh-CN"/>
        </w:rPr>
        <w:t>06月25日</w:t>
      </w:r>
      <w:r>
        <w:rPr>
          <w:rFonts w:hint="eastAsia" w:ascii="宋体" w:hAnsi="宋体" w:cs="宋体"/>
          <w:sz w:val="24"/>
          <w:szCs w:val="22"/>
          <w:highlight w:val="yellow"/>
          <w:lang w:eastAsia="zh-CN"/>
        </w:rPr>
        <w:t>至2025年</w:t>
      </w:r>
      <w:r>
        <w:rPr>
          <w:rFonts w:hint="eastAsia" w:ascii="宋体" w:hAnsi="宋体" w:cs="宋体"/>
          <w:sz w:val="24"/>
          <w:szCs w:val="22"/>
          <w:highlight w:val="yellow"/>
          <w:lang w:val="en-US" w:eastAsia="zh-CN"/>
        </w:rPr>
        <w:t>07月02日</w:t>
      </w:r>
    </w:p>
    <w:p w14:paraId="4E3E547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2、地点（网址）：</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2"/>
          <w:highlight w:val="none"/>
        </w:rPr>
        <w:t>登陆政采云平台http://www.zcygov.cn/，在线申请获取采购文件（登录政府采购云平台 → 项目采购 → 获取采购文件 → 申请，审核通过后可下载</w:t>
      </w:r>
      <w:r>
        <w:rPr>
          <w:rFonts w:hint="eastAsia" w:ascii="宋体" w:hAnsi="宋体" w:eastAsia="宋体" w:cs="宋体"/>
          <w:sz w:val="24"/>
          <w:szCs w:val="22"/>
          <w:highlight w:val="none"/>
          <w:lang w:eastAsia="zh-CN"/>
        </w:rPr>
        <w:t>采购文件</w:t>
      </w:r>
      <w:r>
        <w:rPr>
          <w:rFonts w:hint="eastAsia" w:ascii="宋体" w:hAnsi="宋体" w:eastAsia="宋体" w:cs="宋体"/>
          <w:sz w:val="24"/>
          <w:szCs w:val="22"/>
          <w:highlight w:val="none"/>
        </w:rPr>
        <w:t>，如有操作性问题，可与政采云在线客服进行咨询，咨询电话：</w:t>
      </w:r>
      <w:r>
        <w:rPr>
          <w:rFonts w:hint="eastAsia" w:ascii="宋体" w:hAnsi="宋体" w:eastAsia="宋体" w:cs="宋体"/>
          <w:sz w:val="24"/>
          <w:szCs w:val="22"/>
          <w:highlight w:val="none"/>
          <w:lang w:eastAsia="zh-CN"/>
        </w:rPr>
        <w:t>95763</w:t>
      </w:r>
      <w:r>
        <w:rPr>
          <w:rFonts w:hint="eastAsia" w:ascii="宋体" w:hAnsi="宋体" w:eastAsia="宋体" w:cs="宋体"/>
          <w:sz w:val="24"/>
          <w:szCs w:val="22"/>
          <w:highlight w:val="none"/>
        </w:rPr>
        <w:t>） </w:t>
      </w:r>
    </w:p>
    <w:p w14:paraId="076F333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3、获取方式：</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2"/>
          <w:highlight w:val="none"/>
        </w:rPr>
        <w:t>登录政采云平台自行获取。</w:t>
      </w:r>
    </w:p>
    <w:p w14:paraId="6A4C952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4、售价（元）：0元</w:t>
      </w:r>
    </w:p>
    <w:p w14:paraId="3A59C79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5、报名时须上传的资料：</w:t>
      </w:r>
    </w:p>
    <w:p w14:paraId="21FED31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（1）营业执照原件的扫描件</w:t>
      </w:r>
    </w:p>
    <w:p w14:paraId="3BDD4C4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（2）</w:t>
      </w:r>
      <w:r>
        <w:rPr>
          <w:rFonts w:hint="eastAsia" w:ascii="宋体" w:hAnsi="宋体" w:eastAsia="宋体" w:cs="宋体"/>
          <w:sz w:val="24"/>
          <w:szCs w:val="22"/>
          <w:highlight w:val="none"/>
          <w:lang w:val="en-US" w:eastAsia="zh-CN"/>
        </w:rPr>
        <w:t>法人须提供：法定代表人资格证明书及身份证；如是委托代理人需提供：法人授权委托书及被授权人身份证</w:t>
      </w:r>
      <w:r>
        <w:rPr>
          <w:rFonts w:hint="eastAsia" w:ascii="宋体" w:hAnsi="宋体" w:eastAsia="宋体" w:cs="宋体"/>
          <w:sz w:val="24"/>
          <w:szCs w:val="22"/>
          <w:highlight w:val="none"/>
        </w:rPr>
        <w:t>。</w:t>
      </w:r>
    </w:p>
    <w:p w14:paraId="1D00558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US" w:eastAsia="zh-CN"/>
        </w:rPr>
        <w:t>六</w:t>
      </w:r>
      <w:r>
        <w:rPr>
          <w:rFonts w:hint="eastAsia" w:ascii="宋体" w:hAnsi="宋体" w:eastAsia="宋体" w:cs="宋体"/>
          <w:sz w:val="24"/>
          <w:szCs w:val="22"/>
          <w:highlight w:val="none"/>
        </w:rPr>
        <w:t>、开标、投标截止时间</w:t>
      </w:r>
      <w:r>
        <w:rPr>
          <w:rFonts w:hint="eastAsia" w:ascii="宋体" w:hAnsi="宋体" w:eastAsia="宋体" w:cs="宋体"/>
          <w:sz w:val="24"/>
          <w:szCs w:val="22"/>
          <w:highlight w:val="yellow"/>
        </w:rPr>
        <w:t>：</w:t>
      </w:r>
      <w:r>
        <w:rPr>
          <w:rFonts w:hint="eastAsia" w:ascii="宋体" w:hAnsi="宋体" w:cs="宋体"/>
          <w:sz w:val="24"/>
          <w:szCs w:val="22"/>
          <w:highlight w:val="yellow"/>
          <w:lang w:eastAsia="zh-CN"/>
        </w:rPr>
        <w:t>2025年07月07日1</w:t>
      </w:r>
      <w:r>
        <w:rPr>
          <w:rFonts w:hint="eastAsia" w:ascii="宋体" w:hAnsi="宋体" w:cs="宋体"/>
          <w:sz w:val="24"/>
          <w:szCs w:val="22"/>
          <w:highlight w:val="yellow"/>
          <w:lang w:val="en-US" w:eastAsia="zh-CN"/>
        </w:rPr>
        <w:t>0</w:t>
      </w:r>
      <w:r>
        <w:rPr>
          <w:rFonts w:hint="eastAsia" w:ascii="宋体" w:hAnsi="宋体" w:cs="宋体"/>
          <w:sz w:val="24"/>
          <w:szCs w:val="22"/>
          <w:highlight w:val="yellow"/>
          <w:lang w:eastAsia="zh-CN"/>
        </w:rPr>
        <w:t>时30分</w:t>
      </w:r>
      <w:r>
        <w:rPr>
          <w:rFonts w:hint="eastAsia" w:ascii="宋体" w:hAnsi="宋体" w:eastAsia="宋体" w:cs="宋体"/>
          <w:sz w:val="24"/>
          <w:szCs w:val="22"/>
          <w:highlight w:val="none"/>
          <w:lang w:val="en-GB"/>
        </w:rPr>
        <w:t>（北京时间）</w:t>
      </w:r>
    </w:p>
    <w:p w14:paraId="38D21F2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地址（</w:t>
      </w:r>
      <w:r>
        <w:rPr>
          <w:rFonts w:hint="eastAsia" w:ascii="宋体" w:hAnsi="宋体" w:eastAsia="宋体" w:cs="宋体"/>
          <w:sz w:val="24"/>
          <w:szCs w:val="22"/>
          <w:highlight w:val="none"/>
          <w:lang w:val="en-GB"/>
        </w:rPr>
        <w:t>网址）</w:t>
      </w:r>
      <w:r>
        <w:rPr>
          <w:rFonts w:hint="eastAsia" w:ascii="宋体" w:hAnsi="宋体" w:eastAsia="宋体" w:cs="宋体"/>
          <w:sz w:val="24"/>
          <w:szCs w:val="22"/>
          <w:highlight w:val="none"/>
        </w:rPr>
        <w:t>：政采云开标大厅（https://www.zcygov.cn在线投标）</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若逾期</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rPr>
        <w:t>届时其投标将被拒绝。</w:t>
      </w:r>
    </w:p>
    <w:p w14:paraId="75ED73F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GB"/>
        </w:rPr>
        <w:t>八、响应文件提交（上传）</w:t>
      </w:r>
    </w:p>
    <w:p w14:paraId="749A6B8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GB"/>
        </w:rPr>
        <w:t>截止时间：</w:t>
      </w:r>
      <w:r>
        <w:rPr>
          <w:rFonts w:hint="eastAsia" w:ascii="宋体" w:hAnsi="宋体" w:cs="宋体"/>
          <w:sz w:val="24"/>
          <w:szCs w:val="22"/>
          <w:highlight w:val="yellow"/>
          <w:lang w:eastAsia="zh-CN"/>
        </w:rPr>
        <w:t>2025年07月07日1</w:t>
      </w:r>
      <w:r>
        <w:rPr>
          <w:rFonts w:hint="eastAsia" w:ascii="宋体" w:hAnsi="宋体" w:cs="宋体"/>
          <w:sz w:val="24"/>
          <w:szCs w:val="22"/>
          <w:highlight w:val="yellow"/>
          <w:lang w:val="en-US" w:eastAsia="zh-CN"/>
        </w:rPr>
        <w:t>0</w:t>
      </w:r>
      <w:r>
        <w:rPr>
          <w:rFonts w:hint="eastAsia" w:ascii="宋体" w:hAnsi="宋体" w:cs="宋体"/>
          <w:sz w:val="24"/>
          <w:szCs w:val="22"/>
          <w:highlight w:val="yellow"/>
          <w:lang w:eastAsia="zh-CN"/>
        </w:rPr>
        <w:t>时30分</w:t>
      </w:r>
      <w:r>
        <w:rPr>
          <w:rFonts w:hint="eastAsia" w:ascii="宋体" w:hAnsi="宋体" w:eastAsia="宋体" w:cs="宋体"/>
          <w:sz w:val="24"/>
          <w:szCs w:val="22"/>
          <w:highlight w:val="none"/>
          <w:lang w:val="en-GB"/>
        </w:rPr>
        <w:t>（北京时间）</w:t>
      </w:r>
    </w:p>
    <w:p w14:paraId="7B6871E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GB"/>
        </w:rPr>
        <w:t>地点（网址）：政采云开标大厅（</w:t>
      </w:r>
      <w:r>
        <w:rPr>
          <w:rFonts w:hint="eastAsia" w:ascii="宋体" w:hAnsi="宋体" w:eastAsia="宋体" w:cs="宋体"/>
          <w:sz w:val="24"/>
          <w:szCs w:val="22"/>
          <w:highlight w:val="none"/>
        </w:rPr>
        <w:t>https://www.zcygov.cn在线投标</w:t>
      </w:r>
      <w:r>
        <w:rPr>
          <w:rFonts w:hint="eastAsia" w:ascii="宋体" w:hAnsi="宋体" w:eastAsia="宋体" w:cs="宋体"/>
          <w:sz w:val="24"/>
          <w:szCs w:val="22"/>
          <w:highlight w:val="none"/>
          <w:lang w:val="en-GB"/>
        </w:rPr>
        <w:t>）</w:t>
      </w:r>
    </w:p>
    <w:p w14:paraId="00EDF1C1">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GB"/>
        </w:rPr>
        <w:t>九、响应文件开启</w:t>
      </w:r>
    </w:p>
    <w:p w14:paraId="22DB050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GB"/>
        </w:rPr>
        <w:t>开启时间：</w:t>
      </w:r>
      <w:r>
        <w:rPr>
          <w:rFonts w:hint="eastAsia" w:ascii="宋体" w:hAnsi="宋体" w:cs="宋体"/>
          <w:sz w:val="24"/>
          <w:szCs w:val="22"/>
          <w:highlight w:val="yellow"/>
          <w:lang w:eastAsia="zh-CN"/>
        </w:rPr>
        <w:t>2025年07月07日1</w:t>
      </w:r>
      <w:r>
        <w:rPr>
          <w:rFonts w:hint="eastAsia" w:ascii="宋体" w:hAnsi="宋体" w:cs="宋体"/>
          <w:sz w:val="24"/>
          <w:szCs w:val="22"/>
          <w:highlight w:val="yellow"/>
          <w:lang w:val="en-US" w:eastAsia="zh-CN"/>
        </w:rPr>
        <w:t>0</w:t>
      </w:r>
      <w:r>
        <w:rPr>
          <w:rFonts w:hint="eastAsia" w:ascii="宋体" w:hAnsi="宋体" w:cs="宋体"/>
          <w:sz w:val="24"/>
          <w:szCs w:val="22"/>
          <w:highlight w:val="yellow"/>
          <w:lang w:eastAsia="zh-CN"/>
        </w:rPr>
        <w:t>时30分</w:t>
      </w:r>
      <w:r>
        <w:rPr>
          <w:rFonts w:hint="eastAsia" w:ascii="宋体" w:hAnsi="宋体" w:eastAsia="宋体" w:cs="宋体"/>
          <w:sz w:val="24"/>
          <w:szCs w:val="22"/>
          <w:highlight w:val="none"/>
          <w:lang w:val="en-GB"/>
        </w:rPr>
        <w:t>（北京时间）</w:t>
      </w:r>
    </w:p>
    <w:p w14:paraId="30DF1D9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GB"/>
        </w:rPr>
        <w:t>地点（网址）：政采云开标大厅（</w:t>
      </w:r>
      <w:r>
        <w:rPr>
          <w:rFonts w:hint="eastAsia" w:ascii="宋体" w:hAnsi="宋体" w:eastAsia="宋体" w:cs="宋体"/>
          <w:sz w:val="24"/>
          <w:szCs w:val="22"/>
          <w:highlight w:val="none"/>
        </w:rPr>
        <w:t>https://www.zcygov.cn在线投标</w:t>
      </w:r>
      <w:r>
        <w:rPr>
          <w:rFonts w:hint="eastAsia" w:ascii="宋体" w:hAnsi="宋体" w:eastAsia="宋体" w:cs="宋体"/>
          <w:sz w:val="24"/>
          <w:szCs w:val="22"/>
          <w:highlight w:val="none"/>
          <w:lang w:val="en-GB"/>
        </w:rPr>
        <w:t>）</w:t>
      </w:r>
    </w:p>
    <w:p w14:paraId="68CC1B0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GB"/>
        </w:rPr>
      </w:pPr>
      <w:r>
        <w:rPr>
          <w:rFonts w:hint="eastAsia" w:ascii="宋体" w:hAnsi="宋体" w:eastAsia="宋体" w:cs="宋体"/>
          <w:sz w:val="24"/>
          <w:szCs w:val="22"/>
          <w:highlight w:val="none"/>
          <w:lang w:val="en-GB"/>
        </w:rPr>
        <w:t>十、公告期限</w:t>
      </w:r>
    </w:p>
    <w:p w14:paraId="4494440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GB"/>
        </w:rPr>
        <w:t>自本公告发布之日起</w:t>
      </w:r>
      <w:r>
        <w:rPr>
          <w:rFonts w:hint="eastAsia" w:ascii="宋体" w:hAnsi="宋体" w:cs="宋体"/>
          <w:sz w:val="24"/>
          <w:szCs w:val="22"/>
          <w:highlight w:val="none"/>
          <w:lang w:val="en-US" w:eastAsia="zh-CN"/>
        </w:rPr>
        <w:t>5</w:t>
      </w:r>
      <w:r>
        <w:rPr>
          <w:rFonts w:hint="eastAsia" w:ascii="宋体" w:hAnsi="宋体" w:eastAsia="宋体" w:cs="宋体"/>
          <w:sz w:val="24"/>
          <w:szCs w:val="22"/>
          <w:highlight w:val="none"/>
          <w:lang w:val="en-GB"/>
        </w:rPr>
        <w:t>个工作日。</w:t>
      </w:r>
    </w:p>
    <w:p w14:paraId="4796E74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十一、其他补充事项：</w:t>
      </w:r>
    </w:p>
    <w:p w14:paraId="7A874560">
      <w:pPr>
        <w:spacing w:line="360" w:lineRule="auto"/>
        <w:ind w:firstLine="300" w:firstLineChars="125"/>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1.本项目实行网上投标，采用电子响应文件(供应商须使用CA加密</w:t>
      </w:r>
      <w:r>
        <w:rPr>
          <w:rFonts w:hint="eastAsia" w:ascii="宋体" w:hAnsi="宋体" w:eastAsia="宋体" w:cs="宋体"/>
          <w:color w:val="auto"/>
          <w:sz w:val="24"/>
          <w:szCs w:val="24"/>
          <w:highlight w:val="none"/>
        </w:rPr>
        <w:t>锁</w:t>
      </w:r>
      <w:r>
        <w:rPr>
          <w:rFonts w:hint="eastAsia" w:ascii="宋体" w:hAnsi="宋体" w:eastAsia="宋体" w:cs="宋体"/>
          <w:color w:val="auto"/>
          <w:sz w:val="24"/>
          <w:szCs w:val="24"/>
          <w:highlight w:val="none"/>
          <w:lang w:val="en-GB"/>
        </w:rPr>
        <w:t xml:space="preserve">通过政采云电子投标客户端制作响应文件)。若供应商参与投标，自行承担投标一切费用。 </w:t>
      </w:r>
    </w:p>
    <w:p w14:paraId="4F0F2F41">
      <w:pPr>
        <w:spacing w:line="360" w:lineRule="auto"/>
        <w:ind w:firstLine="300" w:firstLineChars="125"/>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.各供应商应确保</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val="en-GB"/>
        </w:rPr>
        <w:t xml:space="preserve">新疆维吾尔自治区政府采购网正式注册入库供应商，并完成CA数字证书申领。因未注册入库、未办理CA数字证书等原因造成无法投标或投标失败等后果由供应商自行承担。 </w:t>
      </w:r>
    </w:p>
    <w:p w14:paraId="1F4DFFC2">
      <w:pPr>
        <w:keepNext w:val="0"/>
        <w:keepLines w:val="0"/>
        <w:pageBreakBefore w:val="0"/>
        <w:widowControl w:val="0"/>
        <w:kinsoku/>
        <w:wordWrap/>
        <w:overflowPunct/>
        <w:topLinePunct w:val="0"/>
        <w:autoSpaceDE/>
        <w:autoSpaceDN/>
        <w:bidi w:val="0"/>
        <w:adjustRightInd w:val="0"/>
        <w:snapToGrid w:val="0"/>
        <w:spacing w:line="360" w:lineRule="auto"/>
        <w:ind w:firstLine="300" w:firstLineChars="125"/>
        <w:jc w:val="left"/>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GB"/>
        </w:rPr>
        <w:t>.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lang w:val="en-GB"/>
        </w:rPr>
        <w:t xml:space="preserve">进行咨询。 </w:t>
      </w:r>
    </w:p>
    <w:p w14:paraId="05097DA5">
      <w:pPr>
        <w:keepNext w:val="0"/>
        <w:keepLines w:val="0"/>
        <w:pageBreakBefore w:val="0"/>
        <w:widowControl w:val="0"/>
        <w:kinsoku/>
        <w:wordWrap/>
        <w:overflowPunct/>
        <w:topLinePunct w:val="0"/>
        <w:autoSpaceDE/>
        <w:autoSpaceDN/>
        <w:bidi w:val="0"/>
        <w:adjustRightInd w:val="0"/>
        <w:snapToGrid w:val="0"/>
        <w:spacing w:line="360" w:lineRule="auto"/>
        <w:ind w:firstLine="300" w:firstLineChars="125"/>
        <w:jc w:val="left"/>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GB"/>
        </w:rPr>
        <w:t xml:space="preserve">须提前配置好浏览器（建议使用360浏览器或谷歌浏览器），以便开标时解锁。  </w:t>
      </w:r>
    </w:p>
    <w:p w14:paraId="4DC257C9">
      <w:pPr>
        <w:keepNext w:val="0"/>
        <w:keepLines w:val="0"/>
        <w:pageBreakBefore w:val="0"/>
        <w:widowControl w:val="0"/>
        <w:kinsoku/>
        <w:wordWrap/>
        <w:overflowPunct/>
        <w:topLinePunct w:val="0"/>
        <w:autoSpaceDE/>
        <w:autoSpaceDN/>
        <w:bidi w:val="0"/>
        <w:adjustRightInd w:val="0"/>
        <w:snapToGrid w:val="0"/>
        <w:spacing w:line="360" w:lineRule="auto"/>
        <w:ind w:firstLine="300" w:firstLineChars="125"/>
        <w:jc w:val="left"/>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lang w:val="en-GB" w:eastAsia="zh-CN"/>
        </w:rPr>
        <w:t>磋商保证金</w:t>
      </w:r>
      <w:r>
        <w:rPr>
          <w:rFonts w:hint="eastAsia" w:ascii="宋体" w:hAnsi="宋体" w:eastAsia="宋体" w:cs="宋体"/>
          <w:color w:val="auto"/>
          <w:sz w:val="24"/>
          <w:szCs w:val="24"/>
          <w:highlight w:val="none"/>
          <w:lang w:val="en-GB"/>
        </w:rPr>
        <w:t>缴纳及确认时间：凡拟参加本次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GB"/>
        </w:rPr>
        <w:t>项目的供应商，必须在开标前将</w:t>
      </w:r>
      <w:r>
        <w:rPr>
          <w:rFonts w:hint="eastAsia" w:ascii="宋体" w:hAnsi="宋体" w:eastAsia="宋体" w:cs="宋体"/>
          <w:color w:val="auto"/>
          <w:sz w:val="24"/>
          <w:szCs w:val="24"/>
          <w:highlight w:val="none"/>
          <w:lang w:val="en-GB" w:eastAsia="zh-CN"/>
        </w:rPr>
        <w:t>磋商保证金</w:t>
      </w:r>
      <w:r>
        <w:rPr>
          <w:rFonts w:hint="eastAsia" w:ascii="宋体" w:hAnsi="宋体" w:eastAsia="宋体" w:cs="宋体"/>
          <w:color w:val="auto"/>
          <w:sz w:val="24"/>
          <w:szCs w:val="24"/>
          <w:highlight w:val="none"/>
          <w:lang w:val="en-GB"/>
        </w:rPr>
        <w:t>汇入指定账户。</w:t>
      </w:r>
      <w:r>
        <w:rPr>
          <w:rFonts w:hint="eastAsia" w:ascii="宋体" w:hAnsi="宋体" w:eastAsia="宋体" w:cs="宋体"/>
          <w:color w:val="auto"/>
          <w:sz w:val="24"/>
          <w:szCs w:val="24"/>
          <w:highlight w:val="none"/>
          <w:lang w:val="en-GB" w:eastAsia="zh-CN"/>
        </w:rPr>
        <w:t>磋商保证金</w:t>
      </w:r>
      <w:r>
        <w:rPr>
          <w:rFonts w:hint="eastAsia" w:ascii="宋体" w:hAnsi="宋体" w:eastAsia="宋体" w:cs="宋体"/>
          <w:color w:val="auto"/>
          <w:sz w:val="24"/>
          <w:szCs w:val="24"/>
          <w:highlight w:val="none"/>
          <w:lang w:val="en-GB"/>
        </w:rPr>
        <w:t>汇款凭证上用途栏应注明:</w:t>
      </w:r>
      <w:r>
        <w:rPr>
          <w:rFonts w:hint="eastAsia" w:ascii="宋体" w:hAnsi="宋体" w:eastAsia="宋体" w:cs="宋体"/>
          <w:color w:val="auto"/>
          <w:sz w:val="24"/>
          <w:szCs w:val="24"/>
          <w:highlight w:val="none"/>
          <w:lang w:val="en-GB" w:eastAsia="zh-CN"/>
        </w:rPr>
        <w:t>磋商保证金</w:t>
      </w:r>
      <w:r>
        <w:rPr>
          <w:rFonts w:hint="eastAsia" w:ascii="宋体" w:hAnsi="宋体" w:eastAsia="宋体" w:cs="宋体"/>
          <w:color w:val="auto"/>
          <w:sz w:val="24"/>
          <w:szCs w:val="24"/>
          <w:highlight w:val="none"/>
          <w:lang w:val="en-GB"/>
        </w:rPr>
        <w:t>+编号。否则，届时其投标将被拒绝。</w:t>
      </w:r>
    </w:p>
    <w:p w14:paraId="1A2B022B">
      <w:pPr>
        <w:keepNext w:val="0"/>
        <w:keepLines w:val="0"/>
        <w:pageBreakBefore w:val="0"/>
        <w:widowControl w:val="0"/>
        <w:kinsoku/>
        <w:wordWrap/>
        <w:overflowPunct/>
        <w:topLinePunct w:val="0"/>
        <w:autoSpaceDE/>
        <w:autoSpaceDN/>
        <w:bidi w:val="0"/>
        <w:adjustRightInd w:val="0"/>
        <w:snapToGrid w:val="0"/>
        <w:spacing w:line="360" w:lineRule="auto"/>
        <w:ind w:firstLine="300" w:firstLineChars="125"/>
        <w:jc w:val="left"/>
        <w:textAlignment w:val="auto"/>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GB"/>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24A533F">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特别提示：</w:t>
      </w:r>
    </w:p>
    <w:p w14:paraId="7D789BB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1、</w:t>
      </w:r>
      <w:r>
        <w:rPr>
          <w:rFonts w:hint="eastAsia" w:ascii="宋体" w:hAnsi="宋体" w:eastAsia="宋体" w:cs="宋体"/>
          <w:sz w:val="24"/>
          <w:szCs w:val="22"/>
          <w:highlight w:val="none"/>
        </w:rPr>
        <w:t>采购限额标准以上，200万元以下的货物和服务采购项目、400万元以下的工程采购项目，适宜由中小企业提供的，采购人应当专门面向中小企业采购。</w:t>
      </w:r>
    </w:p>
    <w:p w14:paraId="503E2386">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2、超过200万元的货物和服务采购项目，预留该部分采购项目预算总额的30%以上专门面向中小企业采购，其中预留给小微企业的比例不低于60%。</w:t>
      </w:r>
    </w:p>
    <w:p w14:paraId="799A2D1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3、超过400万元的工程采购项目中适宜由中小企业提供的，预留该部分采购项目预算总额的40%以上专门面向中小企业采购，其中预留给小微企业的比例不低于60%。</w:t>
      </w:r>
    </w:p>
    <w:p w14:paraId="1FA9DE5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1DF8CA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94CBAE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十二、联系方式</w:t>
      </w:r>
    </w:p>
    <w:p w14:paraId="637C64F2">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采购人名称：</w:t>
      </w:r>
      <w:r>
        <w:rPr>
          <w:rFonts w:hint="eastAsia" w:ascii="宋体" w:hAnsi="宋体" w:cs="宋体"/>
          <w:sz w:val="24"/>
          <w:szCs w:val="22"/>
          <w:highlight w:val="none"/>
          <w:lang w:eastAsia="zh-CN"/>
        </w:rPr>
        <w:t>若羌县发展和改革委员会</w:t>
      </w:r>
    </w:p>
    <w:p w14:paraId="3F714A4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联系人：</w:t>
      </w:r>
      <w:r>
        <w:rPr>
          <w:rFonts w:hint="eastAsia" w:ascii="宋体" w:hAnsi="宋体" w:cs="宋体"/>
          <w:sz w:val="24"/>
          <w:szCs w:val="22"/>
          <w:highlight w:val="none"/>
          <w:lang w:eastAsia="zh-CN"/>
        </w:rPr>
        <w:t>关健,周杨杨</w:t>
      </w:r>
    </w:p>
    <w:p w14:paraId="1BE1B21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联系电话：</w:t>
      </w:r>
      <w:r>
        <w:rPr>
          <w:rFonts w:hint="eastAsia" w:ascii="宋体" w:hAnsi="宋体" w:cs="宋体"/>
          <w:sz w:val="24"/>
          <w:szCs w:val="22"/>
          <w:highlight w:val="none"/>
          <w:lang w:eastAsia="zh-CN"/>
        </w:rPr>
        <w:t>16699466767；18095833443</w:t>
      </w:r>
    </w:p>
    <w:p w14:paraId="3256C4BB">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采购代理机构名称：</w:t>
      </w:r>
      <w:r>
        <w:rPr>
          <w:rFonts w:hint="eastAsia" w:ascii="宋体" w:hAnsi="宋体" w:cs="宋体"/>
          <w:sz w:val="24"/>
          <w:szCs w:val="22"/>
          <w:highlight w:val="none"/>
          <w:lang w:eastAsia="zh-CN"/>
        </w:rPr>
        <w:t>新疆海睿工程咨询服务有限公司</w:t>
      </w:r>
    </w:p>
    <w:p w14:paraId="76BD1FC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联系人：</w:t>
      </w:r>
      <w:r>
        <w:rPr>
          <w:rFonts w:hint="eastAsia" w:ascii="宋体" w:hAnsi="宋体" w:cs="宋体"/>
          <w:sz w:val="24"/>
          <w:szCs w:val="22"/>
          <w:highlight w:val="none"/>
          <w:lang w:eastAsia="zh-CN"/>
        </w:rPr>
        <w:t>王女士</w:t>
      </w:r>
    </w:p>
    <w:p w14:paraId="7399B31D">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联系电话：</w:t>
      </w:r>
      <w:r>
        <w:rPr>
          <w:rFonts w:hint="eastAsia" w:ascii="宋体" w:hAnsi="宋体" w:cs="宋体"/>
          <w:sz w:val="24"/>
          <w:szCs w:val="22"/>
          <w:highlight w:val="none"/>
          <w:lang w:eastAsia="zh-CN"/>
        </w:rPr>
        <w:t>13399756999</w:t>
      </w:r>
    </w:p>
    <w:p w14:paraId="2FD96B39">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地址：</w:t>
      </w:r>
      <w:r>
        <w:rPr>
          <w:rFonts w:hint="eastAsia" w:ascii="宋体" w:hAnsi="宋体" w:cs="宋体"/>
          <w:sz w:val="24"/>
          <w:szCs w:val="22"/>
          <w:highlight w:val="none"/>
          <w:lang w:eastAsia="zh-CN"/>
        </w:rPr>
        <w:t>库尔勒市保利石油花园33栋1单元802室</w:t>
      </w:r>
    </w:p>
    <w:p w14:paraId="26DB0DBB">
      <w:pPr>
        <w:snapToGrid w:val="0"/>
        <w:spacing w:line="400" w:lineRule="exact"/>
        <w:ind w:firstLine="2249" w:firstLineChars="800"/>
        <w:rPr>
          <w:rFonts w:hint="eastAsia" w:ascii="宋体" w:hAnsi="宋体" w:eastAsia="宋体" w:cs="宋体"/>
          <w:b/>
          <w:bCs/>
          <w:sz w:val="28"/>
          <w:szCs w:val="20"/>
          <w:highlight w:val="none"/>
        </w:rPr>
      </w:pPr>
    </w:p>
    <w:p w14:paraId="29D6BC31">
      <w:pPr>
        <w:rPr>
          <w:rFonts w:hint="eastAsia" w:ascii="宋体" w:hAnsi="宋体" w:eastAsia="宋体" w:cs="宋体"/>
          <w:b/>
          <w:kern w:val="2"/>
          <w:sz w:val="36"/>
          <w:szCs w:val="20"/>
          <w:highlight w:val="none"/>
        </w:rPr>
      </w:pPr>
      <w:r>
        <w:rPr>
          <w:rFonts w:hint="eastAsia" w:ascii="宋体" w:hAnsi="宋体" w:eastAsia="宋体" w:cs="宋体"/>
          <w:b/>
          <w:kern w:val="2"/>
          <w:sz w:val="36"/>
          <w:szCs w:val="20"/>
          <w:highlight w:val="none"/>
        </w:rPr>
        <w:br w:type="page"/>
      </w:r>
    </w:p>
    <w:p w14:paraId="4FB1FE40">
      <w:pPr>
        <w:adjustRightInd/>
        <w:spacing w:line="360" w:lineRule="auto"/>
        <w:jc w:val="center"/>
        <w:textAlignment w:val="auto"/>
        <w:outlineLvl w:val="0"/>
        <w:rPr>
          <w:rFonts w:hint="eastAsia" w:ascii="宋体" w:hAnsi="宋体" w:eastAsia="宋体" w:cs="宋体"/>
          <w:b/>
          <w:kern w:val="2"/>
          <w:sz w:val="36"/>
          <w:szCs w:val="20"/>
          <w:highlight w:val="none"/>
        </w:rPr>
      </w:pPr>
      <w:bookmarkStart w:id="3" w:name="_Toc27031"/>
      <w:r>
        <w:rPr>
          <w:rFonts w:hint="eastAsia" w:ascii="宋体" w:hAnsi="宋体" w:eastAsia="宋体" w:cs="宋体"/>
          <w:b/>
          <w:kern w:val="2"/>
          <w:sz w:val="36"/>
          <w:szCs w:val="20"/>
          <w:highlight w:val="none"/>
        </w:rPr>
        <w:t xml:space="preserve">第二部分  </w:t>
      </w:r>
      <w:r>
        <w:rPr>
          <w:rFonts w:hint="eastAsia" w:ascii="宋体" w:hAnsi="宋体" w:eastAsia="宋体" w:cs="宋体"/>
          <w:b/>
          <w:kern w:val="2"/>
          <w:sz w:val="36"/>
          <w:szCs w:val="20"/>
          <w:highlight w:val="none"/>
          <w:lang w:val="en-US" w:eastAsia="zh-CN"/>
        </w:rPr>
        <w:t>磋商</w:t>
      </w:r>
      <w:r>
        <w:rPr>
          <w:rFonts w:hint="eastAsia" w:ascii="宋体" w:hAnsi="宋体" w:eastAsia="宋体" w:cs="宋体"/>
          <w:b/>
          <w:kern w:val="2"/>
          <w:sz w:val="36"/>
          <w:szCs w:val="20"/>
          <w:highlight w:val="none"/>
        </w:rPr>
        <w:t>须知前附表</w:t>
      </w:r>
      <w:bookmarkEnd w:id="0"/>
      <w:bookmarkEnd w:id="1"/>
      <w:bookmarkEnd w:id="3"/>
    </w:p>
    <w:tbl>
      <w:tblPr>
        <w:tblStyle w:val="19"/>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11"/>
        <w:gridCol w:w="7375"/>
      </w:tblGrid>
      <w:tr w14:paraId="161E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2" w:type="dxa"/>
            <w:vAlign w:val="center"/>
          </w:tcPr>
          <w:p w14:paraId="56408302">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bookmarkStart w:id="4" w:name="_Toc171913593"/>
            <w:bookmarkStart w:id="5" w:name="_Toc98641129"/>
            <w:bookmarkStart w:id="6" w:name="_Toc171913667"/>
            <w:r>
              <w:rPr>
                <w:rFonts w:hint="eastAsia" w:ascii="宋体" w:hAnsi="宋体" w:eastAsia="宋体" w:cs="宋体"/>
                <w:b w:val="0"/>
                <w:bCs w:val="0"/>
                <w:sz w:val="24"/>
                <w:szCs w:val="24"/>
                <w:highlight w:val="none"/>
              </w:rPr>
              <w:t>序号</w:t>
            </w:r>
          </w:p>
        </w:tc>
        <w:tc>
          <w:tcPr>
            <w:tcW w:w="1811" w:type="dxa"/>
            <w:vAlign w:val="bottom"/>
          </w:tcPr>
          <w:p w14:paraId="76E2787C">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c>
          <w:tcPr>
            <w:tcW w:w="7375" w:type="dxa"/>
            <w:vAlign w:val="bottom"/>
          </w:tcPr>
          <w:p w14:paraId="22CDDE53">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说明与要求</w:t>
            </w:r>
          </w:p>
        </w:tc>
      </w:tr>
      <w:tr w14:paraId="14A6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12" w:type="dxa"/>
            <w:vAlign w:val="center"/>
          </w:tcPr>
          <w:p w14:paraId="42830AA3">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1811" w:type="dxa"/>
            <w:vAlign w:val="center"/>
          </w:tcPr>
          <w:p w14:paraId="66E85B00">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项目名称及编号</w:t>
            </w:r>
          </w:p>
        </w:tc>
        <w:tc>
          <w:tcPr>
            <w:tcW w:w="7375" w:type="dxa"/>
            <w:vAlign w:val="center"/>
          </w:tcPr>
          <w:p w14:paraId="5CFBEFF8">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cs="宋体"/>
                <w:sz w:val="24"/>
                <w:szCs w:val="24"/>
                <w:highlight w:val="none"/>
                <w:lang w:eastAsia="zh-CN"/>
              </w:rPr>
            </w:pPr>
            <w:r>
              <w:rPr>
                <w:rFonts w:hint="eastAsia" w:ascii="宋体" w:hAnsi="宋体" w:cs="宋体"/>
                <w:sz w:val="24"/>
                <w:szCs w:val="24"/>
                <w:highlight w:val="none"/>
                <w:lang w:eastAsia="zh-CN"/>
              </w:rPr>
              <w:t>若羌南部矿区羌河三区110千伏输变电工程（监理）二次</w:t>
            </w:r>
          </w:p>
          <w:p w14:paraId="5F291156">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采购编号：</w:t>
            </w:r>
            <w:r>
              <w:rPr>
                <w:rFonts w:hint="eastAsia" w:ascii="宋体" w:hAnsi="宋体" w:cs="宋体"/>
                <w:sz w:val="24"/>
                <w:szCs w:val="24"/>
                <w:highlight w:val="yellow"/>
                <w:lang w:eastAsia="zh-CN"/>
              </w:rPr>
              <w:t>XJHR-2025-01701号</w:t>
            </w:r>
          </w:p>
        </w:tc>
      </w:tr>
      <w:tr w14:paraId="091E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2" w:type="dxa"/>
            <w:vAlign w:val="center"/>
          </w:tcPr>
          <w:p w14:paraId="01FED7C2">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1811" w:type="dxa"/>
            <w:vAlign w:val="bottom"/>
          </w:tcPr>
          <w:p w14:paraId="2AE04B11">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项目服务地点</w:t>
            </w:r>
          </w:p>
        </w:tc>
        <w:tc>
          <w:tcPr>
            <w:tcW w:w="7375" w:type="dxa"/>
            <w:vAlign w:val="center"/>
          </w:tcPr>
          <w:p w14:paraId="24AEBADB">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若羌县</w:t>
            </w:r>
          </w:p>
        </w:tc>
      </w:tr>
      <w:tr w14:paraId="66BC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712" w:type="dxa"/>
            <w:vAlign w:val="center"/>
          </w:tcPr>
          <w:p w14:paraId="2846313C">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1811" w:type="dxa"/>
            <w:vAlign w:val="center"/>
          </w:tcPr>
          <w:p w14:paraId="63B6F301">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联系人及电话</w:t>
            </w:r>
          </w:p>
        </w:tc>
        <w:tc>
          <w:tcPr>
            <w:tcW w:w="7375" w:type="dxa"/>
            <w:vAlign w:val="center"/>
          </w:tcPr>
          <w:p w14:paraId="1BF6D5DB">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    称：</w:t>
            </w:r>
            <w:r>
              <w:rPr>
                <w:rFonts w:hint="eastAsia" w:ascii="宋体" w:hAnsi="宋体" w:cs="宋体"/>
                <w:sz w:val="24"/>
                <w:szCs w:val="24"/>
                <w:highlight w:val="none"/>
                <w:lang w:eastAsia="zh-CN"/>
              </w:rPr>
              <w:t>若羌县发展和改革委员会</w:t>
            </w:r>
          </w:p>
          <w:p w14:paraId="0F852AB9">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val="en-US" w:eastAsia="zh-CN"/>
              </w:rPr>
              <w:t>若羌县</w:t>
            </w:r>
          </w:p>
          <w:p w14:paraId="5231C4DC">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cs="宋体"/>
                <w:sz w:val="24"/>
                <w:szCs w:val="24"/>
                <w:highlight w:val="none"/>
                <w:lang w:val="en-US" w:eastAsia="zh-CN"/>
              </w:rPr>
              <w:t>关健,周杨杨</w:t>
            </w:r>
          </w:p>
          <w:p w14:paraId="66678CE9">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lang w:eastAsia="zh-CN"/>
              </w:rPr>
              <w:t>16699466767；18095833443</w:t>
            </w:r>
          </w:p>
        </w:tc>
      </w:tr>
      <w:tr w14:paraId="1F01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2" w:type="dxa"/>
            <w:vAlign w:val="center"/>
          </w:tcPr>
          <w:p w14:paraId="5BBE403E">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1811" w:type="dxa"/>
            <w:vAlign w:val="center"/>
          </w:tcPr>
          <w:p w14:paraId="17FB7035">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招标方式</w:t>
            </w:r>
          </w:p>
        </w:tc>
        <w:tc>
          <w:tcPr>
            <w:tcW w:w="7375" w:type="dxa"/>
            <w:vAlign w:val="center"/>
          </w:tcPr>
          <w:p w14:paraId="3FE298FF">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竞争性磋商</w:t>
            </w:r>
          </w:p>
        </w:tc>
      </w:tr>
      <w:tr w14:paraId="216C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12" w:type="dxa"/>
            <w:vAlign w:val="center"/>
          </w:tcPr>
          <w:p w14:paraId="41F96999">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1811" w:type="dxa"/>
            <w:vAlign w:val="center"/>
          </w:tcPr>
          <w:p w14:paraId="3B68F7D0">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招标代理机构联系人及电话</w:t>
            </w:r>
          </w:p>
        </w:tc>
        <w:tc>
          <w:tcPr>
            <w:tcW w:w="7375" w:type="dxa"/>
            <w:vAlign w:val="center"/>
          </w:tcPr>
          <w:p w14:paraId="02FBC907">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招标代理机构：</w:t>
            </w:r>
            <w:r>
              <w:rPr>
                <w:rFonts w:hint="eastAsia" w:ascii="宋体" w:hAnsi="宋体" w:cs="宋体"/>
                <w:sz w:val="24"/>
                <w:szCs w:val="24"/>
                <w:highlight w:val="none"/>
                <w:lang w:eastAsia="zh-CN"/>
              </w:rPr>
              <w:t>新疆海睿工程咨询服务有限公司</w:t>
            </w:r>
          </w:p>
          <w:p w14:paraId="764B461F">
            <w:pPr>
              <w:pStyle w:val="24"/>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hAnsi="宋体" w:cs="宋体"/>
                <w:color w:val="auto"/>
                <w:sz w:val="24"/>
                <w:szCs w:val="24"/>
                <w:highlight w:val="none"/>
                <w:lang w:eastAsia="zh-CN"/>
              </w:rPr>
              <w:t>王女士</w:t>
            </w:r>
            <w:r>
              <w:rPr>
                <w:rFonts w:hint="eastAsia" w:ascii="宋体" w:hAnsi="宋体" w:eastAsia="宋体" w:cs="宋体"/>
                <w:color w:val="auto"/>
                <w:sz w:val="24"/>
                <w:szCs w:val="24"/>
                <w:highlight w:val="none"/>
              </w:rPr>
              <w:t xml:space="preserve"> </w:t>
            </w:r>
          </w:p>
          <w:p w14:paraId="64197A7C">
            <w:pPr>
              <w:pStyle w:val="24"/>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联系电话：</w:t>
            </w:r>
            <w:r>
              <w:rPr>
                <w:rFonts w:hint="eastAsia" w:hAnsi="宋体" w:cs="宋体"/>
                <w:sz w:val="24"/>
                <w:szCs w:val="24"/>
                <w:highlight w:val="none"/>
                <w:lang w:eastAsia="zh-CN"/>
              </w:rPr>
              <w:t>13399756999</w:t>
            </w:r>
          </w:p>
        </w:tc>
      </w:tr>
      <w:tr w14:paraId="7904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12" w:type="dxa"/>
            <w:vAlign w:val="center"/>
          </w:tcPr>
          <w:p w14:paraId="255285B4">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1811" w:type="dxa"/>
            <w:vAlign w:val="center"/>
          </w:tcPr>
          <w:p w14:paraId="6E565C24">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招标项目内容</w:t>
            </w:r>
          </w:p>
        </w:tc>
        <w:tc>
          <w:tcPr>
            <w:tcW w:w="7375" w:type="dxa"/>
            <w:vAlign w:val="center"/>
          </w:tcPr>
          <w:p w14:paraId="615B823E">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1"/>
                <w:highlight w:val="none"/>
              </w:rPr>
              <w:t>采购范围和内容</w:t>
            </w:r>
            <w:r>
              <w:rPr>
                <w:rFonts w:hint="eastAsia" w:ascii="宋体" w:hAnsi="宋体" w:eastAsia="宋体" w:cs="宋体"/>
                <w:sz w:val="24"/>
                <w:szCs w:val="21"/>
                <w:highlight w:val="none"/>
                <w:lang w:eastAsia="zh-CN"/>
              </w:rPr>
              <w:t>：</w:t>
            </w:r>
            <w:r>
              <w:rPr>
                <w:rFonts w:hint="eastAsia" w:ascii="宋体" w:hAnsi="宋体" w:cs="宋体"/>
                <w:sz w:val="24"/>
                <w:szCs w:val="21"/>
                <w:highlight w:val="none"/>
                <w:lang w:eastAsia="zh-CN"/>
              </w:rPr>
              <w:t>若羌南部矿区羌河三区110千伏输变电工程</w:t>
            </w:r>
            <w:r>
              <w:rPr>
                <w:rFonts w:hint="eastAsia" w:ascii="宋体" w:hAnsi="宋体" w:eastAsia="宋体" w:cs="宋体"/>
                <w:sz w:val="24"/>
                <w:szCs w:val="21"/>
                <w:highlight w:val="none"/>
                <w:lang w:eastAsia="zh-CN"/>
              </w:rPr>
              <w:t>的全部监理内容</w:t>
            </w:r>
          </w:p>
        </w:tc>
      </w:tr>
      <w:tr w14:paraId="29A9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2" w:type="dxa"/>
            <w:vAlign w:val="center"/>
          </w:tcPr>
          <w:p w14:paraId="04A5BDB0">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1811" w:type="dxa"/>
            <w:vAlign w:val="center"/>
          </w:tcPr>
          <w:p w14:paraId="779CDA75">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服务周期</w:t>
            </w:r>
          </w:p>
        </w:tc>
        <w:tc>
          <w:tcPr>
            <w:tcW w:w="7375" w:type="dxa"/>
            <w:vAlign w:val="center"/>
          </w:tcPr>
          <w:p w14:paraId="541909E3">
            <w:pPr>
              <w:pStyle w:val="25"/>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yellow"/>
                <w:lang w:eastAsia="zh-CN"/>
              </w:rPr>
            </w:pPr>
            <w:r>
              <w:rPr>
                <w:rFonts w:hint="eastAsia" w:ascii="宋体" w:hAnsi="宋体" w:cs="宋体"/>
                <w:sz w:val="24"/>
                <w:szCs w:val="24"/>
                <w:highlight w:val="yellow"/>
                <w:lang w:eastAsia="zh-CN"/>
              </w:rPr>
              <w:t>随施工工期开始，至工程竣工完毕，并出具最终监理报告日终结。(具体以合同约定为准）</w:t>
            </w:r>
          </w:p>
        </w:tc>
      </w:tr>
      <w:tr w14:paraId="0551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12" w:type="dxa"/>
            <w:vAlign w:val="center"/>
          </w:tcPr>
          <w:p w14:paraId="58D45B14">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1811" w:type="dxa"/>
            <w:vAlign w:val="center"/>
          </w:tcPr>
          <w:p w14:paraId="066EB7EF">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最高限价及</w:t>
            </w:r>
          </w:p>
          <w:p w14:paraId="746FA356">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7375" w:type="dxa"/>
            <w:vAlign w:val="center"/>
          </w:tcPr>
          <w:p w14:paraId="4671E99B">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cs="宋体"/>
                <w:sz w:val="24"/>
                <w:szCs w:val="24"/>
                <w:highlight w:val="none"/>
                <w:lang w:val="en-US" w:eastAsia="zh-CN"/>
              </w:rPr>
              <w:t>80.00万元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大</w:t>
            </w:r>
            <w:r>
              <w:rPr>
                <w:rFonts w:hint="eastAsia" w:ascii="宋体" w:hAnsi="宋体" w:eastAsia="宋体" w:cs="宋体"/>
                <w:kern w:val="0"/>
                <w:sz w:val="24"/>
                <w:szCs w:val="24"/>
                <w:highlight w:val="none"/>
                <w:lang w:val="en-US" w:eastAsia="zh-CN"/>
              </w:rPr>
              <w:t>写：</w:t>
            </w:r>
            <w:r>
              <w:rPr>
                <w:rFonts w:hint="eastAsia" w:ascii="宋体" w:hAnsi="宋体" w:cs="宋体"/>
                <w:kern w:val="0"/>
                <w:sz w:val="24"/>
                <w:szCs w:val="24"/>
                <w:highlight w:val="none"/>
                <w:lang w:val="en-US" w:eastAsia="zh-CN"/>
              </w:rPr>
              <w:t>捌</w:t>
            </w:r>
            <w:r>
              <w:rPr>
                <w:rFonts w:hint="eastAsia" w:ascii="宋体" w:hAnsi="宋体" w:eastAsia="宋体" w:cs="宋体"/>
                <w:kern w:val="0"/>
                <w:sz w:val="24"/>
                <w:szCs w:val="24"/>
                <w:highlight w:val="none"/>
                <w:lang w:val="en-US" w:eastAsia="zh-CN"/>
              </w:rPr>
              <w:t>拾万元整</w:t>
            </w:r>
          </w:p>
          <w:p w14:paraId="5D4DDBE0">
            <w:pPr>
              <w:pStyle w:val="25"/>
              <w:keepNext w:val="0"/>
              <w:keepLines w:val="0"/>
              <w:pageBreakBefore w:val="0"/>
              <w:widowControl w:val="0"/>
              <w:kinsoku/>
              <w:wordWrap/>
              <w:overflowPunct/>
              <w:topLinePunct w:val="0"/>
              <w:bidi w:val="0"/>
              <w:snapToGrid/>
              <w:spacing w:line="360" w:lineRule="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w:t>
            </w:r>
            <w:r>
              <w:rPr>
                <w:rFonts w:hint="eastAsia" w:ascii="宋体" w:hAnsi="宋体" w:cs="宋体"/>
                <w:b/>
                <w:bCs/>
                <w:kern w:val="0"/>
                <w:sz w:val="24"/>
                <w:szCs w:val="24"/>
                <w:highlight w:val="none"/>
                <w:lang w:val="en-US" w:eastAsia="zh-CN"/>
              </w:rPr>
              <w:t>供应商</w:t>
            </w:r>
            <w:r>
              <w:rPr>
                <w:rFonts w:hint="eastAsia" w:ascii="宋体" w:hAnsi="宋体" w:eastAsia="宋体" w:cs="宋体"/>
                <w:b/>
                <w:bCs/>
                <w:kern w:val="0"/>
                <w:sz w:val="24"/>
                <w:szCs w:val="24"/>
                <w:highlight w:val="none"/>
                <w:lang w:val="en-US" w:eastAsia="zh-CN"/>
              </w:rPr>
              <w:t>投标报价超过或等于项目限价的按无效投标处理。）</w:t>
            </w:r>
          </w:p>
          <w:p w14:paraId="0684439A">
            <w:pPr>
              <w:pStyle w:val="25"/>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rPr>
              <w:t>资金来源：</w:t>
            </w:r>
            <w:r>
              <w:rPr>
                <w:rFonts w:hint="eastAsia" w:ascii="宋体" w:hAnsi="宋体" w:cs="宋体"/>
                <w:kern w:val="0"/>
                <w:sz w:val="24"/>
                <w:szCs w:val="24"/>
                <w:highlight w:val="yellow"/>
                <w:lang w:val="en-US" w:eastAsia="zh-CN"/>
              </w:rPr>
              <w:t>财政资金</w:t>
            </w:r>
          </w:p>
        </w:tc>
      </w:tr>
      <w:tr w14:paraId="0FB0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12" w:type="dxa"/>
            <w:vAlign w:val="center"/>
          </w:tcPr>
          <w:p w14:paraId="7C384C9E">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9</w:t>
            </w:r>
          </w:p>
        </w:tc>
        <w:tc>
          <w:tcPr>
            <w:tcW w:w="1811" w:type="dxa"/>
            <w:vAlign w:val="center"/>
          </w:tcPr>
          <w:p w14:paraId="592AA397">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资质要求</w:t>
            </w:r>
          </w:p>
        </w:tc>
        <w:tc>
          <w:tcPr>
            <w:tcW w:w="7375" w:type="dxa"/>
            <w:vAlign w:val="center"/>
          </w:tcPr>
          <w:p w14:paraId="181749B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720" w:firstLineChars="3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1、符合《中华人民共和国政府采购法》第二十二条的相关规定，</w:t>
            </w:r>
          </w:p>
          <w:p w14:paraId="16F5E59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1</w:t>
            </w:r>
            <w:r>
              <w:rPr>
                <w:rFonts w:hint="eastAsia" w:ascii="宋体" w:hAnsi="宋体" w:eastAsia="宋体" w:cs="宋体"/>
                <w:sz w:val="24"/>
                <w:szCs w:val="22"/>
                <w:highlight w:val="none"/>
              </w:rPr>
              <w:t>）在中华人民共和国境内依法注册的、具有独立承担民事责任的能力，提供有效的营业执照</w:t>
            </w:r>
            <w:r>
              <w:rPr>
                <w:rFonts w:hint="eastAsia" w:ascii="宋体" w:hAnsi="宋体" w:eastAsia="宋体" w:cs="宋体"/>
                <w:sz w:val="24"/>
                <w:szCs w:val="22"/>
                <w:highlight w:val="none"/>
                <w:lang w:eastAsia="zh-CN"/>
              </w:rPr>
              <w:t>；</w:t>
            </w:r>
          </w:p>
          <w:p w14:paraId="1575527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eastAsia="zh-CN"/>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2</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法人须提供：法定代表人资格证明书及身份证；如是委托代理人需提供：法人授权委托书及被授权人身份证</w:t>
            </w:r>
            <w:r>
              <w:rPr>
                <w:rFonts w:hint="eastAsia" w:ascii="宋体" w:hAnsi="宋体" w:eastAsia="宋体" w:cs="宋体"/>
                <w:sz w:val="24"/>
                <w:szCs w:val="22"/>
                <w:highlight w:val="none"/>
                <w:lang w:eastAsia="zh-CN"/>
              </w:rPr>
              <w:t>；</w:t>
            </w:r>
          </w:p>
          <w:p w14:paraId="2FEA184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3</w:t>
            </w:r>
            <w:r>
              <w:rPr>
                <w:rFonts w:hint="eastAsia" w:ascii="宋体" w:hAnsi="宋体" w:eastAsia="宋体" w:cs="宋体"/>
                <w:sz w:val="24"/>
                <w:szCs w:val="22"/>
                <w:highlight w:val="none"/>
              </w:rPr>
              <w:t>）单位负责人为同一人或者存在直接控股、管理关系的不同</w:t>
            </w:r>
            <w:r>
              <w:rPr>
                <w:rFonts w:hint="eastAsia" w:ascii="宋体" w:hAnsi="宋体" w:eastAsia="宋体" w:cs="宋体"/>
                <w:sz w:val="24"/>
                <w:szCs w:val="22"/>
                <w:highlight w:val="none"/>
                <w:lang w:eastAsia="zh-CN"/>
              </w:rPr>
              <w:t>供应商</w:t>
            </w:r>
            <w:r>
              <w:rPr>
                <w:rFonts w:hint="eastAsia" w:ascii="宋体" w:hAnsi="宋体" w:eastAsia="宋体" w:cs="宋体"/>
                <w:sz w:val="24"/>
                <w:szCs w:val="22"/>
                <w:highlight w:val="none"/>
              </w:rPr>
              <w:t>，不得参加同一合同项下的政府采购活动。</w:t>
            </w:r>
          </w:p>
          <w:p w14:paraId="5EF5DCCC">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4</w:t>
            </w:r>
            <w:r>
              <w:rPr>
                <w:rFonts w:hint="eastAsia" w:ascii="宋体" w:hAnsi="宋体" w:eastAsia="宋体" w:cs="宋体"/>
                <w:sz w:val="24"/>
                <w:szCs w:val="22"/>
                <w:highlight w:val="none"/>
              </w:rPr>
              <w:t>）未被“信用中国”（www.creditchina.gov.cn）、中国政府采购网（www.ccgp.gov.cn）列入失信被执行人、重大税收违法案件当事人名单、政府采购严重违法失信行为记录名单。</w:t>
            </w:r>
          </w:p>
          <w:p w14:paraId="705DFD0A">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(5)</w:t>
            </w:r>
            <w:r>
              <w:rPr>
                <w:rFonts w:hint="eastAsia" w:ascii="宋体" w:hAnsi="宋体" w:eastAsia="宋体" w:cs="宋体"/>
                <w:sz w:val="24"/>
                <w:szCs w:val="22"/>
                <w:highlight w:val="none"/>
              </w:rPr>
              <w:t>本项目不接受联合体投标。</w:t>
            </w:r>
          </w:p>
          <w:p w14:paraId="05A2C0E3">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2、本项目的特定资格要求</w:t>
            </w:r>
            <w:r>
              <w:rPr>
                <w:rFonts w:hint="eastAsia" w:ascii="宋体" w:hAnsi="宋体" w:eastAsia="宋体" w:cs="宋体"/>
                <w:sz w:val="24"/>
                <w:szCs w:val="22"/>
                <w:highlight w:val="none"/>
              </w:rPr>
              <w:t>：</w:t>
            </w:r>
          </w:p>
          <w:p w14:paraId="3C425B30">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（1）供应商应具备有效的综合监理资质或电力工程专业监理乙级以上（含乙级）资质企业；新疆维吾尔自治区境外企业提供有效的进疆承揽业务相关信息录入手续；</w:t>
            </w:r>
          </w:p>
          <w:p w14:paraId="591C6D14">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2"/>
                <w:highlight w:val="none"/>
                <w:lang w:val="en-US" w:eastAsia="zh-CN"/>
              </w:rPr>
              <w:t>(2)供应商拟派总监理工程师应具备有效的电力工程专业注册监理工程师资格，本单位注册；</w:t>
            </w:r>
          </w:p>
        </w:tc>
      </w:tr>
      <w:tr w14:paraId="4F60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2" w:type="dxa"/>
            <w:vAlign w:val="center"/>
          </w:tcPr>
          <w:p w14:paraId="193C67F9">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w:t>
            </w:r>
          </w:p>
        </w:tc>
        <w:tc>
          <w:tcPr>
            <w:tcW w:w="1811" w:type="dxa"/>
            <w:vAlign w:val="center"/>
          </w:tcPr>
          <w:p w14:paraId="596FA87D">
            <w:pPr>
              <w:keepNext w:val="0"/>
              <w:keepLines w:val="0"/>
              <w:pageBreakBefore w:val="0"/>
              <w:widowControl w:val="0"/>
              <w:kinsoku/>
              <w:wordWrap/>
              <w:overflowPunct/>
              <w:topLinePunct w:val="0"/>
              <w:autoSpaceDE w:val="0"/>
              <w:autoSpaceDN w:val="0"/>
              <w:bidi w:val="0"/>
              <w:snapToGrid/>
              <w:spacing w:line="360" w:lineRule="auto"/>
              <w:jc w:val="both"/>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本项目所属行业</w:t>
            </w:r>
          </w:p>
        </w:tc>
        <w:tc>
          <w:tcPr>
            <w:tcW w:w="7375" w:type="dxa"/>
            <w:vAlign w:val="center"/>
          </w:tcPr>
          <w:p w14:paraId="40E0BBDF">
            <w:pPr>
              <w:keepNext w:val="0"/>
              <w:keepLines w:val="0"/>
              <w:pageBreakBefore w:val="0"/>
              <w:widowControl w:val="0"/>
              <w:kinsoku/>
              <w:wordWrap/>
              <w:overflowPunct/>
              <w:topLinePunct w:val="0"/>
              <w:autoSpaceDE/>
              <w:autoSpaceDN/>
              <w:bidi w:val="0"/>
              <w:adjustRightInd w:val="0"/>
              <w:snapToGrid/>
              <w:spacing w:line="360" w:lineRule="auto"/>
              <w:ind w:right="0" w:rightChars="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其他未列明行业</w:t>
            </w:r>
          </w:p>
        </w:tc>
      </w:tr>
      <w:tr w14:paraId="38A4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2" w:type="dxa"/>
            <w:vAlign w:val="center"/>
          </w:tcPr>
          <w:p w14:paraId="192C6576">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w:t>
            </w:r>
          </w:p>
        </w:tc>
        <w:tc>
          <w:tcPr>
            <w:tcW w:w="1811" w:type="dxa"/>
            <w:vAlign w:val="center"/>
          </w:tcPr>
          <w:p w14:paraId="221044C5">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7375" w:type="dxa"/>
            <w:vAlign w:val="center"/>
          </w:tcPr>
          <w:p w14:paraId="04CAE614">
            <w:pPr>
              <w:keepNext w:val="0"/>
              <w:keepLines w:val="0"/>
              <w:pageBreakBefore w:val="0"/>
              <w:widowControl w:val="0"/>
              <w:kinsoku/>
              <w:wordWrap/>
              <w:overflowPunct/>
              <w:topLinePunct w:val="0"/>
              <w:autoSpaceDE w:val="0"/>
              <w:autoSpaceDN w:val="0"/>
              <w:bidi w:val="0"/>
              <w:snapToGrid/>
              <w:spacing w:line="360" w:lineRule="auto"/>
              <w:ind w:right="964"/>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合格</w:t>
            </w:r>
          </w:p>
        </w:tc>
      </w:tr>
      <w:tr w14:paraId="3D9E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2" w:type="dxa"/>
            <w:vAlign w:val="center"/>
          </w:tcPr>
          <w:p w14:paraId="1A4BF4A7">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2</w:t>
            </w:r>
          </w:p>
        </w:tc>
        <w:tc>
          <w:tcPr>
            <w:tcW w:w="1811" w:type="dxa"/>
            <w:vAlign w:val="center"/>
          </w:tcPr>
          <w:p w14:paraId="4FC6929B">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375" w:type="dxa"/>
            <w:vAlign w:val="center"/>
          </w:tcPr>
          <w:p w14:paraId="2926C578">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90日历日（从提交响应文件截止之日算起）</w:t>
            </w:r>
          </w:p>
        </w:tc>
      </w:tr>
      <w:tr w14:paraId="0FD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2" w:type="dxa"/>
            <w:vAlign w:val="center"/>
          </w:tcPr>
          <w:p w14:paraId="43107697">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3</w:t>
            </w:r>
          </w:p>
        </w:tc>
        <w:tc>
          <w:tcPr>
            <w:tcW w:w="1811" w:type="dxa"/>
            <w:vAlign w:val="center"/>
          </w:tcPr>
          <w:p w14:paraId="5EBB6A84">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份数</w:t>
            </w:r>
          </w:p>
        </w:tc>
        <w:tc>
          <w:tcPr>
            <w:tcW w:w="7375" w:type="dxa"/>
            <w:vAlign w:val="center"/>
          </w:tcPr>
          <w:p w14:paraId="376ECAD9">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正本一份，副本贰份；</w:t>
            </w:r>
            <w:r>
              <w:rPr>
                <w:rFonts w:hint="eastAsia" w:ascii="宋体" w:hAnsi="宋体" w:eastAsia="宋体" w:cs="宋体"/>
                <w:sz w:val="24"/>
                <w:szCs w:val="24"/>
                <w:highlight w:val="none"/>
                <w:lang w:val="zh-CN"/>
              </w:rPr>
              <w:t>电子版U盘一份</w:t>
            </w:r>
          </w:p>
        </w:tc>
      </w:tr>
      <w:tr w14:paraId="1D1B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5" w:hRule="atLeast"/>
          <w:jc w:val="center"/>
        </w:trPr>
        <w:tc>
          <w:tcPr>
            <w:tcW w:w="712" w:type="dxa"/>
            <w:vAlign w:val="center"/>
          </w:tcPr>
          <w:p w14:paraId="5DA33F64">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4</w:t>
            </w:r>
          </w:p>
        </w:tc>
        <w:tc>
          <w:tcPr>
            <w:tcW w:w="1811" w:type="dxa"/>
            <w:vAlign w:val="center"/>
          </w:tcPr>
          <w:p w14:paraId="5A1E938C">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响应文件（上传地址）递交地点</w:t>
            </w:r>
          </w:p>
        </w:tc>
        <w:tc>
          <w:tcPr>
            <w:tcW w:w="7375" w:type="dxa"/>
            <w:vAlign w:val="center"/>
          </w:tcPr>
          <w:p w14:paraId="75EBA605">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应</w:t>
            </w:r>
            <w:r>
              <w:rPr>
                <w:rFonts w:hint="eastAsia" w:ascii="宋体" w:hAnsi="宋体" w:cs="宋体"/>
                <w:sz w:val="24"/>
                <w:szCs w:val="24"/>
                <w:highlight w:val="none"/>
                <w:lang w:val="en-US" w:eastAsia="zh-CN"/>
              </w:rPr>
              <w:t>投标截止</w:t>
            </w:r>
            <w:r>
              <w:rPr>
                <w:rFonts w:hint="eastAsia" w:ascii="宋体" w:hAnsi="宋体" w:eastAsia="宋体" w:cs="宋体"/>
                <w:sz w:val="24"/>
                <w:szCs w:val="24"/>
                <w:highlight w:val="none"/>
              </w:rPr>
              <w:t>之前将电子响应文件上传到“政采云”平台。应按照本项目采购文件和政采云平台的要求编制、加密传输响应文件。</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在使用系统进行投标的过程中遇到涉及平台使用的任何问题，可致电政采云平台技术支持热线咨询，联系方式：</w:t>
            </w:r>
            <w:r>
              <w:rPr>
                <w:rFonts w:hint="eastAsia" w:ascii="宋体" w:hAnsi="宋体" w:eastAsia="宋体" w:cs="宋体"/>
                <w:sz w:val="24"/>
                <w:szCs w:val="24"/>
                <w:highlight w:val="none"/>
                <w:lang w:eastAsia="zh-CN"/>
              </w:rPr>
              <w:t>95763</w:t>
            </w:r>
            <w:r>
              <w:rPr>
                <w:rFonts w:hint="eastAsia" w:ascii="宋体" w:hAnsi="宋体" w:eastAsia="宋体" w:cs="宋体"/>
                <w:sz w:val="24"/>
                <w:szCs w:val="24"/>
                <w:highlight w:val="none"/>
              </w:rPr>
              <w:t>。</w:t>
            </w:r>
          </w:p>
          <w:p w14:paraId="14FEE0E3">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政采云线上开标大厅（https://www.zcygov.cn在线投标）本次招标采取网上开标方式，所有</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可准时进入政采云电子招标投标交易平台开标大厅参加在线开标仪式，不组织线下开标仪式。</w:t>
            </w:r>
          </w:p>
          <w:p w14:paraId="3037E5AD">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（注：采用不见面方式开标的，开标结束后，所有</w:t>
            </w:r>
            <w:r>
              <w:rPr>
                <w:rFonts w:hint="eastAsia" w:ascii="宋体" w:hAnsi="宋体" w:cs="宋体"/>
                <w:b/>
                <w:bCs/>
                <w:kern w:val="0"/>
                <w:sz w:val="24"/>
                <w:szCs w:val="24"/>
                <w:highlight w:val="none"/>
                <w:lang w:val="en-US" w:eastAsia="zh-CN"/>
              </w:rPr>
              <w:t>供应商</w:t>
            </w:r>
            <w:r>
              <w:rPr>
                <w:rFonts w:hint="eastAsia" w:ascii="宋体" w:hAnsi="宋体" w:eastAsia="宋体" w:cs="宋体"/>
                <w:b/>
                <w:bCs/>
                <w:sz w:val="24"/>
                <w:szCs w:val="24"/>
                <w:highlight w:val="none"/>
                <w:lang w:val="en-US" w:eastAsia="zh-CN"/>
              </w:rPr>
              <w:t>须将响应文件（须与上传政采云响应文件一致）电子版 U 盘一份及纸质版正本一份，副本贰份，盖章处按要求盖章或签字，递交至招标代理公司。）</w:t>
            </w:r>
          </w:p>
          <w:p w14:paraId="7FCF02A5">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cs="宋体"/>
                <w:sz w:val="24"/>
                <w:szCs w:val="24"/>
                <w:highlight w:val="none"/>
                <w:lang w:eastAsia="zh-CN"/>
              </w:rPr>
              <w:t>王女士</w:t>
            </w:r>
            <w:r>
              <w:rPr>
                <w:rFonts w:hint="eastAsia" w:ascii="宋体" w:hAnsi="宋体" w:eastAsia="宋体" w:cs="宋体"/>
                <w:sz w:val="24"/>
                <w:szCs w:val="24"/>
                <w:highlight w:val="none"/>
              </w:rPr>
              <w:t xml:space="preserve">  </w:t>
            </w:r>
          </w:p>
          <w:p w14:paraId="4A29572A">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cs="宋体"/>
                <w:sz w:val="24"/>
                <w:szCs w:val="24"/>
                <w:highlight w:val="none"/>
                <w:lang w:eastAsia="zh-CN"/>
              </w:rPr>
              <w:t>13399756999</w:t>
            </w:r>
            <w:r>
              <w:rPr>
                <w:rFonts w:hint="eastAsia" w:ascii="宋体" w:hAnsi="宋体" w:eastAsia="宋体" w:cs="宋体"/>
                <w:sz w:val="24"/>
                <w:szCs w:val="24"/>
                <w:highlight w:val="none"/>
              </w:rPr>
              <w:t xml:space="preserve"> </w:t>
            </w:r>
          </w:p>
          <w:p w14:paraId="78C8CDFA">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lang w:eastAsia="zh-CN"/>
              </w:rPr>
              <w:t>库尔勒市保利石油花园33栋1单元802室</w:t>
            </w:r>
          </w:p>
        </w:tc>
      </w:tr>
      <w:tr w14:paraId="0612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712" w:type="dxa"/>
            <w:vAlign w:val="center"/>
          </w:tcPr>
          <w:p w14:paraId="155160F2">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15</w:t>
            </w:r>
          </w:p>
        </w:tc>
        <w:tc>
          <w:tcPr>
            <w:tcW w:w="1811" w:type="dxa"/>
            <w:vAlign w:val="center"/>
          </w:tcPr>
          <w:p w14:paraId="77733148">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响应文件递交的截止时间（投标截止时间，下同）</w:t>
            </w:r>
          </w:p>
        </w:tc>
        <w:tc>
          <w:tcPr>
            <w:tcW w:w="7375" w:type="dxa"/>
            <w:vAlign w:val="center"/>
          </w:tcPr>
          <w:p w14:paraId="2D9F161B">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rPr>
            </w:pPr>
            <w:r>
              <w:rPr>
                <w:rFonts w:hint="eastAsia" w:ascii="宋体" w:hAnsi="宋体" w:cs="宋体"/>
                <w:sz w:val="24"/>
                <w:szCs w:val="22"/>
                <w:highlight w:val="yellow"/>
                <w:lang w:eastAsia="zh-CN"/>
              </w:rPr>
              <w:t>2025年07月07日1</w:t>
            </w:r>
            <w:r>
              <w:rPr>
                <w:rFonts w:hint="eastAsia" w:ascii="宋体" w:hAnsi="宋体" w:cs="宋体"/>
                <w:sz w:val="24"/>
                <w:szCs w:val="22"/>
                <w:highlight w:val="yellow"/>
                <w:lang w:val="en-US" w:eastAsia="zh-CN"/>
              </w:rPr>
              <w:t>0</w:t>
            </w:r>
            <w:r>
              <w:rPr>
                <w:rFonts w:hint="eastAsia" w:ascii="宋体" w:hAnsi="宋体" w:cs="宋体"/>
                <w:sz w:val="24"/>
                <w:szCs w:val="22"/>
                <w:highlight w:val="yellow"/>
                <w:lang w:eastAsia="zh-CN"/>
              </w:rPr>
              <w:t>时30分</w:t>
            </w:r>
            <w:r>
              <w:rPr>
                <w:rFonts w:hint="eastAsia" w:ascii="宋体" w:hAnsi="宋体" w:eastAsia="宋体" w:cs="宋体"/>
                <w:sz w:val="24"/>
                <w:szCs w:val="24"/>
                <w:highlight w:val="none"/>
                <w:lang w:val="zh-CN"/>
              </w:rPr>
              <w:t>，供应商应在截止时间前通过政采云电子招标投标交易平台递交电子响应文件；投标截止时间前未完成响应文件传输的，视为撤回响应文件。供应商在使用系统进行投标的过程中遇到涉及平台使用的任何问题，可致电政采云平台技术支持热线咨询，联系方式：95763。</w:t>
            </w:r>
          </w:p>
        </w:tc>
      </w:tr>
      <w:tr w14:paraId="2F22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8" w:hRule="atLeast"/>
          <w:jc w:val="center"/>
        </w:trPr>
        <w:tc>
          <w:tcPr>
            <w:tcW w:w="712" w:type="dxa"/>
            <w:vAlign w:val="center"/>
          </w:tcPr>
          <w:p w14:paraId="4B89CC0E">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6</w:t>
            </w:r>
          </w:p>
        </w:tc>
        <w:tc>
          <w:tcPr>
            <w:tcW w:w="1811" w:type="dxa"/>
            <w:vAlign w:val="center"/>
          </w:tcPr>
          <w:p w14:paraId="51C262E0">
            <w:pPr>
              <w:keepNext w:val="0"/>
              <w:keepLines w:val="0"/>
              <w:pageBreakBefore w:val="0"/>
              <w:widowControl w:val="0"/>
              <w:kinsoku/>
              <w:wordWrap/>
              <w:overflowPunct/>
              <w:topLinePunct w:val="0"/>
              <w:bidi w:val="0"/>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磋商保证金</w:t>
            </w:r>
          </w:p>
        </w:tc>
        <w:tc>
          <w:tcPr>
            <w:tcW w:w="7375" w:type="dxa"/>
            <w:vAlign w:val="center"/>
          </w:tcPr>
          <w:p w14:paraId="643D504C">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b/>
                <w:bCs/>
                <w:sz w:val="24"/>
                <w:szCs w:val="24"/>
                <w:highlight w:val="yellow"/>
                <w:lang w:val="zh-CN"/>
              </w:rPr>
            </w:pPr>
            <w:r>
              <w:rPr>
                <w:rFonts w:hint="eastAsia" w:ascii="宋体" w:hAnsi="宋体" w:eastAsia="宋体" w:cs="宋体"/>
                <w:b/>
                <w:bCs/>
                <w:sz w:val="24"/>
                <w:szCs w:val="24"/>
                <w:highlight w:val="yellow"/>
                <w:lang w:val="zh-CN"/>
              </w:rPr>
              <w:t>磋商保证金金额：</w:t>
            </w:r>
            <w:r>
              <w:rPr>
                <w:rFonts w:hint="eastAsia" w:ascii="宋体" w:hAnsi="宋体" w:cs="宋体"/>
                <w:b/>
                <w:bCs/>
                <w:sz w:val="24"/>
                <w:szCs w:val="24"/>
                <w:highlight w:val="yellow"/>
                <w:lang w:val="en-US" w:eastAsia="zh-CN"/>
              </w:rPr>
              <w:t>15</w:t>
            </w:r>
            <w:r>
              <w:rPr>
                <w:rFonts w:hint="eastAsia" w:ascii="宋体" w:hAnsi="宋体" w:eastAsia="宋体" w:cs="宋体"/>
                <w:b/>
                <w:bCs/>
                <w:sz w:val="24"/>
                <w:szCs w:val="24"/>
                <w:highlight w:val="yellow"/>
                <w:lang w:val="en-US" w:eastAsia="zh-CN"/>
              </w:rPr>
              <w:t>000.00</w:t>
            </w:r>
            <w:r>
              <w:rPr>
                <w:rFonts w:hint="eastAsia" w:ascii="宋体" w:hAnsi="宋体" w:eastAsia="宋体" w:cs="宋体"/>
                <w:b/>
                <w:bCs/>
                <w:sz w:val="24"/>
                <w:szCs w:val="24"/>
                <w:highlight w:val="yellow"/>
                <w:lang w:val="zh-CN" w:eastAsia="zh-CN"/>
              </w:rPr>
              <w:t>元</w:t>
            </w:r>
            <w:r>
              <w:rPr>
                <w:rFonts w:hint="eastAsia" w:ascii="宋体" w:hAnsi="宋体" w:eastAsia="宋体" w:cs="宋体"/>
                <w:b/>
                <w:bCs/>
                <w:sz w:val="24"/>
                <w:szCs w:val="24"/>
                <w:highlight w:val="yellow"/>
                <w:lang w:val="zh-CN"/>
              </w:rPr>
              <w:t>（</w:t>
            </w:r>
            <w:r>
              <w:rPr>
                <w:rFonts w:hint="eastAsia" w:ascii="宋体" w:hAnsi="宋体" w:cs="宋体"/>
                <w:b/>
                <w:bCs/>
                <w:sz w:val="24"/>
                <w:szCs w:val="24"/>
                <w:highlight w:val="yellow"/>
                <w:lang w:val="en-US" w:eastAsia="zh-CN"/>
              </w:rPr>
              <w:t>壹万伍仟</w:t>
            </w:r>
            <w:r>
              <w:rPr>
                <w:rFonts w:hint="eastAsia" w:ascii="宋体" w:hAnsi="宋体" w:eastAsia="宋体" w:cs="宋体"/>
                <w:b/>
                <w:bCs/>
                <w:sz w:val="24"/>
                <w:szCs w:val="24"/>
                <w:highlight w:val="yellow"/>
                <w:lang w:val="en-US" w:eastAsia="zh-CN"/>
              </w:rPr>
              <w:t>元整</w:t>
            </w:r>
            <w:r>
              <w:rPr>
                <w:rFonts w:hint="eastAsia" w:ascii="宋体" w:hAnsi="宋体" w:eastAsia="宋体" w:cs="宋体"/>
                <w:b/>
                <w:bCs/>
                <w:sz w:val="24"/>
                <w:szCs w:val="24"/>
                <w:highlight w:val="yellow"/>
                <w:lang w:val="zh-CN"/>
              </w:rPr>
              <w:t>）</w:t>
            </w:r>
          </w:p>
          <w:p w14:paraId="5C74ABB6">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账 户 名 称：</w:t>
            </w:r>
            <w:r>
              <w:rPr>
                <w:rFonts w:hint="eastAsia" w:ascii="宋体" w:hAnsi="宋体" w:cs="宋体"/>
                <w:sz w:val="24"/>
                <w:szCs w:val="24"/>
                <w:highlight w:val="none"/>
                <w:lang w:val="zh-CN" w:eastAsia="zh-CN"/>
              </w:rPr>
              <w:t>新疆海睿工程咨询服务有限公司</w:t>
            </w:r>
          </w:p>
          <w:p w14:paraId="78DB865B">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开户行名称：中国建设银行股份有限公司库尔勒人民东路支行</w:t>
            </w:r>
          </w:p>
          <w:p w14:paraId="5C540232">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账      号：</w:t>
            </w:r>
            <w:r>
              <w:rPr>
                <w:rFonts w:hint="eastAsia" w:ascii="宋体" w:hAnsi="宋体" w:cs="宋体"/>
                <w:sz w:val="24"/>
                <w:szCs w:val="24"/>
                <w:highlight w:val="none"/>
                <w:lang w:val="zh-CN"/>
              </w:rPr>
              <w:t>65050170608600002582</w:t>
            </w:r>
          </w:p>
          <w:p w14:paraId="22CBA341">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磋商保证金缴纳截止时间：</w:t>
            </w:r>
            <w:r>
              <w:rPr>
                <w:rFonts w:hint="eastAsia" w:ascii="宋体" w:hAnsi="宋体" w:cs="宋体"/>
                <w:sz w:val="24"/>
                <w:szCs w:val="22"/>
                <w:highlight w:val="yellow"/>
                <w:lang w:val="en-US" w:eastAsia="zh-CN"/>
              </w:rPr>
              <w:t>投标截止前</w:t>
            </w:r>
            <w:r>
              <w:rPr>
                <w:rFonts w:hint="eastAsia" w:ascii="宋体" w:hAnsi="宋体" w:eastAsia="宋体" w:cs="宋体"/>
                <w:sz w:val="24"/>
                <w:szCs w:val="24"/>
                <w:highlight w:val="none"/>
                <w:lang w:val="zh-CN"/>
              </w:rPr>
              <w:t>（以银行记录确认到账为准）。未按以上要求递交磋商保证金及办理确认手续的，其磋商保证金视为无效，采购人将拒绝其投标。</w:t>
            </w:r>
          </w:p>
          <w:p w14:paraId="0A802E7C">
            <w:pPr>
              <w:pStyle w:val="16"/>
              <w:rPr>
                <w:rFonts w:hint="eastAsia" w:ascii="宋体" w:hAnsi="宋体" w:eastAsia="宋体" w:cs="宋体"/>
                <w:sz w:val="22"/>
                <w:szCs w:val="22"/>
                <w:lang w:val="zh-CN"/>
              </w:rPr>
            </w:pPr>
          </w:p>
          <w:p w14:paraId="0B2CD302">
            <w:pPr>
              <w:keepNext w:val="0"/>
              <w:keepLines w:val="0"/>
              <w:pageBreakBefore w:val="0"/>
              <w:widowControl w:val="0"/>
              <w:kinsoku/>
              <w:wordWrap/>
              <w:overflowPunct/>
              <w:topLinePunct w:val="0"/>
              <w:autoSpaceDE w:val="0"/>
              <w:autoSpaceDN w:val="0"/>
              <w:bidi w:val="0"/>
              <w:snapToGrid/>
              <w:spacing w:line="360" w:lineRule="auto"/>
              <w:textAlignment w:val="bottom"/>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投标保证金的形式：从供应商基本账户公对公转账、支票、汇票、本票或者金融机构、担保机构出具的保函等非现金形式提交。（汇款时用途栏应注明本项目招标编号[标准格式：投标保证金+项目编号]，提投标保证金不注明用途的届时其投标将被拒绝。)</w:t>
            </w:r>
          </w:p>
          <w:p w14:paraId="18F3C29D">
            <w:pPr>
              <w:pStyle w:val="16"/>
              <w:rPr>
                <w:rFonts w:hint="eastAsia" w:ascii="宋体" w:hAnsi="宋体" w:eastAsia="宋体" w:cs="宋体"/>
                <w:sz w:val="22"/>
                <w:szCs w:val="22"/>
                <w:lang w:val="zh-CN"/>
              </w:rPr>
            </w:pPr>
          </w:p>
          <w:p w14:paraId="7F48457E">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0"/>
                <w:highlight w:val="none"/>
              </w:rPr>
            </w:pPr>
            <w:r>
              <w:rPr>
                <w:rFonts w:hint="eastAsia" w:ascii="宋体" w:hAnsi="宋体" w:eastAsia="宋体" w:cs="宋体"/>
                <w:b/>
                <w:bCs/>
                <w:sz w:val="24"/>
                <w:szCs w:val="22"/>
                <w:highlight w:val="none"/>
                <w:lang w:val="zh-CN"/>
              </w:rPr>
              <w:t>注：磋商保证金以到账信息为准，</w:t>
            </w:r>
            <w:r>
              <w:rPr>
                <w:rFonts w:hint="eastAsia" w:ascii="宋体" w:hAnsi="宋体" w:eastAsia="宋体" w:cs="宋体"/>
                <w:b/>
                <w:bCs/>
                <w:sz w:val="24"/>
                <w:szCs w:val="22"/>
                <w:highlight w:val="none"/>
                <w:lang w:val="zh-CN" w:eastAsia="zh-CN"/>
              </w:rPr>
              <w:t>供应商</w:t>
            </w:r>
            <w:r>
              <w:rPr>
                <w:rFonts w:hint="eastAsia" w:ascii="宋体" w:hAnsi="宋体" w:eastAsia="宋体" w:cs="宋体"/>
                <w:b/>
                <w:bCs/>
                <w:sz w:val="24"/>
                <w:szCs w:val="22"/>
                <w:highlight w:val="none"/>
                <w:lang w:val="zh-CN"/>
              </w:rPr>
              <w:t>应充分考虑在途时间，</w:t>
            </w:r>
            <w:r>
              <w:rPr>
                <w:rFonts w:hint="eastAsia" w:ascii="宋体" w:hAnsi="宋体" w:eastAsia="宋体" w:cs="宋体"/>
                <w:b/>
                <w:bCs/>
                <w:sz w:val="24"/>
                <w:szCs w:val="22"/>
                <w:highlight w:val="none"/>
                <w:lang w:val="zh-CN" w:eastAsia="zh-CN"/>
              </w:rPr>
              <w:t>供应商</w:t>
            </w:r>
            <w:r>
              <w:rPr>
                <w:rFonts w:hint="eastAsia" w:ascii="宋体" w:hAnsi="宋体" w:eastAsia="宋体" w:cs="宋体"/>
                <w:b/>
                <w:bCs/>
                <w:sz w:val="24"/>
                <w:szCs w:val="22"/>
                <w:highlight w:val="none"/>
                <w:lang w:val="zh-CN"/>
              </w:rPr>
              <w:t>未按照采购文件要求提交磋商保证金的，投标无效。</w:t>
            </w:r>
          </w:p>
        </w:tc>
      </w:tr>
      <w:tr w14:paraId="1007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jc w:val="center"/>
        </w:trPr>
        <w:tc>
          <w:tcPr>
            <w:tcW w:w="712" w:type="dxa"/>
            <w:vAlign w:val="center"/>
          </w:tcPr>
          <w:p w14:paraId="34ADF6AD">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17</w:t>
            </w:r>
          </w:p>
        </w:tc>
        <w:tc>
          <w:tcPr>
            <w:tcW w:w="1811" w:type="dxa"/>
            <w:vAlign w:val="center"/>
          </w:tcPr>
          <w:p w14:paraId="06BA4CE4">
            <w:pPr>
              <w:keepNext w:val="0"/>
              <w:keepLines w:val="0"/>
              <w:pageBreakBefore w:val="0"/>
              <w:widowControl w:val="0"/>
              <w:kinsoku/>
              <w:wordWrap/>
              <w:overflowPunct/>
              <w:topLinePunct w:val="0"/>
              <w:autoSpaceDE w:val="0"/>
              <w:autoSpaceDN w:val="0"/>
              <w:bidi w:val="0"/>
              <w:snapToGrid/>
              <w:spacing w:line="360" w:lineRule="auto"/>
              <w:ind w:left="240" w:hanging="240" w:hangingChars="100"/>
              <w:jc w:val="both"/>
              <w:textAlignment w:val="bottom"/>
              <w:rPr>
                <w:rFonts w:hint="eastAsia" w:ascii="宋体" w:hAnsi="宋体" w:eastAsia="宋体" w:cs="宋体"/>
                <w:b/>
                <w:color w:val="auto"/>
                <w:spacing w:val="-12"/>
                <w:sz w:val="24"/>
                <w:szCs w:val="24"/>
                <w:highlight w:val="none"/>
              </w:rPr>
            </w:pPr>
            <w:r>
              <w:rPr>
                <w:rFonts w:hint="eastAsia" w:ascii="宋体" w:hAnsi="宋体" w:eastAsia="宋体" w:cs="宋体"/>
                <w:color w:val="auto"/>
                <w:sz w:val="24"/>
                <w:szCs w:val="24"/>
                <w:highlight w:val="none"/>
                <w:lang w:val="zh-CN"/>
              </w:rPr>
              <w:t>踏勘现场</w:t>
            </w:r>
          </w:p>
        </w:tc>
        <w:tc>
          <w:tcPr>
            <w:tcW w:w="7375" w:type="dxa"/>
            <w:vAlign w:val="center"/>
          </w:tcPr>
          <w:p w14:paraId="793A085B">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☑不组织</w:t>
            </w:r>
          </w:p>
          <w:p w14:paraId="2040B053">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□组织，踏勘时间： </w:t>
            </w:r>
          </w:p>
          <w:p w14:paraId="38067093">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踏勘集中地点：</w:t>
            </w:r>
          </w:p>
          <w:p w14:paraId="6CF70AD3">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w:t>
            </w:r>
          </w:p>
          <w:p w14:paraId="34911126">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1.如有需要自行踏勘，供应商踏勘现场发生的费用自理。</w:t>
            </w:r>
          </w:p>
          <w:p w14:paraId="79F88F02">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2.竞标人自行负责在踏勘现场中所发生的人员伤亡和财产损失。</w:t>
            </w:r>
          </w:p>
          <w:p w14:paraId="3CCA7F5D">
            <w:pPr>
              <w:pStyle w:val="24"/>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3.竞标人踏勘所了解到的工程场地和相关的周边环境情况，供其在编制响应文件时参考，采购人不对竞标人据此作出的判断和决策负责。</w:t>
            </w:r>
          </w:p>
        </w:tc>
      </w:tr>
      <w:tr w14:paraId="171F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0D64D971">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8</w:t>
            </w:r>
          </w:p>
        </w:tc>
        <w:tc>
          <w:tcPr>
            <w:tcW w:w="1811" w:type="dxa"/>
            <w:vAlign w:val="center"/>
          </w:tcPr>
          <w:p w14:paraId="397899D0">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bCs/>
                <w:color w:val="auto"/>
                <w:spacing w:val="-12"/>
                <w:sz w:val="24"/>
                <w:szCs w:val="24"/>
                <w:highlight w:val="none"/>
              </w:rPr>
            </w:pPr>
            <w:r>
              <w:rPr>
                <w:rFonts w:hint="eastAsia" w:ascii="宋体" w:hAnsi="宋体" w:eastAsia="宋体" w:cs="宋体"/>
                <w:color w:val="auto"/>
                <w:sz w:val="24"/>
                <w:szCs w:val="24"/>
                <w:highlight w:val="none"/>
              </w:rPr>
              <w:t>开标时间和地点</w:t>
            </w:r>
          </w:p>
        </w:tc>
        <w:tc>
          <w:tcPr>
            <w:tcW w:w="7375" w:type="dxa"/>
            <w:vAlign w:val="center"/>
          </w:tcPr>
          <w:p w14:paraId="32557936">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开标时间：</w:t>
            </w:r>
            <w:r>
              <w:rPr>
                <w:rFonts w:hint="eastAsia" w:ascii="宋体" w:hAnsi="宋体" w:cs="宋体"/>
                <w:sz w:val="24"/>
                <w:szCs w:val="22"/>
                <w:highlight w:val="yellow"/>
                <w:lang w:eastAsia="zh-CN"/>
              </w:rPr>
              <w:t>2025年07月07日1</w:t>
            </w:r>
            <w:r>
              <w:rPr>
                <w:rFonts w:hint="eastAsia" w:ascii="宋体" w:hAnsi="宋体" w:cs="宋体"/>
                <w:sz w:val="24"/>
                <w:szCs w:val="22"/>
                <w:highlight w:val="yellow"/>
                <w:lang w:val="en-US" w:eastAsia="zh-CN"/>
              </w:rPr>
              <w:t>0</w:t>
            </w:r>
            <w:r>
              <w:rPr>
                <w:rFonts w:hint="eastAsia" w:ascii="宋体" w:hAnsi="宋体" w:cs="宋体"/>
                <w:sz w:val="24"/>
                <w:szCs w:val="22"/>
                <w:highlight w:val="yellow"/>
                <w:lang w:eastAsia="zh-CN"/>
              </w:rPr>
              <w:t>时30分</w:t>
            </w:r>
          </w:p>
          <w:p w14:paraId="08EA95D9">
            <w:pPr>
              <w:keepNext w:val="0"/>
              <w:keepLines w:val="0"/>
              <w:pageBreakBefore w:val="0"/>
              <w:widowControl w:val="0"/>
              <w:kinsoku/>
              <w:wordWrap/>
              <w:overflowPunct/>
              <w:topLinePunct w:val="0"/>
              <w:bidi w:val="0"/>
              <w:snapToGrid/>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rPr>
              <w:t>开标地点：政采云开标大厅（https://www.zcygov.cn在线投标）</w:t>
            </w:r>
          </w:p>
        </w:tc>
      </w:tr>
      <w:tr w14:paraId="5873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7CDFE896">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9</w:t>
            </w:r>
          </w:p>
        </w:tc>
        <w:tc>
          <w:tcPr>
            <w:tcW w:w="1811" w:type="dxa"/>
            <w:vAlign w:val="center"/>
          </w:tcPr>
          <w:p w14:paraId="1335CDB2">
            <w:pPr>
              <w:keepNext w:val="0"/>
              <w:keepLines w:val="0"/>
              <w:pageBreakBefore w:val="0"/>
              <w:widowControl w:val="0"/>
              <w:tabs>
                <w:tab w:val="left" w:pos="2448"/>
              </w:tabs>
              <w:kinsoku/>
              <w:wordWrap/>
              <w:overflowPunct/>
              <w:topLinePunct w:val="0"/>
              <w:bidi w:val="0"/>
              <w:snapToGrid/>
              <w:spacing w:line="360" w:lineRule="auto"/>
              <w:jc w:val="center"/>
              <w:rPr>
                <w:rFonts w:hint="eastAsia" w:ascii="宋体" w:hAnsi="宋体" w:eastAsia="宋体" w:cs="宋体"/>
                <w:b/>
                <w:color w:val="auto"/>
                <w:spacing w:val="-12"/>
                <w:sz w:val="24"/>
                <w:szCs w:val="24"/>
                <w:highlight w:val="none"/>
              </w:rPr>
            </w:pPr>
            <w:r>
              <w:rPr>
                <w:rFonts w:hint="eastAsia" w:ascii="宋体" w:hAnsi="宋体" w:eastAsia="宋体" w:cs="宋体"/>
                <w:color w:val="auto"/>
                <w:sz w:val="24"/>
                <w:szCs w:val="24"/>
                <w:highlight w:val="none"/>
                <w:lang w:val="zh-CN"/>
              </w:rPr>
              <w:t>响应文件解密时长</w:t>
            </w:r>
          </w:p>
        </w:tc>
        <w:tc>
          <w:tcPr>
            <w:tcW w:w="7375" w:type="dxa"/>
            <w:vAlign w:val="center"/>
          </w:tcPr>
          <w:p w14:paraId="1B370191">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30分钟（供应商若未在规定时间内完成，所造成的一切后果由供应商自行承担）</w:t>
            </w:r>
          </w:p>
        </w:tc>
      </w:tr>
      <w:tr w14:paraId="0639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2ED85BEB">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20</w:t>
            </w:r>
          </w:p>
        </w:tc>
        <w:tc>
          <w:tcPr>
            <w:tcW w:w="1811" w:type="dxa"/>
            <w:vAlign w:val="center"/>
          </w:tcPr>
          <w:p w14:paraId="466349CE">
            <w:pPr>
              <w:keepNext w:val="0"/>
              <w:keepLines w:val="0"/>
              <w:pageBreakBefore w:val="0"/>
              <w:widowControl w:val="0"/>
              <w:tabs>
                <w:tab w:val="left" w:pos="2448"/>
              </w:tabs>
              <w:kinsoku/>
              <w:wordWrap/>
              <w:overflowPunct/>
              <w:topLinePunct w:val="0"/>
              <w:bidi w:val="0"/>
              <w:snapToGrid/>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供应商报价确认签字时长</w:t>
            </w:r>
          </w:p>
        </w:tc>
        <w:tc>
          <w:tcPr>
            <w:tcW w:w="7375" w:type="dxa"/>
            <w:vAlign w:val="center"/>
          </w:tcPr>
          <w:p w14:paraId="6EB56E26">
            <w:pPr>
              <w:keepNext w:val="0"/>
              <w:keepLines w:val="0"/>
              <w:pageBreakBefore w:val="0"/>
              <w:widowControl w:val="0"/>
              <w:tabs>
                <w:tab w:val="left" w:pos="2448"/>
              </w:tabs>
              <w:kinsoku/>
              <w:wordWrap/>
              <w:overflowPunct/>
              <w:topLinePunct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30分钟（供应商若未在规定时间内完成，所造成的一切后果由供应商自行承担）</w:t>
            </w:r>
          </w:p>
        </w:tc>
      </w:tr>
      <w:tr w14:paraId="4956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69598BF3">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w:t>
            </w:r>
          </w:p>
        </w:tc>
        <w:tc>
          <w:tcPr>
            <w:tcW w:w="1811" w:type="dxa"/>
            <w:vAlign w:val="center"/>
          </w:tcPr>
          <w:p w14:paraId="73469801">
            <w:pPr>
              <w:keepNext w:val="0"/>
              <w:keepLines w:val="0"/>
              <w:pageBreakBefore w:val="0"/>
              <w:widowControl w:val="0"/>
              <w:tabs>
                <w:tab w:val="left" w:pos="2448"/>
              </w:tabs>
              <w:kinsoku/>
              <w:wordWrap/>
              <w:overflowPunct/>
              <w:topLinePunct w:val="0"/>
              <w:bidi w:val="0"/>
              <w:snapToGrid/>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磋商文件的获取（下载）时间</w:t>
            </w:r>
          </w:p>
        </w:tc>
        <w:tc>
          <w:tcPr>
            <w:tcW w:w="7375" w:type="dxa"/>
            <w:vAlign w:val="center"/>
          </w:tcPr>
          <w:p w14:paraId="2E735692">
            <w:pPr>
              <w:keepNext w:val="0"/>
              <w:keepLines w:val="0"/>
              <w:pageBreakBefore w:val="0"/>
              <w:widowControl w:val="0"/>
              <w:kinsoku/>
              <w:wordWrap/>
              <w:overflowPunct/>
              <w:topLinePunct w:val="0"/>
              <w:autoSpaceDE w:val="0"/>
              <w:autoSpaceDN w:val="0"/>
              <w:bidi w:val="0"/>
              <w:snapToGrid/>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发售时间：</w:t>
            </w:r>
            <w:r>
              <w:rPr>
                <w:rFonts w:hint="eastAsia" w:ascii="宋体" w:hAnsi="宋体" w:eastAsia="宋体" w:cs="宋体"/>
                <w:sz w:val="24"/>
                <w:szCs w:val="24"/>
                <w:highlight w:val="yellow"/>
              </w:rPr>
              <w:t>202</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w:t>
            </w:r>
            <w:r>
              <w:rPr>
                <w:rFonts w:hint="eastAsia" w:ascii="宋体" w:hAnsi="宋体" w:cs="宋体"/>
                <w:sz w:val="24"/>
                <w:szCs w:val="24"/>
                <w:highlight w:val="yellow"/>
                <w:lang w:val="en-US" w:eastAsia="zh-CN"/>
              </w:rPr>
              <w:t>06</w:t>
            </w:r>
            <w:r>
              <w:rPr>
                <w:rFonts w:hint="eastAsia" w:ascii="宋体" w:hAnsi="宋体" w:eastAsia="宋体" w:cs="宋体"/>
                <w:sz w:val="24"/>
                <w:szCs w:val="24"/>
                <w:highlight w:val="yellow"/>
              </w:rPr>
              <w:t>-</w:t>
            </w:r>
            <w:r>
              <w:rPr>
                <w:rFonts w:hint="eastAsia" w:ascii="宋体" w:hAnsi="宋体" w:cs="宋体"/>
                <w:sz w:val="24"/>
                <w:szCs w:val="24"/>
                <w:highlight w:val="yellow"/>
                <w:lang w:val="en-US" w:eastAsia="zh-CN"/>
              </w:rPr>
              <w:t>25</w:t>
            </w:r>
            <w:r>
              <w:rPr>
                <w:rFonts w:hint="eastAsia" w:ascii="宋体" w:hAnsi="宋体" w:eastAsia="宋体" w:cs="宋体"/>
                <w:sz w:val="24"/>
                <w:szCs w:val="24"/>
                <w:highlight w:val="yellow"/>
              </w:rPr>
              <w:t>至202</w:t>
            </w:r>
            <w:r>
              <w:rPr>
                <w:rFonts w:hint="eastAsia" w:ascii="宋体" w:hAnsi="宋体" w:eastAsia="宋体" w:cs="宋体"/>
                <w:sz w:val="24"/>
                <w:szCs w:val="24"/>
                <w:highlight w:val="yellow"/>
                <w:lang w:val="en-US" w:eastAsia="zh-CN"/>
              </w:rPr>
              <w:t>5</w:t>
            </w:r>
            <w:r>
              <w:rPr>
                <w:rFonts w:hint="eastAsia" w:ascii="宋体" w:hAnsi="宋体" w:eastAsia="宋体" w:cs="宋体"/>
                <w:sz w:val="24"/>
                <w:szCs w:val="24"/>
                <w:highlight w:val="yellow"/>
              </w:rPr>
              <w:t>-</w:t>
            </w:r>
            <w:r>
              <w:rPr>
                <w:rFonts w:hint="eastAsia" w:ascii="宋体" w:hAnsi="宋体" w:cs="宋体"/>
                <w:sz w:val="24"/>
                <w:szCs w:val="24"/>
                <w:highlight w:val="yellow"/>
                <w:lang w:val="en-US" w:eastAsia="zh-CN"/>
              </w:rPr>
              <w:t>7</w:t>
            </w:r>
            <w:r>
              <w:rPr>
                <w:rFonts w:hint="eastAsia" w:ascii="宋体" w:hAnsi="宋体" w:eastAsia="宋体" w:cs="宋体"/>
                <w:sz w:val="24"/>
                <w:szCs w:val="24"/>
                <w:highlight w:val="yellow"/>
              </w:rPr>
              <w:t>-</w:t>
            </w:r>
            <w:r>
              <w:rPr>
                <w:rFonts w:hint="eastAsia" w:ascii="宋体" w:hAnsi="宋体" w:cs="宋体"/>
                <w:sz w:val="24"/>
                <w:szCs w:val="24"/>
                <w:highlight w:val="yellow"/>
                <w:lang w:val="en-US" w:eastAsia="zh-CN"/>
              </w:rPr>
              <w:t>2</w:t>
            </w:r>
            <w:r>
              <w:rPr>
                <w:rFonts w:hint="eastAsia" w:ascii="宋体" w:hAnsi="宋体" w:eastAsia="宋体" w:cs="宋体"/>
                <w:sz w:val="24"/>
                <w:szCs w:val="24"/>
                <w:highlight w:val="yellow"/>
              </w:rPr>
              <w:t>，</w:t>
            </w:r>
            <w:r>
              <w:rPr>
                <w:rFonts w:hint="eastAsia" w:ascii="宋体" w:hAnsi="宋体" w:eastAsia="宋体" w:cs="宋体"/>
                <w:sz w:val="24"/>
                <w:szCs w:val="24"/>
                <w:highlight w:val="none"/>
              </w:rPr>
              <w:t>（北京时间，法定节假日除外）</w:t>
            </w:r>
          </w:p>
        </w:tc>
      </w:tr>
      <w:tr w14:paraId="418E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50894E26">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2</w:t>
            </w:r>
          </w:p>
        </w:tc>
        <w:tc>
          <w:tcPr>
            <w:tcW w:w="1811" w:type="dxa"/>
            <w:vAlign w:val="center"/>
          </w:tcPr>
          <w:p w14:paraId="6CCFE552">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w:t>
            </w:r>
          </w:p>
          <w:p w14:paraId="56458501">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响应文件</w:t>
            </w:r>
          </w:p>
        </w:tc>
        <w:tc>
          <w:tcPr>
            <w:tcW w:w="7375" w:type="dxa"/>
            <w:vAlign w:val="center"/>
          </w:tcPr>
          <w:p w14:paraId="5721996A">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否         □是</w:t>
            </w:r>
          </w:p>
        </w:tc>
      </w:tr>
      <w:tr w14:paraId="2428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56E15B7C">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3</w:t>
            </w:r>
          </w:p>
        </w:tc>
        <w:tc>
          <w:tcPr>
            <w:tcW w:w="1811" w:type="dxa"/>
            <w:vAlign w:val="center"/>
          </w:tcPr>
          <w:p w14:paraId="6DFEC8DD">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推荐成交候选</w:t>
            </w:r>
            <w:r>
              <w:rPr>
                <w:rFonts w:hint="eastAsia" w:ascii="宋体" w:hAnsi="宋体" w:eastAsia="宋体" w:cs="宋体"/>
                <w:color w:val="auto"/>
                <w:sz w:val="24"/>
                <w:szCs w:val="22"/>
                <w:highlight w:val="none"/>
                <w:lang w:val="en-US" w:eastAsia="zh-CN"/>
              </w:rPr>
              <w:t>供应商</w:t>
            </w:r>
            <w:r>
              <w:rPr>
                <w:rFonts w:hint="eastAsia" w:ascii="宋体" w:hAnsi="宋体" w:eastAsia="宋体" w:cs="宋体"/>
                <w:color w:val="auto"/>
                <w:sz w:val="24"/>
                <w:szCs w:val="24"/>
                <w:highlight w:val="none"/>
              </w:rPr>
              <w:t>的数量</w:t>
            </w:r>
          </w:p>
        </w:tc>
        <w:tc>
          <w:tcPr>
            <w:tcW w:w="7375" w:type="dxa"/>
            <w:vAlign w:val="center"/>
          </w:tcPr>
          <w:p w14:paraId="2E3E7B5F">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□是</w:t>
            </w:r>
          </w:p>
          <w:p w14:paraId="3CA69F54">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否，推荐的成交候选人数：3 人</w:t>
            </w:r>
          </w:p>
        </w:tc>
      </w:tr>
      <w:tr w14:paraId="5895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7ACCB4E7">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4</w:t>
            </w:r>
          </w:p>
        </w:tc>
        <w:tc>
          <w:tcPr>
            <w:tcW w:w="1811" w:type="dxa"/>
            <w:vAlign w:val="center"/>
          </w:tcPr>
          <w:p w14:paraId="2A7E9585">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w:t>
            </w:r>
          </w:p>
          <w:p w14:paraId="3F4D6FC5">
            <w:pPr>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的组建</w:t>
            </w:r>
          </w:p>
        </w:tc>
        <w:tc>
          <w:tcPr>
            <w:tcW w:w="7375" w:type="dxa"/>
            <w:vAlign w:val="center"/>
          </w:tcPr>
          <w:p w14:paraId="4C7ECE5C">
            <w:pPr>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yellow"/>
                <w:lang w:eastAsia="zh-CN"/>
              </w:rPr>
              <w:t>磋商小组</w:t>
            </w:r>
            <w:r>
              <w:rPr>
                <w:rFonts w:hint="eastAsia" w:ascii="宋体" w:hAnsi="宋体" w:eastAsia="宋体" w:cs="宋体"/>
                <w:color w:val="000000"/>
                <w:sz w:val="24"/>
                <w:szCs w:val="24"/>
                <w:highlight w:val="yellow"/>
              </w:rPr>
              <w:t>构成：共</w:t>
            </w:r>
            <w:r>
              <w:rPr>
                <w:rFonts w:hint="eastAsia" w:ascii="宋体" w:hAnsi="宋体" w:cs="宋体"/>
                <w:color w:val="000000"/>
                <w:sz w:val="24"/>
                <w:szCs w:val="24"/>
                <w:highlight w:val="yellow"/>
                <w:lang w:val="en-US" w:eastAsia="zh-CN"/>
              </w:rPr>
              <w:t>3</w:t>
            </w:r>
            <w:r>
              <w:rPr>
                <w:rFonts w:hint="eastAsia" w:ascii="宋体" w:hAnsi="宋体" w:eastAsia="宋体" w:cs="宋体"/>
                <w:color w:val="000000"/>
                <w:sz w:val="24"/>
                <w:szCs w:val="24"/>
                <w:highlight w:val="yellow"/>
              </w:rPr>
              <w:t>人，其中采购人代表1人，政采云专家库中随机抽取</w:t>
            </w:r>
            <w:r>
              <w:rPr>
                <w:rFonts w:hint="eastAsia" w:ascii="宋体" w:hAnsi="宋体" w:cs="宋体"/>
                <w:color w:val="000000"/>
                <w:sz w:val="24"/>
                <w:szCs w:val="24"/>
                <w:highlight w:val="yellow"/>
                <w:lang w:val="en-US" w:eastAsia="zh-CN"/>
              </w:rPr>
              <w:t>2</w:t>
            </w:r>
            <w:r>
              <w:rPr>
                <w:rFonts w:hint="eastAsia" w:ascii="宋体" w:hAnsi="宋体" w:eastAsia="宋体" w:cs="宋体"/>
                <w:color w:val="000000"/>
                <w:sz w:val="24"/>
                <w:szCs w:val="24"/>
                <w:highlight w:val="yellow"/>
              </w:rPr>
              <w:t>人。</w:t>
            </w:r>
          </w:p>
        </w:tc>
      </w:tr>
      <w:tr w14:paraId="2704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712" w:type="dxa"/>
            <w:vAlign w:val="center"/>
          </w:tcPr>
          <w:p w14:paraId="122D13FA">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25</w:t>
            </w:r>
          </w:p>
        </w:tc>
        <w:tc>
          <w:tcPr>
            <w:tcW w:w="1811" w:type="dxa"/>
            <w:vAlign w:val="center"/>
          </w:tcPr>
          <w:p w14:paraId="14A94637">
            <w:pPr>
              <w:keepNext w:val="0"/>
              <w:keepLines w:val="0"/>
              <w:pageBreakBefore w:val="0"/>
              <w:widowControl w:val="0"/>
              <w:kinsoku/>
              <w:wordWrap/>
              <w:overflowPunct/>
              <w:topLinePunct w:val="0"/>
              <w:bidi w:val="0"/>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磋商报价轮数</w:t>
            </w:r>
          </w:p>
        </w:tc>
        <w:tc>
          <w:tcPr>
            <w:tcW w:w="7375" w:type="dxa"/>
            <w:vAlign w:val="center"/>
          </w:tcPr>
          <w:p w14:paraId="0B0A5860">
            <w:pPr>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本项目磋商报价为二次报价，首次报价在响应文件中体现；最终报价由各磋商</w:t>
            </w:r>
            <w:r>
              <w:rPr>
                <w:rFonts w:hint="eastAsia" w:ascii="宋体" w:hAnsi="宋体" w:cs="宋体"/>
                <w:color w:val="000000"/>
                <w:sz w:val="24"/>
                <w:szCs w:val="24"/>
                <w:highlight w:val="none"/>
                <w:lang w:eastAsia="zh-CN"/>
              </w:rPr>
              <w:t>单位</w:t>
            </w:r>
            <w:r>
              <w:rPr>
                <w:rFonts w:hint="eastAsia" w:ascii="宋体" w:hAnsi="宋体" w:eastAsia="宋体" w:cs="宋体"/>
                <w:color w:val="000000"/>
                <w:sz w:val="24"/>
                <w:szCs w:val="24"/>
                <w:highlight w:val="none"/>
                <w:lang w:eastAsia="zh-CN"/>
              </w:rPr>
              <w:t>在规定的时间内在磋商现场完成；因本项目采用竞争性磋商方式，成交价以最终报价为准。</w:t>
            </w:r>
          </w:p>
        </w:tc>
      </w:tr>
      <w:tr w14:paraId="5D68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12" w:type="dxa"/>
            <w:vAlign w:val="center"/>
          </w:tcPr>
          <w:p w14:paraId="380E485B">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26</w:t>
            </w:r>
          </w:p>
        </w:tc>
        <w:tc>
          <w:tcPr>
            <w:tcW w:w="1811" w:type="dxa"/>
            <w:vAlign w:val="center"/>
          </w:tcPr>
          <w:p w14:paraId="79689039">
            <w:pPr>
              <w:keepNext w:val="0"/>
              <w:keepLines w:val="0"/>
              <w:pageBreakBefore w:val="0"/>
              <w:widowControl w:val="0"/>
              <w:kinsoku/>
              <w:wordWrap/>
              <w:overflowPunct/>
              <w:topLinePunct w:val="0"/>
              <w:bidi w:val="0"/>
              <w:snapToGri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评标方法</w:t>
            </w:r>
          </w:p>
        </w:tc>
        <w:tc>
          <w:tcPr>
            <w:tcW w:w="7375" w:type="dxa"/>
            <w:vAlign w:val="center"/>
          </w:tcPr>
          <w:p w14:paraId="33A09B0A">
            <w:pPr>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综合评分法</w:t>
            </w:r>
          </w:p>
        </w:tc>
      </w:tr>
      <w:tr w14:paraId="0CF8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6994A416">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27</w:t>
            </w:r>
          </w:p>
        </w:tc>
        <w:tc>
          <w:tcPr>
            <w:tcW w:w="1811" w:type="dxa"/>
            <w:vAlign w:val="center"/>
          </w:tcPr>
          <w:p w14:paraId="661F84BA">
            <w:pPr>
              <w:pStyle w:val="26"/>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封装要求</w:t>
            </w:r>
          </w:p>
        </w:tc>
        <w:tc>
          <w:tcPr>
            <w:tcW w:w="7375" w:type="dxa"/>
            <w:vAlign w:val="center"/>
          </w:tcPr>
          <w:p w14:paraId="160E0D5D">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正、副本采用左侧胶装方式装订，装订应牢固、不易拆散和换页，不得采用活页夹装订。</w:t>
            </w:r>
          </w:p>
        </w:tc>
      </w:tr>
      <w:tr w14:paraId="49A0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712" w:type="dxa"/>
            <w:vAlign w:val="center"/>
          </w:tcPr>
          <w:p w14:paraId="14860C20">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8</w:t>
            </w:r>
          </w:p>
        </w:tc>
        <w:tc>
          <w:tcPr>
            <w:tcW w:w="1811" w:type="dxa"/>
            <w:vAlign w:val="center"/>
          </w:tcPr>
          <w:p w14:paraId="630ACB37">
            <w:pPr>
              <w:pStyle w:val="26"/>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成交结果公示媒体</w:t>
            </w:r>
          </w:p>
        </w:tc>
        <w:tc>
          <w:tcPr>
            <w:tcW w:w="7375" w:type="dxa"/>
            <w:vAlign w:val="center"/>
          </w:tcPr>
          <w:p w14:paraId="188FC55D">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在成交通知书发出前，</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将成交候选人的情况在</w:t>
            </w:r>
            <w:r>
              <w:rPr>
                <w:rFonts w:hint="eastAsia" w:ascii="宋体" w:hAnsi="宋体" w:eastAsia="宋体" w:cs="宋体"/>
                <w:sz w:val="24"/>
                <w:szCs w:val="24"/>
                <w:highlight w:val="none"/>
                <w:u w:val="single"/>
              </w:rPr>
              <w:t>新疆政府采购网</w:t>
            </w:r>
            <w:r>
              <w:rPr>
                <w:rFonts w:hint="eastAsia" w:ascii="宋体" w:hAnsi="宋体" w:eastAsia="宋体" w:cs="宋体"/>
                <w:sz w:val="24"/>
                <w:szCs w:val="24"/>
                <w:highlight w:val="none"/>
              </w:rPr>
              <w:t>上予以公示，公示期不少于1个工作日。</w:t>
            </w:r>
          </w:p>
        </w:tc>
      </w:tr>
      <w:tr w14:paraId="6017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3" w:hRule="atLeast"/>
          <w:jc w:val="center"/>
        </w:trPr>
        <w:tc>
          <w:tcPr>
            <w:tcW w:w="712" w:type="dxa"/>
            <w:vAlign w:val="center"/>
          </w:tcPr>
          <w:p w14:paraId="1AC7E163">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29</w:t>
            </w:r>
          </w:p>
        </w:tc>
        <w:tc>
          <w:tcPr>
            <w:tcW w:w="1811" w:type="dxa"/>
            <w:vAlign w:val="center"/>
          </w:tcPr>
          <w:p w14:paraId="60FE4678">
            <w:pPr>
              <w:pStyle w:val="26"/>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分段质疑原则</w:t>
            </w:r>
          </w:p>
          <w:p w14:paraId="7ED72434">
            <w:pPr>
              <w:pStyle w:val="26"/>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p>
        </w:tc>
        <w:tc>
          <w:tcPr>
            <w:tcW w:w="7375" w:type="dxa"/>
            <w:vAlign w:val="center"/>
          </w:tcPr>
          <w:p w14:paraId="68089B6D">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（1）供应商对</w:t>
            </w:r>
            <w:r>
              <w:rPr>
                <w:rFonts w:hint="eastAsia" w:ascii="宋体" w:hAnsi="宋体" w:eastAsia="宋体" w:cs="宋体"/>
                <w:color w:val="000000"/>
                <w:sz w:val="24"/>
                <w:szCs w:val="24"/>
                <w:highlight w:val="none"/>
                <w:lang w:val="en-US" w:eastAsia="zh-CN"/>
              </w:rPr>
              <w:t>磋商</w:t>
            </w:r>
            <w:r>
              <w:rPr>
                <w:rFonts w:hint="eastAsia" w:ascii="宋体" w:hAnsi="宋体" w:eastAsia="宋体" w:cs="宋体"/>
                <w:color w:val="000000"/>
                <w:sz w:val="24"/>
                <w:szCs w:val="24"/>
                <w:highlight w:val="none"/>
              </w:rPr>
              <w:t>文件有异议的，应在收到采购文件之日或者采购文件公告期限届满之日内提出；</w:t>
            </w:r>
          </w:p>
          <w:p w14:paraId="7EE6286C">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（2）供应商对开标有异议的，应在开标现场提出；</w:t>
            </w:r>
          </w:p>
          <w:p w14:paraId="1F4D7B03">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（3）供应商对评标结果有异议的，应在中标候选人公示期间提出。</w:t>
            </w:r>
          </w:p>
        </w:tc>
      </w:tr>
      <w:tr w14:paraId="0A35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1" w:hRule="atLeast"/>
          <w:jc w:val="center"/>
        </w:trPr>
        <w:tc>
          <w:tcPr>
            <w:tcW w:w="712" w:type="dxa"/>
            <w:vAlign w:val="center"/>
          </w:tcPr>
          <w:p w14:paraId="38A0153B">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30</w:t>
            </w:r>
          </w:p>
        </w:tc>
        <w:tc>
          <w:tcPr>
            <w:tcW w:w="1811" w:type="dxa"/>
            <w:vAlign w:val="center"/>
          </w:tcPr>
          <w:p w14:paraId="6352BFFE">
            <w:pPr>
              <w:pStyle w:val="26"/>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对响应文件进行澄清或说明</w:t>
            </w:r>
          </w:p>
        </w:tc>
        <w:tc>
          <w:tcPr>
            <w:tcW w:w="7375" w:type="dxa"/>
            <w:vAlign w:val="center"/>
          </w:tcPr>
          <w:p w14:paraId="2C03D386">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评标委员会可以要求竞标人对响应文件中含义不明确的内容作必要的澄清或者说明，但是澄清或者说明不得超出响应文件的范围或者改变响应文件的实质性内容。</w:t>
            </w:r>
          </w:p>
          <w:p w14:paraId="6A0BF1E1">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标时，若发现响应文件的内容有含义不明确、不一致或明显打字（书写）错误或纯属计算上的错误的情形，评标委员会则应通知竞标人作出澄清或说明，以确认其正确的内容。对于明显打字（书写）错误或纯属计算上的错误，评标委员会应允许竞标人补正。澄清的要求和竞标人的答复均应采取书面的形式。竞标人的答复必须经法定代表人或授权代理人签字，作为响应文件的组成部分。</w:t>
            </w:r>
          </w:p>
          <w:p w14:paraId="02A5A73C">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评标过程中，评标委员会发现竞标人的报价明显低于其他投标报价，使得其投标报价可能低于其个别成本的，应当要求该竞标人做出书面说明并提供相关证明材料。竞标人不能合理说明或者不能提供相关证明材料的，评标委员会认定该竞标人以低于成本报价竞标，其投标应作无效投标处理。</w:t>
            </w:r>
          </w:p>
        </w:tc>
      </w:tr>
      <w:tr w14:paraId="6F1F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7" w:hRule="atLeast"/>
          <w:jc w:val="center"/>
        </w:trPr>
        <w:tc>
          <w:tcPr>
            <w:tcW w:w="712" w:type="dxa"/>
            <w:vAlign w:val="center"/>
          </w:tcPr>
          <w:p w14:paraId="70B0C12C">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31</w:t>
            </w:r>
          </w:p>
        </w:tc>
        <w:tc>
          <w:tcPr>
            <w:tcW w:w="1811" w:type="dxa"/>
            <w:vAlign w:val="center"/>
          </w:tcPr>
          <w:p w14:paraId="4DF5439C">
            <w:pPr>
              <w:pStyle w:val="26"/>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w:t>
            </w:r>
          </w:p>
        </w:tc>
        <w:tc>
          <w:tcPr>
            <w:tcW w:w="7375" w:type="dxa"/>
            <w:vAlign w:val="center"/>
          </w:tcPr>
          <w:p w14:paraId="4D81E163">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1、本项目实行网上投标，采用电子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。若</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参与投标，自行承担投标一切费用。</w:t>
            </w:r>
          </w:p>
          <w:p w14:paraId="03EDEFA5">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2、各</w:t>
            </w:r>
            <w:r>
              <w:rPr>
                <w:rFonts w:hint="eastAsia" w:ascii="宋体" w:hAnsi="宋体" w:eastAsia="宋体" w:cs="宋体"/>
                <w:sz w:val="24"/>
                <w:szCs w:val="22"/>
                <w:highlight w:val="none"/>
                <w:lang w:val="en-US" w:eastAsia="zh-CN"/>
              </w:rPr>
              <w:t>供应商</w:t>
            </w:r>
            <w:r>
              <w:rPr>
                <w:rFonts w:hint="eastAsia" w:ascii="宋体" w:hAnsi="宋体" w:eastAsia="宋体" w:cs="宋体"/>
                <w:color w:val="000000"/>
                <w:sz w:val="24"/>
                <w:szCs w:val="24"/>
                <w:highlight w:val="none"/>
              </w:rPr>
              <w:t>应确保是新疆维吾尔自治区政府采购网正式注册入库</w:t>
            </w:r>
            <w:r>
              <w:rPr>
                <w:rFonts w:hint="eastAsia" w:ascii="宋体" w:hAnsi="宋体" w:eastAsia="宋体" w:cs="宋体"/>
                <w:sz w:val="24"/>
                <w:szCs w:val="22"/>
                <w:highlight w:val="none"/>
                <w:lang w:val="en-US" w:eastAsia="zh-CN"/>
              </w:rPr>
              <w:t>供应商</w:t>
            </w:r>
            <w:r>
              <w:rPr>
                <w:rFonts w:hint="eastAsia" w:ascii="宋体" w:hAnsi="宋体" w:eastAsia="宋体" w:cs="宋体"/>
                <w:color w:val="000000"/>
                <w:sz w:val="24"/>
                <w:szCs w:val="24"/>
                <w:highlight w:val="none"/>
              </w:rPr>
              <w:t>，并完成CA数字证书申领。因未注册入</w:t>
            </w:r>
            <w:r>
              <w:rPr>
                <w:rFonts w:hint="eastAsia" w:ascii="宋体" w:hAnsi="宋体" w:eastAsia="宋体" w:cs="宋体"/>
                <w:sz w:val="24"/>
                <w:szCs w:val="24"/>
                <w:highlight w:val="none"/>
              </w:rPr>
              <w:t>库、未办理CA数字证书等原因造成无法投标或投标失败等后果由</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自行承担。</w:t>
            </w:r>
          </w:p>
          <w:p w14:paraId="68CAA16C">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将政采云电子交易客户端下载、安装完成后，可通过账号密码或CA登录客户端进行</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制作。在使用政采云投标客户端时，建议使用WIN7及以上操作系统。客户端请至新疆政府采购网（</w:t>
            </w:r>
            <w:r>
              <w:rPr>
                <w:rFonts w:hint="eastAsia" w:ascii="宋体" w:hAnsi="宋体" w:eastAsia="宋体" w:cs="宋体"/>
                <w:sz w:val="24"/>
                <w:szCs w:val="21"/>
                <w:highlight w:val="none"/>
              </w:rPr>
              <w:fldChar w:fldCharType="begin"/>
            </w:r>
            <w:r>
              <w:rPr>
                <w:rFonts w:hint="eastAsia" w:ascii="宋体" w:hAnsi="宋体" w:eastAsia="宋体" w:cs="宋体"/>
                <w:sz w:val="24"/>
                <w:szCs w:val="21"/>
                <w:highlight w:val="none"/>
              </w:rPr>
              <w:instrText xml:space="preserve"> HYPERLINK "http://www.ccgp-xinjiang.gov.cn/" </w:instrText>
            </w:r>
            <w:r>
              <w:rPr>
                <w:rFonts w:hint="eastAsia" w:ascii="宋体" w:hAnsi="宋体" w:eastAsia="宋体" w:cs="宋体"/>
                <w:sz w:val="24"/>
                <w:szCs w:val="21"/>
                <w:highlight w:val="none"/>
              </w:rPr>
              <w:fldChar w:fldCharType="separate"/>
            </w:r>
            <w:r>
              <w:rPr>
                <w:rFonts w:hint="eastAsia" w:ascii="宋体" w:hAnsi="宋体" w:eastAsia="宋体" w:cs="宋体"/>
                <w:sz w:val="24"/>
                <w:szCs w:val="24"/>
                <w:highlight w:val="none"/>
              </w:rPr>
              <w:t>http://www.ccgp-xinjiang.gov.cn/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）下载专区查看，如有问题可拨打政采云客户服务热线</w:t>
            </w:r>
            <w:r>
              <w:rPr>
                <w:rFonts w:hint="eastAsia" w:ascii="宋体" w:hAnsi="宋体" w:eastAsia="宋体" w:cs="宋体"/>
                <w:sz w:val="24"/>
                <w:szCs w:val="24"/>
                <w:highlight w:val="none"/>
                <w:lang w:eastAsia="zh-CN"/>
              </w:rPr>
              <w:t>95763</w:t>
            </w:r>
            <w:r>
              <w:rPr>
                <w:rFonts w:hint="eastAsia" w:ascii="宋体" w:hAnsi="宋体" w:eastAsia="宋体" w:cs="宋体"/>
                <w:sz w:val="24"/>
                <w:szCs w:val="24"/>
                <w:highlight w:val="none"/>
              </w:rPr>
              <w:t>进行咨询。</w:t>
            </w:r>
          </w:p>
        </w:tc>
      </w:tr>
      <w:tr w14:paraId="04F1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712" w:type="dxa"/>
            <w:vAlign w:val="center"/>
          </w:tcPr>
          <w:p w14:paraId="0875944E">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32</w:t>
            </w:r>
          </w:p>
        </w:tc>
        <w:tc>
          <w:tcPr>
            <w:tcW w:w="1811" w:type="dxa"/>
            <w:vAlign w:val="center"/>
          </w:tcPr>
          <w:p w14:paraId="0E6C63CE">
            <w:pPr>
              <w:pStyle w:val="26"/>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开标现场要求</w:t>
            </w:r>
          </w:p>
        </w:tc>
        <w:tc>
          <w:tcPr>
            <w:tcW w:w="7375" w:type="dxa"/>
            <w:vAlign w:val="center"/>
          </w:tcPr>
          <w:p w14:paraId="30EE5BC3">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竞标人无需到开标现场，须准备制作加密电子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所使用的CA锁及笔记本电脑，笔记本电脑须提前配置好浏览器（建议使用360浏览器或谷歌浏览器），提前安装CA驱动，以便开标时解锁。</w:t>
            </w:r>
          </w:p>
        </w:tc>
      </w:tr>
      <w:tr w14:paraId="4B92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3" w:hRule="atLeast"/>
          <w:jc w:val="center"/>
        </w:trPr>
        <w:tc>
          <w:tcPr>
            <w:tcW w:w="712" w:type="dxa"/>
            <w:vAlign w:val="center"/>
          </w:tcPr>
          <w:p w14:paraId="0F2F5281">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w:t>
            </w:r>
            <w:r>
              <w:rPr>
                <w:rFonts w:hint="eastAsia" w:ascii="宋体" w:hAnsi="宋体" w:eastAsia="宋体" w:cs="宋体"/>
                <w:b w:val="0"/>
                <w:bCs w:val="0"/>
                <w:sz w:val="24"/>
                <w:szCs w:val="24"/>
                <w:highlight w:val="none"/>
                <w:lang w:val="en-US" w:eastAsia="zh-CN"/>
              </w:rPr>
              <w:t>3</w:t>
            </w:r>
          </w:p>
        </w:tc>
        <w:tc>
          <w:tcPr>
            <w:tcW w:w="1811" w:type="dxa"/>
            <w:vAlign w:val="center"/>
          </w:tcPr>
          <w:p w14:paraId="20BBFB02">
            <w:pPr>
              <w:pStyle w:val="26"/>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7375" w:type="dxa"/>
            <w:vAlign w:val="center"/>
          </w:tcPr>
          <w:p w14:paraId="52DCF8AD">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编制电子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可参考《政府采购项目电子交易管理操作指南-</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》，在政采云《帮助文档》下载；</w:t>
            </w:r>
          </w:p>
          <w:p w14:paraId="4180FBD2">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（2）开标时间到达后，开标主持人进行</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的解密操作。因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原因造成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未解密成功的，视为撤销其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之外的原因造成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未解密成功的，视为撤回其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。部分</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未解密成功的，其他</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的开标可以继续进行。</w:t>
            </w:r>
          </w:p>
          <w:p w14:paraId="591F5787">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（3）若递交</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家数少于三家或者开标后成功解密的家数少于三家的，将终止该标包的开标。</w:t>
            </w:r>
          </w:p>
          <w:p w14:paraId="3956DABB">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中需要分别对资格审查要求、符合性审查要求、开标一览表、</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逐一关联响应。</w:t>
            </w:r>
          </w:p>
          <w:p w14:paraId="1D1F9142">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（5）请</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提前自学线上开标流程；投标截止时间当天，线上开标环节，</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解密时长30分钟，请各</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请自带笔记本电脑及CA锁网上进行文件解密以及操作投标事项，请</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提前调试好在线参标电脑各项配置。</w:t>
            </w:r>
          </w:p>
          <w:p w14:paraId="0A3977FE">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中采购技术要求、技术需求等如有偏差，如有疑义请澄清中及时提出；否则视为充分理解</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各项要求。</w:t>
            </w:r>
          </w:p>
          <w:p w14:paraId="46C39DCF">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（7）本次采用政府采购云平台线上招标、投标，请各潜在</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及时办理CA锁和学习政府采购云平台线上投标相关知识。请在政府采购云平台登录后，进行下载</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。请各</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获取</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后及时关注云平台答疑文件获取栏目。具体相关事宜见政府采购云平台。本项目采用资格后审，请</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仔细阅读</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和各项要求，制作文件及相关资料过程中，若因</w:t>
            </w:r>
            <w:r>
              <w:rPr>
                <w:rFonts w:hint="eastAsia" w:ascii="宋体" w:hAnsi="宋体" w:eastAsia="宋体" w:cs="宋体"/>
                <w:sz w:val="24"/>
                <w:szCs w:val="22"/>
                <w:highlight w:val="none"/>
                <w:lang w:val="en-US" w:eastAsia="zh-CN"/>
              </w:rPr>
              <w:t>供应商</w:t>
            </w:r>
            <w:r>
              <w:rPr>
                <w:rFonts w:hint="eastAsia" w:ascii="宋体" w:hAnsi="宋体" w:eastAsia="宋体" w:cs="宋体"/>
                <w:sz w:val="24"/>
                <w:szCs w:val="24"/>
                <w:highlight w:val="none"/>
              </w:rPr>
              <w:t>资格条件不符、提供资料不全等原因导致</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予以退还，责任自负。</w:t>
            </w:r>
          </w:p>
        </w:tc>
      </w:tr>
      <w:tr w14:paraId="2CAD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3" w:hRule="atLeast"/>
          <w:jc w:val="center"/>
        </w:trPr>
        <w:tc>
          <w:tcPr>
            <w:tcW w:w="712" w:type="dxa"/>
            <w:vAlign w:val="center"/>
          </w:tcPr>
          <w:p w14:paraId="14708067">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w:t>
            </w:r>
          </w:p>
        </w:tc>
        <w:tc>
          <w:tcPr>
            <w:tcW w:w="1811" w:type="dxa"/>
            <w:vAlign w:val="center"/>
          </w:tcPr>
          <w:p w14:paraId="6B52846F">
            <w:pPr>
              <w:pStyle w:val="26"/>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备注</w:t>
            </w:r>
          </w:p>
        </w:tc>
        <w:tc>
          <w:tcPr>
            <w:tcW w:w="7375" w:type="dxa"/>
            <w:vAlign w:val="center"/>
          </w:tcPr>
          <w:p w14:paraId="7A2F2BF7">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备注一：</w:t>
            </w:r>
          </w:p>
          <w:p w14:paraId="739B0669">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中关于废标、无效标、投标被拒绝等字样的条款，为招标的实质性要求和条件，着重提醒各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注意，并认真查看公开</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中的每一个条款及要求，因误读公开</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而造成的后果，采购人概不负责。</w:t>
            </w:r>
          </w:p>
          <w:p w14:paraId="282177C7">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响应文件中有弄虚作假的内容，其响应文件作废。（如假证书、假业绩、隐瞒不良行为记录、夸大荣誉、使用非本单位在职员工的相关证件及不符合采购文件规定的条款等）；在签订合同之前，采购人如发现竞标人的响应文件有弄虚作假内容，采购人可拒绝与其签订合同。并将其列入政府采购黑名单库。</w:t>
            </w:r>
          </w:p>
          <w:p w14:paraId="5B2E1264">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备注二：</w:t>
            </w:r>
          </w:p>
          <w:p w14:paraId="12DDE5AC">
            <w:pPr>
              <w:pStyle w:val="27"/>
              <w:spacing w:before="21" w:line="360" w:lineRule="auto"/>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、中标单位在领取成交通知书前向</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rPr>
              <w:t>支付本项目的中标服务费。收费标准按国计价格[2002]1980号计取</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中标服务费详见采购人与</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lang w:val="en-US"/>
              </w:rPr>
              <w:t>订立的合同</w:t>
            </w:r>
            <w:r>
              <w:rPr>
                <w:rFonts w:hint="eastAsia" w:ascii="宋体" w:hAnsi="宋体" w:eastAsia="宋体" w:cs="宋体"/>
                <w:sz w:val="24"/>
                <w:szCs w:val="24"/>
                <w:highlight w:val="none"/>
              </w:rPr>
              <w:t>。</w:t>
            </w:r>
          </w:p>
          <w:p w14:paraId="541930DA">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2.场地费、评审专家劳务报酬由中标</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支付。评审专家劳务报酬计算方法及支付标准执行新财购〔2015〕26号文关于印发《新疆维吾尔自治区政府采购评审专家劳务报酬支付标准指导意见》的通知</w:t>
            </w:r>
          </w:p>
          <w:p w14:paraId="35147F18">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3、正常情况下，依据电子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进行评标;当停电或系统故障及不可抗力情况，该项目可根据情况另择时间进行开、评标。</w:t>
            </w:r>
          </w:p>
          <w:p w14:paraId="6710506F">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4、有下列情况之一的，该</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将被拒绝：</w:t>
            </w:r>
          </w:p>
          <w:p w14:paraId="346BE86C">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（1）使用非</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自有的政采云电子投标客户端编制电子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w:t>
            </w:r>
          </w:p>
          <w:p w14:paraId="34CF3574">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（2）政采云上传</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在开标现场均无法正常解锁；</w:t>
            </w:r>
          </w:p>
          <w:p w14:paraId="6CD13781">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自身原因导致电子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无法正常进入电子评标环节的其他情况；</w:t>
            </w:r>
          </w:p>
        </w:tc>
      </w:tr>
      <w:tr w14:paraId="2210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5" w:hRule="atLeast"/>
          <w:jc w:val="center"/>
        </w:trPr>
        <w:tc>
          <w:tcPr>
            <w:tcW w:w="712" w:type="dxa"/>
            <w:vAlign w:val="center"/>
          </w:tcPr>
          <w:p w14:paraId="674F7D27">
            <w:pPr>
              <w:keepNext w:val="0"/>
              <w:keepLines w:val="0"/>
              <w:pageBreakBefore w:val="0"/>
              <w:widowControl w:val="0"/>
              <w:kinsoku/>
              <w:wordWrap/>
              <w:overflowPunct/>
              <w:topLinePunct w:val="0"/>
              <w:autoSpaceDE w:val="0"/>
              <w:autoSpaceDN w:val="0"/>
              <w:bidi w:val="0"/>
              <w:snapToGrid/>
              <w:spacing w:line="360" w:lineRule="auto"/>
              <w:jc w:val="center"/>
              <w:textAlignment w:val="bottom"/>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35</w:t>
            </w:r>
          </w:p>
        </w:tc>
        <w:tc>
          <w:tcPr>
            <w:tcW w:w="1811" w:type="dxa"/>
            <w:vAlign w:val="center"/>
          </w:tcPr>
          <w:p w14:paraId="11F084C8">
            <w:pPr>
              <w:pStyle w:val="26"/>
              <w:keepNext w:val="0"/>
              <w:keepLines w:val="0"/>
              <w:pageBreakBefore w:val="0"/>
              <w:widowControl w:val="0"/>
              <w:kinsoku/>
              <w:wordWrap/>
              <w:overflowPunct/>
              <w:topLinePunct w:val="0"/>
              <w:bidi w:val="0"/>
              <w:snapToGrid/>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低于成本价不正当竞争预防措施</w:t>
            </w:r>
          </w:p>
        </w:tc>
        <w:tc>
          <w:tcPr>
            <w:tcW w:w="7375" w:type="dxa"/>
            <w:vAlign w:val="center"/>
          </w:tcPr>
          <w:p w14:paraId="1572DB78">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评标过程中，供应商报价明显低于成本价的，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类型予以区别）、税金及附加、销售费用、管理费用、财务费用等成本构成事项详细陈述。</w:t>
            </w:r>
          </w:p>
          <w:p w14:paraId="599D8F4B">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供应商书面说明应当签字确认并且加盖公章，否则无效。书面说明的签字确认，应由其法定代表人或者代理人签字确认。</w:t>
            </w:r>
          </w:p>
          <w:p w14:paraId="143B092B">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书面说明后，评标委员会应当结合招标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7237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9898" w:type="dxa"/>
            <w:gridSpan w:val="3"/>
            <w:vAlign w:val="center"/>
          </w:tcPr>
          <w:p w14:paraId="0ECC48F2">
            <w:pPr>
              <w:pStyle w:val="26"/>
              <w:keepNext w:val="0"/>
              <w:keepLines w:val="0"/>
              <w:pageBreakBefore w:val="0"/>
              <w:widowControl w:val="0"/>
              <w:kinsoku/>
              <w:wordWrap/>
              <w:overflowPunct/>
              <w:topLinePunct w:val="0"/>
              <w:bidi w:val="0"/>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承担所有相关责任的同时不得耽误本项目供货。</w:t>
            </w:r>
          </w:p>
        </w:tc>
      </w:tr>
    </w:tbl>
    <w:p w14:paraId="354CE533">
      <w:pPr>
        <w:pStyle w:val="26"/>
        <w:rPr>
          <w:rFonts w:hint="eastAsia" w:ascii="宋体" w:hAnsi="宋体" w:eastAsia="宋体" w:cs="宋体"/>
          <w:sz w:val="24"/>
          <w:szCs w:val="21"/>
          <w:highlight w:val="none"/>
        </w:rPr>
      </w:pPr>
      <w:r>
        <w:rPr>
          <w:rFonts w:hint="eastAsia" w:ascii="宋体" w:hAnsi="宋体" w:eastAsia="宋体" w:cs="宋体"/>
          <w:sz w:val="24"/>
          <w:szCs w:val="21"/>
          <w:highlight w:val="none"/>
        </w:rPr>
        <w:t>注：1.本表内容与</w:t>
      </w:r>
      <w:r>
        <w:rPr>
          <w:rFonts w:hint="eastAsia" w:ascii="宋体" w:hAnsi="宋体" w:eastAsia="宋体" w:cs="宋体"/>
          <w:sz w:val="24"/>
          <w:szCs w:val="21"/>
          <w:highlight w:val="none"/>
          <w:lang w:eastAsia="zh-CN"/>
        </w:rPr>
        <w:t>采购文件</w:t>
      </w:r>
      <w:r>
        <w:rPr>
          <w:rFonts w:hint="eastAsia" w:ascii="宋体" w:hAnsi="宋体" w:eastAsia="宋体" w:cs="宋体"/>
          <w:sz w:val="24"/>
          <w:szCs w:val="21"/>
          <w:highlight w:val="none"/>
        </w:rPr>
        <w:t>其它内容不一致的，应当以本表内容为准。</w:t>
      </w:r>
    </w:p>
    <w:p w14:paraId="65901507">
      <w:pPr>
        <w:pStyle w:val="26"/>
        <w:rPr>
          <w:rFonts w:hint="eastAsia" w:ascii="宋体" w:hAnsi="宋体" w:eastAsia="宋体" w:cs="宋体"/>
          <w:b/>
          <w:sz w:val="36"/>
          <w:szCs w:val="21"/>
          <w:highlight w:val="none"/>
        </w:rPr>
      </w:pPr>
      <w:r>
        <w:rPr>
          <w:rFonts w:hint="eastAsia" w:ascii="宋体" w:hAnsi="宋体" w:eastAsia="宋体" w:cs="宋体"/>
          <w:sz w:val="24"/>
          <w:szCs w:val="21"/>
          <w:highlight w:val="none"/>
        </w:rPr>
        <w:t>2.本表中“</w:t>
      </w:r>
      <w:r>
        <w:rPr>
          <w:rFonts w:hint="eastAsia" w:ascii="宋体" w:hAnsi="宋体" w:eastAsia="宋体" w:cs="宋体"/>
          <w:sz w:val="24"/>
          <w:szCs w:val="21"/>
          <w:highlight w:val="none"/>
        </w:rPr>
        <w:sym w:font="Wingdings" w:char="00FE"/>
      </w:r>
      <w:r>
        <w:rPr>
          <w:rFonts w:hint="eastAsia" w:ascii="宋体" w:hAnsi="宋体" w:eastAsia="宋体" w:cs="宋体"/>
          <w:sz w:val="24"/>
          <w:szCs w:val="21"/>
          <w:highlight w:val="none"/>
        </w:rPr>
        <w:t>”标示选择使用该项，“□”标示不选择使用该项。</w:t>
      </w:r>
    </w:p>
    <w:p w14:paraId="61919428">
      <w:pPr>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p>
    <w:p w14:paraId="1CC7C583">
      <w:pPr>
        <w:keepNext w:val="0"/>
        <w:keepLines w:val="0"/>
        <w:pageBreakBefore w:val="0"/>
        <w:widowControl w:val="0"/>
        <w:kinsoku/>
        <w:wordWrap/>
        <w:overflowPunct/>
        <w:topLinePunct w:val="0"/>
        <w:autoSpaceDE/>
        <w:autoSpaceDN/>
        <w:bidi w:val="0"/>
        <w:adjustRightInd w:val="0"/>
        <w:snapToGrid w:val="0"/>
        <w:jc w:val="center"/>
        <w:textAlignment w:val="baseline"/>
        <w:outlineLvl w:val="0"/>
        <w:rPr>
          <w:rFonts w:hint="eastAsia" w:ascii="宋体" w:hAnsi="宋体" w:eastAsia="宋体" w:cs="宋体"/>
          <w:b/>
          <w:sz w:val="36"/>
          <w:szCs w:val="20"/>
          <w:highlight w:val="none"/>
        </w:rPr>
      </w:pPr>
      <w:bookmarkStart w:id="7" w:name="_Toc16775"/>
      <w:r>
        <w:rPr>
          <w:rFonts w:hint="eastAsia" w:ascii="宋体" w:hAnsi="宋体" w:eastAsia="宋体" w:cs="宋体"/>
          <w:b/>
          <w:sz w:val="36"/>
          <w:szCs w:val="20"/>
          <w:highlight w:val="none"/>
        </w:rPr>
        <w:t xml:space="preserve">第三部分  </w:t>
      </w:r>
      <w:r>
        <w:rPr>
          <w:rFonts w:hint="eastAsia" w:ascii="宋体" w:hAnsi="宋体" w:eastAsia="宋体" w:cs="宋体"/>
          <w:b/>
          <w:sz w:val="36"/>
          <w:szCs w:val="20"/>
          <w:highlight w:val="none"/>
          <w:lang w:val="en-US" w:eastAsia="zh-CN"/>
        </w:rPr>
        <w:t>磋商</w:t>
      </w:r>
      <w:r>
        <w:rPr>
          <w:rFonts w:hint="eastAsia" w:ascii="宋体" w:hAnsi="宋体" w:eastAsia="宋体" w:cs="宋体"/>
          <w:b/>
          <w:sz w:val="36"/>
          <w:szCs w:val="20"/>
          <w:highlight w:val="none"/>
        </w:rPr>
        <w:t>须知</w:t>
      </w:r>
      <w:bookmarkEnd w:id="4"/>
      <w:bookmarkEnd w:id="5"/>
      <w:bookmarkEnd w:id="6"/>
      <w:bookmarkEnd w:id="7"/>
      <w:bookmarkStart w:id="8" w:name="_Toc98641130"/>
      <w:bookmarkStart w:id="9" w:name="_Toc86202582"/>
      <w:bookmarkStart w:id="10" w:name="_Toc171913668"/>
      <w:bookmarkStart w:id="11" w:name="_Toc171913594"/>
    </w:p>
    <w:bookmarkEnd w:id="8"/>
    <w:bookmarkEnd w:id="9"/>
    <w:bookmarkEnd w:id="10"/>
    <w:bookmarkEnd w:id="11"/>
    <w:p w14:paraId="33AE2C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bookmarkStart w:id="12" w:name="_Toc171913679"/>
      <w:bookmarkStart w:id="13" w:name="_Toc98641140"/>
      <w:bookmarkStart w:id="14" w:name="_Toc171913604"/>
      <w:r>
        <w:rPr>
          <w:rFonts w:hint="eastAsia" w:ascii="宋体" w:hAnsi="宋体" w:eastAsia="宋体" w:cs="宋体"/>
          <w:b/>
          <w:bCs/>
          <w:color w:val="auto"/>
          <w:sz w:val="24"/>
          <w:szCs w:val="24"/>
          <w:highlight w:val="none"/>
        </w:rPr>
        <w:t>1、总则</w:t>
      </w:r>
    </w:p>
    <w:p w14:paraId="67E0E71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项目概况</w:t>
      </w:r>
    </w:p>
    <w:p w14:paraId="2C2097D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项目名称：</w:t>
      </w:r>
      <w:r>
        <w:rPr>
          <w:rFonts w:hint="eastAsia" w:ascii="宋体" w:hAnsi="宋体" w:cs="宋体"/>
          <w:b w:val="0"/>
          <w:bCs w:val="0"/>
          <w:color w:val="auto"/>
          <w:sz w:val="24"/>
          <w:szCs w:val="24"/>
          <w:highlight w:val="none"/>
          <w:lang w:eastAsia="zh-CN"/>
        </w:rPr>
        <w:t>若羌南部矿区羌河三区110千伏输变电工程（监理）二次</w:t>
      </w:r>
    </w:p>
    <w:p w14:paraId="3C593A3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yellow"/>
        </w:rPr>
        <w:t>预算金额：</w:t>
      </w:r>
      <w:r>
        <w:rPr>
          <w:rFonts w:hint="eastAsia" w:ascii="宋体" w:hAnsi="宋体" w:cs="宋体"/>
          <w:sz w:val="24"/>
          <w:szCs w:val="22"/>
          <w:highlight w:val="yellow"/>
          <w:lang w:val="en-US" w:eastAsia="zh-CN"/>
        </w:rPr>
        <w:t>80.00万元</w:t>
      </w:r>
    </w:p>
    <w:p w14:paraId="60359CA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3采购范围和内容：</w:t>
      </w:r>
      <w:r>
        <w:rPr>
          <w:rFonts w:hint="eastAsia" w:ascii="宋体" w:hAnsi="宋体" w:cs="宋体"/>
          <w:sz w:val="24"/>
          <w:szCs w:val="22"/>
          <w:highlight w:val="none"/>
          <w:lang w:eastAsia="zh-CN"/>
        </w:rPr>
        <w:t>若羌南部矿区羌河三区110千伏输变电工程</w:t>
      </w:r>
      <w:r>
        <w:rPr>
          <w:rFonts w:hint="eastAsia" w:ascii="宋体" w:hAnsi="宋体" w:eastAsia="宋体" w:cs="宋体"/>
          <w:sz w:val="24"/>
          <w:szCs w:val="22"/>
          <w:highlight w:val="none"/>
        </w:rPr>
        <w:t>全过程监理</w:t>
      </w:r>
      <w:r>
        <w:rPr>
          <w:rFonts w:hint="eastAsia" w:ascii="宋体" w:hAnsi="宋体" w:eastAsia="宋体" w:cs="宋体"/>
          <w:sz w:val="24"/>
          <w:szCs w:val="22"/>
          <w:highlight w:val="none"/>
          <w:lang w:eastAsia="zh-CN"/>
        </w:rPr>
        <w:t>。</w:t>
      </w:r>
    </w:p>
    <w:p w14:paraId="6F4A296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4服务周期：</w:t>
      </w:r>
      <w:r>
        <w:rPr>
          <w:rFonts w:hint="eastAsia" w:ascii="宋体" w:hAnsi="宋体" w:cs="宋体"/>
          <w:b w:val="0"/>
          <w:bCs w:val="0"/>
          <w:color w:val="auto"/>
          <w:sz w:val="24"/>
          <w:szCs w:val="24"/>
          <w:highlight w:val="none"/>
          <w:lang w:val="en-US" w:eastAsia="zh-CN"/>
        </w:rPr>
        <w:t>随施工工期开始，至工程竣工完毕，并出具最终监理报告日终结。(具体以合同约定为准）</w:t>
      </w:r>
    </w:p>
    <w:p w14:paraId="4F7E361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 定义</w:t>
      </w:r>
    </w:p>
    <w:p w14:paraId="3C13202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“采购代理人”系指组织本次竞争性磋商采购活动的代理机构。</w:t>
      </w:r>
    </w:p>
    <w:p w14:paraId="27B526A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“采购方”系指</w:t>
      </w:r>
      <w:r>
        <w:rPr>
          <w:rFonts w:hint="eastAsia" w:ascii="宋体" w:hAnsi="宋体" w:cs="宋体"/>
          <w:b/>
          <w:bCs/>
          <w:color w:val="auto"/>
          <w:sz w:val="24"/>
          <w:szCs w:val="24"/>
          <w:highlight w:val="none"/>
          <w:lang w:eastAsia="zh-CN"/>
        </w:rPr>
        <w:t>若羌县发展和改革委员会</w:t>
      </w:r>
      <w:r>
        <w:rPr>
          <w:rFonts w:hint="eastAsia" w:ascii="宋体" w:hAnsi="宋体" w:eastAsia="宋体" w:cs="宋体"/>
          <w:color w:val="auto"/>
          <w:sz w:val="24"/>
          <w:szCs w:val="24"/>
          <w:highlight w:val="none"/>
        </w:rPr>
        <w:t>。</w:t>
      </w:r>
    </w:p>
    <w:p w14:paraId="689DA7E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“供应商”系指已获取了本磋商文件的供应商。</w:t>
      </w:r>
    </w:p>
    <w:p w14:paraId="33C039F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“磋商供应商”系指已获取了本磋商文件，且已经提交本次磋商响应文件的供应商。</w:t>
      </w:r>
    </w:p>
    <w:p w14:paraId="6C05703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“服务”系指磋商文件规定磋商供应商须承担的</w:t>
      </w:r>
      <w:r>
        <w:rPr>
          <w:rFonts w:hint="eastAsia" w:ascii="宋体" w:hAnsi="宋体" w:eastAsia="宋体" w:cs="宋体"/>
          <w:color w:val="auto"/>
          <w:sz w:val="24"/>
          <w:szCs w:val="24"/>
          <w:highlight w:val="none"/>
          <w:lang w:val="en-US" w:eastAsia="zh-CN"/>
        </w:rPr>
        <w:t>监理</w:t>
      </w:r>
      <w:r>
        <w:rPr>
          <w:rFonts w:hint="eastAsia" w:ascii="宋体" w:hAnsi="宋体" w:eastAsia="宋体" w:cs="宋体"/>
          <w:color w:val="auto"/>
          <w:sz w:val="24"/>
          <w:szCs w:val="24"/>
          <w:highlight w:val="none"/>
        </w:rPr>
        <w:t>工作的义务。</w:t>
      </w:r>
    </w:p>
    <w:p w14:paraId="6771F78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1.3. 供应商的资格要求</w:t>
      </w:r>
    </w:p>
    <w:p w14:paraId="11A25AE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1.3.1符合第二章磋商供应商须知前附表中资格要求中的各条要求。</w:t>
      </w:r>
    </w:p>
    <w:p w14:paraId="6FFA99D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磋商供应商应遵守中国的有关法律、法规和规章的规定。</w:t>
      </w:r>
    </w:p>
    <w:p w14:paraId="348441D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一个磋商供应商只能提交一个响应文件。但如果磋商供应商之间存在下列互为关联关系的情形之一的，不得同时参加本项目磋商：</w:t>
      </w:r>
    </w:p>
    <w:p w14:paraId="2251AACB">
      <w:pPr>
        <w:keepNext w:val="0"/>
        <w:keepLines w:val="0"/>
        <w:pageBreakBefore w:val="0"/>
        <w:kinsoku/>
        <w:wordWrap/>
        <w:overflowPunct/>
        <w:topLinePunct w:val="0"/>
        <w:autoSpaceDE/>
        <w:autoSpaceDN/>
        <w:bidi w:val="0"/>
        <w:adjustRightInd w:val="0"/>
        <w:snapToGrid w:val="0"/>
        <w:spacing w:line="360" w:lineRule="auto"/>
        <w:ind w:firstLine="120" w:firstLineChars="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（1）法定代表人为同一人的两个及两个以上法人；</w:t>
      </w:r>
    </w:p>
    <w:p w14:paraId="5AA4DEFC">
      <w:pPr>
        <w:keepNext w:val="0"/>
        <w:keepLines w:val="0"/>
        <w:pageBreakBefore w:val="0"/>
        <w:kinsoku/>
        <w:wordWrap/>
        <w:overflowPunct/>
        <w:topLinePunct w:val="0"/>
        <w:autoSpaceDE/>
        <w:autoSpaceDN/>
        <w:bidi w:val="0"/>
        <w:adjustRightInd w:val="0"/>
        <w:snapToGrid w:val="0"/>
        <w:spacing w:line="360" w:lineRule="auto"/>
        <w:ind w:firstLine="120" w:firstLineChars="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（2）母公司、直接或间接持股50％及以上的被投资公司；</w:t>
      </w:r>
    </w:p>
    <w:p w14:paraId="6916F391">
      <w:pPr>
        <w:keepNext w:val="0"/>
        <w:keepLines w:val="0"/>
        <w:pageBreakBefore w:val="0"/>
        <w:kinsoku/>
        <w:wordWrap/>
        <w:overflowPunct/>
        <w:topLinePunct w:val="0"/>
        <w:autoSpaceDE/>
        <w:autoSpaceDN/>
        <w:bidi w:val="0"/>
        <w:adjustRightInd w:val="0"/>
        <w:snapToGrid w:val="0"/>
        <w:spacing w:line="360" w:lineRule="auto"/>
        <w:ind w:firstLine="120" w:firstLineChars="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（3）均为同一家母公司直接或间接持股50％及以上的被投资公司。</w:t>
      </w:r>
    </w:p>
    <w:p w14:paraId="35ED6C5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为采购项目提供整体设计、规范编制或者项目管理、监理、检测等服务的供应商，不得再参加该采购项目的其他采购活动 </w:t>
      </w:r>
    </w:p>
    <w:p w14:paraId="4096062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1.4联合体</w:t>
      </w:r>
    </w:p>
    <w:p w14:paraId="76E38A9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本项目不接受联合体投标。</w:t>
      </w:r>
    </w:p>
    <w:p w14:paraId="72ECBEF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1.5. </w:t>
      </w:r>
      <w:r>
        <w:rPr>
          <w:rFonts w:hint="eastAsia" w:ascii="宋体" w:hAnsi="宋体" w:eastAsia="宋体" w:cs="宋体"/>
          <w:b/>
          <w:color w:val="auto"/>
          <w:kern w:val="0"/>
          <w:sz w:val="24"/>
          <w:szCs w:val="24"/>
          <w:highlight w:val="none"/>
        </w:rPr>
        <w:t>竞争</w:t>
      </w:r>
      <w:r>
        <w:rPr>
          <w:rFonts w:hint="eastAsia" w:ascii="宋体" w:hAnsi="宋体" w:eastAsia="宋体" w:cs="宋体"/>
          <w:b/>
          <w:bCs/>
          <w:color w:val="auto"/>
          <w:sz w:val="24"/>
          <w:szCs w:val="24"/>
          <w:highlight w:val="none"/>
        </w:rPr>
        <w:t>磋商费用</w:t>
      </w:r>
    </w:p>
    <w:p w14:paraId="38354AD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1.5.1 无论投标结果如何，凡参与招标、投标活动有关的所有费用将由供应商自行承担。</w:t>
      </w:r>
    </w:p>
    <w:p w14:paraId="160A1E0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bookmarkStart w:id="15" w:name="_Toc179632556"/>
      <w:bookmarkStart w:id="16" w:name="_Toc152045539"/>
      <w:bookmarkStart w:id="17" w:name="_Toc152042315"/>
      <w:bookmarkStart w:id="18" w:name="_Toc144974507"/>
      <w:r>
        <w:rPr>
          <w:rFonts w:hint="eastAsia" w:ascii="宋体" w:hAnsi="宋体" w:eastAsia="宋体" w:cs="宋体"/>
          <w:b/>
          <w:bCs/>
          <w:color w:val="auto"/>
          <w:sz w:val="24"/>
          <w:szCs w:val="24"/>
          <w:highlight w:val="none"/>
        </w:rPr>
        <w:t>1.6 踏勘现场</w:t>
      </w:r>
      <w:bookmarkEnd w:id="15"/>
      <w:bookmarkEnd w:id="16"/>
      <w:bookmarkEnd w:id="17"/>
      <w:bookmarkEnd w:id="18"/>
      <w:r>
        <w:rPr>
          <w:rFonts w:hint="eastAsia" w:ascii="宋体" w:hAnsi="宋体" w:eastAsia="宋体" w:cs="宋体"/>
          <w:b/>
          <w:bCs/>
          <w:color w:val="auto"/>
          <w:sz w:val="24"/>
          <w:szCs w:val="24"/>
          <w:highlight w:val="none"/>
        </w:rPr>
        <w:t>磋商前答疑会</w:t>
      </w:r>
    </w:p>
    <w:p w14:paraId="48970C1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1.6.1采购人、采购代理机构可以视采购项目的具体情况，组织供应商进行现场考察或召开磋商前答疑会，但不得单独或分别组织只有一个供应商参加的现场考察和答疑会。</w:t>
      </w:r>
    </w:p>
    <w:p w14:paraId="7E2F322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1.6.2磋商须知前附表规定组织踏勘现场的，采购人应按磋商须知前附表规定的时间、地点组织供应商踏勘项目现场。 </w:t>
      </w:r>
    </w:p>
    <w:p w14:paraId="0150757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1.6.3 供应商踏勘现场发生的费用自理。</w:t>
      </w:r>
    </w:p>
    <w:p w14:paraId="0EE6AF6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1.6.4 除采购人的原因外，供应商自行负责在踏勘现场中所发生的人员伤亡和财产损失。</w:t>
      </w:r>
    </w:p>
    <w:p w14:paraId="7A4B4F8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1.6.5采购人在踏勘现场中介绍的项目情况，供供应商在编制响应文件时参考，采购人不对供应商据此作出的判断和决策负责。</w:t>
      </w:r>
    </w:p>
    <w:p w14:paraId="3C31EFFF">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1.6.6 磋商须知前附表规定召开磋商前答疑会的，采购人按磋商须知前附表规定的时间和地点召开磋商前答疑会，澄清供应商提出的问题。</w:t>
      </w:r>
    </w:p>
    <w:p w14:paraId="2BA3AD57">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1.6.7本采购项目采购人、采购代理机构不组织供应商进行现场考察或召开磋商前答疑会。供应商应在磋商须知前附表规定的时间前，以书面形式将提出的问题送达采购人，采购人或采购代理机构在磋商人须知前附表规定的时间内，将对供应商所提问题的进行澄清，以书面方式在规定的发布渠道通知所有购买磋商文件的供应商。该澄清内容为磋商文件的组成</w:t>
      </w:r>
      <w:r>
        <w:rPr>
          <w:rFonts w:hint="eastAsia" w:ascii="宋体" w:hAnsi="宋体" w:eastAsia="宋体" w:cs="宋体"/>
          <w:bCs/>
          <w:color w:val="auto"/>
          <w:sz w:val="24"/>
          <w:szCs w:val="24"/>
          <w:highlight w:val="none"/>
          <w:lang w:val="en-US" w:eastAsia="zh-CN"/>
        </w:rPr>
        <w:t>部</w:t>
      </w:r>
      <w:r>
        <w:rPr>
          <w:rFonts w:hint="eastAsia" w:ascii="宋体" w:hAnsi="宋体" w:eastAsia="宋体" w:cs="宋体"/>
          <w:bCs/>
          <w:color w:val="auto"/>
          <w:sz w:val="24"/>
          <w:szCs w:val="24"/>
          <w:highlight w:val="none"/>
        </w:rPr>
        <w:t>分。</w:t>
      </w:r>
    </w:p>
    <w:p w14:paraId="6F2D2E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2、磋商文件</w:t>
      </w:r>
    </w:p>
    <w:p w14:paraId="1A0012D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2.1. 磋商文件的组成</w:t>
      </w:r>
    </w:p>
    <w:p w14:paraId="2C1E923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2.1.1磋商文件用以阐明所需服务、磋商程序和合同主要条款。磋商文件由下述部分组成：</w:t>
      </w:r>
    </w:p>
    <w:p w14:paraId="6812A380">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（一）竞争性磋商公告； </w:t>
      </w:r>
    </w:p>
    <w:p w14:paraId="7039D3E5">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rPr>
        <w:t>（二）</w:t>
      </w:r>
      <w:r>
        <w:rPr>
          <w:rFonts w:hint="eastAsia" w:ascii="宋体" w:hAnsi="宋体" w:eastAsia="宋体" w:cs="宋体"/>
          <w:color w:val="auto"/>
          <w:kern w:val="0"/>
          <w:sz w:val="24"/>
          <w:szCs w:val="24"/>
          <w:highlight w:val="none"/>
          <w:u w:val="none"/>
          <w:lang w:val="en-US" w:eastAsia="zh-CN"/>
        </w:rPr>
        <w:t>磋商</w:t>
      </w:r>
      <w:r>
        <w:rPr>
          <w:rFonts w:hint="eastAsia" w:ascii="宋体" w:hAnsi="宋体" w:eastAsia="宋体" w:cs="宋体"/>
          <w:color w:val="auto"/>
          <w:kern w:val="0"/>
          <w:sz w:val="24"/>
          <w:szCs w:val="24"/>
          <w:highlight w:val="none"/>
          <w:u w:val="none"/>
        </w:rPr>
        <w:t>须知</w:t>
      </w:r>
      <w:r>
        <w:rPr>
          <w:rFonts w:hint="eastAsia" w:ascii="宋体" w:hAnsi="宋体" w:eastAsia="宋体" w:cs="宋体"/>
          <w:color w:val="auto"/>
          <w:kern w:val="0"/>
          <w:sz w:val="24"/>
          <w:szCs w:val="24"/>
          <w:highlight w:val="none"/>
          <w:u w:val="none"/>
          <w:lang w:val="en-US" w:eastAsia="zh-CN"/>
        </w:rPr>
        <w:t>前附表</w:t>
      </w:r>
      <w:r>
        <w:rPr>
          <w:rFonts w:hint="eastAsia" w:ascii="宋体" w:hAnsi="宋体" w:eastAsia="宋体" w:cs="宋体"/>
          <w:color w:val="auto"/>
          <w:kern w:val="0"/>
          <w:sz w:val="24"/>
          <w:szCs w:val="24"/>
          <w:highlight w:val="none"/>
          <w:u w:val="none"/>
        </w:rPr>
        <w:t xml:space="preserve">； </w:t>
      </w:r>
    </w:p>
    <w:p w14:paraId="14BF376C">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u w:val="none"/>
          <w:lang w:val="en-US" w:eastAsia="zh-CN"/>
        </w:rPr>
        <w:t>磋商</w:t>
      </w:r>
      <w:r>
        <w:rPr>
          <w:rFonts w:hint="eastAsia" w:ascii="宋体" w:hAnsi="宋体" w:eastAsia="宋体" w:cs="宋体"/>
          <w:color w:val="auto"/>
          <w:kern w:val="0"/>
          <w:sz w:val="24"/>
          <w:szCs w:val="24"/>
          <w:highlight w:val="none"/>
          <w:lang w:val="en-US" w:eastAsia="zh-CN"/>
        </w:rPr>
        <w:t>须知；</w:t>
      </w:r>
    </w:p>
    <w:p w14:paraId="1E2C2716">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（四）</w:t>
      </w:r>
      <w:r>
        <w:rPr>
          <w:rFonts w:hint="eastAsia" w:ascii="宋体" w:hAnsi="宋体" w:eastAsia="宋体" w:cs="宋体"/>
          <w:color w:val="auto"/>
          <w:kern w:val="0"/>
          <w:sz w:val="24"/>
          <w:szCs w:val="24"/>
          <w:highlight w:val="none"/>
          <w:lang w:val="en-US" w:eastAsia="zh-CN"/>
        </w:rPr>
        <w:t>评审细则与方法；</w:t>
      </w:r>
    </w:p>
    <w:p w14:paraId="53998734">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合同；</w:t>
      </w:r>
    </w:p>
    <w:p w14:paraId="77C7B50F">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（六）响应文件响应格式；</w:t>
      </w:r>
    </w:p>
    <w:p w14:paraId="54E8AF5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bookmarkStart w:id="19" w:name="_Toc430488644"/>
      <w:bookmarkStart w:id="20" w:name="_Toc430422413"/>
      <w:bookmarkStart w:id="21" w:name="_Toc415567497"/>
      <w:bookmarkStart w:id="22" w:name="_Toc430490612"/>
      <w:bookmarkStart w:id="23" w:name="_Toc430488851"/>
      <w:bookmarkStart w:id="24" w:name="_Toc430489119"/>
      <w:bookmarkStart w:id="25" w:name="_Toc430492126"/>
      <w:r>
        <w:rPr>
          <w:rFonts w:hint="eastAsia" w:ascii="宋体" w:hAnsi="宋体" w:eastAsia="宋体" w:cs="宋体"/>
          <w:b/>
          <w:bCs/>
          <w:color w:val="auto"/>
          <w:sz w:val="24"/>
          <w:szCs w:val="24"/>
          <w:highlight w:val="none"/>
        </w:rPr>
        <w:t>2.2.</w:t>
      </w:r>
      <w:bookmarkEnd w:id="19"/>
      <w:bookmarkEnd w:id="20"/>
      <w:bookmarkEnd w:id="21"/>
      <w:bookmarkEnd w:id="22"/>
      <w:bookmarkEnd w:id="23"/>
      <w:bookmarkEnd w:id="24"/>
      <w:bookmarkEnd w:id="25"/>
      <w:r>
        <w:rPr>
          <w:rFonts w:hint="eastAsia" w:ascii="宋体" w:hAnsi="宋体" w:eastAsia="宋体" w:cs="宋体"/>
          <w:b/>
          <w:bCs/>
          <w:color w:val="auto"/>
          <w:sz w:val="24"/>
          <w:szCs w:val="24"/>
          <w:highlight w:val="none"/>
        </w:rPr>
        <w:t xml:space="preserve"> 供应商要求磋商文件的澄清</w:t>
      </w:r>
    </w:p>
    <w:p w14:paraId="73F9E4D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供应商对磋商文件中存有疑问或表述不清晰、缺页、漏页、损页等，可要求采购人（或代理机构）澄清或补齐。要求澄清的函应按磋商文件中载明的地址以书面形式（包括电子邮件或传真等，下同）通知采购人（或代理机构）。采购方（或代理机构）将收到书面函的3个工作日内组织澄清或补齐，将不标明查询来源的答复以供应商认可的形式送达所有已获取磋商文件的磋商供应商，该澄清内容为磋商文件的组成部分。</w:t>
      </w:r>
    </w:p>
    <w:p w14:paraId="078421DD">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该修改内容为磋商文件的组成部分，对磋商供应商具有约束力。</w:t>
      </w:r>
    </w:p>
    <w:p w14:paraId="268F09E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为使磋商供应商在准备磋商响应文件时有合理的时间考虑响应文件的编制或修改，采购人（或代理机构）可酌情推迟磋商时间，但应当至少在磋商时间前三个工作日前将变更时间以供应商认可的形式通知所有磋商供应商。该修改内容为磋商文件的组成部分。在此情况下，采购方和磋商供应商受磋商时间制约的所有权利和义务均应延长至新的磋商时间。</w:t>
      </w:r>
    </w:p>
    <w:p w14:paraId="350B017F">
      <w:pPr>
        <w:pStyle w:val="8"/>
        <w:keepNext w:val="0"/>
        <w:keepLines w:val="0"/>
        <w:pageBreakBefore w:val="0"/>
        <w:tabs>
          <w:tab w:val="left" w:pos="1000"/>
        </w:tabs>
        <w:kinsoku/>
        <w:wordWrap/>
        <w:overflowPunct/>
        <w:topLinePunct w:val="0"/>
        <w:autoSpaceDE/>
        <w:autoSpaceDN/>
        <w:bidi w:val="0"/>
        <w:adjustRightInd w:val="0"/>
        <w:snapToGrid w:val="0"/>
        <w:spacing w:line="360" w:lineRule="auto"/>
        <w:ind w:firstLine="0"/>
        <w:textAlignment w:val="baseline"/>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2.4. </w:t>
      </w:r>
      <w:r>
        <w:rPr>
          <w:rFonts w:hint="eastAsia" w:ascii="宋体" w:hAnsi="宋体" w:eastAsia="宋体" w:cs="宋体"/>
          <w:b/>
          <w:color w:val="auto"/>
          <w:sz w:val="24"/>
          <w:szCs w:val="24"/>
          <w:highlight w:val="none"/>
        </w:rPr>
        <w:t>澄清、补充或修改发布的渠道</w:t>
      </w:r>
    </w:p>
    <w:p w14:paraId="0DE6240F">
      <w:pPr>
        <w:pStyle w:val="8"/>
        <w:keepNext w:val="0"/>
        <w:keepLines w:val="0"/>
        <w:pageBreakBefore w:val="0"/>
        <w:tabs>
          <w:tab w:val="left" w:pos="1000"/>
        </w:tabs>
        <w:kinsoku/>
        <w:wordWrap/>
        <w:overflowPunct/>
        <w:topLinePunct w:val="0"/>
        <w:autoSpaceDE/>
        <w:autoSpaceDN/>
        <w:bidi w:val="0"/>
        <w:adjustRightInd w:val="0"/>
        <w:snapToGrid w:val="0"/>
        <w:spacing w:line="360" w:lineRule="auto"/>
        <w:ind w:firstLine="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采购人在磋商须知前附表中标明了澄清、补充或修改磋商文件发布的渠道，供应商应自行留意采购人发出的澄清、修改或补充以及一种有关的文本文件，并及时按采购人在磋商须知前附表中标明澄清、补充或修改通知发布的渠道获取相应的文本文件，无须回签确认收到的函。供应商未按规定时间、网站下载本澄清、补充或修改磋商文件（包括磋商时间、地点的变更等）通知的，视同已收到。</w:t>
      </w:r>
    </w:p>
    <w:p w14:paraId="481DAA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3、响应文件</w:t>
      </w:r>
    </w:p>
    <w:p w14:paraId="30A3A13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3.1. </w:t>
      </w:r>
      <w:r>
        <w:rPr>
          <w:rFonts w:hint="eastAsia" w:ascii="宋体" w:hAnsi="宋体" w:eastAsia="宋体" w:cs="宋体"/>
          <w:b/>
          <w:bCs/>
          <w:color w:val="auto"/>
          <w:kern w:val="0"/>
          <w:sz w:val="24"/>
          <w:szCs w:val="24"/>
          <w:highlight w:val="none"/>
        </w:rPr>
        <w:t>响应文件的组成</w:t>
      </w:r>
    </w:p>
    <w:p w14:paraId="333BB75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3.1.1磋商供应商应当按照磋商文件的要求编制磋商响应文件。响应文件应对磋商文件提出的要求和条件</w:t>
      </w:r>
      <w:r>
        <w:rPr>
          <w:rFonts w:hint="eastAsia" w:ascii="宋体" w:hAnsi="宋体" w:eastAsia="宋体" w:cs="宋体"/>
          <w:color w:val="auto"/>
          <w:kern w:val="0"/>
          <w:sz w:val="24"/>
          <w:szCs w:val="24"/>
          <w:highlight w:val="none"/>
          <w:lang w:val="en-US" w:eastAsia="zh-CN"/>
        </w:rPr>
        <w:t>作出</w:t>
      </w:r>
      <w:r>
        <w:rPr>
          <w:rFonts w:hint="eastAsia" w:ascii="宋体" w:hAnsi="宋体" w:eastAsia="宋体" w:cs="宋体"/>
          <w:color w:val="auto"/>
          <w:kern w:val="0"/>
          <w:sz w:val="24"/>
          <w:szCs w:val="24"/>
          <w:highlight w:val="none"/>
        </w:rPr>
        <w:t>实质性响应。</w:t>
      </w:r>
      <w:r>
        <w:rPr>
          <w:rFonts w:hint="eastAsia" w:ascii="宋体" w:hAnsi="宋体" w:eastAsia="宋体" w:cs="宋体"/>
          <w:color w:val="auto"/>
          <w:sz w:val="24"/>
          <w:szCs w:val="24"/>
          <w:highlight w:val="none"/>
        </w:rPr>
        <w:t>并保证所提供的全部资料的真实性，否则按无效响应处理。</w:t>
      </w:r>
    </w:p>
    <w:p w14:paraId="1251E50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3.1.2</w:t>
      </w:r>
      <w:r>
        <w:rPr>
          <w:rFonts w:hint="eastAsia" w:ascii="宋体" w:hAnsi="宋体" w:eastAsia="宋体" w:cs="宋体"/>
          <w:color w:val="auto"/>
          <w:sz w:val="24"/>
          <w:szCs w:val="24"/>
          <w:highlight w:val="none"/>
        </w:rPr>
        <w:t>响应文件应包括下列内容</w:t>
      </w:r>
    </w:p>
    <w:p w14:paraId="7D3A20A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5CCD0EA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p>
    <w:p w14:paraId="6AA7532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三、授权委托书</w:t>
      </w:r>
    </w:p>
    <w:p w14:paraId="6291882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四、磋商保证金</w:t>
      </w:r>
    </w:p>
    <w:p w14:paraId="1B9812A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报价表</w:t>
      </w:r>
    </w:p>
    <w:p w14:paraId="24EC13C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六、资格审查资料</w:t>
      </w:r>
    </w:p>
    <w:p w14:paraId="36B19BD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val="en-US" w:eastAsia="zh-CN"/>
        </w:rPr>
        <w:t>监理大纲</w:t>
      </w:r>
    </w:p>
    <w:p w14:paraId="1964CBB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val="en-US" w:eastAsia="zh-CN"/>
        </w:rPr>
        <w:t>拟投入本项目工作人员安排</w:t>
      </w:r>
    </w:p>
    <w:p w14:paraId="02F2771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服务承诺</w:t>
      </w:r>
    </w:p>
    <w:p w14:paraId="749D7A4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十、供应商（投标单位）《遵守政府采购相关法律法规承诺书》</w:t>
      </w:r>
    </w:p>
    <w:p w14:paraId="541463C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十一、中小企业声明函</w:t>
      </w:r>
    </w:p>
    <w:p w14:paraId="3D8C00F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其他资料</w:t>
      </w:r>
    </w:p>
    <w:p w14:paraId="49FD8AD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供应商应使用磋商文件提供的格式，但表格可以按同样格式扩展。</w:t>
      </w:r>
    </w:p>
    <w:p w14:paraId="62D97C4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3.2.报价</w:t>
      </w:r>
      <w:r>
        <w:rPr>
          <w:rFonts w:hint="eastAsia" w:ascii="宋体" w:hAnsi="宋体" w:eastAsia="宋体" w:cs="宋体"/>
          <w:color w:val="auto"/>
          <w:kern w:val="0"/>
          <w:sz w:val="24"/>
          <w:szCs w:val="24"/>
          <w:highlight w:val="none"/>
        </w:rPr>
        <w:t xml:space="preserve"> </w:t>
      </w:r>
    </w:p>
    <w:p w14:paraId="3549589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磋商供应商应按磋商文件的要求填写相应报价表格。</w:t>
      </w:r>
    </w:p>
    <w:p w14:paraId="02C3DB4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除非有另外的规定，磋商供应商必须对采购项目的全部合同包进行报价。采购人不接受有任何可选择性的报价。且</w:t>
      </w:r>
      <w:r>
        <w:rPr>
          <w:rFonts w:hint="eastAsia" w:ascii="宋体" w:hAnsi="宋体" w:eastAsia="宋体" w:cs="宋体"/>
          <w:color w:val="auto"/>
          <w:kern w:val="0"/>
          <w:sz w:val="24"/>
          <w:szCs w:val="24"/>
          <w:highlight w:val="none"/>
        </w:rPr>
        <w:t>不得超过规定的最高限价。</w:t>
      </w:r>
    </w:p>
    <w:p w14:paraId="79F0D4B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3.3. 响应文件语言</w:t>
      </w:r>
    </w:p>
    <w:p w14:paraId="0EF028D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3.2.1响应文件应用中文书写。磋商文件中所附或所引用的原件不是中文时，应附中文译本。各种计量单位及符号应采用国际上统一使用的公制计量单位和符号。</w:t>
      </w:r>
    </w:p>
    <w:p w14:paraId="67D9B64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3.4. 响应文件的编制</w:t>
      </w:r>
    </w:p>
    <w:p w14:paraId="67C0D65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响应文件应按磋商文件中规定的“响应文件格式”进行编写，如有必要，可以增加附页，作为响应文件的组成部分。其中，竞争响应文件在满足磋商文件实质性要求的基础上，可以提出比磋商文件要求更有利于采购方的承诺。</w:t>
      </w:r>
    </w:p>
    <w:p w14:paraId="76ECCB1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响应文件应当对磋商文件有关磋商有效期、质量要求、技术标准和要求、报价范围、付款方式等实质性内容做出响应。</w:t>
      </w:r>
    </w:p>
    <w:p w14:paraId="434CAB3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磋商供应商须编制由本须知第3.1条规定文件组成的资格类文件及响应主要文件；响应文件的正本和全部副本均应使用不能擦去的墨料或墨水打印、书写或复印，正本必须用A4幅面纸张（除安装图、需加以说明的插图等图页外）打印并胶装，副本可以用正本的完整复印件并胶装，在封面标明“正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副本”字样。正本与副本如有不一致，则以正本为准。</w:t>
      </w:r>
    </w:p>
    <w:p w14:paraId="1C18547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3.4.4响应文件全部采用电子文档，除供应商须知前附表另有规定外，响应文件所附证书证件均为原件扫描件，并采用单位和个人数字证书，按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相应位置加盖电子印章。由供应商的法定代表人签字或加盖电子印章的，应附法定代表人身份证明，由代理人签字或加盖电子印章的，应附由法定代表人签署的授权委托书。否则，评标委员会应当否决其投标。</w:t>
      </w:r>
    </w:p>
    <w:p w14:paraId="0B4F0FE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3.4.5除非有另外的规定或许可，使用货币为：人民币。</w:t>
      </w:r>
    </w:p>
    <w:p w14:paraId="78FAE44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3.4.6磋商供应商应提交证明其拟供货物符合磋商文件要求的技术响应文件，该文件包括文字资料、图纸和数据，并须提供货物主要技术性能的详细描述。 </w:t>
      </w:r>
    </w:p>
    <w:p w14:paraId="1C49F48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3.4.7全套磋商响应文件应无涂改和行间插字，除非这些改动是根据采购人或采购代理机构的指示进行的，或者是为改正磋商供应商造成的必须修改的错误而进行的。有改动时，修改处应由授权代表签署证明或加盖校正章。 </w:t>
      </w:r>
    </w:p>
    <w:p w14:paraId="02B2492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3.4.8未按本须知规定的格式填写响应文件或响应文件字迹模糊不清的，无法辨认其竞争性报价、技术指标或参数、规格或型号、主要的技术方案等其磋商将被拒绝。</w:t>
      </w:r>
    </w:p>
    <w:p w14:paraId="6CBC296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3.4.9所有资格证明文件复印件须注明“与原件一致”并加盖磋商供应商公章，否则视为无效响应。</w:t>
      </w:r>
    </w:p>
    <w:p w14:paraId="029D95B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3.4.10磋商供应商可对本次采购的所有货物进行磋商，除非磋商文件另有规定，不得将一个合同包中的货物拆开进行磋商。</w:t>
      </w:r>
    </w:p>
    <w:p w14:paraId="1204BDC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3.5.响应文件的密封、标记</w:t>
      </w:r>
    </w:p>
    <w:p w14:paraId="602C3A0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磋商供应商应将磋商响应文件正本、全部副本分别用封袋密封，并标明采购编号、磋商供应商名称</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“正本”或“副本”字样，并在封口处盖上骑缝公章。磋商响应文件未密封将按无效响应处理。</w:t>
      </w:r>
    </w:p>
    <w:p w14:paraId="6BAEF8D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每一封套上应注明“在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分前不得开启（指磋商须知中规定的首次响应文件递交的截止时间）不准启封”的字样，并加盖磋商供应商公章。</w:t>
      </w:r>
    </w:p>
    <w:p w14:paraId="36EBE6F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注：本项目为电子标，评审完成后，中标单位需按要求提供以上响应文件递交至代理机构。</w:t>
      </w:r>
    </w:p>
    <w:p w14:paraId="656A817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 响应文件的递交</w:t>
      </w:r>
    </w:p>
    <w:p w14:paraId="4B73C1C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供应商应在供应商须知前附表规定的投标截止时间前递交响应文件。</w:t>
      </w:r>
    </w:p>
    <w:p w14:paraId="746C5DC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供应商通过下载磋商文件的新疆政府采购网递交电子响应文件。</w:t>
      </w:r>
    </w:p>
    <w:p w14:paraId="05B329D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 除供应商须知前附表另有规定外，供应商所递交的响应文件不予退还。</w:t>
      </w:r>
    </w:p>
    <w:p w14:paraId="156DE8E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 供应商完成电子响应文件上传后，新疆政府采购网即时向供应商发出递交回执通知。递交时间以递交回执通知载明的传输完成时间为准。</w:t>
      </w:r>
    </w:p>
    <w:p w14:paraId="329B081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 逾期送达的响应文件，新疆政府采购网将予以拒收。</w:t>
      </w:r>
    </w:p>
    <w:p w14:paraId="75BBA0E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3.7</w:t>
      </w:r>
      <w:r>
        <w:rPr>
          <w:rFonts w:hint="eastAsia" w:ascii="宋体" w:hAnsi="宋体" w:eastAsia="宋体" w:cs="宋体"/>
          <w:b/>
          <w:bCs/>
          <w:color w:val="auto"/>
          <w:sz w:val="24"/>
          <w:szCs w:val="24"/>
          <w:highlight w:val="none"/>
        </w:rPr>
        <w:t xml:space="preserve">. </w:t>
      </w:r>
      <w:r>
        <w:rPr>
          <w:rFonts w:hint="eastAsia" w:ascii="宋体" w:hAnsi="宋体" w:eastAsia="宋体" w:cs="宋体"/>
          <w:b/>
          <w:color w:val="auto"/>
          <w:kern w:val="0"/>
          <w:sz w:val="24"/>
          <w:szCs w:val="24"/>
          <w:highlight w:val="none"/>
        </w:rPr>
        <w:t>响应文件的修改与撤回</w:t>
      </w:r>
    </w:p>
    <w:p w14:paraId="4D88ED1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3.7.1在规定的投标截止时间前，供应商撤回已递交的电子响应文件，需要使用本单位 CA 锁在新疆政府采购网撤回响应文件。</w:t>
      </w:r>
    </w:p>
    <w:p w14:paraId="1F9074F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3.7.2供应商撤回响应文件的，采购人自收到供应商书面撤回通知之日起 5 日内退还已收取的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78ADA98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3.7.3修改的内容为响应文件的组成部分。修改的响应文件应按照规定进行编制、和递交，并标明“修改”字样。</w:t>
      </w:r>
    </w:p>
    <w:p w14:paraId="1FE24BD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3.8.磋商有效期</w:t>
      </w:r>
    </w:p>
    <w:p w14:paraId="5119875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3.8.1磋商响应文件从磋商供应商提交响应文件截止时间后开始生效，在磋商供应商须知前附表所规定的期限内保持有效。有效期不足将按无效响应处理。并将没收其磋商保证金。</w:t>
      </w:r>
    </w:p>
    <w:p w14:paraId="12922DB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特殊情况下采购人（或采购代理人）可于磋商有效期满之前书面要求磋商供应商同意延长有效期，磋商供应商应在采购人（或采购代理人）规定的期限内以书面形式予以答复。磋商供应商可以拒绝上述要求而其磋商保证金可按规定予以退还。磋商供应商答复不明确或者逾期未答复的，均视为拒绝上述要求。对于接受该要求的磋商供应商，既不要求也不允许其修改磋商文件，但将要求其相应延长磋商保证金有效期，有关退还和不予退还磋商保证金的规定在磋商有效期延长期内继续有效。</w:t>
      </w:r>
    </w:p>
    <w:p w14:paraId="198D876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 磋商保证金</w:t>
      </w:r>
    </w:p>
    <w:p w14:paraId="6D9D146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 磋商保证金为磋商响应文件的组成部分之一。</w:t>
      </w:r>
    </w:p>
    <w:p w14:paraId="346B644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3.9.2 供应商应在首次提交响应文件之前向采购代理机构缴交磋商须知前附表要求的磋商保证金。</w:t>
      </w:r>
      <w:r>
        <w:rPr>
          <w:rFonts w:hint="eastAsia" w:ascii="宋体" w:hAnsi="宋体" w:eastAsia="宋体" w:cs="宋体"/>
          <w:color w:val="auto"/>
          <w:kern w:val="0"/>
          <w:sz w:val="24"/>
          <w:szCs w:val="24"/>
          <w:highlight w:val="none"/>
        </w:rPr>
        <w:t>供应商为联合体的，可以由联合体中的一方或者多方共同交纳磋商保证金，其交纳的保证金对联合体各方均具有约束力。</w:t>
      </w:r>
    </w:p>
    <w:p w14:paraId="0BB7205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 磋商保证金用于保护本次</w:t>
      </w:r>
      <w:r>
        <w:rPr>
          <w:rFonts w:hint="eastAsia" w:ascii="宋体" w:hAnsi="宋体" w:eastAsia="宋体" w:cs="宋体"/>
          <w:color w:val="auto"/>
          <w:sz w:val="24"/>
          <w:szCs w:val="24"/>
          <w:highlight w:val="none"/>
          <w:lang w:eastAsia="zh-CN"/>
        </w:rPr>
        <w:t>采购活动</w:t>
      </w:r>
      <w:r>
        <w:rPr>
          <w:rFonts w:hint="eastAsia" w:ascii="宋体" w:hAnsi="宋体" w:eastAsia="宋体" w:cs="宋体"/>
          <w:color w:val="auto"/>
          <w:sz w:val="24"/>
          <w:szCs w:val="24"/>
          <w:highlight w:val="none"/>
        </w:rPr>
        <w:t>免受磋商供应商的行为而引起的风险。</w:t>
      </w:r>
    </w:p>
    <w:p w14:paraId="7D17CD7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w:t>
      </w:r>
      <w:r>
        <w:rPr>
          <w:rFonts w:hint="eastAsia" w:ascii="宋体" w:hAnsi="宋体" w:eastAsia="宋体" w:cs="宋体"/>
          <w:bCs/>
          <w:color w:val="auto"/>
          <w:spacing w:val="8"/>
          <w:kern w:val="0"/>
          <w:sz w:val="24"/>
          <w:szCs w:val="24"/>
          <w:highlight w:val="none"/>
        </w:rPr>
        <w:t>磋商保证金可以采用银行汇票、转账、银行保函等形式交纳</w:t>
      </w:r>
      <w:r>
        <w:rPr>
          <w:rFonts w:hint="eastAsia" w:ascii="宋体" w:hAnsi="宋体" w:eastAsia="宋体" w:cs="宋体"/>
          <w:color w:val="auto"/>
          <w:sz w:val="24"/>
          <w:szCs w:val="24"/>
          <w:highlight w:val="none"/>
        </w:rPr>
        <w:t>。磋商须知前附表另有规定的，则，从其规定。</w:t>
      </w:r>
    </w:p>
    <w:p w14:paraId="3612CDC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3.9.5 未按规定缴交磋商保证金的磋商，将被视为磋商无效。</w:t>
      </w:r>
    </w:p>
    <w:p w14:paraId="00B75B1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3.9.6磋商保证金将在成交通知书发出之日起五个工作日内，按照磋商供应商在磋商文件中所载明的开户行、开户名称、</w:t>
      </w:r>
      <w:r>
        <w:rPr>
          <w:rFonts w:hint="eastAsia" w:ascii="宋体" w:hAnsi="宋体" w:eastAsia="宋体" w:cs="宋体"/>
          <w:color w:val="auto"/>
          <w:sz w:val="24"/>
          <w:szCs w:val="24"/>
          <w:highlight w:val="none"/>
          <w:lang w:eastAsia="zh-CN"/>
        </w:rPr>
        <w:t>账号等</w:t>
      </w:r>
      <w:r>
        <w:rPr>
          <w:rFonts w:hint="eastAsia" w:ascii="宋体" w:hAnsi="宋体" w:eastAsia="宋体" w:cs="宋体"/>
          <w:color w:val="auto"/>
          <w:sz w:val="24"/>
          <w:szCs w:val="24"/>
          <w:highlight w:val="none"/>
        </w:rPr>
        <w:t>信息，予以原额无息退还成交供应商以外的磋商供应商的磋商保证金。</w:t>
      </w:r>
    </w:p>
    <w:p w14:paraId="2B9F259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3.9.7在成交供应商支付采购代理服务费并签订合同（采购方如有要求成交供应商支付履约保证金的，则增加：将磋商保证金转为履约保证金，不足部分由成交供应商在规定期限内予以补足）后5个工作日内，成交供应商的磋商保证金予以原额无息退还。</w:t>
      </w:r>
    </w:p>
    <w:p w14:paraId="483AE3A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3.9.8 磋商保证金的有效期为磋商有效期满后的90个工作日。</w:t>
      </w:r>
    </w:p>
    <w:p w14:paraId="421CF61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3.9.9 发生以下情况之一的，磋商保证金将不予退还：</w:t>
      </w:r>
    </w:p>
    <w:p w14:paraId="71A8100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（1）供应商在响应文件中提供虚假材料的；</w:t>
      </w:r>
    </w:p>
    <w:p w14:paraId="62653C7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（2）成交供应商未按磋商文件规定缴纳代理服务费； </w:t>
      </w:r>
    </w:p>
    <w:p w14:paraId="65F58C8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（3）以他人名义磋商竞争或者以其他方式弄虚作假，骗取成交；</w:t>
      </w:r>
    </w:p>
    <w:p w14:paraId="34E8659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（4）供应商在提交响应文件截止时间后撤回响应文件的</w:t>
      </w:r>
      <w:r>
        <w:rPr>
          <w:rFonts w:hint="eastAsia" w:ascii="宋体" w:hAnsi="宋体" w:eastAsia="宋体" w:cs="宋体"/>
          <w:color w:val="auto"/>
          <w:kern w:val="0"/>
          <w:sz w:val="24"/>
          <w:szCs w:val="24"/>
          <w:highlight w:val="none"/>
        </w:rPr>
        <w:t>；</w:t>
      </w:r>
    </w:p>
    <w:p w14:paraId="4B8A668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（5）除因不可抗力或磋商文件认可的情形以外，成交供应商不与采购人签订合同的；或成交供应商在收到成交通知书后，无正当理由拒签合同协议书或未按磋商文件规定提交履约担保。</w:t>
      </w:r>
    </w:p>
    <w:p w14:paraId="2C42390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（6）供应商与采购人、其他供应商或者采购代理机构恶意串通的；</w:t>
      </w:r>
    </w:p>
    <w:p w14:paraId="370957F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CN"/>
        </w:rPr>
        <w:t>签订</w:t>
      </w:r>
      <w:r>
        <w:rPr>
          <w:rFonts w:hint="eastAsia" w:ascii="宋体" w:hAnsi="宋体" w:eastAsia="宋体" w:cs="宋体"/>
          <w:color w:val="auto"/>
          <w:kern w:val="0"/>
          <w:sz w:val="24"/>
          <w:szCs w:val="24"/>
          <w:highlight w:val="none"/>
        </w:rPr>
        <w:t>协议书时改变磋商结果的。</w:t>
      </w:r>
    </w:p>
    <w:p w14:paraId="07E85D8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（8）磋商文件规定的其他情形。</w:t>
      </w:r>
    </w:p>
    <w:p w14:paraId="65A7D8A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zh-CN"/>
        </w:rPr>
        <w:t>中标人除携带退还保证金收据及单位账户详细信息以外，另需提供甲乙双方签订的合同复印件加盖公章一份。</w:t>
      </w:r>
    </w:p>
    <w:p w14:paraId="3BBAAEE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4、磋商程序</w:t>
      </w:r>
    </w:p>
    <w:p w14:paraId="798DE00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 采购方按磋商供应商须知前附表规定的时间、地点公开进行。</w:t>
      </w:r>
    </w:p>
    <w:p w14:paraId="7B72BE1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4.1.2磋商由采购代理机构主持，采购方、磋商供应商和有关方面代表参加。所有磋商供应商应派授权代表参加开标会，并</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签到。</w:t>
      </w:r>
    </w:p>
    <w:p w14:paraId="079B1A6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4.1.3制定磋商文件。磋商文件应当明确磋商程序、磋商内容、合同草案的条款以及评定成交的标准等事项。</w:t>
      </w:r>
    </w:p>
    <w:p w14:paraId="1D7F74D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磋商。磋商小组所有成员应当集中与单一供应商分别进行磋商，并给予所有参加磋商的供应商平等的磋商机会。在磋商中，磋商的任何一方不得透露与磋商有关的其他供应商的技术资料、价格和其他信息等。</w:t>
      </w:r>
    </w:p>
    <w:p w14:paraId="3027C72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87C2C3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磋商结束后，磋商小组应当要求所有实质性响应的供应商在规定时间内提交最后报价，提交最后报价的供应商不得少于3家。最后报价是供应商响应文件的有效组成部分。</w:t>
      </w:r>
    </w:p>
    <w:p w14:paraId="31884E9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已提交响应文件的供应商，在提交最后报价之前，可以根据磋商情况退出磋商。</w:t>
      </w:r>
    </w:p>
    <w:p w14:paraId="4FEEC0D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最终报价应按磋商文件规定的格式在</w:t>
      </w:r>
      <w:r>
        <w:rPr>
          <w:rFonts w:hint="eastAsia" w:ascii="宋体" w:hAnsi="宋体" w:eastAsia="宋体" w:cs="宋体"/>
          <w:color w:val="auto"/>
          <w:sz w:val="24"/>
          <w:szCs w:val="24"/>
          <w:highlight w:val="none"/>
          <w:lang w:val="en-US" w:eastAsia="zh-CN"/>
        </w:rPr>
        <w:t>政采云平台上</w:t>
      </w:r>
      <w:r>
        <w:rPr>
          <w:rFonts w:hint="eastAsia" w:ascii="宋体" w:hAnsi="宋体" w:eastAsia="宋体" w:cs="宋体"/>
          <w:color w:val="auto"/>
          <w:sz w:val="24"/>
          <w:szCs w:val="24"/>
          <w:highlight w:val="none"/>
        </w:rPr>
        <w:t>进行最终报价，在规定的截止时间前提交。</w:t>
      </w:r>
    </w:p>
    <w:p w14:paraId="2338D8C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经磋商确定最终采购需求和提交最后报价的供应商后，由磋商小组采用综合评分法对提交最后报价的供应商的响应文件和最后报价进行综合评分。</w:t>
      </w:r>
    </w:p>
    <w:p w14:paraId="755C16E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评审时，磋商小组各成员应当独立对每个有效响应的文件进行评价、打分，然后汇总每个供应商每项评分因素的得分。</w:t>
      </w:r>
    </w:p>
    <w:p w14:paraId="6EFC9A8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磋商小组应当根据综合评分情况，按照评审得分由高到低顺序推荐3名以上成交候选供应商，评审得分相同的，按照最后报价由低到高的顺序推荐。评审得分且最后报价相同的，按照技术指标优劣顺序推荐。</w:t>
      </w:r>
    </w:p>
    <w:p w14:paraId="1B3B4F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5、磋商</w:t>
      </w:r>
    </w:p>
    <w:p w14:paraId="03F1A25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5.1.磋商小组</w:t>
      </w:r>
    </w:p>
    <w:p w14:paraId="6EB77C1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5.1.1磋商小组由采购人的代表和有关专家共三人以上的单数组成，其中专家的人数不得少于成员总数的三分之二。</w:t>
      </w:r>
    </w:p>
    <w:p w14:paraId="76C3ADA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5.1.2磋商小组成员应当履行下列义务： </w:t>
      </w:r>
    </w:p>
    <w:p w14:paraId="07278066">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（一）遵纪守法，客观、公正、廉洁地履行职责； </w:t>
      </w:r>
    </w:p>
    <w:p w14:paraId="6978C109">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（二）按照磋商文件规定的评审方法和标准进行评审，对评审意见承担个人责任； </w:t>
      </w:r>
    </w:p>
    <w:p w14:paraId="2C0AFCFF">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（三）对评审、磋商过程和结果，以及供应商的商业秘密保密； </w:t>
      </w:r>
    </w:p>
    <w:p w14:paraId="61557A24">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（四） 配合采购单位答复磋商供应商提出的质疑和有关部门的投诉处理工作。 </w:t>
      </w:r>
    </w:p>
    <w:p w14:paraId="3EF19BE1">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5.2.评审</w:t>
      </w:r>
    </w:p>
    <w:p w14:paraId="548A612B">
      <w:pPr>
        <w:keepNext w:val="0"/>
        <w:keepLines w:val="0"/>
        <w:pageBreakBefore w:val="0"/>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本采购项目评审办法根据《政府采购竞争性磋商采购方式管理暂行办法》（财库[2014]214号）的有关规定，经磋商确定最终采购需求和提交最后报价的供应商后，由磋商小组采用综合评分法对提交最后报价的供应商的响应文件和最后报价进行综合评分，磋商小组根据综合评分情况，按照评审得分由高到低顺序推荐3名以上成交候选供应商。</w:t>
      </w:r>
    </w:p>
    <w:p w14:paraId="2E007B35">
      <w:pPr>
        <w:keepNext w:val="0"/>
        <w:keepLines w:val="0"/>
        <w:pageBreakBefore w:val="0"/>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磋商小组成员应当按照客观、公正、审慎的原则，根据磋商文件规定的评审程序、评审方法和评审标准对响应文件进行独立评审。未实质性响应磋商文件的响应文件按无效响应处理，磋商小组应当告知提交响应文件的供应商。对所有磋商供应商的评审，都采用相同的程序和磋商文件规定的评审标准。评议过程将严格按照磋商文件规定的评审办法和标准进行。</w:t>
      </w:r>
    </w:p>
    <w:p w14:paraId="52CE182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5.2.3有关对磋商响应文件的审查、澄清、评估和比较以及推荐成交候选人的一切情况都不得透露给任一磋商供应商或与上述评审工作无关的人员。</w:t>
      </w:r>
    </w:p>
    <w:p w14:paraId="6CE52EE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5.2.4磋商供应商任何试图影响磋商小组各成员会对磋商响应文件的评审、比较或者推荐候选供应商的行为，都将导致其磋商被拒绝，并被没收磋商保证金。</w:t>
      </w:r>
    </w:p>
    <w:p w14:paraId="4A73294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 响应文件的审查</w:t>
      </w:r>
    </w:p>
    <w:p w14:paraId="58A78E4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5.3.1磋商小组将对磋商响应文件的有效性、完整性和响应程度进行审查，以确定响应文件是否实质性响应了磋商文件。 </w:t>
      </w:r>
    </w:p>
    <w:p w14:paraId="497B6DD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5.4.资格性审查和符合性审查 </w:t>
      </w:r>
    </w:p>
    <w:p w14:paraId="13014D2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5.4.1资格性审查：依据法律法规和磋商文件的规定，磋商小组对各磋商供应商提交的响应文件进行资格审查，以确定其是否具备磋商资格。如果磋商供应商不具备磋商资格，不满足磋商文件所规定的资格标准或提供资格证明文件不全的，其磋商将被拒绝。</w:t>
      </w:r>
    </w:p>
    <w:p w14:paraId="40F3B18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符合性审查：依据磋商文件的规定，磋商小组还将对磋商响应文件的有效性、完整性和对磋商文件的响应程度进行审查，一确定响应文件是否完整、是否提交了磋商保证金、文件是否已正确签署、其技术标准及要求是否满足、工期、质量保证期等是否满足磋商文件的规定，二确定是否符合对磋商文件的实质性要求作出响应。如果响应文件对磋商文件的存在</w:t>
      </w:r>
      <w:r>
        <w:rPr>
          <w:rFonts w:hint="eastAsia" w:ascii="宋体" w:hAnsi="宋体" w:eastAsia="宋体" w:cs="宋体"/>
          <w:color w:val="auto"/>
          <w:sz w:val="24"/>
          <w:szCs w:val="24"/>
          <w:highlight w:val="none"/>
          <w:lang w:eastAsia="zh-CN"/>
        </w:rPr>
        <w:t>实质性</w:t>
      </w:r>
      <w:r>
        <w:rPr>
          <w:rFonts w:hint="eastAsia" w:ascii="宋体" w:hAnsi="宋体" w:eastAsia="宋体" w:cs="宋体"/>
          <w:color w:val="auto"/>
          <w:sz w:val="24"/>
          <w:szCs w:val="24"/>
          <w:highlight w:val="none"/>
        </w:rPr>
        <w:t>偏离的，其磋商将被拒绝。</w:t>
      </w:r>
    </w:p>
    <w:p w14:paraId="78F38C2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5.5.响应文件的澄清</w:t>
      </w:r>
    </w:p>
    <w:p w14:paraId="3949788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6D26E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7FE4CCE">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5.5.3</w:t>
      </w:r>
      <w:r>
        <w:rPr>
          <w:rFonts w:hint="eastAsia" w:ascii="宋体" w:hAnsi="宋体" w:eastAsia="宋体" w:cs="宋体"/>
          <w:color w:val="auto"/>
          <w:kern w:val="0"/>
          <w:sz w:val="24"/>
          <w:szCs w:val="24"/>
          <w:highlight w:val="none"/>
        </w:rPr>
        <w:t>算术性错误</w:t>
      </w:r>
      <w:r>
        <w:rPr>
          <w:rFonts w:hint="eastAsia" w:ascii="宋体" w:hAnsi="宋体" w:eastAsia="宋体" w:cs="宋体"/>
          <w:color w:val="auto"/>
          <w:sz w:val="24"/>
          <w:szCs w:val="24"/>
          <w:highlight w:val="none"/>
        </w:rPr>
        <w:t>将按以下方法</w:t>
      </w:r>
      <w:r>
        <w:rPr>
          <w:rFonts w:hint="eastAsia" w:ascii="宋体" w:hAnsi="宋体" w:eastAsia="宋体" w:cs="宋体"/>
          <w:color w:val="auto"/>
          <w:kern w:val="0"/>
          <w:sz w:val="24"/>
          <w:szCs w:val="24"/>
          <w:highlight w:val="none"/>
        </w:rPr>
        <w:t>修正</w:t>
      </w:r>
      <w:r>
        <w:rPr>
          <w:rFonts w:hint="eastAsia" w:ascii="宋体" w:hAnsi="宋体" w:eastAsia="宋体" w:cs="宋体"/>
          <w:color w:val="auto"/>
          <w:sz w:val="24"/>
          <w:szCs w:val="24"/>
          <w:highlight w:val="none"/>
        </w:rPr>
        <w:t>：响应文件中的大写金额和小写金额不一致的，以大写金额为准；总价金额与分项报价汇总金额不一致的，以分项报价中单价金额计算结果为准；分项报价金额小数点有明显错位的，应以总价为准，并修改分项报价中的单价；对不同文字文本磋商文件的解释发生异议的，以中文文本为准。</w:t>
      </w:r>
    </w:p>
    <w:p w14:paraId="3C86456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5.5.4如果供应商不接受按上述方法对响应文件中的算术错误进行更正，将按无效响应处理，磋商小组将拒绝被确定为非实质性响应的响应文件，供应商不能通过修正或撤销不符之处而使其响应文件成为实质性响应。</w:t>
      </w:r>
    </w:p>
    <w:p w14:paraId="4CB2195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5.6.磋商</w:t>
      </w:r>
    </w:p>
    <w:p w14:paraId="066F21E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5.6.1磋商。磋商小组所有成员应当集中与单一供应商分别进行磋商，并给予所有参加磋商的供应商平等的磋商机会。在磋商中，磋商的任何一方不得透露与磋商有关的其他供应商的技术资料、价格和其他信息等。</w:t>
      </w:r>
    </w:p>
    <w:p w14:paraId="2B65CD7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5.6.2在磋商过程中，磋商小组可以根据磋商文件和磋商情况实质性变动采购需求中的技术、服务要求以及合同草案条款，但不得变动磋商文件中的其他内容。实质性变动的内容，须经采购人代表确认。</w:t>
      </w:r>
    </w:p>
    <w:p w14:paraId="5236F555">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对磋商文件作出的实质性变动是磋商文件的有效组成部分，磋商小组应当及时以书面形式同时通知所有参加磋商的供应商。</w:t>
      </w:r>
    </w:p>
    <w:p w14:paraId="0FB6B17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59DD1B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5.6.3磋商结束后，磋商小组应当要求所有实质性响应的供应商在规定时间内提交最后报价，提交最后报价的供应商不得少于3家。最后报价是供应商响应文件的有效组成部分。</w:t>
      </w:r>
    </w:p>
    <w:p w14:paraId="27424AE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5.6.4已提交响应文件的供应商，在提交最后报价之前，可以根据磋商情况退出磋商。</w:t>
      </w:r>
    </w:p>
    <w:p w14:paraId="0C46321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5.6.5最后报价应按磋商文件规定的格式进行报价，并在磋商小组规定的截止时间前提交磋商小组。</w:t>
      </w:r>
    </w:p>
    <w:p w14:paraId="109DA02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5.6.6经磋商确定最终采购需求和提交最后报价的供应商后，由磋商小组采用综合评分法对提交最后报价的供应商的响应文件和最后报价进行综合评分。</w:t>
      </w:r>
    </w:p>
    <w:p w14:paraId="089A227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5.6.7评审时，磋商小组各成员应当独立对每个有效响应的文件进行评价、打分，然后汇总每个供应商每项评分因素的得分。</w:t>
      </w:r>
    </w:p>
    <w:p w14:paraId="0CCC598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5.7.确定成交供应商</w:t>
      </w:r>
    </w:p>
    <w:p w14:paraId="428CBDF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5.7.1磋商小组应当根据综合评分情况，按照评审得分由高到低顺序推荐3名以上成交候选供应商，评审得分相同的，按照最后报价由低到高的顺序推荐。评审得分且最后报价相同的，按照技术指标优劣顺序推荐。</w:t>
      </w:r>
    </w:p>
    <w:p w14:paraId="15906A5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5.7.2报价应按</w:t>
      </w:r>
      <w:r>
        <w:rPr>
          <w:rFonts w:hint="eastAsia" w:ascii="宋体" w:hAnsi="宋体" w:eastAsia="宋体" w:cs="宋体"/>
          <w:color w:val="auto"/>
          <w:sz w:val="24"/>
          <w:szCs w:val="24"/>
          <w:highlight w:val="none"/>
          <w:lang w:val="en-US" w:eastAsia="zh-CN"/>
        </w:rPr>
        <w:t>服务报价表的</w:t>
      </w:r>
      <w:r>
        <w:rPr>
          <w:rFonts w:hint="eastAsia" w:ascii="宋体" w:hAnsi="宋体" w:eastAsia="宋体" w:cs="宋体"/>
          <w:color w:val="auto"/>
          <w:sz w:val="24"/>
          <w:szCs w:val="24"/>
          <w:highlight w:val="none"/>
        </w:rPr>
        <w:t>格式进行报价，并按规定时限内提交。供应商的报价存在下列情况之一的，将按无效响应处理：</w:t>
      </w:r>
    </w:p>
    <w:p w14:paraId="2BA4787F">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（1）供应商提交的是可选择的报价；</w:t>
      </w:r>
    </w:p>
    <w:p w14:paraId="7F443BFF">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（2）供应商未按规定进行报价的或报价超出预算价的；</w:t>
      </w:r>
    </w:p>
    <w:p w14:paraId="62E3810D">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（3）供应商最后报价一览表中的内容与磋商文件中的内容不一致的。</w:t>
      </w:r>
    </w:p>
    <w:p w14:paraId="12B1692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5.7.3 磋商小组认为，排在前面的候选供应商的最低竞争价或某些分项报价不合理或其报价明显低于其他报价，使得其报价可能低于成本的，有可能影响商品质量或不能诚信履约的，供应商应按磋商小组要求做出书面说明并提供相关证明材料，不能合理说明或不能提供相关证明材料的，磋商小组可以取消其候选供应商资格，并按顺序排在后面的成交候选供应商递补，以此类推。</w:t>
      </w:r>
    </w:p>
    <w:p w14:paraId="35930C7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5.7.4如果排名第一的成交候选供应商，因不可抗力或自身原因放弃成交结果，可根据项目所需确定排名第二的成交候选供应商为成交供应商，以此类推。</w:t>
      </w:r>
    </w:p>
    <w:p w14:paraId="09E24B7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5.7.5如果排名第三的成交候选供应商放弃成交结果，本次磋商宣布失败。</w:t>
      </w:r>
    </w:p>
    <w:p w14:paraId="1A8E4438">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5.7.6 经评审后，若出现符合本须知规定的所有磋商条件的磋商供应商不足三家情形的，本次磋商终止，除采购任务取消情形外，采购单位将依法重新组织或者采取其他方式采购。</w:t>
      </w:r>
    </w:p>
    <w:p w14:paraId="23867CC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6、无效响应</w:t>
      </w:r>
    </w:p>
    <w:p w14:paraId="3CB2A38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6.1. 无效响应</w:t>
      </w:r>
    </w:p>
    <w:p w14:paraId="49E662C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6.1.1发生下列情况之一的为无效响应：</w:t>
      </w:r>
    </w:p>
    <w:p w14:paraId="3424CB15">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（1）无有效资格证明文件的或对磋商文件作实质响应的供应商不足三家的；</w:t>
      </w:r>
    </w:p>
    <w:p w14:paraId="0556BD86">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（2）被磋商小组确定为未按磋商文件规定，与采购项目实质性要求严重偏离的；</w:t>
      </w:r>
    </w:p>
    <w:p w14:paraId="68A36FE4">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（3）其他不符合磋商文件实质性要求的。</w:t>
      </w:r>
    </w:p>
    <w:p w14:paraId="5D5CDBF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7、授予合同</w:t>
      </w:r>
    </w:p>
    <w:p w14:paraId="23986D4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 成交通知</w:t>
      </w:r>
    </w:p>
    <w:p w14:paraId="213E024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7.1.1 </w:t>
      </w:r>
      <w:r>
        <w:rPr>
          <w:rFonts w:hint="eastAsia" w:ascii="宋体" w:hAnsi="宋体" w:eastAsia="宋体" w:cs="宋体"/>
          <w:color w:val="auto"/>
          <w:spacing w:val="8"/>
          <w:kern w:val="0"/>
          <w:sz w:val="24"/>
          <w:szCs w:val="24"/>
          <w:highlight w:val="none"/>
        </w:rPr>
        <w:t>成交供应商确定后，应当</w:t>
      </w:r>
      <w:r>
        <w:rPr>
          <w:rFonts w:hint="eastAsia" w:ascii="宋体" w:hAnsi="宋体" w:eastAsia="宋体" w:cs="宋体"/>
          <w:color w:val="auto"/>
          <w:sz w:val="24"/>
          <w:szCs w:val="24"/>
          <w:highlight w:val="none"/>
        </w:rPr>
        <w:t>在刊登本采购项目磋商公告的媒介上对成交结果进行公示，公示期为1个工作日；同时向成交供应商发出成交通知书。成交通知书对采购方和成交供应商具有同等法律效力。成交通知书发出后，采购方改变成交结果，或者成交供应商放弃成交，应按相关法律、规章、规范性文件的要求承担相应的法律责任。</w:t>
      </w:r>
    </w:p>
    <w:p w14:paraId="285F43AC">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《成交通知书》将作为签订合同的依据。《合同》签订后，《成交通知书》成为《合同》的一部分。</w:t>
      </w:r>
    </w:p>
    <w:p w14:paraId="5F2D68E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7.2. 签订合同</w:t>
      </w:r>
    </w:p>
    <w:p w14:paraId="7BA49C9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采购方、成交供应商在《成交通知书》发出之日起30日内，根据磋商文件确定的事项和成交供应商磋商响应文件，参照本磋商文件第五章的《合同》文本签订书面合同。双方所签订的合同不得对磋商文件和成交供应商磋商响应文件作实质性修改。逾期未签订合同，按照有关法律规定承担相应的法律责任；并没收采购保证金，以抵偿对采购人造成的损失。采购方逾期不与成交供应商签订合同的，按有关规定处理。</w:t>
      </w:r>
    </w:p>
    <w:p w14:paraId="4B3D6C92">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磋商文件的修改文件、成交供应商的响应文件、补充或修改的文件及澄清或承诺文件等，均为双方签订《合同》的组成部分，并与《合同》一并作为本磋商文件所列采购项目的互补性法律文件，与《合同》具有同等法律效力。</w:t>
      </w:r>
    </w:p>
    <w:p w14:paraId="491CEB9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7.2.3在合同履行中，采购人需追加或减少与合同标的相同的货物或者服务的，在不改变合同其他条款的前提下，可与供应商协商签订补充合同，但所有补充合同的采购金额不得超过或少于原合同采购金额的百分之十。</w:t>
      </w:r>
    </w:p>
    <w:p w14:paraId="115EBD4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8、质疑与投诉</w:t>
      </w:r>
    </w:p>
    <w:p w14:paraId="7D31444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8.1质疑</w:t>
      </w:r>
    </w:p>
    <w:p w14:paraId="2FF08300">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8.1.1供应商对政府采购活动事项有疑问的，可以向采购人提出询问，采购人应当及时作出答复，但答复的内容不得涉及商业秘密。</w:t>
      </w:r>
    </w:p>
    <w:p w14:paraId="4B821B07">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8.1.2供应商认为采购文件、采购过程和成交结果使自己的权益受到损害的，可以在知道或者应知其权益受到损害之日起七个工作日内，以书面形式向采购人提出质疑。</w:t>
      </w:r>
    </w:p>
    <w:p w14:paraId="056C743D">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8.1.3采购人应当在收到供应商的书面质疑后七个工作日内作出答复，并以书面形式通知质疑供应商和其他有关供应商，但答复的内容不得涉及商业秘密。</w:t>
      </w:r>
    </w:p>
    <w:p w14:paraId="68EEDAF3">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8.1.4采购人委托采购代理机构采购的，供应商可以向采购代理机构提出询问或者质疑。</w:t>
      </w:r>
    </w:p>
    <w:p w14:paraId="5C9A1C64">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8.2投诉</w:t>
      </w:r>
    </w:p>
    <w:p w14:paraId="2843A36B">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8.2.1质疑供应商对采购人、采购代理机构的答复不满意或者采购人、采购代理机构未在规定的时间内作出答复的，可以在答复期满后十五个工作日内向同级政府采购监督管理部门投诉。</w:t>
      </w:r>
    </w:p>
    <w:p w14:paraId="01ACA21A">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8.2.2政府采购监督管理部门应当在收到投诉后三十个工作日内，对投诉事项作出处理决定，并以书面形式通知投诉人和与投诉事项有关的当事人。</w:t>
      </w:r>
    </w:p>
    <w:p w14:paraId="70B3BA8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8.2.3政府采购监督管理部门在处理投诉事项期间，可以视具体情况书面通知采购人暂停采购活动，但暂停时间最长不得超过三十日。</w:t>
      </w:r>
    </w:p>
    <w:p w14:paraId="69254C39">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8.2.4投诉人对政府采购监督管理部门的投诉处理决定不服或者政府采购监督管理部门逾期未作处理的，可以依法申请行政复议或者向人民法院提起行政诉讼。</w:t>
      </w:r>
    </w:p>
    <w:p w14:paraId="06D990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9、需补充的内容</w:t>
      </w:r>
    </w:p>
    <w:p w14:paraId="128255F6">
      <w:pPr>
        <w:keepNext w:val="0"/>
        <w:keepLines w:val="0"/>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9.1需补充的内容详见供应商须知前附表。</w:t>
      </w:r>
    </w:p>
    <w:p w14:paraId="2217900C">
      <w:pPr>
        <w:jc w:val="center"/>
        <w:outlineLvl w:val="0"/>
        <w:rPr>
          <w:rFonts w:hint="eastAsia" w:ascii="宋体" w:hAnsi="宋体" w:eastAsia="宋体" w:cs="宋体"/>
          <w:color w:val="auto"/>
          <w:sz w:val="24"/>
          <w:szCs w:val="20"/>
          <w:highlight w:val="none"/>
          <w:lang w:eastAsia="zh-CN"/>
        </w:rPr>
      </w:pPr>
      <w:r>
        <w:rPr>
          <w:rFonts w:hint="eastAsia" w:ascii="宋体" w:hAnsi="宋体" w:eastAsia="宋体" w:cs="宋体"/>
          <w:b/>
          <w:color w:val="auto"/>
          <w:sz w:val="36"/>
          <w:szCs w:val="36"/>
          <w:highlight w:val="none"/>
        </w:rPr>
        <w:br w:type="page"/>
      </w:r>
      <w:bookmarkStart w:id="26" w:name="_Toc1213"/>
      <w:r>
        <w:rPr>
          <w:rFonts w:hint="eastAsia" w:ascii="宋体" w:hAnsi="宋体" w:eastAsia="宋体" w:cs="宋体"/>
          <w:b/>
          <w:color w:val="auto"/>
          <w:sz w:val="36"/>
          <w:szCs w:val="36"/>
          <w:highlight w:val="none"/>
          <w:lang w:val="en-US" w:eastAsia="zh-CN" w:bidi="ar-SA"/>
        </w:rPr>
        <w:t xml:space="preserve">第四部分 </w:t>
      </w:r>
      <w:r>
        <w:rPr>
          <w:rFonts w:hint="eastAsia" w:ascii="宋体" w:hAnsi="宋体" w:cs="宋体"/>
          <w:b/>
          <w:color w:val="auto"/>
          <w:sz w:val="36"/>
          <w:szCs w:val="36"/>
          <w:highlight w:val="none"/>
          <w:lang w:val="en-US" w:eastAsia="zh-CN" w:bidi="ar-SA"/>
        </w:rPr>
        <w:t xml:space="preserve"> </w:t>
      </w:r>
      <w:r>
        <w:rPr>
          <w:rFonts w:hint="eastAsia" w:ascii="宋体" w:hAnsi="宋体" w:eastAsia="宋体" w:cs="宋体"/>
          <w:b/>
          <w:color w:val="auto"/>
          <w:sz w:val="36"/>
          <w:szCs w:val="36"/>
          <w:highlight w:val="none"/>
          <w:lang w:val="en-US" w:eastAsia="zh-CN" w:bidi="ar-SA"/>
        </w:rPr>
        <w:t>服务需求及技术要求</w:t>
      </w:r>
      <w:bookmarkEnd w:id="26"/>
    </w:p>
    <w:p w14:paraId="2F90273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color w:val="auto"/>
          <w:sz w:val="24"/>
          <w:szCs w:val="20"/>
          <w:highlight w:val="none"/>
        </w:rPr>
      </w:pPr>
    </w:p>
    <w:p w14:paraId="2BA105F6">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一、项目概况：</w:t>
      </w:r>
    </w:p>
    <w:p w14:paraId="200F97E7">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1、项目名称：</w:t>
      </w:r>
      <w:r>
        <w:rPr>
          <w:rFonts w:hint="eastAsia" w:ascii="宋体" w:hAnsi="宋体" w:cs="宋体"/>
          <w:b w:val="0"/>
          <w:bCs w:val="0"/>
          <w:sz w:val="28"/>
          <w:szCs w:val="28"/>
          <w:highlight w:val="none"/>
          <w:lang w:val="en-US" w:eastAsia="zh-CN"/>
        </w:rPr>
        <w:t>若羌南部矿区羌河三区110千伏输变电工程（监理）二次</w:t>
      </w:r>
    </w:p>
    <w:p w14:paraId="1C02ECE6">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2、竞争性磋商文件编号：</w:t>
      </w:r>
      <w:r>
        <w:rPr>
          <w:rFonts w:hint="eastAsia" w:ascii="宋体" w:hAnsi="宋体" w:cs="宋体"/>
          <w:b w:val="0"/>
          <w:bCs w:val="0"/>
          <w:sz w:val="28"/>
          <w:szCs w:val="28"/>
          <w:highlight w:val="none"/>
          <w:lang w:val="en-US" w:eastAsia="zh-CN"/>
        </w:rPr>
        <w:t>XJHR-2025-01701</w:t>
      </w:r>
      <w:r>
        <w:rPr>
          <w:rFonts w:hint="eastAsia" w:ascii="宋体" w:hAnsi="宋体" w:eastAsia="宋体" w:cs="宋体"/>
          <w:b w:val="0"/>
          <w:bCs w:val="0"/>
          <w:sz w:val="28"/>
          <w:szCs w:val="28"/>
          <w:highlight w:val="none"/>
          <w:lang w:val="en-US" w:eastAsia="zh-CN"/>
        </w:rPr>
        <w:t>号</w:t>
      </w:r>
    </w:p>
    <w:p w14:paraId="3B1AF7E2">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建设规模：项目本期建设110kV变电站一座，远期规划2台主变，容量为2×50MVA，本期建成一台主变，容量为1×50MVA；变电站电源侧进线架设1回110kV输电线路，线路全长约32.1km（本期建设一回，设计同塔双回，单边挂线），负荷侧出线架设1回110kV输电线路至羌河三区，线路全长约42.3km。（详见工程量清单）</w:t>
      </w:r>
    </w:p>
    <w:p w14:paraId="391A5DD0">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4、监理范围：若羌南部矿区羌河三区110千伏输变电工程的全部监理内容。</w:t>
      </w:r>
    </w:p>
    <w:p w14:paraId="2691D6AE">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5、采购预算：80万元。</w:t>
      </w:r>
    </w:p>
    <w:p w14:paraId="4214BE00">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6、服务期限：随施工工期开始，至工程竣工完毕，并出具最终监理报告日终结。(具体以合同约定为准）</w:t>
      </w:r>
    </w:p>
    <w:p w14:paraId="16F53266">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二、项目服务要求： </w:t>
      </w:r>
    </w:p>
    <w:p w14:paraId="46314722">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对本项目的监理工作，整体把控施工质量、安全、进度、成本、合同、风险控制等。 </w:t>
      </w:r>
    </w:p>
    <w:p w14:paraId="2B56F137">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监理要求：监理单位需派驻含总监共计三名监理人员，常驻施工现场，对施工现场进行把控，严格抓实安全、质量、进度要求，对发现的问题及时汇报业主单位，每日填写监理日志，每周组织召开监理例会，每月汇总监理月报，对于重大事项，必须征得甲方同意，具体事项及要求以合同约定为准。</w:t>
      </w:r>
    </w:p>
    <w:p w14:paraId="0F370A5E">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三、监理工作职责： </w:t>
      </w:r>
    </w:p>
    <w:p w14:paraId="63AC0C85">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监理单位指为本工程提供监理服务的成交单位，是本工程监理工作的责任主体，是在若羌县发展和改革委员会（简称“委托方”）授权范围内，为该项目招标和实施阶段提供全过程监理的服务机构。 </w:t>
      </w:r>
    </w:p>
    <w:p w14:paraId="4866FCEE">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监理是独立的第三方，应坚持公正、公开、公平的原则，在国家法律法规、行 业标准、技术标准、合同、设计文件和各种约束性文件规定的范围内独立开展监理工作。 </w:t>
      </w:r>
    </w:p>
    <w:p w14:paraId="603AA840">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监理对国家法律法规、行业标准、技术标准的适用性全面负责，并以此为依据 审核系统建设子项目承包人的项目计划、采购计划、系统建设质量、验收标准、实施方案等。 </w:t>
      </w:r>
    </w:p>
    <w:p w14:paraId="640B4F61">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监理负责对所有项目进行质量、进度、成本、变更控制，负责合同管理、信息 管理和安全管理，在项目各有关方之间进行协调，保持关系融洽顺畅，确保项目的 质量、进度、成本、变更符合委托方的要求。 制订公开、透明的监理工作流程，对各主要工作环节规定时限，对关键工作设置检查点。 </w:t>
      </w:r>
    </w:p>
    <w:p w14:paraId="233452EE">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监理单位应对现场监理工程师及相关工作人员实施有效管理，并对监理工作人 员的工作过错、失职、渎职行为负完全责任，监理单位应采取有效措施确保监理工 作人员能够坚持公正、公开、公平、独立的监理原则。 </w:t>
      </w:r>
    </w:p>
    <w:p w14:paraId="77ED4990">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委托方、监理、总体设计单位以及各子项目承包人的项目管理人员一起对涉及 的各项工作任务进行计划、落实、监督与控制，以实现委托方的需求和期望。</w:t>
      </w:r>
    </w:p>
    <w:p w14:paraId="3CBEA337">
      <w:pPr>
        <w:bidi w:val="0"/>
        <w:spacing w:line="36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本项目所属行业：</w:t>
      </w:r>
      <w:r>
        <w:rPr>
          <w:rFonts w:hint="eastAsia" w:ascii="宋体" w:hAnsi="宋体" w:eastAsia="宋体" w:cs="宋体"/>
          <w:b w:val="0"/>
          <w:bCs w:val="0"/>
          <w:sz w:val="28"/>
          <w:szCs w:val="28"/>
          <w:highlight w:val="none"/>
          <w:lang w:val="en-US" w:eastAsia="zh-CN"/>
        </w:rPr>
        <w:t>其他未列明行业</w:t>
      </w:r>
    </w:p>
    <w:p w14:paraId="4175CE37">
      <w:pPr>
        <w:pStyle w:val="4"/>
        <w:rPr>
          <w:rFonts w:hint="eastAsia" w:ascii="宋体" w:hAnsi="宋体" w:eastAsia="宋体" w:cs="宋体"/>
          <w:b w:val="0"/>
          <w:bCs w:val="0"/>
          <w:sz w:val="28"/>
          <w:szCs w:val="28"/>
          <w:highlight w:val="none"/>
          <w:lang w:val="en-US" w:eastAsia="zh-CN"/>
        </w:rPr>
      </w:pPr>
    </w:p>
    <w:p w14:paraId="6EAA327F">
      <w:pPr>
        <w:rPr>
          <w:rFonts w:hint="eastAsia" w:ascii="宋体" w:hAnsi="宋体" w:eastAsia="宋体" w:cs="宋体"/>
          <w:b w:val="0"/>
          <w:bCs w:val="0"/>
          <w:sz w:val="28"/>
          <w:szCs w:val="28"/>
          <w:highlight w:val="none"/>
          <w:lang w:val="en-US" w:eastAsia="zh-CN"/>
        </w:rPr>
      </w:pPr>
    </w:p>
    <w:p w14:paraId="0E8FAD6C">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left="0"/>
        <w:jc w:val="left"/>
        <w:textAlignment w:val="auto"/>
        <w:rPr>
          <w:rFonts w:hint="eastAsia" w:ascii="宋体" w:hAnsi="宋体" w:eastAsia="宋体" w:cs="宋体"/>
          <w:b/>
          <w:bCs/>
          <w:sz w:val="28"/>
          <w:szCs w:val="28"/>
          <w:highlight w:val="none"/>
          <w:lang w:val="en-US" w:eastAsia="zh-CN"/>
        </w:rPr>
      </w:pPr>
    </w:p>
    <w:p w14:paraId="381B441F">
      <w:p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p>
    <w:p w14:paraId="4B1A3BF3">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left="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w:t>
      </w:r>
    </w:p>
    <w:p w14:paraId="57B13474">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left="0"/>
        <w:jc w:val="center"/>
        <w:textAlignment w:val="auto"/>
        <w:rPr>
          <w:rStyle w:val="28"/>
          <w:rFonts w:hint="eastAsia" w:ascii="宋体" w:hAnsi="宋体" w:eastAsia="宋体" w:cs="宋体"/>
          <w:b/>
          <w:bCs/>
          <w:kern w:val="2"/>
          <w:sz w:val="28"/>
          <w:szCs w:val="28"/>
          <w:highlight w:val="none"/>
          <w:lang w:val="en-US" w:eastAsia="zh-CN"/>
        </w:rPr>
      </w:pPr>
      <w:r>
        <w:rPr>
          <w:rFonts w:hint="eastAsia" w:ascii="宋体" w:hAnsi="宋体" w:eastAsia="宋体" w:cs="宋体"/>
          <w:b/>
          <w:bCs/>
          <w:spacing w:val="-4"/>
          <w:sz w:val="28"/>
          <w:szCs w:val="28"/>
          <w:highlight w:val="none"/>
        </w:rPr>
        <w:t>中小微企业划型标准</w:t>
      </w:r>
    </w:p>
    <w:tbl>
      <w:tblPr>
        <w:tblStyle w:val="29"/>
        <w:tblW w:w="9690"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3"/>
        <w:gridCol w:w="1851"/>
        <w:gridCol w:w="874"/>
        <w:gridCol w:w="1922"/>
        <w:gridCol w:w="1708"/>
        <w:gridCol w:w="1102"/>
      </w:tblGrid>
      <w:tr w14:paraId="140BB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233" w:type="dxa"/>
            <w:noWrap w:val="0"/>
            <w:vAlign w:val="center"/>
          </w:tcPr>
          <w:p w14:paraId="3D780C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行业名称</w:t>
            </w:r>
          </w:p>
        </w:tc>
        <w:tc>
          <w:tcPr>
            <w:tcW w:w="1851" w:type="dxa"/>
            <w:noWrap w:val="0"/>
            <w:vAlign w:val="center"/>
          </w:tcPr>
          <w:p w14:paraId="28A4D5C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指标名称</w:t>
            </w:r>
          </w:p>
        </w:tc>
        <w:tc>
          <w:tcPr>
            <w:tcW w:w="874" w:type="dxa"/>
            <w:noWrap w:val="0"/>
            <w:vAlign w:val="center"/>
          </w:tcPr>
          <w:p w14:paraId="13F8A47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2"/>
                <w:position w:val="7"/>
                <w:sz w:val="24"/>
                <w:szCs w:val="24"/>
                <w:highlight w:val="none"/>
              </w:rPr>
              <w:t>计量</w:t>
            </w:r>
          </w:p>
          <w:p w14:paraId="3F58C1A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单位</w:t>
            </w:r>
          </w:p>
        </w:tc>
        <w:tc>
          <w:tcPr>
            <w:tcW w:w="1922" w:type="dxa"/>
            <w:noWrap w:val="0"/>
            <w:vAlign w:val="center"/>
          </w:tcPr>
          <w:p w14:paraId="5D8E36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中型</w:t>
            </w:r>
          </w:p>
        </w:tc>
        <w:tc>
          <w:tcPr>
            <w:tcW w:w="1708" w:type="dxa"/>
            <w:noWrap w:val="0"/>
            <w:vAlign w:val="center"/>
          </w:tcPr>
          <w:p w14:paraId="3B5CAE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小型</w:t>
            </w:r>
          </w:p>
        </w:tc>
        <w:tc>
          <w:tcPr>
            <w:tcW w:w="1102" w:type="dxa"/>
            <w:noWrap w:val="0"/>
            <w:vAlign w:val="center"/>
          </w:tcPr>
          <w:p w14:paraId="1A9D726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微型</w:t>
            </w:r>
          </w:p>
        </w:tc>
      </w:tr>
      <w:tr w14:paraId="0159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noWrap w:val="0"/>
            <w:vAlign w:val="center"/>
          </w:tcPr>
          <w:p w14:paraId="19E163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pacing w:val="9"/>
                <w:sz w:val="24"/>
                <w:szCs w:val="24"/>
                <w:highlight w:val="none"/>
              </w:rPr>
              <w:t>农、林、牧、渔</w:t>
            </w:r>
            <w:r>
              <w:rPr>
                <w:rFonts w:hint="eastAsia" w:ascii="宋体" w:hAnsi="宋体" w:eastAsia="宋体" w:cs="宋体"/>
                <w:spacing w:val="9"/>
                <w:sz w:val="24"/>
                <w:szCs w:val="24"/>
                <w:highlight w:val="none"/>
                <w:lang w:eastAsia="zh-CN"/>
              </w:rPr>
              <w:t>业</w:t>
            </w:r>
          </w:p>
        </w:tc>
        <w:tc>
          <w:tcPr>
            <w:tcW w:w="1851" w:type="dxa"/>
            <w:noWrap w:val="0"/>
            <w:vAlign w:val="center"/>
          </w:tcPr>
          <w:p w14:paraId="5FB3EB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0BD27B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3D2A76C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500≤Y＜20000</w:t>
            </w:r>
          </w:p>
        </w:tc>
        <w:tc>
          <w:tcPr>
            <w:tcW w:w="1708" w:type="dxa"/>
            <w:noWrap w:val="0"/>
            <w:vAlign w:val="center"/>
          </w:tcPr>
          <w:p w14:paraId="6F1BCC4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50≤Y＜500</w:t>
            </w:r>
          </w:p>
        </w:tc>
        <w:tc>
          <w:tcPr>
            <w:tcW w:w="1102" w:type="dxa"/>
            <w:noWrap w:val="0"/>
            <w:vAlign w:val="center"/>
          </w:tcPr>
          <w:p w14:paraId="01567F8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Y＜50</w:t>
            </w:r>
          </w:p>
        </w:tc>
      </w:tr>
      <w:tr w14:paraId="04CD2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7CEA74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工业</w:t>
            </w:r>
          </w:p>
        </w:tc>
        <w:tc>
          <w:tcPr>
            <w:tcW w:w="1851" w:type="dxa"/>
            <w:noWrap w:val="0"/>
            <w:vAlign w:val="center"/>
          </w:tcPr>
          <w:p w14:paraId="5B2C1DA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5C85325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6882FB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300≤X＜1000</w:t>
            </w:r>
          </w:p>
        </w:tc>
        <w:tc>
          <w:tcPr>
            <w:tcW w:w="1708" w:type="dxa"/>
            <w:noWrap w:val="0"/>
            <w:vAlign w:val="center"/>
          </w:tcPr>
          <w:p w14:paraId="6C9B94A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20≤X＜300</w:t>
            </w:r>
          </w:p>
        </w:tc>
        <w:tc>
          <w:tcPr>
            <w:tcW w:w="1102" w:type="dxa"/>
            <w:noWrap w:val="0"/>
            <w:vAlign w:val="center"/>
          </w:tcPr>
          <w:p w14:paraId="57FB51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X＜20</w:t>
            </w:r>
          </w:p>
        </w:tc>
      </w:tr>
      <w:tr w14:paraId="7180C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05CF8B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10C7D0C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5508CA7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213614D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2000≤Y＜40000</w:t>
            </w:r>
          </w:p>
        </w:tc>
        <w:tc>
          <w:tcPr>
            <w:tcW w:w="1708" w:type="dxa"/>
            <w:noWrap w:val="0"/>
            <w:vAlign w:val="center"/>
          </w:tcPr>
          <w:p w14:paraId="692A6D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300≤Y＜2000</w:t>
            </w:r>
          </w:p>
        </w:tc>
        <w:tc>
          <w:tcPr>
            <w:tcW w:w="1102" w:type="dxa"/>
            <w:noWrap w:val="0"/>
            <w:vAlign w:val="center"/>
          </w:tcPr>
          <w:p w14:paraId="58D59A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Y＜300</w:t>
            </w:r>
          </w:p>
        </w:tc>
      </w:tr>
      <w:tr w14:paraId="16240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7269F6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建筑业</w:t>
            </w:r>
          </w:p>
        </w:tc>
        <w:tc>
          <w:tcPr>
            <w:tcW w:w="1851" w:type="dxa"/>
            <w:noWrap w:val="0"/>
            <w:vAlign w:val="center"/>
          </w:tcPr>
          <w:p w14:paraId="7F4702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0F72AB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28E877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6000≤Y＜80000</w:t>
            </w:r>
          </w:p>
        </w:tc>
        <w:tc>
          <w:tcPr>
            <w:tcW w:w="1708" w:type="dxa"/>
            <w:noWrap w:val="0"/>
            <w:vAlign w:val="center"/>
          </w:tcPr>
          <w:p w14:paraId="69CAAD4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300≤Y＜6000</w:t>
            </w:r>
          </w:p>
        </w:tc>
        <w:tc>
          <w:tcPr>
            <w:tcW w:w="1102" w:type="dxa"/>
            <w:noWrap w:val="0"/>
            <w:vAlign w:val="center"/>
          </w:tcPr>
          <w:p w14:paraId="6F8EB9B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Y＜300</w:t>
            </w:r>
          </w:p>
        </w:tc>
      </w:tr>
      <w:tr w14:paraId="6E966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4C5E8EA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4B2CC9B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资产总额（Z）</w:t>
            </w:r>
          </w:p>
        </w:tc>
        <w:tc>
          <w:tcPr>
            <w:tcW w:w="874" w:type="dxa"/>
            <w:noWrap w:val="0"/>
            <w:vAlign w:val="center"/>
          </w:tcPr>
          <w:p w14:paraId="07213FD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4C6DFA1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5000≤Z＜80000</w:t>
            </w:r>
          </w:p>
        </w:tc>
        <w:tc>
          <w:tcPr>
            <w:tcW w:w="1708" w:type="dxa"/>
            <w:noWrap w:val="0"/>
            <w:vAlign w:val="center"/>
          </w:tcPr>
          <w:p w14:paraId="29EA59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300≤Z＜5000</w:t>
            </w:r>
          </w:p>
        </w:tc>
        <w:tc>
          <w:tcPr>
            <w:tcW w:w="1102" w:type="dxa"/>
            <w:noWrap w:val="0"/>
            <w:vAlign w:val="center"/>
          </w:tcPr>
          <w:p w14:paraId="5BC96A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Z＜300</w:t>
            </w:r>
          </w:p>
        </w:tc>
      </w:tr>
      <w:tr w14:paraId="2AC4A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495ADF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批发业</w:t>
            </w:r>
          </w:p>
        </w:tc>
        <w:tc>
          <w:tcPr>
            <w:tcW w:w="1851" w:type="dxa"/>
            <w:noWrap w:val="0"/>
            <w:vAlign w:val="center"/>
          </w:tcPr>
          <w:p w14:paraId="39B29C2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0CFA4CC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38E78DB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20≤X＜200</w:t>
            </w:r>
          </w:p>
        </w:tc>
        <w:tc>
          <w:tcPr>
            <w:tcW w:w="1708" w:type="dxa"/>
            <w:noWrap w:val="0"/>
            <w:vAlign w:val="center"/>
          </w:tcPr>
          <w:p w14:paraId="433DE8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5≤X＜20</w:t>
            </w:r>
          </w:p>
        </w:tc>
        <w:tc>
          <w:tcPr>
            <w:tcW w:w="1102" w:type="dxa"/>
            <w:noWrap w:val="0"/>
            <w:vAlign w:val="center"/>
          </w:tcPr>
          <w:p w14:paraId="458D837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X＜5</w:t>
            </w:r>
          </w:p>
        </w:tc>
      </w:tr>
      <w:tr w14:paraId="4C03B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233" w:type="dxa"/>
            <w:vMerge w:val="continue"/>
            <w:tcBorders>
              <w:top w:val="nil"/>
            </w:tcBorders>
            <w:noWrap w:val="0"/>
            <w:vAlign w:val="center"/>
          </w:tcPr>
          <w:p w14:paraId="5402D9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68D5DC5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4C525D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75280F3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5000≤Y＜40000</w:t>
            </w:r>
          </w:p>
        </w:tc>
        <w:tc>
          <w:tcPr>
            <w:tcW w:w="1708" w:type="dxa"/>
            <w:noWrap w:val="0"/>
            <w:vAlign w:val="center"/>
          </w:tcPr>
          <w:p w14:paraId="57416B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1000≤Y＜5000</w:t>
            </w:r>
          </w:p>
        </w:tc>
        <w:tc>
          <w:tcPr>
            <w:tcW w:w="1102" w:type="dxa"/>
            <w:noWrap w:val="0"/>
            <w:vAlign w:val="center"/>
          </w:tcPr>
          <w:p w14:paraId="3FC4366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Y＜1000</w:t>
            </w:r>
          </w:p>
        </w:tc>
      </w:tr>
      <w:tr w14:paraId="46E5A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21FBCC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零售业</w:t>
            </w:r>
          </w:p>
        </w:tc>
        <w:tc>
          <w:tcPr>
            <w:tcW w:w="1851" w:type="dxa"/>
            <w:noWrap w:val="0"/>
            <w:vAlign w:val="center"/>
          </w:tcPr>
          <w:p w14:paraId="2CC4DE3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643D176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508EA39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50≤X＜300</w:t>
            </w:r>
          </w:p>
        </w:tc>
        <w:tc>
          <w:tcPr>
            <w:tcW w:w="1708" w:type="dxa"/>
            <w:noWrap w:val="0"/>
            <w:vAlign w:val="center"/>
          </w:tcPr>
          <w:p w14:paraId="459F8A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10≤X＜50</w:t>
            </w:r>
          </w:p>
        </w:tc>
        <w:tc>
          <w:tcPr>
            <w:tcW w:w="1102" w:type="dxa"/>
            <w:noWrap w:val="0"/>
            <w:vAlign w:val="center"/>
          </w:tcPr>
          <w:p w14:paraId="61EA69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r w14:paraId="78515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7AF314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7853701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24747A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72FBED5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500≤Y＜20000</w:t>
            </w:r>
          </w:p>
        </w:tc>
        <w:tc>
          <w:tcPr>
            <w:tcW w:w="1708" w:type="dxa"/>
            <w:noWrap w:val="0"/>
            <w:vAlign w:val="center"/>
          </w:tcPr>
          <w:p w14:paraId="131BE16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100≤Y＜500</w:t>
            </w:r>
          </w:p>
        </w:tc>
        <w:tc>
          <w:tcPr>
            <w:tcW w:w="1102" w:type="dxa"/>
            <w:noWrap w:val="0"/>
            <w:vAlign w:val="center"/>
          </w:tcPr>
          <w:p w14:paraId="19C6AC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249F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1491CB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交通运输业</w:t>
            </w:r>
          </w:p>
        </w:tc>
        <w:tc>
          <w:tcPr>
            <w:tcW w:w="1851" w:type="dxa"/>
            <w:noWrap w:val="0"/>
            <w:vAlign w:val="center"/>
          </w:tcPr>
          <w:p w14:paraId="72828A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0659921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7CEDF2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300≤X＜1000</w:t>
            </w:r>
          </w:p>
        </w:tc>
        <w:tc>
          <w:tcPr>
            <w:tcW w:w="1708" w:type="dxa"/>
            <w:noWrap w:val="0"/>
            <w:vAlign w:val="center"/>
          </w:tcPr>
          <w:p w14:paraId="6AB76E8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20≤X＜300</w:t>
            </w:r>
          </w:p>
        </w:tc>
        <w:tc>
          <w:tcPr>
            <w:tcW w:w="1102" w:type="dxa"/>
            <w:noWrap w:val="0"/>
            <w:vAlign w:val="center"/>
          </w:tcPr>
          <w:p w14:paraId="7FDE3EF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X＜20</w:t>
            </w:r>
          </w:p>
        </w:tc>
      </w:tr>
      <w:tr w14:paraId="5A91D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1CCE1F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24D54CD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4F7A4B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7CAF67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3000≤Y＜30000</w:t>
            </w:r>
          </w:p>
        </w:tc>
        <w:tc>
          <w:tcPr>
            <w:tcW w:w="1708" w:type="dxa"/>
            <w:noWrap w:val="0"/>
            <w:vAlign w:val="center"/>
          </w:tcPr>
          <w:p w14:paraId="1E5BF47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200≤Y＜3000</w:t>
            </w:r>
          </w:p>
        </w:tc>
        <w:tc>
          <w:tcPr>
            <w:tcW w:w="1102" w:type="dxa"/>
            <w:noWrap w:val="0"/>
            <w:vAlign w:val="center"/>
          </w:tcPr>
          <w:p w14:paraId="6249B9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Y＜200</w:t>
            </w:r>
          </w:p>
        </w:tc>
      </w:tr>
      <w:tr w14:paraId="28409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6CBD485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仓储业</w:t>
            </w:r>
          </w:p>
        </w:tc>
        <w:tc>
          <w:tcPr>
            <w:tcW w:w="1851" w:type="dxa"/>
            <w:noWrap w:val="0"/>
            <w:vAlign w:val="center"/>
          </w:tcPr>
          <w:p w14:paraId="4ED2124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041FBD9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2CD7F9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100≤X＜200</w:t>
            </w:r>
          </w:p>
        </w:tc>
        <w:tc>
          <w:tcPr>
            <w:tcW w:w="1708" w:type="dxa"/>
            <w:noWrap w:val="0"/>
            <w:vAlign w:val="center"/>
          </w:tcPr>
          <w:p w14:paraId="50CF4F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20≤X＜100</w:t>
            </w:r>
          </w:p>
        </w:tc>
        <w:tc>
          <w:tcPr>
            <w:tcW w:w="1102" w:type="dxa"/>
            <w:noWrap w:val="0"/>
            <w:vAlign w:val="center"/>
          </w:tcPr>
          <w:p w14:paraId="36D61E4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X＜20</w:t>
            </w:r>
          </w:p>
        </w:tc>
      </w:tr>
      <w:tr w14:paraId="7D2E6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525BA9C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32F3C9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49C0237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50E273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1000≤Y＜30000</w:t>
            </w:r>
          </w:p>
        </w:tc>
        <w:tc>
          <w:tcPr>
            <w:tcW w:w="1708" w:type="dxa"/>
            <w:noWrap w:val="0"/>
            <w:vAlign w:val="center"/>
          </w:tcPr>
          <w:p w14:paraId="00C501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100≤Y＜1000</w:t>
            </w:r>
          </w:p>
        </w:tc>
        <w:tc>
          <w:tcPr>
            <w:tcW w:w="1102" w:type="dxa"/>
            <w:noWrap w:val="0"/>
            <w:vAlign w:val="center"/>
          </w:tcPr>
          <w:p w14:paraId="25EDFC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0C1E3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4D7E68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邮政业</w:t>
            </w:r>
          </w:p>
        </w:tc>
        <w:tc>
          <w:tcPr>
            <w:tcW w:w="1851" w:type="dxa"/>
            <w:noWrap w:val="0"/>
            <w:vAlign w:val="center"/>
          </w:tcPr>
          <w:p w14:paraId="191903A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5524495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2DB3825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300≤X＜1000</w:t>
            </w:r>
          </w:p>
        </w:tc>
        <w:tc>
          <w:tcPr>
            <w:tcW w:w="1708" w:type="dxa"/>
            <w:noWrap w:val="0"/>
            <w:vAlign w:val="center"/>
          </w:tcPr>
          <w:p w14:paraId="4CFF15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20≤X＜300</w:t>
            </w:r>
          </w:p>
        </w:tc>
        <w:tc>
          <w:tcPr>
            <w:tcW w:w="1102" w:type="dxa"/>
            <w:noWrap w:val="0"/>
            <w:vAlign w:val="center"/>
          </w:tcPr>
          <w:p w14:paraId="4C6E06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X＜20</w:t>
            </w:r>
          </w:p>
        </w:tc>
      </w:tr>
      <w:tr w14:paraId="6B319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04F1ED3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18842F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382F69F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0CEDA09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2000≤Y＜30000</w:t>
            </w:r>
          </w:p>
        </w:tc>
        <w:tc>
          <w:tcPr>
            <w:tcW w:w="1708" w:type="dxa"/>
            <w:noWrap w:val="0"/>
            <w:vAlign w:val="center"/>
          </w:tcPr>
          <w:p w14:paraId="72F6FE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100≤Y＜2000</w:t>
            </w:r>
          </w:p>
        </w:tc>
        <w:tc>
          <w:tcPr>
            <w:tcW w:w="1102" w:type="dxa"/>
            <w:noWrap w:val="0"/>
            <w:vAlign w:val="center"/>
          </w:tcPr>
          <w:p w14:paraId="5C3D8A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5E575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6812760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住宿业</w:t>
            </w:r>
          </w:p>
        </w:tc>
        <w:tc>
          <w:tcPr>
            <w:tcW w:w="1851" w:type="dxa"/>
            <w:noWrap w:val="0"/>
            <w:vAlign w:val="center"/>
          </w:tcPr>
          <w:p w14:paraId="5B6179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34A4059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2CAB7C7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100≤X＜300</w:t>
            </w:r>
          </w:p>
        </w:tc>
        <w:tc>
          <w:tcPr>
            <w:tcW w:w="1708" w:type="dxa"/>
            <w:noWrap w:val="0"/>
            <w:vAlign w:val="center"/>
          </w:tcPr>
          <w:p w14:paraId="71EB748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10≤X＜100</w:t>
            </w:r>
          </w:p>
        </w:tc>
        <w:tc>
          <w:tcPr>
            <w:tcW w:w="1102" w:type="dxa"/>
            <w:noWrap w:val="0"/>
            <w:vAlign w:val="center"/>
          </w:tcPr>
          <w:p w14:paraId="21B4726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r w14:paraId="554D2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2B7466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12C8CD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7CC587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7EAF96A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2000≤Y＜10000</w:t>
            </w:r>
          </w:p>
        </w:tc>
        <w:tc>
          <w:tcPr>
            <w:tcW w:w="1708" w:type="dxa"/>
            <w:noWrap w:val="0"/>
            <w:vAlign w:val="center"/>
          </w:tcPr>
          <w:p w14:paraId="742060C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100≤Y＜2000</w:t>
            </w:r>
          </w:p>
        </w:tc>
        <w:tc>
          <w:tcPr>
            <w:tcW w:w="1102" w:type="dxa"/>
            <w:noWrap w:val="0"/>
            <w:vAlign w:val="center"/>
          </w:tcPr>
          <w:p w14:paraId="622E81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2A75F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233" w:type="dxa"/>
            <w:vMerge w:val="restart"/>
            <w:tcBorders>
              <w:bottom w:val="nil"/>
            </w:tcBorders>
            <w:noWrap w:val="0"/>
            <w:vAlign w:val="center"/>
          </w:tcPr>
          <w:p w14:paraId="1C782B1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餐饮业</w:t>
            </w:r>
          </w:p>
        </w:tc>
        <w:tc>
          <w:tcPr>
            <w:tcW w:w="1851" w:type="dxa"/>
            <w:noWrap w:val="0"/>
            <w:vAlign w:val="center"/>
          </w:tcPr>
          <w:p w14:paraId="61070A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5939E3B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4C369A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100≤X＜300</w:t>
            </w:r>
          </w:p>
        </w:tc>
        <w:tc>
          <w:tcPr>
            <w:tcW w:w="1708" w:type="dxa"/>
            <w:noWrap w:val="0"/>
            <w:vAlign w:val="center"/>
          </w:tcPr>
          <w:p w14:paraId="720477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10≤X＜100</w:t>
            </w:r>
          </w:p>
        </w:tc>
        <w:tc>
          <w:tcPr>
            <w:tcW w:w="1102" w:type="dxa"/>
            <w:noWrap w:val="0"/>
            <w:vAlign w:val="center"/>
          </w:tcPr>
          <w:p w14:paraId="0A0652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r w14:paraId="7B25A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43717A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41623B4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119C495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25D909C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2000≤Y＜10000</w:t>
            </w:r>
          </w:p>
        </w:tc>
        <w:tc>
          <w:tcPr>
            <w:tcW w:w="1708" w:type="dxa"/>
            <w:noWrap w:val="0"/>
            <w:vAlign w:val="center"/>
          </w:tcPr>
          <w:p w14:paraId="3B6FF5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100≤Y＜2000</w:t>
            </w:r>
          </w:p>
        </w:tc>
        <w:tc>
          <w:tcPr>
            <w:tcW w:w="1102" w:type="dxa"/>
            <w:noWrap w:val="0"/>
            <w:vAlign w:val="center"/>
          </w:tcPr>
          <w:p w14:paraId="526F08B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3D0D7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233" w:type="dxa"/>
            <w:vMerge w:val="restart"/>
            <w:tcBorders>
              <w:bottom w:val="nil"/>
            </w:tcBorders>
            <w:noWrap w:val="0"/>
            <w:vAlign w:val="center"/>
          </w:tcPr>
          <w:p w14:paraId="2343B6B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信息传输业</w:t>
            </w:r>
          </w:p>
        </w:tc>
        <w:tc>
          <w:tcPr>
            <w:tcW w:w="1851" w:type="dxa"/>
            <w:noWrap w:val="0"/>
            <w:vAlign w:val="center"/>
          </w:tcPr>
          <w:p w14:paraId="38E24C7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74B7B4A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4097D1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100≤X＜2000</w:t>
            </w:r>
          </w:p>
        </w:tc>
        <w:tc>
          <w:tcPr>
            <w:tcW w:w="1708" w:type="dxa"/>
            <w:noWrap w:val="0"/>
            <w:vAlign w:val="center"/>
          </w:tcPr>
          <w:p w14:paraId="3F19578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10≤X＜100</w:t>
            </w:r>
          </w:p>
        </w:tc>
        <w:tc>
          <w:tcPr>
            <w:tcW w:w="1102" w:type="dxa"/>
            <w:noWrap w:val="0"/>
            <w:vAlign w:val="center"/>
          </w:tcPr>
          <w:p w14:paraId="579E6C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r w14:paraId="08F80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57A4FE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0A4F08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2530AA8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780FBBD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1000≤Y＜100000</w:t>
            </w:r>
          </w:p>
        </w:tc>
        <w:tc>
          <w:tcPr>
            <w:tcW w:w="1708" w:type="dxa"/>
            <w:noWrap w:val="0"/>
            <w:vAlign w:val="center"/>
          </w:tcPr>
          <w:p w14:paraId="150A12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100≤Y＜1000</w:t>
            </w:r>
          </w:p>
        </w:tc>
        <w:tc>
          <w:tcPr>
            <w:tcW w:w="1102" w:type="dxa"/>
            <w:noWrap w:val="0"/>
            <w:vAlign w:val="center"/>
          </w:tcPr>
          <w:p w14:paraId="1237E5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59A36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660AAD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软件和信息技术服务</w:t>
            </w:r>
            <w:r>
              <w:rPr>
                <w:rFonts w:hint="eastAsia" w:ascii="宋体" w:hAnsi="宋体" w:eastAsia="宋体" w:cs="宋体"/>
                <w:sz w:val="24"/>
                <w:szCs w:val="24"/>
                <w:highlight w:val="none"/>
              </w:rPr>
              <w:t>业</w:t>
            </w:r>
          </w:p>
        </w:tc>
        <w:tc>
          <w:tcPr>
            <w:tcW w:w="1851" w:type="dxa"/>
            <w:noWrap w:val="0"/>
            <w:vAlign w:val="center"/>
          </w:tcPr>
          <w:p w14:paraId="2E35C7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31F5A78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402E73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100≤X＜300</w:t>
            </w:r>
          </w:p>
        </w:tc>
        <w:tc>
          <w:tcPr>
            <w:tcW w:w="1708" w:type="dxa"/>
            <w:noWrap w:val="0"/>
            <w:vAlign w:val="center"/>
          </w:tcPr>
          <w:p w14:paraId="463531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10≤X＜100</w:t>
            </w:r>
          </w:p>
        </w:tc>
        <w:tc>
          <w:tcPr>
            <w:tcW w:w="1102" w:type="dxa"/>
            <w:noWrap w:val="0"/>
            <w:vAlign w:val="center"/>
          </w:tcPr>
          <w:p w14:paraId="02F700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r w14:paraId="765B9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7B7EE0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296010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19EF3A2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0A5277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1000≤Y＜10000</w:t>
            </w:r>
          </w:p>
        </w:tc>
        <w:tc>
          <w:tcPr>
            <w:tcW w:w="1708" w:type="dxa"/>
            <w:noWrap w:val="0"/>
            <w:vAlign w:val="center"/>
          </w:tcPr>
          <w:p w14:paraId="6BB561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50≤Y＜1000</w:t>
            </w:r>
          </w:p>
        </w:tc>
        <w:tc>
          <w:tcPr>
            <w:tcW w:w="1102" w:type="dxa"/>
            <w:noWrap w:val="0"/>
            <w:vAlign w:val="center"/>
          </w:tcPr>
          <w:p w14:paraId="424113E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Y＜50</w:t>
            </w:r>
          </w:p>
        </w:tc>
      </w:tr>
      <w:tr w14:paraId="10D1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2473A1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房地产开发经营</w:t>
            </w:r>
          </w:p>
        </w:tc>
        <w:tc>
          <w:tcPr>
            <w:tcW w:w="1851" w:type="dxa"/>
            <w:noWrap w:val="0"/>
            <w:vAlign w:val="center"/>
          </w:tcPr>
          <w:p w14:paraId="15E0249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41DDF14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6D4DC8C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1000≤Y＜200000</w:t>
            </w:r>
          </w:p>
        </w:tc>
        <w:tc>
          <w:tcPr>
            <w:tcW w:w="1708" w:type="dxa"/>
            <w:noWrap w:val="0"/>
            <w:vAlign w:val="center"/>
          </w:tcPr>
          <w:p w14:paraId="35C92D4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100≤X＜1000</w:t>
            </w:r>
          </w:p>
        </w:tc>
        <w:tc>
          <w:tcPr>
            <w:tcW w:w="1102" w:type="dxa"/>
            <w:noWrap w:val="0"/>
            <w:vAlign w:val="center"/>
          </w:tcPr>
          <w:p w14:paraId="0F5FDA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X＜100</w:t>
            </w:r>
          </w:p>
        </w:tc>
      </w:tr>
      <w:tr w14:paraId="7A683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346053E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0ADC34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资产总额（Z）</w:t>
            </w:r>
          </w:p>
        </w:tc>
        <w:tc>
          <w:tcPr>
            <w:tcW w:w="874" w:type="dxa"/>
            <w:noWrap w:val="0"/>
            <w:vAlign w:val="center"/>
          </w:tcPr>
          <w:p w14:paraId="04F286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5A9D20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5000≤Z＜10000</w:t>
            </w:r>
          </w:p>
        </w:tc>
        <w:tc>
          <w:tcPr>
            <w:tcW w:w="1708" w:type="dxa"/>
            <w:noWrap w:val="0"/>
            <w:vAlign w:val="center"/>
          </w:tcPr>
          <w:p w14:paraId="5E7362F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2000≤Y＜5000</w:t>
            </w:r>
          </w:p>
        </w:tc>
        <w:tc>
          <w:tcPr>
            <w:tcW w:w="1102" w:type="dxa"/>
            <w:noWrap w:val="0"/>
            <w:vAlign w:val="center"/>
          </w:tcPr>
          <w:p w14:paraId="779DF4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Y＜2000</w:t>
            </w:r>
          </w:p>
        </w:tc>
      </w:tr>
      <w:tr w14:paraId="072A1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restart"/>
            <w:tcBorders>
              <w:bottom w:val="nil"/>
            </w:tcBorders>
            <w:noWrap w:val="0"/>
            <w:vAlign w:val="center"/>
          </w:tcPr>
          <w:p w14:paraId="74A6D26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物业管理</w:t>
            </w:r>
          </w:p>
        </w:tc>
        <w:tc>
          <w:tcPr>
            <w:tcW w:w="1851" w:type="dxa"/>
            <w:noWrap w:val="0"/>
            <w:vAlign w:val="center"/>
          </w:tcPr>
          <w:p w14:paraId="28FB27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5541F5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6C7069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300≤X＜1000</w:t>
            </w:r>
          </w:p>
        </w:tc>
        <w:tc>
          <w:tcPr>
            <w:tcW w:w="1708" w:type="dxa"/>
            <w:noWrap w:val="0"/>
            <w:vAlign w:val="center"/>
          </w:tcPr>
          <w:p w14:paraId="2942E88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100≤X＜300</w:t>
            </w:r>
          </w:p>
        </w:tc>
        <w:tc>
          <w:tcPr>
            <w:tcW w:w="1102" w:type="dxa"/>
            <w:noWrap w:val="0"/>
            <w:vAlign w:val="center"/>
          </w:tcPr>
          <w:p w14:paraId="5698C1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X＜100</w:t>
            </w:r>
          </w:p>
        </w:tc>
      </w:tr>
      <w:tr w14:paraId="78368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33BA748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1B25903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营业收入（Y）</w:t>
            </w:r>
          </w:p>
        </w:tc>
        <w:tc>
          <w:tcPr>
            <w:tcW w:w="874" w:type="dxa"/>
            <w:noWrap w:val="0"/>
            <w:vAlign w:val="center"/>
          </w:tcPr>
          <w:p w14:paraId="0F0E0DA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21FC123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1000≤Y＜5000</w:t>
            </w:r>
          </w:p>
        </w:tc>
        <w:tc>
          <w:tcPr>
            <w:tcW w:w="1708" w:type="dxa"/>
            <w:noWrap w:val="0"/>
            <w:vAlign w:val="center"/>
          </w:tcPr>
          <w:p w14:paraId="14C40C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500≤Y＜1000</w:t>
            </w:r>
          </w:p>
        </w:tc>
        <w:tc>
          <w:tcPr>
            <w:tcW w:w="1102" w:type="dxa"/>
            <w:noWrap w:val="0"/>
            <w:vAlign w:val="center"/>
          </w:tcPr>
          <w:p w14:paraId="1A7D549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Y＜500</w:t>
            </w:r>
          </w:p>
        </w:tc>
      </w:tr>
      <w:tr w14:paraId="73FD1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233" w:type="dxa"/>
            <w:vMerge w:val="restart"/>
            <w:tcBorders>
              <w:bottom w:val="nil"/>
            </w:tcBorders>
            <w:noWrap w:val="0"/>
            <w:vAlign w:val="center"/>
          </w:tcPr>
          <w:p w14:paraId="0D31A23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租赁和商务服务业</w:t>
            </w:r>
          </w:p>
        </w:tc>
        <w:tc>
          <w:tcPr>
            <w:tcW w:w="1851" w:type="dxa"/>
            <w:noWrap w:val="0"/>
            <w:vAlign w:val="center"/>
          </w:tcPr>
          <w:p w14:paraId="370C0C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031AE66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39B839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100≤X＜300</w:t>
            </w:r>
          </w:p>
        </w:tc>
        <w:tc>
          <w:tcPr>
            <w:tcW w:w="1708" w:type="dxa"/>
            <w:noWrap w:val="0"/>
            <w:vAlign w:val="center"/>
          </w:tcPr>
          <w:p w14:paraId="495BD4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10≤X＜100</w:t>
            </w:r>
          </w:p>
        </w:tc>
        <w:tc>
          <w:tcPr>
            <w:tcW w:w="1102" w:type="dxa"/>
            <w:noWrap w:val="0"/>
            <w:vAlign w:val="center"/>
          </w:tcPr>
          <w:p w14:paraId="76CE60D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r w14:paraId="4DFA2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233" w:type="dxa"/>
            <w:vMerge w:val="continue"/>
            <w:tcBorders>
              <w:top w:val="nil"/>
            </w:tcBorders>
            <w:noWrap w:val="0"/>
            <w:vAlign w:val="center"/>
          </w:tcPr>
          <w:p w14:paraId="4539B23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p>
        </w:tc>
        <w:tc>
          <w:tcPr>
            <w:tcW w:w="1851" w:type="dxa"/>
            <w:noWrap w:val="0"/>
            <w:vAlign w:val="center"/>
          </w:tcPr>
          <w:p w14:paraId="329466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资产总额（Z）</w:t>
            </w:r>
          </w:p>
        </w:tc>
        <w:tc>
          <w:tcPr>
            <w:tcW w:w="874" w:type="dxa"/>
            <w:noWrap w:val="0"/>
            <w:vAlign w:val="center"/>
          </w:tcPr>
          <w:p w14:paraId="1FB98C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万元</w:t>
            </w:r>
          </w:p>
        </w:tc>
        <w:tc>
          <w:tcPr>
            <w:tcW w:w="1922" w:type="dxa"/>
            <w:noWrap w:val="0"/>
            <w:vAlign w:val="center"/>
          </w:tcPr>
          <w:p w14:paraId="230399B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8000≤Z＜120000</w:t>
            </w:r>
          </w:p>
        </w:tc>
        <w:tc>
          <w:tcPr>
            <w:tcW w:w="1708" w:type="dxa"/>
            <w:noWrap w:val="0"/>
            <w:vAlign w:val="center"/>
          </w:tcPr>
          <w:p w14:paraId="53A7F8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4"/>
                <w:position w:val="1"/>
                <w:sz w:val="24"/>
                <w:szCs w:val="24"/>
                <w:highlight w:val="none"/>
              </w:rPr>
              <w:t>100≤Z＜8000</w:t>
            </w:r>
          </w:p>
        </w:tc>
        <w:tc>
          <w:tcPr>
            <w:tcW w:w="1102" w:type="dxa"/>
            <w:noWrap w:val="0"/>
            <w:vAlign w:val="center"/>
          </w:tcPr>
          <w:p w14:paraId="357666A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Y＜100</w:t>
            </w:r>
          </w:p>
        </w:tc>
      </w:tr>
      <w:tr w14:paraId="0DD04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233" w:type="dxa"/>
            <w:noWrap w:val="0"/>
            <w:vAlign w:val="center"/>
          </w:tcPr>
          <w:p w14:paraId="5136C16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其他未列明行业</w:t>
            </w:r>
          </w:p>
        </w:tc>
        <w:tc>
          <w:tcPr>
            <w:tcW w:w="1851" w:type="dxa"/>
            <w:noWrap w:val="0"/>
            <w:vAlign w:val="center"/>
          </w:tcPr>
          <w:p w14:paraId="2B8354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从业人员（X）</w:t>
            </w:r>
          </w:p>
        </w:tc>
        <w:tc>
          <w:tcPr>
            <w:tcW w:w="874" w:type="dxa"/>
            <w:noWrap w:val="0"/>
            <w:vAlign w:val="center"/>
          </w:tcPr>
          <w:p w14:paraId="035B38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人</w:t>
            </w:r>
          </w:p>
        </w:tc>
        <w:tc>
          <w:tcPr>
            <w:tcW w:w="1922" w:type="dxa"/>
            <w:noWrap w:val="0"/>
            <w:vAlign w:val="center"/>
          </w:tcPr>
          <w:p w14:paraId="627EF2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100≤X＜300</w:t>
            </w:r>
          </w:p>
        </w:tc>
        <w:tc>
          <w:tcPr>
            <w:tcW w:w="1708" w:type="dxa"/>
            <w:noWrap w:val="0"/>
            <w:vAlign w:val="center"/>
          </w:tcPr>
          <w:p w14:paraId="389B70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10≤X＜100</w:t>
            </w:r>
          </w:p>
        </w:tc>
        <w:tc>
          <w:tcPr>
            <w:tcW w:w="1102" w:type="dxa"/>
            <w:noWrap w:val="0"/>
            <w:vAlign w:val="center"/>
          </w:tcPr>
          <w:p w14:paraId="28F206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4"/>
                <w:szCs w:val="24"/>
                <w:highlight w:val="none"/>
              </w:rPr>
            </w:pPr>
            <w:r>
              <w:rPr>
                <w:rFonts w:hint="eastAsia" w:ascii="宋体" w:hAnsi="宋体" w:eastAsia="宋体" w:cs="宋体"/>
                <w:spacing w:val="3"/>
                <w:position w:val="1"/>
                <w:sz w:val="24"/>
                <w:szCs w:val="24"/>
                <w:highlight w:val="none"/>
              </w:rPr>
              <w:t>X＜10</w:t>
            </w:r>
          </w:p>
        </w:tc>
      </w:tr>
    </w:tbl>
    <w:p w14:paraId="677CF651">
      <w:pPr>
        <w:bidi w:val="0"/>
        <w:rPr>
          <w:rStyle w:val="28"/>
          <w:rFonts w:hint="eastAsia" w:ascii="宋体" w:hAnsi="宋体" w:eastAsia="宋体" w:cs="宋体"/>
          <w:b/>
          <w:bCs/>
          <w:kern w:val="2"/>
          <w:sz w:val="28"/>
          <w:szCs w:val="28"/>
          <w:highlight w:val="none"/>
          <w:lang w:val="en-US" w:eastAsia="zh-CN"/>
        </w:rPr>
      </w:pPr>
    </w:p>
    <w:p w14:paraId="54E0A8A4">
      <w:pPr>
        <w:keepNext w:val="0"/>
        <w:keepLines w:val="0"/>
        <w:pageBreakBefore w:val="0"/>
        <w:widowControl w:val="0"/>
        <w:kinsoku/>
        <w:wordWrap/>
        <w:overflowPunct/>
        <w:topLinePunct w:val="0"/>
        <w:autoSpaceDE/>
        <w:autoSpaceDN/>
        <w:bidi w:val="0"/>
        <w:adjustRightInd/>
        <w:snapToGrid w:val="0"/>
        <w:spacing w:line="360" w:lineRule="auto"/>
        <w:ind w:firstLine="516"/>
        <w:jc w:val="left"/>
        <w:textAlignment w:val="auto"/>
        <w:rPr>
          <w:rFonts w:hint="eastAsia" w:ascii="宋体" w:hAnsi="宋体" w:eastAsia="宋体" w:cs="宋体"/>
          <w:b/>
          <w:color w:val="auto"/>
          <w:sz w:val="36"/>
          <w:szCs w:val="36"/>
          <w:highlight w:val="none"/>
        </w:rPr>
      </w:pPr>
      <w:r>
        <w:rPr>
          <w:rFonts w:hint="eastAsia" w:ascii="宋体" w:hAnsi="宋体" w:eastAsia="宋体" w:cs="宋体"/>
          <w:spacing w:val="7"/>
          <w:sz w:val="24"/>
          <w:szCs w:val="24"/>
          <w:highlight w:val="none"/>
        </w:rPr>
        <w:t>说明：上述标准参照《关于印发中小企业划型标准规定的通知》（工信部联企业[2011]300</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号），大</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型、中型和小型企业须同时满足所列指标的下限，否则下划一档；微型企业只须满足所列指标中的一项即</w:t>
      </w:r>
      <w:r>
        <w:rPr>
          <w:rFonts w:hint="eastAsia" w:ascii="宋体" w:hAnsi="宋体" w:eastAsia="宋体" w:cs="宋体"/>
          <w:spacing w:val="-12"/>
          <w:sz w:val="24"/>
          <w:szCs w:val="24"/>
          <w:highlight w:val="none"/>
        </w:rPr>
        <w:t>可。</w:t>
      </w:r>
    </w:p>
    <w:p w14:paraId="09E10E08">
      <w:pPr>
        <w:pStyle w:val="30"/>
        <w:spacing w:line="600" w:lineRule="exact"/>
        <w:jc w:val="center"/>
        <w:outlineLvl w:val="0"/>
        <w:rPr>
          <w:rFonts w:hint="eastAsia" w:ascii="宋体" w:hAnsi="宋体" w:eastAsia="宋体" w:cs="宋体"/>
          <w:b/>
          <w:color w:val="auto"/>
          <w:sz w:val="36"/>
          <w:szCs w:val="36"/>
          <w:highlight w:val="none"/>
        </w:rPr>
      </w:pPr>
      <w:bookmarkStart w:id="27" w:name="_Toc28537"/>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五</w:t>
      </w:r>
      <w:r>
        <w:rPr>
          <w:rFonts w:hint="eastAsia" w:ascii="宋体" w:hAnsi="宋体" w:eastAsia="宋体" w:cs="宋体"/>
          <w:b/>
          <w:color w:val="auto"/>
          <w:sz w:val="36"/>
          <w:szCs w:val="36"/>
          <w:highlight w:val="none"/>
        </w:rPr>
        <w:t xml:space="preserve">部分  </w:t>
      </w:r>
      <w:bookmarkEnd w:id="12"/>
      <w:bookmarkEnd w:id="13"/>
      <w:bookmarkEnd w:id="14"/>
      <w:bookmarkStart w:id="28" w:name="_Toc171913605"/>
      <w:bookmarkStart w:id="29" w:name="_Toc171913680"/>
      <w:r>
        <w:rPr>
          <w:rFonts w:hint="eastAsia" w:ascii="宋体" w:hAnsi="宋体" w:eastAsia="宋体" w:cs="宋体"/>
          <w:b/>
          <w:color w:val="auto"/>
          <w:sz w:val="36"/>
          <w:szCs w:val="36"/>
          <w:highlight w:val="none"/>
        </w:rPr>
        <w:t>评审细则和评审方法</w:t>
      </w:r>
      <w:bookmarkEnd w:id="27"/>
    </w:p>
    <w:bookmarkEnd w:id="28"/>
    <w:bookmarkEnd w:id="29"/>
    <w:p w14:paraId="5EEDD78C">
      <w:pPr>
        <w:keepNext w:val="0"/>
        <w:keepLines w:val="0"/>
        <w:pageBreakBefore w:val="0"/>
        <w:kinsoku/>
        <w:wordWrap/>
        <w:overflowPunct/>
        <w:topLinePunct w:val="0"/>
        <w:bidi w:val="0"/>
        <w:adjustRightInd w:val="0"/>
        <w:snapToGrid w:val="0"/>
        <w:spacing w:before="240" w:beforeLines="100" w:after="240" w:afterLines="100" w:line="360" w:lineRule="auto"/>
        <w:ind w:left="0" w:leftChars="0" w:firstLine="0" w:firstLineChars="0"/>
        <w:jc w:val="center"/>
        <w:outlineLvl w:val="9"/>
        <w:rPr>
          <w:rFonts w:hint="eastAsia" w:ascii="宋体" w:hAnsi="宋体" w:eastAsia="宋体" w:cs="宋体"/>
          <w:b/>
          <w:bCs/>
          <w:color w:val="auto"/>
          <w:sz w:val="24"/>
          <w:szCs w:val="24"/>
          <w:highlight w:val="none"/>
        </w:rPr>
      </w:pPr>
      <w:bookmarkStart w:id="30" w:name="_Toc86202633"/>
      <w:bookmarkStart w:id="31" w:name="_Toc171913610"/>
      <w:bookmarkStart w:id="32" w:name="_Toc171913689"/>
      <w:bookmarkStart w:id="33" w:name="_Toc88449336"/>
      <w:r>
        <w:rPr>
          <w:rFonts w:hint="eastAsia" w:ascii="宋体" w:hAnsi="宋体" w:eastAsia="宋体" w:cs="宋体"/>
          <w:b/>
          <w:bCs/>
          <w:color w:val="auto"/>
          <w:sz w:val="24"/>
          <w:szCs w:val="24"/>
          <w:highlight w:val="none"/>
        </w:rPr>
        <w:t>1、评审办法</w:t>
      </w:r>
    </w:p>
    <w:p w14:paraId="5A304D6E">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本采购项目评审办法</w:t>
      </w:r>
      <w:r>
        <w:rPr>
          <w:rFonts w:hint="eastAsia" w:ascii="宋体" w:hAnsi="宋体" w:eastAsia="宋体" w:cs="宋体"/>
          <w:color w:val="auto"/>
          <w:sz w:val="24"/>
          <w:szCs w:val="24"/>
          <w:highlight w:val="none"/>
          <w:lang w:val="en-US" w:eastAsia="zh-CN"/>
        </w:rPr>
        <w:t>综合评分法</w:t>
      </w:r>
    </w:p>
    <w:p w14:paraId="2D54F35E">
      <w:pPr>
        <w:keepNext w:val="0"/>
        <w:keepLines w:val="0"/>
        <w:pageBreakBefore w:val="0"/>
        <w:kinsoku/>
        <w:wordWrap/>
        <w:overflowPunct/>
        <w:topLinePunct w:val="0"/>
        <w:bidi w:val="0"/>
        <w:adjustRightInd w:val="0"/>
        <w:snapToGrid w:val="0"/>
        <w:spacing w:before="240" w:beforeLines="100" w:after="240" w:afterLines="100" w:line="360" w:lineRule="auto"/>
        <w:ind w:left="0" w:leftChars="0" w:firstLine="0" w:firstLineChars="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2、初步评审</w:t>
      </w:r>
    </w:p>
    <w:p w14:paraId="05CD468E">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2.1总则</w:t>
      </w:r>
    </w:p>
    <w:p w14:paraId="09FF607A">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成员应当按照客观、公正、审慎的原则，根据磋商文件规定的评审程序、评审方法和评审标准对响应文件进行独立评审。未实质性响应磋商文件的响应文件按无效响应处理，磋商小组应当告知提交响应文件的供应商。对所有磋商供应商的评审，都采用相同的程序和磋商文件规定的评审标准。评议过程将严格按照磋商文件规定的评审办法和标准进行。</w:t>
      </w:r>
    </w:p>
    <w:p w14:paraId="4119E65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2.1.2有关对磋商响应文件的审查、澄清、评估和比较以及推荐成交候选人的一切情况都不得透露给任一磋商供应商或与上述评审工作无关的人员。</w:t>
      </w:r>
    </w:p>
    <w:p w14:paraId="390337B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2.1.3磋商供应商任何试图影响磋商小组各成员会对磋商响应文件的评审、比较或者推荐候选供应商的行为，都将导致其磋商被拒绝，并被没收磋商保证金。</w:t>
      </w:r>
    </w:p>
    <w:p w14:paraId="4F92A78E">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 响应文件的审查</w:t>
      </w:r>
    </w:p>
    <w:p w14:paraId="48D55043">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2.2.1磋商小组将对磋商响应文件的有效性、完整性和响应程度进行审查，以确定响应文件是否实质性响应了磋商文件。 </w:t>
      </w:r>
    </w:p>
    <w:p w14:paraId="030CCC83">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2.3资格性审查和符合性审查 </w:t>
      </w:r>
    </w:p>
    <w:p w14:paraId="6A4E36AE">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资格性审查：依据法律法规和磋商文件的规定，磋商小组对各磋商供应商提交的响应文件进行资格审查，以确定其是否具备磋商资格。如果磋商供应商不具备磋商资格，不满足磋商文件所规定的资格标准或提供资格证明文件不全的，其磋商将被拒绝。</w:t>
      </w:r>
    </w:p>
    <w:p w14:paraId="33644B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E7259A">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《资格审查标准》</w:t>
      </w:r>
    </w:p>
    <w:tbl>
      <w:tblPr>
        <w:tblStyle w:val="19"/>
        <w:tblW w:w="9751" w:type="dxa"/>
        <w:tblInd w:w="93" w:type="dxa"/>
        <w:tblLayout w:type="fixed"/>
        <w:tblCellMar>
          <w:top w:w="0" w:type="dxa"/>
          <w:left w:w="108" w:type="dxa"/>
          <w:bottom w:w="0" w:type="dxa"/>
          <w:right w:w="108" w:type="dxa"/>
        </w:tblCellMar>
      </w:tblPr>
      <w:tblGrid>
        <w:gridCol w:w="1282"/>
        <w:gridCol w:w="6364"/>
        <w:gridCol w:w="2105"/>
      </w:tblGrid>
      <w:tr w14:paraId="7B501846">
        <w:tblPrEx>
          <w:tblCellMar>
            <w:top w:w="0" w:type="dxa"/>
            <w:left w:w="108" w:type="dxa"/>
            <w:bottom w:w="0" w:type="dxa"/>
            <w:right w:w="108" w:type="dxa"/>
          </w:tblCellMar>
        </w:tblPrEx>
        <w:trPr>
          <w:trHeight w:val="570" w:hRule="atLeast"/>
        </w:trPr>
        <w:tc>
          <w:tcPr>
            <w:tcW w:w="1282" w:type="dxa"/>
            <w:tcBorders>
              <w:top w:val="single" w:color="auto" w:sz="4" w:space="0"/>
              <w:left w:val="single" w:color="auto" w:sz="4" w:space="0"/>
              <w:bottom w:val="single" w:color="auto" w:sz="4" w:space="0"/>
              <w:right w:val="single" w:color="auto" w:sz="4" w:space="0"/>
            </w:tcBorders>
            <w:vAlign w:val="center"/>
          </w:tcPr>
          <w:p w14:paraId="6EB9AAB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64" w:type="dxa"/>
            <w:tcBorders>
              <w:top w:val="single" w:color="auto" w:sz="4" w:space="0"/>
              <w:left w:val="nil"/>
              <w:bottom w:val="single" w:color="auto" w:sz="4" w:space="0"/>
              <w:right w:val="single" w:color="auto" w:sz="4" w:space="0"/>
            </w:tcBorders>
            <w:vAlign w:val="center"/>
          </w:tcPr>
          <w:p w14:paraId="472363B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资格审查标准</w:t>
            </w:r>
          </w:p>
        </w:tc>
        <w:tc>
          <w:tcPr>
            <w:tcW w:w="2105" w:type="dxa"/>
            <w:tcBorders>
              <w:top w:val="single" w:color="auto" w:sz="4" w:space="0"/>
              <w:left w:val="nil"/>
              <w:bottom w:val="single" w:color="auto" w:sz="4" w:space="0"/>
              <w:right w:val="single" w:color="auto" w:sz="4" w:space="0"/>
            </w:tcBorders>
            <w:vAlign w:val="center"/>
          </w:tcPr>
          <w:p w14:paraId="6785FC4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结论</w:t>
            </w:r>
          </w:p>
        </w:tc>
      </w:tr>
      <w:tr w14:paraId="6F5D42DF">
        <w:tblPrEx>
          <w:tblCellMar>
            <w:top w:w="0" w:type="dxa"/>
            <w:left w:w="108" w:type="dxa"/>
            <w:bottom w:w="0" w:type="dxa"/>
            <w:right w:w="108" w:type="dxa"/>
          </w:tblCellMar>
        </w:tblPrEx>
        <w:trPr>
          <w:trHeight w:val="673" w:hRule="atLeast"/>
        </w:trPr>
        <w:tc>
          <w:tcPr>
            <w:tcW w:w="1282" w:type="dxa"/>
            <w:tcBorders>
              <w:top w:val="nil"/>
              <w:left w:val="single" w:color="auto" w:sz="4" w:space="0"/>
              <w:bottom w:val="single" w:color="auto" w:sz="4" w:space="0"/>
              <w:right w:val="single" w:color="auto" w:sz="4" w:space="0"/>
            </w:tcBorders>
            <w:vAlign w:val="center"/>
          </w:tcPr>
          <w:p w14:paraId="7CA29AE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364" w:type="dxa"/>
            <w:tcBorders>
              <w:top w:val="nil"/>
              <w:left w:val="nil"/>
              <w:bottom w:val="single" w:color="auto" w:sz="4" w:space="0"/>
              <w:right w:val="single" w:color="auto" w:sz="4" w:space="0"/>
            </w:tcBorders>
            <w:vAlign w:val="center"/>
          </w:tcPr>
          <w:p w14:paraId="1730F97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0"/>
                <w:highlight w:val="none"/>
                <w:lang w:val="zh-CN" w:eastAsia="zh-CN"/>
              </w:rPr>
              <w:t>供应商应为</w:t>
            </w:r>
            <w:r>
              <w:rPr>
                <w:rFonts w:hint="eastAsia" w:ascii="宋体" w:hAnsi="宋体" w:cs="宋体"/>
                <w:bCs/>
                <w:color w:val="auto"/>
                <w:sz w:val="24"/>
                <w:szCs w:val="20"/>
                <w:highlight w:val="none"/>
                <w:lang w:val="en-US" w:eastAsia="zh-CN"/>
              </w:rPr>
              <w:t>小微</w:t>
            </w:r>
            <w:r>
              <w:rPr>
                <w:rFonts w:hint="eastAsia" w:ascii="宋体" w:hAnsi="宋体" w:eastAsia="宋体" w:cs="宋体"/>
                <w:bCs/>
                <w:color w:val="auto"/>
                <w:sz w:val="24"/>
                <w:szCs w:val="20"/>
                <w:highlight w:val="none"/>
                <w:lang w:val="zh-CN" w:eastAsia="zh-CN"/>
              </w:rPr>
              <w:t>企业：请根据要求单独上传《中小企业声明函》</w:t>
            </w:r>
          </w:p>
        </w:tc>
        <w:tc>
          <w:tcPr>
            <w:tcW w:w="2105" w:type="dxa"/>
            <w:tcBorders>
              <w:top w:val="nil"/>
              <w:left w:val="nil"/>
              <w:bottom w:val="single" w:color="auto" w:sz="4" w:space="0"/>
              <w:right w:val="single" w:color="auto" w:sz="4" w:space="0"/>
            </w:tcBorders>
            <w:vAlign w:val="center"/>
          </w:tcPr>
          <w:p w14:paraId="794C3F4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1749D2A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□不通过</w:t>
            </w:r>
          </w:p>
        </w:tc>
      </w:tr>
      <w:tr w14:paraId="17C52775">
        <w:tblPrEx>
          <w:tblCellMar>
            <w:top w:w="0" w:type="dxa"/>
            <w:left w:w="108" w:type="dxa"/>
            <w:bottom w:w="0" w:type="dxa"/>
            <w:right w:w="108" w:type="dxa"/>
          </w:tblCellMar>
        </w:tblPrEx>
        <w:trPr>
          <w:trHeight w:val="673" w:hRule="atLeast"/>
        </w:trPr>
        <w:tc>
          <w:tcPr>
            <w:tcW w:w="1282" w:type="dxa"/>
            <w:tcBorders>
              <w:top w:val="nil"/>
              <w:left w:val="single" w:color="auto" w:sz="4" w:space="0"/>
              <w:bottom w:val="single" w:color="auto" w:sz="4" w:space="0"/>
              <w:right w:val="single" w:color="auto" w:sz="4" w:space="0"/>
            </w:tcBorders>
            <w:vAlign w:val="center"/>
          </w:tcPr>
          <w:p w14:paraId="7CA0CB0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6364" w:type="dxa"/>
            <w:tcBorders>
              <w:top w:val="nil"/>
              <w:left w:val="nil"/>
              <w:bottom w:val="single" w:color="auto" w:sz="4" w:space="0"/>
              <w:right w:val="single" w:color="auto" w:sz="4" w:space="0"/>
            </w:tcBorders>
            <w:vAlign w:val="center"/>
          </w:tcPr>
          <w:p w14:paraId="73024E1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sz w:val="24"/>
                <w:szCs w:val="22"/>
                <w:highlight w:val="none"/>
              </w:rPr>
              <w:t>在中华人民共和国境内依法注册的、具有独立承担民事责任的能力，提供有效的营业执照</w:t>
            </w:r>
          </w:p>
        </w:tc>
        <w:tc>
          <w:tcPr>
            <w:tcW w:w="2105" w:type="dxa"/>
            <w:tcBorders>
              <w:top w:val="nil"/>
              <w:left w:val="nil"/>
              <w:bottom w:val="single" w:color="auto" w:sz="4" w:space="0"/>
              <w:right w:val="single" w:color="auto" w:sz="4" w:space="0"/>
            </w:tcBorders>
            <w:vAlign w:val="center"/>
          </w:tcPr>
          <w:p w14:paraId="1B17382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722DD95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□不通过</w:t>
            </w:r>
          </w:p>
        </w:tc>
      </w:tr>
      <w:tr w14:paraId="3C9513FD">
        <w:tblPrEx>
          <w:tblCellMar>
            <w:top w:w="0" w:type="dxa"/>
            <w:left w:w="108" w:type="dxa"/>
            <w:bottom w:w="0" w:type="dxa"/>
            <w:right w:w="108" w:type="dxa"/>
          </w:tblCellMar>
        </w:tblPrEx>
        <w:trPr>
          <w:trHeight w:val="673" w:hRule="atLeast"/>
        </w:trPr>
        <w:tc>
          <w:tcPr>
            <w:tcW w:w="1282" w:type="dxa"/>
            <w:tcBorders>
              <w:top w:val="nil"/>
              <w:left w:val="single" w:color="auto" w:sz="4" w:space="0"/>
              <w:bottom w:val="single" w:color="auto" w:sz="4" w:space="0"/>
              <w:right w:val="single" w:color="auto" w:sz="4" w:space="0"/>
            </w:tcBorders>
            <w:vAlign w:val="center"/>
          </w:tcPr>
          <w:p w14:paraId="163C331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364" w:type="dxa"/>
            <w:tcBorders>
              <w:top w:val="nil"/>
              <w:left w:val="nil"/>
              <w:bottom w:val="single" w:color="auto" w:sz="4" w:space="0"/>
              <w:right w:val="single" w:color="auto" w:sz="4" w:space="0"/>
            </w:tcBorders>
            <w:vAlign w:val="center"/>
          </w:tcPr>
          <w:p w14:paraId="15E409B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法定代表人资格证明书及身份证</w:t>
            </w:r>
            <w:r>
              <w:rPr>
                <w:rFonts w:hint="eastAsia" w:ascii="宋体" w:hAnsi="宋体" w:eastAsia="宋体" w:cs="宋体"/>
                <w:color w:val="auto"/>
                <w:sz w:val="24"/>
                <w:szCs w:val="22"/>
                <w:highlight w:val="none"/>
                <w:lang w:val="en-US" w:eastAsia="zh-CN"/>
              </w:rPr>
              <w:t>；如是委托代理人需提供：法人授权委托书及被授权人身份证；</w:t>
            </w:r>
          </w:p>
        </w:tc>
        <w:tc>
          <w:tcPr>
            <w:tcW w:w="2105" w:type="dxa"/>
            <w:tcBorders>
              <w:top w:val="nil"/>
              <w:left w:val="nil"/>
              <w:bottom w:val="single" w:color="auto" w:sz="4" w:space="0"/>
              <w:right w:val="single" w:color="auto" w:sz="4" w:space="0"/>
            </w:tcBorders>
            <w:vAlign w:val="center"/>
          </w:tcPr>
          <w:p w14:paraId="4ECDB90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12B6CA2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□不通过</w:t>
            </w:r>
          </w:p>
        </w:tc>
      </w:tr>
      <w:tr w14:paraId="1CC218D6">
        <w:tblPrEx>
          <w:tblCellMar>
            <w:top w:w="0" w:type="dxa"/>
            <w:left w:w="108" w:type="dxa"/>
            <w:bottom w:w="0" w:type="dxa"/>
            <w:right w:w="108" w:type="dxa"/>
          </w:tblCellMar>
        </w:tblPrEx>
        <w:trPr>
          <w:trHeight w:val="673" w:hRule="atLeast"/>
        </w:trPr>
        <w:tc>
          <w:tcPr>
            <w:tcW w:w="1282" w:type="dxa"/>
            <w:tcBorders>
              <w:top w:val="nil"/>
              <w:left w:val="single" w:color="auto" w:sz="4" w:space="0"/>
              <w:bottom w:val="single" w:color="auto" w:sz="4" w:space="0"/>
              <w:right w:val="single" w:color="auto" w:sz="4" w:space="0"/>
            </w:tcBorders>
            <w:vAlign w:val="center"/>
          </w:tcPr>
          <w:p w14:paraId="1D25F1E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364" w:type="dxa"/>
            <w:tcBorders>
              <w:top w:val="nil"/>
              <w:left w:val="nil"/>
              <w:bottom w:val="single" w:color="auto" w:sz="4" w:space="0"/>
              <w:right w:val="single" w:color="auto" w:sz="4" w:space="0"/>
            </w:tcBorders>
            <w:vAlign w:val="center"/>
          </w:tcPr>
          <w:p w14:paraId="1F823B4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未被“信用中国”（www.creditchina.gov.cn）、中国政府采购网（www.ccgp.gov.cn）列入失信被执行人、重大税收违法案件当事人名单、政府采购严重违法失信行为记录名单。</w:t>
            </w:r>
          </w:p>
        </w:tc>
        <w:tc>
          <w:tcPr>
            <w:tcW w:w="2105" w:type="dxa"/>
            <w:tcBorders>
              <w:top w:val="nil"/>
              <w:left w:val="nil"/>
              <w:bottom w:val="single" w:color="auto" w:sz="4" w:space="0"/>
              <w:right w:val="single" w:color="auto" w:sz="4" w:space="0"/>
            </w:tcBorders>
            <w:vAlign w:val="center"/>
          </w:tcPr>
          <w:p w14:paraId="03E1F577">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1455BBB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□不通过</w:t>
            </w:r>
          </w:p>
        </w:tc>
      </w:tr>
      <w:tr w14:paraId="619B3D1B">
        <w:tblPrEx>
          <w:tblCellMar>
            <w:top w:w="0" w:type="dxa"/>
            <w:left w:w="108" w:type="dxa"/>
            <w:bottom w:w="0" w:type="dxa"/>
            <w:right w:w="108" w:type="dxa"/>
          </w:tblCellMar>
        </w:tblPrEx>
        <w:trPr>
          <w:trHeight w:val="712" w:hRule="atLeast"/>
        </w:trPr>
        <w:tc>
          <w:tcPr>
            <w:tcW w:w="1282" w:type="dxa"/>
            <w:tcBorders>
              <w:top w:val="single" w:color="auto" w:sz="4" w:space="0"/>
              <w:left w:val="single" w:color="auto" w:sz="4" w:space="0"/>
              <w:bottom w:val="single" w:color="auto" w:sz="4" w:space="0"/>
              <w:right w:val="single" w:color="auto" w:sz="4" w:space="0"/>
            </w:tcBorders>
            <w:vAlign w:val="center"/>
          </w:tcPr>
          <w:p w14:paraId="63C97DD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6364" w:type="dxa"/>
            <w:tcBorders>
              <w:top w:val="single" w:color="auto" w:sz="4" w:space="0"/>
              <w:left w:val="nil"/>
              <w:bottom w:val="single" w:color="auto" w:sz="4" w:space="0"/>
              <w:right w:val="single" w:color="auto" w:sz="4" w:space="0"/>
            </w:tcBorders>
            <w:shd w:val="clear" w:color="auto" w:fill="auto"/>
            <w:vAlign w:val="center"/>
          </w:tcPr>
          <w:p w14:paraId="0F9D425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zh-CN" w:eastAsia="zh-CN"/>
              </w:rPr>
              <w:t>磋商保证金缴纳凭证或保函</w:t>
            </w:r>
          </w:p>
        </w:tc>
        <w:tc>
          <w:tcPr>
            <w:tcW w:w="2105" w:type="dxa"/>
            <w:tcBorders>
              <w:top w:val="single" w:color="auto" w:sz="4" w:space="0"/>
              <w:left w:val="nil"/>
              <w:bottom w:val="single" w:color="auto" w:sz="4" w:space="0"/>
              <w:right w:val="single" w:color="auto" w:sz="4" w:space="0"/>
            </w:tcBorders>
            <w:vAlign w:val="center"/>
          </w:tcPr>
          <w:p w14:paraId="0B72298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1866458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□不通过</w:t>
            </w:r>
          </w:p>
        </w:tc>
      </w:tr>
      <w:tr w14:paraId="049671EF">
        <w:tblPrEx>
          <w:tblCellMar>
            <w:top w:w="0" w:type="dxa"/>
            <w:left w:w="108" w:type="dxa"/>
            <w:bottom w:w="0" w:type="dxa"/>
            <w:right w:w="108" w:type="dxa"/>
          </w:tblCellMar>
        </w:tblPrEx>
        <w:trPr>
          <w:trHeight w:val="712" w:hRule="atLeast"/>
        </w:trPr>
        <w:tc>
          <w:tcPr>
            <w:tcW w:w="1282" w:type="dxa"/>
            <w:tcBorders>
              <w:top w:val="single" w:color="auto" w:sz="4" w:space="0"/>
              <w:left w:val="single" w:color="auto" w:sz="4" w:space="0"/>
              <w:bottom w:val="single" w:color="auto" w:sz="4" w:space="0"/>
              <w:right w:val="single" w:color="auto" w:sz="4" w:space="0"/>
            </w:tcBorders>
            <w:vAlign w:val="center"/>
          </w:tcPr>
          <w:p w14:paraId="120CB7A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6364" w:type="dxa"/>
            <w:tcBorders>
              <w:top w:val="single" w:color="auto" w:sz="4" w:space="0"/>
              <w:left w:val="nil"/>
              <w:bottom w:val="single" w:color="auto" w:sz="4" w:space="0"/>
              <w:right w:val="single" w:color="auto" w:sz="4" w:space="0"/>
            </w:tcBorders>
            <w:shd w:val="clear" w:color="auto" w:fill="auto"/>
            <w:vAlign w:val="center"/>
          </w:tcPr>
          <w:p w14:paraId="49A582F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zh-CN" w:eastAsia="zh-CN"/>
              </w:rPr>
              <w:t>供应商（投标单位）《遵守政府采购相关法律法规承诺书》</w:t>
            </w:r>
          </w:p>
        </w:tc>
        <w:tc>
          <w:tcPr>
            <w:tcW w:w="2105" w:type="dxa"/>
            <w:tcBorders>
              <w:top w:val="single" w:color="auto" w:sz="4" w:space="0"/>
              <w:left w:val="nil"/>
              <w:bottom w:val="single" w:color="auto" w:sz="4" w:space="0"/>
              <w:right w:val="single" w:color="auto" w:sz="4" w:space="0"/>
            </w:tcBorders>
            <w:vAlign w:val="center"/>
          </w:tcPr>
          <w:p w14:paraId="315C6F6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292CA33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□不通过</w:t>
            </w:r>
          </w:p>
        </w:tc>
      </w:tr>
      <w:tr w14:paraId="6F564F81">
        <w:tblPrEx>
          <w:tblCellMar>
            <w:top w:w="0" w:type="dxa"/>
            <w:left w:w="108" w:type="dxa"/>
            <w:bottom w:w="0" w:type="dxa"/>
            <w:right w:w="108" w:type="dxa"/>
          </w:tblCellMar>
        </w:tblPrEx>
        <w:trPr>
          <w:trHeight w:val="1517" w:hRule="atLeast"/>
        </w:trPr>
        <w:tc>
          <w:tcPr>
            <w:tcW w:w="1282" w:type="dxa"/>
            <w:tcBorders>
              <w:top w:val="single" w:color="auto" w:sz="4" w:space="0"/>
              <w:left w:val="single" w:color="auto" w:sz="4" w:space="0"/>
              <w:bottom w:val="single" w:color="auto" w:sz="4" w:space="0"/>
              <w:right w:val="single" w:color="auto" w:sz="4" w:space="0"/>
            </w:tcBorders>
            <w:vAlign w:val="center"/>
          </w:tcPr>
          <w:p w14:paraId="4E9E8A6A">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364" w:type="dxa"/>
            <w:tcBorders>
              <w:top w:val="single" w:color="auto" w:sz="4" w:space="0"/>
              <w:left w:val="nil"/>
              <w:bottom w:val="single" w:color="auto" w:sz="4" w:space="0"/>
              <w:right w:val="single" w:color="auto" w:sz="4" w:space="0"/>
            </w:tcBorders>
            <w:vAlign w:val="center"/>
          </w:tcPr>
          <w:p w14:paraId="6A69A1E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sz w:val="24"/>
                <w:szCs w:val="22"/>
                <w:highlight w:val="none"/>
              </w:rPr>
            </w:pPr>
            <w:r>
              <w:rPr>
                <w:rFonts w:hint="eastAsia" w:ascii="宋体" w:hAnsi="宋体" w:cs="宋体"/>
                <w:sz w:val="24"/>
                <w:szCs w:val="22"/>
                <w:highlight w:val="none"/>
                <w:lang w:val="en-US" w:eastAsia="zh-CN"/>
              </w:rPr>
              <w:t>（1）供应商应具备有效的综合监理资质或电力工程专业监理乙级以上（含乙级）资质企业；新疆维吾尔自治区境外企业提供有效的进疆承揽业务相关信息录入手续； (2)供应商拟派总监理工程师应具备有效的电力工程专业注册监理工程师资格，本单位注册；</w:t>
            </w:r>
          </w:p>
        </w:tc>
        <w:tc>
          <w:tcPr>
            <w:tcW w:w="2105" w:type="dxa"/>
            <w:tcBorders>
              <w:top w:val="single" w:color="auto" w:sz="4" w:space="0"/>
              <w:left w:val="nil"/>
              <w:bottom w:val="single" w:color="auto" w:sz="4" w:space="0"/>
              <w:right w:val="single" w:color="auto" w:sz="4" w:space="0"/>
            </w:tcBorders>
            <w:vAlign w:val="center"/>
          </w:tcPr>
          <w:p w14:paraId="2777C43E">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w:t>
            </w:r>
          </w:p>
          <w:p w14:paraId="37BECB7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40" w:firstLineChars="100"/>
              <w:jc w:val="both"/>
              <w:textAlignment w:val="baseline"/>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□不通过</w:t>
            </w:r>
          </w:p>
        </w:tc>
      </w:tr>
    </w:tbl>
    <w:p w14:paraId="58DD9272">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p>
    <w:p w14:paraId="7AAD0DE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2.3.2符合性审查：依据磋商文件的规定，磋商小组还将对磋商响应文件的有效性、完整性和对磋商文件的响应程度进行审查，一确定响应文件是否完整、是否提交了磋商保证金、文件是否已正确签署、其</w:t>
      </w:r>
      <w:r>
        <w:rPr>
          <w:rFonts w:hint="eastAsia" w:ascii="宋体" w:hAnsi="宋体" w:eastAsia="宋体" w:cs="宋体"/>
          <w:color w:val="auto"/>
          <w:sz w:val="24"/>
          <w:szCs w:val="24"/>
          <w:highlight w:val="none"/>
          <w:lang w:val="en-US" w:eastAsia="zh-CN"/>
        </w:rPr>
        <w:t>监理大纲</w:t>
      </w:r>
      <w:r>
        <w:rPr>
          <w:rFonts w:hint="eastAsia" w:ascii="宋体" w:hAnsi="宋体" w:eastAsia="宋体" w:cs="宋体"/>
          <w:color w:val="auto"/>
          <w:sz w:val="24"/>
          <w:szCs w:val="24"/>
          <w:highlight w:val="none"/>
        </w:rPr>
        <w:t>方案是否满足、</w:t>
      </w:r>
      <w:r>
        <w:rPr>
          <w:rFonts w:hint="eastAsia" w:ascii="宋体" w:hAnsi="宋体" w:eastAsia="宋体" w:cs="宋体"/>
          <w:color w:val="auto"/>
          <w:sz w:val="24"/>
          <w:szCs w:val="24"/>
          <w:highlight w:val="none"/>
          <w:lang w:val="en-US" w:eastAsia="zh-CN"/>
        </w:rPr>
        <w:t>监理</w:t>
      </w:r>
      <w:r>
        <w:rPr>
          <w:rFonts w:hint="eastAsia" w:ascii="宋体" w:hAnsi="宋体" w:eastAsia="宋体" w:cs="宋体"/>
          <w:color w:val="auto"/>
          <w:sz w:val="24"/>
          <w:szCs w:val="24"/>
          <w:highlight w:val="none"/>
        </w:rPr>
        <w:t>工作服务期、付款方式、服务质量等是否满足磋商文件的规定，以确定是否符合对磋商文件的实质性要求作出响应。如果响应文件对磋商文件的存在实质性实偏离的，其磋商将被拒绝。实质性偏离是指：</w:t>
      </w:r>
    </w:p>
    <w:p w14:paraId="5D543E2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（1）实质性影响合同的范围、质量和履行；</w:t>
      </w:r>
    </w:p>
    <w:p w14:paraId="7F31A0B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（2）实质性违背磋商文件，限制了采购人的权利和成交供应商合同项下的义务；</w:t>
      </w:r>
    </w:p>
    <w:p w14:paraId="40C9885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（3）不公正地影响了其它做出实质性响应的供应商的竞争地位。</w:t>
      </w:r>
    </w:p>
    <w:p w14:paraId="0FA1E4AF">
      <w:pP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br w:type="page"/>
      </w:r>
    </w:p>
    <w:p w14:paraId="11636237">
      <w:pPr>
        <w:pStyle w:val="18"/>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《符合性审查标准》</w:t>
      </w:r>
    </w:p>
    <w:tbl>
      <w:tblPr>
        <w:tblStyle w:val="19"/>
        <w:tblW w:w="9512" w:type="dxa"/>
        <w:tblInd w:w="93" w:type="dxa"/>
        <w:tblLayout w:type="fixed"/>
        <w:tblCellMar>
          <w:top w:w="0" w:type="dxa"/>
          <w:left w:w="108" w:type="dxa"/>
          <w:bottom w:w="0" w:type="dxa"/>
          <w:right w:w="108" w:type="dxa"/>
        </w:tblCellMar>
      </w:tblPr>
      <w:tblGrid>
        <w:gridCol w:w="1089"/>
        <w:gridCol w:w="6688"/>
        <w:gridCol w:w="1735"/>
      </w:tblGrid>
      <w:tr w14:paraId="3B0DBD27">
        <w:tblPrEx>
          <w:tblCellMar>
            <w:top w:w="0" w:type="dxa"/>
            <w:left w:w="108" w:type="dxa"/>
            <w:bottom w:w="0" w:type="dxa"/>
            <w:right w:w="108" w:type="dxa"/>
          </w:tblCellMar>
        </w:tblPrEx>
        <w:trPr>
          <w:trHeight w:val="946" w:hRule="atLeast"/>
        </w:trPr>
        <w:tc>
          <w:tcPr>
            <w:tcW w:w="1089" w:type="dxa"/>
            <w:tcBorders>
              <w:top w:val="single" w:color="auto" w:sz="4" w:space="0"/>
              <w:left w:val="single" w:color="auto" w:sz="4" w:space="0"/>
              <w:bottom w:val="single" w:color="auto" w:sz="4" w:space="0"/>
              <w:right w:val="single" w:color="auto" w:sz="4" w:space="0"/>
            </w:tcBorders>
            <w:vAlign w:val="center"/>
          </w:tcPr>
          <w:p w14:paraId="5AF1F3BA">
            <w:pPr>
              <w:pStyle w:val="18"/>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序号</w:t>
            </w:r>
          </w:p>
        </w:tc>
        <w:tc>
          <w:tcPr>
            <w:tcW w:w="6688" w:type="dxa"/>
            <w:tcBorders>
              <w:top w:val="single" w:color="auto" w:sz="4" w:space="0"/>
              <w:left w:val="single" w:color="auto" w:sz="4" w:space="0"/>
              <w:bottom w:val="single" w:color="auto" w:sz="4" w:space="0"/>
              <w:right w:val="single" w:color="auto" w:sz="4" w:space="0"/>
            </w:tcBorders>
            <w:vAlign w:val="center"/>
          </w:tcPr>
          <w:p w14:paraId="4D3E43DB">
            <w:pPr>
              <w:pStyle w:val="18"/>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评审内容</w:t>
            </w:r>
          </w:p>
        </w:tc>
        <w:tc>
          <w:tcPr>
            <w:tcW w:w="1735" w:type="dxa"/>
            <w:tcBorders>
              <w:top w:val="single" w:color="auto" w:sz="4" w:space="0"/>
              <w:left w:val="single" w:color="auto" w:sz="4" w:space="0"/>
              <w:bottom w:val="single" w:color="auto" w:sz="4" w:space="0"/>
              <w:right w:val="single" w:color="auto" w:sz="4" w:space="0"/>
            </w:tcBorders>
            <w:vAlign w:val="center"/>
          </w:tcPr>
          <w:p w14:paraId="1CEB7B2F">
            <w:pPr>
              <w:pStyle w:val="27"/>
              <w:keepNext w:val="0"/>
              <w:keepLines w:val="0"/>
              <w:pageBreakBefore w:val="0"/>
              <w:widowControl w:val="0"/>
              <w:kinsoku/>
              <w:wordWrap/>
              <w:overflowPunct/>
              <w:topLinePunct w:val="0"/>
              <w:bidi w:val="0"/>
              <w:adjustRightInd w:val="0"/>
              <w:snapToGrid w:val="0"/>
              <w:spacing w:line="400" w:lineRule="exact"/>
              <w:ind w:left="0" w:leftChars="0" w:right="0" w:rightChars="0" w:firstLine="0" w:firstLineChars="0"/>
              <w:jc w:val="center"/>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结论</w:t>
            </w:r>
          </w:p>
        </w:tc>
      </w:tr>
      <w:tr w14:paraId="71C49882">
        <w:tblPrEx>
          <w:tblCellMar>
            <w:top w:w="0" w:type="dxa"/>
            <w:left w:w="108" w:type="dxa"/>
            <w:bottom w:w="0" w:type="dxa"/>
            <w:right w:w="108" w:type="dxa"/>
          </w:tblCellMar>
        </w:tblPrEx>
        <w:trPr>
          <w:trHeight w:val="391" w:hRule="atLeast"/>
        </w:trPr>
        <w:tc>
          <w:tcPr>
            <w:tcW w:w="1089" w:type="dxa"/>
            <w:tcBorders>
              <w:top w:val="nil"/>
              <w:left w:val="single" w:color="auto" w:sz="4" w:space="0"/>
              <w:bottom w:val="single" w:color="auto" w:sz="4" w:space="0"/>
              <w:right w:val="single" w:color="auto" w:sz="4" w:space="0"/>
            </w:tcBorders>
            <w:vAlign w:val="center"/>
          </w:tcPr>
          <w:p w14:paraId="177FF186">
            <w:pPr>
              <w:pStyle w:val="18"/>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1</w:t>
            </w:r>
          </w:p>
        </w:tc>
        <w:tc>
          <w:tcPr>
            <w:tcW w:w="6688" w:type="dxa"/>
            <w:tcBorders>
              <w:top w:val="nil"/>
              <w:left w:val="nil"/>
              <w:bottom w:val="single" w:color="auto" w:sz="4" w:space="0"/>
              <w:right w:val="single" w:color="auto" w:sz="4" w:space="0"/>
            </w:tcBorders>
            <w:vAlign w:val="center"/>
          </w:tcPr>
          <w:p w14:paraId="170959D7">
            <w:pPr>
              <w:pStyle w:val="18"/>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en-US" w:eastAsia="zh-CN"/>
              </w:rPr>
              <w:t>监理</w:t>
            </w:r>
            <w:r>
              <w:rPr>
                <w:rFonts w:hint="eastAsia" w:ascii="宋体" w:hAnsi="宋体" w:eastAsia="宋体" w:cs="宋体"/>
                <w:color w:val="auto"/>
                <w:spacing w:val="0"/>
                <w:kern w:val="2"/>
                <w:sz w:val="24"/>
                <w:szCs w:val="24"/>
                <w:highlight w:val="none"/>
              </w:rPr>
              <w:t>方案</w:t>
            </w:r>
            <w:r>
              <w:rPr>
                <w:rFonts w:hint="eastAsia" w:ascii="宋体" w:hAnsi="宋体" w:eastAsia="宋体" w:cs="宋体"/>
                <w:color w:val="auto"/>
                <w:spacing w:val="0"/>
                <w:kern w:val="2"/>
                <w:sz w:val="24"/>
                <w:szCs w:val="24"/>
                <w:highlight w:val="none"/>
                <w:lang w:val="en-US" w:eastAsia="zh-CN"/>
              </w:rPr>
              <w:t>、拟投入本项目人员安排</w:t>
            </w:r>
            <w:r>
              <w:rPr>
                <w:rFonts w:hint="eastAsia" w:ascii="宋体" w:hAnsi="宋体" w:eastAsia="宋体" w:cs="宋体"/>
                <w:color w:val="auto"/>
                <w:spacing w:val="0"/>
                <w:kern w:val="2"/>
                <w:sz w:val="24"/>
                <w:szCs w:val="24"/>
                <w:highlight w:val="none"/>
              </w:rPr>
              <w:t>是否满足</w:t>
            </w:r>
            <w:r>
              <w:rPr>
                <w:rFonts w:hint="eastAsia" w:ascii="宋体" w:hAnsi="宋体" w:eastAsia="宋体" w:cs="宋体"/>
                <w:color w:val="auto"/>
                <w:spacing w:val="0"/>
                <w:kern w:val="2"/>
                <w:sz w:val="24"/>
                <w:szCs w:val="24"/>
                <w:highlight w:val="none"/>
                <w:lang w:eastAsia="zh-CN"/>
              </w:rPr>
              <w:t>；</w:t>
            </w:r>
          </w:p>
        </w:tc>
        <w:tc>
          <w:tcPr>
            <w:tcW w:w="1735" w:type="dxa"/>
            <w:tcBorders>
              <w:top w:val="nil"/>
              <w:left w:val="nil"/>
              <w:bottom w:val="single" w:color="auto" w:sz="4" w:space="0"/>
              <w:right w:val="single" w:color="auto" w:sz="4" w:space="0"/>
            </w:tcBorders>
            <w:vAlign w:val="center"/>
          </w:tcPr>
          <w:p w14:paraId="0402B9F4">
            <w:pPr>
              <w:pStyle w:val="27"/>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4A253FD1">
            <w:pPr>
              <w:pStyle w:val="27"/>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1A5E4338">
        <w:tblPrEx>
          <w:tblCellMar>
            <w:top w:w="0" w:type="dxa"/>
            <w:left w:w="108" w:type="dxa"/>
            <w:bottom w:w="0" w:type="dxa"/>
            <w:right w:w="108" w:type="dxa"/>
          </w:tblCellMar>
        </w:tblPrEx>
        <w:trPr>
          <w:trHeight w:val="307" w:hRule="atLeast"/>
        </w:trPr>
        <w:tc>
          <w:tcPr>
            <w:tcW w:w="1089" w:type="dxa"/>
            <w:tcBorders>
              <w:top w:val="nil"/>
              <w:left w:val="single" w:color="auto" w:sz="4" w:space="0"/>
              <w:bottom w:val="single" w:color="auto" w:sz="4" w:space="0"/>
              <w:right w:val="single" w:color="auto" w:sz="4" w:space="0"/>
            </w:tcBorders>
            <w:vAlign w:val="center"/>
          </w:tcPr>
          <w:p w14:paraId="24B0A70A">
            <w:pPr>
              <w:pStyle w:val="18"/>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2</w:t>
            </w:r>
          </w:p>
        </w:tc>
        <w:tc>
          <w:tcPr>
            <w:tcW w:w="6688" w:type="dxa"/>
            <w:tcBorders>
              <w:top w:val="nil"/>
              <w:left w:val="nil"/>
              <w:bottom w:val="single" w:color="auto" w:sz="4" w:space="0"/>
              <w:right w:val="single" w:color="auto" w:sz="4" w:space="0"/>
            </w:tcBorders>
            <w:vAlign w:val="center"/>
          </w:tcPr>
          <w:p w14:paraId="2E11AF7F">
            <w:pPr>
              <w:pStyle w:val="18"/>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技术要求或质量标准等不符合磋商文件规定的；</w:t>
            </w:r>
          </w:p>
        </w:tc>
        <w:tc>
          <w:tcPr>
            <w:tcW w:w="1735" w:type="dxa"/>
            <w:tcBorders>
              <w:top w:val="nil"/>
              <w:left w:val="nil"/>
              <w:bottom w:val="single" w:color="auto" w:sz="4" w:space="0"/>
              <w:right w:val="single" w:color="auto" w:sz="4" w:space="0"/>
            </w:tcBorders>
            <w:vAlign w:val="center"/>
          </w:tcPr>
          <w:p w14:paraId="7E1D4210">
            <w:pPr>
              <w:pStyle w:val="27"/>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2F920F82">
            <w:pPr>
              <w:pStyle w:val="27"/>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p w14:paraId="6FD0BD6C">
            <w:pPr>
              <w:pStyle w:val="27"/>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p>
        </w:tc>
      </w:tr>
      <w:tr w14:paraId="07190D40">
        <w:tblPrEx>
          <w:tblCellMar>
            <w:top w:w="0" w:type="dxa"/>
            <w:left w:w="108" w:type="dxa"/>
            <w:bottom w:w="0" w:type="dxa"/>
            <w:right w:w="108" w:type="dxa"/>
          </w:tblCellMar>
        </w:tblPrEx>
        <w:trPr>
          <w:trHeight w:val="330" w:hRule="atLeast"/>
        </w:trPr>
        <w:tc>
          <w:tcPr>
            <w:tcW w:w="1089" w:type="dxa"/>
            <w:tcBorders>
              <w:top w:val="single" w:color="auto" w:sz="4" w:space="0"/>
              <w:left w:val="single" w:color="auto" w:sz="4" w:space="0"/>
              <w:bottom w:val="single" w:color="auto" w:sz="4" w:space="0"/>
              <w:right w:val="single" w:color="auto" w:sz="4" w:space="0"/>
            </w:tcBorders>
            <w:vAlign w:val="center"/>
          </w:tcPr>
          <w:p w14:paraId="381BF950">
            <w:pPr>
              <w:pStyle w:val="18"/>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3</w:t>
            </w:r>
          </w:p>
        </w:tc>
        <w:tc>
          <w:tcPr>
            <w:tcW w:w="6688" w:type="dxa"/>
            <w:tcBorders>
              <w:top w:val="single" w:color="auto" w:sz="4" w:space="0"/>
              <w:left w:val="nil"/>
              <w:bottom w:val="single" w:color="auto" w:sz="4" w:space="0"/>
              <w:right w:val="single" w:color="auto" w:sz="4" w:space="0"/>
            </w:tcBorders>
            <w:vAlign w:val="center"/>
          </w:tcPr>
          <w:p w14:paraId="1C4C5B70">
            <w:pPr>
              <w:pStyle w:val="18"/>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不符合法律、法规和磋商文件中规定的其它实质性要求的；</w:t>
            </w:r>
          </w:p>
        </w:tc>
        <w:tc>
          <w:tcPr>
            <w:tcW w:w="1735" w:type="dxa"/>
            <w:tcBorders>
              <w:top w:val="single" w:color="auto" w:sz="4" w:space="0"/>
              <w:left w:val="nil"/>
              <w:bottom w:val="single" w:color="auto" w:sz="4" w:space="0"/>
              <w:right w:val="single" w:color="auto" w:sz="4" w:space="0"/>
            </w:tcBorders>
            <w:vAlign w:val="center"/>
          </w:tcPr>
          <w:p w14:paraId="0317BC60">
            <w:pPr>
              <w:pStyle w:val="27"/>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08CD599C">
            <w:pPr>
              <w:pStyle w:val="27"/>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5B91FA92">
        <w:tblPrEx>
          <w:tblCellMar>
            <w:top w:w="0" w:type="dxa"/>
            <w:left w:w="108" w:type="dxa"/>
            <w:bottom w:w="0" w:type="dxa"/>
            <w:right w:w="108" w:type="dxa"/>
          </w:tblCellMar>
        </w:tblPrEx>
        <w:trPr>
          <w:trHeight w:val="330" w:hRule="atLeast"/>
        </w:trPr>
        <w:tc>
          <w:tcPr>
            <w:tcW w:w="1089" w:type="dxa"/>
            <w:tcBorders>
              <w:top w:val="nil"/>
              <w:left w:val="single" w:color="auto" w:sz="4" w:space="0"/>
              <w:bottom w:val="single" w:color="auto" w:sz="4" w:space="0"/>
              <w:right w:val="single" w:color="auto" w:sz="4" w:space="0"/>
            </w:tcBorders>
            <w:vAlign w:val="center"/>
          </w:tcPr>
          <w:p w14:paraId="37FDCAC6">
            <w:pPr>
              <w:pStyle w:val="18"/>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4</w:t>
            </w:r>
          </w:p>
        </w:tc>
        <w:tc>
          <w:tcPr>
            <w:tcW w:w="6688" w:type="dxa"/>
            <w:tcBorders>
              <w:top w:val="nil"/>
              <w:left w:val="nil"/>
              <w:bottom w:val="single" w:color="auto" w:sz="4" w:space="0"/>
              <w:right w:val="single" w:color="auto" w:sz="4" w:space="0"/>
            </w:tcBorders>
            <w:vAlign w:val="center"/>
          </w:tcPr>
          <w:p w14:paraId="558A6D4B">
            <w:pPr>
              <w:pStyle w:val="18"/>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响应内容与采购内容及要求有重大偏离或保留的，或附有采购人不能接受的条件的；</w:t>
            </w:r>
          </w:p>
        </w:tc>
        <w:tc>
          <w:tcPr>
            <w:tcW w:w="1735" w:type="dxa"/>
            <w:tcBorders>
              <w:top w:val="nil"/>
              <w:left w:val="nil"/>
              <w:bottom w:val="single" w:color="auto" w:sz="4" w:space="0"/>
              <w:right w:val="single" w:color="auto" w:sz="4" w:space="0"/>
            </w:tcBorders>
            <w:vAlign w:val="center"/>
          </w:tcPr>
          <w:p w14:paraId="1EF02454">
            <w:pPr>
              <w:pStyle w:val="27"/>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3F62AA2E">
            <w:pPr>
              <w:pStyle w:val="27"/>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0CE73409">
        <w:tblPrEx>
          <w:tblCellMar>
            <w:top w:w="0" w:type="dxa"/>
            <w:left w:w="108" w:type="dxa"/>
            <w:bottom w:w="0" w:type="dxa"/>
            <w:right w:w="108" w:type="dxa"/>
          </w:tblCellMar>
        </w:tblPrEx>
        <w:trPr>
          <w:trHeight w:val="330" w:hRule="atLeast"/>
        </w:trPr>
        <w:tc>
          <w:tcPr>
            <w:tcW w:w="1089" w:type="dxa"/>
            <w:tcBorders>
              <w:top w:val="nil"/>
              <w:left w:val="single" w:color="auto" w:sz="4" w:space="0"/>
              <w:bottom w:val="single" w:color="auto" w:sz="4" w:space="0"/>
              <w:right w:val="single" w:color="auto" w:sz="4" w:space="0"/>
            </w:tcBorders>
            <w:vAlign w:val="center"/>
          </w:tcPr>
          <w:p w14:paraId="70FA521E">
            <w:pPr>
              <w:pStyle w:val="18"/>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5</w:t>
            </w:r>
          </w:p>
        </w:tc>
        <w:tc>
          <w:tcPr>
            <w:tcW w:w="6688" w:type="dxa"/>
            <w:tcBorders>
              <w:top w:val="nil"/>
              <w:left w:val="nil"/>
              <w:bottom w:val="single" w:color="auto" w:sz="4" w:space="0"/>
              <w:right w:val="single" w:color="auto" w:sz="4" w:space="0"/>
            </w:tcBorders>
            <w:vAlign w:val="center"/>
          </w:tcPr>
          <w:p w14:paraId="09BE3C41">
            <w:pPr>
              <w:pStyle w:val="18"/>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lang w:val="en-US" w:eastAsia="zh-CN"/>
              </w:rPr>
            </w:pPr>
            <w:r>
              <w:rPr>
                <w:rFonts w:hint="eastAsia" w:ascii="宋体" w:hAnsi="宋体" w:eastAsia="宋体" w:cs="宋体"/>
                <w:color w:val="auto"/>
                <w:spacing w:val="0"/>
                <w:kern w:val="2"/>
                <w:sz w:val="24"/>
                <w:szCs w:val="24"/>
                <w:highlight w:val="none"/>
              </w:rPr>
              <w:t>响应文件中提供虚假或失实资料的；</w:t>
            </w:r>
          </w:p>
        </w:tc>
        <w:tc>
          <w:tcPr>
            <w:tcW w:w="1735" w:type="dxa"/>
            <w:tcBorders>
              <w:top w:val="nil"/>
              <w:left w:val="nil"/>
              <w:bottom w:val="single" w:color="auto" w:sz="4" w:space="0"/>
              <w:right w:val="single" w:color="auto" w:sz="4" w:space="0"/>
            </w:tcBorders>
            <w:vAlign w:val="center"/>
          </w:tcPr>
          <w:p w14:paraId="647C08CE">
            <w:pPr>
              <w:pStyle w:val="27"/>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42FC9E50">
            <w:pPr>
              <w:pStyle w:val="27"/>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1BB6F8A5">
        <w:tblPrEx>
          <w:tblCellMar>
            <w:top w:w="0" w:type="dxa"/>
            <w:left w:w="108" w:type="dxa"/>
            <w:bottom w:w="0" w:type="dxa"/>
            <w:right w:w="108" w:type="dxa"/>
          </w:tblCellMar>
        </w:tblPrEx>
        <w:trPr>
          <w:trHeight w:val="330" w:hRule="atLeast"/>
        </w:trPr>
        <w:tc>
          <w:tcPr>
            <w:tcW w:w="1089" w:type="dxa"/>
            <w:tcBorders>
              <w:top w:val="nil"/>
              <w:left w:val="single" w:color="auto" w:sz="4" w:space="0"/>
              <w:bottom w:val="single" w:color="auto" w:sz="4" w:space="0"/>
              <w:right w:val="single" w:color="auto" w:sz="4" w:space="0"/>
            </w:tcBorders>
            <w:vAlign w:val="center"/>
          </w:tcPr>
          <w:p w14:paraId="2E909D9F">
            <w:pPr>
              <w:pStyle w:val="18"/>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6</w:t>
            </w:r>
          </w:p>
        </w:tc>
        <w:tc>
          <w:tcPr>
            <w:tcW w:w="6688" w:type="dxa"/>
            <w:tcBorders>
              <w:top w:val="nil"/>
              <w:left w:val="nil"/>
              <w:bottom w:val="single" w:color="auto" w:sz="4" w:space="0"/>
              <w:right w:val="single" w:color="auto" w:sz="4" w:space="0"/>
            </w:tcBorders>
            <w:vAlign w:val="center"/>
          </w:tcPr>
          <w:p w14:paraId="37C08253">
            <w:pPr>
              <w:pStyle w:val="18"/>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磋商响应文件编制是否按照磋商文件要求编写、不符合磋商文件要求的；</w:t>
            </w:r>
          </w:p>
        </w:tc>
        <w:tc>
          <w:tcPr>
            <w:tcW w:w="1735" w:type="dxa"/>
            <w:tcBorders>
              <w:top w:val="nil"/>
              <w:left w:val="nil"/>
              <w:bottom w:val="single" w:color="auto" w:sz="4" w:space="0"/>
              <w:right w:val="single" w:color="auto" w:sz="4" w:space="0"/>
            </w:tcBorders>
            <w:vAlign w:val="center"/>
          </w:tcPr>
          <w:p w14:paraId="65B14037">
            <w:pPr>
              <w:pStyle w:val="27"/>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2EC4DA9D">
            <w:pPr>
              <w:pStyle w:val="27"/>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609A81D2">
        <w:tblPrEx>
          <w:tblCellMar>
            <w:top w:w="0" w:type="dxa"/>
            <w:left w:w="108" w:type="dxa"/>
            <w:bottom w:w="0" w:type="dxa"/>
            <w:right w:w="108" w:type="dxa"/>
          </w:tblCellMar>
        </w:tblPrEx>
        <w:trPr>
          <w:trHeight w:val="330" w:hRule="atLeast"/>
        </w:trPr>
        <w:tc>
          <w:tcPr>
            <w:tcW w:w="1089" w:type="dxa"/>
            <w:tcBorders>
              <w:top w:val="nil"/>
              <w:left w:val="single" w:color="auto" w:sz="4" w:space="0"/>
              <w:bottom w:val="single" w:color="auto" w:sz="4" w:space="0"/>
              <w:right w:val="single" w:color="auto" w:sz="4" w:space="0"/>
            </w:tcBorders>
            <w:vAlign w:val="center"/>
          </w:tcPr>
          <w:p w14:paraId="16357A5A">
            <w:pPr>
              <w:pStyle w:val="18"/>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7</w:t>
            </w:r>
          </w:p>
        </w:tc>
        <w:tc>
          <w:tcPr>
            <w:tcW w:w="6688" w:type="dxa"/>
            <w:tcBorders>
              <w:top w:val="nil"/>
              <w:left w:val="nil"/>
              <w:bottom w:val="single" w:color="auto" w:sz="4" w:space="0"/>
              <w:right w:val="single" w:color="auto" w:sz="4" w:space="0"/>
            </w:tcBorders>
            <w:vAlign w:val="center"/>
          </w:tcPr>
          <w:p w14:paraId="1D84FCB4">
            <w:pPr>
              <w:pStyle w:val="18"/>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lang w:val="zh-CN"/>
              </w:rPr>
              <w:t>响应文件未按竞争性磋商文件规定格式填写、盖章的；</w:t>
            </w:r>
          </w:p>
        </w:tc>
        <w:tc>
          <w:tcPr>
            <w:tcW w:w="1735" w:type="dxa"/>
            <w:tcBorders>
              <w:top w:val="nil"/>
              <w:left w:val="nil"/>
              <w:bottom w:val="single" w:color="auto" w:sz="4" w:space="0"/>
              <w:right w:val="single" w:color="auto" w:sz="4" w:space="0"/>
            </w:tcBorders>
            <w:vAlign w:val="center"/>
          </w:tcPr>
          <w:p w14:paraId="2A9F3196">
            <w:pPr>
              <w:pStyle w:val="27"/>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1B019C48">
            <w:pPr>
              <w:pStyle w:val="27"/>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536A82C9">
        <w:tblPrEx>
          <w:tblCellMar>
            <w:top w:w="0" w:type="dxa"/>
            <w:left w:w="108" w:type="dxa"/>
            <w:bottom w:w="0" w:type="dxa"/>
            <w:right w:w="108" w:type="dxa"/>
          </w:tblCellMar>
        </w:tblPrEx>
        <w:trPr>
          <w:trHeight w:val="330" w:hRule="atLeast"/>
        </w:trPr>
        <w:tc>
          <w:tcPr>
            <w:tcW w:w="1089" w:type="dxa"/>
            <w:tcBorders>
              <w:top w:val="nil"/>
              <w:left w:val="single" w:color="auto" w:sz="4" w:space="0"/>
              <w:bottom w:val="single" w:color="auto" w:sz="4" w:space="0"/>
              <w:right w:val="single" w:color="auto" w:sz="4" w:space="0"/>
            </w:tcBorders>
            <w:vAlign w:val="center"/>
          </w:tcPr>
          <w:p w14:paraId="05A0B348">
            <w:pPr>
              <w:pStyle w:val="18"/>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8</w:t>
            </w:r>
          </w:p>
        </w:tc>
        <w:tc>
          <w:tcPr>
            <w:tcW w:w="6688" w:type="dxa"/>
            <w:tcBorders>
              <w:top w:val="nil"/>
              <w:left w:val="nil"/>
              <w:bottom w:val="single" w:color="auto" w:sz="4" w:space="0"/>
              <w:right w:val="single" w:color="auto" w:sz="4" w:space="0"/>
            </w:tcBorders>
            <w:vAlign w:val="center"/>
          </w:tcPr>
          <w:p w14:paraId="486092EF">
            <w:pPr>
              <w:pStyle w:val="18"/>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不同供应商的响应文件的内容（或其单价等）异常一致或者报价呈规律性差异的；</w:t>
            </w:r>
          </w:p>
        </w:tc>
        <w:tc>
          <w:tcPr>
            <w:tcW w:w="1735" w:type="dxa"/>
            <w:tcBorders>
              <w:top w:val="nil"/>
              <w:left w:val="nil"/>
              <w:bottom w:val="single" w:color="auto" w:sz="4" w:space="0"/>
              <w:right w:val="single" w:color="auto" w:sz="4" w:space="0"/>
            </w:tcBorders>
            <w:vAlign w:val="center"/>
          </w:tcPr>
          <w:p w14:paraId="06DD2C8D">
            <w:pPr>
              <w:pStyle w:val="27"/>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65D9B73F">
            <w:pPr>
              <w:pStyle w:val="27"/>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r w14:paraId="2BFBEF1A">
        <w:tblPrEx>
          <w:tblCellMar>
            <w:top w:w="0" w:type="dxa"/>
            <w:left w:w="108" w:type="dxa"/>
            <w:bottom w:w="0" w:type="dxa"/>
            <w:right w:w="108" w:type="dxa"/>
          </w:tblCellMar>
        </w:tblPrEx>
        <w:trPr>
          <w:trHeight w:val="330" w:hRule="atLeast"/>
        </w:trPr>
        <w:tc>
          <w:tcPr>
            <w:tcW w:w="1089" w:type="dxa"/>
            <w:tcBorders>
              <w:top w:val="nil"/>
              <w:left w:val="single" w:color="auto" w:sz="4" w:space="0"/>
              <w:bottom w:val="single" w:color="auto" w:sz="4" w:space="0"/>
              <w:right w:val="single" w:color="auto" w:sz="4" w:space="0"/>
            </w:tcBorders>
            <w:vAlign w:val="center"/>
          </w:tcPr>
          <w:p w14:paraId="1DAA1A46">
            <w:pPr>
              <w:pStyle w:val="18"/>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9</w:t>
            </w:r>
          </w:p>
        </w:tc>
        <w:tc>
          <w:tcPr>
            <w:tcW w:w="6688" w:type="dxa"/>
            <w:tcBorders>
              <w:top w:val="nil"/>
              <w:left w:val="nil"/>
              <w:bottom w:val="single" w:color="auto" w:sz="4" w:space="0"/>
              <w:right w:val="single" w:color="auto" w:sz="4" w:space="0"/>
            </w:tcBorders>
            <w:vAlign w:val="center"/>
          </w:tcPr>
          <w:p w14:paraId="35EB13E0">
            <w:pPr>
              <w:pStyle w:val="18"/>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spacing w:val="0"/>
                <w:kern w:val="2"/>
                <w:sz w:val="24"/>
                <w:szCs w:val="24"/>
                <w:highlight w:val="none"/>
              </w:rPr>
            </w:pPr>
            <w:r>
              <w:rPr>
                <w:rFonts w:hint="eastAsia" w:ascii="宋体" w:hAnsi="宋体" w:eastAsia="宋体" w:cs="宋体"/>
                <w:color w:val="auto"/>
                <w:spacing w:val="0"/>
                <w:kern w:val="2"/>
                <w:sz w:val="24"/>
                <w:szCs w:val="24"/>
                <w:highlight w:val="none"/>
              </w:rPr>
              <w:t>磋商有效期不满足磋商文件要求的；</w:t>
            </w:r>
          </w:p>
        </w:tc>
        <w:tc>
          <w:tcPr>
            <w:tcW w:w="1735" w:type="dxa"/>
            <w:tcBorders>
              <w:top w:val="nil"/>
              <w:left w:val="nil"/>
              <w:bottom w:val="single" w:color="auto" w:sz="4" w:space="0"/>
              <w:right w:val="single" w:color="auto" w:sz="4" w:space="0"/>
            </w:tcBorders>
            <w:vAlign w:val="center"/>
          </w:tcPr>
          <w:p w14:paraId="6679E51B">
            <w:pPr>
              <w:pStyle w:val="27"/>
              <w:keepNext w:val="0"/>
              <w:keepLines w:val="0"/>
              <w:pageBreakBefore w:val="0"/>
              <w:widowControl w:val="0"/>
              <w:kinsoku/>
              <w:wordWrap/>
              <w:overflowPunct/>
              <w:topLinePunct w:val="0"/>
              <w:autoSpaceDE/>
              <w:autoSpaceDN/>
              <w:bidi w:val="0"/>
              <w:adjustRightInd w:val="0"/>
              <w:snapToGrid w:val="0"/>
              <w:spacing w:line="400" w:lineRule="exact"/>
              <w:ind w:left="0" w:right="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□通过</w:t>
            </w:r>
          </w:p>
          <w:p w14:paraId="29E5592E">
            <w:pPr>
              <w:pStyle w:val="27"/>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40" w:firstLineChars="100"/>
              <w:jc w:val="both"/>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□不通过</w:t>
            </w:r>
          </w:p>
        </w:tc>
      </w:tr>
    </w:tbl>
    <w:p w14:paraId="7B422F7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2.4响应文件的澄清</w:t>
      </w:r>
    </w:p>
    <w:p w14:paraId="6248CFDC">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CF752E">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DFFCACB">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w:t>
      </w:r>
      <w:r>
        <w:rPr>
          <w:rFonts w:hint="eastAsia" w:ascii="宋体" w:hAnsi="宋体" w:eastAsia="宋体" w:cs="宋体"/>
          <w:color w:val="auto"/>
          <w:kern w:val="0"/>
          <w:sz w:val="24"/>
          <w:szCs w:val="24"/>
          <w:highlight w:val="none"/>
        </w:rPr>
        <w:t>算术性错误</w:t>
      </w:r>
      <w:r>
        <w:rPr>
          <w:rFonts w:hint="eastAsia" w:ascii="宋体" w:hAnsi="宋体" w:eastAsia="宋体" w:cs="宋体"/>
          <w:color w:val="auto"/>
          <w:sz w:val="24"/>
          <w:szCs w:val="24"/>
          <w:highlight w:val="none"/>
        </w:rPr>
        <w:t>将按以下方法</w:t>
      </w:r>
      <w:r>
        <w:rPr>
          <w:rFonts w:hint="eastAsia" w:ascii="宋体" w:hAnsi="宋体" w:eastAsia="宋体" w:cs="宋体"/>
          <w:color w:val="auto"/>
          <w:kern w:val="0"/>
          <w:sz w:val="24"/>
          <w:szCs w:val="24"/>
          <w:highlight w:val="none"/>
        </w:rPr>
        <w:t>修正</w:t>
      </w:r>
      <w:r>
        <w:rPr>
          <w:rFonts w:hint="eastAsia" w:ascii="宋体" w:hAnsi="宋体" w:eastAsia="宋体" w:cs="宋体"/>
          <w:color w:val="auto"/>
          <w:sz w:val="24"/>
          <w:szCs w:val="24"/>
          <w:highlight w:val="none"/>
        </w:rPr>
        <w:t>：响应文件中的大写金额和小写金额不一致的，以大写金额为准；总价金额与分项报价汇总金额不一致的，以分项报价中单价金额计算结果为准；分项报价金额小数点有明显错位的，应以总价为准，并修改分项报价中的单价；对不同文字文本磋商文件的解释发生异议的，以中文文本为准。</w:t>
      </w:r>
    </w:p>
    <w:p w14:paraId="4D5CD62E">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如果供应商不接受按上述方法对响应文件中的算术错误进行更正，将按无效响应处理，磋商小组将拒绝被确定为非实质性响应的响应文件，供应商不能通过修正或撤销不符之处而使其响应文件成为实质性响应。</w:t>
      </w:r>
    </w:p>
    <w:p w14:paraId="4A74DC1B">
      <w:pPr>
        <w:keepNext w:val="0"/>
        <w:keepLines w:val="0"/>
        <w:pageBreakBefore w:val="0"/>
        <w:kinsoku/>
        <w:wordWrap/>
        <w:overflowPunct/>
        <w:topLinePunct w:val="0"/>
        <w:bidi w:val="0"/>
        <w:adjustRightInd w:val="0"/>
        <w:snapToGrid w:val="0"/>
        <w:spacing w:before="240" w:beforeLines="100" w:after="240" w:afterLines="100" w:line="360" w:lineRule="auto"/>
        <w:ind w:left="0" w:leftChars="0" w:firstLine="0" w:firstLineChars="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3、磋商</w:t>
      </w:r>
    </w:p>
    <w:p w14:paraId="5D63388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3.1成立磋商小组</w:t>
      </w:r>
    </w:p>
    <w:p w14:paraId="728FEBA3">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3.1.1磋商小组由采购人的代表和有关专家共三人以上的单数组成，其中专家的人数不得少于成员总数的三分之二。</w:t>
      </w:r>
    </w:p>
    <w:p w14:paraId="48E50886">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3.1.2磋商小组成员应当履行下列义务： </w:t>
      </w:r>
    </w:p>
    <w:p w14:paraId="454DDDD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（一）遵纪守法，客观、公正、廉洁地履行职责； </w:t>
      </w:r>
    </w:p>
    <w:p w14:paraId="35CEBF52">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（二）按照磋商文件规定的评审方法和标准进行评审，对评审意见承担个人责任； </w:t>
      </w:r>
    </w:p>
    <w:p w14:paraId="7DD9DA8B">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（三）对评审、磋商过程和结果，以及供应商的商业秘密保密； </w:t>
      </w:r>
    </w:p>
    <w:p w14:paraId="489F3141">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（四） 配合采购单位答复磋商供应商提出的质疑和有关部门的投诉处理工作。 </w:t>
      </w:r>
    </w:p>
    <w:p w14:paraId="6811CD1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3.2磋商</w:t>
      </w:r>
    </w:p>
    <w:p w14:paraId="78937C71">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3.2.1磋商。由磋商小组所有成员集中与单一供应商就磋商文件规定的具体内容（包括：价格、合同条款、服务质量、</w:t>
      </w:r>
      <w:r>
        <w:rPr>
          <w:rFonts w:hint="eastAsia" w:ascii="宋体" w:hAnsi="宋体" w:eastAsia="宋体" w:cs="宋体"/>
          <w:color w:val="auto"/>
          <w:sz w:val="24"/>
          <w:szCs w:val="24"/>
          <w:highlight w:val="none"/>
          <w:lang w:val="en-US" w:eastAsia="zh-CN"/>
        </w:rPr>
        <w:t>监理</w:t>
      </w:r>
      <w:r>
        <w:rPr>
          <w:rFonts w:hint="eastAsia" w:ascii="宋体" w:hAnsi="宋体" w:eastAsia="宋体" w:cs="宋体"/>
          <w:color w:val="auto"/>
          <w:sz w:val="24"/>
          <w:szCs w:val="24"/>
          <w:highlight w:val="none"/>
        </w:rPr>
        <w:t>工作服务期限、付款方式等）分别进行磋商，并给予所有参加磋商的供应商平等的磋商机会。在磋商中，磋商的任何一方不得透露与磋商有关的其他供应商的技术资料、价格和其他信息等。</w:t>
      </w:r>
    </w:p>
    <w:p w14:paraId="7ED5BFD2">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3.2.2在磋商过程中，磋商小组可以根据磋商文件和磋商情况实质性变动采购需求中的技术、服务要求以及合同草案条款，但不得变动磋商文件中的其他内容。实质性变动的内容，须经采购人代表确认。</w:t>
      </w:r>
    </w:p>
    <w:p w14:paraId="53B817EB">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对磋商文件作出的实质性变动是磋商文件的有效组成部分，磋商小组应当及时以书面形式同时通知所有参加磋商的供应商。</w:t>
      </w:r>
    </w:p>
    <w:p w14:paraId="51D64158">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F63EBF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3.2.3磋商结束后，磋商小组应当要求所有实质性响应的供应商在规定时间内提交最后报价，提交最后报价的供应商不得少于3家。最后报价是供应商响应文件的有效组成部分。</w:t>
      </w:r>
    </w:p>
    <w:p w14:paraId="2C10697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3.2.4已提交响应文件的供应商，在提交最后报价之前，可以根据磋商情况退出磋商。</w:t>
      </w:r>
    </w:p>
    <w:p w14:paraId="06AD6BE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3.2.5最后报价应按磋商文件规定的格式进行报价，并装袋密封后（在封口处盖供应商单位公章）在磋商小组规定的截止时间前提交磋商小组。</w:t>
      </w:r>
    </w:p>
    <w:p w14:paraId="3AD0FC7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3.2.6报价应按磋商文件的格式进行报价（包括分项报价），并按规定装袋密封提交磋商小组。供应商的报价存在下列情况之一的，将按无效响应处理：</w:t>
      </w:r>
    </w:p>
    <w:p w14:paraId="4D1E7D0C">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（1）供应商提交的是可选择的报价；</w:t>
      </w:r>
    </w:p>
    <w:p w14:paraId="4F463686">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（2）供应商未按规定进行报价的或报价超出预算价的；</w:t>
      </w:r>
    </w:p>
    <w:p w14:paraId="60AC14EB">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最后报价一览表中的内容与磋商文件中的内容不一致的。</w:t>
      </w:r>
    </w:p>
    <w:p w14:paraId="3846A91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3.2.7磋商过程由指定专人负责记录，并存档备查。 </w:t>
      </w:r>
    </w:p>
    <w:p w14:paraId="1EFC8430">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3.2.8 磋商时，各磋商供应商代表需在“磋商供应商磋商签字表”上签字确认磋商的时间、内容等。</w:t>
      </w:r>
    </w:p>
    <w:p w14:paraId="712ED963">
      <w:pPr>
        <w:keepNext w:val="0"/>
        <w:keepLines w:val="0"/>
        <w:pageBreakBefore w:val="0"/>
        <w:kinsoku/>
        <w:wordWrap/>
        <w:overflowPunct/>
        <w:topLinePunct w:val="0"/>
        <w:bidi w:val="0"/>
        <w:adjustRightInd w:val="0"/>
        <w:snapToGrid w:val="0"/>
        <w:spacing w:before="240" w:beforeLines="100" w:after="240" w:afterLines="100" w:line="360" w:lineRule="auto"/>
        <w:ind w:left="0" w:leftChars="0" w:firstLine="0" w:firstLineChars="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4、详细评审</w:t>
      </w:r>
    </w:p>
    <w:p w14:paraId="3E5DADE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4.1评审程序</w:t>
      </w:r>
    </w:p>
    <w:p w14:paraId="3B8F896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4.1.1经磋商确定最终采购需求和提交最后报价的供应商后，由磋商小组采用综合评分法对提交最后报价的供应商的响应文件和最后报价进行综合评分。</w:t>
      </w:r>
    </w:p>
    <w:p w14:paraId="76D20487">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4.1.2综合评分法评审标准中的分值设置应当与评审因素的量化指标相对应。磋商文件中没有规定的评审标准不得作为评审依据。</w:t>
      </w:r>
    </w:p>
    <w:p w14:paraId="330660D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4.1.3评审时，磋商小组各成员应当独立对每个有效响应的文件进行评价、打分，然后汇总每个供应商每项评分因素的得分。</w:t>
      </w:r>
    </w:p>
    <w:p w14:paraId="01031DC7">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4.2推荐成交候选供应商</w:t>
      </w:r>
    </w:p>
    <w:p w14:paraId="0E32C0C0">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4.2.1磋商小组应当根据综合评分情况，按照评审得分由高到低顺序推荐3名以上成交候选供应商，评审得分相同的，按照最后报价由低到高的顺序推荐。评审得分且最后报价相同的，按照技术指标优劣顺序推荐。</w:t>
      </w:r>
    </w:p>
    <w:p w14:paraId="2C3293F7">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磋商小组认为，排在前面的候选供应商的最低竞争价或某些分项报价不合理或其报价明显低于其他报价，使得其报价可能低于成本的，有可能影响商品质量或不能诚信履约的，供应商应按磋商小组要求做出书面说明并提供相关证明材料，不能合理说明或不能提供相关证明材料的，磋商小组可以取消其候选供应商资格，并按顺序排在后面的成交候选供应商递补，以此类推。</w:t>
      </w:r>
    </w:p>
    <w:p w14:paraId="563AB7BF">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4.2.3如果排名第一的成交候选供应商，因不可抗力或自身原因放弃成交结果，可根据项目所需确定排名第二的成交候选供应商为成交供应商，以此类推。</w:t>
      </w:r>
    </w:p>
    <w:p w14:paraId="47A75FA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4.3编写评审报告</w:t>
      </w:r>
    </w:p>
    <w:p w14:paraId="25D25C59">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w:t>
      </w:r>
      <w:r>
        <w:rPr>
          <w:rFonts w:hint="eastAsia" w:ascii="宋体" w:hAnsi="宋体" w:eastAsia="宋体" w:cs="宋体"/>
          <w:color w:val="auto"/>
          <w:sz w:val="24"/>
          <w:szCs w:val="24"/>
          <w:highlight w:val="none"/>
        </w:rPr>
        <w:t>磋商小组完成评审后</w:t>
      </w:r>
      <w:r>
        <w:rPr>
          <w:rFonts w:hint="eastAsia" w:ascii="宋体" w:hAnsi="宋体" w:eastAsia="宋体" w:cs="宋体"/>
          <w:color w:val="auto"/>
          <w:kern w:val="0"/>
          <w:sz w:val="24"/>
          <w:szCs w:val="24"/>
          <w:highlight w:val="none"/>
        </w:rPr>
        <w:t>，根据全体磋商小组签字的原始评审记录和评审结果编写评审报告并向采购人提交，</w:t>
      </w:r>
      <w:r>
        <w:rPr>
          <w:rFonts w:hint="eastAsia" w:ascii="宋体" w:hAnsi="宋体" w:eastAsia="宋体" w:cs="宋体"/>
          <w:color w:val="auto"/>
          <w:sz w:val="24"/>
          <w:szCs w:val="24"/>
          <w:highlight w:val="none"/>
        </w:rPr>
        <w:t>评审报告应当包括以下主要内容：</w:t>
      </w:r>
    </w:p>
    <w:p w14:paraId="7D8C341B">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（1）邀请供应商参加采购活动的具体方式和相关情况；</w:t>
      </w:r>
    </w:p>
    <w:p w14:paraId="4C5583F7">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（2）响应文件开启日期和地点；</w:t>
      </w:r>
    </w:p>
    <w:p w14:paraId="6A418BE1">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（3）获取磋商文件的供应商名单和磋商小组名单；</w:t>
      </w:r>
    </w:p>
    <w:p w14:paraId="448DF9F9">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（4）评审情况记录和说明，包括对供应商的资格审查情况、供应商响应文件评审情况、磋商情况、报价情况等；</w:t>
      </w:r>
    </w:p>
    <w:p w14:paraId="3D825166">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（5）提出的成交候选供应商的排序名单及理由。</w:t>
      </w:r>
    </w:p>
    <w:p w14:paraId="74512E04">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评审报告应当由磋商小组全体人员签字认可。磋商小组对评审报告有异议的，磋商小组按照少数服从多数的原则推荐成交候选供应商，采购程序继续进行。对评审报告有异议的磋商小组，应当在报告上签署不同意见并说明理由，由磋商小组书面记录相关情况。磋商小组拒绝在报告上签字又不书面说明其不同意见和理由的，视为同意评审报告。</w:t>
      </w:r>
    </w:p>
    <w:p w14:paraId="47D2DB26">
      <w:pPr>
        <w:pStyle w:val="31"/>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eastAsia="宋体" w:cs="宋体"/>
          <w:b/>
          <w:color w:val="auto"/>
          <w:sz w:val="24"/>
          <w:szCs w:val="24"/>
          <w:highlight w:val="none"/>
        </w:rPr>
        <w:t>评分标准与分值构成</w:t>
      </w:r>
    </w:p>
    <w:p w14:paraId="3257E12B">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按商务、技术和投标价格三个部分分别进行评分，商务部分满分为</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分、技术部分满分为</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分，价格部分满分为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分，合计总分100分。</w:t>
      </w:r>
    </w:p>
    <w:p w14:paraId="4EF725AB">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5947A77A">
      <w:pPr>
        <w:keepNext w:val="0"/>
        <w:keepLines w:val="0"/>
        <w:pageBreakBefore w:val="0"/>
        <w:tabs>
          <w:tab w:val="left" w:pos="0"/>
        </w:tabs>
        <w:kinsoku/>
        <w:wordWrap/>
        <w:overflowPunct/>
        <w:topLinePunct w:val="0"/>
        <w:bidi w:val="0"/>
        <w:adjustRightInd w:val="0"/>
        <w:snapToGrid w:val="0"/>
        <w:spacing w:before="48" w:beforeLines="20" w:line="360" w:lineRule="auto"/>
        <w:ind w:left="0" w:leftChars="0"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w:t>
      </w:r>
      <w:r>
        <w:rPr>
          <w:rFonts w:hint="eastAsia" w:ascii="宋体" w:hAnsi="宋体" w:eastAsia="宋体" w:cs="宋体"/>
          <w:b/>
          <w:color w:val="auto"/>
          <w:sz w:val="24"/>
          <w:szCs w:val="24"/>
          <w:highlight w:val="none"/>
          <w:lang w:val="en-US" w:eastAsia="zh-CN"/>
        </w:rPr>
        <w:t>部分</w:t>
      </w:r>
      <w:r>
        <w:rPr>
          <w:rFonts w:hint="eastAsia" w:ascii="宋体" w:hAnsi="宋体" w:eastAsia="宋体" w:cs="宋体"/>
          <w:b/>
          <w:color w:val="auto"/>
          <w:sz w:val="24"/>
          <w:szCs w:val="24"/>
          <w:highlight w:val="none"/>
        </w:rPr>
        <w:t>评审表</w:t>
      </w:r>
    </w:p>
    <w:p w14:paraId="7B8B62C6">
      <w:pPr>
        <w:keepNext w:val="0"/>
        <w:keepLines w:val="0"/>
        <w:pageBreakBefore w:val="0"/>
        <w:tabs>
          <w:tab w:val="left" w:pos="0"/>
        </w:tabs>
        <w:kinsoku/>
        <w:wordWrap/>
        <w:overflowPunct/>
        <w:topLinePunct w:val="0"/>
        <w:bidi w:val="0"/>
        <w:adjustRightInd w:val="0"/>
        <w:snapToGrid w:val="0"/>
        <w:spacing w:before="48" w:beforeLines="20" w:line="360" w:lineRule="auto"/>
        <w:ind w:left="0" w:leftChars="0" w:firstLine="0" w:firstLineChars="0"/>
        <w:jc w:val="center"/>
        <w:outlineLvl w:val="9"/>
        <w:rPr>
          <w:rFonts w:hint="eastAsia" w:ascii="宋体" w:hAnsi="宋体" w:eastAsia="宋体" w:cs="宋体"/>
          <w:b/>
          <w:color w:val="auto"/>
          <w:sz w:val="24"/>
          <w:szCs w:val="24"/>
          <w:highlight w:val="none"/>
        </w:rPr>
      </w:pPr>
    </w:p>
    <w:p w14:paraId="6027F5AB">
      <w:pPr>
        <w:keepNext w:val="0"/>
        <w:keepLines w:val="0"/>
        <w:pageBreakBefore w:val="0"/>
        <w:tabs>
          <w:tab w:val="left" w:pos="0"/>
        </w:tabs>
        <w:kinsoku/>
        <w:wordWrap/>
        <w:overflowPunct/>
        <w:topLinePunct w:val="0"/>
        <w:bidi w:val="0"/>
        <w:adjustRightInd w:val="0"/>
        <w:snapToGrid w:val="0"/>
        <w:spacing w:before="48" w:beforeLines="20" w:line="360" w:lineRule="auto"/>
        <w:ind w:left="0" w:leftChars="0" w:firstLine="0" w:firstLineChars="0"/>
        <w:jc w:val="both"/>
        <w:outlineLvl w:val="9"/>
        <w:rPr>
          <w:rFonts w:hint="eastAsia" w:ascii="宋体" w:hAnsi="宋体" w:eastAsia="宋体" w:cs="宋体"/>
          <w:b/>
          <w:color w:val="auto"/>
          <w:sz w:val="24"/>
          <w:szCs w:val="24"/>
          <w:highlight w:val="none"/>
        </w:rPr>
      </w:pPr>
    </w:p>
    <w:p w14:paraId="2A0A2BAE">
      <w:pPr>
        <w:bidi w:val="0"/>
        <w:outlineLvl w:val="9"/>
        <w:rPr>
          <w:rFonts w:hint="eastAsia" w:ascii="宋体" w:hAnsi="宋体" w:eastAsia="宋体" w:cs="宋体"/>
          <w:sz w:val="24"/>
          <w:szCs w:val="20"/>
          <w:highlight w:val="none"/>
        </w:rPr>
      </w:pPr>
    </w:p>
    <w:tbl>
      <w:tblPr>
        <w:tblStyle w:val="19"/>
        <w:tblpPr w:leftFromText="180" w:rightFromText="180" w:vertAnchor="page" w:horzAnchor="page" w:tblpX="880" w:tblpY="2502"/>
        <w:tblOverlap w:val="never"/>
        <w:tblW w:w="10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560"/>
        <w:gridCol w:w="7443"/>
        <w:gridCol w:w="1117"/>
      </w:tblGrid>
      <w:tr w14:paraId="2F0A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2195" w:type="dxa"/>
            <w:gridSpan w:val="2"/>
            <w:vAlign w:val="center"/>
          </w:tcPr>
          <w:p w14:paraId="7079CE98">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tc>
        <w:tc>
          <w:tcPr>
            <w:tcW w:w="7443" w:type="dxa"/>
            <w:vAlign w:val="center"/>
          </w:tcPr>
          <w:p w14:paraId="67B2E1D1">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评审内容</w:t>
            </w:r>
          </w:p>
        </w:tc>
        <w:tc>
          <w:tcPr>
            <w:tcW w:w="1117" w:type="dxa"/>
            <w:vAlign w:val="center"/>
          </w:tcPr>
          <w:p w14:paraId="5626F09B">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r>
      <w:tr w14:paraId="5624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2195" w:type="dxa"/>
            <w:gridSpan w:val="2"/>
            <w:vAlign w:val="center"/>
          </w:tcPr>
          <w:p w14:paraId="3D726D63">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w:t>
            </w:r>
          </w:p>
        </w:tc>
        <w:tc>
          <w:tcPr>
            <w:tcW w:w="7443" w:type="dxa"/>
            <w:vAlign w:val="center"/>
          </w:tcPr>
          <w:p w14:paraId="0BFCAEF9">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采用低价优先法计算，即满足采购文件要求且报价最低的供应商报价为评标基准价，其价格分为满分</w:t>
            </w:r>
            <w:r>
              <w:rPr>
                <w:rFonts w:hint="eastAsia" w:hAnsi="宋体" w:cs="宋体"/>
                <w:b/>
                <w:color w:val="auto"/>
                <w:sz w:val="22"/>
                <w:szCs w:val="22"/>
                <w:highlight w:val="none"/>
                <w:lang w:val="en-US" w:eastAsia="zh-CN"/>
              </w:rPr>
              <w:t>1</w:t>
            </w:r>
            <w:r>
              <w:rPr>
                <w:rFonts w:hint="eastAsia" w:ascii="宋体" w:hAnsi="宋体" w:eastAsia="宋体" w:cs="宋体"/>
                <w:b/>
                <w:color w:val="auto"/>
                <w:sz w:val="22"/>
                <w:szCs w:val="22"/>
                <w:highlight w:val="none"/>
                <w:lang w:val="en-US" w:eastAsia="zh-CN"/>
              </w:rPr>
              <w:t>0</w:t>
            </w:r>
            <w:r>
              <w:rPr>
                <w:rFonts w:hint="eastAsia" w:ascii="宋体" w:hAnsi="宋体" w:eastAsia="宋体" w:cs="宋体"/>
                <w:b/>
                <w:color w:val="auto"/>
                <w:sz w:val="22"/>
                <w:szCs w:val="22"/>
                <w:highlight w:val="none"/>
              </w:rPr>
              <w:t>分，其它</w:t>
            </w:r>
            <w:r>
              <w:rPr>
                <w:rFonts w:hint="eastAsia" w:ascii="宋体" w:hAnsi="宋体" w:eastAsia="宋体" w:cs="宋体"/>
                <w:b/>
                <w:color w:val="auto"/>
                <w:sz w:val="22"/>
                <w:szCs w:val="22"/>
                <w:highlight w:val="none"/>
                <w:lang w:eastAsia="zh-CN"/>
              </w:rPr>
              <w:t>供应商</w:t>
            </w:r>
            <w:r>
              <w:rPr>
                <w:rFonts w:hint="eastAsia" w:ascii="宋体" w:hAnsi="宋体" w:eastAsia="宋体" w:cs="宋体"/>
                <w:b/>
                <w:color w:val="auto"/>
                <w:sz w:val="22"/>
                <w:szCs w:val="22"/>
                <w:highlight w:val="none"/>
              </w:rPr>
              <w:t>的价格分统一按照以下公式计算：投标报价得分=（评标基准价／投标报价）×</w:t>
            </w:r>
            <w:r>
              <w:rPr>
                <w:rFonts w:hint="eastAsia" w:hAnsi="宋体" w:cs="宋体"/>
                <w:b/>
                <w:color w:val="auto"/>
                <w:sz w:val="22"/>
                <w:szCs w:val="22"/>
                <w:highlight w:val="none"/>
                <w:lang w:val="en-US" w:eastAsia="zh-CN"/>
              </w:rPr>
              <w:t>1</w:t>
            </w:r>
            <w:r>
              <w:rPr>
                <w:rFonts w:hint="eastAsia" w:ascii="宋体" w:hAnsi="宋体" w:eastAsia="宋体" w:cs="宋体"/>
                <w:b/>
                <w:color w:val="auto"/>
                <w:sz w:val="22"/>
                <w:szCs w:val="22"/>
                <w:highlight w:val="none"/>
                <w:lang w:val="en-US" w:eastAsia="zh-CN"/>
              </w:rPr>
              <w:t>0</w:t>
            </w:r>
            <w:r>
              <w:rPr>
                <w:rFonts w:hint="eastAsia" w:ascii="宋体" w:hAnsi="宋体" w:eastAsia="宋体" w:cs="宋体"/>
                <w:b/>
                <w:color w:val="auto"/>
                <w:sz w:val="22"/>
                <w:szCs w:val="22"/>
                <w:highlight w:val="none"/>
              </w:rPr>
              <w:t>分，小数点保留2位，计分时投标报价为按相关政策进行价格扣除后的价格。</w:t>
            </w:r>
          </w:p>
        </w:tc>
        <w:tc>
          <w:tcPr>
            <w:tcW w:w="1117" w:type="dxa"/>
            <w:vAlign w:val="center"/>
          </w:tcPr>
          <w:p w14:paraId="44CABE1A">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0</w:t>
            </w:r>
          </w:p>
        </w:tc>
      </w:tr>
      <w:tr w14:paraId="559C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635" w:type="dxa"/>
            <w:vAlign w:val="center"/>
          </w:tcPr>
          <w:p w14:paraId="0659A8E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w:t>
            </w:r>
          </w:p>
        </w:tc>
        <w:tc>
          <w:tcPr>
            <w:tcW w:w="1560" w:type="dxa"/>
            <w:vAlign w:val="center"/>
          </w:tcPr>
          <w:p w14:paraId="6FBBD9E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监理大纲</w:t>
            </w:r>
          </w:p>
        </w:tc>
        <w:tc>
          <w:tcPr>
            <w:tcW w:w="7443" w:type="dxa"/>
            <w:vAlign w:val="center"/>
          </w:tcPr>
          <w:p w14:paraId="037CB5A4">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en-US" w:eastAsia="zh-CN" w:bidi="ar-SA"/>
              </w:rPr>
              <w:t>1.监理工程特点、实施难点分析全面，得1～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59DDAED3">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2.监理工程范围和服务内容涉及专业阐述全面、准确，得1～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6D59A074">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3.工程质量控制措施得力，有具体处理方法，得1～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6D52BA0B">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4.工程投资控制措施得力，能对施工中的问题和变更等提出相关的方法，得1～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6FD1B948">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5.工程进度控制措施到位，能明确响应业主要求，得1～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739E9F0A">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6.针对招标工程特点，</w:t>
            </w:r>
            <w:r>
              <w:rPr>
                <w:rFonts w:hint="eastAsia" w:ascii="宋体" w:hAnsi="宋体" w:eastAsia="宋体" w:cs="宋体"/>
                <w:kern w:val="2"/>
                <w:sz w:val="22"/>
                <w:szCs w:val="22"/>
                <w:highlight w:val="none"/>
                <w:lang w:val="zh-CN" w:eastAsia="zh-CN" w:bidi="ar-SA"/>
              </w:rPr>
              <w:t>关键部位、关键工序旁站监理实施方案</w:t>
            </w:r>
            <w:r>
              <w:rPr>
                <w:rFonts w:hint="eastAsia" w:ascii="宋体" w:hAnsi="宋体" w:eastAsia="宋体" w:cs="宋体"/>
                <w:kern w:val="2"/>
                <w:sz w:val="22"/>
                <w:szCs w:val="22"/>
                <w:highlight w:val="none"/>
                <w:lang w:val="en-US" w:eastAsia="zh-CN" w:bidi="ar-SA"/>
              </w:rPr>
              <w:t>合理可行，得1～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754241D6">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7.工程环保、安全、文明施工控制措施全面到位，得 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4232D918">
            <w:pPr>
              <w:keepNext w:val="0"/>
              <w:keepLines w:val="0"/>
              <w:pageBreakBefore w:val="0"/>
              <w:widowControl w:val="0"/>
              <w:kinsoku/>
              <w:wordWrap/>
              <w:overflowPunct/>
              <w:topLinePunct w:val="0"/>
              <w:autoSpaceDE/>
              <w:autoSpaceDN/>
              <w:bidi w:val="0"/>
              <w:adjustRightInd w:val="0"/>
              <w:snapToGrid w:val="0"/>
              <w:spacing w:line="320" w:lineRule="exact"/>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8.对本工程的技术难点有明确的处理方法、监理对策，得1～</w:t>
            </w:r>
            <w:r>
              <w:rPr>
                <w:rFonts w:hint="eastAsia" w:ascii="宋体" w:hAnsi="宋体"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分。</w:t>
            </w:r>
          </w:p>
          <w:p w14:paraId="54E07683">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textAlignment w:val="baseline"/>
              <w:outlineLvl w:val="9"/>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9.工程合同管理、信息管理、资料管理措施全面，得1～4分;</w:t>
            </w:r>
          </w:p>
          <w:p w14:paraId="50B4380D">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textAlignment w:val="baseline"/>
              <w:outlineLvl w:val="9"/>
              <w:rPr>
                <w:rFonts w:hint="eastAsia" w:ascii="宋体" w:hAnsi="宋体" w:eastAsia="宋体" w:cs="宋体"/>
                <w:color w:val="auto"/>
                <w:sz w:val="22"/>
                <w:szCs w:val="22"/>
                <w:highlight w:val="none"/>
              </w:rPr>
            </w:pPr>
            <w:r>
              <w:rPr>
                <w:rFonts w:hint="eastAsia" w:ascii="宋体" w:hAnsi="宋体" w:eastAsia="宋体" w:cs="宋体"/>
                <w:kern w:val="2"/>
                <w:sz w:val="22"/>
                <w:szCs w:val="22"/>
                <w:highlight w:val="none"/>
                <w:lang w:val="en-US" w:eastAsia="zh-CN" w:bidi="ar-SA"/>
              </w:rPr>
              <w:t>10.结合工程提出的组织协调的内容全面，协调的方法、程序和协调措施可行，得1～4分；</w:t>
            </w:r>
          </w:p>
        </w:tc>
        <w:tc>
          <w:tcPr>
            <w:tcW w:w="1117" w:type="dxa"/>
            <w:vAlign w:val="center"/>
          </w:tcPr>
          <w:p w14:paraId="09509A0A">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default" w:ascii="宋体"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40</w:t>
            </w:r>
          </w:p>
        </w:tc>
      </w:tr>
      <w:tr w14:paraId="1847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5" w:type="dxa"/>
            <w:vMerge w:val="restart"/>
            <w:vAlign w:val="center"/>
          </w:tcPr>
          <w:p w14:paraId="0EEC352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商务</w:t>
            </w:r>
          </w:p>
        </w:tc>
        <w:tc>
          <w:tcPr>
            <w:tcW w:w="1560" w:type="dxa"/>
            <w:vAlign w:val="center"/>
          </w:tcPr>
          <w:p w14:paraId="6DAB7C5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设备仪器</w:t>
            </w:r>
          </w:p>
        </w:tc>
        <w:tc>
          <w:tcPr>
            <w:tcW w:w="7443" w:type="dxa"/>
            <w:vAlign w:val="center"/>
          </w:tcPr>
          <w:p w14:paraId="711BF4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outlineLvl w:val="9"/>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rPr>
              <w:t>针对招标工程特点，配备的监理设备、仪器满足招标工程要求得</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分；基本满足得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分；不满足不得分。</w:t>
            </w:r>
          </w:p>
        </w:tc>
        <w:tc>
          <w:tcPr>
            <w:tcW w:w="1117" w:type="dxa"/>
            <w:vAlign w:val="center"/>
          </w:tcPr>
          <w:p w14:paraId="199DD73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sz w:val="22"/>
                <w:szCs w:val="22"/>
                <w:highlight w:val="none"/>
                <w:lang w:val="en-US" w:eastAsia="zh-CN"/>
              </w:rPr>
              <w:t>6</w:t>
            </w:r>
          </w:p>
        </w:tc>
      </w:tr>
      <w:tr w14:paraId="308A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5" w:type="dxa"/>
            <w:vMerge w:val="continue"/>
            <w:vAlign w:val="center"/>
          </w:tcPr>
          <w:p w14:paraId="0047524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p>
        </w:tc>
        <w:tc>
          <w:tcPr>
            <w:tcW w:w="1560" w:type="dxa"/>
            <w:vAlign w:val="center"/>
          </w:tcPr>
          <w:p w14:paraId="55BB4D1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拟投入本项目人员安排</w:t>
            </w:r>
          </w:p>
        </w:tc>
        <w:tc>
          <w:tcPr>
            <w:tcW w:w="7443" w:type="dxa"/>
            <w:vAlign w:val="center"/>
          </w:tcPr>
          <w:p w14:paraId="064EF728">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0" w:leftChars="0" w:firstLine="0" w:firstLineChars="0"/>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sz w:val="22"/>
                <w:szCs w:val="22"/>
                <w:highlight w:val="none"/>
                <w:lang w:val="en-US" w:eastAsia="zh-CN"/>
              </w:rPr>
              <w:t>人员配置安排合理且证件齐全，得</w:t>
            </w:r>
            <w:r>
              <w:rPr>
                <w:rFonts w:hint="eastAsia" w:ascii="宋体" w:hAnsi="宋体" w:cs="宋体"/>
                <w:sz w:val="22"/>
                <w:szCs w:val="22"/>
                <w:highlight w:val="none"/>
                <w:lang w:val="en-US" w:eastAsia="zh-CN"/>
              </w:rPr>
              <w:t>10-16</w:t>
            </w:r>
            <w:r>
              <w:rPr>
                <w:rFonts w:hint="eastAsia" w:ascii="宋体" w:hAnsi="宋体" w:eastAsia="宋体" w:cs="宋体"/>
                <w:sz w:val="22"/>
                <w:szCs w:val="22"/>
                <w:highlight w:val="none"/>
                <w:lang w:val="en-US" w:eastAsia="zh-CN"/>
              </w:rPr>
              <w:t>分；人员配置安排较好得</w:t>
            </w:r>
            <w:r>
              <w:rPr>
                <w:rFonts w:hint="eastAsia" w:ascii="宋体" w:hAnsi="宋体" w:cs="宋体"/>
                <w:sz w:val="22"/>
                <w:szCs w:val="22"/>
                <w:highlight w:val="none"/>
                <w:lang w:val="en-US" w:eastAsia="zh-CN"/>
              </w:rPr>
              <w:t>5-9</w:t>
            </w:r>
            <w:r>
              <w:rPr>
                <w:rFonts w:hint="eastAsia" w:ascii="宋体" w:hAnsi="宋体" w:eastAsia="宋体" w:cs="宋体"/>
                <w:sz w:val="22"/>
                <w:szCs w:val="22"/>
                <w:highlight w:val="none"/>
                <w:lang w:val="en-US" w:eastAsia="zh-CN"/>
              </w:rPr>
              <w:t>分；人员配置安排适中得1</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lang w:val="en-US" w:eastAsia="zh-CN"/>
              </w:rPr>
              <w:t>分；差不得分。</w:t>
            </w:r>
          </w:p>
        </w:tc>
        <w:tc>
          <w:tcPr>
            <w:tcW w:w="1117" w:type="dxa"/>
            <w:vAlign w:val="center"/>
          </w:tcPr>
          <w:p w14:paraId="7274346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w:t>
            </w:r>
          </w:p>
        </w:tc>
      </w:tr>
      <w:tr w14:paraId="6FA7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35" w:type="dxa"/>
            <w:vMerge w:val="continue"/>
            <w:vAlign w:val="center"/>
          </w:tcPr>
          <w:p w14:paraId="60F7277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p>
        </w:tc>
        <w:tc>
          <w:tcPr>
            <w:tcW w:w="1560" w:type="dxa"/>
            <w:vAlign w:val="center"/>
          </w:tcPr>
          <w:p w14:paraId="74480D4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总监工程师的资格能力</w:t>
            </w:r>
          </w:p>
        </w:tc>
        <w:tc>
          <w:tcPr>
            <w:tcW w:w="7443" w:type="dxa"/>
            <w:vAlign w:val="center"/>
          </w:tcPr>
          <w:p w14:paraId="70B56C2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近三年承担过类似或相近工程项目的总监理工程师，每项得2分，最多得6分；</w:t>
            </w:r>
          </w:p>
        </w:tc>
        <w:tc>
          <w:tcPr>
            <w:tcW w:w="1117" w:type="dxa"/>
            <w:vAlign w:val="center"/>
          </w:tcPr>
          <w:p w14:paraId="40E65168">
            <w:pPr>
              <w:pStyle w:val="12"/>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r>
      <w:tr w14:paraId="52D5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5" w:type="dxa"/>
            <w:vMerge w:val="continue"/>
            <w:vAlign w:val="center"/>
          </w:tcPr>
          <w:p w14:paraId="5791420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rPr>
            </w:pPr>
          </w:p>
        </w:tc>
        <w:tc>
          <w:tcPr>
            <w:tcW w:w="1560" w:type="dxa"/>
            <w:vAlign w:val="center"/>
          </w:tcPr>
          <w:p w14:paraId="68A280F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承诺和履约措施</w:t>
            </w:r>
          </w:p>
        </w:tc>
        <w:tc>
          <w:tcPr>
            <w:tcW w:w="7443" w:type="dxa"/>
            <w:vAlign w:val="center"/>
          </w:tcPr>
          <w:p w14:paraId="58DA0D4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提供明确的履约服务承诺，为保证成果质量，提出严谨的服务方案且具有可行性及合理性，得 0-</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tc>
        <w:tc>
          <w:tcPr>
            <w:tcW w:w="1117" w:type="dxa"/>
            <w:vAlign w:val="center"/>
          </w:tcPr>
          <w:p w14:paraId="7FE885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r>
      <w:tr w14:paraId="5593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5" w:type="dxa"/>
            <w:vMerge w:val="continue"/>
            <w:vAlign w:val="center"/>
          </w:tcPr>
          <w:p w14:paraId="226209F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rPr>
            </w:pPr>
          </w:p>
        </w:tc>
        <w:tc>
          <w:tcPr>
            <w:tcW w:w="1560" w:type="dxa"/>
            <w:vAlign w:val="center"/>
          </w:tcPr>
          <w:p w14:paraId="24BF6F3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标函质量</w:t>
            </w:r>
          </w:p>
        </w:tc>
        <w:tc>
          <w:tcPr>
            <w:tcW w:w="7443" w:type="dxa"/>
            <w:vAlign w:val="center"/>
          </w:tcPr>
          <w:p w14:paraId="3E38770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outlineLvl w:val="9"/>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标函编制内容完整、齐全、叙述严谨、标书无涂改、错页、漏页现象，否则酌情扣分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得0-</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tc>
        <w:tc>
          <w:tcPr>
            <w:tcW w:w="1117" w:type="dxa"/>
            <w:vAlign w:val="center"/>
          </w:tcPr>
          <w:p w14:paraId="203CBC8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r>
      <w:tr w14:paraId="0903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5" w:type="dxa"/>
            <w:vMerge w:val="continue"/>
            <w:vAlign w:val="center"/>
          </w:tcPr>
          <w:p w14:paraId="0D69EF9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rPr>
            </w:pPr>
          </w:p>
        </w:tc>
        <w:tc>
          <w:tcPr>
            <w:tcW w:w="1560" w:type="dxa"/>
            <w:vAlign w:val="center"/>
          </w:tcPr>
          <w:p w14:paraId="31A7FF1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同类业绩</w:t>
            </w:r>
          </w:p>
        </w:tc>
        <w:tc>
          <w:tcPr>
            <w:tcW w:w="7443" w:type="dxa"/>
            <w:vAlign w:val="center"/>
          </w:tcPr>
          <w:p w14:paraId="6E81E37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供应商近三年具有的同类项目业绩，每项得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分，最高得</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分，无业绩证明材料不得分。注：提供上述项目的中标通知书或发包通知书、监理合同（第一部分）及竣工验收报告或竣工接受证书复印件加盖公章。否则该项业绩视为无效。</w:t>
            </w:r>
          </w:p>
        </w:tc>
        <w:tc>
          <w:tcPr>
            <w:tcW w:w="1117" w:type="dxa"/>
            <w:vAlign w:val="center"/>
          </w:tcPr>
          <w:p w14:paraId="3B8EC8B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outlineLvl w:val="9"/>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r>
    </w:tbl>
    <w:p w14:paraId="2B6D0157">
      <w:pPr>
        <w:spacing w:line="360" w:lineRule="auto"/>
        <w:ind w:firstLine="482" w:firstLineChars="200"/>
        <w:jc w:val="center"/>
        <w:rPr>
          <w:rFonts w:hint="eastAsia" w:ascii="宋体" w:hAnsi="宋体" w:eastAsia="宋体" w:cs="宋体"/>
          <w:b/>
          <w:color w:val="auto"/>
          <w:sz w:val="24"/>
          <w:szCs w:val="20"/>
          <w:highlight w:val="none"/>
          <w:lang w:val="zh-CN"/>
        </w:rPr>
      </w:pPr>
      <w:r>
        <w:rPr>
          <w:rFonts w:hint="eastAsia" w:ascii="宋体" w:hAnsi="宋体" w:eastAsia="宋体" w:cs="宋体"/>
          <w:b/>
          <w:bCs/>
          <w:color w:val="auto"/>
          <w:kern w:val="2"/>
          <w:sz w:val="24"/>
          <w:szCs w:val="24"/>
          <w:highlight w:val="none"/>
        </w:rPr>
        <w:br w:type="page"/>
      </w:r>
      <w:r>
        <w:rPr>
          <w:rFonts w:hint="eastAsia" w:ascii="宋体" w:hAnsi="宋体" w:eastAsia="宋体" w:cs="宋体"/>
          <w:b/>
          <w:color w:val="auto"/>
          <w:sz w:val="32"/>
          <w:szCs w:val="32"/>
          <w:highlight w:val="none"/>
        </w:rPr>
        <w:t>价格评审（分）记录明细表</w:t>
      </w:r>
    </w:p>
    <w:tbl>
      <w:tblPr>
        <w:tblStyle w:val="19"/>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5"/>
      </w:tblGrid>
      <w:tr w14:paraId="777B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215" w:type="dxa"/>
            <w:vAlign w:val="center"/>
          </w:tcPr>
          <w:p w14:paraId="655292FD">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rPr>
              <w:t>属于中小企业评标优惠内容及价格扣除幅度，本项目的价格扣除为</w:t>
            </w:r>
            <w:r>
              <w:rPr>
                <w:rFonts w:hint="eastAsia" w:ascii="宋体" w:hAnsi="宋体" w:eastAsia="宋体" w:cs="宋体"/>
                <w:b/>
                <w:bCs/>
                <w:color w:val="auto"/>
                <w:kern w:val="2"/>
                <w:sz w:val="24"/>
                <w:szCs w:val="24"/>
                <w:highlight w:val="none"/>
                <w:lang w:val="en-US" w:eastAsia="zh-CN"/>
              </w:rPr>
              <w:t>10</w:t>
            </w:r>
            <w:r>
              <w:rPr>
                <w:rFonts w:hint="eastAsia" w:ascii="宋体" w:hAnsi="宋体" w:eastAsia="宋体" w:cs="宋体"/>
                <w:b/>
                <w:bCs/>
                <w:color w:val="auto"/>
                <w:kern w:val="2"/>
                <w:sz w:val="24"/>
                <w:szCs w:val="24"/>
                <w:highlight w:val="none"/>
              </w:rPr>
              <w:t>%。</w:t>
            </w:r>
          </w:p>
        </w:tc>
      </w:tr>
      <w:tr w14:paraId="3A82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15" w:type="dxa"/>
            <w:vAlign w:val="center"/>
          </w:tcPr>
          <w:p w14:paraId="47FF7BB3">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根据中华人民共和国财政部、中华人民共和国工业和信息化部《政府采购促进中小企业发展管理办法》（财库〔2020〕46号）文件的规定，属于中小企业评标优惠内容及幅度如下：</w:t>
            </w:r>
          </w:p>
          <w:p w14:paraId="3735BB03">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（一）中小企业（含中型、小型、微型企业）应当同时符合以下条件：</w:t>
            </w:r>
          </w:p>
          <w:p w14:paraId="50222730">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①符合中小企业划分标准(按《关于印发中小企业划型标准规定的通知》(工信部联企业( 2011)300号）执行）；</w:t>
            </w:r>
          </w:p>
          <w:p w14:paraId="1C06A424">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②提供本企业制造的货物、承担的项目或者服务，或者提供其他中小企业制造的货物。本项所称货物不包括使用大型企业注册商标的货物；</w:t>
            </w:r>
          </w:p>
          <w:p w14:paraId="69ACC889">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③小型、微型企业提供中型企业制造的货物的，视同为中型企业。</w:t>
            </w:r>
          </w:p>
          <w:p w14:paraId="224A5F6B">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（二）价格扣除办法：</w:t>
            </w:r>
          </w:p>
          <w:p w14:paraId="23DF786A">
            <w:pPr>
              <w:pStyle w:val="30"/>
              <w:keepNext w:val="0"/>
              <w:keepLines w:val="0"/>
              <w:pageBreakBefore w:val="0"/>
              <w:widowControl w:val="0"/>
              <w:kinsoku/>
              <w:wordWrap/>
              <w:overflowPunct/>
              <w:topLinePunct w:val="0"/>
              <w:autoSpaceDE w:val="0"/>
              <w:autoSpaceDN w:val="0"/>
              <w:bidi w:val="0"/>
              <w:adjustRightInd w:val="0"/>
              <w:snapToGrid w:val="0"/>
              <w:spacing w:line="400" w:lineRule="exact"/>
              <w:ind w:firstLine="48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①对于非专门面向中小企业的项目，对小型和微型企业（或联合体各方均为小型、微型企业的）产品的价格给予</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%的扣除，用扣除后的评标价格参与价格分的评标。</w:t>
            </w:r>
          </w:p>
          <w:p w14:paraId="1A736BB6">
            <w:pPr>
              <w:pStyle w:val="30"/>
              <w:keepNext w:val="0"/>
              <w:keepLines w:val="0"/>
              <w:pageBreakBefore w:val="0"/>
              <w:widowControl w:val="0"/>
              <w:kinsoku/>
              <w:wordWrap/>
              <w:overflowPunct/>
              <w:topLinePunct w:val="0"/>
              <w:autoSpaceDE w:val="0"/>
              <w:autoSpaceDN w:val="0"/>
              <w:bidi w:val="0"/>
              <w:adjustRightInd w:val="0"/>
              <w:snapToGrid w:val="0"/>
              <w:spacing w:line="400" w:lineRule="exact"/>
              <w:ind w:firstLine="48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②大中型企业和其他自然人、法人或者其他组织与小型、微型企业组成联合体，联合体协议中约定，小型、微型企业的协议合同金额占到联合体协议合同总金额30%以上的，可给予联合体</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 xml:space="preserve">%的价格扣除。联合体各方均为小型、微型企业的，联合体视同为小型、微型企业享受扶持政策。组成联合体的大中型企业和其他自然人、法人或者其他组织，与小型、微型企业之间不得存在投资关系，并附协议书。  </w:t>
            </w:r>
          </w:p>
          <w:p w14:paraId="60832CD6">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（三）小型和微型企业适用价格扣除办法时应提供的相关资料：</w:t>
            </w:r>
          </w:p>
          <w:p w14:paraId="38842D4B">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 xml:space="preserve">    ①《</w:t>
            </w:r>
            <w:r>
              <w:rPr>
                <w:rFonts w:hint="eastAsia" w:ascii="宋体" w:hAnsi="宋体" w:eastAsia="宋体" w:cs="宋体"/>
                <w:color w:val="auto"/>
                <w:kern w:val="2"/>
                <w:sz w:val="24"/>
                <w:szCs w:val="24"/>
                <w:highlight w:val="none"/>
                <w:lang w:val="en-US" w:eastAsia="zh-CN"/>
              </w:rPr>
              <w:t>小微</w:t>
            </w:r>
            <w:r>
              <w:rPr>
                <w:rFonts w:hint="eastAsia" w:ascii="宋体" w:hAnsi="宋体" w:eastAsia="宋体" w:cs="宋体"/>
                <w:color w:val="auto"/>
                <w:kern w:val="2"/>
                <w:sz w:val="24"/>
                <w:szCs w:val="24"/>
                <w:highlight w:val="none"/>
              </w:rPr>
              <w:t>企业声明函》；</w:t>
            </w:r>
          </w:p>
        </w:tc>
      </w:tr>
      <w:tr w14:paraId="583A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15" w:type="dxa"/>
            <w:vAlign w:val="center"/>
          </w:tcPr>
          <w:p w14:paraId="0EDD0AEC">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rPr>
              <w:t>C.属于享受政府采购支持政策的残疾人福利性单位评标优惠内容及价格扣除幅度按小型、微型企业评标中价格扣除,残疾人福利性单位属于小型、微型企业的，不重复享受政策。本项目的价格扣除为</w:t>
            </w:r>
            <w:r>
              <w:rPr>
                <w:rFonts w:hint="eastAsia" w:ascii="宋体" w:hAnsi="宋体" w:eastAsia="宋体" w:cs="宋体"/>
                <w:b/>
                <w:bCs/>
                <w:color w:val="auto"/>
                <w:kern w:val="2"/>
                <w:sz w:val="24"/>
                <w:szCs w:val="24"/>
                <w:highlight w:val="none"/>
                <w:lang w:val="en-US" w:eastAsia="zh-CN"/>
              </w:rPr>
              <w:t>10</w:t>
            </w:r>
            <w:r>
              <w:rPr>
                <w:rFonts w:hint="eastAsia" w:ascii="宋体" w:hAnsi="宋体" w:eastAsia="宋体" w:cs="宋体"/>
                <w:b/>
                <w:bCs/>
                <w:color w:val="auto"/>
                <w:kern w:val="2"/>
                <w:sz w:val="24"/>
                <w:szCs w:val="24"/>
                <w:highlight w:val="none"/>
              </w:rPr>
              <w:t>%。</w:t>
            </w:r>
          </w:p>
        </w:tc>
      </w:tr>
      <w:tr w14:paraId="56C0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15" w:type="dxa"/>
            <w:vAlign w:val="center"/>
          </w:tcPr>
          <w:p w14:paraId="60C533A1">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rPr>
              <w:t>D. 属于享受政府采购支持政策的监狱企业评标优惠内容及价格扣除幅度</w:t>
            </w:r>
            <w:r>
              <w:rPr>
                <w:rFonts w:hint="eastAsia" w:ascii="宋体" w:hAnsi="宋体" w:eastAsia="宋体" w:cs="宋体"/>
                <w:b/>
                <w:bCs/>
                <w:color w:val="auto"/>
                <w:kern w:val="2"/>
                <w:sz w:val="24"/>
                <w:szCs w:val="24"/>
                <w:highlight w:val="none"/>
                <w:lang w:bidi="ar"/>
              </w:rPr>
              <w:t>按小型、微型企业评标中价格评审优惠,残疾人福利性单位属于小型、微型企业的，不重复享受政策（须提供由省级以上监狱管理局、戒毒管理局（含新疆生产建设兵团）出具的属于监狱企业的证明文件</w:t>
            </w: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bidi="ar"/>
              </w:rPr>
              <w:t>。</w:t>
            </w:r>
            <w:r>
              <w:rPr>
                <w:rFonts w:hint="eastAsia" w:ascii="宋体" w:hAnsi="宋体" w:eastAsia="宋体" w:cs="宋体"/>
                <w:b/>
                <w:bCs/>
                <w:color w:val="auto"/>
                <w:kern w:val="2"/>
                <w:sz w:val="24"/>
                <w:szCs w:val="24"/>
                <w:highlight w:val="none"/>
              </w:rPr>
              <w:t>本项目的价格扣除为</w:t>
            </w:r>
            <w:r>
              <w:rPr>
                <w:rFonts w:hint="eastAsia" w:ascii="宋体" w:hAnsi="宋体" w:eastAsia="宋体" w:cs="宋体"/>
                <w:b/>
                <w:bCs/>
                <w:color w:val="auto"/>
                <w:kern w:val="2"/>
                <w:sz w:val="24"/>
                <w:szCs w:val="24"/>
                <w:highlight w:val="none"/>
                <w:lang w:val="en-US" w:eastAsia="zh-CN"/>
              </w:rPr>
              <w:t>10</w:t>
            </w:r>
            <w:r>
              <w:rPr>
                <w:rFonts w:hint="eastAsia" w:ascii="宋体" w:hAnsi="宋体" w:eastAsia="宋体" w:cs="宋体"/>
                <w:b/>
                <w:bCs/>
                <w:color w:val="auto"/>
                <w:kern w:val="2"/>
                <w:sz w:val="24"/>
                <w:szCs w:val="24"/>
                <w:highlight w:val="none"/>
              </w:rPr>
              <w:t>%。</w:t>
            </w:r>
          </w:p>
        </w:tc>
      </w:tr>
      <w:tr w14:paraId="7EC9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15" w:type="dxa"/>
            <w:vAlign w:val="center"/>
          </w:tcPr>
          <w:p w14:paraId="2037A69E">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rPr>
              <w:t>E.节能、环境标志产品评审优惠内容及办法</w:t>
            </w:r>
          </w:p>
        </w:tc>
      </w:tr>
      <w:tr w14:paraId="16A0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15" w:type="dxa"/>
            <w:vAlign w:val="center"/>
          </w:tcPr>
          <w:p w14:paraId="31D8AD9E">
            <w:pPr>
              <w:pStyle w:val="30"/>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所投产品如是《节能产品政府采购清单》内产品，并提供清单内证明材料。其他产品若属于“节能产品政府采购清单”内产品，在同等条件下，优先采购清单中的产品。</w:t>
            </w:r>
          </w:p>
          <w:p w14:paraId="25BB66F7">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或评审优惠。</w:t>
            </w:r>
          </w:p>
        </w:tc>
      </w:tr>
      <w:tr w14:paraId="286F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215" w:type="dxa"/>
            <w:vAlign w:val="center"/>
          </w:tcPr>
          <w:p w14:paraId="515C0BFB">
            <w:pPr>
              <w:pStyle w:val="30"/>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优惠办法</w:t>
            </w:r>
          </w:p>
        </w:tc>
      </w:tr>
      <w:tr w14:paraId="3841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15" w:type="dxa"/>
            <w:vAlign w:val="top"/>
          </w:tcPr>
          <w:p w14:paraId="4095C4E7">
            <w:pPr>
              <w:pStyle w:val="30"/>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t>1.产品的价格给予扣除，用扣除后的价格参与价格分的评标。</w:t>
            </w:r>
            <w:r>
              <w:rPr>
                <w:rFonts w:hint="eastAsia" w:ascii="宋体" w:hAnsi="宋体" w:eastAsia="宋体" w:cs="宋体"/>
                <w:b/>
                <w:bCs/>
                <w:color w:val="auto"/>
                <w:kern w:val="2"/>
                <w:sz w:val="24"/>
                <w:szCs w:val="24"/>
                <w:highlight w:val="none"/>
              </w:rPr>
              <w:t>本项目的价格扣除为</w:t>
            </w:r>
            <w:r>
              <w:rPr>
                <w:rFonts w:hint="eastAsia" w:ascii="宋体" w:hAnsi="宋体" w:eastAsia="宋体" w:cs="宋体"/>
                <w:b/>
                <w:bCs/>
                <w:color w:val="auto"/>
                <w:kern w:val="2"/>
                <w:sz w:val="24"/>
                <w:szCs w:val="24"/>
                <w:highlight w:val="none"/>
                <w:lang w:val="en-US" w:eastAsia="zh-CN"/>
              </w:rPr>
              <w:t>10</w:t>
            </w:r>
            <w:r>
              <w:rPr>
                <w:rFonts w:hint="eastAsia" w:ascii="宋体" w:hAnsi="宋体" w:eastAsia="宋体" w:cs="宋体"/>
                <w:b/>
                <w:bCs/>
                <w:color w:val="auto"/>
                <w:kern w:val="2"/>
                <w:sz w:val="24"/>
                <w:szCs w:val="24"/>
                <w:highlight w:val="none"/>
              </w:rPr>
              <w:t>%。</w:t>
            </w:r>
          </w:p>
          <w:p w14:paraId="29D1BA53">
            <w:pPr>
              <w:pStyle w:val="30"/>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须提供国家财政部、发改委公布的最新公布的《节能产品政府采购清单》关于投标产品当前页的打印件或国家财政部、生态环境部最新公布的《环境标志产品政府采购清单》关于供应产品当前页的打印件（加盖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单位章），</w:t>
            </w:r>
            <w:r>
              <w:rPr>
                <w:rFonts w:hint="eastAsia" w:ascii="宋体" w:hAnsi="宋体" w:eastAsia="宋体" w:cs="宋体"/>
                <w:color w:val="auto"/>
                <w:kern w:val="2"/>
                <w:sz w:val="24"/>
                <w:szCs w:val="24"/>
                <w:highlight w:val="none"/>
                <w:lang w:val="zh-CN" w:bidi="zh-CN"/>
              </w:rPr>
              <w:t>提供国家确定的认证机构出具的、处于有效期之内的节能产品或环境标志产品认证证书复印件，并加盖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2"/>
                <w:sz w:val="24"/>
                <w:szCs w:val="24"/>
                <w:highlight w:val="none"/>
                <w:lang w:val="zh-CN" w:bidi="zh-CN"/>
              </w:rPr>
              <w:t>单位的公章。</w:t>
            </w:r>
          </w:p>
        </w:tc>
      </w:tr>
    </w:tbl>
    <w:p w14:paraId="4A4D3584">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4.4.5供应商得分</w:t>
      </w:r>
    </w:p>
    <w:p w14:paraId="7F2F5451">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供应商总分＝商务部分+技术部分+价格部分 </w:t>
      </w:r>
    </w:p>
    <w:p w14:paraId="725D0DE5">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注：以上计算分数时四舍五入取小数点后两位。</w:t>
      </w:r>
    </w:p>
    <w:p w14:paraId="5AA87196">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4.5</w:t>
      </w:r>
      <w:r>
        <w:rPr>
          <w:rFonts w:hint="eastAsia" w:ascii="宋体" w:hAnsi="宋体" w:eastAsia="宋体" w:cs="宋体"/>
          <w:b/>
          <w:color w:val="auto"/>
          <w:kern w:val="0"/>
          <w:sz w:val="24"/>
          <w:szCs w:val="24"/>
          <w:highlight w:val="none"/>
        </w:rPr>
        <w:t>推荐成交候选供应商名单</w:t>
      </w:r>
    </w:p>
    <w:p w14:paraId="06BE9E91">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4.5.1成交候选供应商数量为3人，但必须按顺序排列成交候选供应商。 </w:t>
      </w:r>
    </w:p>
    <w:p w14:paraId="649DF661">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4.5.2评标委员会对全部满足磋商文件实质性要求前提下，</w:t>
      </w:r>
      <w:r>
        <w:rPr>
          <w:rFonts w:hint="eastAsia" w:ascii="宋体" w:hAnsi="宋体" w:eastAsia="宋体" w:cs="宋体"/>
          <w:color w:val="auto"/>
          <w:kern w:val="0"/>
          <w:sz w:val="24"/>
          <w:szCs w:val="24"/>
          <w:highlight w:val="none"/>
        </w:rPr>
        <w:t>按照磋商文件中规定的各项因素进行综合评审后，按评审后的综合得分由高到低顺序排列，以磋商总得分最高的供应商作为成交候选人。得分相同的，按磋商报价由低到高顺序排列。得分且磋商报价相同的，按技术指标优劣顺序排列。</w:t>
      </w:r>
    </w:p>
    <w:p w14:paraId="50D791C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4.6编写磋商报告</w:t>
      </w:r>
    </w:p>
    <w:p w14:paraId="7887069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4.6.1</w:t>
      </w:r>
      <w:r>
        <w:rPr>
          <w:rFonts w:hint="eastAsia" w:ascii="宋体" w:hAnsi="宋体" w:eastAsia="宋体" w:cs="宋体"/>
          <w:color w:val="auto"/>
          <w:sz w:val="24"/>
          <w:szCs w:val="24"/>
          <w:highlight w:val="none"/>
        </w:rPr>
        <w:t>评标委员会完成评标后</w:t>
      </w:r>
      <w:r>
        <w:rPr>
          <w:rFonts w:hint="eastAsia" w:ascii="宋体" w:hAnsi="宋体" w:eastAsia="宋体" w:cs="宋体"/>
          <w:color w:val="auto"/>
          <w:kern w:val="0"/>
          <w:sz w:val="24"/>
          <w:szCs w:val="24"/>
          <w:highlight w:val="none"/>
        </w:rPr>
        <w:t xml:space="preserve">，根据全体评标成员签字的原始评标记录和评审结果编写的报告，其主要内容包括： </w:t>
      </w:r>
    </w:p>
    <w:p w14:paraId="7D974158">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（1）磋商公告刊登的媒体名称、磋商日期和地点； </w:t>
      </w:r>
    </w:p>
    <w:p w14:paraId="5DEF6CC8">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（2）购买磋商文件的供应商名单和评标委员会成员名单； </w:t>
      </w:r>
    </w:p>
    <w:p w14:paraId="63A90362">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（3）磋商方法和标准； </w:t>
      </w:r>
    </w:p>
    <w:p w14:paraId="50ABA14C">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（4）磋商记录和评审情况及说明，包括磋商无效供应商名单及原因； </w:t>
      </w:r>
    </w:p>
    <w:p w14:paraId="02EBD09D">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（5）评审结果和</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 xml:space="preserve">候人排序表； </w:t>
      </w:r>
    </w:p>
    <w:p w14:paraId="0E4774A6">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（6）评标委员会的授标建议。 </w:t>
      </w:r>
    </w:p>
    <w:p w14:paraId="43362448">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4.6.2招标代理机构在评标结束后将磋商报告送采购人。</w:t>
      </w:r>
    </w:p>
    <w:p w14:paraId="0C0A728B">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4.7确定成交人</w:t>
      </w:r>
    </w:p>
    <w:p w14:paraId="7668B418">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4.7.1采购人应当自收到磋商报告之日起5个工作日内，在磋商报告确定的成交候选人名单中按顺序确定成交人。成交候选人并列的，由采购人或者采购人委托评标委员会按照磋商文件规定的方式确定成交人；磋商文件未规定的，采取随机抽取的方式确定。</w:t>
      </w:r>
    </w:p>
    <w:p w14:paraId="41452FD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4.7.2采购人在收到磋商报告5个工作日内未按磋商报告推荐的成交候选人顺序确定成交人，又不能说明合法理由的，视同按磋商报告推荐的顺序确定排名第一的成交候选人为成交人。</w:t>
      </w:r>
    </w:p>
    <w:p w14:paraId="01A9444A">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4.7.3如果排名第一的成交候选供应商，因不可抗力或自身原因放弃成交结果，可根据项目所需确定排名第二的成交候选供应商为成交供应商，以此类推。</w:t>
      </w:r>
    </w:p>
    <w:p w14:paraId="7776CB52">
      <w:pP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br w:type="page"/>
      </w:r>
    </w:p>
    <w:p w14:paraId="42E4865A">
      <w:pPr>
        <w:tabs>
          <w:tab w:val="left" w:pos="1256"/>
        </w:tabs>
        <w:jc w:val="center"/>
        <w:outlineLvl w:val="0"/>
        <w:rPr>
          <w:rFonts w:hint="eastAsia" w:ascii="宋体" w:hAnsi="宋体" w:eastAsia="宋体" w:cs="宋体"/>
          <w:sz w:val="24"/>
          <w:szCs w:val="24"/>
          <w:highlight w:val="none"/>
        </w:rPr>
        <w:sectPr>
          <w:footerReference r:id="rId9" w:type="default"/>
          <w:footerReference r:id="rId10" w:type="even"/>
          <w:pgSz w:w="11910" w:h="16840"/>
          <w:pgMar w:top="1580" w:right="1300" w:bottom="1020" w:left="1300" w:header="720" w:footer="832" w:gutter="0"/>
          <w:pgNumType w:fmt="decimal" w:start="1"/>
          <w:cols w:space="720" w:num="1"/>
        </w:sectPr>
      </w:pPr>
      <w:bookmarkStart w:id="34" w:name="_Toc4575"/>
      <w:r>
        <w:rPr>
          <w:rFonts w:hint="eastAsia" w:ascii="宋体" w:hAnsi="宋体" w:eastAsia="宋体" w:cs="宋体"/>
          <w:b/>
          <w:bCs/>
          <w:sz w:val="40"/>
          <w:szCs w:val="40"/>
          <w:highlight w:val="none"/>
        </w:rPr>
        <w:t>第</w:t>
      </w:r>
      <w:r>
        <w:rPr>
          <w:rFonts w:hint="eastAsia" w:ascii="宋体" w:hAnsi="宋体" w:eastAsia="宋体" w:cs="宋体"/>
          <w:b/>
          <w:bCs/>
          <w:sz w:val="40"/>
          <w:szCs w:val="40"/>
          <w:highlight w:val="none"/>
          <w:lang w:val="en-US" w:eastAsia="zh-CN"/>
        </w:rPr>
        <w:t>六</w:t>
      </w:r>
      <w:r>
        <w:rPr>
          <w:rFonts w:hint="eastAsia" w:ascii="宋体" w:hAnsi="宋体" w:eastAsia="宋体" w:cs="宋体"/>
          <w:b/>
          <w:bCs/>
          <w:sz w:val="40"/>
          <w:szCs w:val="40"/>
          <w:highlight w:val="none"/>
        </w:rPr>
        <w:t>部分</w:t>
      </w:r>
      <w:r>
        <w:rPr>
          <w:rFonts w:hint="eastAsia" w:ascii="宋体" w:hAnsi="宋体" w:eastAsia="宋体" w:cs="宋体"/>
          <w:b/>
          <w:sz w:val="40"/>
          <w:szCs w:val="40"/>
          <w:highlight w:val="none"/>
        </w:rPr>
        <w:t xml:space="preserve"> </w:t>
      </w:r>
      <w:r>
        <w:rPr>
          <w:rFonts w:hint="eastAsia" w:ascii="宋体" w:hAnsi="宋体" w:cs="宋体"/>
          <w:b/>
          <w:sz w:val="40"/>
          <w:szCs w:val="40"/>
          <w:highlight w:val="none"/>
          <w:lang w:val="en-US" w:eastAsia="zh-CN"/>
        </w:rPr>
        <w:t xml:space="preserve"> </w:t>
      </w:r>
      <w:r>
        <w:rPr>
          <w:rFonts w:hint="eastAsia" w:ascii="宋体" w:hAnsi="宋体" w:eastAsia="宋体" w:cs="宋体"/>
          <w:b/>
          <w:bCs/>
          <w:sz w:val="40"/>
          <w:szCs w:val="40"/>
          <w:highlight w:val="none"/>
        </w:rPr>
        <w:t>合同</w:t>
      </w:r>
      <w:bookmarkEnd w:id="34"/>
    </w:p>
    <w:p w14:paraId="1C55E120">
      <w:pPr>
        <w:autoSpaceDE w:val="0"/>
        <w:autoSpaceDN w:val="0"/>
        <w:adjustRightInd/>
        <w:spacing w:before="70" w:after="0" w:line="240" w:lineRule="auto"/>
        <w:ind w:right="0"/>
        <w:jc w:val="left"/>
        <w:textAlignment w:val="auto"/>
        <w:rPr>
          <w:rFonts w:hint="eastAsia" w:ascii="宋体" w:hAnsi="宋体" w:eastAsia="宋体" w:cs="宋体"/>
          <w:b/>
          <w:sz w:val="28"/>
          <w:szCs w:val="28"/>
          <w:highlight w:val="none"/>
          <w:lang w:eastAsia="en-US"/>
        </w:rPr>
      </w:pPr>
      <w:r>
        <w:rPr>
          <w:rFonts w:hint="eastAsia" w:ascii="宋体" w:hAnsi="宋体" w:eastAsia="宋体" w:cs="宋体"/>
          <w:b/>
          <w:color w:val="231F20"/>
          <w:sz w:val="28"/>
          <w:szCs w:val="28"/>
          <w:highlight w:val="none"/>
          <w:lang w:eastAsia="en-US"/>
        </w:rPr>
        <w:t>GF—2012—0202</w:t>
      </w:r>
    </w:p>
    <w:p w14:paraId="0417DDE4">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06A50338">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6CFF63CD">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760ACE50">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09E93401">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1CC2A7AE">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094710EC">
      <w:pPr>
        <w:widowControl w:val="0"/>
        <w:autoSpaceDE w:val="0"/>
        <w:autoSpaceDN w:val="0"/>
        <w:spacing w:before="0" w:after="0" w:line="240" w:lineRule="auto"/>
        <w:ind w:left="0" w:right="0"/>
        <w:jc w:val="left"/>
        <w:rPr>
          <w:rFonts w:hint="eastAsia" w:ascii="宋体" w:hAnsi="宋体" w:eastAsia="宋体" w:cs="宋体"/>
          <w:b/>
          <w:sz w:val="24"/>
          <w:szCs w:val="24"/>
          <w:highlight w:val="none"/>
          <w:lang w:val="en-US" w:eastAsia="en-US" w:bidi="ar-SA"/>
        </w:rPr>
      </w:pPr>
    </w:p>
    <w:p w14:paraId="6BAFC2DB">
      <w:pPr>
        <w:widowControl w:val="0"/>
        <w:autoSpaceDE w:val="0"/>
        <w:autoSpaceDN w:val="0"/>
        <w:spacing w:before="7" w:after="0" w:line="240" w:lineRule="auto"/>
        <w:ind w:left="0" w:right="0"/>
        <w:jc w:val="left"/>
        <w:rPr>
          <w:rFonts w:hint="eastAsia" w:ascii="宋体" w:hAnsi="宋体" w:eastAsia="宋体" w:cs="宋体"/>
          <w:b/>
          <w:sz w:val="24"/>
          <w:szCs w:val="24"/>
          <w:highlight w:val="none"/>
          <w:lang w:val="en-US" w:eastAsia="en-US" w:bidi="ar-SA"/>
        </w:rPr>
      </w:pPr>
    </w:p>
    <w:p w14:paraId="2FF62C6F">
      <w:pPr>
        <w:autoSpaceDE w:val="0"/>
        <w:autoSpaceDN w:val="0"/>
        <w:adjustRightInd/>
        <w:spacing w:before="0" w:after="0" w:line="577" w:lineRule="exact"/>
        <w:ind w:left="3035" w:right="3035" w:firstLine="0"/>
        <w:jc w:val="center"/>
        <w:textAlignment w:val="auto"/>
        <w:rPr>
          <w:rFonts w:hint="eastAsia" w:ascii="宋体" w:hAnsi="宋体" w:eastAsia="宋体" w:cs="宋体"/>
          <w:b/>
          <w:bCs/>
          <w:sz w:val="40"/>
          <w:szCs w:val="40"/>
          <w:highlight w:val="none"/>
          <w:lang w:eastAsia="en-US"/>
        </w:rPr>
      </w:pPr>
      <w:r>
        <w:rPr>
          <w:rFonts w:hint="eastAsia" w:ascii="宋体" w:hAnsi="宋体" w:eastAsia="宋体" w:cs="宋体"/>
          <w:b/>
          <w:bCs/>
          <w:color w:val="231F20"/>
          <w:sz w:val="40"/>
          <w:szCs w:val="40"/>
          <w:highlight w:val="none"/>
          <w:lang w:eastAsia="en-US"/>
        </w:rPr>
        <w:t>建设工程监理合同</w:t>
      </w:r>
    </w:p>
    <w:p w14:paraId="4BD35381">
      <w:pPr>
        <w:widowControl w:val="0"/>
        <w:autoSpaceDE w:val="0"/>
        <w:autoSpaceDN w:val="0"/>
        <w:spacing w:before="152" w:after="0" w:line="240" w:lineRule="auto"/>
        <w:ind w:left="3035" w:right="3035"/>
        <w:jc w:val="center"/>
        <w:outlineLvl w:val="9"/>
        <w:rPr>
          <w:rFonts w:hint="eastAsia" w:ascii="宋体" w:hAnsi="宋体" w:eastAsia="宋体" w:cs="宋体"/>
          <w:b/>
          <w:bCs/>
          <w:sz w:val="40"/>
          <w:szCs w:val="40"/>
          <w:highlight w:val="none"/>
          <w:lang w:val="en-US" w:eastAsia="en-US" w:bidi="ar-SA"/>
        </w:rPr>
      </w:pPr>
      <w:r>
        <w:rPr>
          <w:rFonts w:hint="eastAsia" w:ascii="宋体" w:hAnsi="宋体" w:eastAsia="宋体" w:cs="宋体"/>
          <w:b/>
          <w:bCs/>
          <w:color w:val="231F20"/>
          <w:sz w:val="40"/>
          <w:szCs w:val="40"/>
          <w:highlight w:val="none"/>
          <w:lang w:val="en-US" w:eastAsia="en-US" w:bidi="ar-SA"/>
        </w:rPr>
        <w:t>（示范文本）</w:t>
      </w:r>
    </w:p>
    <w:p w14:paraId="72DDEC5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58A6515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15703DD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44C43E89">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66D6BBE6">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373391C0">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09BFC73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75A2248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48DF98B6">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5C943BC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01EE879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6A84AD0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593CFE91">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19E06D1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75EE524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6137388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482C311E">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2EF5F8D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0E394927">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21ACAB9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39F561BA">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3D896D9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6A598A3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4ADADC88">
      <w:pPr>
        <w:widowControl w:val="0"/>
        <w:autoSpaceDE w:val="0"/>
        <w:autoSpaceDN w:val="0"/>
        <w:spacing w:before="13" w:after="0" w:line="240" w:lineRule="auto"/>
        <w:ind w:left="0" w:right="0"/>
        <w:jc w:val="left"/>
        <w:rPr>
          <w:rFonts w:hint="eastAsia" w:ascii="宋体" w:hAnsi="宋体" w:eastAsia="宋体" w:cs="宋体"/>
          <w:sz w:val="24"/>
          <w:szCs w:val="24"/>
          <w:highlight w:val="none"/>
          <w:lang w:val="en-US" w:eastAsia="en-US" w:bidi="ar-SA"/>
        </w:rPr>
      </w:pPr>
    </w:p>
    <w:p w14:paraId="679BD006">
      <w:pPr>
        <w:widowControl w:val="0"/>
        <w:autoSpaceDE w:val="0"/>
        <w:autoSpaceDN w:val="0"/>
        <w:spacing w:before="13" w:after="0" w:line="305" w:lineRule="exact"/>
        <w:ind w:left="3010" w:right="3035"/>
        <w:jc w:val="center"/>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xml:space="preserve">住 房 和 城 乡 建 设 部 </w:t>
      </w:r>
    </w:p>
    <w:p w14:paraId="534AA735">
      <w:pPr>
        <w:autoSpaceDE w:val="0"/>
        <w:autoSpaceDN w:val="0"/>
        <w:adjustRightInd/>
        <w:spacing w:before="0" w:after="0" w:line="220" w:lineRule="exact"/>
        <w:ind w:left="6138" w:right="0" w:firstLine="0"/>
        <w:jc w:val="left"/>
        <w:textAlignment w:val="auto"/>
        <w:rPr>
          <w:rFonts w:hint="eastAsia" w:ascii="宋体" w:hAnsi="宋体" w:eastAsia="宋体" w:cs="宋体"/>
          <w:sz w:val="24"/>
          <w:szCs w:val="24"/>
          <w:highlight w:val="none"/>
          <w:lang w:eastAsia="en-US"/>
        </w:rPr>
      </w:pPr>
      <w:r>
        <w:rPr>
          <w:rFonts w:hint="eastAsia" w:ascii="宋体" w:hAnsi="宋体" w:eastAsia="宋体" w:cs="宋体"/>
          <w:color w:val="231F20"/>
          <w:sz w:val="24"/>
          <w:szCs w:val="24"/>
          <w:highlight w:val="none"/>
          <w:lang w:eastAsia="en-US"/>
        </w:rPr>
        <w:t>制定</w:t>
      </w:r>
    </w:p>
    <w:p w14:paraId="4D4B2C29">
      <w:pPr>
        <w:autoSpaceDE w:val="0"/>
        <w:autoSpaceDN w:val="0"/>
        <w:adjustRightInd/>
        <w:spacing w:before="0" w:after="0" w:line="285" w:lineRule="exact"/>
        <w:ind w:left="2889" w:right="3035" w:firstLine="0"/>
        <w:jc w:val="center"/>
        <w:textAlignment w:val="auto"/>
        <w:rPr>
          <w:rFonts w:hint="eastAsia" w:ascii="宋体" w:hAnsi="宋体" w:eastAsia="宋体" w:cs="宋体"/>
          <w:sz w:val="24"/>
          <w:szCs w:val="24"/>
          <w:highlight w:val="none"/>
        </w:rPr>
        <w:sectPr>
          <w:footerReference r:id="rId11" w:type="default"/>
          <w:footerReference r:id="rId12" w:type="even"/>
          <w:pgSz w:w="11910" w:h="16840"/>
          <w:pgMar w:top="1580" w:right="1300" w:bottom="1020" w:left="1300" w:header="720" w:footer="832" w:gutter="0"/>
          <w:pgNumType w:fmt="decimal"/>
          <w:cols w:space="720" w:num="1"/>
        </w:sectPr>
      </w:pPr>
      <w:r>
        <w:rPr>
          <w:rFonts w:hint="eastAsia" w:ascii="宋体" w:hAnsi="宋体" w:eastAsia="宋体" w:cs="宋体"/>
          <w:color w:val="231F20"/>
          <w:sz w:val="24"/>
          <w:szCs w:val="24"/>
          <w:highlight w:val="none"/>
          <w:lang w:eastAsia="en-US"/>
        </w:rPr>
        <w:t>国家工商行政管</w:t>
      </w:r>
      <w:r>
        <w:rPr>
          <w:rFonts w:hint="eastAsia" w:ascii="宋体" w:hAnsi="宋体" w:eastAsia="宋体" w:cs="宋体"/>
          <w:color w:val="231F20"/>
          <w:sz w:val="24"/>
          <w:szCs w:val="24"/>
          <w:highlight w:val="none"/>
          <w:lang w:eastAsia="zh-CN"/>
        </w:rPr>
        <w:t>理局</w:t>
      </w:r>
    </w:p>
    <w:p w14:paraId="57767EA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0CA61DB7">
      <w:pPr>
        <w:widowControl w:val="0"/>
        <w:autoSpaceDE w:val="0"/>
        <w:autoSpaceDN w:val="0"/>
        <w:spacing w:before="4" w:after="0" w:line="240" w:lineRule="auto"/>
        <w:ind w:left="0" w:right="0"/>
        <w:jc w:val="left"/>
        <w:rPr>
          <w:rFonts w:hint="eastAsia" w:ascii="宋体" w:hAnsi="宋体" w:eastAsia="宋体" w:cs="宋体"/>
          <w:sz w:val="24"/>
          <w:szCs w:val="24"/>
          <w:highlight w:val="none"/>
          <w:lang w:val="en-US" w:eastAsia="en-US" w:bidi="ar-SA"/>
        </w:rPr>
      </w:pPr>
    </w:p>
    <w:p w14:paraId="17052FC4">
      <w:pPr>
        <w:tabs>
          <w:tab w:val="left" w:pos="4932"/>
        </w:tabs>
        <w:autoSpaceDE w:val="0"/>
        <w:autoSpaceDN w:val="0"/>
        <w:adjustRightInd/>
        <w:spacing w:before="3" w:after="0" w:line="240" w:lineRule="auto"/>
        <w:ind w:left="3532" w:right="0" w:firstLine="0"/>
        <w:jc w:val="left"/>
        <w:textAlignment w:val="auto"/>
        <w:outlineLvl w:val="9"/>
        <w:rPr>
          <w:rFonts w:hint="eastAsia" w:ascii="宋体" w:hAnsi="宋体" w:eastAsia="宋体" w:cs="宋体"/>
          <w:sz w:val="24"/>
          <w:szCs w:val="24"/>
          <w:highlight w:val="none"/>
          <w:lang w:val="en-US" w:eastAsia="en-US" w:bidi="ar-SA"/>
        </w:rPr>
      </w:pPr>
      <w:r>
        <w:rPr>
          <w:rFonts w:hint="eastAsia" w:ascii="宋体" w:hAnsi="宋体" w:eastAsia="宋体" w:cs="宋体"/>
          <w:b/>
          <w:bCs/>
          <w:color w:val="231F20"/>
          <w:sz w:val="24"/>
          <w:szCs w:val="24"/>
          <w:highlight w:val="none"/>
          <w:lang w:eastAsia="en-US"/>
        </w:rPr>
        <w:t>第一部分</w:t>
      </w:r>
      <w:r>
        <w:rPr>
          <w:rFonts w:hint="eastAsia" w:ascii="宋体" w:hAnsi="宋体" w:eastAsia="宋体" w:cs="宋体"/>
          <w:b/>
          <w:bCs/>
          <w:color w:val="231F20"/>
          <w:sz w:val="24"/>
          <w:szCs w:val="24"/>
          <w:highlight w:val="none"/>
          <w:lang w:eastAsia="en-US"/>
        </w:rPr>
        <w:tab/>
      </w:r>
      <w:r>
        <w:rPr>
          <w:rFonts w:hint="eastAsia" w:ascii="宋体" w:hAnsi="宋体" w:eastAsia="宋体" w:cs="宋体"/>
          <w:b/>
          <w:bCs/>
          <w:color w:val="231F20"/>
          <w:sz w:val="24"/>
          <w:szCs w:val="24"/>
          <w:highlight w:val="none"/>
          <w:lang w:eastAsia="en-US"/>
        </w:rPr>
        <w:t>协议书</w:t>
      </w:r>
    </w:p>
    <w:p w14:paraId="6EC42F77">
      <w:pPr>
        <w:widowControl w:val="0"/>
        <w:autoSpaceDE w:val="0"/>
        <w:autoSpaceDN w:val="0"/>
        <w:spacing w:before="4" w:after="0" w:line="240" w:lineRule="auto"/>
        <w:ind w:left="0" w:right="0"/>
        <w:jc w:val="left"/>
        <w:rPr>
          <w:rFonts w:hint="eastAsia" w:ascii="宋体" w:hAnsi="宋体" w:eastAsia="宋体" w:cs="宋体"/>
          <w:sz w:val="24"/>
          <w:szCs w:val="24"/>
          <w:highlight w:val="none"/>
          <w:lang w:val="en-US" w:eastAsia="en-US" w:bidi="ar-SA"/>
        </w:rPr>
      </w:pPr>
    </w:p>
    <w:p w14:paraId="677B348E">
      <w:pPr>
        <w:widowControl w:val="0"/>
        <w:tabs>
          <w:tab w:val="left" w:pos="9188"/>
        </w:tabs>
        <w:autoSpaceDE w:val="0"/>
        <w:autoSpaceDN w:val="0"/>
        <w:spacing w:before="0" w:after="0" w:line="328" w:lineRule="auto"/>
        <w:ind w:left="557" w:right="212"/>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委托人（全称）：</w:t>
      </w:r>
      <w:r>
        <w:rPr>
          <w:rFonts w:hint="eastAsia" w:ascii="宋体" w:hAnsi="宋体" w:cs="宋体"/>
          <w:color w:val="231F20"/>
          <w:sz w:val="24"/>
          <w:szCs w:val="24"/>
          <w:highlight w:val="none"/>
          <w:lang w:val="en-US" w:eastAsia="zh-CN" w:bidi="ar-SA"/>
        </w:rPr>
        <w:t>若羌县发展和改革委员会</w:t>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 xml:space="preserve"> 监理人（全称</w:t>
      </w:r>
      <w:r>
        <w:rPr>
          <w:rFonts w:hint="eastAsia" w:ascii="宋体" w:hAnsi="宋体" w:eastAsia="宋体" w:cs="宋体"/>
          <w:color w:val="231F20"/>
          <w:spacing w:val="-28"/>
          <w:sz w:val="24"/>
          <w:szCs w:val="24"/>
          <w:highlight w:val="none"/>
          <w:lang w:val="en-US" w:eastAsia="en-US" w:bidi="ar-SA"/>
        </w:rPr>
        <w:t>）：</w:t>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 xml:space="preserve"> 根据《中华人民共和国</w:t>
      </w:r>
      <w:r>
        <w:rPr>
          <w:rFonts w:hint="eastAsia" w:ascii="宋体" w:hAnsi="宋体" w:eastAsia="宋体" w:cs="宋体"/>
          <w:color w:val="231F20"/>
          <w:sz w:val="24"/>
          <w:szCs w:val="24"/>
          <w:highlight w:val="none"/>
          <w:lang w:val="en-US" w:eastAsia="zh-CN" w:bidi="ar-SA"/>
        </w:rPr>
        <w:t>民法典</w:t>
      </w: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z w:val="24"/>
          <w:szCs w:val="24"/>
          <w:highlight w:val="none"/>
          <w:lang w:val="en-US" w:eastAsia="zh-CN" w:bidi="ar-SA"/>
        </w:rPr>
        <w:t xml:space="preserve">  </w:t>
      </w:r>
      <w:r>
        <w:rPr>
          <w:rFonts w:hint="eastAsia" w:ascii="宋体" w:hAnsi="宋体" w:eastAsia="宋体" w:cs="宋体"/>
          <w:color w:val="231F20"/>
          <w:sz w:val="24"/>
          <w:szCs w:val="24"/>
          <w:highlight w:val="none"/>
          <w:lang w:val="en-US" w:eastAsia="en-US" w:bidi="ar-SA"/>
        </w:rPr>
        <w:t>《中华人民共和国建筑法》及其他有关法律、法规，遵循平等、自愿、公平和诚信的原则，双方就下述工程委托监理与相关服务事项协商一致，订立本合同。</w:t>
      </w:r>
    </w:p>
    <w:p w14:paraId="73BD4A14">
      <w:pPr>
        <w:widowControl w:val="0"/>
        <w:autoSpaceDE w:val="0"/>
        <w:autoSpaceDN w:val="0"/>
        <w:spacing w:before="176" w:after="0" w:line="240" w:lineRule="auto"/>
        <w:ind w:left="557" w:right="0"/>
        <w:jc w:val="both"/>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一、工程概况</w:t>
      </w:r>
    </w:p>
    <w:p w14:paraId="26EEF74A">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0F68118B">
      <w:pPr>
        <w:widowControl w:val="0"/>
        <w:numPr>
          <w:ilvl w:val="0"/>
          <w:numId w:val="5"/>
        </w:numPr>
        <w:tabs>
          <w:tab w:val="left" w:pos="775"/>
          <w:tab w:val="left" w:pos="9078"/>
        </w:tabs>
        <w:autoSpaceDE w:val="0"/>
        <w:autoSpaceDN w:val="0"/>
        <w:spacing w:before="0"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工程名称</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cs="宋体"/>
          <w:color w:val="231F20"/>
          <w:sz w:val="24"/>
          <w:szCs w:val="24"/>
          <w:highlight w:val="none"/>
          <w:u w:val="single" w:color="231F20"/>
          <w:lang w:val="en-US" w:eastAsia="zh-CN" w:bidi="ar-SA"/>
        </w:rPr>
        <w:t>若羌南部矿区羌河三区110千伏输变电工程（监理）二次</w:t>
      </w:r>
      <w:r>
        <w:rPr>
          <w:rFonts w:hint="eastAsia" w:ascii="宋体" w:hAnsi="宋体" w:eastAsia="宋体" w:cs="宋体"/>
          <w:color w:val="231F20"/>
          <w:sz w:val="24"/>
          <w:szCs w:val="24"/>
          <w:highlight w:val="none"/>
          <w:lang w:val="en-US" w:eastAsia="en-US" w:bidi="ar-SA"/>
        </w:rPr>
        <w:t>；</w:t>
      </w:r>
    </w:p>
    <w:p w14:paraId="39B3579F">
      <w:pPr>
        <w:widowControl w:val="0"/>
        <w:numPr>
          <w:ilvl w:val="0"/>
          <w:numId w:val="5"/>
        </w:numPr>
        <w:tabs>
          <w:tab w:val="left" w:pos="775"/>
          <w:tab w:val="left" w:pos="9078"/>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工程地点</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cs="宋体"/>
          <w:color w:val="231F20"/>
          <w:sz w:val="24"/>
          <w:szCs w:val="24"/>
          <w:highlight w:val="none"/>
          <w:u w:val="single" w:color="231F20"/>
          <w:lang w:val="en-US" w:eastAsia="zh-CN" w:bidi="ar-SA"/>
        </w:rPr>
        <w:t>若羌县</w:t>
      </w:r>
      <w:r>
        <w:rPr>
          <w:rFonts w:hint="eastAsia" w:ascii="宋体" w:hAnsi="宋体" w:eastAsia="宋体" w:cs="宋体"/>
          <w:color w:val="231F20"/>
          <w:sz w:val="24"/>
          <w:szCs w:val="24"/>
          <w:highlight w:val="none"/>
          <w:lang w:val="en-US" w:eastAsia="en-US" w:bidi="ar-SA"/>
        </w:rPr>
        <w:t>；</w:t>
      </w:r>
    </w:p>
    <w:p w14:paraId="06DE3E3D">
      <w:pPr>
        <w:widowControl w:val="0"/>
        <w:numPr>
          <w:ilvl w:val="0"/>
          <w:numId w:val="5"/>
        </w:numPr>
        <w:tabs>
          <w:tab w:val="left" w:pos="775"/>
          <w:tab w:val="left" w:pos="9078"/>
        </w:tabs>
        <w:autoSpaceDE w:val="0"/>
        <w:autoSpaceDN w:val="0"/>
        <w:spacing w:before="109" w:after="0" w:line="36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工程规</w:t>
      </w:r>
      <w:r>
        <w:rPr>
          <w:rFonts w:hint="eastAsia" w:ascii="宋体" w:hAnsi="宋体" w:eastAsia="宋体" w:cs="宋体"/>
          <w:color w:val="231F20"/>
          <w:sz w:val="24"/>
          <w:szCs w:val="24"/>
          <w:highlight w:val="none"/>
          <w:u w:val="none" w:color="auto"/>
          <w:lang w:val="en-US" w:eastAsia="en-US" w:bidi="ar-SA"/>
        </w:rPr>
        <w:t>模：</w:t>
      </w:r>
      <w:r>
        <w:rPr>
          <w:rFonts w:hint="eastAsia" w:ascii="宋体" w:hAnsi="宋体" w:cs="宋体"/>
          <w:color w:val="auto"/>
          <w:sz w:val="24"/>
          <w:szCs w:val="24"/>
          <w:highlight w:val="none"/>
          <w:u w:val="none" w:color="auto"/>
          <w:lang w:val="en-US" w:eastAsia="zh-CN"/>
        </w:rPr>
        <w:t>项目本期建设110kV变电站一座，远期规划2台主变，容量为2×50MVA，本期建成一台主变，容量为1×50MVA；变电站电源侧进线架设1回110kV输电线路，线路全长约32.1km（本期建设一回，设计同塔双回，单边挂线），负荷侧出线架设1回110kV输电线路至羌河三区，线路全长约42.3km。（详见工程量清单）</w:t>
      </w:r>
    </w:p>
    <w:p w14:paraId="4ED3AE83">
      <w:pPr>
        <w:widowControl w:val="0"/>
        <w:numPr>
          <w:ilvl w:val="0"/>
          <w:numId w:val="5"/>
        </w:numPr>
        <w:tabs>
          <w:tab w:val="left" w:pos="775"/>
          <w:tab w:val="left" w:pos="9078"/>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监理范围：若羌南部矿区羌河三区110千伏输变电工程的全部监理内容</w:t>
      </w:r>
      <w:bookmarkStart w:id="57" w:name="_GoBack"/>
      <w:bookmarkEnd w:id="57"/>
      <w:r>
        <w:rPr>
          <w:rFonts w:hint="eastAsia" w:ascii="宋体" w:hAnsi="宋体" w:eastAsia="宋体" w:cs="宋体"/>
          <w:color w:val="231F20"/>
          <w:sz w:val="24"/>
          <w:szCs w:val="24"/>
          <w:highlight w:val="none"/>
          <w:lang w:val="en-US" w:eastAsia="en-US" w:bidi="ar-SA"/>
        </w:rPr>
        <w:t>。</w:t>
      </w:r>
    </w:p>
    <w:p w14:paraId="64F9459F">
      <w:pPr>
        <w:widowControl w:val="0"/>
        <w:autoSpaceDE w:val="0"/>
        <w:autoSpaceDN w:val="0"/>
        <w:spacing w:before="4" w:after="0" w:line="240" w:lineRule="auto"/>
        <w:ind w:left="0" w:right="0"/>
        <w:jc w:val="left"/>
        <w:rPr>
          <w:rFonts w:hint="eastAsia" w:ascii="宋体" w:hAnsi="宋体" w:eastAsia="宋体" w:cs="宋体"/>
          <w:sz w:val="24"/>
          <w:szCs w:val="24"/>
          <w:highlight w:val="none"/>
          <w:lang w:val="en-US" w:eastAsia="en-US" w:bidi="ar-SA"/>
        </w:rPr>
      </w:pPr>
    </w:p>
    <w:p w14:paraId="5A218976">
      <w:pPr>
        <w:widowControl w:val="0"/>
        <w:autoSpaceDE w:val="0"/>
        <w:autoSpaceDN w:val="0"/>
        <w:spacing w:before="0" w:after="0" w:line="240" w:lineRule="auto"/>
        <w:ind w:left="557" w:right="0"/>
        <w:jc w:val="both"/>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二、词语限定</w:t>
      </w:r>
    </w:p>
    <w:p w14:paraId="49E2732B">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111C7DDD">
      <w:pPr>
        <w:widowControl w:val="0"/>
        <w:autoSpaceDE w:val="0"/>
        <w:autoSpaceDN w:val="0"/>
        <w:spacing w:before="0" w:after="0" w:line="240" w:lineRule="auto"/>
        <w:ind w:left="557" w:right="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协议书中相关词语的含义与通用条件中的定义与解释相同。</w:t>
      </w:r>
    </w:p>
    <w:p w14:paraId="63D17A6D">
      <w:pPr>
        <w:widowControl w:val="0"/>
        <w:autoSpaceDE w:val="0"/>
        <w:autoSpaceDN w:val="0"/>
        <w:spacing w:before="4" w:after="0" w:line="240" w:lineRule="auto"/>
        <w:ind w:left="0" w:right="0"/>
        <w:jc w:val="left"/>
        <w:rPr>
          <w:rFonts w:hint="eastAsia" w:ascii="宋体" w:hAnsi="宋体" w:eastAsia="宋体" w:cs="宋体"/>
          <w:sz w:val="24"/>
          <w:szCs w:val="24"/>
          <w:highlight w:val="none"/>
          <w:lang w:val="en-US" w:eastAsia="en-US" w:bidi="ar-SA"/>
        </w:rPr>
      </w:pPr>
    </w:p>
    <w:p w14:paraId="7618F48A">
      <w:pPr>
        <w:widowControl w:val="0"/>
        <w:autoSpaceDE w:val="0"/>
        <w:autoSpaceDN w:val="0"/>
        <w:spacing w:before="0" w:after="0" w:line="240" w:lineRule="auto"/>
        <w:ind w:left="557" w:right="0"/>
        <w:jc w:val="both"/>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三、组成本合同的文件</w:t>
      </w:r>
    </w:p>
    <w:p w14:paraId="5AAD6624">
      <w:pPr>
        <w:widowControl w:val="0"/>
        <w:autoSpaceDE w:val="0"/>
        <w:autoSpaceDN w:val="0"/>
        <w:spacing w:before="5" w:after="0" w:line="240" w:lineRule="auto"/>
        <w:ind w:left="0" w:right="0"/>
        <w:jc w:val="left"/>
        <w:rPr>
          <w:rFonts w:hint="eastAsia" w:ascii="宋体" w:hAnsi="宋体" w:eastAsia="宋体" w:cs="宋体"/>
          <w:sz w:val="24"/>
          <w:szCs w:val="24"/>
          <w:highlight w:val="none"/>
          <w:lang w:val="en-US" w:eastAsia="en-US" w:bidi="ar-SA"/>
        </w:rPr>
      </w:pPr>
    </w:p>
    <w:p w14:paraId="4079D160">
      <w:pPr>
        <w:widowControl w:val="0"/>
        <w:numPr>
          <w:ilvl w:val="0"/>
          <w:numId w:val="6"/>
        </w:numPr>
        <w:tabs>
          <w:tab w:val="left" w:pos="775"/>
        </w:tabs>
        <w:autoSpaceDE w:val="0"/>
        <w:autoSpaceDN w:val="0"/>
        <w:spacing w:before="1"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协议书；</w:t>
      </w:r>
    </w:p>
    <w:p w14:paraId="07425611">
      <w:pPr>
        <w:widowControl w:val="0"/>
        <w:numPr>
          <w:ilvl w:val="0"/>
          <w:numId w:val="6"/>
        </w:numPr>
        <w:tabs>
          <w:tab w:val="left" w:pos="775"/>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中标通知书（适用于招标工程）或委托书（适用于非招标工程</w:t>
      </w:r>
      <w:r>
        <w:rPr>
          <w:rFonts w:hint="eastAsia" w:ascii="宋体" w:hAnsi="宋体" w:eastAsia="宋体" w:cs="宋体"/>
          <w:color w:val="231F20"/>
          <w:spacing w:val="-28"/>
          <w:sz w:val="24"/>
          <w:szCs w:val="24"/>
          <w:highlight w:val="none"/>
          <w:lang w:val="en-US" w:eastAsia="en-US" w:bidi="ar-SA"/>
        </w:rPr>
        <w:t>）；</w:t>
      </w:r>
    </w:p>
    <w:p w14:paraId="68CF40F3">
      <w:pPr>
        <w:widowControl w:val="0"/>
        <w:numPr>
          <w:ilvl w:val="0"/>
          <w:numId w:val="6"/>
        </w:numPr>
        <w:tabs>
          <w:tab w:val="left" w:pos="775"/>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投标文件（适用于招标工程）或监理与相关服务建议书（适用于非招标工程</w:t>
      </w:r>
      <w:r>
        <w:rPr>
          <w:rFonts w:hint="eastAsia" w:ascii="宋体" w:hAnsi="宋体" w:eastAsia="宋体" w:cs="宋体"/>
          <w:color w:val="231F20"/>
          <w:spacing w:val="-28"/>
          <w:sz w:val="24"/>
          <w:szCs w:val="24"/>
          <w:highlight w:val="none"/>
          <w:lang w:val="en-US" w:eastAsia="en-US" w:bidi="ar-SA"/>
        </w:rPr>
        <w:t>）；</w:t>
      </w:r>
    </w:p>
    <w:p w14:paraId="64E63029">
      <w:pPr>
        <w:widowControl w:val="0"/>
        <w:numPr>
          <w:ilvl w:val="0"/>
          <w:numId w:val="6"/>
        </w:numPr>
        <w:tabs>
          <w:tab w:val="left" w:pos="775"/>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专用条件；</w:t>
      </w:r>
    </w:p>
    <w:p w14:paraId="2B62DBA3">
      <w:pPr>
        <w:widowControl w:val="0"/>
        <w:numPr>
          <w:ilvl w:val="0"/>
          <w:numId w:val="6"/>
        </w:numPr>
        <w:tabs>
          <w:tab w:val="left" w:pos="775"/>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通用条件；</w:t>
      </w:r>
    </w:p>
    <w:p w14:paraId="54BEA5CF">
      <w:pPr>
        <w:widowControl w:val="0"/>
        <w:numPr>
          <w:ilvl w:val="0"/>
          <w:numId w:val="6"/>
        </w:numPr>
        <w:tabs>
          <w:tab w:val="left" w:pos="775"/>
        </w:tabs>
        <w:autoSpaceDE w:val="0"/>
        <w:autoSpaceDN w:val="0"/>
        <w:spacing w:before="109" w:after="0" w:line="240" w:lineRule="auto"/>
        <w:ind w:left="774" w:right="0" w:hanging="217"/>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附录，即：</w:t>
      </w:r>
    </w:p>
    <w:p w14:paraId="57741FAF">
      <w:pPr>
        <w:widowControl w:val="0"/>
        <w:autoSpaceDE w:val="0"/>
        <w:autoSpaceDN w:val="0"/>
        <w:spacing w:before="109" w:after="0" w:line="240" w:lineRule="auto"/>
        <w:ind w:left="557" w:right="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附录 A  相关服务的范围和内容</w:t>
      </w:r>
    </w:p>
    <w:p w14:paraId="1027C4E6">
      <w:pPr>
        <w:widowControl w:val="0"/>
        <w:autoSpaceDE w:val="0"/>
        <w:autoSpaceDN w:val="0"/>
        <w:spacing w:before="109" w:after="0" w:line="240" w:lineRule="auto"/>
        <w:ind w:left="557" w:right="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附录 B  委托人派遣的人员和提供的房屋、资料、设备</w:t>
      </w:r>
    </w:p>
    <w:p w14:paraId="284780AA">
      <w:pPr>
        <w:widowControl w:val="0"/>
        <w:autoSpaceDE w:val="0"/>
        <w:autoSpaceDN w:val="0"/>
        <w:spacing w:before="109" w:after="0" w:line="240" w:lineRule="auto"/>
        <w:ind w:left="557" w:right="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本合同签订后，双方依法签订的补充协议也是本合同文件的组成部分。</w:t>
      </w:r>
    </w:p>
    <w:p w14:paraId="611DEAFE">
      <w:pPr>
        <w:spacing w:after="0"/>
        <w:jc w:val="both"/>
        <w:rPr>
          <w:rFonts w:hint="eastAsia" w:ascii="宋体" w:hAnsi="宋体" w:eastAsia="宋体" w:cs="宋体"/>
          <w:sz w:val="24"/>
          <w:szCs w:val="24"/>
          <w:highlight w:val="none"/>
        </w:rPr>
        <w:sectPr>
          <w:pgSz w:w="11910" w:h="16840"/>
          <w:pgMar w:top="1580" w:right="1200" w:bottom="1020" w:left="1300" w:header="0" w:footer="832" w:gutter="0"/>
          <w:pgNumType w:fmt="decimal"/>
          <w:cols w:space="720" w:num="1"/>
        </w:sectPr>
      </w:pPr>
    </w:p>
    <w:p w14:paraId="17FACB5A">
      <w:pPr>
        <w:widowControl w:val="0"/>
        <w:autoSpaceDE w:val="0"/>
        <w:autoSpaceDN w:val="0"/>
        <w:spacing w:before="4" w:after="0" w:line="240" w:lineRule="auto"/>
        <w:ind w:left="557" w:right="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四、总监理工程师</w:t>
      </w:r>
    </w:p>
    <w:p w14:paraId="54B71021">
      <w:pPr>
        <w:widowControl w:val="0"/>
        <w:autoSpaceDE w:val="0"/>
        <w:autoSpaceDN w:val="0"/>
        <w:spacing w:before="5" w:after="0" w:line="240" w:lineRule="auto"/>
        <w:ind w:left="0" w:right="0"/>
        <w:jc w:val="left"/>
        <w:rPr>
          <w:rFonts w:hint="eastAsia" w:ascii="宋体" w:hAnsi="宋体" w:eastAsia="宋体" w:cs="宋体"/>
          <w:sz w:val="24"/>
          <w:szCs w:val="24"/>
          <w:highlight w:val="none"/>
          <w:lang w:val="en-US" w:eastAsia="en-US" w:bidi="ar-SA"/>
        </w:rPr>
      </w:pPr>
    </w:p>
    <w:p w14:paraId="39790772">
      <w:pPr>
        <w:widowControl w:val="0"/>
        <w:tabs>
          <w:tab w:val="left" w:pos="3662"/>
          <w:tab w:val="left" w:pos="3879"/>
          <w:tab w:val="left" w:pos="8505"/>
        </w:tabs>
        <w:autoSpaceDE w:val="0"/>
        <w:autoSpaceDN w:val="0"/>
        <w:spacing w:before="0" w:after="0" w:line="319" w:lineRule="auto"/>
        <w:ind w:left="117" w:right="203"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0"/>
          <w:sz w:val="24"/>
          <w:szCs w:val="24"/>
          <w:highlight w:val="none"/>
          <w:lang w:val="en-US" w:eastAsia="en-US" w:bidi="ar-SA"/>
        </w:rPr>
        <w:t>总监理工程师姓</w:t>
      </w:r>
      <w:r>
        <w:rPr>
          <w:rFonts w:hint="eastAsia" w:ascii="宋体" w:hAnsi="宋体" w:eastAsia="宋体" w:cs="宋体"/>
          <w:color w:val="231F20"/>
          <w:sz w:val="24"/>
          <w:szCs w:val="24"/>
          <w:highlight w:val="none"/>
          <w:lang w:val="en-US" w:eastAsia="en-US" w:bidi="ar-SA"/>
        </w:rPr>
        <w:t>名：</w:t>
      </w:r>
      <w:r>
        <w:rPr>
          <w:rFonts w:hint="eastAsia" w:ascii="宋体" w:hAnsi="宋体" w:eastAsia="宋体" w:cs="宋体"/>
          <w:color w:val="231F20"/>
          <w:sz w:val="24"/>
          <w:szCs w:val="24"/>
          <w:highlight w:val="none"/>
          <w:u w:val="single"/>
          <w:lang w:val="en-US" w:eastAsia="en-US" w:bidi="ar-SA"/>
        </w:rPr>
        <w:tab/>
      </w:r>
      <w:r>
        <w:rPr>
          <w:rFonts w:hint="eastAsia" w:ascii="宋体" w:hAnsi="宋体" w:eastAsia="宋体" w:cs="宋体"/>
          <w:color w:val="231F20"/>
          <w:spacing w:val="10"/>
          <w:sz w:val="24"/>
          <w:szCs w:val="24"/>
          <w:highlight w:val="none"/>
          <w:lang w:val="en-US" w:eastAsia="en-US" w:bidi="ar-SA"/>
        </w:rPr>
        <w:t>，身份证号</w:t>
      </w:r>
      <w:r>
        <w:rPr>
          <w:rFonts w:hint="eastAsia" w:ascii="宋体" w:hAnsi="宋体" w:eastAsia="宋体" w:cs="宋体"/>
          <w:color w:val="231F20"/>
          <w:sz w:val="24"/>
          <w:szCs w:val="24"/>
          <w:highlight w:val="none"/>
          <w:lang w:val="en-US" w:eastAsia="en-US" w:bidi="ar-SA"/>
        </w:rPr>
        <w:t>码：</w:t>
      </w:r>
      <w:r>
        <w:rPr>
          <w:rFonts w:hint="eastAsia" w:ascii="宋体" w:hAnsi="宋体" w:eastAsia="宋体" w:cs="宋体"/>
          <w:color w:val="231F20"/>
          <w:sz w:val="24"/>
          <w:szCs w:val="24"/>
          <w:highlight w:val="none"/>
          <w:u w:val="single"/>
          <w:lang w:val="en-US" w:eastAsia="en-US" w:bidi="ar-SA"/>
        </w:rPr>
        <w:tab/>
      </w:r>
      <w:r>
        <w:rPr>
          <w:rFonts w:hint="eastAsia" w:ascii="宋体" w:hAnsi="宋体" w:eastAsia="宋体" w:cs="宋体"/>
          <w:color w:val="231F20"/>
          <w:spacing w:val="10"/>
          <w:sz w:val="24"/>
          <w:szCs w:val="24"/>
          <w:highlight w:val="none"/>
          <w:lang w:val="en-US" w:eastAsia="en-US" w:bidi="ar-SA"/>
        </w:rPr>
        <w:t xml:space="preserve">，注册 </w:t>
      </w:r>
      <w:r>
        <w:rPr>
          <w:rFonts w:hint="eastAsia" w:ascii="宋体" w:hAnsi="宋体" w:eastAsia="宋体" w:cs="宋体"/>
          <w:color w:val="231F20"/>
          <w:sz w:val="24"/>
          <w:szCs w:val="24"/>
          <w:highlight w:val="none"/>
          <w:lang w:val="en-US" w:eastAsia="en-US" w:bidi="ar-SA"/>
        </w:rPr>
        <w:t>号</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。监理期内，监理人不得变更监理工程师，否则，委托人有权要求限期整改，且按次承担</w:t>
      </w:r>
      <w:r>
        <w:rPr>
          <w:rFonts w:hint="eastAsia" w:ascii="宋体" w:hAnsi="宋体" w:eastAsia="宋体" w:cs="宋体"/>
          <w:color w:val="231F20"/>
          <w:sz w:val="24"/>
          <w:szCs w:val="24"/>
          <w:highlight w:val="none"/>
          <w:lang w:val="en-US" w:eastAsia="zh-CN" w:bidi="ar-SA"/>
        </w:rPr>
        <w:t>8</w:t>
      </w:r>
      <w:r>
        <w:rPr>
          <w:rFonts w:hint="eastAsia" w:ascii="宋体" w:hAnsi="宋体" w:eastAsia="宋体" w:cs="宋体"/>
          <w:color w:val="231F20"/>
          <w:sz w:val="24"/>
          <w:szCs w:val="24"/>
          <w:highlight w:val="none"/>
          <w:lang w:val="en-US" w:eastAsia="en-US" w:bidi="ar-SA"/>
        </w:rPr>
        <w:t>0000元的违约金。</w:t>
      </w:r>
    </w:p>
    <w:p w14:paraId="5C7AD36F">
      <w:pPr>
        <w:widowControl w:val="0"/>
        <w:autoSpaceDE w:val="0"/>
        <w:autoSpaceDN w:val="0"/>
        <w:spacing w:before="175" w:after="0" w:line="240" w:lineRule="auto"/>
        <w:ind w:left="557" w:right="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五、签约酬金</w:t>
      </w:r>
    </w:p>
    <w:p w14:paraId="531A2BBE">
      <w:pPr>
        <w:widowControl w:val="0"/>
        <w:autoSpaceDE w:val="0"/>
        <w:autoSpaceDN w:val="0"/>
        <w:spacing w:before="5" w:after="0" w:line="240" w:lineRule="auto"/>
        <w:ind w:left="0" w:right="0"/>
        <w:jc w:val="left"/>
        <w:rPr>
          <w:rFonts w:hint="eastAsia" w:ascii="宋体" w:hAnsi="宋体" w:eastAsia="宋体" w:cs="宋体"/>
          <w:sz w:val="24"/>
          <w:szCs w:val="24"/>
          <w:highlight w:val="none"/>
          <w:lang w:val="en-US" w:eastAsia="en-US" w:bidi="ar-SA"/>
        </w:rPr>
      </w:pPr>
    </w:p>
    <w:p w14:paraId="032640EB">
      <w:pPr>
        <w:widowControl w:val="0"/>
        <w:tabs>
          <w:tab w:val="left" w:pos="5047"/>
          <w:tab w:val="left" w:pos="5947"/>
        </w:tabs>
        <w:autoSpaceDE w:val="0"/>
        <w:autoSpaceDN w:val="0"/>
        <w:spacing w:before="0" w:after="0" w:line="319" w:lineRule="auto"/>
        <w:ind w:left="557" w:right="3098"/>
        <w:jc w:val="left"/>
        <w:rPr>
          <w:rFonts w:hint="eastAsia" w:ascii="宋体" w:hAnsi="宋体" w:eastAsia="宋体" w:cs="宋体"/>
          <w:sz w:val="24"/>
          <w:szCs w:val="24"/>
          <w:highlight w:val="none"/>
          <w:u w:val="single"/>
          <w:lang w:val="en-US" w:eastAsia="zh-CN" w:bidi="ar-SA"/>
        </w:rPr>
      </w:pPr>
      <w:r>
        <w:rPr>
          <w:rFonts w:hint="eastAsia" w:ascii="宋体" w:hAnsi="宋体" w:eastAsia="宋体" w:cs="宋体"/>
          <w:color w:val="231F20"/>
          <w:sz w:val="24"/>
          <w:szCs w:val="24"/>
          <w:highlight w:val="none"/>
          <w:lang w:val="en-US" w:eastAsia="en-US" w:bidi="ar-SA"/>
        </w:rPr>
        <w:t>签约酬金（大写</w:t>
      </w:r>
      <w:r>
        <w:rPr>
          <w:rFonts w:hint="eastAsia" w:ascii="宋体" w:hAnsi="宋体" w:eastAsia="宋体" w:cs="宋体"/>
          <w:color w:val="231F20"/>
          <w:spacing w:val="-28"/>
          <w:sz w:val="24"/>
          <w:szCs w:val="24"/>
          <w:highlight w:val="none"/>
          <w:lang w:val="en-US" w:eastAsia="en-US" w:bidi="ar-SA"/>
        </w:rPr>
        <w:t>）：</w:t>
      </w:r>
      <w:r>
        <w:rPr>
          <w:rFonts w:hint="eastAsia" w:ascii="宋体" w:hAnsi="宋体" w:eastAsia="宋体" w:cs="宋体"/>
          <w:color w:val="231F20"/>
          <w:spacing w:val="-28"/>
          <w:sz w:val="24"/>
          <w:szCs w:val="24"/>
          <w:highlight w:val="none"/>
          <w:u w:val="single"/>
          <w:lang w:val="en-US" w:eastAsia="en-US" w:bidi="ar-SA"/>
        </w:rPr>
        <w:tab/>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pacing w:val="-83"/>
          <w:sz w:val="24"/>
          <w:szCs w:val="24"/>
          <w:highlight w:val="none"/>
          <w:lang w:val="en-US" w:eastAsia="en-US" w:bidi="ar-SA"/>
        </w:rPr>
        <w:t>）</w:t>
      </w:r>
      <w:r>
        <w:rPr>
          <w:rFonts w:hint="eastAsia" w:ascii="宋体" w:hAnsi="宋体" w:eastAsia="宋体" w:cs="宋体"/>
          <w:color w:val="231F20"/>
          <w:sz w:val="24"/>
          <w:szCs w:val="24"/>
          <w:highlight w:val="none"/>
          <w:lang w:val="en-US" w:eastAsia="en-US" w:bidi="ar-SA"/>
        </w:rPr>
        <w:t>。包括：</w:t>
      </w:r>
      <w:r>
        <w:rPr>
          <w:rFonts w:hint="eastAsia" w:ascii="宋体" w:hAnsi="宋体" w:eastAsia="宋体" w:cs="宋体"/>
          <w:color w:val="231F20"/>
          <w:sz w:val="24"/>
          <w:szCs w:val="24"/>
          <w:highlight w:val="none"/>
          <w:u w:val="single"/>
          <w:lang w:val="en-US" w:eastAsia="zh-CN" w:bidi="ar-SA"/>
        </w:rPr>
        <w:t xml:space="preserve">                          </w:t>
      </w:r>
    </w:p>
    <w:p w14:paraId="1C3F7244">
      <w:pPr>
        <w:widowControl w:val="0"/>
        <w:numPr>
          <w:ilvl w:val="0"/>
          <w:numId w:val="7"/>
        </w:numPr>
        <w:tabs>
          <w:tab w:val="left" w:pos="775"/>
          <w:tab w:val="left" w:pos="6597"/>
        </w:tabs>
        <w:autoSpaceDE w:val="0"/>
        <w:autoSpaceDN w:val="0"/>
        <w:spacing w:before="25" w:after="0" w:line="240" w:lineRule="auto"/>
        <w:ind w:left="557" w:right="0" w:firstLine="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监理酬金</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6FC1DD66">
      <w:pPr>
        <w:widowControl w:val="0"/>
        <w:numPr>
          <w:ilvl w:val="0"/>
          <w:numId w:val="7"/>
        </w:numPr>
        <w:tabs>
          <w:tab w:val="left" w:pos="775"/>
          <w:tab w:val="left" w:pos="6597"/>
        </w:tabs>
        <w:autoSpaceDE w:val="0"/>
        <w:autoSpaceDN w:val="0"/>
        <w:spacing w:before="109" w:after="0" w:line="319" w:lineRule="auto"/>
        <w:ind w:left="557" w:right="2586" w:firstLine="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相关服务酬金</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。其中：</w:t>
      </w:r>
    </w:p>
    <w:p w14:paraId="247D26C8">
      <w:pPr>
        <w:widowControl w:val="0"/>
        <w:tabs>
          <w:tab w:val="left" w:pos="9078"/>
        </w:tabs>
        <w:autoSpaceDE w:val="0"/>
        <w:autoSpaceDN w:val="0"/>
        <w:spacing w:before="26" w:after="0" w:line="240" w:lineRule="auto"/>
        <w:ind w:left="110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1）勘察阶段服务酬金</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5D3AF00B">
      <w:pPr>
        <w:widowControl w:val="0"/>
        <w:tabs>
          <w:tab w:val="left" w:pos="9078"/>
        </w:tabs>
        <w:autoSpaceDE w:val="0"/>
        <w:autoSpaceDN w:val="0"/>
        <w:spacing w:before="109" w:after="0" w:line="240" w:lineRule="auto"/>
        <w:ind w:left="110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2）设计阶段服务酬金</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143EBF5A">
      <w:pPr>
        <w:widowControl w:val="0"/>
        <w:tabs>
          <w:tab w:val="left" w:pos="9078"/>
        </w:tabs>
        <w:autoSpaceDE w:val="0"/>
        <w:autoSpaceDN w:val="0"/>
        <w:spacing w:before="109" w:after="0" w:line="240" w:lineRule="auto"/>
        <w:ind w:left="110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3）保修阶段服务酬金</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1CFDAD31">
      <w:pPr>
        <w:widowControl w:val="0"/>
        <w:tabs>
          <w:tab w:val="left" w:pos="9078"/>
        </w:tabs>
        <w:autoSpaceDE w:val="0"/>
        <w:autoSpaceDN w:val="0"/>
        <w:spacing w:before="109" w:after="0" w:line="240" w:lineRule="auto"/>
        <w:ind w:left="110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4）其他相关服务酬金</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4F3A09C1">
      <w:pPr>
        <w:widowControl w:val="0"/>
        <w:autoSpaceDE w:val="0"/>
        <w:autoSpaceDN w:val="0"/>
        <w:spacing w:before="3" w:after="0" w:line="240" w:lineRule="auto"/>
        <w:ind w:left="0" w:right="0"/>
        <w:jc w:val="left"/>
        <w:rPr>
          <w:rFonts w:hint="eastAsia" w:ascii="宋体" w:hAnsi="宋体" w:eastAsia="宋体" w:cs="宋体"/>
          <w:sz w:val="24"/>
          <w:szCs w:val="24"/>
          <w:highlight w:val="none"/>
          <w:lang w:val="en-US" w:eastAsia="en-US" w:bidi="ar-SA"/>
        </w:rPr>
      </w:pPr>
    </w:p>
    <w:p w14:paraId="16924E92">
      <w:pPr>
        <w:widowControl w:val="0"/>
        <w:autoSpaceDE w:val="0"/>
        <w:autoSpaceDN w:val="0"/>
        <w:spacing w:before="1" w:after="0" w:line="240" w:lineRule="auto"/>
        <w:ind w:left="557" w:right="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六、期限</w:t>
      </w:r>
    </w:p>
    <w:p w14:paraId="1E89E61A">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560702CA">
      <w:pPr>
        <w:widowControl w:val="0"/>
        <w:numPr>
          <w:ilvl w:val="0"/>
          <w:numId w:val="8"/>
        </w:numPr>
        <w:tabs>
          <w:tab w:val="left" w:pos="775"/>
        </w:tabs>
        <w:autoSpaceDE w:val="0"/>
        <w:autoSpaceDN w:val="0"/>
        <w:spacing w:before="0" w:after="0" w:line="240" w:lineRule="auto"/>
        <w:ind w:left="774" w:right="0" w:hanging="21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监理期限：</w:t>
      </w:r>
    </w:p>
    <w:p w14:paraId="6509C788">
      <w:pPr>
        <w:widowControl w:val="0"/>
        <w:tabs>
          <w:tab w:val="left" w:pos="1657"/>
          <w:tab w:val="left" w:pos="2317"/>
          <w:tab w:val="left" w:pos="2977"/>
          <w:tab w:val="left" w:pos="4791"/>
          <w:tab w:val="left" w:pos="5451"/>
          <w:tab w:val="left" w:pos="6111"/>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同施工工期，从项目施工开工之日起直至工程缺陷责任期和保修期届满之日止。</w:t>
      </w:r>
    </w:p>
    <w:p w14:paraId="2D8659FF">
      <w:pPr>
        <w:widowControl w:val="0"/>
        <w:numPr>
          <w:ilvl w:val="0"/>
          <w:numId w:val="8"/>
        </w:numPr>
        <w:tabs>
          <w:tab w:val="left" w:pos="775"/>
        </w:tabs>
        <w:autoSpaceDE w:val="0"/>
        <w:autoSpaceDN w:val="0"/>
        <w:spacing w:before="109" w:after="0" w:line="240" w:lineRule="auto"/>
        <w:ind w:left="774" w:right="0" w:hanging="21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相关服务期限：</w:t>
      </w:r>
    </w:p>
    <w:p w14:paraId="74D5A672">
      <w:pPr>
        <w:widowControl w:val="0"/>
        <w:tabs>
          <w:tab w:val="left" w:pos="3883"/>
          <w:tab w:val="left" w:pos="4543"/>
          <w:tab w:val="left" w:pos="5203"/>
          <w:tab w:val="left" w:pos="6963"/>
          <w:tab w:val="left" w:pos="7623"/>
          <w:tab w:val="left" w:pos="8283"/>
        </w:tabs>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1）勘察阶段服务期限自</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日始，至</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日止。</w:t>
      </w:r>
    </w:p>
    <w:p w14:paraId="170D9FE4">
      <w:pPr>
        <w:widowControl w:val="0"/>
        <w:tabs>
          <w:tab w:val="left" w:pos="3883"/>
          <w:tab w:val="left" w:pos="4543"/>
          <w:tab w:val="left" w:pos="5203"/>
          <w:tab w:val="left" w:pos="6963"/>
          <w:tab w:val="left" w:pos="7623"/>
          <w:tab w:val="left" w:pos="8283"/>
        </w:tabs>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2）设计阶段服务期限自</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日始，至</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日止。</w:t>
      </w:r>
    </w:p>
    <w:p w14:paraId="10BB795B">
      <w:pPr>
        <w:widowControl w:val="0"/>
        <w:tabs>
          <w:tab w:val="left" w:pos="3883"/>
          <w:tab w:val="left" w:pos="4543"/>
          <w:tab w:val="left" w:pos="5203"/>
          <w:tab w:val="left" w:pos="6963"/>
          <w:tab w:val="left" w:pos="7623"/>
          <w:tab w:val="left" w:pos="8283"/>
        </w:tabs>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3）保修阶段服务期限自</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日始，至</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日止。</w:t>
      </w:r>
    </w:p>
    <w:p w14:paraId="35A69D3A">
      <w:pPr>
        <w:widowControl w:val="0"/>
        <w:tabs>
          <w:tab w:val="left" w:pos="3883"/>
          <w:tab w:val="left" w:pos="4543"/>
          <w:tab w:val="left" w:pos="5203"/>
          <w:tab w:val="left" w:pos="6963"/>
          <w:tab w:val="left" w:pos="7623"/>
          <w:tab w:val="left" w:pos="8283"/>
        </w:tabs>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9"/>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4）其他相关服务期限自</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日始，至</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日止。</w:t>
      </w:r>
    </w:p>
    <w:p w14:paraId="20FAB31D">
      <w:pPr>
        <w:widowControl w:val="0"/>
        <w:autoSpaceDE w:val="0"/>
        <w:autoSpaceDN w:val="0"/>
        <w:spacing w:before="4" w:after="0" w:line="240" w:lineRule="auto"/>
        <w:ind w:left="0" w:right="0"/>
        <w:jc w:val="left"/>
        <w:rPr>
          <w:rFonts w:hint="eastAsia" w:ascii="宋体" w:hAnsi="宋体" w:eastAsia="宋体" w:cs="宋体"/>
          <w:sz w:val="24"/>
          <w:szCs w:val="24"/>
          <w:highlight w:val="none"/>
          <w:lang w:val="en-US" w:eastAsia="en-US" w:bidi="ar-SA"/>
        </w:rPr>
      </w:pPr>
    </w:p>
    <w:p w14:paraId="3BF38773">
      <w:pPr>
        <w:widowControl w:val="0"/>
        <w:autoSpaceDE w:val="0"/>
        <w:autoSpaceDN w:val="0"/>
        <w:spacing w:before="0" w:after="0" w:line="240" w:lineRule="auto"/>
        <w:ind w:left="557" w:right="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七、双方承诺</w:t>
      </w:r>
    </w:p>
    <w:p w14:paraId="447AACC4">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402C4F53">
      <w:pPr>
        <w:widowControl w:val="0"/>
        <w:numPr>
          <w:ilvl w:val="0"/>
          <w:numId w:val="9"/>
        </w:numPr>
        <w:tabs>
          <w:tab w:val="left" w:pos="775"/>
        </w:tabs>
        <w:autoSpaceDE w:val="0"/>
        <w:autoSpaceDN w:val="0"/>
        <w:spacing w:before="0" w:after="0" w:line="240"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监理人向委托人承诺，按照本合同约定提供监理与相关服务。</w:t>
      </w:r>
    </w:p>
    <w:p w14:paraId="52B17E7C">
      <w:pPr>
        <w:widowControl w:val="0"/>
        <w:numPr>
          <w:ilvl w:val="0"/>
          <w:numId w:val="9"/>
        </w:numPr>
        <w:tabs>
          <w:tab w:val="left" w:pos="794"/>
        </w:tabs>
        <w:autoSpaceDE w:val="0"/>
        <w:autoSpaceDN w:val="0"/>
        <w:spacing w:before="109" w:after="0" w:line="319" w:lineRule="auto"/>
        <w:ind w:left="117" w:right="213"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委托人向监理人承诺，按照本合同约定派遣相应的人员，提供房屋、资料、设备，并按本合同约定支付酬金。</w:t>
      </w:r>
    </w:p>
    <w:p w14:paraId="48ADD194">
      <w:pPr>
        <w:widowControl w:val="0"/>
        <w:autoSpaceDE w:val="0"/>
        <w:autoSpaceDN w:val="0"/>
        <w:spacing w:before="176" w:after="0" w:line="240" w:lineRule="auto"/>
        <w:ind w:left="557" w:right="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八、合同订立</w:t>
      </w:r>
    </w:p>
    <w:p w14:paraId="7C75B00A">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756A99B7">
      <w:pPr>
        <w:widowControl w:val="0"/>
        <w:numPr>
          <w:ilvl w:val="0"/>
          <w:numId w:val="0"/>
        </w:numPr>
        <w:tabs>
          <w:tab w:val="left" w:pos="775"/>
          <w:tab w:val="left" w:pos="2699"/>
          <w:tab w:val="left" w:pos="3359"/>
          <w:tab w:val="left" w:pos="4019"/>
        </w:tabs>
        <w:autoSpaceDE w:val="0"/>
        <w:autoSpaceDN w:val="0"/>
        <w:spacing w:before="0" w:after="0" w:line="240" w:lineRule="auto"/>
        <w:ind w:left="774" w:leftChars="0" w:right="0" w:rightChars="0" w:hanging="217"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
          <w:w w:val="100"/>
          <w:sz w:val="22"/>
          <w:szCs w:val="22"/>
          <w:highlight w:val="none"/>
          <w:lang w:val="en-US" w:eastAsia="en-US" w:bidi="ar-SA"/>
        </w:rPr>
        <w:t>1.</w:t>
      </w:r>
      <w:r>
        <w:rPr>
          <w:rFonts w:hint="eastAsia" w:ascii="宋体" w:hAnsi="宋体" w:eastAsia="宋体" w:cs="宋体"/>
          <w:color w:val="231F20"/>
          <w:sz w:val="24"/>
          <w:szCs w:val="24"/>
          <w:highlight w:val="none"/>
          <w:lang w:val="en-US" w:eastAsia="en-US" w:bidi="ar-SA"/>
        </w:rPr>
        <w:t>订立时间</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年</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月</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日。</w:t>
      </w:r>
    </w:p>
    <w:p w14:paraId="73C56CA6">
      <w:pPr>
        <w:widowControl w:val="0"/>
        <w:numPr>
          <w:ilvl w:val="0"/>
          <w:numId w:val="0"/>
        </w:numPr>
        <w:tabs>
          <w:tab w:val="left" w:pos="775"/>
          <w:tab w:val="left" w:pos="9078"/>
        </w:tabs>
        <w:autoSpaceDE w:val="0"/>
        <w:autoSpaceDN w:val="0"/>
        <w:spacing w:before="109" w:after="0" w:line="240" w:lineRule="auto"/>
        <w:ind w:left="774" w:leftChars="0" w:right="0" w:rightChars="0" w:hanging="217"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
          <w:w w:val="100"/>
          <w:sz w:val="22"/>
          <w:szCs w:val="22"/>
          <w:highlight w:val="none"/>
          <w:lang w:val="en-US" w:eastAsia="en-US" w:bidi="ar-SA"/>
        </w:rPr>
        <w:t>2.</w:t>
      </w:r>
      <w:r>
        <w:rPr>
          <w:rFonts w:hint="eastAsia" w:ascii="宋体" w:hAnsi="宋体" w:eastAsia="宋体" w:cs="宋体"/>
          <w:color w:val="231F20"/>
          <w:sz w:val="24"/>
          <w:szCs w:val="24"/>
          <w:highlight w:val="none"/>
          <w:lang w:val="en-US" w:eastAsia="en-US" w:bidi="ar-SA"/>
        </w:rPr>
        <w:t>订立地点</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工程所在地</w:t>
      </w:r>
      <w:r>
        <w:rPr>
          <w:rFonts w:hint="eastAsia" w:ascii="宋体" w:hAnsi="宋体" w:eastAsia="宋体" w:cs="宋体"/>
          <w:color w:val="231F20"/>
          <w:sz w:val="24"/>
          <w:szCs w:val="24"/>
          <w:highlight w:val="none"/>
          <w:lang w:val="en-US" w:eastAsia="en-US" w:bidi="ar-SA"/>
        </w:rPr>
        <w:t>。</w:t>
      </w:r>
    </w:p>
    <w:p w14:paraId="60E273A7">
      <w:pPr>
        <w:spacing w:after="0" w:line="240" w:lineRule="auto"/>
        <w:jc w:val="left"/>
        <w:rPr>
          <w:rFonts w:hint="eastAsia" w:ascii="宋体" w:hAnsi="宋体" w:eastAsia="宋体" w:cs="宋体"/>
          <w:sz w:val="24"/>
          <w:szCs w:val="24"/>
          <w:highlight w:val="none"/>
        </w:rPr>
        <w:sectPr>
          <w:pgSz w:w="11910" w:h="16840"/>
          <w:pgMar w:top="1580" w:right="1200" w:bottom="1020" w:left="1300" w:header="0" w:footer="832" w:gutter="0"/>
          <w:pgNumType w:fmt="decimal"/>
          <w:cols w:space="720" w:num="1"/>
        </w:sectPr>
      </w:pPr>
    </w:p>
    <w:p w14:paraId="255C4C19">
      <w:pPr>
        <w:widowControl w:val="0"/>
        <w:numPr>
          <w:ilvl w:val="0"/>
          <w:numId w:val="0"/>
        </w:numPr>
        <w:tabs>
          <w:tab w:val="left" w:pos="775"/>
          <w:tab w:val="left" w:pos="2534"/>
          <w:tab w:val="left" w:pos="6494"/>
        </w:tabs>
        <w:autoSpaceDE w:val="0"/>
        <w:autoSpaceDN w:val="0"/>
        <w:spacing w:before="24" w:after="0" w:line="240" w:lineRule="auto"/>
        <w:ind w:left="774" w:leftChars="0" w:right="0" w:rightChars="0" w:hanging="217"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
          <w:w w:val="100"/>
          <w:sz w:val="22"/>
          <w:szCs w:val="22"/>
          <w:highlight w:val="none"/>
          <w:lang w:val="en-US" w:eastAsia="en-US" w:bidi="ar-SA"/>
        </w:rPr>
        <w:t>3.</w:t>
      </w:r>
      <w:r>
        <w:rPr>
          <w:rFonts w:hint="eastAsia" w:ascii="宋体" w:hAnsi="宋体" w:eastAsia="宋体" w:cs="宋体"/>
          <w:color w:val="231F20"/>
          <w:sz w:val="24"/>
          <w:szCs w:val="24"/>
          <w:highlight w:val="none"/>
          <w:lang w:val="en-US" w:eastAsia="en-US" w:bidi="ar-SA"/>
        </w:rPr>
        <w:t>本合同一式</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份，具有同等法律效力，双方各执</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份</w:t>
      </w:r>
      <w:r>
        <w:rPr>
          <w:rFonts w:hint="eastAsia" w:ascii="宋体" w:hAnsi="宋体" w:eastAsia="宋体" w:cs="宋体"/>
          <w:color w:val="231F20"/>
          <w:sz w:val="24"/>
          <w:szCs w:val="24"/>
          <w:highlight w:val="none"/>
          <w:lang w:val="en-US" w:eastAsia="zh-CN" w:bidi="ar-SA"/>
        </w:rPr>
        <w:t>，具有同等法律效力</w:t>
      </w:r>
      <w:r>
        <w:rPr>
          <w:rFonts w:hint="eastAsia" w:ascii="宋体" w:hAnsi="宋体" w:eastAsia="宋体" w:cs="宋体"/>
          <w:color w:val="231F20"/>
          <w:sz w:val="24"/>
          <w:szCs w:val="24"/>
          <w:highlight w:val="none"/>
          <w:lang w:val="en-US" w:eastAsia="en-US" w:bidi="ar-SA"/>
        </w:rPr>
        <w:t>。</w:t>
      </w:r>
    </w:p>
    <w:p w14:paraId="5AAAE559">
      <w:pPr>
        <w:widowControl w:val="0"/>
        <w:numPr>
          <w:ilvl w:val="0"/>
          <w:numId w:val="0"/>
        </w:numPr>
        <w:tabs>
          <w:tab w:val="left" w:pos="775"/>
          <w:tab w:val="left" w:pos="2699"/>
          <w:tab w:val="left" w:pos="3359"/>
          <w:tab w:val="left" w:pos="4019"/>
        </w:tabs>
        <w:autoSpaceDE w:val="0"/>
        <w:autoSpaceDN w:val="0"/>
        <w:spacing w:before="0" w:after="0" w:line="240" w:lineRule="auto"/>
        <w:ind w:left="774" w:leftChars="0" w:right="0" w:rightChars="0" w:hanging="217" w:firstLineChars="0"/>
        <w:jc w:val="left"/>
        <w:rPr>
          <w:rFonts w:hint="eastAsia" w:ascii="宋体" w:hAnsi="宋体" w:eastAsia="宋体" w:cs="宋体"/>
          <w:color w:val="231F20"/>
          <w:sz w:val="24"/>
          <w:szCs w:val="24"/>
          <w:highlight w:val="none"/>
          <w:lang w:val="en-US" w:eastAsia="zh-CN" w:bidi="ar-SA"/>
        </w:rPr>
      </w:pPr>
      <w:r>
        <w:rPr>
          <w:rFonts w:hint="eastAsia" w:ascii="宋体" w:hAnsi="宋体" w:eastAsia="宋体" w:cs="宋体"/>
          <w:color w:val="231F20"/>
          <w:sz w:val="24"/>
          <w:szCs w:val="24"/>
          <w:highlight w:val="none"/>
          <w:lang w:val="en-US" w:eastAsia="zh-CN" w:bidi="ar-SA"/>
        </w:rPr>
        <w:t>4.双方承诺本合同签署栏中的地址及联系方式全部可以送达，且系本合同通知及法律诉讼的送达地址。任何一项通知送达下面地址的视为送达，尽到通知义务。如任何一方地址变更的应当提前3日内书面通知对方。任何一项通知及书面材料在送达时接收方应当配合送达方签字确认，本人签收或他人（含商店等）代收均视为已有效送达；无论因何种原因导致邮件被退回的，退回日即为有效送达日。</w:t>
      </w:r>
    </w:p>
    <w:p w14:paraId="5E8582F9">
      <w:pPr>
        <w:widowControl w:val="0"/>
        <w:tabs>
          <w:tab w:val="left" w:pos="1819"/>
          <w:tab w:val="left" w:pos="3293"/>
          <w:tab w:val="left" w:pos="5157"/>
          <w:tab w:val="left" w:pos="7299"/>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 xml:space="preserve">     </w:t>
      </w:r>
      <w:r>
        <w:rPr>
          <w:rFonts w:hint="eastAsia" w:ascii="宋体" w:hAnsi="宋体" w:eastAsia="宋体" w:cs="宋体"/>
          <w:color w:val="231F20"/>
          <w:sz w:val="24"/>
          <w:szCs w:val="24"/>
          <w:highlight w:val="none"/>
          <w:u w:val="single" w:color="231F20"/>
          <w:lang w:val="en-US" w:eastAsia="en-US" w:bidi="ar-SA"/>
        </w:rPr>
        <w:t>（盖章）</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监理人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（盖章）</w:t>
      </w:r>
      <w:r>
        <w:rPr>
          <w:rFonts w:hint="eastAsia" w:ascii="宋体" w:hAnsi="宋体" w:eastAsia="宋体" w:cs="宋体"/>
          <w:color w:val="231F20"/>
          <w:spacing w:val="-2"/>
          <w:sz w:val="24"/>
          <w:szCs w:val="24"/>
          <w:highlight w:val="none"/>
          <w:u w:val="single" w:color="231F20"/>
          <w:lang w:val="en-US" w:eastAsia="en-US" w:bidi="ar-SA"/>
        </w:rPr>
        <w:t xml:space="preserve"> </w:t>
      </w:r>
    </w:p>
    <w:p w14:paraId="0FD8088C">
      <w:pPr>
        <w:widowControl w:val="0"/>
        <w:tabs>
          <w:tab w:val="left" w:pos="3283"/>
          <w:tab w:val="left" w:pos="5157"/>
          <w:tab w:val="left" w:pos="8272"/>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住所</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住所</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51147E75">
      <w:pPr>
        <w:widowControl w:val="0"/>
        <w:tabs>
          <w:tab w:val="left" w:pos="3290"/>
          <w:tab w:val="left" w:pos="5157"/>
          <w:tab w:val="left" w:pos="8380"/>
        </w:tabs>
        <w:autoSpaceDE w:val="0"/>
        <w:autoSpaceDN w:val="0"/>
        <w:spacing w:before="109" w:after="0" w:line="319" w:lineRule="auto"/>
        <w:ind w:left="557" w:right="542"/>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邮政编码</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邮政编码</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lang w:val="en-US" w:eastAsia="en-US" w:bidi="ar-SA"/>
        </w:rPr>
        <w:t>法定代表人或其授</w:t>
      </w:r>
      <w:r>
        <w:rPr>
          <w:rFonts w:hint="eastAsia" w:ascii="宋体" w:hAnsi="宋体" w:eastAsia="宋体" w:cs="宋体"/>
          <w:color w:val="231F20"/>
          <w:spacing w:val="52"/>
          <w:sz w:val="24"/>
          <w:szCs w:val="24"/>
          <w:highlight w:val="none"/>
          <w:lang w:val="en-US" w:eastAsia="en-US" w:bidi="ar-SA"/>
        </w:rPr>
        <w:t>权</w:t>
      </w:r>
      <w:r>
        <w:rPr>
          <w:rFonts w:hint="eastAsia" w:ascii="宋体" w:hAnsi="宋体" w:eastAsia="宋体" w:cs="宋体"/>
          <w:color w:val="231F20"/>
          <w:sz w:val="24"/>
          <w:szCs w:val="24"/>
          <w:highlight w:val="none"/>
          <w:lang w:val="en-US" w:eastAsia="en-US" w:bidi="ar-SA"/>
        </w:rPr>
        <w:t>的代理人：</w:t>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法定代表人或其授权的代理人：（</w:t>
      </w:r>
      <w:r>
        <w:rPr>
          <w:rFonts w:hint="eastAsia" w:ascii="宋体" w:hAnsi="宋体" w:eastAsia="宋体" w:cs="宋体"/>
          <w:color w:val="231F20"/>
          <w:sz w:val="24"/>
          <w:szCs w:val="24"/>
          <w:highlight w:val="none"/>
          <w:u w:val="single" w:color="231F20"/>
          <w:lang w:val="en-US" w:eastAsia="en-US" w:bidi="ar-SA"/>
        </w:rPr>
        <w:t>签字）</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z w:val="24"/>
          <w:szCs w:val="24"/>
          <w:highlight w:val="none"/>
          <w:u w:val="single" w:color="231F20"/>
          <w:lang w:val="en-US" w:eastAsia="en-US" w:bidi="ar-SA"/>
        </w:rPr>
        <w:t>签字）</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 xml:space="preserve">       开户银行</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开户银行</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3E8C28B6">
      <w:pPr>
        <w:widowControl w:val="0"/>
        <w:tabs>
          <w:tab w:val="left" w:pos="3398"/>
          <w:tab w:val="left" w:pos="5157"/>
          <w:tab w:val="left" w:pos="8492"/>
        </w:tabs>
        <w:autoSpaceDE w:val="0"/>
        <w:autoSpaceDN w:val="0"/>
        <w:spacing w:before="25"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账号</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账号</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48CF5B4E">
      <w:pPr>
        <w:widowControl w:val="0"/>
        <w:tabs>
          <w:tab w:val="left" w:pos="3398"/>
          <w:tab w:val="left" w:pos="5157"/>
          <w:tab w:val="left" w:pos="8492"/>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电话</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电话</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6C7D1B18">
      <w:pPr>
        <w:widowControl w:val="0"/>
        <w:tabs>
          <w:tab w:val="left" w:pos="3398"/>
          <w:tab w:val="left" w:pos="5157"/>
          <w:tab w:val="left" w:pos="8492"/>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传真</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传真</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038DE7FB">
      <w:pPr>
        <w:widowControl w:val="0"/>
        <w:tabs>
          <w:tab w:val="left" w:pos="3347"/>
          <w:tab w:val="left" w:pos="5157"/>
          <w:tab w:val="left" w:pos="8495"/>
        </w:tabs>
        <w:autoSpaceDE w:val="0"/>
        <w:autoSpaceDN w:val="0"/>
        <w:spacing w:before="109" w:after="0" w:line="240" w:lineRule="auto"/>
        <w:ind w:left="557" w:right="0"/>
        <w:jc w:val="left"/>
        <w:rPr>
          <w:rFonts w:hint="eastAsia" w:ascii="宋体" w:hAnsi="宋体" w:eastAsia="宋体" w:cs="宋体"/>
          <w:sz w:val="24"/>
          <w:szCs w:val="24"/>
          <w:highlight w:val="none"/>
        </w:rPr>
        <w:sectPr>
          <w:pgSz w:w="11910" w:h="16840"/>
          <w:pgMar w:top="1580" w:right="1680" w:bottom="1020" w:left="1300" w:header="0" w:footer="832" w:gutter="0"/>
          <w:pgNumType w:fmt="decimal"/>
          <w:cols w:space="720" w:num="1"/>
        </w:sectPr>
      </w:pPr>
      <w:r>
        <w:rPr>
          <w:rFonts w:hint="eastAsia" w:ascii="宋体" w:hAnsi="宋体" w:eastAsia="宋体" w:cs="宋体"/>
          <w:color w:val="231F20"/>
          <w:sz w:val="24"/>
          <w:szCs w:val="24"/>
          <w:highlight w:val="none"/>
          <w:lang w:val="en-US" w:eastAsia="en-US" w:bidi="ar-SA"/>
        </w:rPr>
        <w:t>电子邮箱</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电子邮箱</w:t>
      </w:r>
      <w:r>
        <w:rPr>
          <w:rFonts w:hint="eastAsia" w:ascii="宋体" w:hAnsi="宋体" w:eastAsia="宋体" w:cs="宋体"/>
          <w:color w:val="231F20"/>
          <w:sz w:val="24"/>
          <w:szCs w:val="24"/>
          <w:highlight w:val="none"/>
          <w:u w:val="single" w:color="231F20"/>
          <w:lang w:val="en-US" w:eastAsia="en-US" w:bidi="ar-SA"/>
        </w:rPr>
        <w:t>：</w:t>
      </w:r>
    </w:p>
    <w:p w14:paraId="46B4BA3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32FB3CDC">
      <w:pPr>
        <w:widowControl w:val="0"/>
        <w:tabs>
          <w:tab w:val="left" w:pos="1399"/>
        </w:tabs>
        <w:autoSpaceDE w:val="0"/>
        <w:autoSpaceDN w:val="0"/>
        <w:spacing w:before="174" w:after="0" w:line="240" w:lineRule="auto"/>
        <w:ind w:left="0" w:right="98"/>
        <w:jc w:val="center"/>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第二部分</w:t>
      </w:r>
      <w:r>
        <w:rPr>
          <w:rFonts w:hint="eastAsia" w:ascii="宋体" w:hAnsi="宋体" w:eastAsia="宋体" w:cs="宋体"/>
          <w:color w:val="231F20"/>
          <w:sz w:val="24"/>
          <w:szCs w:val="24"/>
          <w:highlight w:val="none"/>
          <w:lang w:val="en-US" w:eastAsia="en-US" w:bidi="ar-SA"/>
        </w:rPr>
        <w:tab/>
      </w:r>
      <w:r>
        <w:rPr>
          <w:rFonts w:hint="eastAsia" w:ascii="宋体" w:hAnsi="宋体" w:eastAsia="宋体" w:cs="宋体"/>
          <w:color w:val="231F20"/>
          <w:sz w:val="24"/>
          <w:szCs w:val="24"/>
          <w:highlight w:val="none"/>
          <w:lang w:val="en-US" w:eastAsia="en-US" w:bidi="ar-SA"/>
        </w:rPr>
        <w:t>通用条件</w:t>
      </w:r>
    </w:p>
    <w:p w14:paraId="7BB87747">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3858A1A9">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37CA9287">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sz w:val="24"/>
          <w:szCs w:val="24"/>
          <w:highlight w:val="none"/>
          <w:lang w:val="en-US" w:eastAsia="en-US" w:bidi="ar-SA"/>
        </w:rPr>
        <w:t>定义与解释</w:t>
      </w:r>
    </w:p>
    <w:p w14:paraId="68AFA0A9">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2.</w:t>
      </w:r>
      <w:r>
        <w:rPr>
          <w:rFonts w:hint="eastAsia" w:ascii="宋体" w:hAnsi="宋体" w:eastAsia="宋体" w:cs="宋体"/>
          <w:color w:val="231F20"/>
          <w:sz w:val="24"/>
          <w:szCs w:val="24"/>
          <w:highlight w:val="none"/>
          <w:lang w:val="en-US" w:eastAsia="en-US" w:bidi="ar-SA"/>
        </w:rPr>
        <w:t>定义</w:t>
      </w:r>
    </w:p>
    <w:p w14:paraId="5CF7CC95">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3.</w:t>
      </w:r>
      <w:r>
        <w:rPr>
          <w:rFonts w:hint="eastAsia" w:ascii="宋体" w:hAnsi="宋体" w:eastAsia="宋体" w:cs="宋体"/>
          <w:color w:val="231F20"/>
          <w:sz w:val="24"/>
          <w:szCs w:val="24"/>
          <w:highlight w:val="none"/>
          <w:lang w:val="en-US" w:eastAsia="en-US" w:bidi="ar-SA"/>
        </w:rPr>
        <w:t>除根据上下文另有其意义外，组成本合同的全部文件中的下列名词和用语应具有本款所赋予的含义：</w:t>
      </w:r>
    </w:p>
    <w:p w14:paraId="532E0C5A">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4.</w:t>
      </w:r>
      <w:r>
        <w:rPr>
          <w:rFonts w:hint="eastAsia" w:ascii="宋体" w:hAnsi="宋体" w:eastAsia="宋体" w:cs="宋体"/>
          <w:color w:val="231F20"/>
          <w:sz w:val="24"/>
          <w:szCs w:val="24"/>
          <w:highlight w:val="none"/>
          <w:lang w:val="en-US" w:eastAsia="en-US" w:bidi="ar-SA"/>
        </w:rPr>
        <w:t>“工程”是指按照本合同约定实施监理与相关服务的建设工程。</w:t>
      </w:r>
    </w:p>
    <w:p w14:paraId="1FBE5CAB">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5.</w:t>
      </w:r>
      <w:r>
        <w:rPr>
          <w:rFonts w:hint="eastAsia" w:ascii="宋体" w:hAnsi="宋体" w:eastAsia="宋体" w:cs="宋体"/>
          <w:color w:val="231F20"/>
          <w:sz w:val="24"/>
          <w:szCs w:val="24"/>
          <w:highlight w:val="none"/>
          <w:lang w:val="en-US" w:eastAsia="en-US" w:bidi="ar-SA"/>
        </w:rPr>
        <w:t>“委托人”是指本合同中委托监理与相关服务的一方，及其合法的继承人或受让人。</w:t>
      </w:r>
    </w:p>
    <w:p w14:paraId="12F2E8D4">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6.</w:t>
      </w:r>
      <w:r>
        <w:rPr>
          <w:rFonts w:hint="eastAsia" w:ascii="宋体" w:hAnsi="宋体" w:eastAsia="宋体" w:cs="宋体"/>
          <w:color w:val="231F20"/>
          <w:sz w:val="24"/>
          <w:szCs w:val="24"/>
          <w:highlight w:val="none"/>
          <w:lang w:val="en-US" w:eastAsia="en-US" w:bidi="ar-SA"/>
        </w:rPr>
        <w:t>“监理人”是指本合同中提供监理与相关服务的一方，及其合法的继承人。</w:t>
      </w:r>
    </w:p>
    <w:p w14:paraId="2F21D3F9">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7.</w:t>
      </w:r>
      <w:r>
        <w:rPr>
          <w:rFonts w:hint="eastAsia" w:ascii="宋体" w:hAnsi="宋体" w:eastAsia="宋体" w:cs="宋体"/>
          <w:color w:val="231F20"/>
          <w:sz w:val="24"/>
          <w:szCs w:val="24"/>
          <w:highlight w:val="none"/>
          <w:lang w:val="en-US" w:eastAsia="en-US" w:bidi="ar-SA"/>
        </w:rPr>
        <w:t>“承包人”是指在工程范围内与委托人签订勘察、设计、施工等有关合同的当事人 ，及其合法的继承人。</w:t>
      </w:r>
    </w:p>
    <w:p w14:paraId="68B57E37">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8.</w:t>
      </w:r>
      <w:r>
        <w:rPr>
          <w:rFonts w:hint="eastAsia" w:ascii="宋体" w:hAnsi="宋体" w:eastAsia="宋体" w:cs="宋体"/>
          <w:color w:val="231F20"/>
          <w:sz w:val="24"/>
          <w:szCs w:val="24"/>
          <w:highlight w:val="none"/>
          <w:lang w:val="en-US" w:eastAsia="en-US" w:bidi="ar-SA"/>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7A75583B">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9.“</w:t>
      </w:r>
      <w:r>
        <w:rPr>
          <w:rFonts w:hint="eastAsia" w:ascii="宋体" w:hAnsi="宋体" w:eastAsia="宋体" w:cs="宋体"/>
          <w:color w:val="231F20"/>
          <w:sz w:val="24"/>
          <w:szCs w:val="24"/>
          <w:highlight w:val="none"/>
          <w:lang w:val="en-US" w:eastAsia="en-US" w:bidi="ar-SA"/>
        </w:rPr>
        <w:t>相关服务”是指监理人受委托人的委托 ，按照本合同约定，在勘察、设计、保修等阶段提供的服务活动。</w:t>
      </w:r>
    </w:p>
    <w:p w14:paraId="344E01F5">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zh-CN" w:bidi="ar-SA"/>
        </w:rPr>
        <w:t>10.</w:t>
      </w:r>
      <w:r>
        <w:rPr>
          <w:rFonts w:hint="eastAsia" w:ascii="宋体" w:hAnsi="宋体" w:eastAsia="宋体" w:cs="宋体"/>
          <w:color w:val="231F20"/>
          <w:sz w:val="24"/>
          <w:szCs w:val="24"/>
          <w:highlight w:val="none"/>
          <w:lang w:val="en-US" w:eastAsia="en-US" w:bidi="ar-SA"/>
        </w:rPr>
        <w:t>“正常工作”指本合同订立时通用条件和专用条件中约定的监理人的工作。</w:t>
      </w:r>
    </w:p>
    <w:p w14:paraId="3FF8282D">
      <w:pPr>
        <w:widowControl w:val="0"/>
        <w:numPr>
          <w:ilvl w:val="0"/>
          <w:numId w:val="0"/>
        </w:numPr>
        <w:tabs>
          <w:tab w:val="left" w:pos="802"/>
        </w:tabs>
        <w:autoSpaceDE w:val="0"/>
        <w:autoSpaceDN w:val="0"/>
        <w:spacing w:before="1" w:after="0" w:line="240" w:lineRule="auto"/>
        <w:ind w:left="557" w:leftChars="0" w:right="0" w:right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zh-CN" w:bidi="ar-SA"/>
        </w:rPr>
        <w:t>11.</w:t>
      </w:r>
      <w:r>
        <w:rPr>
          <w:rFonts w:hint="eastAsia" w:ascii="宋体" w:hAnsi="宋体" w:eastAsia="宋体" w:cs="宋体"/>
          <w:color w:val="231F20"/>
          <w:sz w:val="24"/>
          <w:szCs w:val="24"/>
          <w:highlight w:val="none"/>
          <w:lang w:val="en-US" w:eastAsia="en-US" w:bidi="ar-SA"/>
        </w:rPr>
        <w:t>“附加工作”是指本合同约定的正常工作以外监理人的工作。</w:t>
      </w:r>
    </w:p>
    <w:p w14:paraId="4FDE011A">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2</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“项目监理机构”是指监理人派驻工程负责履行本合同的组织机构。</w:t>
      </w:r>
    </w:p>
    <w:p w14:paraId="3410586A">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3</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“总监理工程师”是指由监理人的法定代表人书面授权，全面负责履行本合同、主持项目监理机构工作的注册监理工程师。</w:t>
      </w:r>
    </w:p>
    <w:p w14:paraId="50412B41">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4</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“酬金”是指监理人履行本合同义务，委托人按照本合同约定给付监理人的金额。</w:t>
      </w:r>
    </w:p>
    <w:p w14:paraId="43DFC958">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5</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“正常工作酬金”是指监理人完成正常工作，委托人应给付监理人并在协议书中载明的签约酬金额。</w:t>
      </w:r>
    </w:p>
    <w:p w14:paraId="7E403F9F">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6</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“附加工作酬金”是指监理人完成附加工作，委托人应给付监理人的金额。</w:t>
      </w:r>
    </w:p>
    <w:p w14:paraId="4BA7833C">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7</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“一方”是指委托人或监理人；“双方”是指委托人和监理人；“第三方”是指除委托人和监理人以外的有关方。</w:t>
      </w:r>
    </w:p>
    <w:p w14:paraId="025A42A2">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zh-CN" w:bidi="ar-SA"/>
        </w:rPr>
        <w:sectPr>
          <w:pgSz w:w="11910" w:h="16840"/>
          <w:pgMar w:top="1580" w:right="1200" w:bottom="1020" w:left="1300" w:header="0" w:footer="832" w:gutter="0"/>
          <w:pgNumType w:fmt="decimal"/>
          <w:cols w:space="720" w:num="1"/>
        </w:sect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8</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“书面形式”是指合同书、信件和数据电文（包括电报、电传、传真、电子数据交换和电子邮件）等可以有形地表现所载内容的形式。</w:t>
      </w:r>
      <w:r>
        <w:rPr>
          <w:rFonts w:hint="eastAsia" w:ascii="宋体" w:hAnsi="宋体" w:eastAsia="宋体" w:cs="宋体"/>
          <w:color w:val="231F20"/>
          <w:sz w:val="24"/>
          <w:szCs w:val="24"/>
          <w:highlight w:val="none"/>
          <w:lang w:val="en-US" w:eastAsia="zh-CN" w:bidi="ar-SA"/>
        </w:rPr>
        <w:t xml:space="preserve"> </w:t>
      </w:r>
    </w:p>
    <w:p w14:paraId="49F37C43">
      <w:pPr>
        <w:widowControl w:val="0"/>
        <w:numPr>
          <w:ilvl w:val="0"/>
          <w:numId w:val="0"/>
        </w:numPr>
        <w:tabs>
          <w:tab w:val="left" w:pos="802"/>
        </w:tabs>
        <w:autoSpaceDE w:val="0"/>
        <w:autoSpaceDN w:val="0"/>
        <w:spacing w:before="1" w:after="0" w:line="240" w:lineRule="auto"/>
        <w:ind w:right="0" w:rightChars="0" w:firstLine="440" w:firstLineChars="20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en-US" w:bidi="ar-SA"/>
        </w:rPr>
        <w:t>1</w:t>
      </w:r>
      <w:r>
        <w:rPr>
          <w:rFonts w:hint="eastAsia" w:ascii="宋体" w:hAnsi="宋体" w:eastAsia="宋体" w:cs="宋体"/>
          <w:color w:val="231F20"/>
          <w:w w:val="100"/>
          <w:sz w:val="22"/>
          <w:szCs w:val="22"/>
          <w:lang w:val="en-US" w:eastAsia="zh-CN" w:bidi="ar-SA"/>
        </w:rPr>
        <w:t>9</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“天”是指第一天零时至第二天零时的时间。</w:t>
      </w:r>
    </w:p>
    <w:p w14:paraId="1C3BFE9B">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zh-CN" w:bidi="ar-SA"/>
        </w:rPr>
        <w:t>20</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“月”是指按公历从一个月中任何一天开始的一个公历月时间。</w:t>
      </w:r>
    </w:p>
    <w:p w14:paraId="481C38D3">
      <w:pPr>
        <w:widowControl w:val="0"/>
        <w:numPr>
          <w:ilvl w:val="0"/>
          <w:numId w:val="0"/>
        </w:numPr>
        <w:tabs>
          <w:tab w:val="left" w:pos="802"/>
        </w:tabs>
        <w:autoSpaceDE w:val="0"/>
        <w:autoSpaceDN w:val="0"/>
        <w:spacing w:before="1" w:after="0" w:line="240" w:lineRule="auto"/>
        <w:ind w:left="801" w:leftChars="0" w:right="0" w:rightChars="0" w:hanging="244" w:firstLineChars="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w w:val="100"/>
          <w:sz w:val="22"/>
          <w:szCs w:val="22"/>
          <w:lang w:val="en-US" w:eastAsia="zh-CN" w:bidi="ar-SA"/>
        </w:rPr>
        <w:t>21</w:t>
      </w:r>
      <w:r>
        <w:rPr>
          <w:rFonts w:hint="eastAsia" w:ascii="宋体" w:hAnsi="宋体" w:eastAsia="宋体" w:cs="宋体"/>
          <w:color w:val="231F20"/>
          <w:w w:val="100"/>
          <w:sz w:val="22"/>
          <w:szCs w:val="22"/>
          <w:lang w:val="en-US" w:eastAsia="en-US" w:bidi="ar-SA"/>
        </w:rPr>
        <w:t>.</w:t>
      </w:r>
      <w:r>
        <w:rPr>
          <w:rFonts w:hint="eastAsia" w:ascii="宋体" w:hAnsi="宋体" w:eastAsia="宋体" w:cs="宋体"/>
          <w:color w:val="231F20"/>
          <w:sz w:val="24"/>
          <w:szCs w:val="24"/>
          <w:highlight w:val="none"/>
          <w:lang w:val="en-US" w:eastAsia="en-US" w:bidi="ar-SA"/>
        </w:rPr>
        <w:t>“不可抗力”是指委托人和监理人在订立本合同时不可预见，在工程施工过程中不可避免发生并不能克服的自然灾害和社会性突发事件，如地震、海啸、瘟疫、水灾、骚乱、暴动、战争和专用条件约定的其他情形。</w:t>
      </w:r>
    </w:p>
    <w:p w14:paraId="1A427D04">
      <w:pPr>
        <w:widowControl w:val="0"/>
        <w:numPr>
          <w:ilvl w:val="1"/>
          <w:numId w:val="10"/>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解释</w:t>
      </w:r>
    </w:p>
    <w:p w14:paraId="21CBCAD7">
      <w:pPr>
        <w:widowControl w:val="0"/>
        <w:numPr>
          <w:ilvl w:val="2"/>
          <w:numId w:val="10"/>
        </w:numPr>
        <w:tabs>
          <w:tab w:val="left" w:pos="1049"/>
        </w:tabs>
        <w:autoSpaceDE w:val="0"/>
        <w:autoSpaceDN w:val="0"/>
        <w:spacing w:before="109"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本合同使用中文书写、解释和说明。如专用条件约定使用两种及以上语言文字时，应以中文为准。</w:t>
      </w:r>
    </w:p>
    <w:p w14:paraId="72B21B1A">
      <w:pPr>
        <w:widowControl w:val="0"/>
        <w:numPr>
          <w:ilvl w:val="2"/>
          <w:numId w:val="10"/>
        </w:numPr>
        <w:tabs>
          <w:tab w:val="left" w:pos="1049"/>
        </w:tabs>
        <w:autoSpaceDE w:val="0"/>
        <w:autoSpaceDN w:val="0"/>
        <w:spacing w:before="25"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组成本合同的下列文件彼此应能相互解释、互为说明。除专用条件另有约定外，本合同文件的解释顺序如下：</w:t>
      </w:r>
    </w:p>
    <w:p w14:paraId="5A545DCA">
      <w:pPr>
        <w:widowControl w:val="0"/>
        <w:autoSpaceDE w:val="0"/>
        <w:autoSpaceDN w:val="0"/>
        <w:spacing w:before="25"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1）协议书；</w:t>
      </w:r>
    </w:p>
    <w:p w14:paraId="13FAEF97">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2）中标通知书（适用于招标工程）或委托书（适用于非招标工程）；</w:t>
      </w:r>
    </w:p>
    <w:p w14:paraId="23C3349C">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3）专用条件及附录 A、附录 B ；</w:t>
      </w:r>
    </w:p>
    <w:p w14:paraId="473F4946">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4）通用条件；</w:t>
      </w:r>
    </w:p>
    <w:p w14:paraId="5827A915">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
          <w:sz w:val="24"/>
          <w:szCs w:val="24"/>
          <w:highlight w:val="none"/>
          <w:lang w:val="en-US" w:eastAsia="en-US" w:bidi="ar-SA"/>
        </w:rPr>
        <w:t>（ 5）投标文件（适用于招标工程）或监理与相关服务建议书</w:t>
      </w:r>
      <w:r>
        <w:rPr>
          <w:rFonts w:hint="eastAsia" w:ascii="宋体" w:hAnsi="宋体" w:eastAsia="宋体" w:cs="宋体"/>
          <w:color w:val="231F20"/>
          <w:sz w:val="24"/>
          <w:szCs w:val="24"/>
          <w:highlight w:val="none"/>
          <w:lang w:val="en-US" w:eastAsia="en-US" w:bidi="ar-SA"/>
        </w:rPr>
        <w:t>（适用于非招标工程</w:t>
      </w:r>
      <w:r>
        <w:rPr>
          <w:rFonts w:hint="eastAsia" w:ascii="宋体" w:hAnsi="宋体" w:eastAsia="宋体" w:cs="宋体"/>
          <w:color w:val="231F20"/>
          <w:spacing w:val="-83"/>
          <w:sz w:val="24"/>
          <w:szCs w:val="24"/>
          <w:highlight w:val="none"/>
          <w:lang w:val="en-US" w:eastAsia="en-US" w:bidi="ar-SA"/>
        </w:rPr>
        <w:t>）</w:t>
      </w:r>
      <w:r>
        <w:rPr>
          <w:rFonts w:hint="eastAsia" w:ascii="宋体" w:hAnsi="宋体" w:eastAsia="宋体" w:cs="宋体"/>
          <w:color w:val="231F20"/>
          <w:sz w:val="24"/>
          <w:szCs w:val="24"/>
          <w:highlight w:val="none"/>
          <w:lang w:val="en-US" w:eastAsia="en-US" w:bidi="ar-SA"/>
        </w:rPr>
        <w:t>。</w:t>
      </w:r>
    </w:p>
    <w:p w14:paraId="554CED05">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双方签订的补充协议与其他文件发生矛盾或歧义时，属于同一类内容的文件，应以最新签署的为准。</w:t>
      </w:r>
    </w:p>
    <w:p w14:paraId="20A289EF">
      <w:pPr>
        <w:widowControl w:val="0"/>
        <w:numPr>
          <w:ilvl w:val="0"/>
          <w:numId w:val="0"/>
        </w:numPr>
        <w:tabs>
          <w:tab w:val="left" w:pos="802"/>
        </w:tabs>
        <w:autoSpaceDE w:val="0"/>
        <w:autoSpaceDN w:val="0"/>
        <w:spacing w:before="20" w:after="0" w:line="240" w:lineRule="auto"/>
        <w:ind w:left="801" w:leftChars="0" w:right="0" w:rightChars="0" w:hanging="244"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w w:val="100"/>
          <w:sz w:val="22"/>
          <w:szCs w:val="22"/>
          <w:lang w:val="en-US" w:eastAsia="en-US" w:bidi="ar-SA"/>
        </w:rPr>
        <w:t>20.</w:t>
      </w:r>
      <w:r>
        <w:rPr>
          <w:rFonts w:hint="eastAsia" w:ascii="宋体" w:hAnsi="宋体" w:eastAsia="宋体" w:cs="宋体"/>
          <w:color w:val="231F20"/>
          <w:sz w:val="24"/>
          <w:szCs w:val="24"/>
          <w:highlight w:val="none"/>
          <w:lang w:val="en-US" w:eastAsia="en-US" w:bidi="ar-SA"/>
        </w:rPr>
        <w:t>监理人的义务</w:t>
      </w:r>
    </w:p>
    <w:p w14:paraId="060534CE">
      <w:pPr>
        <w:widowControl w:val="0"/>
        <w:numPr>
          <w:ilvl w:val="1"/>
          <w:numId w:val="0"/>
        </w:numPr>
        <w:tabs>
          <w:tab w:val="left" w:pos="884"/>
        </w:tabs>
        <w:autoSpaceDE w:val="0"/>
        <w:autoSpaceDN w:val="0"/>
        <w:spacing w:before="122" w:after="0" w:line="240" w:lineRule="auto"/>
        <w:ind w:left="883" w:leftChars="0" w:right="0" w:rightChars="0" w:hanging="326"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
          <w:w w:val="100"/>
          <w:sz w:val="22"/>
          <w:szCs w:val="22"/>
          <w:lang w:val="en-US" w:eastAsia="en-US" w:bidi="ar-SA"/>
        </w:rPr>
        <w:t>20.1</w:t>
      </w:r>
      <w:r>
        <w:rPr>
          <w:rFonts w:hint="eastAsia" w:ascii="宋体" w:hAnsi="宋体" w:eastAsia="宋体" w:cs="宋体"/>
          <w:color w:val="231F20"/>
          <w:sz w:val="24"/>
          <w:szCs w:val="24"/>
          <w:highlight w:val="none"/>
          <w:lang w:val="en-US" w:eastAsia="en-US" w:bidi="ar-SA"/>
        </w:rPr>
        <w:t>监理的范围和工作内容</w:t>
      </w:r>
    </w:p>
    <w:p w14:paraId="1AFB1A3A">
      <w:pPr>
        <w:widowControl w:val="0"/>
        <w:numPr>
          <w:ilvl w:val="0"/>
          <w:numId w:val="0"/>
        </w:numPr>
        <w:tabs>
          <w:tab w:val="left" w:pos="802"/>
        </w:tabs>
        <w:autoSpaceDE w:val="0"/>
        <w:autoSpaceDN w:val="0"/>
        <w:spacing w:before="20" w:after="0" w:line="240" w:lineRule="auto"/>
        <w:ind w:left="801" w:leftChars="0" w:right="0" w:rightChars="0" w:hanging="244" w:firstLineChars="0"/>
        <w:jc w:val="left"/>
        <w:rPr>
          <w:rFonts w:hint="eastAsia" w:ascii="宋体" w:hAnsi="宋体" w:eastAsia="宋体" w:cs="宋体"/>
          <w:color w:val="231F20"/>
          <w:w w:val="100"/>
          <w:sz w:val="22"/>
          <w:szCs w:val="22"/>
          <w:lang w:val="en-US" w:eastAsia="en-US" w:bidi="ar-SA"/>
        </w:rPr>
      </w:pPr>
      <w:r>
        <w:rPr>
          <w:rFonts w:hint="eastAsia" w:ascii="宋体" w:hAnsi="宋体" w:eastAsia="宋体" w:cs="宋体"/>
          <w:color w:val="231F20"/>
          <w:w w:val="100"/>
          <w:sz w:val="22"/>
          <w:szCs w:val="22"/>
          <w:lang w:val="en-US" w:eastAsia="en-US" w:bidi="ar-SA"/>
        </w:rPr>
        <w:t>20.1.1监理范围在专用条件中约定。</w:t>
      </w:r>
    </w:p>
    <w:p w14:paraId="7A4E84D8">
      <w:pPr>
        <w:widowControl w:val="0"/>
        <w:numPr>
          <w:ilvl w:val="0"/>
          <w:numId w:val="0"/>
        </w:numPr>
        <w:tabs>
          <w:tab w:val="left" w:pos="802"/>
        </w:tabs>
        <w:autoSpaceDE w:val="0"/>
        <w:autoSpaceDN w:val="0"/>
        <w:spacing w:before="20" w:after="0" w:line="240" w:lineRule="auto"/>
        <w:ind w:left="801" w:leftChars="0" w:right="0" w:rightChars="0" w:hanging="244" w:firstLineChars="0"/>
        <w:jc w:val="left"/>
        <w:rPr>
          <w:rFonts w:hint="eastAsia" w:ascii="宋体" w:hAnsi="宋体" w:eastAsia="宋体" w:cs="宋体"/>
          <w:color w:val="231F20"/>
          <w:w w:val="100"/>
          <w:sz w:val="22"/>
          <w:szCs w:val="22"/>
          <w:lang w:val="en-US" w:eastAsia="en-US" w:bidi="ar-SA"/>
        </w:rPr>
      </w:pPr>
      <w:r>
        <w:rPr>
          <w:rFonts w:hint="eastAsia" w:ascii="宋体" w:hAnsi="宋体" w:eastAsia="宋体" w:cs="宋体"/>
          <w:color w:val="231F20"/>
          <w:w w:val="100"/>
          <w:sz w:val="22"/>
          <w:szCs w:val="22"/>
          <w:lang w:val="en-US" w:eastAsia="en-US" w:bidi="ar-SA"/>
        </w:rPr>
        <w:t>20.1.2除专用条件另有约定外，监理工作内容包括：</w:t>
      </w:r>
    </w:p>
    <w:p w14:paraId="20E909E6">
      <w:pPr>
        <w:widowControl w:val="0"/>
        <w:autoSpaceDE w:val="0"/>
        <w:autoSpaceDN w:val="0"/>
        <w:spacing w:before="109" w:after="0" w:line="319" w:lineRule="auto"/>
        <w:ind w:left="117" w:right="102"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1）收到工程设计文件后编制监理规划，并在第一次工地会议 7 天前报委托人。根据有关规定和监理工作需要，编制监理实施细则；</w:t>
      </w:r>
    </w:p>
    <w:p w14:paraId="399231F6">
      <w:pPr>
        <w:widowControl w:val="0"/>
        <w:autoSpaceDE w:val="0"/>
        <w:autoSpaceDN w:val="0"/>
        <w:spacing w:before="26"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2）熟悉工程设计文件，并参加由委托人主持的图纸会审和设计交底会议；</w:t>
      </w:r>
    </w:p>
    <w:p w14:paraId="4CCCF9F7">
      <w:pPr>
        <w:widowControl w:val="0"/>
        <w:autoSpaceDE w:val="0"/>
        <w:autoSpaceDN w:val="0"/>
        <w:spacing w:before="109" w:after="0" w:line="319" w:lineRule="auto"/>
        <w:ind w:left="117" w:right="99"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3）参加由委托人主持的第一次工地会议；主持监理例会并根据工程需要主持或参加专题会议；</w:t>
      </w:r>
    </w:p>
    <w:p w14:paraId="2E203E83">
      <w:pPr>
        <w:widowControl w:val="0"/>
        <w:autoSpaceDE w:val="0"/>
        <w:autoSpaceDN w:val="0"/>
        <w:spacing w:before="25" w:after="0" w:line="319" w:lineRule="auto"/>
        <w:ind w:left="117" w:right="99"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4）审查施工承包人提交的施工组织设计，重点审查其中的质量安全技术措施、专项施工方案与工程建设强制性标准的符合性；</w:t>
      </w:r>
    </w:p>
    <w:p w14:paraId="60385DC5">
      <w:pPr>
        <w:widowControl w:val="0"/>
        <w:autoSpaceDE w:val="0"/>
        <w:autoSpaceDN w:val="0"/>
        <w:spacing w:before="25"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5）检查施工承包人工程质量、安全生产管理制度及组织机构和人员资格；</w:t>
      </w:r>
    </w:p>
    <w:p w14:paraId="1B6A3320">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6）检查施工承包人专职安全生产管理人员的配备情况；</w:t>
      </w:r>
    </w:p>
    <w:p w14:paraId="0323653C">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7）审查施工承包人提交的施工进度计划，核查承包人对施工进度计划的调整；</w:t>
      </w:r>
    </w:p>
    <w:p w14:paraId="641A1431">
      <w:pPr>
        <w:spacing w:after="0"/>
        <w:rPr>
          <w:rFonts w:hint="eastAsia" w:ascii="宋体" w:hAnsi="宋体" w:eastAsia="宋体" w:cs="宋体"/>
          <w:sz w:val="24"/>
          <w:szCs w:val="24"/>
          <w:highlight w:val="none"/>
        </w:rPr>
        <w:sectPr>
          <w:pgSz w:w="11910" w:h="16840"/>
          <w:pgMar w:top="1580" w:right="1300" w:bottom="1020" w:left="1300" w:header="0" w:footer="832" w:gutter="0"/>
          <w:pgNumType w:fmt="decimal"/>
          <w:cols w:space="720" w:num="1"/>
        </w:sectPr>
      </w:pPr>
    </w:p>
    <w:p w14:paraId="264037EE">
      <w:pPr>
        <w:widowControl w:val="0"/>
        <w:autoSpaceDE w:val="0"/>
        <w:autoSpaceDN w:val="0"/>
        <w:spacing w:before="24"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8）检查施工承包人的试验室；</w:t>
      </w:r>
    </w:p>
    <w:p w14:paraId="68C825F1">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9）审核施工分包人资质条件；</w:t>
      </w:r>
    </w:p>
    <w:p w14:paraId="0543837B">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10）查验施工承包人的施工测量放线成果；</w:t>
      </w:r>
    </w:p>
    <w:p w14:paraId="170D442A">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11）审查工程开工条件，对条件具备的签发开工令；</w:t>
      </w:r>
    </w:p>
    <w:p w14:paraId="6948E325">
      <w:pPr>
        <w:widowControl w:val="0"/>
        <w:autoSpaceDE w:val="0"/>
        <w:autoSpaceDN w:val="0"/>
        <w:spacing w:before="109" w:after="0" w:line="319" w:lineRule="auto"/>
        <w:ind w:left="117" w:right="203"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12）审查施工承包人报送的工程材料、构配件、设备质量证明文件的有效性和符合性， 并按规定对用于工程的材料采取平行检验或见证取样方式进行抽检；</w:t>
      </w:r>
    </w:p>
    <w:p w14:paraId="5C9B38FF">
      <w:pPr>
        <w:widowControl w:val="0"/>
        <w:autoSpaceDE w:val="0"/>
        <w:autoSpaceDN w:val="0"/>
        <w:spacing w:before="26" w:after="0" w:line="319" w:lineRule="auto"/>
        <w:ind w:left="117" w:right="203"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13）审核施工承包人提交的工程款支付申请，签发或出具工程款支付证书，并报委托人审核、批准；</w:t>
      </w:r>
    </w:p>
    <w:p w14:paraId="5E51E6BC">
      <w:pPr>
        <w:widowControl w:val="0"/>
        <w:autoSpaceDE w:val="0"/>
        <w:autoSpaceDN w:val="0"/>
        <w:spacing w:before="26" w:after="0" w:line="319" w:lineRule="auto"/>
        <w:ind w:left="117" w:right="203"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14）在巡视、旁站和检验过程中，发现工程质量、施工安全存在事故隐患的，要求施工承包人整改并报委托人；</w:t>
      </w:r>
    </w:p>
    <w:p w14:paraId="7E3F8B42">
      <w:pPr>
        <w:widowControl w:val="0"/>
        <w:autoSpaceDE w:val="0"/>
        <w:autoSpaceDN w:val="0"/>
        <w:spacing w:before="26"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15）经委托人同意，签发工程暂停令和复工令；</w:t>
      </w:r>
    </w:p>
    <w:p w14:paraId="311EF6C2">
      <w:pPr>
        <w:widowControl w:val="0"/>
        <w:autoSpaceDE w:val="0"/>
        <w:autoSpaceDN w:val="0"/>
        <w:spacing w:before="109" w:after="0" w:line="319" w:lineRule="auto"/>
        <w:ind w:left="117" w:right="203"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16）审查施工承包人提交的采用新材料、新工艺、新技术、新设备的论证材料及相关验收标准；</w:t>
      </w:r>
    </w:p>
    <w:p w14:paraId="601B94F3">
      <w:pPr>
        <w:widowControl w:val="0"/>
        <w:autoSpaceDE w:val="0"/>
        <w:autoSpaceDN w:val="0"/>
        <w:spacing w:before="25"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17）验收隐蔽工程、分部分项工程；</w:t>
      </w:r>
    </w:p>
    <w:p w14:paraId="3444FAC2">
      <w:pPr>
        <w:widowControl w:val="0"/>
        <w:autoSpaceDE w:val="0"/>
        <w:autoSpaceDN w:val="0"/>
        <w:spacing w:before="109" w:after="0" w:line="319" w:lineRule="auto"/>
        <w:ind w:left="117" w:right="203" w:firstLine="33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18）审查施工承包人提交的工程变更申请，协调处理施工进度调整、费用索赔、合同争议等事项；</w:t>
      </w:r>
    </w:p>
    <w:p w14:paraId="4634F578">
      <w:pPr>
        <w:widowControl w:val="0"/>
        <w:autoSpaceDE w:val="0"/>
        <w:autoSpaceDN w:val="0"/>
        <w:spacing w:before="26"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19）审查施工承包人提交的竣工验收申请，编写工程质量评估报告；</w:t>
      </w:r>
    </w:p>
    <w:p w14:paraId="240851A0">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20）参加工程竣工验收，签署竣工验收意见；</w:t>
      </w:r>
    </w:p>
    <w:p w14:paraId="636BB93C">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21）审查施工承包人提交的竣工结算申请并报委托人；</w:t>
      </w:r>
    </w:p>
    <w:p w14:paraId="5D13B9E0">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22）编制、整理工程监理归档文件并报委托人。</w:t>
      </w:r>
    </w:p>
    <w:p w14:paraId="065E8B5E">
      <w:pPr>
        <w:widowControl w:val="0"/>
        <w:numPr>
          <w:ilvl w:val="2"/>
          <w:numId w:val="0"/>
        </w:numPr>
        <w:tabs>
          <w:tab w:val="left" w:pos="1048"/>
        </w:tabs>
        <w:autoSpaceDE w:val="0"/>
        <w:autoSpaceDN w:val="0"/>
        <w:spacing w:before="109" w:after="0" w:line="240" w:lineRule="auto"/>
        <w:ind w:left="1047" w:leftChars="0" w:right="0" w:rightChars="0" w:hanging="490" w:firstLineChars="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56"/>
          <w:w w:val="100"/>
          <w:sz w:val="20"/>
          <w:szCs w:val="20"/>
          <w:lang w:val="en-US" w:eastAsia="en-US" w:bidi="ar-SA"/>
        </w:rPr>
        <w:t>20.1.3</w:t>
      </w:r>
      <w:r>
        <w:rPr>
          <w:rFonts w:hint="eastAsia" w:ascii="宋体" w:hAnsi="宋体" w:eastAsia="宋体" w:cs="宋体"/>
          <w:color w:val="231F20"/>
          <w:sz w:val="24"/>
          <w:szCs w:val="24"/>
          <w:highlight w:val="none"/>
          <w:lang w:val="en-US" w:eastAsia="en-US" w:bidi="ar-SA"/>
        </w:rPr>
        <w:t>相关服务的范围和内容在附录 A 中约定。</w:t>
      </w:r>
    </w:p>
    <w:p w14:paraId="3EF6F9A1">
      <w:pPr>
        <w:widowControl w:val="0"/>
        <w:numPr>
          <w:ilvl w:val="1"/>
          <w:numId w:val="11"/>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监理与相关服务依据</w:t>
      </w:r>
    </w:p>
    <w:p w14:paraId="2D8F1CD1">
      <w:pPr>
        <w:widowControl w:val="0"/>
        <w:numPr>
          <w:ilvl w:val="2"/>
          <w:numId w:val="11"/>
        </w:numPr>
        <w:tabs>
          <w:tab w:val="left" w:pos="104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监理依据包括：</w:t>
      </w:r>
    </w:p>
    <w:p w14:paraId="12A0A914">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1）适用的法律、行政法规及部门规章；</w:t>
      </w:r>
    </w:p>
    <w:p w14:paraId="5E106D04">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2）与工程有关的标准；</w:t>
      </w:r>
    </w:p>
    <w:p w14:paraId="6B8ADF6A">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3）工程设计及有关文件；</w:t>
      </w:r>
    </w:p>
    <w:p w14:paraId="196ED29F">
      <w:pPr>
        <w:widowControl w:val="0"/>
        <w:autoSpaceDE w:val="0"/>
        <w:autoSpaceDN w:val="0"/>
        <w:spacing w:before="109" w:after="0" w:line="319" w:lineRule="auto"/>
        <w:ind w:left="557" w:right="2233" w:hanging="11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4）本合同及委托人与第三方签订的与实施工程有关的其他合同。双方根据工程的行业和地域特点，在专用条件中具体约定监理依据。</w:t>
      </w:r>
    </w:p>
    <w:p w14:paraId="028714E3">
      <w:pPr>
        <w:widowControl w:val="0"/>
        <w:numPr>
          <w:ilvl w:val="2"/>
          <w:numId w:val="11"/>
        </w:numPr>
        <w:tabs>
          <w:tab w:val="left" w:pos="1048"/>
        </w:tabs>
        <w:autoSpaceDE w:val="0"/>
        <w:autoSpaceDN w:val="0"/>
        <w:spacing w:before="26"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相关服务依据在专用条件中约定。</w:t>
      </w:r>
    </w:p>
    <w:p w14:paraId="2A5EFB8E">
      <w:pPr>
        <w:widowControl w:val="0"/>
        <w:numPr>
          <w:ilvl w:val="1"/>
          <w:numId w:val="11"/>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项目监理机构和人员</w:t>
      </w:r>
    </w:p>
    <w:p w14:paraId="1C387750">
      <w:pPr>
        <w:widowControl w:val="0"/>
        <w:numPr>
          <w:ilvl w:val="2"/>
          <w:numId w:val="11"/>
        </w:numPr>
        <w:tabs>
          <w:tab w:val="left" w:pos="1049"/>
        </w:tabs>
        <w:autoSpaceDE w:val="0"/>
        <w:autoSpaceDN w:val="0"/>
        <w:spacing w:before="109" w:after="0" w:line="240"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监理人应组建满足工作需要的项目监理机构，配备必要的检测设备。项目监理机构的</w:t>
      </w:r>
    </w:p>
    <w:p w14:paraId="4EB8CFED">
      <w:pPr>
        <w:spacing w:after="0" w:line="240" w:lineRule="auto"/>
        <w:jc w:val="left"/>
        <w:rPr>
          <w:rFonts w:hint="eastAsia" w:ascii="宋体" w:hAnsi="宋体" w:eastAsia="宋体" w:cs="宋体"/>
          <w:sz w:val="24"/>
          <w:szCs w:val="24"/>
          <w:highlight w:val="none"/>
        </w:rPr>
        <w:sectPr>
          <w:pgSz w:w="11910" w:h="16840"/>
          <w:pgMar w:top="1580" w:right="1200" w:bottom="1020" w:left="1300" w:header="0" w:footer="832" w:gutter="0"/>
          <w:pgNumType w:fmt="decimal"/>
          <w:cols w:space="720" w:num="1"/>
        </w:sectPr>
      </w:pPr>
    </w:p>
    <w:p w14:paraId="3D8C021E">
      <w:pPr>
        <w:widowControl w:val="0"/>
        <w:autoSpaceDE w:val="0"/>
        <w:autoSpaceDN w:val="0"/>
        <w:spacing w:before="24"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主要人员应具有相应的资格条件。</w:t>
      </w:r>
    </w:p>
    <w:p w14:paraId="615E3384">
      <w:pPr>
        <w:widowControl w:val="0"/>
        <w:numPr>
          <w:ilvl w:val="2"/>
          <w:numId w:val="11"/>
        </w:numPr>
        <w:tabs>
          <w:tab w:val="left" w:pos="1049"/>
        </w:tabs>
        <w:autoSpaceDE w:val="0"/>
        <w:autoSpaceDN w:val="0"/>
        <w:spacing w:before="109"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本合同履行过程中，总监理工程师及重要岗位监理人员应保持相对稳定，以保证监理工作正常进行。</w:t>
      </w:r>
    </w:p>
    <w:p w14:paraId="7DCEA9AD">
      <w:pPr>
        <w:widowControl w:val="0"/>
        <w:numPr>
          <w:ilvl w:val="2"/>
          <w:numId w:val="11"/>
        </w:numPr>
        <w:tabs>
          <w:tab w:val="left" w:pos="1049"/>
        </w:tabs>
        <w:autoSpaceDE w:val="0"/>
        <w:autoSpaceDN w:val="0"/>
        <w:spacing w:before="25" w:after="0" w:line="319" w:lineRule="auto"/>
        <w:ind w:left="117" w:right="109"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监理人可根据工程进展和工作需要调整项目监理机构人员。监理人更换总监理工程师</w:t>
      </w:r>
      <w:r>
        <w:rPr>
          <w:rFonts w:hint="eastAsia" w:ascii="宋体" w:hAnsi="宋体" w:eastAsia="宋体" w:cs="宋体"/>
          <w:color w:val="231F20"/>
          <w:spacing w:val="6"/>
          <w:sz w:val="24"/>
          <w:szCs w:val="24"/>
          <w:highlight w:val="none"/>
          <w:lang w:val="en-US" w:eastAsia="en-US" w:bidi="ar-SA"/>
        </w:rPr>
        <w:t xml:space="preserve">时，应提前 </w:t>
      </w:r>
      <w:r>
        <w:rPr>
          <w:rFonts w:hint="eastAsia" w:ascii="宋体" w:hAnsi="宋体" w:eastAsia="宋体" w:cs="宋体"/>
          <w:color w:val="231F20"/>
          <w:sz w:val="24"/>
          <w:szCs w:val="24"/>
          <w:highlight w:val="none"/>
          <w:lang w:val="en-US" w:eastAsia="en-US" w:bidi="ar-SA"/>
        </w:rPr>
        <w:t>7</w:t>
      </w:r>
      <w:r>
        <w:rPr>
          <w:rFonts w:hint="eastAsia" w:ascii="宋体" w:hAnsi="宋体" w:eastAsia="宋体" w:cs="宋体"/>
          <w:color w:val="231F20"/>
          <w:spacing w:val="-3"/>
          <w:sz w:val="24"/>
          <w:szCs w:val="24"/>
          <w:highlight w:val="none"/>
          <w:lang w:val="en-US" w:eastAsia="en-US" w:bidi="ar-SA"/>
        </w:rPr>
        <w:t xml:space="preserve"> 天向委托人书面报告，经委托人同意后方可更换；监理人更换项目监理机构其他监理人员，应以相当资格与能力的人员替换，并通知委托人。</w:t>
      </w:r>
    </w:p>
    <w:p w14:paraId="58B6F15C">
      <w:pPr>
        <w:widowControl w:val="0"/>
        <w:numPr>
          <w:ilvl w:val="2"/>
          <w:numId w:val="11"/>
        </w:numPr>
        <w:tabs>
          <w:tab w:val="left" w:pos="1048"/>
        </w:tabs>
        <w:autoSpaceDE w:val="0"/>
        <w:autoSpaceDN w:val="0"/>
        <w:spacing w:before="25"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监理人应及时更换有下列情形之一的监理人员：</w:t>
      </w:r>
    </w:p>
    <w:p w14:paraId="3B1AD0DD">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1）严重过失行为的；</w:t>
      </w:r>
    </w:p>
    <w:p w14:paraId="12C3EEBA">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2）有违法行为不能履行职责的；</w:t>
      </w:r>
    </w:p>
    <w:p w14:paraId="0901C3E2">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3）涉嫌犯罪的；</w:t>
      </w:r>
    </w:p>
    <w:p w14:paraId="65A6BFFA">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4）不能胜任岗位职责的；</w:t>
      </w:r>
    </w:p>
    <w:p w14:paraId="00AF44F5">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5）严重违反职业道德的；</w:t>
      </w:r>
    </w:p>
    <w:p w14:paraId="7ABFA08A">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6）专用条件约定的其他情形。</w:t>
      </w:r>
    </w:p>
    <w:p w14:paraId="0AFE8DAD">
      <w:pPr>
        <w:widowControl w:val="0"/>
        <w:numPr>
          <w:ilvl w:val="2"/>
          <w:numId w:val="11"/>
        </w:numPr>
        <w:tabs>
          <w:tab w:val="left" w:pos="104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委托人可要求监理人更换不能胜任本职工作的项目监理机构人员。</w:t>
      </w:r>
    </w:p>
    <w:p w14:paraId="1E5B38B9">
      <w:pPr>
        <w:widowControl w:val="0"/>
        <w:numPr>
          <w:ilvl w:val="1"/>
          <w:numId w:val="12"/>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履行职责</w:t>
      </w:r>
    </w:p>
    <w:p w14:paraId="454D5956">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监理人应遵循职业道德准则和行为规范，严格按照法律法规、工程建设有关标准及本合同履行职责。</w:t>
      </w:r>
    </w:p>
    <w:p w14:paraId="5FCE0661">
      <w:pPr>
        <w:widowControl w:val="0"/>
        <w:numPr>
          <w:ilvl w:val="2"/>
          <w:numId w:val="12"/>
        </w:numPr>
        <w:tabs>
          <w:tab w:val="left" w:pos="1049"/>
        </w:tabs>
        <w:autoSpaceDE w:val="0"/>
        <w:autoSpaceDN w:val="0"/>
        <w:spacing w:before="26"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在监理与相关服务范围内，委托人和承包人提出的意见和要求，监理人应及时提出处置意见。当委托人与承包人之间发生合同争议时，监理人应协助委托人、承包人协商解决。</w:t>
      </w:r>
    </w:p>
    <w:p w14:paraId="0EE975BA">
      <w:pPr>
        <w:widowControl w:val="0"/>
        <w:numPr>
          <w:ilvl w:val="2"/>
          <w:numId w:val="12"/>
        </w:numPr>
        <w:tabs>
          <w:tab w:val="left" w:pos="1049"/>
        </w:tabs>
        <w:autoSpaceDE w:val="0"/>
        <w:autoSpaceDN w:val="0"/>
        <w:spacing w:before="26"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当委托人与承包人之间的合同争议提交仲裁机构仲裁或人民法院审理时，监理人应提供必要的证明资料。</w:t>
      </w:r>
    </w:p>
    <w:p w14:paraId="25167481">
      <w:pPr>
        <w:widowControl w:val="0"/>
        <w:numPr>
          <w:ilvl w:val="2"/>
          <w:numId w:val="12"/>
        </w:numPr>
        <w:tabs>
          <w:tab w:val="left" w:pos="1071"/>
        </w:tabs>
        <w:autoSpaceDE w:val="0"/>
        <w:autoSpaceDN w:val="0"/>
        <w:spacing w:before="26" w:after="0" w:line="319" w:lineRule="auto"/>
        <w:ind w:left="117" w:right="112"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3"/>
          <w:sz w:val="24"/>
          <w:szCs w:val="24"/>
          <w:highlight w:val="none"/>
          <w:lang w:val="en-US" w:eastAsia="en-US" w:bidi="ar-SA"/>
        </w:rPr>
        <w:t>监理人应在专用条件约定的授权范围内，处理委托人与承包人所签订合同的变更事</w:t>
      </w:r>
      <w:r>
        <w:rPr>
          <w:rFonts w:hint="eastAsia" w:ascii="宋体" w:hAnsi="宋体" w:eastAsia="宋体" w:cs="宋体"/>
          <w:color w:val="231F20"/>
          <w:sz w:val="24"/>
          <w:szCs w:val="24"/>
          <w:highlight w:val="none"/>
          <w:lang w:val="en-US" w:eastAsia="en-US" w:bidi="ar-SA"/>
        </w:rPr>
        <w:t>宜。如果变更超过授权范围，应以书面形式报委托人批准。</w:t>
      </w:r>
    </w:p>
    <w:p w14:paraId="1CD946B2">
      <w:pPr>
        <w:widowControl w:val="0"/>
        <w:autoSpaceDE w:val="0"/>
        <w:autoSpaceDN w:val="0"/>
        <w:spacing w:before="26"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在紧急情况下，为了保护财产和人身安全，监理人所发出的指令未能事先报委托人批准时，应在发出指令后的 24 小时内以书面形式报委托人。</w:t>
      </w:r>
    </w:p>
    <w:p w14:paraId="442E9C56">
      <w:pPr>
        <w:widowControl w:val="0"/>
        <w:numPr>
          <w:ilvl w:val="2"/>
          <w:numId w:val="12"/>
        </w:numPr>
        <w:tabs>
          <w:tab w:val="left" w:pos="1049"/>
        </w:tabs>
        <w:autoSpaceDE w:val="0"/>
        <w:autoSpaceDN w:val="0"/>
        <w:spacing w:before="26"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除专用条件另有约定外，监理人发现承包人的人员不能胜任本职工作的，有权要求承包人予以调换。</w:t>
      </w:r>
    </w:p>
    <w:p w14:paraId="0A998A19">
      <w:pPr>
        <w:widowControl w:val="0"/>
        <w:numPr>
          <w:ilvl w:val="1"/>
          <w:numId w:val="12"/>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提交报告</w:t>
      </w:r>
    </w:p>
    <w:p w14:paraId="489975A1">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监理人应按专用条件约定的种类、时间和份数向委托人提交监理与相关服务的报告。</w:t>
      </w:r>
    </w:p>
    <w:p w14:paraId="3BFFF10C">
      <w:pPr>
        <w:widowControl w:val="0"/>
        <w:numPr>
          <w:ilvl w:val="1"/>
          <w:numId w:val="12"/>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文件资料</w:t>
      </w:r>
    </w:p>
    <w:p w14:paraId="5625DF33">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在本合同履行期内，监理人应在现场保留工作所用的图纸、报告及记录监理工作的相关文</w:t>
      </w:r>
    </w:p>
    <w:p w14:paraId="663D771C">
      <w:pPr>
        <w:spacing w:after="0"/>
        <w:rPr>
          <w:rFonts w:hint="eastAsia" w:ascii="宋体" w:hAnsi="宋体" w:eastAsia="宋体" w:cs="宋体"/>
          <w:sz w:val="24"/>
          <w:szCs w:val="24"/>
          <w:highlight w:val="none"/>
        </w:rPr>
        <w:sectPr>
          <w:pgSz w:w="11910" w:h="16840"/>
          <w:pgMar w:top="1580" w:right="1300" w:bottom="1020" w:left="1300" w:header="0" w:footer="832" w:gutter="0"/>
          <w:pgNumType w:fmt="decimal"/>
          <w:cols w:space="720" w:num="1"/>
        </w:sectPr>
      </w:pPr>
    </w:p>
    <w:p w14:paraId="0F5BA40E">
      <w:pPr>
        <w:widowControl w:val="0"/>
        <w:autoSpaceDE w:val="0"/>
        <w:autoSpaceDN w:val="0"/>
        <w:spacing w:before="24"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件。工程竣工后，应当按照档案管理规定将监理有关文件归档。</w:t>
      </w:r>
    </w:p>
    <w:p w14:paraId="6ADB5C90">
      <w:pPr>
        <w:widowControl w:val="0"/>
        <w:numPr>
          <w:ilvl w:val="1"/>
          <w:numId w:val="12"/>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使用委托人的财产</w:t>
      </w:r>
    </w:p>
    <w:p w14:paraId="6D9BF2E1">
      <w:pPr>
        <w:widowControl w:val="0"/>
        <w:autoSpaceDE w:val="0"/>
        <w:autoSpaceDN w:val="0"/>
        <w:spacing w:before="109" w:after="0" w:line="319" w:lineRule="auto"/>
        <w:ind w:left="117" w:right="132"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监理人无偿使用附录B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7333E37D">
      <w:pPr>
        <w:widowControl w:val="0"/>
        <w:autoSpaceDE w:val="0"/>
        <w:autoSpaceDN w:val="0"/>
        <w:spacing w:before="1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3．委托人的义务</w:t>
      </w:r>
    </w:p>
    <w:p w14:paraId="128CCC82">
      <w:pPr>
        <w:widowControl w:val="0"/>
        <w:numPr>
          <w:ilvl w:val="1"/>
          <w:numId w:val="13"/>
        </w:numPr>
        <w:tabs>
          <w:tab w:val="left" w:pos="884"/>
        </w:tabs>
        <w:autoSpaceDE w:val="0"/>
        <w:autoSpaceDN w:val="0"/>
        <w:spacing w:before="121"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告知</w:t>
      </w:r>
    </w:p>
    <w:p w14:paraId="32E20130">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委托人应在委托人与承包人签订的合同中明确监理人、总监理工程师和授予项目监理机构的权限。如有变更，应及时通知承包人。</w:t>
      </w:r>
    </w:p>
    <w:p w14:paraId="75C23FED">
      <w:pPr>
        <w:widowControl w:val="0"/>
        <w:numPr>
          <w:ilvl w:val="1"/>
          <w:numId w:val="13"/>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提供资料</w:t>
      </w:r>
    </w:p>
    <w:p w14:paraId="0FF00CAE">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委托人应按照附录 B 约定，无偿向监理人提供工程有关的资料。在本合同履行过程中，委托人应及时向监理人提供最新的与工程有关的资料。</w:t>
      </w:r>
    </w:p>
    <w:p w14:paraId="5271D581">
      <w:pPr>
        <w:widowControl w:val="0"/>
        <w:numPr>
          <w:ilvl w:val="1"/>
          <w:numId w:val="13"/>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提供工作条件</w:t>
      </w:r>
    </w:p>
    <w:p w14:paraId="5242130C">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委托人应为监理人完成监理与相关服务提供必要的条件。</w:t>
      </w:r>
    </w:p>
    <w:p w14:paraId="62E78547">
      <w:pPr>
        <w:widowControl w:val="0"/>
        <w:numPr>
          <w:ilvl w:val="2"/>
          <w:numId w:val="13"/>
        </w:numPr>
        <w:tabs>
          <w:tab w:val="left" w:pos="1048"/>
        </w:tabs>
        <w:autoSpaceDE w:val="0"/>
        <w:autoSpaceDN w:val="0"/>
        <w:spacing w:before="109" w:after="0" w:line="240"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委托人应按照附录 B 约定，派遣相应的人员，提供房屋、设备，供监理人无偿使用。</w:t>
      </w:r>
    </w:p>
    <w:p w14:paraId="64BFC575">
      <w:pPr>
        <w:widowControl w:val="0"/>
        <w:numPr>
          <w:ilvl w:val="2"/>
          <w:numId w:val="13"/>
        </w:numPr>
        <w:tabs>
          <w:tab w:val="left" w:pos="1049"/>
        </w:tabs>
        <w:autoSpaceDE w:val="0"/>
        <w:autoSpaceDN w:val="0"/>
        <w:spacing w:before="109" w:after="0" w:line="319" w:lineRule="auto"/>
        <w:ind w:left="117" w:right="13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委托人应负责协调工程建设中所有外部关系，为监理人履行本合同提供必要的外部条件。</w:t>
      </w:r>
    </w:p>
    <w:p w14:paraId="7B03425E">
      <w:pPr>
        <w:widowControl w:val="0"/>
        <w:numPr>
          <w:ilvl w:val="1"/>
          <w:numId w:val="14"/>
        </w:numPr>
        <w:tabs>
          <w:tab w:val="left" w:pos="884"/>
        </w:tabs>
        <w:autoSpaceDE w:val="0"/>
        <w:autoSpaceDN w:val="0"/>
        <w:spacing w:before="25"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委托人代表</w:t>
      </w:r>
    </w:p>
    <w:p w14:paraId="5FC45AA7">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委托人应授权一名熟悉工程情况的代表，负责与监理人联系。委托人应在双方签订本合同后 7 天内，将委托人代表的姓名和职责书面告知监理人。当委托人更换委托人代表时，应提前</w:t>
      </w:r>
    </w:p>
    <w:p w14:paraId="221BD2D2">
      <w:pPr>
        <w:widowControl w:val="0"/>
        <w:autoSpaceDE w:val="0"/>
        <w:autoSpaceDN w:val="0"/>
        <w:spacing w:before="26"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7 天通知监理人。</w:t>
      </w:r>
    </w:p>
    <w:p w14:paraId="729A99E6">
      <w:pPr>
        <w:widowControl w:val="0"/>
        <w:numPr>
          <w:ilvl w:val="1"/>
          <w:numId w:val="14"/>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委托人意见或要求</w:t>
      </w:r>
    </w:p>
    <w:p w14:paraId="76BF3AD5">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在本合同约定的监理与相关服务工作范围内，委托人对承包人的任何意见或要求应通知监理人，由监理人向承包人发出相应指令。</w:t>
      </w:r>
    </w:p>
    <w:p w14:paraId="226D4210">
      <w:pPr>
        <w:widowControl w:val="0"/>
        <w:numPr>
          <w:ilvl w:val="1"/>
          <w:numId w:val="14"/>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答复</w:t>
      </w:r>
    </w:p>
    <w:p w14:paraId="78440D56">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委托人应在专用条件约定的时间内，对监理人以书面形式提交并要求作出决定的事宜，给予书面答复。逾期未答复的，视为委托人认可。</w:t>
      </w:r>
    </w:p>
    <w:p w14:paraId="1992418A">
      <w:pPr>
        <w:widowControl w:val="0"/>
        <w:numPr>
          <w:ilvl w:val="1"/>
          <w:numId w:val="14"/>
        </w:numPr>
        <w:tabs>
          <w:tab w:val="left" w:pos="884"/>
        </w:tabs>
        <w:autoSpaceDE w:val="0"/>
        <w:autoSpaceDN w:val="0"/>
        <w:spacing w:before="25"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w:t>
      </w:r>
    </w:p>
    <w:p w14:paraId="09E2E084">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委托人应按本合同约定，向监理人支付酬金。</w:t>
      </w:r>
    </w:p>
    <w:p w14:paraId="179D2CFA">
      <w:pPr>
        <w:widowControl w:val="0"/>
        <w:numPr>
          <w:ilvl w:val="0"/>
          <w:numId w:val="15"/>
        </w:numPr>
        <w:tabs>
          <w:tab w:val="left" w:pos="802"/>
        </w:tabs>
        <w:autoSpaceDE w:val="0"/>
        <w:autoSpaceDN w:val="0"/>
        <w:spacing w:before="103"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违约责任</w:t>
      </w:r>
    </w:p>
    <w:p w14:paraId="4EEE944B">
      <w:pPr>
        <w:widowControl w:val="0"/>
        <w:numPr>
          <w:ilvl w:val="1"/>
          <w:numId w:val="15"/>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监理人的违约责任</w:t>
      </w:r>
    </w:p>
    <w:p w14:paraId="5B4A5757">
      <w:pPr>
        <w:spacing w:after="0" w:line="240" w:lineRule="auto"/>
        <w:jc w:val="left"/>
        <w:rPr>
          <w:rFonts w:hint="eastAsia" w:ascii="宋体" w:hAnsi="宋体" w:eastAsia="宋体" w:cs="宋体"/>
          <w:sz w:val="24"/>
          <w:szCs w:val="24"/>
          <w:highlight w:val="none"/>
        </w:rPr>
        <w:sectPr>
          <w:pgSz w:w="11910" w:h="16840"/>
          <w:pgMar w:top="1580" w:right="1280" w:bottom="1020" w:left="1300" w:header="0" w:footer="832" w:gutter="0"/>
          <w:pgNumType w:fmt="decimal"/>
          <w:cols w:space="720" w:num="1"/>
        </w:sectPr>
      </w:pPr>
    </w:p>
    <w:p w14:paraId="208EA483">
      <w:pPr>
        <w:widowControl w:val="0"/>
        <w:autoSpaceDE w:val="0"/>
        <w:autoSpaceDN w:val="0"/>
        <w:spacing w:before="24"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监理人未履行本合同义务的，应承担相应的责任。</w:t>
      </w:r>
    </w:p>
    <w:p w14:paraId="089859A2">
      <w:pPr>
        <w:widowControl w:val="0"/>
        <w:numPr>
          <w:ilvl w:val="2"/>
          <w:numId w:val="15"/>
        </w:numPr>
        <w:tabs>
          <w:tab w:val="left" w:pos="1049"/>
        </w:tabs>
        <w:autoSpaceDE w:val="0"/>
        <w:autoSpaceDN w:val="0"/>
        <w:spacing w:before="109" w:after="0" w:line="319" w:lineRule="auto"/>
        <w:ind w:left="117" w:right="114"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因监理人违反本合同约定给委托人造成损失的，监理人应当赔偿委托人损失。赔偿金额的确定方法在专用条件中约定。监理人承担部分赔偿责任的，其承担赔偿金额由双方协商确定。</w:t>
      </w:r>
    </w:p>
    <w:p w14:paraId="26FADAF9">
      <w:pPr>
        <w:widowControl w:val="0"/>
        <w:numPr>
          <w:ilvl w:val="2"/>
          <w:numId w:val="15"/>
        </w:numPr>
        <w:tabs>
          <w:tab w:val="left" w:pos="1048"/>
        </w:tabs>
        <w:autoSpaceDE w:val="0"/>
        <w:autoSpaceDN w:val="0"/>
        <w:spacing w:before="25"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监理人向委托人的索赔不成立时，监理人应赔偿委托人由此发生的费用。</w:t>
      </w:r>
    </w:p>
    <w:p w14:paraId="61C0B840">
      <w:pPr>
        <w:widowControl w:val="0"/>
        <w:numPr>
          <w:ilvl w:val="1"/>
          <w:numId w:val="16"/>
        </w:numPr>
        <w:tabs>
          <w:tab w:val="left" w:pos="884"/>
        </w:tabs>
        <w:autoSpaceDE w:val="0"/>
        <w:autoSpaceDN w:val="0"/>
        <w:spacing w:before="108"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委托人的违约责任</w:t>
      </w:r>
    </w:p>
    <w:p w14:paraId="5F260B91">
      <w:pPr>
        <w:widowControl w:val="0"/>
        <w:autoSpaceDE w:val="0"/>
        <w:autoSpaceDN w:val="0"/>
        <w:spacing w:before="108"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委托人未履行本合同义务的，应承担相应的责任。</w:t>
      </w:r>
    </w:p>
    <w:p w14:paraId="0E06C1B4">
      <w:pPr>
        <w:widowControl w:val="0"/>
        <w:numPr>
          <w:ilvl w:val="2"/>
          <w:numId w:val="16"/>
        </w:numPr>
        <w:tabs>
          <w:tab w:val="left" w:pos="1048"/>
        </w:tabs>
        <w:autoSpaceDE w:val="0"/>
        <w:autoSpaceDN w:val="0"/>
        <w:spacing w:before="108"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委托人违反本合同约定造成监理人损失的，委托人应予以赔偿。</w:t>
      </w:r>
    </w:p>
    <w:p w14:paraId="06428FB5">
      <w:pPr>
        <w:widowControl w:val="0"/>
        <w:numPr>
          <w:ilvl w:val="2"/>
          <w:numId w:val="16"/>
        </w:numPr>
        <w:tabs>
          <w:tab w:val="left" w:pos="1048"/>
        </w:tabs>
        <w:autoSpaceDE w:val="0"/>
        <w:autoSpaceDN w:val="0"/>
        <w:spacing w:before="108"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委托人向监理人的索赔不成立时，应赔偿监理人由此引起的费用。</w:t>
      </w:r>
    </w:p>
    <w:p w14:paraId="00155A36">
      <w:pPr>
        <w:widowControl w:val="0"/>
        <w:numPr>
          <w:ilvl w:val="2"/>
          <w:numId w:val="16"/>
        </w:numPr>
        <w:tabs>
          <w:tab w:val="left" w:pos="1048"/>
        </w:tabs>
        <w:autoSpaceDE w:val="0"/>
        <w:autoSpaceDN w:val="0"/>
        <w:spacing w:before="108"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1"/>
          <w:sz w:val="24"/>
          <w:szCs w:val="24"/>
          <w:highlight w:val="none"/>
          <w:lang w:val="en-US" w:eastAsia="en-US" w:bidi="ar-SA"/>
        </w:rPr>
        <w:t xml:space="preserve">委托人未能按期支付酬金超过 </w:t>
      </w:r>
      <w:r>
        <w:rPr>
          <w:rFonts w:hint="eastAsia" w:ascii="宋体" w:hAnsi="宋体" w:eastAsia="宋体" w:cs="宋体"/>
          <w:color w:val="231F20"/>
          <w:sz w:val="24"/>
          <w:szCs w:val="24"/>
          <w:highlight w:val="none"/>
          <w:lang w:val="en-US" w:eastAsia="en-US" w:bidi="ar-SA"/>
        </w:rPr>
        <w:t>28</w:t>
      </w:r>
      <w:r>
        <w:rPr>
          <w:rFonts w:hint="eastAsia" w:ascii="宋体" w:hAnsi="宋体" w:eastAsia="宋体" w:cs="宋体"/>
          <w:color w:val="231F20"/>
          <w:spacing w:val="-1"/>
          <w:sz w:val="24"/>
          <w:szCs w:val="24"/>
          <w:highlight w:val="none"/>
          <w:lang w:val="en-US" w:eastAsia="en-US" w:bidi="ar-SA"/>
        </w:rPr>
        <w:t xml:space="preserve"> 天，应按专用条件约定支付逾期付款利息。</w:t>
      </w:r>
    </w:p>
    <w:p w14:paraId="70EC1844">
      <w:pPr>
        <w:widowControl w:val="0"/>
        <w:autoSpaceDE w:val="0"/>
        <w:autoSpaceDN w:val="0"/>
        <w:spacing w:before="108"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4.3 除外责任</w:t>
      </w:r>
    </w:p>
    <w:p w14:paraId="4FAEB0AA">
      <w:pPr>
        <w:widowControl w:val="0"/>
        <w:autoSpaceDE w:val="0"/>
        <w:autoSpaceDN w:val="0"/>
        <w:spacing w:before="108"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因非监理人的原因，且监理人无过错，发生工程质量事故、安全事故、工期延误等造成的损失，监理人不承担赔偿责任。</w:t>
      </w:r>
    </w:p>
    <w:p w14:paraId="5CDF3558">
      <w:pPr>
        <w:widowControl w:val="0"/>
        <w:autoSpaceDE w:val="0"/>
        <w:autoSpaceDN w:val="0"/>
        <w:spacing w:before="25"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5"/>
          <w:sz w:val="24"/>
          <w:szCs w:val="24"/>
          <w:highlight w:val="none"/>
          <w:lang w:val="en-US" w:eastAsia="en-US" w:bidi="ar-SA"/>
        </w:rPr>
        <w:t>因不可抗力导致本合同全部或部分不能履行时，双方各自承担其因此而造成的损失、损害。</w:t>
      </w:r>
    </w:p>
    <w:p w14:paraId="0578D497">
      <w:pPr>
        <w:widowControl w:val="0"/>
        <w:numPr>
          <w:ilvl w:val="0"/>
          <w:numId w:val="15"/>
        </w:numPr>
        <w:tabs>
          <w:tab w:val="left" w:pos="802"/>
        </w:tabs>
        <w:autoSpaceDE w:val="0"/>
        <w:autoSpaceDN w:val="0"/>
        <w:spacing w:before="103"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w:t>
      </w:r>
    </w:p>
    <w:p w14:paraId="016685D7">
      <w:pPr>
        <w:widowControl w:val="0"/>
        <w:numPr>
          <w:ilvl w:val="1"/>
          <w:numId w:val="15"/>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支付货币</w:t>
      </w:r>
    </w:p>
    <w:p w14:paraId="2767B937">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除专用条件另有约定外，酬金均以人民币支付。涉及外币支付的，所采用的货币种类、比例和汇率在专用条件中约定。</w:t>
      </w:r>
    </w:p>
    <w:p w14:paraId="0B43921B">
      <w:pPr>
        <w:widowControl w:val="0"/>
        <w:numPr>
          <w:ilvl w:val="1"/>
          <w:numId w:val="15"/>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支付申请</w:t>
      </w:r>
    </w:p>
    <w:p w14:paraId="54E0FD7E">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监理人应在本合同约定的每次应付款时间的 7 天前，向委托人提交支付申请书。支付申请书应当说明当期应付款总额，并列出当期应支付的款项及其金额。</w:t>
      </w:r>
    </w:p>
    <w:p w14:paraId="1924563D">
      <w:pPr>
        <w:widowControl w:val="0"/>
        <w:numPr>
          <w:ilvl w:val="1"/>
          <w:numId w:val="15"/>
        </w:numPr>
        <w:tabs>
          <w:tab w:val="left" w:pos="884"/>
        </w:tabs>
        <w:autoSpaceDE w:val="0"/>
        <w:autoSpaceDN w:val="0"/>
        <w:spacing w:before="25"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支付酬金</w:t>
      </w:r>
    </w:p>
    <w:p w14:paraId="76AC8964">
      <w:pPr>
        <w:widowControl w:val="0"/>
        <w:autoSpaceDE w:val="0"/>
        <w:autoSpaceDN w:val="0"/>
        <w:spacing w:before="108"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支付的酬金包括正常工作酬金、附加工作酬金、合理化建议奖励金额及费用。</w:t>
      </w:r>
    </w:p>
    <w:p w14:paraId="52462CA2">
      <w:pPr>
        <w:widowControl w:val="0"/>
        <w:numPr>
          <w:ilvl w:val="1"/>
          <w:numId w:val="15"/>
        </w:numPr>
        <w:tabs>
          <w:tab w:val="left" w:pos="884"/>
        </w:tabs>
        <w:autoSpaceDE w:val="0"/>
        <w:autoSpaceDN w:val="0"/>
        <w:spacing w:before="108"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有争议部分的付款</w:t>
      </w:r>
    </w:p>
    <w:p w14:paraId="43E7387C">
      <w:pPr>
        <w:widowControl w:val="0"/>
        <w:autoSpaceDE w:val="0"/>
        <w:autoSpaceDN w:val="0"/>
        <w:spacing w:before="108" w:after="0" w:line="319" w:lineRule="auto"/>
        <w:ind w:left="117" w:right="112"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委托人对监理人提交的支付申请书有异议时，应当在收到监理人提交的支付申请书后 7 天内，以书面形式向监理人发出异议通知。无异议部分的款项应按期支付，有异议部分的款项按第 7 条约定办理。</w:t>
      </w:r>
    </w:p>
    <w:p w14:paraId="21BF19FA">
      <w:pPr>
        <w:widowControl w:val="0"/>
        <w:numPr>
          <w:ilvl w:val="0"/>
          <w:numId w:val="15"/>
        </w:numPr>
        <w:tabs>
          <w:tab w:val="left" w:pos="802"/>
        </w:tabs>
        <w:autoSpaceDE w:val="0"/>
        <w:autoSpaceDN w:val="0"/>
        <w:spacing w:before="19"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合同生效、变更、暂停、解除与终止</w:t>
      </w:r>
    </w:p>
    <w:p w14:paraId="5AA4AE95">
      <w:pPr>
        <w:widowControl w:val="0"/>
        <w:numPr>
          <w:ilvl w:val="1"/>
          <w:numId w:val="15"/>
        </w:numPr>
        <w:tabs>
          <w:tab w:val="left" w:pos="885"/>
        </w:tabs>
        <w:autoSpaceDE w:val="0"/>
        <w:autoSpaceDN w:val="0"/>
        <w:spacing w:before="122" w:after="0" w:line="240" w:lineRule="auto"/>
        <w:ind w:left="884" w:right="0" w:hanging="32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生效</w:t>
      </w:r>
    </w:p>
    <w:p w14:paraId="03A1291D">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除法律另有规定或者专用条件另有约定外，委托人和监理人的法定代表人或其授权代理人在协议书上签字并盖单位章后本合同生效。</w:t>
      </w:r>
    </w:p>
    <w:p w14:paraId="5DA44B42">
      <w:pPr>
        <w:spacing w:after="0" w:line="319" w:lineRule="auto"/>
        <w:rPr>
          <w:rFonts w:hint="eastAsia" w:ascii="宋体" w:hAnsi="宋体" w:eastAsia="宋体" w:cs="宋体"/>
          <w:sz w:val="24"/>
          <w:szCs w:val="24"/>
          <w:highlight w:val="none"/>
        </w:rPr>
        <w:sectPr>
          <w:footerReference r:id="rId13" w:type="default"/>
          <w:footerReference r:id="rId14" w:type="even"/>
          <w:pgSz w:w="11910" w:h="16840"/>
          <w:pgMar w:top="1580" w:right="1300" w:bottom="1020" w:left="1300" w:header="0" w:footer="832" w:gutter="0"/>
          <w:pgNumType w:fmt="decimal"/>
          <w:cols w:space="720" w:num="1"/>
        </w:sectPr>
      </w:pPr>
    </w:p>
    <w:p w14:paraId="5956D347">
      <w:pPr>
        <w:widowControl w:val="0"/>
        <w:numPr>
          <w:ilvl w:val="1"/>
          <w:numId w:val="15"/>
        </w:numPr>
        <w:tabs>
          <w:tab w:val="left" w:pos="885"/>
        </w:tabs>
        <w:autoSpaceDE w:val="0"/>
        <w:autoSpaceDN w:val="0"/>
        <w:spacing w:before="24" w:after="0" w:line="240" w:lineRule="auto"/>
        <w:ind w:left="884" w:right="0" w:hanging="32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变更</w:t>
      </w:r>
    </w:p>
    <w:p w14:paraId="31A6E5B8">
      <w:pPr>
        <w:widowControl w:val="0"/>
        <w:numPr>
          <w:ilvl w:val="2"/>
          <w:numId w:val="15"/>
        </w:numPr>
        <w:tabs>
          <w:tab w:val="left" w:pos="1048"/>
        </w:tabs>
        <w:autoSpaceDE w:val="0"/>
        <w:autoSpaceDN w:val="0"/>
        <w:spacing w:before="109" w:after="0" w:line="240"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任何一方提出变更请求时，双方经协商一致后可进行变更。</w:t>
      </w:r>
    </w:p>
    <w:p w14:paraId="042C7F96">
      <w:pPr>
        <w:widowControl w:val="0"/>
        <w:numPr>
          <w:ilvl w:val="2"/>
          <w:numId w:val="15"/>
        </w:numPr>
        <w:tabs>
          <w:tab w:val="left" w:pos="1049"/>
        </w:tabs>
        <w:autoSpaceDE w:val="0"/>
        <w:autoSpaceDN w:val="0"/>
        <w:spacing w:before="109" w:after="0" w:line="319" w:lineRule="auto"/>
        <w:ind w:left="117" w:right="114"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14F4409B">
      <w:pPr>
        <w:widowControl w:val="0"/>
        <w:numPr>
          <w:ilvl w:val="2"/>
          <w:numId w:val="15"/>
        </w:numPr>
        <w:tabs>
          <w:tab w:val="left" w:pos="1049"/>
        </w:tabs>
        <w:autoSpaceDE w:val="0"/>
        <w:autoSpaceDN w:val="0"/>
        <w:spacing w:before="26" w:after="0" w:line="319" w:lineRule="auto"/>
        <w:ind w:left="117" w:right="115"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合同生效后，如果实际情况发生变化使得监理人不能完成全部或部分工作时，监理人应立即通知委托人。除不可抗力外，其善后工作以及恢复服务的准备工作应为附加工作，附加</w:t>
      </w:r>
      <w:r>
        <w:rPr>
          <w:rFonts w:hint="eastAsia" w:ascii="宋体" w:hAnsi="宋体" w:eastAsia="宋体" w:cs="宋体"/>
          <w:color w:val="231F20"/>
          <w:spacing w:val="-1"/>
          <w:sz w:val="24"/>
          <w:szCs w:val="24"/>
          <w:highlight w:val="none"/>
          <w:lang w:val="en-US" w:eastAsia="en-US" w:bidi="ar-SA"/>
        </w:rPr>
        <w:t xml:space="preserve">工作酬金的确定方法在专用条件中约定。监理人用于恢复服务的准备时间不应超过 </w:t>
      </w:r>
      <w:r>
        <w:rPr>
          <w:rFonts w:hint="eastAsia" w:ascii="宋体" w:hAnsi="宋体" w:eastAsia="宋体" w:cs="宋体"/>
          <w:color w:val="231F20"/>
          <w:sz w:val="24"/>
          <w:szCs w:val="24"/>
          <w:highlight w:val="none"/>
          <w:lang w:val="en-US" w:eastAsia="en-US" w:bidi="ar-SA"/>
        </w:rPr>
        <w:t>28</w:t>
      </w:r>
      <w:r>
        <w:rPr>
          <w:rFonts w:hint="eastAsia" w:ascii="宋体" w:hAnsi="宋体" w:eastAsia="宋体" w:cs="宋体"/>
          <w:color w:val="231F20"/>
          <w:spacing w:val="-1"/>
          <w:sz w:val="24"/>
          <w:szCs w:val="24"/>
          <w:highlight w:val="none"/>
          <w:lang w:val="en-US" w:eastAsia="en-US" w:bidi="ar-SA"/>
        </w:rPr>
        <w:t xml:space="preserve"> 天。</w:t>
      </w:r>
    </w:p>
    <w:p w14:paraId="6FC36AA0">
      <w:pPr>
        <w:widowControl w:val="0"/>
        <w:numPr>
          <w:ilvl w:val="2"/>
          <w:numId w:val="15"/>
        </w:numPr>
        <w:tabs>
          <w:tab w:val="left" w:pos="1049"/>
        </w:tabs>
        <w:autoSpaceDE w:val="0"/>
        <w:autoSpaceDN w:val="0"/>
        <w:spacing w:before="26" w:after="0" w:line="319" w:lineRule="auto"/>
        <w:ind w:left="117" w:right="115"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合同签订后，遇有与工程相关的法律法规、标准颁布或修订的，双方应遵照执行。由此引起监理与相关服务的范围、时间、酬金变化的，双方应通过协商进行相应调整。</w:t>
      </w:r>
    </w:p>
    <w:p w14:paraId="0288AEE6">
      <w:pPr>
        <w:widowControl w:val="0"/>
        <w:numPr>
          <w:ilvl w:val="2"/>
          <w:numId w:val="15"/>
        </w:numPr>
        <w:tabs>
          <w:tab w:val="left" w:pos="1049"/>
        </w:tabs>
        <w:autoSpaceDE w:val="0"/>
        <w:autoSpaceDN w:val="0"/>
        <w:spacing w:before="26" w:after="0" w:line="319" w:lineRule="auto"/>
        <w:ind w:left="117" w:right="115"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因非监理人原因造成工程概算投资额或建筑安装工程费增加时，正常工作酬金应作相应调整。调整方法在专用条件中约定。</w:t>
      </w:r>
    </w:p>
    <w:p w14:paraId="7792E370">
      <w:pPr>
        <w:widowControl w:val="0"/>
        <w:numPr>
          <w:ilvl w:val="2"/>
          <w:numId w:val="15"/>
        </w:numPr>
        <w:tabs>
          <w:tab w:val="left" w:pos="1049"/>
        </w:tabs>
        <w:autoSpaceDE w:val="0"/>
        <w:autoSpaceDN w:val="0"/>
        <w:spacing w:before="26" w:after="0" w:line="319" w:lineRule="auto"/>
        <w:ind w:left="117" w:right="115"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因工程规模、监理范围的变化导致监理人的正常工作量减少时，正常工作酬金应作相应调整。调整方法在专用条件中约定。</w:t>
      </w:r>
    </w:p>
    <w:p w14:paraId="753092A1">
      <w:pPr>
        <w:widowControl w:val="0"/>
        <w:numPr>
          <w:ilvl w:val="1"/>
          <w:numId w:val="15"/>
        </w:numPr>
        <w:tabs>
          <w:tab w:val="left" w:pos="993"/>
        </w:tabs>
        <w:autoSpaceDE w:val="0"/>
        <w:autoSpaceDN w:val="0"/>
        <w:spacing w:before="26" w:after="0" w:line="240" w:lineRule="auto"/>
        <w:ind w:left="992" w:right="0" w:hanging="32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暂停与解除</w:t>
      </w:r>
    </w:p>
    <w:p w14:paraId="58A59892">
      <w:pPr>
        <w:widowControl w:val="0"/>
        <w:autoSpaceDE w:val="0"/>
        <w:autoSpaceDN w:val="0"/>
        <w:spacing w:before="109" w:after="0" w:line="319" w:lineRule="auto"/>
        <w:ind w:left="117" w:right="117"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除双方协商一致可以解除本合同外，当一方无正当理由未履行本合同约定的义务时，另一方可以根据本合同约定暂停履行本合同直至解除本合同。</w:t>
      </w:r>
    </w:p>
    <w:p w14:paraId="57250B31">
      <w:pPr>
        <w:widowControl w:val="0"/>
        <w:numPr>
          <w:ilvl w:val="2"/>
          <w:numId w:val="15"/>
        </w:numPr>
        <w:tabs>
          <w:tab w:val="left" w:pos="1049"/>
        </w:tabs>
        <w:autoSpaceDE w:val="0"/>
        <w:autoSpaceDN w:val="0"/>
        <w:spacing w:before="25" w:after="0" w:line="319" w:lineRule="auto"/>
        <w:ind w:left="117" w:right="115"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2664CF7">
      <w:pPr>
        <w:widowControl w:val="0"/>
        <w:autoSpaceDE w:val="0"/>
        <w:autoSpaceDN w:val="0"/>
        <w:spacing w:before="25" w:after="0" w:line="319" w:lineRule="auto"/>
        <w:ind w:left="117" w:right="116"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因解除本合同或解除监理人的部分义务导致监理人遭受的损失，除依法可以免除责任的情况外，应由委托人予以补偿，补偿金额由双方协商确定。</w:t>
      </w:r>
    </w:p>
    <w:p w14:paraId="64BD8600">
      <w:pPr>
        <w:widowControl w:val="0"/>
        <w:autoSpaceDE w:val="0"/>
        <w:autoSpaceDN w:val="0"/>
        <w:spacing w:before="25"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解除本合同的协议必须采取书面形式，协议未达成之前，本合同仍然有效。</w:t>
      </w:r>
    </w:p>
    <w:p w14:paraId="58E773B0">
      <w:pPr>
        <w:widowControl w:val="0"/>
        <w:numPr>
          <w:ilvl w:val="2"/>
          <w:numId w:val="15"/>
        </w:numPr>
        <w:tabs>
          <w:tab w:val="left" w:pos="1049"/>
        </w:tabs>
        <w:autoSpaceDE w:val="0"/>
        <w:autoSpaceDN w:val="0"/>
        <w:spacing w:before="109" w:after="0" w:line="319" w:lineRule="auto"/>
        <w:ind w:left="117" w:right="115"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06FCAED0">
      <w:pPr>
        <w:widowControl w:val="0"/>
        <w:autoSpaceDE w:val="0"/>
        <w:autoSpaceDN w:val="0"/>
        <w:spacing w:before="26"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暂停部分监理与相关服务时间超过 182 天，监理人可发出解除本合同约定的该部分</w:t>
      </w:r>
    </w:p>
    <w:p w14:paraId="206B3CE1">
      <w:pPr>
        <w:widowControl w:val="0"/>
        <w:autoSpaceDE w:val="0"/>
        <w:autoSpaceDN w:val="0"/>
        <w:spacing w:before="26" w:after="0" w:line="240" w:lineRule="auto"/>
        <w:ind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义务的通知；暂停全部工作时间超过 182 天，监理人可发出解除本合同的通知，本合同自通知到达委托人时解除。委托人应将监理与相关服务的酬金支付至本合同解除日，且应承担第 4.2 款约定的责任。</w:t>
      </w:r>
    </w:p>
    <w:p w14:paraId="5BAE9A47">
      <w:pPr>
        <w:widowControl w:val="0"/>
        <w:autoSpaceDE w:val="0"/>
        <w:autoSpaceDN w:val="0"/>
        <w:spacing w:before="24" w:after="0" w:line="319" w:lineRule="auto"/>
        <w:ind w:right="211"/>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14:paraId="76C8E489">
      <w:pPr>
        <w:widowControl w:val="0"/>
        <w:numPr>
          <w:ilvl w:val="2"/>
          <w:numId w:val="15"/>
        </w:numPr>
        <w:tabs>
          <w:tab w:val="left" w:pos="1070"/>
        </w:tabs>
        <w:autoSpaceDE w:val="0"/>
        <w:autoSpaceDN w:val="0"/>
        <w:spacing w:before="26" w:after="0" w:line="319" w:lineRule="auto"/>
        <w:ind w:left="117" w:right="107" w:firstLine="440"/>
        <w:jc w:val="left"/>
        <w:rPr>
          <w:rFonts w:hint="eastAsia" w:ascii="宋体" w:hAnsi="宋体" w:eastAsia="宋体" w:cs="宋体"/>
          <w:color w:val="231F20"/>
          <w:sz w:val="24"/>
          <w:szCs w:val="20"/>
          <w:highlight w:val="none"/>
        </w:rPr>
      </w:pPr>
      <w:r>
        <w:rPr>
          <w:rFonts w:hint="eastAsia" w:ascii="宋体" w:hAnsi="宋体" w:eastAsia="宋体" w:cs="宋体"/>
          <w:color w:val="231F20"/>
          <w:sz w:val="24"/>
          <w:szCs w:val="20"/>
          <w:highlight w:val="none"/>
        </w:rPr>
        <w:t>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14:paraId="7625E8AD">
      <w:pPr>
        <w:widowControl w:val="0"/>
        <w:numPr>
          <w:ilvl w:val="2"/>
          <w:numId w:val="15"/>
        </w:numPr>
        <w:tabs>
          <w:tab w:val="left" w:pos="1070"/>
        </w:tabs>
        <w:autoSpaceDE w:val="0"/>
        <w:autoSpaceDN w:val="0"/>
        <w:spacing w:before="26" w:after="0" w:line="319" w:lineRule="auto"/>
        <w:ind w:left="117" w:right="107"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0"/>
          <w:highlight w:val="none"/>
        </w:rPr>
        <w:t>委托人</w:t>
      </w:r>
      <w:r>
        <w:rPr>
          <w:rFonts w:hint="eastAsia" w:ascii="宋体" w:hAnsi="宋体" w:eastAsia="宋体" w:cs="宋体"/>
          <w:color w:val="231F20"/>
          <w:spacing w:val="1"/>
          <w:sz w:val="24"/>
          <w:szCs w:val="24"/>
          <w:highlight w:val="none"/>
          <w:lang w:val="en-US" w:eastAsia="en-US" w:bidi="ar-SA"/>
        </w:rPr>
        <w:t xml:space="preserve">监理人在专用条件 </w:t>
      </w:r>
      <w:r>
        <w:rPr>
          <w:rFonts w:hint="eastAsia" w:ascii="宋体" w:hAnsi="宋体" w:eastAsia="宋体" w:cs="宋体"/>
          <w:color w:val="231F20"/>
          <w:sz w:val="24"/>
          <w:szCs w:val="24"/>
          <w:highlight w:val="none"/>
          <w:lang w:val="en-US" w:eastAsia="en-US" w:bidi="ar-SA"/>
        </w:rPr>
        <w:t>5.3</w:t>
      </w:r>
      <w:r>
        <w:rPr>
          <w:rFonts w:hint="eastAsia" w:ascii="宋体" w:hAnsi="宋体" w:eastAsia="宋体" w:cs="宋体"/>
          <w:color w:val="231F20"/>
          <w:spacing w:val="1"/>
          <w:sz w:val="24"/>
          <w:szCs w:val="24"/>
          <w:highlight w:val="none"/>
          <w:lang w:val="en-US" w:eastAsia="en-US" w:bidi="ar-SA"/>
        </w:rPr>
        <w:t xml:space="preserve"> 中约定的支付之日起 </w:t>
      </w:r>
      <w:r>
        <w:rPr>
          <w:rFonts w:hint="eastAsia" w:ascii="宋体" w:hAnsi="宋体" w:eastAsia="宋体" w:cs="宋体"/>
          <w:color w:val="231F20"/>
          <w:sz w:val="24"/>
          <w:szCs w:val="24"/>
          <w:highlight w:val="none"/>
          <w:lang w:val="en-US" w:eastAsia="en-US" w:bidi="ar-SA"/>
        </w:rPr>
        <w:t>28</w:t>
      </w:r>
      <w:r>
        <w:rPr>
          <w:rFonts w:hint="eastAsia" w:ascii="宋体" w:hAnsi="宋体" w:eastAsia="宋体" w:cs="宋体"/>
          <w:color w:val="231F20"/>
          <w:spacing w:val="2"/>
          <w:sz w:val="24"/>
          <w:szCs w:val="24"/>
          <w:highlight w:val="none"/>
          <w:lang w:val="en-US" w:eastAsia="en-US" w:bidi="ar-SA"/>
        </w:rPr>
        <w:t xml:space="preserve"> 天后仍未收到委托人按本合同约定应</w:t>
      </w:r>
      <w:r>
        <w:rPr>
          <w:rFonts w:hint="eastAsia" w:ascii="宋体" w:hAnsi="宋体" w:eastAsia="宋体" w:cs="宋体"/>
          <w:color w:val="231F20"/>
          <w:sz w:val="24"/>
          <w:szCs w:val="24"/>
          <w:highlight w:val="none"/>
          <w:lang w:val="en-US" w:eastAsia="en-US" w:bidi="ar-SA"/>
        </w:rPr>
        <w:t>付的款项，可向委托人发出催付通知。委托人接到通知 14</w:t>
      </w:r>
      <w:r>
        <w:rPr>
          <w:rFonts w:hint="eastAsia" w:ascii="宋体" w:hAnsi="宋体" w:eastAsia="宋体" w:cs="宋体"/>
          <w:color w:val="231F20"/>
          <w:spacing w:val="2"/>
          <w:sz w:val="24"/>
          <w:szCs w:val="24"/>
          <w:highlight w:val="none"/>
          <w:lang w:val="en-US" w:eastAsia="en-US" w:bidi="ar-SA"/>
        </w:rPr>
        <w:t xml:space="preserve"> 天后仍未支付或未提出监理人可以</w:t>
      </w:r>
      <w:r>
        <w:rPr>
          <w:rFonts w:hint="eastAsia" w:ascii="宋体" w:hAnsi="宋体" w:eastAsia="宋体" w:cs="宋体"/>
          <w:color w:val="231F20"/>
          <w:sz w:val="24"/>
          <w:szCs w:val="24"/>
          <w:highlight w:val="none"/>
          <w:lang w:val="en-US" w:eastAsia="en-US" w:bidi="ar-SA"/>
        </w:rPr>
        <w:t>接受的延期支付安排，监理人可向委托人发出暂停工作的通知并可自行暂停全部或部分工作。</w:t>
      </w:r>
      <w:r>
        <w:rPr>
          <w:rFonts w:hint="eastAsia" w:ascii="宋体" w:hAnsi="宋体" w:eastAsia="宋体" w:cs="宋体"/>
          <w:color w:val="231F20"/>
          <w:spacing w:val="2"/>
          <w:sz w:val="24"/>
          <w:szCs w:val="24"/>
          <w:highlight w:val="none"/>
          <w:lang w:val="en-US" w:eastAsia="en-US" w:bidi="ar-SA"/>
        </w:rPr>
        <w:t xml:space="preserve">暂停工作后 </w:t>
      </w:r>
      <w:r>
        <w:rPr>
          <w:rFonts w:hint="eastAsia" w:ascii="宋体" w:hAnsi="宋体" w:eastAsia="宋体" w:cs="宋体"/>
          <w:color w:val="231F20"/>
          <w:sz w:val="24"/>
          <w:szCs w:val="24"/>
          <w:highlight w:val="none"/>
          <w:lang w:val="en-US" w:eastAsia="en-US" w:bidi="ar-SA"/>
        </w:rPr>
        <w:t>14</w:t>
      </w:r>
      <w:r>
        <w:rPr>
          <w:rFonts w:hint="eastAsia" w:ascii="宋体" w:hAnsi="宋体" w:eastAsia="宋体" w:cs="宋体"/>
          <w:color w:val="231F20"/>
          <w:spacing w:val="1"/>
          <w:sz w:val="24"/>
          <w:szCs w:val="24"/>
          <w:highlight w:val="none"/>
          <w:lang w:val="en-US" w:eastAsia="en-US" w:bidi="ar-SA"/>
        </w:rPr>
        <w:t xml:space="preserve"> 天内监理人仍未获得委托人应付酬金或委托人的合理答复，监理人可向委托人</w:t>
      </w:r>
      <w:r>
        <w:rPr>
          <w:rFonts w:hint="eastAsia" w:ascii="宋体" w:hAnsi="宋体" w:eastAsia="宋体" w:cs="宋体"/>
          <w:color w:val="231F20"/>
          <w:sz w:val="24"/>
          <w:szCs w:val="24"/>
          <w:highlight w:val="none"/>
          <w:lang w:val="en-US" w:eastAsia="en-US" w:bidi="ar-SA"/>
        </w:rPr>
        <w:t>发出解除本合同的通知，自通知到达委托人时本合同解除。委托人应承担第 4.2.3</w:t>
      </w:r>
      <w:r>
        <w:rPr>
          <w:rFonts w:hint="eastAsia" w:ascii="宋体" w:hAnsi="宋体" w:eastAsia="宋体" w:cs="宋体"/>
          <w:color w:val="231F20"/>
          <w:spacing w:val="2"/>
          <w:sz w:val="24"/>
          <w:szCs w:val="24"/>
          <w:highlight w:val="none"/>
          <w:lang w:val="en-US" w:eastAsia="en-US" w:bidi="ar-SA"/>
        </w:rPr>
        <w:t xml:space="preserve"> 款约定的责</w:t>
      </w:r>
      <w:r>
        <w:rPr>
          <w:rFonts w:hint="eastAsia" w:ascii="宋体" w:hAnsi="宋体" w:eastAsia="宋体" w:cs="宋体"/>
          <w:color w:val="231F20"/>
          <w:sz w:val="24"/>
          <w:szCs w:val="24"/>
          <w:highlight w:val="none"/>
          <w:lang w:val="en-US" w:eastAsia="en-US" w:bidi="ar-SA"/>
        </w:rPr>
        <w:t>任。</w:t>
      </w:r>
    </w:p>
    <w:p w14:paraId="69425995">
      <w:pPr>
        <w:widowControl w:val="0"/>
        <w:numPr>
          <w:ilvl w:val="2"/>
          <w:numId w:val="15"/>
        </w:numPr>
        <w:tabs>
          <w:tab w:val="left" w:pos="1049"/>
        </w:tabs>
        <w:autoSpaceDE w:val="0"/>
        <w:autoSpaceDN w:val="0"/>
        <w:spacing w:before="26" w:after="0" w:line="319" w:lineRule="auto"/>
        <w:ind w:left="117" w:right="2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因不可抗力致使本合同部分或全部不能履行时，一方应立即通知另一方，可暂停或解除本合同。</w:t>
      </w:r>
    </w:p>
    <w:p w14:paraId="26C85771">
      <w:pPr>
        <w:widowControl w:val="0"/>
        <w:numPr>
          <w:ilvl w:val="2"/>
          <w:numId w:val="15"/>
        </w:numPr>
        <w:tabs>
          <w:tab w:val="left" w:pos="1048"/>
        </w:tabs>
        <w:autoSpaceDE w:val="0"/>
        <w:autoSpaceDN w:val="0"/>
        <w:spacing w:before="26"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本合同解除后，本合同约定的有关结算、清理、争议解决方式的条件仍然有效。</w:t>
      </w:r>
    </w:p>
    <w:p w14:paraId="3702737D">
      <w:pPr>
        <w:widowControl w:val="0"/>
        <w:numPr>
          <w:ilvl w:val="1"/>
          <w:numId w:val="15"/>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终止</w:t>
      </w:r>
    </w:p>
    <w:p w14:paraId="19457BC1">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以下条件全部满足时，本合同即告终止：</w:t>
      </w:r>
    </w:p>
    <w:p w14:paraId="2581AC20">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1）监理人完成本合同约定的全部工作；</w:t>
      </w:r>
    </w:p>
    <w:p w14:paraId="1DA75730">
      <w:pPr>
        <w:widowControl w:val="0"/>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2）委托人与监理人结清并支付全部酬金。</w:t>
      </w:r>
    </w:p>
    <w:p w14:paraId="6C0EF7E9">
      <w:pPr>
        <w:widowControl w:val="0"/>
        <w:numPr>
          <w:ilvl w:val="0"/>
          <w:numId w:val="15"/>
        </w:numPr>
        <w:tabs>
          <w:tab w:val="left" w:pos="802"/>
        </w:tabs>
        <w:autoSpaceDE w:val="0"/>
        <w:autoSpaceDN w:val="0"/>
        <w:spacing w:before="103"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争议解决</w:t>
      </w:r>
    </w:p>
    <w:p w14:paraId="7F8C6FD3">
      <w:pPr>
        <w:widowControl w:val="0"/>
        <w:numPr>
          <w:ilvl w:val="1"/>
          <w:numId w:val="15"/>
        </w:numPr>
        <w:tabs>
          <w:tab w:val="left" w:pos="885"/>
        </w:tabs>
        <w:autoSpaceDE w:val="0"/>
        <w:autoSpaceDN w:val="0"/>
        <w:spacing w:before="122" w:after="0" w:line="240" w:lineRule="auto"/>
        <w:ind w:left="884" w:right="0" w:hanging="32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协商</w:t>
      </w:r>
    </w:p>
    <w:p w14:paraId="49E5D4FE">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双方应本着诚信原则协商解决彼此间的争议。</w:t>
      </w:r>
    </w:p>
    <w:p w14:paraId="0BA3A8D2">
      <w:pPr>
        <w:widowControl w:val="0"/>
        <w:numPr>
          <w:ilvl w:val="1"/>
          <w:numId w:val="15"/>
        </w:numPr>
        <w:tabs>
          <w:tab w:val="left" w:pos="885"/>
        </w:tabs>
        <w:autoSpaceDE w:val="0"/>
        <w:autoSpaceDN w:val="0"/>
        <w:spacing w:before="109" w:after="0" w:line="240" w:lineRule="auto"/>
        <w:ind w:left="884" w:right="0" w:hanging="32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调解</w:t>
      </w:r>
    </w:p>
    <w:p w14:paraId="1FF49339">
      <w:pPr>
        <w:widowControl w:val="0"/>
        <w:autoSpaceDE w:val="0"/>
        <w:autoSpaceDN w:val="0"/>
        <w:spacing w:before="109" w:after="0" w:line="319" w:lineRule="auto"/>
        <w:ind w:left="117" w:right="203"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如果双方不能在 14 天内或双方商定的其他时间内解决本合同争议，可以将其提交给专用条件约定的或事后达成协议的调解人进行调解。</w:t>
      </w:r>
    </w:p>
    <w:p w14:paraId="336D9CE8">
      <w:pPr>
        <w:widowControl w:val="0"/>
        <w:numPr>
          <w:ilvl w:val="1"/>
          <w:numId w:val="15"/>
        </w:numPr>
        <w:tabs>
          <w:tab w:val="left" w:pos="885"/>
        </w:tabs>
        <w:autoSpaceDE w:val="0"/>
        <w:autoSpaceDN w:val="0"/>
        <w:spacing w:before="25" w:after="0" w:line="240" w:lineRule="auto"/>
        <w:ind w:left="884" w:right="0" w:hanging="327"/>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仲裁或诉讼</w:t>
      </w:r>
    </w:p>
    <w:p w14:paraId="239B385E">
      <w:pPr>
        <w:widowControl w:val="0"/>
        <w:autoSpaceDE w:val="0"/>
        <w:autoSpaceDN w:val="0"/>
        <w:spacing w:before="109" w:after="0" w:line="319" w:lineRule="auto"/>
        <w:ind w:left="117" w:right="203"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双方均有权不经调解直接向专用条件约定的仲裁机构申请仲裁或向有管辖权的人民法院提起诉讼。</w:t>
      </w:r>
    </w:p>
    <w:p w14:paraId="206248A9">
      <w:pPr>
        <w:widowControl w:val="0"/>
        <w:numPr>
          <w:ilvl w:val="0"/>
          <w:numId w:val="15"/>
        </w:numPr>
        <w:tabs>
          <w:tab w:val="left" w:pos="802"/>
        </w:tabs>
        <w:autoSpaceDE w:val="0"/>
        <w:autoSpaceDN w:val="0"/>
        <w:spacing w:before="20"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其他</w:t>
      </w:r>
    </w:p>
    <w:p w14:paraId="0B3AED1C">
      <w:pPr>
        <w:widowControl w:val="0"/>
        <w:numPr>
          <w:ilvl w:val="1"/>
          <w:numId w:val="15"/>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外出考察费用</w:t>
      </w:r>
    </w:p>
    <w:p w14:paraId="7876C402">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经委托人同意，监理人员外出考察发生的费用由委托人审核后支付。</w:t>
      </w:r>
    </w:p>
    <w:p w14:paraId="0E3D5CC3">
      <w:pPr>
        <w:widowControl w:val="0"/>
        <w:numPr>
          <w:ilvl w:val="1"/>
          <w:numId w:val="15"/>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检测费用</w:t>
      </w:r>
    </w:p>
    <w:p w14:paraId="61D36D70">
      <w:pPr>
        <w:widowControl w:val="0"/>
        <w:numPr>
          <w:ilvl w:val="1"/>
          <w:numId w:val="15"/>
        </w:numPr>
        <w:tabs>
          <w:tab w:val="left" w:pos="884"/>
        </w:tabs>
        <w:autoSpaceDE w:val="0"/>
        <w:autoSpaceDN w:val="0"/>
        <w:spacing w:before="24"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委托人要求监理人进行的材料和设备检测所发生的费用，由委托人支付，支付时间在专用条件中约定。咨询费用</w:t>
      </w:r>
    </w:p>
    <w:p w14:paraId="1605B78C">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经委托人同意，根据工程需要由监理人组织的相关咨询论证会以及聘请相关专家等发生的费用由委托人支付，支付时间在专用条件中约定。</w:t>
      </w:r>
    </w:p>
    <w:p w14:paraId="6C8EAB94">
      <w:pPr>
        <w:widowControl w:val="0"/>
        <w:numPr>
          <w:ilvl w:val="1"/>
          <w:numId w:val="15"/>
        </w:numPr>
        <w:tabs>
          <w:tab w:val="left" w:pos="884"/>
        </w:tabs>
        <w:autoSpaceDE w:val="0"/>
        <w:autoSpaceDN w:val="0"/>
        <w:spacing w:before="25"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奖励</w:t>
      </w:r>
    </w:p>
    <w:p w14:paraId="4D1402A3">
      <w:pPr>
        <w:widowControl w:val="0"/>
        <w:autoSpaceDE w:val="0"/>
        <w:autoSpaceDN w:val="0"/>
        <w:spacing w:before="108" w:after="0" w:line="319" w:lineRule="auto"/>
        <w:ind w:left="117" w:right="114" w:firstLine="440"/>
        <w:jc w:val="both"/>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监理人在服务过程中提出的合理化建议，使委托人获得经济效益的，双方在专用条件中约定奖励金额的确定方法。奖励金额在合理化建议被采纳后，与最近一期的正常工作酬金同期支付。</w:t>
      </w:r>
    </w:p>
    <w:p w14:paraId="651543EF">
      <w:pPr>
        <w:widowControl w:val="0"/>
        <w:numPr>
          <w:ilvl w:val="1"/>
          <w:numId w:val="15"/>
        </w:numPr>
        <w:tabs>
          <w:tab w:val="left" w:pos="884"/>
        </w:tabs>
        <w:autoSpaceDE w:val="0"/>
        <w:autoSpaceDN w:val="0"/>
        <w:spacing w:before="25"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守法诚信</w:t>
      </w:r>
    </w:p>
    <w:p w14:paraId="445CF955">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监理人及其工作人员不得</w:t>
      </w:r>
      <w:r>
        <w:rPr>
          <w:rFonts w:hint="eastAsia" w:ascii="宋体" w:hAnsi="宋体" w:eastAsia="宋体" w:cs="宋体"/>
          <w:color w:val="231F20"/>
          <w:sz w:val="24"/>
          <w:szCs w:val="24"/>
          <w:highlight w:val="none"/>
          <w:lang w:val="en-US" w:eastAsia="zh-CN" w:bidi="ar-SA"/>
        </w:rPr>
        <w:t>从事</w:t>
      </w:r>
      <w:r>
        <w:rPr>
          <w:rFonts w:hint="eastAsia" w:ascii="宋体" w:hAnsi="宋体" w:eastAsia="宋体" w:cs="宋体"/>
          <w:color w:val="231F20"/>
          <w:sz w:val="24"/>
          <w:szCs w:val="24"/>
          <w:highlight w:val="none"/>
          <w:lang w:val="en-US" w:eastAsia="en-US" w:bidi="ar-SA"/>
        </w:rPr>
        <w:t>与实施工程有关的第三方处获得任何经济利益。</w:t>
      </w:r>
    </w:p>
    <w:p w14:paraId="37CE4B63">
      <w:pPr>
        <w:widowControl w:val="0"/>
        <w:numPr>
          <w:ilvl w:val="1"/>
          <w:numId w:val="15"/>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保密</w:t>
      </w:r>
    </w:p>
    <w:p w14:paraId="18D06040">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双方不得泄露对方申明的保密资料，亦不得泄露与实施工程有关的第三方所提供的保密资料，保密事项在专用条件中约定。</w:t>
      </w:r>
    </w:p>
    <w:p w14:paraId="2AAD6DCC">
      <w:pPr>
        <w:widowControl w:val="0"/>
        <w:numPr>
          <w:ilvl w:val="1"/>
          <w:numId w:val="15"/>
        </w:numPr>
        <w:tabs>
          <w:tab w:val="left" w:pos="884"/>
        </w:tabs>
        <w:autoSpaceDE w:val="0"/>
        <w:autoSpaceDN w:val="0"/>
        <w:spacing w:before="26"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通知</w:t>
      </w:r>
    </w:p>
    <w:p w14:paraId="546D51D5">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本合同涉及的通知均应当采用书面形式，并在送达对方时生效，收件人应书面签收。</w:t>
      </w:r>
    </w:p>
    <w:p w14:paraId="6BEB2F44">
      <w:pPr>
        <w:widowControl w:val="0"/>
        <w:numPr>
          <w:ilvl w:val="1"/>
          <w:numId w:val="15"/>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著作权</w:t>
      </w:r>
    </w:p>
    <w:p w14:paraId="529C9A13">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监理人对其编制的文件拥有著作权。</w:t>
      </w:r>
    </w:p>
    <w:p w14:paraId="0D429BD5">
      <w:pPr>
        <w:widowControl w:val="0"/>
        <w:autoSpaceDE w:val="0"/>
        <w:autoSpaceDN w:val="0"/>
        <w:spacing w:before="109" w:after="0" w:line="319" w:lineRule="auto"/>
        <w:ind w:left="117" w:right="112" w:firstLine="440"/>
        <w:jc w:val="both"/>
        <w:rPr>
          <w:rFonts w:hint="eastAsia" w:ascii="宋体" w:hAnsi="宋体" w:eastAsia="宋体" w:cs="宋体"/>
          <w:sz w:val="24"/>
          <w:szCs w:val="24"/>
          <w:highlight w:val="none"/>
        </w:rPr>
        <w:sectPr>
          <w:footerReference r:id="rId15" w:type="default"/>
          <w:pgSz w:w="11910" w:h="16840"/>
          <w:pgMar w:top="1580" w:right="1300" w:bottom="1020" w:left="1300" w:header="0" w:footer="832" w:gutter="0"/>
          <w:pgNumType w:fmt="decimal"/>
          <w:cols w:space="720" w:num="1"/>
        </w:sectPr>
      </w:pPr>
      <w:r>
        <w:rPr>
          <w:rFonts w:hint="eastAsia" w:ascii="宋体" w:hAnsi="宋体" w:eastAsia="宋体" w:cs="宋体"/>
          <w:color w:val="231F20"/>
          <w:sz w:val="24"/>
          <w:szCs w:val="24"/>
          <w:highlight w:val="none"/>
          <w:lang w:val="en-US" w:eastAsia="en-US" w:bidi="ar-SA"/>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23D2349A">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46649B5C">
      <w:pPr>
        <w:widowControl w:val="0"/>
        <w:tabs>
          <w:tab w:val="left" w:pos="1399"/>
        </w:tabs>
        <w:autoSpaceDE w:val="0"/>
        <w:autoSpaceDN w:val="0"/>
        <w:spacing w:before="174" w:after="0" w:line="240" w:lineRule="auto"/>
        <w:ind w:left="0" w:right="98"/>
        <w:jc w:val="center"/>
        <w:outlineLvl w:val="9"/>
        <w:rPr>
          <w:rFonts w:hint="eastAsia" w:ascii="宋体" w:hAnsi="宋体" w:eastAsia="宋体" w:cs="宋体"/>
          <w:b/>
          <w:bCs/>
          <w:sz w:val="28"/>
          <w:szCs w:val="28"/>
          <w:highlight w:val="none"/>
          <w:lang w:val="en-US" w:eastAsia="en-US" w:bidi="ar-SA"/>
        </w:rPr>
      </w:pPr>
      <w:r>
        <w:rPr>
          <w:rFonts w:hint="eastAsia" w:ascii="宋体" w:hAnsi="宋体" w:eastAsia="宋体" w:cs="宋体"/>
          <w:b/>
          <w:bCs/>
          <w:color w:val="231F20"/>
          <w:sz w:val="28"/>
          <w:szCs w:val="28"/>
          <w:highlight w:val="none"/>
          <w:lang w:val="en-US" w:eastAsia="en-US" w:bidi="ar-SA"/>
        </w:rPr>
        <w:t>第三部分</w:t>
      </w:r>
      <w:r>
        <w:rPr>
          <w:rFonts w:hint="eastAsia" w:ascii="宋体" w:hAnsi="宋体" w:eastAsia="宋体" w:cs="宋体"/>
          <w:b/>
          <w:bCs/>
          <w:color w:val="231F20"/>
          <w:sz w:val="28"/>
          <w:szCs w:val="28"/>
          <w:highlight w:val="none"/>
          <w:lang w:val="en-US" w:eastAsia="en-US" w:bidi="ar-SA"/>
        </w:rPr>
        <w:tab/>
      </w:r>
      <w:r>
        <w:rPr>
          <w:rFonts w:hint="eastAsia" w:ascii="宋体" w:hAnsi="宋体" w:eastAsia="宋体" w:cs="宋体"/>
          <w:b/>
          <w:bCs/>
          <w:color w:val="231F20"/>
          <w:sz w:val="28"/>
          <w:szCs w:val="28"/>
          <w:highlight w:val="none"/>
          <w:lang w:val="en-US" w:eastAsia="en-US" w:bidi="ar-SA"/>
        </w:rPr>
        <w:t>专用条件</w:t>
      </w:r>
    </w:p>
    <w:p w14:paraId="26C3FD3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40C2A806">
      <w:pPr>
        <w:widowControl w:val="0"/>
        <w:autoSpaceDE w:val="0"/>
        <w:autoSpaceDN w:val="0"/>
        <w:spacing w:before="6" w:after="0" w:line="240" w:lineRule="auto"/>
        <w:ind w:left="0" w:right="0"/>
        <w:jc w:val="left"/>
        <w:rPr>
          <w:rFonts w:hint="eastAsia" w:ascii="宋体" w:hAnsi="宋体" w:eastAsia="宋体" w:cs="宋体"/>
          <w:sz w:val="24"/>
          <w:szCs w:val="24"/>
          <w:highlight w:val="none"/>
          <w:lang w:val="en-US" w:eastAsia="en-US" w:bidi="ar-SA"/>
        </w:rPr>
      </w:pPr>
    </w:p>
    <w:p w14:paraId="54FBB0F4">
      <w:pPr>
        <w:widowControl w:val="0"/>
        <w:numPr>
          <w:ilvl w:val="0"/>
          <w:numId w:val="17"/>
        </w:numPr>
        <w:tabs>
          <w:tab w:val="left" w:pos="802"/>
        </w:tabs>
        <w:autoSpaceDE w:val="0"/>
        <w:autoSpaceDN w:val="0"/>
        <w:spacing w:before="1"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定义与解释</w:t>
      </w:r>
    </w:p>
    <w:p w14:paraId="567819D0">
      <w:pPr>
        <w:widowControl w:val="0"/>
        <w:numPr>
          <w:ilvl w:val="1"/>
          <w:numId w:val="18"/>
        </w:numPr>
        <w:tabs>
          <w:tab w:val="left" w:pos="938"/>
        </w:tabs>
        <w:autoSpaceDE w:val="0"/>
        <w:autoSpaceDN w:val="0"/>
        <w:spacing w:before="122" w:after="0" w:line="240" w:lineRule="auto"/>
        <w:ind w:left="937" w:right="0" w:hanging="38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解释</w:t>
      </w:r>
    </w:p>
    <w:p w14:paraId="1088C1DE">
      <w:pPr>
        <w:widowControl w:val="0"/>
        <w:numPr>
          <w:ilvl w:val="2"/>
          <w:numId w:val="18"/>
        </w:numPr>
        <w:tabs>
          <w:tab w:val="left" w:pos="1048"/>
          <w:tab w:val="left" w:pos="907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本合同文件除使用中文外，还可用</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 xml:space="preserve">         </w:t>
      </w:r>
      <w:r>
        <w:rPr>
          <w:rFonts w:hint="eastAsia" w:ascii="宋体" w:hAnsi="宋体" w:eastAsia="宋体" w:cs="宋体"/>
          <w:b/>
          <w:bCs/>
          <w:color w:val="231F20"/>
          <w:sz w:val="24"/>
          <w:szCs w:val="24"/>
          <w:highlight w:val="none"/>
          <w:u w:val="single" w:color="231F20"/>
          <w:lang w:val="en-US" w:eastAsia="zh-CN"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739067C5">
      <w:pPr>
        <w:widowControl w:val="0"/>
        <w:numPr>
          <w:ilvl w:val="2"/>
          <w:numId w:val="18"/>
        </w:numPr>
        <w:tabs>
          <w:tab w:val="left" w:pos="1048"/>
          <w:tab w:val="left" w:pos="907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约定本合同文件的解释顺序为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2FDD4CAA">
      <w:pPr>
        <w:widowControl w:val="0"/>
        <w:numPr>
          <w:ilvl w:val="0"/>
          <w:numId w:val="17"/>
        </w:numPr>
        <w:tabs>
          <w:tab w:val="left" w:pos="802"/>
        </w:tabs>
        <w:autoSpaceDE w:val="0"/>
        <w:autoSpaceDN w:val="0"/>
        <w:spacing w:before="103"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w:t>
      </w:r>
      <w:r>
        <w:rPr>
          <w:rFonts w:hint="eastAsia" w:ascii="宋体" w:hAnsi="宋体" w:eastAsia="宋体" w:cs="宋体"/>
          <w:color w:val="231F20"/>
          <w:sz w:val="24"/>
          <w:szCs w:val="24"/>
          <w:highlight w:val="none"/>
          <w:lang w:val="en-US" w:eastAsia="zh-CN" w:bidi="ar-SA"/>
        </w:rPr>
        <w:t>的权利与</w:t>
      </w:r>
      <w:r>
        <w:rPr>
          <w:rFonts w:hint="eastAsia" w:ascii="宋体" w:hAnsi="宋体" w:eastAsia="宋体" w:cs="宋体"/>
          <w:color w:val="231F20"/>
          <w:sz w:val="24"/>
          <w:szCs w:val="24"/>
          <w:highlight w:val="none"/>
          <w:lang w:val="en-US" w:eastAsia="en-US" w:bidi="ar-SA"/>
        </w:rPr>
        <w:t>义务</w:t>
      </w:r>
    </w:p>
    <w:p w14:paraId="0E360489">
      <w:pPr>
        <w:widowControl w:val="0"/>
        <w:numPr>
          <w:ilvl w:val="1"/>
          <w:numId w:val="17"/>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监理的范围和内容</w:t>
      </w:r>
    </w:p>
    <w:p w14:paraId="757AF0FE">
      <w:pPr>
        <w:widowControl w:val="0"/>
        <w:tabs>
          <w:tab w:val="left" w:pos="9078"/>
        </w:tabs>
        <w:autoSpaceDE w:val="0"/>
        <w:autoSpaceDN w:val="0"/>
        <w:spacing w:before="109" w:after="0" w:line="360" w:lineRule="auto"/>
        <w:ind w:left="117" w:right="0" w:firstLine="720" w:firstLineChars="30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监理范围包括</w:t>
      </w:r>
      <w:r>
        <w:rPr>
          <w:rFonts w:hint="eastAsia" w:ascii="宋体" w:hAnsi="宋体" w:eastAsia="宋体" w:cs="宋体"/>
          <w:color w:val="231F20"/>
          <w:sz w:val="24"/>
          <w:szCs w:val="24"/>
          <w:highlight w:val="none"/>
          <w:u w:val="none" w:color="auto"/>
          <w:lang w:val="en-US" w:eastAsia="en-US" w:bidi="ar-SA"/>
        </w:rPr>
        <w:t>：</w:t>
      </w:r>
      <w:r>
        <w:rPr>
          <w:rFonts w:hint="eastAsia" w:ascii="宋体" w:hAnsi="宋体" w:cs="宋体"/>
          <w:sz w:val="24"/>
          <w:szCs w:val="22"/>
          <w:highlight w:val="none"/>
          <w:u w:val="single" w:color="auto"/>
          <w:lang w:eastAsia="zh-CN"/>
        </w:rPr>
        <w:t>若羌南部矿区羌河三区110千伏输变电工程</w:t>
      </w:r>
      <w:r>
        <w:rPr>
          <w:rFonts w:hint="eastAsia" w:ascii="宋体" w:hAnsi="宋体" w:eastAsia="宋体" w:cs="宋体"/>
          <w:sz w:val="24"/>
          <w:szCs w:val="22"/>
          <w:highlight w:val="none"/>
          <w:u w:val="single" w:color="auto"/>
        </w:rPr>
        <w:t>全过程监理</w:t>
      </w:r>
    </w:p>
    <w:p w14:paraId="20B54D58">
      <w:pPr>
        <w:widowControl w:val="0"/>
        <w:numPr>
          <w:ilvl w:val="2"/>
          <w:numId w:val="17"/>
        </w:numPr>
        <w:tabs>
          <w:tab w:val="left" w:pos="1048"/>
          <w:tab w:val="left" w:pos="918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监理工作内容还包括</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p>
    <w:p w14:paraId="7FDB0E94">
      <w:pPr>
        <w:widowControl w:val="0"/>
        <w:tabs>
          <w:tab w:val="left" w:pos="9078"/>
        </w:tabs>
        <w:autoSpaceDE w:val="0"/>
        <w:autoSpaceDN w:val="0"/>
        <w:spacing w:before="109"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6326C154">
      <w:pPr>
        <w:widowControl w:val="0"/>
        <w:numPr>
          <w:ilvl w:val="1"/>
          <w:numId w:val="17"/>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监理与相关服务依据</w:t>
      </w:r>
    </w:p>
    <w:p w14:paraId="6CCF0CC6">
      <w:pPr>
        <w:widowControl w:val="0"/>
        <w:numPr>
          <w:ilvl w:val="2"/>
          <w:numId w:val="17"/>
        </w:numPr>
        <w:tabs>
          <w:tab w:val="left" w:pos="1048"/>
          <w:tab w:val="left" w:pos="918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监理依据包括</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p>
    <w:p w14:paraId="1F75FA1E">
      <w:pPr>
        <w:widowControl w:val="0"/>
        <w:tabs>
          <w:tab w:val="left" w:pos="9078"/>
        </w:tabs>
        <w:autoSpaceDE w:val="0"/>
        <w:autoSpaceDN w:val="0"/>
        <w:spacing w:before="109"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7651B0FD">
      <w:pPr>
        <w:widowControl w:val="0"/>
        <w:numPr>
          <w:ilvl w:val="2"/>
          <w:numId w:val="17"/>
        </w:numPr>
        <w:tabs>
          <w:tab w:val="left" w:pos="1048"/>
          <w:tab w:val="left" w:pos="907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相关服务依据包括</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7C9786C6">
      <w:pPr>
        <w:widowControl w:val="0"/>
        <w:numPr>
          <w:ilvl w:val="1"/>
          <w:numId w:val="17"/>
        </w:numPr>
        <w:tabs>
          <w:tab w:val="left" w:pos="994"/>
        </w:tabs>
        <w:autoSpaceDE w:val="0"/>
        <w:autoSpaceDN w:val="0"/>
        <w:spacing w:before="109" w:after="0" w:line="240" w:lineRule="auto"/>
        <w:ind w:left="993" w:right="0" w:hanging="328"/>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项目监理机构和人员</w:t>
      </w:r>
    </w:p>
    <w:p w14:paraId="1822D5FA">
      <w:pPr>
        <w:widowControl w:val="0"/>
        <w:tabs>
          <w:tab w:val="left" w:pos="9078"/>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2.3.4</w:t>
      </w:r>
      <w:r>
        <w:rPr>
          <w:rFonts w:hint="eastAsia" w:ascii="宋体" w:hAnsi="宋体" w:eastAsia="宋体" w:cs="宋体"/>
          <w:color w:val="231F20"/>
          <w:spacing w:val="-2"/>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更换监理人员的其他情形</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4F6F4B95">
      <w:pPr>
        <w:widowControl w:val="0"/>
        <w:numPr>
          <w:ilvl w:val="1"/>
          <w:numId w:val="19"/>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履行职责</w:t>
      </w:r>
    </w:p>
    <w:p w14:paraId="784B839F">
      <w:pPr>
        <w:widowControl w:val="0"/>
        <w:numPr>
          <w:ilvl w:val="2"/>
          <w:numId w:val="19"/>
        </w:numPr>
        <w:tabs>
          <w:tab w:val="left" w:pos="1048"/>
          <w:tab w:val="left" w:pos="918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对监理人的授权范围</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p>
    <w:p w14:paraId="0EE11821">
      <w:pPr>
        <w:widowControl w:val="0"/>
        <w:tabs>
          <w:tab w:val="left" w:pos="2865"/>
          <w:tab w:val="left" w:pos="6108"/>
          <w:tab w:val="left" w:pos="9078"/>
        </w:tabs>
        <w:autoSpaceDE w:val="0"/>
        <w:autoSpaceDN w:val="0"/>
        <w:spacing w:before="109" w:after="0" w:line="319" w:lineRule="auto"/>
        <w:ind w:left="557" w:right="105" w:hanging="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。在涉及工程延期</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天内和（或）金额</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万元内的变更，监理人不需请示委托人即可向承包人发布变更通知。</w:t>
      </w:r>
    </w:p>
    <w:p w14:paraId="3FEF7459">
      <w:pPr>
        <w:widowControl w:val="0"/>
        <w:numPr>
          <w:ilvl w:val="2"/>
          <w:numId w:val="19"/>
        </w:numPr>
        <w:tabs>
          <w:tab w:val="left" w:pos="1048"/>
          <w:tab w:val="left" w:pos="8968"/>
        </w:tabs>
        <w:autoSpaceDE w:val="0"/>
        <w:autoSpaceDN w:val="0"/>
        <w:spacing w:before="109" w:after="0" w:line="240" w:lineRule="auto"/>
        <w:ind w:left="1047" w:right="0" w:hanging="49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监理人有权要求承包人调换其人员的限制条件</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执行通用条款</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7DA2B855">
      <w:pPr>
        <w:widowControl w:val="0"/>
        <w:numPr>
          <w:ilvl w:val="1"/>
          <w:numId w:val="19"/>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提交报告</w:t>
      </w:r>
    </w:p>
    <w:p w14:paraId="7D7B5872">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监理人应提交报告的种类（包括监理规划、监理月报及约定的专项报告</w:t>
      </w:r>
      <w:r>
        <w:rPr>
          <w:rFonts w:hint="eastAsia" w:ascii="宋体" w:hAnsi="宋体" w:eastAsia="宋体" w:cs="宋体"/>
          <w:color w:val="231F20"/>
          <w:spacing w:val="-110"/>
          <w:sz w:val="24"/>
          <w:szCs w:val="24"/>
          <w:highlight w:val="none"/>
          <w:lang w:val="en-US" w:eastAsia="en-US" w:bidi="ar-SA"/>
        </w:rPr>
        <w:t>）</w:t>
      </w:r>
      <w:r>
        <w:rPr>
          <w:rFonts w:hint="eastAsia" w:ascii="宋体" w:hAnsi="宋体" w:eastAsia="宋体" w:cs="宋体"/>
          <w:color w:val="231F20"/>
          <w:sz w:val="24"/>
          <w:szCs w:val="24"/>
          <w:highlight w:val="none"/>
          <w:lang w:val="en-US" w:eastAsia="en-US" w:bidi="ar-SA"/>
        </w:rPr>
        <w:t>、时间和份数</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pacing w:val="-2"/>
          <w:sz w:val="24"/>
          <w:szCs w:val="24"/>
          <w:highlight w:val="none"/>
          <w:u w:val="single" w:color="231F20"/>
          <w:lang w:val="en-US" w:eastAsia="en-US" w:bidi="ar-SA"/>
        </w:rPr>
        <w:t xml:space="preserve"> </w:t>
      </w:r>
    </w:p>
    <w:p w14:paraId="108AE038">
      <w:pPr>
        <w:widowControl w:val="0"/>
        <w:autoSpaceDE w:val="0"/>
        <w:autoSpaceDN w:val="0"/>
        <w:spacing w:before="1" w:after="0" w:line="240" w:lineRule="auto"/>
        <w:ind w:left="0" w:right="0"/>
        <w:jc w:val="left"/>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mc:AlternateContent>
          <mc:Choice Requires="wps">
            <w:drawing>
              <wp:anchor distT="0" distB="0" distL="114300" distR="114300" simplePos="0" relativeHeight="251659264" behindDoc="0" locked="0" layoutInCell="1" allowOverlap="1">
                <wp:simplePos x="0" y="0"/>
                <wp:positionH relativeFrom="page">
                  <wp:posOffset>899795</wp:posOffset>
                </wp:positionH>
                <wp:positionV relativeFrom="paragraph">
                  <wp:posOffset>274955</wp:posOffset>
                </wp:positionV>
                <wp:extent cx="5759450" cy="0"/>
                <wp:effectExtent l="0" t="4445" r="0" b="5080"/>
                <wp:wrapTopAndBottom/>
                <wp:docPr id="94" name="直接连接符 94"/>
                <wp:cNvGraphicFramePr/>
                <a:graphic xmlns:a="http://schemas.openxmlformats.org/drawingml/2006/main">
                  <a:graphicData uri="http://schemas.microsoft.com/office/word/2010/wordprocessingShape">
                    <wps:wsp>
                      <wps:cNvCnPr/>
                      <wps:spPr>
                        <a:xfrm>
                          <a:off x="0" y="0"/>
                          <a:ext cx="5759450" cy="0"/>
                        </a:xfrm>
                        <a:prstGeom prst="line">
                          <a:avLst/>
                        </a:prstGeom>
                        <a:ln w="3594" cap="flat" cmpd="sng">
                          <a:solidFill>
                            <a:srgbClr val="231F2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5pt;margin-top:21.65pt;height:0pt;width:453.5pt;mso-position-horizontal-relative:page;mso-wrap-distance-bottom:0pt;mso-wrap-distance-top:0pt;z-index:251659264;mso-width-relative:page;mso-height-relative:page;" filled="f" stroked="t" coordsize="21600,21600" o:gfxdata="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sHdu2AAAAAoBAAAPAAAAAAAAAAEAIAAAACIAAABkcnMvZG93bnJldi54bWxQ&#10;SwECFAAUAAAACACHTuJAb+uDivcBAADmAwAADgAAAAAAAAABACAAAAAnAQAAZHJzL2Uyb0RvYy54&#10;bWxQSwUGAAAAAAYABgBZAQAAkAUAAAAA&#10;">
                <v:fill on="f" focussize="0,0"/>
                <v:stroke weight="0.282992125984252pt" color="#231F20" joinstyle="round"/>
                <v:imagedata o:title=""/>
                <o:lock v:ext="edit" aspectratio="f"/>
                <w10:wrap type="topAndBottom"/>
              </v:line>
            </w:pict>
          </mc:Fallback>
        </mc:AlternateContent>
      </w:r>
    </w:p>
    <w:p w14:paraId="660E80CF">
      <w:pPr>
        <w:widowControl w:val="0"/>
        <w:tabs>
          <w:tab w:val="left" w:pos="9078"/>
        </w:tabs>
        <w:autoSpaceDE w:val="0"/>
        <w:autoSpaceDN w:val="0"/>
        <w:spacing w:before="83"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4499EA2E">
      <w:pPr>
        <w:spacing w:after="0"/>
        <w:rPr>
          <w:rFonts w:hint="eastAsia" w:ascii="宋体" w:hAnsi="宋体" w:eastAsia="宋体" w:cs="宋体"/>
          <w:sz w:val="24"/>
          <w:szCs w:val="24"/>
          <w:highlight w:val="none"/>
        </w:rPr>
        <w:sectPr>
          <w:pgSz w:w="11910" w:h="16840"/>
          <w:pgMar w:top="1580" w:right="1200" w:bottom="1020" w:left="1300" w:header="0" w:footer="832" w:gutter="0"/>
          <w:pgNumType w:fmt="decimal"/>
          <w:cols w:space="720" w:num="1"/>
        </w:sectPr>
      </w:pPr>
    </w:p>
    <w:p w14:paraId="653E6B8E">
      <w:pPr>
        <w:widowControl w:val="0"/>
        <w:autoSpaceDE w:val="0"/>
        <w:autoSpaceDN w:val="0"/>
        <w:spacing w:before="24"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2.7 使用委托人的财产</w:t>
      </w:r>
    </w:p>
    <w:p w14:paraId="79C99643">
      <w:pPr>
        <w:widowControl w:val="0"/>
        <w:tabs>
          <w:tab w:val="left" w:pos="3688"/>
          <w:tab w:val="left" w:pos="9078"/>
        </w:tabs>
        <w:autoSpaceDE w:val="0"/>
        <w:autoSpaceDN w:val="0"/>
        <w:spacing w:before="109" w:after="0" w:line="319" w:lineRule="auto"/>
        <w:ind w:left="557" w:right="105"/>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附录 B 中由委托人无偿提供的房屋、设备的所有权属于</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委托人</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。监理人应在本合同终止后</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7</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天内移交委托人无偿提供的房屋、设备，移交的时间和方式为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71D06DBD">
      <w:pPr>
        <w:widowControl w:val="0"/>
        <w:numPr>
          <w:ilvl w:val="0"/>
          <w:numId w:val="17"/>
        </w:numPr>
        <w:tabs>
          <w:tab w:val="left" w:pos="802"/>
        </w:tabs>
        <w:autoSpaceDE w:val="0"/>
        <w:autoSpaceDN w:val="0"/>
        <w:spacing w:before="102"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w:t>
      </w:r>
      <w:r>
        <w:rPr>
          <w:rFonts w:hint="eastAsia" w:ascii="宋体" w:hAnsi="宋体" w:eastAsia="宋体" w:cs="宋体"/>
          <w:color w:val="231F20"/>
          <w:sz w:val="24"/>
          <w:szCs w:val="24"/>
          <w:highlight w:val="none"/>
          <w:lang w:val="en-US" w:eastAsia="zh-CN" w:bidi="ar-SA"/>
        </w:rPr>
        <w:t>的权利与</w:t>
      </w:r>
      <w:r>
        <w:rPr>
          <w:rFonts w:hint="eastAsia" w:ascii="宋体" w:hAnsi="宋体" w:eastAsia="宋体" w:cs="宋体"/>
          <w:color w:val="231F20"/>
          <w:sz w:val="24"/>
          <w:szCs w:val="24"/>
          <w:highlight w:val="none"/>
          <w:lang w:val="en-US" w:eastAsia="en-US" w:bidi="ar-SA"/>
        </w:rPr>
        <w:t>义务</w:t>
      </w:r>
    </w:p>
    <w:p w14:paraId="6D9E804C">
      <w:pPr>
        <w:widowControl w:val="0"/>
        <w:autoSpaceDE w:val="0"/>
        <w:autoSpaceDN w:val="0"/>
        <w:spacing w:before="122"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3.4 委托人代表</w:t>
      </w:r>
    </w:p>
    <w:p w14:paraId="7745494E">
      <w:pPr>
        <w:widowControl w:val="0"/>
        <w:tabs>
          <w:tab w:val="left" w:pos="9078"/>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委托人代表为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 xml:space="preserve">                        （电话：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02F63802">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3.6 答复</w:t>
      </w:r>
    </w:p>
    <w:p w14:paraId="2BC8E4CC">
      <w:pPr>
        <w:widowControl w:val="0"/>
        <w:tabs>
          <w:tab w:val="left" w:pos="2310"/>
        </w:tabs>
        <w:autoSpaceDE w:val="0"/>
        <w:autoSpaceDN w:val="0"/>
        <w:spacing w:before="109" w:after="0" w:line="240" w:lineRule="auto"/>
        <w:ind w:left="557" w:right="0"/>
        <w:jc w:val="left"/>
        <w:rPr>
          <w:rFonts w:hint="eastAsia" w:ascii="宋体" w:hAnsi="宋体" w:eastAsia="宋体" w:cs="宋体"/>
          <w:sz w:val="24"/>
          <w:szCs w:val="20"/>
          <w:highlight w:val="none"/>
          <w:lang w:val="en-US" w:eastAsia="en-US"/>
        </w:rPr>
      </w:pPr>
      <w:r>
        <w:rPr>
          <w:rFonts w:hint="eastAsia" w:ascii="宋体" w:hAnsi="宋体" w:eastAsia="宋体" w:cs="宋体"/>
          <w:color w:val="231F20"/>
          <w:sz w:val="24"/>
          <w:szCs w:val="24"/>
          <w:highlight w:val="none"/>
          <w:lang w:val="en-US" w:eastAsia="en-US" w:bidi="ar-SA"/>
        </w:rPr>
        <w:t>委托人同意在</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7</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天内，对监理人书面提交并要求做出决定的事宜给予书面答复。</w:t>
      </w:r>
    </w:p>
    <w:p w14:paraId="0DD74A4A">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3.7当监理人发生下列违约情形时，委托人有权</w:t>
      </w:r>
      <w:r>
        <w:rPr>
          <w:rFonts w:hint="eastAsia" w:ascii="宋体" w:hAnsi="宋体" w:eastAsia="宋体" w:cs="宋体"/>
          <w:color w:val="231F20"/>
          <w:sz w:val="24"/>
          <w:szCs w:val="24"/>
          <w:highlight w:val="none"/>
          <w:lang w:val="en-US" w:eastAsia="zh-CN" w:bidi="ar-SA"/>
        </w:rPr>
        <w:t>单方</w:t>
      </w:r>
      <w:r>
        <w:rPr>
          <w:rFonts w:hint="eastAsia" w:ascii="宋体" w:hAnsi="宋体" w:eastAsia="宋体" w:cs="宋体"/>
          <w:color w:val="231F20"/>
          <w:sz w:val="24"/>
          <w:szCs w:val="24"/>
          <w:highlight w:val="none"/>
          <w:lang w:val="en-US" w:eastAsia="en-US" w:bidi="ar-SA"/>
        </w:rPr>
        <w:t>解除合同：</w:t>
      </w:r>
    </w:p>
    <w:p w14:paraId="05DCFADE">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3.7.1没有按约定时间及采购文件签订监理合同；</w:t>
      </w:r>
    </w:p>
    <w:p w14:paraId="32BEA1AC">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3.7.2没有按约定时间组建现场监理组织机构 ；</w:t>
      </w:r>
    </w:p>
    <w:p w14:paraId="1D21FBE3">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 xml:space="preserve">3.7.3发现存在质量、安全事故隐患，或发生质量、安全事故，未按有关规定及时采取相应的监理措施；  </w:t>
      </w:r>
    </w:p>
    <w:p w14:paraId="6BBF85EF">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3.7.4未按有关规定参加工程验收，做好相关配合工作；</w:t>
      </w:r>
    </w:p>
    <w:p w14:paraId="188E2128">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3.7.5监理人及其派出的监理人员不具备相应资质条件的；</w:t>
      </w:r>
    </w:p>
    <w:p w14:paraId="4C44C211">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3.7.6监理人与承包人恶意串通损害委托人利益的；</w:t>
      </w:r>
    </w:p>
    <w:p w14:paraId="519D2B7D">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3.7.7监理人转包或分包本合同项下的监理服务。</w:t>
      </w:r>
    </w:p>
    <w:p w14:paraId="08BCF748">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3.8 因监理人原因导致委托人单方面终止或解除本合同的，监理费用由委托人委托第三方审计机构确定，审计费由监理人承担，且监理人需承担合同约定监理费总额30%违约金。</w:t>
      </w:r>
    </w:p>
    <w:p w14:paraId="4F4D0732">
      <w:pPr>
        <w:widowControl w:val="0"/>
        <w:autoSpaceDE w:val="0"/>
        <w:autoSpaceDN w:val="0"/>
        <w:spacing w:before="109"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3.9 监理服务期内，监理人应尽职尽责履行义务，及时响应委托人需求，如监理人怠于或迟延履行义务的，按次向委托人承担10000元的违约金，如造成委托人损失或委托人需向第三方承担违约责任的，监理人应承担全部责任；出现其他违约的，按照监理总费用30%承担违约金，违约金不足以弥补损失的，还应全额赔偿损失。</w:t>
      </w:r>
    </w:p>
    <w:p w14:paraId="1C2EC790">
      <w:pPr>
        <w:widowControl w:val="0"/>
        <w:numPr>
          <w:ilvl w:val="0"/>
          <w:numId w:val="17"/>
        </w:numPr>
        <w:tabs>
          <w:tab w:val="left" w:pos="802"/>
        </w:tabs>
        <w:autoSpaceDE w:val="0"/>
        <w:autoSpaceDN w:val="0"/>
        <w:spacing w:before="102"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违约责任</w:t>
      </w:r>
    </w:p>
    <w:p w14:paraId="2874F4D6">
      <w:pPr>
        <w:widowControl w:val="0"/>
        <w:numPr>
          <w:ilvl w:val="1"/>
          <w:numId w:val="17"/>
        </w:numPr>
        <w:tabs>
          <w:tab w:val="left" w:pos="884"/>
        </w:tabs>
        <w:autoSpaceDE w:val="0"/>
        <w:autoSpaceDN w:val="0"/>
        <w:spacing w:before="121"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监理人的违约责任</w:t>
      </w:r>
    </w:p>
    <w:p w14:paraId="50B86E9E">
      <w:pPr>
        <w:widowControl w:val="0"/>
        <w:numPr>
          <w:ilvl w:val="2"/>
          <w:numId w:val="17"/>
        </w:numPr>
        <w:tabs>
          <w:tab w:val="left" w:pos="1049"/>
        </w:tabs>
        <w:autoSpaceDE w:val="0"/>
        <w:autoSpaceDN w:val="0"/>
        <w:spacing w:before="108" w:after="0" w:line="240" w:lineRule="auto"/>
        <w:ind w:left="1048" w:right="0" w:hanging="491"/>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监理人赔偿金额按下列方法确定：</w:t>
      </w:r>
    </w:p>
    <w:p w14:paraId="4A464A71">
      <w:pPr>
        <w:widowControl w:val="0"/>
        <w:autoSpaceDE w:val="0"/>
        <w:autoSpaceDN w:val="0"/>
        <w:spacing w:before="108" w:after="0" w:line="240" w:lineRule="auto"/>
        <w:ind w:left="557" w:right="0"/>
        <w:jc w:val="left"/>
        <w:rPr>
          <w:rFonts w:hint="eastAsia" w:ascii="宋体" w:hAnsi="宋体" w:eastAsia="宋体" w:cs="宋体"/>
          <w:color w:val="231F20"/>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赔偿金＝直接经济损失 × 正常工作酬金 ÷ 工程概算投资额（或建筑安装工程费）</w:t>
      </w:r>
    </w:p>
    <w:p w14:paraId="3E53B859">
      <w:pPr>
        <w:pStyle w:val="4"/>
        <w:ind w:firstLine="480" w:firstLineChars="200"/>
        <w:rPr>
          <w:rFonts w:hint="eastAsia" w:ascii="宋体" w:hAnsi="宋体" w:eastAsia="宋体" w:cs="宋体"/>
          <w:color w:val="231F20"/>
          <w:sz w:val="24"/>
          <w:szCs w:val="24"/>
          <w:highlight w:val="none"/>
          <w:lang w:val="en-US" w:eastAsia="zh-CN" w:bidi="ar-SA"/>
        </w:rPr>
      </w:pPr>
      <w:r>
        <w:rPr>
          <w:rFonts w:hint="eastAsia" w:ascii="宋体" w:hAnsi="宋体" w:eastAsia="宋体" w:cs="宋体"/>
          <w:color w:val="231F20"/>
          <w:sz w:val="24"/>
          <w:szCs w:val="24"/>
          <w:highlight w:val="none"/>
          <w:lang w:val="en-US" w:eastAsia="zh-CN" w:bidi="ar-SA"/>
        </w:rPr>
        <w:t>4.1.2监理人不得擅自更换总监理工程师，否则视为违约，未经过委托人同意擅自更换的，按照</w:t>
      </w:r>
      <w:r>
        <w:rPr>
          <w:rFonts w:hint="eastAsia" w:ascii="宋体" w:hAnsi="宋体" w:eastAsia="宋体" w:cs="宋体"/>
          <w:color w:val="231F20"/>
          <w:sz w:val="24"/>
          <w:szCs w:val="24"/>
          <w:highlight w:val="none"/>
          <w:u w:val="single"/>
          <w:lang w:val="en-US" w:eastAsia="zh-CN" w:bidi="ar-SA"/>
        </w:rPr>
        <w:t>80000元/次</w:t>
      </w:r>
      <w:r>
        <w:rPr>
          <w:rFonts w:hint="eastAsia" w:ascii="宋体" w:hAnsi="宋体" w:eastAsia="宋体" w:cs="宋体"/>
          <w:color w:val="231F20"/>
          <w:sz w:val="24"/>
          <w:szCs w:val="24"/>
          <w:highlight w:val="none"/>
          <w:lang w:val="en-US" w:eastAsia="zh-CN" w:bidi="ar-SA"/>
        </w:rPr>
        <w:t>向委托人承担违约金。</w:t>
      </w:r>
    </w:p>
    <w:p w14:paraId="44F6133C">
      <w:pPr>
        <w:rPr>
          <w:rFonts w:hint="eastAsia" w:ascii="宋体" w:hAnsi="宋体" w:eastAsia="宋体" w:cs="宋体"/>
          <w:sz w:val="24"/>
          <w:szCs w:val="20"/>
          <w:highlight w:val="none"/>
          <w:lang w:val="en-US" w:eastAsia="zh-CN"/>
        </w:rPr>
      </w:pPr>
      <w:r>
        <w:rPr>
          <w:rFonts w:hint="eastAsia" w:ascii="宋体" w:hAnsi="宋体" w:eastAsia="宋体" w:cs="宋体"/>
          <w:color w:val="231F20"/>
          <w:sz w:val="24"/>
          <w:szCs w:val="24"/>
          <w:highlight w:val="none"/>
          <w:lang w:val="en-US" w:eastAsia="zh-CN" w:bidi="ar-SA"/>
        </w:rPr>
        <w:t xml:space="preserve">    4.1.3 监理人应全面履行义务，如有违约，除承担4.1.1条中的直接损失外，还需承担委托人因此而产生的律师费、交通费、诉讼费用、鉴定费、公告费、诉讼保全函费及其他合理费用。</w:t>
      </w:r>
    </w:p>
    <w:p w14:paraId="18111B90">
      <w:pPr>
        <w:widowControl w:val="0"/>
        <w:numPr>
          <w:ilvl w:val="1"/>
          <w:numId w:val="17"/>
        </w:numPr>
        <w:tabs>
          <w:tab w:val="left" w:pos="884"/>
        </w:tabs>
        <w:autoSpaceDE w:val="0"/>
        <w:autoSpaceDN w:val="0"/>
        <w:spacing w:before="108"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委托人的违约责任</w:t>
      </w:r>
    </w:p>
    <w:p w14:paraId="6A0F60FC">
      <w:pPr>
        <w:widowControl w:val="0"/>
        <w:autoSpaceDE w:val="0"/>
        <w:autoSpaceDN w:val="0"/>
        <w:spacing w:before="108"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4.2.3 委托人逾期付款利息按下列方法确定：</w:t>
      </w:r>
    </w:p>
    <w:p w14:paraId="05CEAFAD">
      <w:pPr>
        <w:widowControl w:val="0"/>
        <w:autoSpaceDE w:val="0"/>
        <w:autoSpaceDN w:val="0"/>
        <w:spacing w:before="108"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逾期付款利息＝当期应付款总额 × 银行同期贷款利率 × 拖延支付天数</w:t>
      </w:r>
    </w:p>
    <w:p w14:paraId="003D0CCE">
      <w:pPr>
        <w:widowControl w:val="0"/>
        <w:numPr>
          <w:ilvl w:val="0"/>
          <w:numId w:val="17"/>
        </w:numPr>
        <w:tabs>
          <w:tab w:val="left" w:pos="802"/>
        </w:tabs>
        <w:autoSpaceDE w:val="0"/>
        <w:autoSpaceDN w:val="0"/>
        <w:spacing w:before="102"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w:t>
      </w:r>
    </w:p>
    <w:p w14:paraId="5AB5E08E">
      <w:pPr>
        <w:widowControl w:val="0"/>
        <w:numPr>
          <w:ilvl w:val="1"/>
          <w:numId w:val="17"/>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支付货币</w:t>
      </w:r>
    </w:p>
    <w:p w14:paraId="4DBCBFDC">
      <w:pPr>
        <w:widowControl w:val="0"/>
        <w:tabs>
          <w:tab w:val="left" w:pos="2482"/>
          <w:tab w:val="left" w:pos="4847"/>
          <w:tab w:val="left" w:pos="7872"/>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币种为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人民币</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，比例为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，汇率为</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2B432F0B">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5.3 支付酬金</w:t>
      </w:r>
    </w:p>
    <w:p w14:paraId="21939B1A">
      <w:pPr>
        <w:widowControl w:val="0"/>
        <w:autoSpaceDE w:val="0"/>
        <w:autoSpaceDN w:val="0"/>
        <w:spacing w:before="109" w:after="0" w:line="240" w:lineRule="auto"/>
        <w:ind w:left="557" w:right="0"/>
        <w:jc w:val="left"/>
        <w:rPr>
          <w:rFonts w:hint="eastAsia"/>
          <w:lang w:val="en-US" w:eastAsia="en-US"/>
        </w:rPr>
      </w:pPr>
      <w:r>
        <w:rPr>
          <w:rFonts w:hint="eastAsia" w:ascii="宋体" w:hAnsi="宋体" w:eastAsia="宋体" w:cs="宋体"/>
          <w:color w:val="231F20"/>
          <w:sz w:val="24"/>
          <w:szCs w:val="24"/>
          <w:highlight w:val="none"/>
          <w:lang w:val="en-US" w:eastAsia="en-US" w:bidi="ar-SA"/>
        </w:rPr>
        <w:t>正常工作酬金的支付：</w:t>
      </w:r>
    </w:p>
    <w:p w14:paraId="33C7DAB2">
      <w:pPr>
        <w:widowControl w:val="0"/>
        <w:autoSpaceDE w:val="0"/>
        <w:autoSpaceDN w:val="0"/>
        <w:spacing w:before="14" w:after="0" w:line="240" w:lineRule="auto"/>
        <w:ind w:left="0" w:right="0" w:firstLine="240" w:firstLineChars="100"/>
        <w:jc w:val="left"/>
        <w:rPr>
          <w:rFonts w:hint="default" w:ascii="宋体" w:hAnsi="宋体" w:eastAsia="宋体" w:cs="宋体"/>
          <w:sz w:val="24"/>
          <w:szCs w:val="24"/>
          <w:highlight w:val="yellow"/>
          <w:lang w:val="en-US" w:eastAsia="zh-CN" w:bidi="ar-SA"/>
        </w:rPr>
      </w:pPr>
      <w:r>
        <w:rPr>
          <w:rFonts w:hint="eastAsia" w:ascii="宋体" w:hAnsi="宋体" w:cs="宋体"/>
          <w:sz w:val="24"/>
          <w:szCs w:val="24"/>
          <w:highlight w:val="yellow"/>
          <w:lang w:val="en-US" w:eastAsia="zh-CN" w:bidi="ar-SA"/>
        </w:rPr>
        <w:t>具体支付方式已合同签订为主</w:t>
      </w:r>
    </w:p>
    <w:p w14:paraId="38746D09">
      <w:pPr>
        <w:pStyle w:val="4"/>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委托人支付前，监理人需向委托人提供等额的发票，否则，委托人有权迟延支付。</w:t>
      </w:r>
    </w:p>
    <w:p w14:paraId="01EDAC57">
      <w:pPr>
        <w:widowControl w:val="0"/>
        <w:numPr>
          <w:ilvl w:val="0"/>
          <w:numId w:val="17"/>
        </w:numPr>
        <w:tabs>
          <w:tab w:val="left" w:pos="802"/>
        </w:tabs>
        <w:autoSpaceDE w:val="0"/>
        <w:autoSpaceDN w:val="0"/>
        <w:spacing w:before="0"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合同生效、变更、暂停、解除与终止</w:t>
      </w:r>
    </w:p>
    <w:p w14:paraId="39DDF6AE">
      <w:pPr>
        <w:widowControl w:val="0"/>
        <w:numPr>
          <w:ilvl w:val="1"/>
          <w:numId w:val="17"/>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生效</w:t>
      </w:r>
    </w:p>
    <w:p w14:paraId="4243F76D">
      <w:pPr>
        <w:widowControl w:val="0"/>
        <w:tabs>
          <w:tab w:val="left" w:pos="9078"/>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本合同生效条件</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zh-CN" w:bidi="ar-SA"/>
        </w:rPr>
        <w:t>双方签字并盖章后</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7A1B09C5">
      <w:pPr>
        <w:widowControl w:val="0"/>
        <w:numPr>
          <w:ilvl w:val="1"/>
          <w:numId w:val="17"/>
        </w:numPr>
        <w:tabs>
          <w:tab w:val="left" w:pos="884"/>
        </w:tabs>
        <w:autoSpaceDE w:val="0"/>
        <w:autoSpaceDN w:val="0"/>
        <w:spacing w:before="24"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变更</w:t>
      </w:r>
    </w:p>
    <w:p w14:paraId="5094C6EA">
      <w:pPr>
        <w:widowControl w:val="0"/>
        <w:numPr>
          <w:ilvl w:val="2"/>
          <w:numId w:val="20"/>
        </w:numPr>
        <w:tabs>
          <w:tab w:val="left" w:pos="1066"/>
        </w:tabs>
        <w:autoSpaceDE w:val="0"/>
        <w:autoSpaceDN w:val="0"/>
        <w:spacing w:before="109" w:after="0" w:line="319" w:lineRule="auto"/>
        <w:ind w:left="117" w:right="113"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6"/>
          <w:sz w:val="24"/>
          <w:szCs w:val="24"/>
          <w:highlight w:val="none"/>
          <w:lang w:val="en-US" w:eastAsia="en-US" w:bidi="ar-SA"/>
        </w:rPr>
        <w:t>除不可抗力外，因非监理人原因导致本合同期限延长时，附加工作酬金按下列方法确定：</w:t>
      </w:r>
    </w:p>
    <w:p w14:paraId="48260BF6">
      <w:pPr>
        <w:widowControl w:val="0"/>
        <w:autoSpaceDE w:val="0"/>
        <w:autoSpaceDN w:val="0"/>
        <w:spacing w:before="25" w:after="0" w:line="319" w:lineRule="auto"/>
        <w:ind w:left="117" w:right="102"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附加工作酬金 = 本合同期限延长时间（天）× 正常工作酬金 ÷ 协议书约定的监理与相关服务期限（天）</w:t>
      </w:r>
    </w:p>
    <w:p w14:paraId="1F531BC9">
      <w:pPr>
        <w:widowControl w:val="0"/>
        <w:numPr>
          <w:ilvl w:val="2"/>
          <w:numId w:val="20"/>
        </w:numPr>
        <w:tabs>
          <w:tab w:val="left" w:pos="1049"/>
        </w:tabs>
        <w:autoSpaceDE w:val="0"/>
        <w:autoSpaceDN w:val="0"/>
        <w:spacing w:before="25" w:after="0" w:line="240" w:lineRule="auto"/>
        <w:ind w:left="1048" w:right="0" w:hanging="491"/>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附加工作酬金按下列方法确定：</w:t>
      </w:r>
    </w:p>
    <w:p w14:paraId="7C4CC61E">
      <w:pPr>
        <w:widowControl w:val="0"/>
        <w:autoSpaceDE w:val="0"/>
        <w:autoSpaceDN w:val="0"/>
        <w:spacing w:before="109" w:after="0" w:line="319" w:lineRule="auto"/>
        <w:ind w:left="117" w:right="102"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附加工作酬金 = 善后工作及恢复服务的准备工作时间（天）× 正常工作酬金 ÷ 协议书约定的监理与相关服务期限（天）</w:t>
      </w:r>
    </w:p>
    <w:p w14:paraId="4167AF40">
      <w:pPr>
        <w:widowControl w:val="0"/>
        <w:numPr>
          <w:ilvl w:val="2"/>
          <w:numId w:val="21"/>
        </w:numPr>
        <w:tabs>
          <w:tab w:val="left" w:pos="1048"/>
        </w:tabs>
        <w:autoSpaceDE w:val="0"/>
        <w:autoSpaceDN w:val="0"/>
        <w:spacing w:before="26" w:after="0" w:line="240"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正常工作酬金增加额按下列方法确定：</w:t>
      </w:r>
    </w:p>
    <w:p w14:paraId="44337B07">
      <w:pPr>
        <w:widowControl w:val="0"/>
        <w:autoSpaceDE w:val="0"/>
        <w:autoSpaceDN w:val="0"/>
        <w:spacing w:before="109" w:after="0" w:line="319" w:lineRule="auto"/>
        <w:ind w:left="117" w:right="0"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正常工作酬金增加额 = 工程投资额或建筑安装工程费增加额 × 正常工作酬金 ÷ 工程概算投资额（或建筑安装工程费）</w:t>
      </w:r>
    </w:p>
    <w:p w14:paraId="7752219A">
      <w:pPr>
        <w:widowControl w:val="0"/>
        <w:numPr>
          <w:ilvl w:val="2"/>
          <w:numId w:val="21"/>
        </w:numPr>
        <w:tabs>
          <w:tab w:val="left" w:pos="1049"/>
        </w:tabs>
        <w:autoSpaceDE w:val="0"/>
        <w:autoSpaceDN w:val="0"/>
        <w:spacing w:before="25" w:after="0" w:line="319" w:lineRule="auto"/>
        <w:ind w:left="117" w:right="115"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因工程规模、监理范围的变化导致监理人的正常工作量减少时，按减少工作量的比例从协议书约定的正常工作酬金中扣减相同比例的酬金。</w:t>
      </w:r>
    </w:p>
    <w:p w14:paraId="22C38F52">
      <w:pPr>
        <w:widowControl w:val="0"/>
        <w:numPr>
          <w:ilvl w:val="0"/>
          <w:numId w:val="17"/>
        </w:numPr>
        <w:tabs>
          <w:tab w:val="left" w:pos="802"/>
        </w:tabs>
        <w:autoSpaceDE w:val="0"/>
        <w:autoSpaceDN w:val="0"/>
        <w:spacing w:before="19"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争议解决</w:t>
      </w:r>
    </w:p>
    <w:p w14:paraId="78F24185">
      <w:pPr>
        <w:widowControl w:val="0"/>
        <w:numPr>
          <w:ilvl w:val="1"/>
          <w:numId w:val="22"/>
        </w:numPr>
        <w:tabs>
          <w:tab w:val="left" w:pos="884"/>
        </w:tabs>
        <w:autoSpaceDE w:val="0"/>
        <w:autoSpaceDN w:val="0"/>
        <w:spacing w:before="122"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调解</w:t>
      </w:r>
    </w:p>
    <w:p w14:paraId="09BAA864">
      <w:pPr>
        <w:widowControl w:val="0"/>
        <w:tabs>
          <w:tab w:val="left" w:pos="5390"/>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本合同争议进行调解时，可提交</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进行调解。</w:t>
      </w:r>
    </w:p>
    <w:p w14:paraId="0AC51C54">
      <w:pPr>
        <w:widowControl w:val="0"/>
        <w:numPr>
          <w:ilvl w:val="1"/>
          <w:numId w:val="22"/>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仲裁或诉讼</w:t>
      </w:r>
    </w:p>
    <w:p w14:paraId="385D713F">
      <w:pPr>
        <w:widowControl w:val="0"/>
        <w:tabs>
          <w:tab w:val="left" w:pos="4510"/>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合同争议的最终解决方式为下列第</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2</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种方式：</w:t>
      </w:r>
    </w:p>
    <w:p w14:paraId="40738890">
      <w:pPr>
        <w:widowControl w:val="0"/>
        <w:tabs>
          <w:tab w:val="left" w:pos="3436"/>
        </w:tabs>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8"/>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1）提请</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仲裁委员会进行仲裁。</w:t>
      </w:r>
    </w:p>
    <w:p w14:paraId="09C6260F">
      <w:pPr>
        <w:widowControl w:val="0"/>
        <w:tabs>
          <w:tab w:val="left" w:pos="2776"/>
        </w:tabs>
        <w:autoSpaceDE w:val="0"/>
        <w:autoSpaceDN w:val="0"/>
        <w:spacing w:before="109" w:after="0" w:line="240" w:lineRule="auto"/>
        <w:ind w:left="44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w:t>
      </w:r>
      <w:r>
        <w:rPr>
          <w:rFonts w:hint="eastAsia" w:ascii="宋体" w:hAnsi="宋体" w:eastAsia="宋体" w:cs="宋体"/>
          <w:color w:val="231F20"/>
          <w:spacing w:val="-28"/>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2）向</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工程所在地</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人民法院提起诉讼。</w:t>
      </w:r>
    </w:p>
    <w:p w14:paraId="6D177C8B">
      <w:pPr>
        <w:widowControl w:val="0"/>
        <w:numPr>
          <w:ilvl w:val="0"/>
          <w:numId w:val="17"/>
        </w:numPr>
        <w:tabs>
          <w:tab w:val="left" w:pos="802"/>
        </w:tabs>
        <w:autoSpaceDE w:val="0"/>
        <w:autoSpaceDN w:val="0"/>
        <w:spacing w:before="102"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其他</w:t>
      </w:r>
    </w:p>
    <w:p w14:paraId="7917C7AE">
      <w:pPr>
        <w:widowControl w:val="0"/>
        <w:numPr>
          <w:ilvl w:val="1"/>
          <w:numId w:val="23"/>
        </w:numPr>
        <w:tabs>
          <w:tab w:val="left" w:pos="884"/>
        </w:tabs>
        <w:autoSpaceDE w:val="0"/>
        <w:autoSpaceDN w:val="0"/>
        <w:spacing w:before="121"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检测费用</w:t>
      </w:r>
    </w:p>
    <w:p w14:paraId="78BCF845">
      <w:pPr>
        <w:widowControl w:val="0"/>
        <w:tabs>
          <w:tab w:val="left" w:pos="4347"/>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委托人应在检测工作完成后</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天内支付检测费用。</w:t>
      </w:r>
    </w:p>
    <w:p w14:paraId="4F8BF7A3">
      <w:pPr>
        <w:widowControl w:val="0"/>
        <w:numPr>
          <w:ilvl w:val="1"/>
          <w:numId w:val="23"/>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咨询费用</w:t>
      </w:r>
    </w:p>
    <w:p w14:paraId="64AD2615">
      <w:pPr>
        <w:widowControl w:val="0"/>
        <w:tabs>
          <w:tab w:val="left" w:pos="4347"/>
        </w:tabs>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委托人应在咨询工作完成后</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天内支付咨询费用。</w:t>
      </w:r>
    </w:p>
    <w:p w14:paraId="53488086">
      <w:pPr>
        <w:widowControl w:val="0"/>
        <w:numPr>
          <w:ilvl w:val="1"/>
          <w:numId w:val="23"/>
        </w:numPr>
        <w:tabs>
          <w:tab w:val="left" w:pos="884"/>
        </w:tabs>
        <w:autoSpaceDE w:val="0"/>
        <w:autoSpaceDN w:val="0"/>
        <w:spacing w:before="109" w:after="0" w:line="240" w:lineRule="auto"/>
        <w:ind w:left="883" w:right="0" w:hanging="32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奖励</w:t>
      </w:r>
    </w:p>
    <w:p w14:paraId="06A92C4D">
      <w:pPr>
        <w:widowControl w:val="0"/>
        <w:autoSpaceDE w:val="0"/>
        <w:autoSpaceDN w:val="0"/>
        <w:spacing w:before="109"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合理化建议的奖励金额按下列方法</w:t>
      </w:r>
      <w:r>
        <w:rPr>
          <w:rFonts w:hint="eastAsia" w:ascii="宋体" w:hAnsi="宋体" w:eastAsia="宋体" w:cs="宋体"/>
          <w:color w:val="231F20"/>
          <w:sz w:val="24"/>
          <w:szCs w:val="24"/>
          <w:highlight w:val="none"/>
          <w:lang w:val="en-US" w:eastAsia="zh-CN" w:bidi="ar-SA"/>
        </w:rPr>
        <w:t>确定</w:t>
      </w:r>
      <w:r>
        <w:rPr>
          <w:rFonts w:hint="eastAsia" w:ascii="宋体" w:hAnsi="宋体" w:eastAsia="宋体" w:cs="宋体"/>
          <w:color w:val="231F20"/>
          <w:sz w:val="24"/>
          <w:szCs w:val="24"/>
          <w:highlight w:val="none"/>
          <w:lang w:val="en-US" w:eastAsia="en-US" w:bidi="ar-SA"/>
        </w:rPr>
        <w:t>：</w:t>
      </w:r>
    </w:p>
    <w:p w14:paraId="6C64A3DB">
      <w:pPr>
        <w:widowControl w:val="0"/>
        <w:tabs>
          <w:tab w:val="left" w:pos="3576"/>
        </w:tabs>
        <w:autoSpaceDE w:val="0"/>
        <w:autoSpaceDN w:val="0"/>
        <w:spacing w:before="109" w:after="0" w:line="319" w:lineRule="auto"/>
        <w:ind w:left="557" w:right="401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奖励金额＝工程投资节省额 × 奖励金额的比率； 奖励金额的比率为</w:t>
      </w: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zh-CN"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pacing w:val="-1"/>
          <w:sz w:val="24"/>
          <w:szCs w:val="24"/>
          <w:highlight w:val="none"/>
          <w:lang w:val="en-US" w:eastAsia="en-US" w:bidi="ar-SA"/>
        </w:rPr>
        <w:t>%。</w:t>
      </w:r>
    </w:p>
    <w:p w14:paraId="3BD0D2CC">
      <w:pPr>
        <w:widowControl w:val="0"/>
        <w:autoSpaceDE w:val="0"/>
        <w:autoSpaceDN w:val="0"/>
        <w:spacing w:before="25"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8.6 保密</w:t>
      </w:r>
    </w:p>
    <w:p w14:paraId="783573AB">
      <w:pPr>
        <w:widowControl w:val="0"/>
        <w:tabs>
          <w:tab w:val="left" w:pos="8037"/>
        </w:tabs>
        <w:autoSpaceDE w:val="0"/>
        <w:autoSpaceDN w:val="0"/>
        <w:spacing w:after="0" w:line="240" w:lineRule="auto"/>
        <w:ind w:left="0" w:right="0" w:firstLine="480" w:firstLineChars="200"/>
        <w:jc w:val="both"/>
        <w:rPr>
          <w:rFonts w:hint="eastAsia" w:ascii="宋体" w:hAnsi="宋体" w:eastAsia="宋体" w:cs="宋体"/>
          <w:color w:val="231F20"/>
          <w:sz w:val="24"/>
          <w:szCs w:val="24"/>
          <w:highlight w:val="none"/>
          <w:u w:val="single" w:color="231F20"/>
          <w:lang w:val="en-US" w:eastAsia="en-US" w:bidi="ar-SA"/>
        </w:rPr>
      </w:pPr>
      <w:r>
        <w:rPr>
          <w:rFonts w:hint="eastAsia" w:ascii="宋体" w:hAnsi="宋体" w:eastAsia="宋体" w:cs="宋体"/>
          <w:color w:val="231F20"/>
          <w:sz w:val="24"/>
          <w:szCs w:val="24"/>
          <w:highlight w:val="none"/>
          <w:lang w:val="en-US" w:eastAsia="en-US" w:bidi="ar-SA"/>
        </w:rPr>
        <w:t>委托人申明的保密事项和期限</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693061A9">
      <w:pPr>
        <w:pStyle w:val="4"/>
        <w:rPr>
          <w:rFonts w:hint="eastAsia" w:ascii="宋体" w:hAnsi="宋体" w:eastAsia="宋体" w:cs="宋体"/>
          <w:color w:val="231F20"/>
          <w:sz w:val="24"/>
          <w:szCs w:val="24"/>
          <w:highlight w:val="none"/>
          <w:u w:val="single" w:color="231F20"/>
          <w:lang w:val="en-US" w:eastAsia="en-US" w:bidi="ar-SA"/>
        </w:rPr>
      </w:pPr>
    </w:p>
    <w:p w14:paraId="10ECEC67">
      <w:pPr>
        <w:widowControl w:val="0"/>
        <w:tabs>
          <w:tab w:val="left" w:pos="8037"/>
        </w:tabs>
        <w:autoSpaceDE w:val="0"/>
        <w:autoSpaceDN w:val="0"/>
        <w:spacing w:before="24" w:after="0" w:line="319" w:lineRule="auto"/>
        <w:ind w:right="1166"/>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监理人申明的保密事项和期限</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。第三方申明的保密事项和期限</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31B24A04">
      <w:pPr>
        <w:widowControl w:val="0"/>
        <w:autoSpaceDE w:val="0"/>
        <w:autoSpaceDN w:val="0"/>
        <w:spacing w:before="26"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8.8 著作权</w:t>
      </w:r>
    </w:p>
    <w:p w14:paraId="49B78E2A">
      <w:pPr>
        <w:widowControl w:val="0"/>
        <w:autoSpaceDE w:val="0"/>
        <w:autoSpaceDN w:val="0"/>
        <w:spacing w:before="109" w:after="0" w:line="319" w:lineRule="auto"/>
        <w:ind w:left="117" w:right="93" w:firstLine="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监理人在本合同履行期间及本合同终止后两年内出版涉及本工程的有关监理与相关服务的资料的限制条件：</w:t>
      </w:r>
    </w:p>
    <w:p w14:paraId="0DCEC980">
      <w:pPr>
        <w:widowControl w:val="0"/>
        <w:autoSpaceDE w:val="0"/>
        <w:autoSpaceDN w:val="0"/>
        <w:spacing w:before="3" w:after="0" w:line="240" w:lineRule="auto"/>
        <w:ind w:left="0" w:right="0"/>
        <w:jc w:val="left"/>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mc:AlternateContent>
          <mc:Choice Requires="wps">
            <w:drawing>
              <wp:anchor distT="0" distB="0" distL="114300" distR="114300" simplePos="0" relativeHeight="251665408" behindDoc="0" locked="0" layoutInCell="1" allowOverlap="1">
                <wp:simplePos x="0" y="0"/>
                <wp:positionH relativeFrom="page">
                  <wp:posOffset>899795</wp:posOffset>
                </wp:positionH>
                <wp:positionV relativeFrom="paragraph">
                  <wp:posOffset>276225</wp:posOffset>
                </wp:positionV>
                <wp:extent cx="5759450" cy="0"/>
                <wp:effectExtent l="0" t="4445" r="0" b="5080"/>
                <wp:wrapTopAndBottom/>
                <wp:docPr id="92" name="直接连接符 92"/>
                <wp:cNvGraphicFramePr/>
                <a:graphic xmlns:a="http://schemas.openxmlformats.org/drawingml/2006/main">
                  <a:graphicData uri="http://schemas.microsoft.com/office/word/2010/wordprocessingShape">
                    <wps:wsp>
                      <wps:cNvCnPr/>
                      <wps:spPr>
                        <a:xfrm>
                          <a:off x="0" y="0"/>
                          <a:ext cx="5759450" cy="0"/>
                        </a:xfrm>
                        <a:prstGeom prst="line">
                          <a:avLst/>
                        </a:prstGeom>
                        <a:ln w="3594" cap="flat" cmpd="sng">
                          <a:solidFill>
                            <a:srgbClr val="231F2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5pt;margin-top:21.75pt;height:0pt;width:453.5pt;mso-position-horizontal-relative:page;mso-wrap-distance-bottom:0pt;mso-wrap-distance-top:0pt;z-index:251665408;mso-width-relative:page;mso-height-relative:page;" filled="f" stroked="t" coordsize="21600,21600" o:gfxdata="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xWlH2AAAAAoBAAAPAAAAAAAAAAEAIAAAACIAAABkcnMvZG93bnJldi54bWxQ&#10;SwECFAAUAAAACACHTuJA4qKJZvcBAADmAwAADgAAAAAAAAABACAAAAAnAQAAZHJzL2Uyb0RvYy54&#10;bWxQSwUGAAAAAAYABgBZAQAAkAUAAAAA&#10;">
                <v:fill on="f" focussize="0,0"/>
                <v:stroke weight="0.282992125984252pt" color="#231F20" joinstyle="round"/>
                <v:imagedata o:title=""/>
                <o:lock v:ext="edit" aspectratio="f"/>
                <w10:wrap type="topAndBottom"/>
              </v:line>
            </w:pict>
          </mc:Fallback>
        </mc:AlternateContent>
      </w:r>
    </w:p>
    <w:p w14:paraId="17C0CDBC">
      <w:pPr>
        <w:widowControl w:val="0"/>
        <w:tabs>
          <w:tab w:val="left" w:pos="9068"/>
        </w:tabs>
        <w:autoSpaceDE w:val="0"/>
        <w:autoSpaceDN w:val="0"/>
        <w:spacing w:before="30" w:after="0" w:line="240" w:lineRule="auto"/>
        <w:ind w:left="117" w:right="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68063270">
      <w:pPr>
        <w:widowControl w:val="0"/>
        <w:numPr>
          <w:ilvl w:val="0"/>
          <w:numId w:val="17"/>
        </w:numPr>
        <w:tabs>
          <w:tab w:val="left" w:pos="802"/>
        </w:tabs>
        <w:autoSpaceDE w:val="0"/>
        <w:autoSpaceDN w:val="0"/>
        <w:spacing w:before="40" w:after="0" w:line="240" w:lineRule="auto"/>
        <w:ind w:left="801" w:right="0" w:hanging="244"/>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补充条款</w:t>
      </w:r>
    </w:p>
    <w:p w14:paraId="52879261">
      <w:pPr>
        <w:pStyle w:val="4"/>
        <w:rPr>
          <w:rFonts w:hint="eastAsia" w:ascii="宋体" w:hAnsi="宋体" w:eastAsia="宋体" w:cs="宋体"/>
          <w:sz w:val="28"/>
          <w:szCs w:val="20"/>
          <w:highlight w:val="none"/>
          <w:lang w:val="en-US" w:eastAsia="en-US"/>
        </w:rPr>
      </w:pPr>
    </w:p>
    <w:p w14:paraId="7496AF35">
      <w:pPr>
        <w:widowControl w:val="0"/>
        <w:autoSpaceDE w:val="0"/>
        <w:autoSpaceDN w:val="0"/>
        <w:spacing w:before="5" w:after="0" w:line="240" w:lineRule="auto"/>
        <w:ind w:left="0" w:right="0"/>
        <w:jc w:val="left"/>
        <w:rPr>
          <w:rFonts w:hint="eastAsia" w:ascii="宋体" w:hAnsi="宋体" w:eastAsia="宋体" w:cs="宋体"/>
          <w:sz w:val="24"/>
          <w:szCs w:val="20"/>
          <w:highlight w:val="none"/>
        </w:rPr>
        <w:sectPr>
          <w:pgSz w:w="11910" w:h="16840"/>
          <w:pgMar w:top="1580" w:right="1300" w:bottom="1020" w:left="1300" w:header="0" w:footer="832" w:gutter="0"/>
          <w:pgNumType w:fmt="decimal"/>
          <w:cols w:space="720" w:num="1"/>
        </w:sectPr>
      </w:pPr>
      <w:r>
        <w:rPr>
          <w:rFonts w:hint="eastAsia" w:ascii="宋体" w:hAnsi="宋体" w:eastAsia="宋体" w:cs="宋体"/>
          <w:sz w:val="24"/>
          <w:szCs w:val="24"/>
          <w:highlight w:val="none"/>
          <w:lang w:val="en-US" w:eastAsia="en-US" w:bidi="ar-SA"/>
        </w:rPr>
        <mc:AlternateContent>
          <mc:Choice Requires="wps">
            <w:drawing>
              <wp:anchor distT="0" distB="0" distL="114300" distR="114300" simplePos="0" relativeHeight="251665408" behindDoc="0" locked="0" layoutInCell="1" allowOverlap="1">
                <wp:simplePos x="0" y="0"/>
                <wp:positionH relativeFrom="page">
                  <wp:posOffset>899795</wp:posOffset>
                </wp:positionH>
                <wp:positionV relativeFrom="paragraph">
                  <wp:posOffset>151130</wp:posOffset>
                </wp:positionV>
                <wp:extent cx="5759450" cy="0"/>
                <wp:effectExtent l="0" t="4445" r="0" b="5080"/>
                <wp:wrapTopAndBottom/>
                <wp:docPr id="93" name="直接连接符 93"/>
                <wp:cNvGraphicFramePr/>
                <a:graphic xmlns:a="http://schemas.openxmlformats.org/drawingml/2006/main">
                  <a:graphicData uri="http://schemas.microsoft.com/office/word/2010/wordprocessingShape">
                    <wps:wsp>
                      <wps:cNvCnPr/>
                      <wps:spPr>
                        <a:xfrm>
                          <a:off x="0" y="0"/>
                          <a:ext cx="5759450" cy="0"/>
                        </a:xfrm>
                        <a:prstGeom prst="line">
                          <a:avLst/>
                        </a:prstGeom>
                        <a:ln w="3594" cap="flat" cmpd="sng">
                          <a:solidFill>
                            <a:srgbClr val="231F2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5pt;margin-top:11.9pt;height:0pt;width:453.5pt;mso-position-horizontal-relative:page;mso-wrap-distance-bottom:0pt;mso-wrap-distance-top:0pt;z-index:251665408;mso-width-relative:page;mso-height-relative:page;" filled="f" stroked="t" coordsize="21600,21600" o:gfxdata="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4M9yNcAAAAKAQAADwAAAAAAAAABACAAAAAiAAAAZHJzL2Rvd25yZXYueG1sUEsB&#10;AhQAFAAAAAgAh07iQH/Czab2AQAA5gMAAA4AAAAAAAAAAQAgAAAAJgEAAGRycy9lMm9Eb2MueG1s&#10;UEsFBgAAAAAGAAYAWQEAAI4FAAAAAA==&#10;">
                <v:fill on="f" focussize="0,0"/>
                <v:stroke weight="0.282992125984252pt" color="#231F20" joinstyle="round"/>
                <v:imagedata o:title=""/>
                <o:lock v:ext="edit" aspectratio="f"/>
                <w10:wrap type="topAndBottom"/>
              </v:line>
            </w:pict>
          </mc:Fallback>
        </mc:AlternateContent>
      </w:r>
    </w:p>
    <w:p w14:paraId="13962C71">
      <w:pPr>
        <w:spacing w:after="0"/>
        <w:rPr>
          <w:rFonts w:hint="eastAsia" w:ascii="宋体" w:hAnsi="宋体" w:eastAsia="宋体" w:cs="宋体"/>
          <w:sz w:val="24"/>
          <w:szCs w:val="24"/>
          <w:highlight w:val="none"/>
        </w:rPr>
        <w:sectPr>
          <w:pgSz w:w="11910" w:h="16840"/>
          <w:pgMar w:top="1580" w:right="1200" w:bottom="1020" w:left="1300" w:header="0" w:footer="832" w:gutter="0"/>
          <w:pgNumType w:fmt="decimal"/>
          <w:cols w:space="720" w:num="1"/>
        </w:sectPr>
      </w:pPr>
    </w:p>
    <w:p w14:paraId="292E575E">
      <w:pPr>
        <w:widowControl w:val="0"/>
        <w:autoSpaceDE w:val="0"/>
        <w:autoSpaceDN w:val="0"/>
        <w:spacing w:before="24"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3"/>
          <w:sz w:val="24"/>
          <w:szCs w:val="24"/>
          <w:highlight w:val="none"/>
          <w:lang w:val="en-US" w:eastAsia="en-US" w:bidi="ar-SA"/>
        </w:rPr>
        <w:t xml:space="preserve">附录 </w:t>
      </w:r>
      <w:r>
        <w:rPr>
          <w:rFonts w:hint="eastAsia" w:ascii="宋体" w:hAnsi="宋体" w:eastAsia="宋体" w:cs="宋体"/>
          <w:color w:val="231F20"/>
          <w:sz w:val="24"/>
          <w:szCs w:val="24"/>
          <w:highlight w:val="none"/>
          <w:lang w:val="en-US" w:eastAsia="en-US" w:bidi="ar-SA"/>
        </w:rPr>
        <w:t>A</w:t>
      </w:r>
    </w:p>
    <w:p w14:paraId="64159613">
      <w:pPr>
        <w:widowControl w:val="0"/>
        <w:autoSpaceDE w:val="0"/>
        <w:autoSpaceDN w:val="0"/>
        <w:spacing w:before="7" w:after="0" w:line="240" w:lineRule="auto"/>
        <w:ind w:left="0" w:right="0"/>
        <w:jc w:val="left"/>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w:br w:type="column"/>
      </w:r>
    </w:p>
    <w:p w14:paraId="6CD16C36">
      <w:pPr>
        <w:autoSpaceDE w:val="0"/>
        <w:autoSpaceDN w:val="0"/>
        <w:adjustRightInd/>
        <w:spacing w:before="0" w:after="0" w:line="240" w:lineRule="auto"/>
        <w:ind w:left="557" w:right="0" w:firstLine="0"/>
        <w:jc w:val="left"/>
        <w:textAlignment w:val="auto"/>
        <w:rPr>
          <w:rFonts w:hint="eastAsia" w:ascii="宋体" w:hAnsi="宋体" w:eastAsia="宋体" w:cs="宋体"/>
          <w:sz w:val="24"/>
          <w:szCs w:val="24"/>
          <w:highlight w:val="none"/>
          <w:lang w:eastAsia="en-US"/>
        </w:rPr>
      </w:pPr>
      <w:r>
        <w:rPr>
          <w:rFonts w:hint="eastAsia" w:ascii="宋体" w:hAnsi="宋体" w:eastAsia="宋体" w:cs="宋体"/>
          <w:color w:val="231F20"/>
          <w:sz w:val="24"/>
          <w:szCs w:val="24"/>
          <w:highlight w:val="none"/>
          <w:lang w:eastAsia="en-US"/>
        </w:rPr>
        <w:t>相关服务的范围和内容</w:t>
      </w:r>
    </w:p>
    <w:p w14:paraId="00FED928">
      <w:pPr>
        <w:spacing w:after="0"/>
        <w:jc w:val="left"/>
        <w:rPr>
          <w:rFonts w:hint="eastAsia" w:ascii="宋体" w:hAnsi="宋体" w:eastAsia="宋体" w:cs="宋体"/>
          <w:sz w:val="24"/>
          <w:szCs w:val="24"/>
          <w:highlight w:val="none"/>
        </w:rPr>
        <w:sectPr>
          <w:type w:val="continuous"/>
          <w:pgSz w:w="11910" w:h="16840"/>
          <w:pgMar w:top="1580" w:right="1200" w:bottom="1020" w:left="1300" w:header="720" w:footer="720" w:gutter="0"/>
          <w:pgNumType w:fmt="decimal"/>
          <w:cols w:equalWidth="0" w:num="2">
            <w:col w:w="1199" w:space="1597"/>
            <w:col w:w="6614"/>
          </w:cols>
        </w:sectPr>
      </w:pPr>
    </w:p>
    <w:p w14:paraId="668F6EE9">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07CCEE63">
      <w:pPr>
        <w:widowControl w:val="0"/>
        <w:autoSpaceDE w:val="0"/>
        <w:autoSpaceDN w:val="0"/>
        <w:spacing w:before="10" w:after="0" w:line="240" w:lineRule="auto"/>
        <w:ind w:left="0" w:right="0"/>
        <w:jc w:val="left"/>
        <w:rPr>
          <w:rFonts w:hint="eastAsia" w:ascii="宋体" w:hAnsi="宋体" w:eastAsia="宋体" w:cs="宋体"/>
          <w:sz w:val="24"/>
          <w:szCs w:val="24"/>
          <w:highlight w:val="none"/>
          <w:lang w:val="en-US" w:eastAsia="en-US" w:bidi="ar-SA"/>
        </w:rPr>
      </w:pPr>
    </w:p>
    <w:p w14:paraId="5A097C09">
      <w:pPr>
        <w:widowControl w:val="0"/>
        <w:tabs>
          <w:tab w:val="left" w:pos="9188"/>
        </w:tabs>
        <w:autoSpaceDE w:val="0"/>
        <w:autoSpaceDN w:val="0"/>
        <w:spacing w:before="23"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A-1</w:t>
      </w:r>
      <w:r>
        <w:rPr>
          <w:rFonts w:hint="eastAsia" w:ascii="宋体" w:hAnsi="宋体" w:eastAsia="宋体" w:cs="宋体"/>
          <w:color w:val="231F20"/>
          <w:spacing w:val="-2"/>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勘察阶段</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p>
    <w:p w14:paraId="15D69EC2">
      <w:pPr>
        <w:widowControl w:val="0"/>
        <w:tabs>
          <w:tab w:val="left" w:pos="9078"/>
          <w:tab w:val="left" w:pos="9188"/>
        </w:tabs>
        <w:autoSpaceDE w:val="0"/>
        <w:autoSpaceDN w:val="0"/>
        <w:spacing w:before="109" w:after="0" w:line="319" w:lineRule="auto"/>
        <w:ind w:left="557" w:right="105" w:hanging="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。A-2</w:t>
      </w:r>
      <w:r>
        <w:rPr>
          <w:rFonts w:hint="eastAsia" w:ascii="宋体" w:hAnsi="宋体" w:eastAsia="宋体" w:cs="宋体"/>
          <w:color w:val="231F20"/>
          <w:spacing w:val="-2"/>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设计阶段</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p>
    <w:p w14:paraId="0402620C">
      <w:pPr>
        <w:widowControl w:val="0"/>
        <w:tabs>
          <w:tab w:val="left" w:pos="9078"/>
          <w:tab w:val="left" w:pos="9188"/>
        </w:tabs>
        <w:autoSpaceDE w:val="0"/>
        <w:autoSpaceDN w:val="0"/>
        <w:spacing w:before="25" w:after="0" w:line="319" w:lineRule="auto"/>
        <w:ind w:left="557" w:right="105" w:hanging="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。A-3</w:t>
      </w:r>
      <w:r>
        <w:rPr>
          <w:rFonts w:hint="eastAsia" w:ascii="宋体" w:hAnsi="宋体" w:eastAsia="宋体" w:cs="宋体"/>
          <w:color w:val="231F20"/>
          <w:spacing w:val="-3"/>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保修阶段</w:t>
      </w:r>
      <w:r>
        <w:rPr>
          <w:rFonts w:hint="eastAsia" w:ascii="宋体" w:hAnsi="宋体" w:eastAsia="宋体" w:cs="宋体"/>
          <w:color w:val="231F20"/>
          <w:sz w:val="24"/>
          <w:szCs w:val="24"/>
          <w:highlight w:val="none"/>
          <w:u w:val="single" w:color="231F20"/>
          <w:lang w:val="en-US" w:eastAsia="en-US" w:bidi="ar-SA"/>
        </w:rPr>
        <w:t>：</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p>
    <w:p w14:paraId="54B1E823">
      <w:pPr>
        <w:widowControl w:val="0"/>
        <w:tabs>
          <w:tab w:val="left" w:pos="9078"/>
          <w:tab w:val="left" w:pos="9188"/>
        </w:tabs>
        <w:autoSpaceDE w:val="0"/>
        <w:autoSpaceDN w:val="0"/>
        <w:spacing w:before="25" w:after="0" w:line="319" w:lineRule="auto"/>
        <w:ind w:left="557" w:right="105" w:hanging="44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。A-4</w:t>
      </w:r>
      <w:r>
        <w:rPr>
          <w:rFonts w:hint="eastAsia" w:ascii="宋体" w:hAnsi="宋体" w:eastAsia="宋体" w:cs="宋体"/>
          <w:color w:val="231F20"/>
          <w:spacing w:val="-2"/>
          <w:sz w:val="24"/>
          <w:szCs w:val="24"/>
          <w:highlight w:val="none"/>
          <w:lang w:val="en-US" w:eastAsia="en-US" w:bidi="ar-SA"/>
        </w:rPr>
        <w:t xml:space="preserve"> </w:t>
      </w:r>
      <w:r>
        <w:rPr>
          <w:rFonts w:hint="eastAsia" w:ascii="宋体" w:hAnsi="宋体" w:eastAsia="宋体" w:cs="宋体"/>
          <w:color w:val="231F20"/>
          <w:sz w:val="24"/>
          <w:szCs w:val="24"/>
          <w:highlight w:val="none"/>
          <w:lang w:val="en-US" w:eastAsia="en-US" w:bidi="ar-SA"/>
        </w:rPr>
        <w:t>其他（专业技术咨询、外部协调工作等</w:t>
      </w:r>
      <w:r>
        <w:rPr>
          <w:rFonts w:hint="eastAsia" w:ascii="宋体" w:hAnsi="宋体" w:eastAsia="宋体" w:cs="宋体"/>
          <w:color w:val="231F20"/>
          <w:spacing w:val="-28"/>
          <w:sz w:val="24"/>
          <w:szCs w:val="24"/>
          <w:highlight w:val="none"/>
          <w:lang w:val="en-US" w:eastAsia="en-US" w:bidi="ar-SA"/>
        </w:rPr>
        <w:t>）：</w:t>
      </w:r>
      <w:r>
        <w:rPr>
          <w:rFonts w:hint="eastAsia" w:ascii="宋体" w:hAnsi="宋体" w:eastAsia="宋体" w:cs="宋体"/>
          <w:color w:val="231F20"/>
          <w:spacing w:val="-28"/>
          <w:sz w:val="24"/>
          <w:szCs w:val="24"/>
          <w:highlight w:val="none"/>
          <w:lang w:val="en-US" w:eastAsia="en-US" w:bidi="ar-SA"/>
        </w:rPr>
        <w:tab/>
      </w:r>
      <w:r>
        <w:rPr>
          <w:rFonts w:hint="eastAsia" w:ascii="宋体" w:hAnsi="宋体" w:eastAsia="宋体" w:cs="宋体"/>
          <w:color w:val="231F20"/>
          <w:spacing w:val="-28"/>
          <w:sz w:val="24"/>
          <w:szCs w:val="24"/>
          <w:highlight w:val="none"/>
          <w:lang w:val="en-US" w:eastAsia="en-US" w:bidi="ar-SA"/>
        </w:rPr>
        <w:tab/>
      </w:r>
    </w:p>
    <w:p w14:paraId="21F71538">
      <w:pPr>
        <w:widowControl w:val="0"/>
        <w:tabs>
          <w:tab w:val="left" w:pos="9078"/>
        </w:tabs>
        <w:autoSpaceDE w:val="0"/>
        <w:autoSpaceDN w:val="0"/>
        <w:spacing w:before="25" w:after="0" w:line="240" w:lineRule="auto"/>
        <w:ind w:left="11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u w:val="single" w:color="231F20"/>
          <w:lang w:val="en-US" w:eastAsia="en-US" w:bidi="ar-SA"/>
        </w:rPr>
        <w:t xml:space="preserve"> </w:t>
      </w:r>
      <w:r>
        <w:rPr>
          <w:rFonts w:hint="eastAsia" w:ascii="宋体" w:hAnsi="宋体" w:eastAsia="宋体" w:cs="宋体"/>
          <w:color w:val="231F20"/>
          <w:sz w:val="24"/>
          <w:szCs w:val="24"/>
          <w:highlight w:val="none"/>
          <w:u w:val="single" w:color="231F20"/>
          <w:lang w:val="en-US" w:eastAsia="en-US" w:bidi="ar-SA"/>
        </w:rPr>
        <w:tab/>
      </w:r>
      <w:r>
        <w:rPr>
          <w:rFonts w:hint="eastAsia" w:ascii="宋体" w:hAnsi="宋体" w:eastAsia="宋体" w:cs="宋体"/>
          <w:color w:val="231F20"/>
          <w:sz w:val="24"/>
          <w:szCs w:val="24"/>
          <w:highlight w:val="none"/>
          <w:lang w:val="en-US" w:eastAsia="en-US" w:bidi="ar-SA"/>
        </w:rPr>
        <w:t>。</w:t>
      </w:r>
    </w:p>
    <w:p w14:paraId="29045EBB">
      <w:pPr>
        <w:spacing w:after="0"/>
        <w:rPr>
          <w:rFonts w:hint="eastAsia" w:ascii="宋体" w:hAnsi="宋体" w:eastAsia="宋体" w:cs="宋体"/>
          <w:sz w:val="24"/>
          <w:szCs w:val="24"/>
          <w:highlight w:val="none"/>
        </w:rPr>
        <w:sectPr>
          <w:type w:val="continuous"/>
          <w:pgSz w:w="11910" w:h="16840"/>
          <w:pgMar w:top="1580" w:right="1200" w:bottom="1020" w:left="1300" w:header="720" w:footer="720" w:gutter="0"/>
          <w:pgNumType w:fmt="decimal"/>
          <w:cols w:space="720" w:num="1"/>
        </w:sectPr>
      </w:pPr>
    </w:p>
    <w:p w14:paraId="78ED5A65">
      <w:pPr>
        <w:widowControl w:val="0"/>
        <w:autoSpaceDE w:val="0"/>
        <w:autoSpaceDN w:val="0"/>
        <w:spacing w:before="18" w:after="0" w:line="240" w:lineRule="auto"/>
        <w:ind w:left="557"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pacing w:val="-3"/>
          <w:sz w:val="24"/>
          <w:szCs w:val="24"/>
          <w:highlight w:val="none"/>
          <w:lang w:val="en-US" w:eastAsia="en-US" w:bidi="ar-SA"/>
        </w:rPr>
        <w:t xml:space="preserve">附录 </w:t>
      </w:r>
      <w:r>
        <w:rPr>
          <w:rFonts w:hint="eastAsia" w:ascii="宋体" w:hAnsi="宋体" w:eastAsia="宋体" w:cs="宋体"/>
          <w:color w:val="231F20"/>
          <w:sz w:val="24"/>
          <w:szCs w:val="24"/>
          <w:highlight w:val="none"/>
          <w:lang w:val="en-US" w:eastAsia="en-US" w:bidi="ar-SA"/>
        </w:rPr>
        <w:t>B</w:t>
      </w:r>
    </w:p>
    <w:p w14:paraId="6591545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r>
        <w:rPr>
          <w:rFonts w:hint="eastAsia" w:ascii="宋体" w:hAnsi="宋体" w:eastAsia="宋体" w:cs="宋体"/>
          <w:sz w:val="24"/>
          <w:szCs w:val="24"/>
          <w:highlight w:val="none"/>
          <w:lang w:val="en-US" w:eastAsia="en-US" w:bidi="ar-SA"/>
        </w:rPr>
        <w:br w:type="column"/>
      </w:r>
    </w:p>
    <w:p w14:paraId="4685E6D1">
      <w:pPr>
        <w:widowControl w:val="0"/>
        <w:autoSpaceDE w:val="0"/>
        <w:autoSpaceDN w:val="0"/>
        <w:spacing w:before="1" w:after="0" w:line="276" w:lineRule="auto"/>
        <w:ind w:left="1811" w:right="2050" w:hanging="1254"/>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委托人派遣的人员和提供的房屋、资料、设备B-1 委托人派遣的人员</w:t>
      </w:r>
    </w:p>
    <w:p w14:paraId="7958E0D5">
      <w:pPr>
        <w:spacing w:after="0" w:line="276" w:lineRule="auto"/>
        <w:rPr>
          <w:rFonts w:hint="eastAsia" w:ascii="宋体" w:hAnsi="宋体" w:eastAsia="宋体" w:cs="宋体"/>
          <w:sz w:val="24"/>
          <w:szCs w:val="24"/>
          <w:highlight w:val="none"/>
        </w:rPr>
        <w:sectPr>
          <w:pgSz w:w="11910" w:h="16840"/>
          <w:pgMar w:top="1580" w:right="1300" w:bottom="1020" w:left="1300" w:header="0" w:footer="832" w:gutter="0"/>
          <w:pgNumType w:fmt="decimal"/>
          <w:cols w:equalWidth="0" w:num="2">
            <w:col w:w="1199" w:space="297"/>
            <w:col w:w="7814"/>
          </w:cols>
        </w:sectPr>
      </w:pPr>
    </w:p>
    <w:p w14:paraId="48A5FBC2">
      <w:pPr>
        <w:widowControl w:val="0"/>
        <w:autoSpaceDE w:val="0"/>
        <w:autoSpaceDN w:val="0"/>
        <w:spacing w:before="13" w:after="0" w:line="240" w:lineRule="auto"/>
        <w:ind w:left="0" w:right="0"/>
        <w:jc w:val="left"/>
        <w:rPr>
          <w:rFonts w:hint="eastAsia" w:ascii="宋体" w:hAnsi="宋体" w:eastAsia="宋体" w:cs="宋体"/>
          <w:sz w:val="24"/>
          <w:szCs w:val="24"/>
          <w:highlight w:val="none"/>
          <w:lang w:val="en-US" w:eastAsia="en-US" w:bidi="ar-SA"/>
        </w:rPr>
      </w:pPr>
    </w:p>
    <w:tbl>
      <w:tblPr>
        <w:tblStyle w:val="19"/>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970"/>
        <w:gridCol w:w="1872"/>
        <w:gridCol w:w="2253"/>
        <w:gridCol w:w="1967"/>
      </w:tblGrid>
      <w:tr w14:paraId="5AEABE0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06CD958B">
            <w:pPr>
              <w:widowControl w:val="0"/>
              <w:autoSpaceDE w:val="0"/>
              <w:autoSpaceDN w:val="0"/>
              <w:spacing w:before="44" w:after="0" w:line="240" w:lineRule="auto"/>
              <w:ind w:left="1284" w:right="1275"/>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名称</w:t>
            </w:r>
          </w:p>
        </w:tc>
        <w:tc>
          <w:tcPr>
            <w:tcW w:w="1872" w:type="dxa"/>
          </w:tcPr>
          <w:p w14:paraId="3850A1AC">
            <w:pPr>
              <w:widowControl w:val="0"/>
              <w:autoSpaceDE w:val="0"/>
              <w:autoSpaceDN w:val="0"/>
              <w:spacing w:before="44" w:after="0" w:line="240" w:lineRule="auto"/>
              <w:ind w:left="735" w:right="727"/>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数量</w:t>
            </w:r>
          </w:p>
        </w:tc>
        <w:tc>
          <w:tcPr>
            <w:tcW w:w="2253" w:type="dxa"/>
          </w:tcPr>
          <w:p w14:paraId="5DFF831D">
            <w:pPr>
              <w:widowControl w:val="0"/>
              <w:autoSpaceDE w:val="0"/>
              <w:autoSpaceDN w:val="0"/>
              <w:spacing w:before="44" w:after="0" w:line="240" w:lineRule="auto"/>
              <w:ind w:left="745" w:right="737"/>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工作要求</w:t>
            </w:r>
          </w:p>
        </w:tc>
        <w:tc>
          <w:tcPr>
            <w:tcW w:w="1967" w:type="dxa"/>
          </w:tcPr>
          <w:p w14:paraId="322424CF">
            <w:pPr>
              <w:widowControl w:val="0"/>
              <w:autoSpaceDE w:val="0"/>
              <w:autoSpaceDN w:val="0"/>
              <w:spacing w:before="44" w:after="0" w:line="240" w:lineRule="auto"/>
              <w:ind w:left="622"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提供时间</w:t>
            </w:r>
          </w:p>
        </w:tc>
      </w:tr>
      <w:tr w14:paraId="3C36C7C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0163A9DD">
            <w:pPr>
              <w:widowControl w:val="0"/>
              <w:autoSpaceDE w:val="0"/>
              <w:autoSpaceDN w:val="0"/>
              <w:spacing w:before="44" w:after="0" w:line="240" w:lineRule="auto"/>
              <w:ind w:left="85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1. 工程技术人员</w:t>
            </w:r>
          </w:p>
        </w:tc>
        <w:tc>
          <w:tcPr>
            <w:tcW w:w="1872" w:type="dxa"/>
          </w:tcPr>
          <w:p w14:paraId="03862CEA">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4D91028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06052129">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7B4662A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0D766B34">
            <w:pPr>
              <w:widowControl w:val="0"/>
              <w:autoSpaceDE w:val="0"/>
              <w:autoSpaceDN w:val="0"/>
              <w:spacing w:before="44" w:after="0" w:line="240" w:lineRule="auto"/>
              <w:ind w:left="85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2. 辅助工作人员</w:t>
            </w:r>
          </w:p>
        </w:tc>
        <w:tc>
          <w:tcPr>
            <w:tcW w:w="1872" w:type="dxa"/>
          </w:tcPr>
          <w:p w14:paraId="0DE12B5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58C0C40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6C65FB6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48FC642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629F5BCE">
            <w:pPr>
              <w:widowControl w:val="0"/>
              <w:autoSpaceDE w:val="0"/>
              <w:autoSpaceDN w:val="0"/>
              <w:spacing w:before="44" w:after="0" w:line="240" w:lineRule="auto"/>
              <w:ind w:left="103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 其他人员</w:t>
            </w:r>
          </w:p>
        </w:tc>
        <w:tc>
          <w:tcPr>
            <w:tcW w:w="1872" w:type="dxa"/>
          </w:tcPr>
          <w:p w14:paraId="71CF54A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3FBCD61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5D98B8C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60EF843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70" w:type="dxa"/>
          </w:tcPr>
          <w:p w14:paraId="6B4F5C9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872" w:type="dxa"/>
          </w:tcPr>
          <w:p w14:paraId="4D11218E">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1368B8F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58CB1FB0">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bl>
    <w:p w14:paraId="2415A67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p w14:paraId="1CC90DC8">
      <w:pPr>
        <w:widowControl w:val="0"/>
        <w:autoSpaceDE w:val="0"/>
        <w:autoSpaceDN w:val="0"/>
        <w:spacing w:before="14" w:after="0" w:line="240" w:lineRule="auto"/>
        <w:ind w:left="0" w:right="0"/>
        <w:jc w:val="left"/>
        <w:rPr>
          <w:rFonts w:hint="eastAsia" w:ascii="宋体" w:hAnsi="宋体" w:eastAsia="宋体" w:cs="宋体"/>
          <w:sz w:val="24"/>
          <w:szCs w:val="24"/>
          <w:highlight w:val="none"/>
          <w:lang w:val="en-US" w:eastAsia="en-US" w:bidi="ar-SA"/>
        </w:rPr>
      </w:pPr>
    </w:p>
    <w:p w14:paraId="4E325786">
      <w:pPr>
        <w:widowControl w:val="0"/>
        <w:numPr>
          <w:ilvl w:val="1"/>
          <w:numId w:val="24"/>
        </w:numPr>
        <w:tabs>
          <w:tab w:val="left" w:pos="3919"/>
        </w:tabs>
        <w:autoSpaceDE w:val="0"/>
        <w:autoSpaceDN w:val="0"/>
        <w:spacing w:before="10" w:after="0" w:line="240" w:lineRule="auto"/>
        <w:ind w:left="3918" w:right="0" w:hanging="612"/>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委托人提供的房屋</w:t>
      </w:r>
    </w:p>
    <w:p w14:paraId="2571A1F1">
      <w:pPr>
        <w:widowControl w:val="0"/>
        <w:autoSpaceDE w:val="0"/>
        <w:autoSpaceDN w:val="0"/>
        <w:spacing w:before="13" w:after="0" w:line="240" w:lineRule="auto"/>
        <w:ind w:left="0" w:right="0"/>
        <w:jc w:val="left"/>
        <w:rPr>
          <w:rFonts w:hint="eastAsia" w:ascii="宋体" w:hAnsi="宋体" w:eastAsia="宋体" w:cs="宋体"/>
          <w:sz w:val="24"/>
          <w:szCs w:val="24"/>
          <w:highlight w:val="none"/>
          <w:lang w:val="en-US" w:eastAsia="en-US" w:bidi="ar-SA"/>
        </w:rPr>
      </w:pPr>
    </w:p>
    <w:tbl>
      <w:tblPr>
        <w:tblStyle w:val="19"/>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589"/>
        <w:gridCol w:w="2253"/>
        <w:gridCol w:w="2253"/>
        <w:gridCol w:w="1967"/>
      </w:tblGrid>
      <w:tr w14:paraId="4913988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7F293834">
            <w:pPr>
              <w:widowControl w:val="0"/>
              <w:autoSpaceDE w:val="0"/>
              <w:autoSpaceDN w:val="0"/>
              <w:spacing w:before="44" w:after="0" w:line="240" w:lineRule="auto"/>
              <w:ind w:left="464" w:right="455"/>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名称</w:t>
            </w:r>
          </w:p>
        </w:tc>
        <w:tc>
          <w:tcPr>
            <w:tcW w:w="2253" w:type="dxa"/>
          </w:tcPr>
          <w:p w14:paraId="112AD5E4">
            <w:pPr>
              <w:widowControl w:val="0"/>
              <w:autoSpaceDE w:val="0"/>
              <w:autoSpaceDN w:val="0"/>
              <w:spacing w:before="44" w:after="0" w:line="240" w:lineRule="auto"/>
              <w:ind w:left="745" w:right="736"/>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数量</w:t>
            </w:r>
          </w:p>
        </w:tc>
        <w:tc>
          <w:tcPr>
            <w:tcW w:w="2253" w:type="dxa"/>
          </w:tcPr>
          <w:p w14:paraId="0AE34AB5">
            <w:pPr>
              <w:widowControl w:val="0"/>
              <w:autoSpaceDE w:val="0"/>
              <w:autoSpaceDN w:val="0"/>
              <w:spacing w:before="44" w:after="0" w:line="240" w:lineRule="auto"/>
              <w:ind w:left="745" w:right="737"/>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面积</w:t>
            </w:r>
          </w:p>
        </w:tc>
        <w:tc>
          <w:tcPr>
            <w:tcW w:w="1967" w:type="dxa"/>
          </w:tcPr>
          <w:p w14:paraId="53BBBE51">
            <w:pPr>
              <w:widowControl w:val="0"/>
              <w:autoSpaceDE w:val="0"/>
              <w:autoSpaceDN w:val="0"/>
              <w:spacing w:before="44" w:after="0" w:line="240" w:lineRule="auto"/>
              <w:ind w:left="622"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提供时间</w:t>
            </w:r>
          </w:p>
        </w:tc>
      </w:tr>
      <w:tr w14:paraId="467211A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1AA4054F">
            <w:pPr>
              <w:widowControl w:val="0"/>
              <w:autoSpaceDE w:val="0"/>
              <w:autoSpaceDN w:val="0"/>
              <w:spacing w:before="44" w:after="0" w:line="240" w:lineRule="auto"/>
              <w:ind w:left="84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1. 办公用房</w:t>
            </w:r>
          </w:p>
        </w:tc>
        <w:tc>
          <w:tcPr>
            <w:tcW w:w="2253" w:type="dxa"/>
          </w:tcPr>
          <w:p w14:paraId="56FAA9B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00571F20">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79B03C61">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6F1BFAC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4E524C97">
            <w:pPr>
              <w:widowControl w:val="0"/>
              <w:autoSpaceDE w:val="0"/>
              <w:autoSpaceDN w:val="0"/>
              <w:spacing w:before="44" w:after="0" w:line="240" w:lineRule="auto"/>
              <w:ind w:left="84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2. 生活用房</w:t>
            </w:r>
          </w:p>
        </w:tc>
        <w:tc>
          <w:tcPr>
            <w:tcW w:w="2253" w:type="dxa"/>
          </w:tcPr>
          <w:p w14:paraId="62C7138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0272DD7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54D16E0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3361CDB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648D5A95">
            <w:pPr>
              <w:widowControl w:val="0"/>
              <w:autoSpaceDE w:val="0"/>
              <w:autoSpaceDN w:val="0"/>
              <w:spacing w:before="44" w:after="0" w:line="240" w:lineRule="auto"/>
              <w:ind w:left="84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 试验用房</w:t>
            </w:r>
          </w:p>
        </w:tc>
        <w:tc>
          <w:tcPr>
            <w:tcW w:w="2253" w:type="dxa"/>
          </w:tcPr>
          <w:p w14:paraId="1A7D1F4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68FC229E">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222A19C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2F46DE3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2D72D8F2">
            <w:pPr>
              <w:widowControl w:val="0"/>
              <w:autoSpaceDE w:val="0"/>
              <w:autoSpaceDN w:val="0"/>
              <w:spacing w:before="44" w:after="0" w:line="240" w:lineRule="auto"/>
              <w:ind w:left="84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4. 样品用房</w:t>
            </w:r>
          </w:p>
        </w:tc>
        <w:tc>
          <w:tcPr>
            <w:tcW w:w="2253" w:type="dxa"/>
          </w:tcPr>
          <w:p w14:paraId="11DAB73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03F448A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6396E5EA">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75E84F3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591BEFD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60491597">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2E4597F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21731950">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54D427E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589" w:type="dxa"/>
          </w:tcPr>
          <w:p w14:paraId="53B92C2E">
            <w:pPr>
              <w:widowControl w:val="0"/>
              <w:autoSpaceDE w:val="0"/>
              <w:autoSpaceDN w:val="0"/>
              <w:spacing w:before="44" w:after="0" w:line="240" w:lineRule="auto"/>
              <w:ind w:left="464" w:right="455"/>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用餐及其他生活条件</w:t>
            </w:r>
          </w:p>
        </w:tc>
        <w:tc>
          <w:tcPr>
            <w:tcW w:w="6473" w:type="dxa"/>
            <w:gridSpan w:val="3"/>
          </w:tcPr>
          <w:p w14:paraId="6A768E7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bl>
    <w:p w14:paraId="28E91ED7">
      <w:pPr>
        <w:widowControl w:val="0"/>
        <w:autoSpaceDE w:val="0"/>
        <w:autoSpaceDN w:val="0"/>
        <w:spacing w:before="9" w:after="0" w:line="240" w:lineRule="auto"/>
        <w:ind w:left="0" w:right="0"/>
        <w:jc w:val="left"/>
        <w:rPr>
          <w:rFonts w:hint="eastAsia" w:ascii="宋体" w:hAnsi="宋体" w:eastAsia="宋体" w:cs="宋体"/>
          <w:sz w:val="24"/>
          <w:szCs w:val="24"/>
          <w:highlight w:val="none"/>
          <w:lang w:val="en-US" w:eastAsia="en-US" w:bidi="ar-SA"/>
        </w:rPr>
      </w:pPr>
    </w:p>
    <w:p w14:paraId="69B2BC30">
      <w:pPr>
        <w:widowControl w:val="0"/>
        <w:numPr>
          <w:ilvl w:val="1"/>
          <w:numId w:val="24"/>
        </w:numPr>
        <w:tabs>
          <w:tab w:val="left" w:pos="3919"/>
        </w:tabs>
        <w:autoSpaceDE w:val="0"/>
        <w:autoSpaceDN w:val="0"/>
        <w:spacing w:before="0" w:after="0" w:line="240" w:lineRule="auto"/>
        <w:ind w:left="3918" w:right="0" w:hanging="612"/>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委托人提供的资料</w:t>
      </w:r>
    </w:p>
    <w:p w14:paraId="42DE78C9">
      <w:pPr>
        <w:widowControl w:val="0"/>
        <w:autoSpaceDE w:val="0"/>
        <w:autoSpaceDN w:val="0"/>
        <w:spacing w:before="12" w:after="1" w:line="240" w:lineRule="auto"/>
        <w:ind w:left="0" w:right="0"/>
        <w:jc w:val="left"/>
        <w:rPr>
          <w:rFonts w:hint="eastAsia" w:ascii="宋体" w:hAnsi="宋体" w:eastAsia="宋体" w:cs="宋体"/>
          <w:sz w:val="24"/>
          <w:szCs w:val="24"/>
          <w:highlight w:val="none"/>
          <w:lang w:val="en-US" w:eastAsia="en-US" w:bidi="ar-SA"/>
        </w:rPr>
      </w:pPr>
    </w:p>
    <w:tbl>
      <w:tblPr>
        <w:tblStyle w:val="19"/>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980"/>
        <w:gridCol w:w="1586"/>
        <w:gridCol w:w="2284"/>
        <w:gridCol w:w="2215"/>
      </w:tblGrid>
      <w:tr w14:paraId="6C56C30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0E1AD1FD">
            <w:pPr>
              <w:widowControl w:val="0"/>
              <w:autoSpaceDE w:val="0"/>
              <w:autoSpaceDN w:val="0"/>
              <w:spacing w:before="44" w:after="0" w:line="240" w:lineRule="auto"/>
              <w:ind w:right="1281"/>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名称</w:t>
            </w:r>
          </w:p>
        </w:tc>
        <w:tc>
          <w:tcPr>
            <w:tcW w:w="1586" w:type="dxa"/>
          </w:tcPr>
          <w:p w14:paraId="458AA0FC">
            <w:pPr>
              <w:widowControl w:val="0"/>
              <w:autoSpaceDE w:val="0"/>
              <w:autoSpaceDN w:val="0"/>
              <w:spacing w:before="44" w:after="0" w:line="240" w:lineRule="auto"/>
              <w:ind w:right="584"/>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份数</w:t>
            </w:r>
          </w:p>
        </w:tc>
        <w:tc>
          <w:tcPr>
            <w:tcW w:w="2284" w:type="dxa"/>
          </w:tcPr>
          <w:p w14:paraId="1F0696FB">
            <w:pPr>
              <w:widowControl w:val="0"/>
              <w:autoSpaceDE w:val="0"/>
              <w:autoSpaceDN w:val="0"/>
              <w:spacing w:before="44" w:after="0" w:line="240" w:lineRule="auto"/>
              <w:ind w:right="754"/>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提供时间</w:t>
            </w:r>
          </w:p>
        </w:tc>
        <w:tc>
          <w:tcPr>
            <w:tcW w:w="2215" w:type="dxa"/>
          </w:tcPr>
          <w:p w14:paraId="23398018">
            <w:pPr>
              <w:widowControl w:val="0"/>
              <w:autoSpaceDE w:val="0"/>
              <w:autoSpaceDN w:val="0"/>
              <w:spacing w:before="44" w:after="0" w:line="240" w:lineRule="auto"/>
              <w:ind w:right="900"/>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备注</w:t>
            </w:r>
          </w:p>
        </w:tc>
      </w:tr>
      <w:tr w14:paraId="6F0BFCF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80" w:hRule="atLeast"/>
        </w:trPr>
        <w:tc>
          <w:tcPr>
            <w:tcW w:w="2980" w:type="dxa"/>
          </w:tcPr>
          <w:p w14:paraId="4816FCE3">
            <w:pPr>
              <w:widowControl w:val="0"/>
              <w:autoSpaceDE w:val="0"/>
              <w:autoSpaceDN w:val="0"/>
              <w:spacing w:before="44" w:after="0" w:line="240" w:lineRule="auto"/>
              <w:ind w:left="86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1. 工程立项文件</w:t>
            </w:r>
          </w:p>
        </w:tc>
        <w:tc>
          <w:tcPr>
            <w:tcW w:w="1586" w:type="dxa"/>
          </w:tcPr>
          <w:p w14:paraId="3F02D2A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4FB29BC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6FB250E7">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390E917D">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2D173AEB">
            <w:pPr>
              <w:widowControl w:val="0"/>
              <w:autoSpaceDE w:val="0"/>
              <w:autoSpaceDN w:val="0"/>
              <w:spacing w:before="44" w:after="0" w:line="240" w:lineRule="auto"/>
              <w:ind w:left="86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2. 工程勘察文件</w:t>
            </w:r>
          </w:p>
        </w:tc>
        <w:tc>
          <w:tcPr>
            <w:tcW w:w="1586" w:type="dxa"/>
          </w:tcPr>
          <w:p w14:paraId="5552DB19">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657CB6C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61460EC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14F8686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780A27CC">
            <w:pPr>
              <w:widowControl w:val="0"/>
              <w:autoSpaceDE w:val="0"/>
              <w:autoSpaceDN w:val="0"/>
              <w:spacing w:before="44" w:after="0" w:line="240" w:lineRule="auto"/>
              <w:ind w:left="59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 工程设计及施工图纸</w:t>
            </w:r>
          </w:p>
        </w:tc>
        <w:tc>
          <w:tcPr>
            <w:tcW w:w="1586" w:type="dxa"/>
          </w:tcPr>
          <w:p w14:paraId="0CD0E1BB">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5F559A1E">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3A729F9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219585D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50869E9C">
            <w:pPr>
              <w:widowControl w:val="0"/>
              <w:autoSpaceDE w:val="0"/>
              <w:autoSpaceDN w:val="0"/>
              <w:spacing w:before="44" w:after="0" w:line="240" w:lineRule="auto"/>
              <w:ind w:left="23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4. 工程承包合同及其他相关合同</w:t>
            </w:r>
          </w:p>
        </w:tc>
        <w:tc>
          <w:tcPr>
            <w:tcW w:w="1586" w:type="dxa"/>
          </w:tcPr>
          <w:p w14:paraId="0FC8725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1E29C8D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2DB3A83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2A8547F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7F108546">
            <w:pPr>
              <w:widowControl w:val="0"/>
              <w:autoSpaceDE w:val="0"/>
              <w:autoSpaceDN w:val="0"/>
              <w:spacing w:before="44" w:after="0" w:line="240" w:lineRule="auto"/>
              <w:ind w:left="86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5. 施工许可文件</w:t>
            </w:r>
          </w:p>
        </w:tc>
        <w:tc>
          <w:tcPr>
            <w:tcW w:w="1586" w:type="dxa"/>
          </w:tcPr>
          <w:p w14:paraId="2D8510D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0D41FB4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55964566">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002D3B2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174F136B">
            <w:pPr>
              <w:widowControl w:val="0"/>
              <w:autoSpaceDE w:val="0"/>
              <w:autoSpaceDN w:val="0"/>
              <w:spacing w:before="44" w:after="0" w:line="240" w:lineRule="auto"/>
              <w:ind w:left="104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6. 其他文件</w:t>
            </w:r>
          </w:p>
        </w:tc>
        <w:tc>
          <w:tcPr>
            <w:tcW w:w="1586" w:type="dxa"/>
          </w:tcPr>
          <w:p w14:paraId="7C8C374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49C501D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478D215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512D758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2980" w:type="dxa"/>
          </w:tcPr>
          <w:p w14:paraId="5E47295F">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586" w:type="dxa"/>
          </w:tcPr>
          <w:p w14:paraId="7975C97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84" w:type="dxa"/>
          </w:tcPr>
          <w:p w14:paraId="069B869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15" w:type="dxa"/>
          </w:tcPr>
          <w:p w14:paraId="368BA1F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bl>
    <w:p w14:paraId="78BF76BC">
      <w:pPr>
        <w:spacing w:after="0"/>
        <w:rPr>
          <w:rFonts w:hint="eastAsia" w:ascii="宋体" w:hAnsi="宋体" w:eastAsia="宋体" w:cs="宋体"/>
          <w:sz w:val="24"/>
          <w:szCs w:val="24"/>
          <w:highlight w:val="none"/>
        </w:rPr>
        <w:sectPr>
          <w:type w:val="continuous"/>
          <w:pgSz w:w="11910" w:h="16840"/>
          <w:pgMar w:top="1580" w:right="1300" w:bottom="1020" w:left="1300" w:header="720" w:footer="720" w:gutter="0"/>
          <w:pgNumType w:fmt="decimal"/>
          <w:cols w:space="720" w:num="1"/>
        </w:sectPr>
      </w:pPr>
    </w:p>
    <w:p w14:paraId="3398ADCB">
      <w:pPr>
        <w:widowControl w:val="0"/>
        <w:autoSpaceDE w:val="0"/>
        <w:autoSpaceDN w:val="0"/>
        <w:spacing w:before="5" w:after="0" w:line="240" w:lineRule="auto"/>
        <w:ind w:left="0" w:right="0"/>
        <w:jc w:val="left"/>
        <w:rPr>
          <w:rFonts w:hint="eastAsia" w:ascii="宋体" w:hAnsi="宋体" w:eastAsia="宋体" w:cs="宋体"/>
          <w:sz w:val="24"/>
          <w:szCs w:val="24"/>
          <w:highlight w:val="none"/>
          <w:lang w:val="en-US" w:eastAsia="en-US" w:bidi="ar-SA"/>
        </w:rPr>
      </w:pPr>
    </w:p>
    <w:p w14:paraId="6B4806BD">
      <w:pPr>
        <w:widowControl w:val="0"/>
        <w:numPr>
          <w:ilvl w:val="1"/>
          <w:numId w:val="24"/>
        </w:numPr>
        <w:tabs>
          <w:tab w:val="left" w:pos="3883"/>
        </w:tabs>
        <w:autoSpaceDE w:val="0"/>
        <w:autoSpaceDN w:val="0"/>
        <w:spacing w:before="10" w:after="0" w:line="240" w:lineRule="auto"/>
        <w:ind w:left="3882" w:right="0" w:hanging="540"/>
        <w:jc w:val="left"/>
        <w:outlineLvl w:val="9"/>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委托人提供的设备</w:t>
      </w:r>
    </w:p>
    <w:p w14:paraId="0965707F">
      <w:pPr>
        <w:widowControl w:val="0"/>
        <w:autoSpaceDE w:val="0"/>
        <w:autoSpaceDN w:val="0"/>
        <w:spacing w:before="12" w:after="0" w:line="240" w:lineRule="auto"/>
        <w:ind w:left="0" w:right="0"/>
        <w:jc w:val="left"/>
        <w:rPr>
          <w:rFonts w:hint="eastAsia" w:ascii="宋体" w:hAnsi="宋体" w:eastAsia="宋体" w:cs="宋体"/>
          <w:sz w:val="24"/>
          <w:szCs w:val="24"/>
          <w:highlight w:val="none"/>
          <w:lang w:val="en-US" w:eastAsia="en-US" w:bidi="ar-SA"/>
        </w:rPr>
      </w:pPr>
    </w:p>
    <w:tbl>
      <w:tblPr>
        <w:tblStyle w:val="19"/>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160"/>
        <w:gridCol w:w="1682"/>
        <w:gridCol w:w="2253"/>
        <w:gridCol w:w="1967"/>
      </w:tblGrid>
      <w:tr w14:paraId="6062B04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02D6E21E">
            <w:pPr>
              <w:widowControl w:val="0"/>
              <w:autoSpaceDE w:val="0"/>
              <w:autoSpaceDN w:val="0"/>
              <w:spacing w:before="44" w:after="0" w:line="240" w:lineRule="auto"/>
              <w:ind w:right="1370"/>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名称</w:t>
            </w:r>
          </w:p>
        </w:tc>
        <w:tc>
          <w:tcPr>
            <w:tcW w:w="1682" w:type="dxa"/>
          </w:tcPr>
          <w:p w14:paraId="2235A0C2">
            <w:pPr>
              <w:widowControl w:val="0"/>
              <w:autoSpaceDE w:val="0"/>
              <w:autoSpaceDN w:val="0"/>
              <w:spacing w:before="44" w:after="0" w:line="240" w:lineRule="auto"/>
              <w:ind w:right="631"/>
              <w:jc w:val="center"/>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数量</w:t>
            </w:r>
          </w:p>
        </w:tc>
        <w:tc>
          <w:tcPr>
            <w:tcW w:w="2253" w:type="dxa"/>
          </w:tcPr>
          <w:p w14:paraId="2D23D462">
            <w:pPr>
              <w:widowControl w:val="0"/>
              <w:autoSpaceDE w:val="0"/>
              <w:autoSpaceDN w:val="0"/>
              <w:spacing w:before="44" w:after="0" w:line="240" w:lineRule="auto"/>
              <w:ind w:left="675"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型号与规格</w:t>
            </w:r>
          </w:p>
        </w:tc>
        <w:tc>
          <w:tcPr>
            <w:tcW w:w="1967" w:type="dxa"/>
          </w:tcPr>
          <w:p w14:paraId="6AB40321">
            <w:pPr>
              <w:widowControl w:val="0"/>
              <w:autoSpaceDE w:val="0"/>
              <w:autoSpaceDN w:val="0"/>
              <w:spacing w:before="44" w:after="0" w:line="240" w:lineRule="auto"/>
              <w:ind w:left="622"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提供时间</w:t>
            </w:r>
          </w:p>
        </w:tc>
      </w:tr>
      <w:tr w14:paraId="22C12C01">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1BC8A9A7">
            <w:pPr>
              <w:widowControl w:val="0"/>
              <w:autoSpaceDE w:val="0"/>
              <w:autoSpaceDN w:val="0"/>
              <w:spacing w:before="44" w:after="0" w:line="240" w:lineRule="auto"/>
              <w:ind w:left="113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1. 通讯设备</w:t>
            </w:r>
          </w:p>
        </w:tc>
        <w:tc>
          <w:tcPr>
            <w:tcW w:w="1682" w:type="dxa"/>
          </w:tcPr>
          <w:p w14:paraId="66893C46">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49ED592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5C87A944">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3FF0A61F">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357478FA">
            <w:pPr>
              <w:widowControl w:val="0"/>
              <w:autoSpaceDE w:val="0"/>
              <w:autoSpaceDN w:val="0"/>
              <w:spacing w:before="44" w:after="0" w:line="240" w:lineRule="auto"/>
              <w:ind w:left="113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2. 办公设备</w:t>
            </w:r>
          </w:p>
        </w:tc>
        <w:tc>
          <w:tcPr>
            <w:tcW w:w="1682" w:type="dxa"/>
          </w:tcPr>
          <w:p w14:paraId="259AD220">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6745509A">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1B094616">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08AE57E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0F198BB5">
            <w:pPr>
              <w:widowControl w:val="0"/>
              <w:autoSpaceDE w:val="0"/>
              <w:autoSpaceDN w:val="0"/>
              <w:spacing w:before="44" w:after="0" w:line="240" w:lineRule="auto"/>
              <w:ind w:left="113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3. 交通工具</w:t>
            </w:r>
          </w:p>
        </w:tc>
        <w:tc>
          <w:tcPr>
            <w:tcW w:w="1682" w:type="dxa"/>
          </w:tcPr>
          <w:p w14:paraId="06CF5FE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638FA0FC">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47667DA2">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7D13C1B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623B01DC">
            <w:pPr>
              <w:widowControl w:val="0"/>
              <w:autoSpaceDE w:val="0"/>
              <w:autoSpaceDN w:val="0"/>
              <w:spacing w:before="44" w:after="0" w:line="240" w:lineRule="auto"/>
              <w:ind w:left="860" w:right="0"/>
              <w:jc w:val="left"/>
              <w:rPr>
                <w:rFonts w:hint="eastAsia" w:ascii="宋体" w:hAnsi="宋体" w:eastAsia="宋体" w:cs="宋体"/>
                <w:sz w:val="24"/>
                <w:szCs w:val="24"/>
                <w:highlight w:val="none"/>
                <w:lang w:val="en-US" w:eastAsia="en-US" w:bidi="ar-SA"/>
              </w:rPr>
            </w:pPr>
            <w:r>
              <w:rPr>
                <w:rFonts w:hint="eastAsia" w:ascii="宋体" w:hAnsi="宋体" w:eastAsia="宋体" w:cs="宋体"/>
                <w:color w:val="231F20"/>
                <w:sz w:val="24"/>
                <w:szCs w:val="24"/>
                <w:highlight w:val="none"/>
                <w:lang w:val="en-US" w:eastAsia="en-US" w:bidi="ar-SA"/>
              </w:rPr>
              <w:t>4. 检测和试验设备</w:t>
            </w:r>
          </w:p>
        </w:tc>
        <w:tc>
          <w:tcPr>
            <w:tcW w:w="1682" w:type="dxa"/>
          </w:tcPr>
          <w:p w14:paraId="18470153">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4454AD9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40B9CEF7">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r w14:paraId="63472902">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0" w:hRule="atLeast"/>
        </w:trPr>
        <w:tc>
          <w:tcPr>
            <w:tcW w:w="3160" w:type="dxa"/>
          </w:tcPr>
          <w:p w14:paraId="657C2A25">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682" w:type="dxa"/>
          </w:tcPr>
          <w:p w14:paraId="369E863D">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2253" w:type="dxa"/>
          </w:tcPr>
          <w:p w14:paraId="14150898">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c>
          <w:tcPr>
            <w:tcW w:w="1967" w:type="dxa"/>
          </w:tcPr>
          <w:p w14:paraId="3549350F">
            <w:pPr>
              <w:widowControl w:val="0"/>
              <w:autoSpaceDE w:val="0"/>
              <w:autoSpaceDN w:val="0"/>
              <w:spacing w:before="0" w:after="0" w:line="240" w:lineRule="auto"/>
              <w:ind w:left="0" w:right="0"/>
              <w:jc w:val="left"/>
              <w:rPr>
                <w:rFonts w:hint="eastAsia" w:ascii="宋体" w:hAnsi="宋体" w:eastAsia="宋体" w:cs="宋体"/>
                <w:sz w:val="24"/>
                <w:szCs w:val="24"/>
                <w:highlight w:val="none"/>
                <w:lang w:val="en-US" w:eastAsia="en-US" w:bidi="ar-SA"/>
              </w:rPr>
            </w:pPr>
          </w:p>
        </w:tc>
      </w:tr>
    </w:tbl>
    <w:p w14:paraId="7EF06589">
      <w:pPr>
        <w:widowControl w:val="0"/>
        <w:numPr>
          <w:ilvl w:val="2"/>
          <w:numId w:val="15"/>
        </w:numPr>
        <w:tabs>
          <w:tab w:val="left" w:pos="1049"/>
        </w:tabs>
        <w:autoSpaceDE w:val="0"/>
        <w:autoSpaceDN w:val="0"/>
        <w:spacing w:before="26" w:after="0" w:line="240" w:lineRule="auto"/>
        <w:ind w:left="117" w:right="0" w:firstLine="440"/>
        <w:jc w:val="left"/>
        <w:rPr>
          <w:rFonts w:hint="eastAsia" w:ascii="宋体" w:hAnsi="宋体" w:eastAsia="宋体" w:cs="宋体"/>
          <w:sz w:val="24"/>
          <w:szCs w:val="24"/>
          <w:highlight w:val="none"/>
        </w:rPr>
        <w:sectPr>
          <w:pgSz w:w="11910" w:h="16840"/>
          <w:pgMar w:top="1580" w:right="1300" w:bottom="1020" w:left="1300" w:header="0" w:footer="832" w:gutter="0"/>
          <w:pgNumType w:fmt="decimal"/>
          <w:cols w:space="720" w:num="1"/>
        </w:sectPr>
      </w:pPr>
    </w:p>
    <w:p w14:paraId="0A3F6B18">
      <w:pPr>
        <w:autoSpaceDE w:val="0"/>
        <w:autoSpaceDN w:val="0"/>
        <w:adjustRightInd/>
        <w:spacing w:before="0" w:after="0" w:line="240" w:lineRule="auto"/>
        <w:ind w:left="0" w:right="0"/>
        <w:jc w:val="left"/>
        <w:textAlignment w:val="auto"/>
        <w:rPr>
          <w:rFonts w:hint="eastAsia" w:ascii="宋体" w:hAnsi="宋体" w:eastAsia="宋体" w:cs="宋体"/>
          <w:sz w:val="22"/>
          <w:szCs w:val="22"/>
          <w:highlight w:val="none"/>
          <w:lang w:eastAsia="en-US"/>
        </w:rPr>
      </w:pPr>
    </w:p>
    <w:p w14:paraId="112C9783">
      <w:pPr>
        <w:numPr>
          <w:ilvl w:val="0"/>
          <w:numId w:val="0"/>
        </w:numPr>
        <w:spacing w:line="240" w:lineRule="auto"/>
        <w:jc w:val="left"/>
        <w:rPr>
          <w:rFonts w:hint="eastAsia" w:ascii="宋体" w:hAnsi="宋体" w:eastAsia="宋体" w:cs="宋体"/>
          <w:b/>
          <w:sz w:val="24"/>
          <w:szCs w:val="24"/>
          <w:highlight w:val="none"/>
        </w:rPr>
      </w:pPr>
    </w:p>
    <w:p w14:paraId="24BC04E9">
      <w:pPr>
        <w:numPr>
          <w:ilvl w:val="0"/>
          <w:numId w:val="0"/>
        </w:numPr>
        <w:spacing w:line="240" w:lineRule="auto"/>
        <w:jc w:val="left"/>
        <w:outlineLvl w:val="0"/>
        <w:rPr>
          <w:rFonts w:hint="eastAsia" w:ascii="宋体" w:hAnsi="宋体" w:eastAsia="宋体" w:cs="宋体"/>
          <w:b/>
          <w:sz w:val="36"/>
          <w:szCs w:val="36"/>
          <w:highlight w:val="none"/>
        </w:rPr>
      </w:pPr>
      <w:bookmarkStart w:id="35" w:name="_Toc17355"/>
      <w:r>
        <w:rPr>
          <w:rFonts w:hint="eastAsia" w:ascii="宋体" w:hAnsi="宋体" w:eastAsia="宋体" w:cs="宋体"/>
          <w:b/>
          <w:sz w:val="36"/>
          <w:szCs w:val="36"/>
          <w:highlight w:val="none"/>
          <w:lang w:val="en-US" w:eastAsia="zh-CN"/>
        </w:rPr>
        <w:t>第七部分</w:t>
      </w:r>
      <w:r>
        <w:rPr>
          <w:rFonts w:hint="eastAsia" w:ascii="宋体" w:hAnsi="宋体" w:eastAsia="宋体" w:cs="宋体"/>
          <w:b/>
          <w:sz w:val="36"/>
          <w:szCs w:val="36"/>
          <w:highlight w:val="none"/>
          <w:lang w:eastAsia="zh-CN"/>
        </w:rPr>
        <w:t xml:space="preserve"> </w:t>
      </w:r>
      <w:bookmarkStart w:id="36" w:name="_Toc86202632"/>
      <w:r>
        <w:rPr>
          <w:rFonts w:hint="eastAsia" w:ascii="宋体" w:hAnsi="宋体" w:cs="宋体"/>
          <w:b/>
          <w:sz w:val="36"/>
          <w:szCs w:val="36"/>
          <w:highlight w:val="none"/>
          <w:lang w:val="en-US" w:eastAsia="zh-CN"/>
        </w:rPr>
        <w:t xml:space="preserve"> </w:t>
      </w:r>
      <w:r>
        <w:rPr>
          <w:rFonts w:hint="eastAsia" w:ascii="宋体" w:hAnsi="宋体" w:eastAsia="宋体" w:cs="宋体"/>
          <w:b/>
          <w:sz w:val="36"/>
          <w:szCs w:val="36"/>
          <w:highlight w:val="none"/>
          <w:lang w:eastAsia="zh-CN"/>
        </w:rPr>
        <w:t>响应文件</w:t>
      </w:r>
      <w:r>
        <w:rPr>
          <w:rFonts w:hint="eastAsia" w:ascii="宋体" w:hAnsi="宋体" w:eastAsia="宋体" w:cs="宋体"/>
          <w:b/>
          <w:sz w:val="36"/>
          <w:szCs w:val="36"/>
          <w:highlight w:val="none"/>
        </w:rPr>
        <w:t>格式</w:t>
      </w:r>
      <w:bookmarkEnd w:id="30"/>
      <w:bookmarkEnd w:id="31"/>
      <w:bookmarkEnd w:id="32"/>
      <w:bookmarkEnd w:id="33"/>
      <w:bookmarkEnd w:id="35"/>
      <w:bookmarkEnd w:id="36"/>
    </w:p>
    <w:p w14:paraId="38D80AF1">
      <w:pPr>
        <w:pStyle w:val="4"/>
        <w:numPr>
          <w:ilvl w:val="0"/>
          <w:numId w:val="0"/>
        </w:numPr>
        <w:rPr>
          <w:rFonts w:hint="eastAsia" w:ascii="宋体" w:hAnsi="宋体" w:eastAsia="宋体" w:cs="宋体"/>
          <w:sz w:val="28"/>
          <w:szCs w:val="20"/>
          <w:highlight w:val="none"/>
        </w:rPr>
      </w:pPr>
    </w:p>
    <w:p w14:paraId="5773D78D">
      <w:pPr>
        <w:pStyle w:val="4"/>
        <w:numPr>
          <w:ilvl w:val="0"/>
          <w:numId w:val="0"/>
        </w:numPr>
        <w:rPr>
          <w:rFonts w:hint="eastAsia" w:ascii="宋体" w:hAnsi="宋体" w:eastAsia="宋体" w:cs="宋体"/>
          <w:sz w:val="28"/>
          <w:szCs w:val="20"/>
          <w:highlight w:val="none"/>
        </w:rPr>
      </w:pPr>
    </w:p>
    <w:p w14:paraId="72D73F5B">
      <w:pPr>
        <w:pStyle w:val="4"/>
        <w:numPr>
          <w:ilvl w:val="0"/>
          <w:numId w:val="0"/>
        </w:numPr>
        <w:spacing w:line="360" w:lineRule="auto"/>
        <w:rPr>
          <w:rFonts w:hint="eastAsia" w:ascii="宋体" w:hAnsi="宋体" w:eastAsia="宋体" w:cs="宋体"/>
          <w:sz w:val="28"/>
          <w:szCs w:val="20"/>
          <w:highlight w:val="none"/>
        </w:rPr>
      </w:pPr>
    </w:p>
    <w:p w14:paraId="1994094B">
      <w:pPr>
        <w:numPr>
          <w:ilvl w:val="0"/>
          <w:numId w:val="0"/>
        </w:numPr>
        <w:spacing w:line="240" w:lineRule="auto"/>
        <w:jc w:val="left"/>
        <w:outlineLvl w:val="0"/>
        <w:rPr>
          <w:rFonts w:hint="default"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项目名称</w:t>
      </w:r>
    </w:p>
    <w:p w14:paraId="7D518350">
      <w:pPr>
        <w:spacing w:line="240" w:lineRule="exact"/>
        <w:rPr>
          <w:rFonts w:hint="eastAsia" w:ascii="宋体" w:hAnsi="宋体" w:eastAsia="宋体" w:cs="宋体"/>
          <w:color w:val="auto"/>
          <w:sz w:val="24"/>
          <w:szCs w:val="20"/>
          <w:highlight w:val="none"/>
        </w:rPr>
      </w:pPr>
    </w:p>
    <w:p w14:paraId="78AB260D">
      <w:pPr>
        <w:spacing w:line="240" w:lineRule="exact"/>
        <w:rPr>
          <w:rFonts w:hint="eastAsia" w:ascii="宋体" w:hAnsi="宋体" w:eastAsia="宋体" w:cs="宋体"/>
          <w:color w:val="auto"/>
          <w:sz w:val="24"/>
          <w:szCs w:val="20"/>
          <w:highlight w:val="none"/>
        </w:rPr>
      </w:pPr>
    </w:p>
    <w:p w14:paraId="4B86DFF6">
      <w:pPr>
        <w:spacing w:line="240" w:lineRule="exact"/>
        <w:rPr>
          <w:rFonts w:hint="eastAsia" w:ascii="宋体" w:hAnsi="宋体" w:eastAsia="宋体" w:cs="宋体"/>
          <w:color w:val="auto"/>
          <w:sz w:val="24"/>
          <w:szCs w:val="20"/>
          <w:highlight w:val="none"/>
        </w:rPr>
      </w:pPr>
    </w:p>
    <w:p w14:paraId="68150540">
      <w:pPr>
        <w:spacing w:line="240" w:lineRule="exact"/>
        <w:rPr>
          <w:rFonts w:hint="eastAsia" w:ascii="宋体" w:hAnsi="宋体" w:eastAsia="宋体" w:cs="宋体"/>
          <w:color w:val="auto"/>
          <w:sz w:val="24"/>
          <w:szCs w:val="20"/>
          <w:highlight w:val="none"/>
        </w:rPr>
      </w:pPr>
    </w:p>
    <w:p w14:paraId="37E79FBC">
      <w:pPr>
        <w:spacing w:line="240" w:lineRule="exact"/>
        <w:rPr>
          <w:rFonts w:hint="eastAsia" w:ascii="宋体" w:hAnsi="宋体" w:eastAsia="宋体" w:cs="宋体"/>
          <w:color w:val="auto"/>
          <w:sz w:val="24"/>
          <w:szCs w:val="20"/>
          <w:highlight w:val="none"/>
        </w:rPr>
      </w:pPr>
    </w:p>
    <w:p w14:paraId="75002D89">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响应文件</w:t>
      </w:r>
    </w:p>
    <w:p w14:paraId="319D6EC0">
      <w:pPr>
        <w:spacing w:line="360" w:lineRule="auto"/>
        <w:jc w:val="center"/>
        <w:rPr>
          <w:rFonts w:hint="eastAsia" w:ascii="宋体" w:hAnsi="宋体" w:eastAsia="宋体" w:cs="宋体"/>
          <w:b/>
          <w:color w:val="auto"/>
          <w:sz w:val="32"/>
          <w:szCs w:val="32"/>
          <w:highlight w:val="none"/>
          <w:lang w:val="en-US"/>
        </w:rPr>
      </w:pPr>
      <w:r>
        <w:rPr>
          <w:rFonts w:hint="eastAsia" w:ascii="宋体" w:hAnsi="宋体" w:eastAsia="宋体" w:cs="宋体"/>
          <w:b/>
          <w:color w:val="auto"/>
          <w:sz w:val="32"/>
          <w:szCs w:val="32"/>
          <w:highlight w:val="none"/>
        </w:rPr>
        <w:t>招标编号：</w:t>
      </w:r>
    </w:p>
    <w:p w14:paraId="3E5FB662">
      <w:pPr>
        <w:spacing w:line="240" w:lineRule="exact"/>
        <w:jc w:val="center"/>
        <w:rPr>
          <w:rFonts w:hint="eastAsia" w:ascii="宋体" w:hAnsi="宋体" w:eastAsia="宋体" w:cs="宋体"/>
          <w:color w:val="auto"/>
          <w:sz w:val="24"/>
          <w:szCs w:val="20"/>
          <w:highlight w:val="none"/>
        </w:rPr>
      </w:pPr>
    </w:p>
    <w:p w14:paraId="147BD676">
      <w:pPr>
        <w:spacing w:line="240" w:lineRule="exact"/>
        <w:ind w:left="10" w:right="121" w:hanging="10"/>
        <w:jc w:val="center"/>
        <w:rPr>
          <w:rFonts w:hint="eastAsia" w:ascii="宋体" w:hAnsi="宋体" w:eastAsia="宋体" w:cs="宋体"/>
          <w:color w:val="auto"/>
          <w:sz w:val="24"/>
          <w:szCs w:val="20"/>
          <w:highlight w:val="none"/>
        </w:rPr>
      </w:pPr>
    </w:p>
    <w:p w14:paraId="7B7E5021">
      <w:pPr>
        <w:spacing w:line="240" w:lineRule="exact"/>
        <w:jc w:val="center"/>
        <w:rPr>
          <w:rFonts w:hint="eastAsia" w:ascii="宋体" w:hAnsi="宋体" w:eastAsia="宋体" w:cs="宋体"/>
          <w:color w:val="auto"/>
          <w:sz w:val="24"/>
          <w:szCs w:val="20"/>
          <w:highlight w:val="none"/>
        </w:rPr>
      </w:pPr>
    </w:p>
    <w:p w14:paraId="0FDF15CC">
      <w:pPr>
        <w:spacing w:line="240" w:lineRule="exact"/>
        <w:jc w:val="center"/>
        <w:rPr>
          <w:rFonts w:hint="eastAsia" w:ascii="宋体" w:hAnsi="宋体" w:eastAsia="宋体" w:cs="宋体"/>
          <w:color w:val="auto"/>
          <w:sz w:val="24"/>
          <w:szCs w:val="20"/>
          <w:highlight w:val="none"/>
        </w:rPr>
      </w:pPr>
    </w:p>
    <w:p w14:paraId="1A25C73B">
      <w:pPr>
        <w:spacing w:line="240" w:lineRule="exact"/>
        <w:jc w:val="center"/>
        <w:rPr>
          <w:rFonts w:hint="eastAsia" w:ascii="宋体" w:hAnsi="宋体" w:eastAsia="宋体" w:cs="宋体"/>
          <w:color w:val="auto"/>
          <w:sz w:val="24"/>
          <w:szCs w:val="20"/>
          <w:highlight w:val="none"/>
        </w:rPr>
      </w:pPr>
    </w:p>
    <w:p w14:paraId="2D6AC215">
      <w:pPr>
        <w:spacing w:line="240" w:lineRule="exact"/>
        <w:jc w:val="center"/>
        <w:rPr>
          <w:rFonts w:hint="eastAsia" w:ascii="宋体" w:hAnsi="宋体" w:eastAsia="宋体" w:cs="宋体"/>
          <w:color w:val="auto"/>
          <w:sz w:val="24"/>
          <w:szCs w:val="20"/>
          <w:highlight w:val="none"/>
        </w:rPr>
      </w:pPr>
    </w:p>
    <w:p w14:paraId="065AD802">
      <w:pPr>
        <w:spacing w:line="240" w:lineRule="exact"/>
        <w:jc w:val="center"/>
        <w:rPr>
          <w:rFonts w:hint="eastAsia" w:ascii="宋体" w:hAnsi="宋体" w:eastAsia="宋体" w:cs="宋体"/>
          <w:color w:val="auto"/>
          <w:sz w:val="24"/>
          <w:szCs w:val="20"/>
          <w:highlight w:val="none"/>
        </w:rPr>
      </w:pPr>
    </w:p>
    <w:p w14:paraId="257099FB">
      <w:pPr>
        <w:spacing w:line="240" w:lineRule="exact"/>
        <w:jc w:val="center"/>
        <w:rPr>
          <w:rFonts w:hint="eastAsia" w:ascii="宋体" w:hAnsi="宋体" w:eastAsia="宋体" w:cs="宋体"/>
          <w:color w:val="auto"/>
          <w:sz w:val="24"/>
          <w:szCs w:val="20"/>
          <w:highlight w:val="none"/>
        </w:rPr>
      </w:pPr>
    </w:p>
    <w:p w14:paraId="2DEAA100">
      <w:pPr>
        <w:spacing w:line="240" w:lineRule="exact"/>
        <w:jc w:val="center"/>
        <w:rPr>
          <w:rFonts w:hint="eastAsia" w:ascii="宋体" w:hAnsi="宋体" w:eastAsia="宋体" w:cs="宋体"/>
          <w:color w:val="auto"/>
          <w:sz w:val="24"/>
          <w:szCs w:val="20"/>
          <w:highlight w:val="none"/>
        </w:rPr>
      </w:pPr>
    </w:p>
    <w:p w14:paraId="0DB3004B">
      <w:pPr>
        <w:spacing w:line="240" w:lineRule="exact"/>
        <w:jc w:val="center"/>
        <w:rPr>
          <w:rFonts w:hint="eastAsia" w:ascii="宋体" w:hAnsi="宋体" w:eastAsia="宋体" w:cs="宋体"/>
          <w:color w:val="auto"/>
          <w:sz w:val="24"/>
          <w:szCs w:val="20"/>
          <w:highlight w:val="none"/>
        </w:rPr>
      </w:pPr>
    </w:p>
    <w:p w14:paraId="2B3F94D5">
      <w:pPr>
        <w:spacing w:line="240" w:lineRule="exact"/>
        <w:jc w:val="center"/>
        <w:rPr>
          <w:rFonts w:hint="eastAsia" w:ascii="宋体" w:hAnsi="宋体" w:eastAsia="宋体" w:cs="宋体"/>
          <w:color w:val="auto"/>
          <w:sz w:val="24"/>
          <w:szCs w:val="20"/>
          <w:highlight w:val="none"/>
        </w:rPr>
      </w:pPr>
    </w:p>
    <w:p w14:paraId="2B274B02">
      <w:pPr>
        <w:spacing w:line="240" w:lineRule="exact"/>
        <w:jc w:val="center"/>
        <w:rPr>
          <w:rFonts w:hint="eastAsia" w:ascii="宋体" w:hAnsi="宋体" w:eastAsia="宋体" w:cs="宋体"/>
          <w:color w:val="auto"/>
          <w:sz w:val="24"/>
          <w:szCs w:val="20"/>
          <w:highlight w:val="none"/>
        </w:rPr>
      </w:pPr>
    </w:p>
    <w:p w14:paraId="4AEBD6BB">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28"/>
          <w:szCs w:val="20"/>
          <w:highlight w:val="none"/>
          <w:lang w:val="en-US" w:eastAsia="zh-CN"/>
        </w:rPr>
        <w:t xml:space="preserve">  </w:t>
      </w:r>
      <w:r>
        <w:rPr>
          <w:rFonts w:hint="eastAsia" w:ascii="宋体" w:hAnsi="宋体" w:eastAsia="宋体" w:cs="宋体"/>
          <w:color w:val="auto"/>
          <w:sz w:val="28"/>
          <w:szCs w:val="20"/>
          <w:highlight w:val="none"/>
        </w:rPr>
        <w:t>供应商：</w:t>
      </w:r>
      <w:r>
        <w:rPr>
          <w:rFonts w:hint="eastAsia" w:ascii="宋体" w:hAnsi="宋体" w:eastAsia="宋体" w:cs="宋体"/>
          <w:color w:val="auto"/>
          <w:sz w:val="24"/>
          <w:szCs w:val="20"/>
          <w:highlight w:val="none"/>
          <w:u w:val="single" w:color="000000"/>
        </w:rPr>
        <w:t xml:space="preserve">                                                </w:t>
      </w:r>
      <w:r>
        <w:rPr>
          <w:rFonts w:hint="eastAsia" w:ascii="宋体" w:hAnsi="宋体" w:eastAsia="宋体" w:cs="宋体"/>
          <w:color w:val="auto"/>
          <w:sz w:val="28"/>
          <w:szCs w:val="20"/>
          <w:highlight w:val="none"/>
        </w:rPr>
        <w:t>（盖单位章）</w:t>
      </w:r>
    </w:p>
    <w:p w14:paraId="3CFD949C">
      <w:pPr>
        <w:spacing w:line="379"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8"/>
          <w:szCs w:val="20"/>
          <w:highlight w:val="none"/>
        </w:rPr>
        <w:t>法定代表人或其委托代理人：</w:t>
      </w:r>
      <w:r>
        <w:rPr>
          <w:rFonts w:hint="eastAsia" w:ascii="宋体" w:hAnsi="宋体" w:eastAsia="宋体" w:cs="宋体"/>
          <w:color w:val="auto"/>
          <w:sz w:val="24"/>
          <w:szCs w:val="20"/>
          <w:highlight w:val="none"/>
          <w:u w:val="single" w:color="000000"/>
        </w:rPr>
        <w:t xml:space="preserve">                            </w:t>
      </w:r>
      <w:r>
        <w:rPr>
          <w:rFonts w:hint="eastAsia" w:ascii="宋体" w:hAnsi="宋体" w:eastAsia="宋体" w:cs="宋体"/>
          <w:color w:val="auto"/>
          <w:sz w:val="28"/>
          <w:szCs w:val="20"/>
          <w:highlight w:val="none"/>
        </w:rPr>
        <w:t>（签字）</w:t>
      </w:r>
    </w:p>
    <w:p w14:paraId="0CDAF4E5">
      <w:pPr>
        <w:spacing w:after="73"/>
        <w:ind w:right="144"/>
        <w:jc w:val="center"/>
        <w:rPr>
          <w:rFonts w:hint="eastAsia" w:ascii="宋体" w:hAnsi="宋体" w:eastAsia="宋体" w:cs="宋体"/>
          <w:color w:val="auto"/>
          <w:sz w:val="24"/>
          <w:szCs w:val="20"/>
          <w:highlight w:val="none"/>
        </w:rPr>
      </w:pPr>
      <w:r>
        <w:rPr>
          <w:rFonts w:hint="eastAsia" w:ascii="宋体" w:hAnsi="宋体" w:eastAsia="宋体" w:cs="宋体"/>
          <w:color w:val="auto"/>
          <w:sz w:val="28"/>
          <w:szCs w:val="20"/>
          <w:highlight w:val="none"/>
        </w:rPr>
        <w:t xml:space="preserve"> </w:t>
      </w:r>
    </w:p>
    <w:p w14:paraId="2C26A1D0">
      <w:pPr>
        <w:tabs>
          <w:tab w:val="center" w:pos="4320"/>
          <w:tab w:val="center" w:pos="8723"/>
        </w:tabs>
        <w:spacing w:after="127"/>
        <w:ind w:firstLine="3840" w:firstLineChars="16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u w:val="single" w:color="000000"/>
        </w:rPr>
        <w:t xml:space="preserve">                 </w:t>
      </w:r>
      <w:r>
        <w:rPr>
          <w:rFonts w:hint="eastAsia" w:ascii="宋体" w:hAnsi="宋体" w:eastAsia="宋体" w:cs="宋体"/>
          <w:color w:val="auto"/>
          <w:sz w:val="28"/>
          <w:szCs w:val="20"/>
          <w:highlight w:val="none"/>
        </w:rPr>
        <w:t>年</w:t>
      </w:r>
      <w:r>
        <w:rPr>
          <w:rFonts w:hint="eastAsia" w:ascii="宋体" w:hAnsi="宋体" w:eastAsia="宋体" w:cs="宋体"/>
          <w:color w:val="auto"/>
          <w:sz w:val="24"/>
          <w:szCs w:val="20"/>
          <w:highlight w:val="none"/>
          <w:u w:val="single" w:color="000000"/>
        </w:rPr>
        <w:t xml:space="preserve">           </w:t>
      </w:r>
      <w:r>
        <w:rPr>
          <w:rFonts w:hint="eastAsia" w:ascii="宋体" w:hAnsi="宋体" w:eastAsia="宋体" w:cs="宋体"/>
          <w:color w:val="auto"/>
          <w:sz w:val="28"/>
          <w:szCs w:val="20"/>
          <w:highlight w:val="none"/>
        </w:rPr>
        <w:t>月</w:t>
      </w:r>
      <w:r>
        <w:rPr>
          <w:rFonts w:hint="eastAsia" w:ascii="宋体" w:hAnsi="宋体" w:eastAsia="宋体" w:cs="宋体"/>
          <w:color w:val="auto"/>
          <w:sz w:val="24"/>
          <w:szCs w:val="20"/>
          <w:highlight w:val="none"/>
          <w:u w:val="single" w:color="000000"/>
        </w:rPr>
        <w:t xml:space="preserve">           </w:t>
      </w:r>
      <w:r>
        <w:rPr>
          <w:rFonts w:hint="eastAsia" w:ascii="宋体" w:hAnsi="宋体" w:eastAsia="宋体" w:cs="宋体"/>
          <w:color w:val="auto"/>
          <w:sz w:val="28"/>
          <w:szCs w:val="20"/>
          <w:highlight w:val="none"/>
        </w:rPr>
        <w:t>日</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ab/>
      </w:r>
      <w:r>
        <w:rPr>
          <w:rFonts w:hint="eastAsia" w:ascii="宋体" w:hAnsi="宋体" w:eastAsia="宋体" w:cs="宋体"/>
          <w:color w:val="auto"/>
          <w:sz w:val="24"/>
          <w:szCs w:val="20"/>
          <w:highlight w:val="none"/>
        </w:rPr>
        <w:t xml:space="preserve"> </w:t>
      </w:r>
      <w:bookmarkStart w:id="37" w:name="_Toc118926"/>
    </w:p>
    <w:p w14:paraId="16BC2D8E">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8AD8C4C">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  录</w:t>
      </w:r>
      <w:bookmarkEnd w:id="37"/>
    </w:p>
    <w:p w14:paraId="120C0959">
      <w:pPr>
        <w:spacing w:after="2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26DF7E06">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一、投标函</w:t>
      </w:r>
    </w:p>
    <w:p w14:paraId="6E8EBD97">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二、法定代表人身份证明</w:t>
      </w:r>
    </w:p>
    <w:p w14:paraId="2BE98FC5">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三、授权委托书</w:t>
      </w:r>
    </w:p>
    <w:p w14:paraId="374B4F50">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四、磋商保证金</w:t>
      </w:r>
    </w:p>
    <w:p w14:paraId="06E185DF">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五、</w:t>
      </w:r>
      <w:r>
        <w:rPr>
          <w:rFonts w:hint="eastAsia" w:ascii="宋体" w:hAnsi="宋体" w:eastAsia="宋体" w:cs="宋体"/>
          <w:color w:val="auto"/>
          <w:sz w:val="24"/>
          <w:szCs w:val="20"/>
          <w:highlight w:val="none"/>
          <w:lang w:val="en-US" w:eastAsia="zh-CN"/>
        </w:rPr>
        <w:t>报价表</w:t>
      </w:r>
    </w:p>
    <w:p w14:paraId="1EEAE7DB">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六、资格审查资料</w:t>
      </w:r>
    </w:p>
    <w:p w14:paraId="090085D7">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七、</w:t>
      </w:r>
      <w:r>
        <w:rPr>
          <w:rFonts w:hint="eastAsia" w:ascii="宋体" w:hAnsi="宋体" w:eastAsia="宋体" w:cs="宋体"/>
          <w:color w:val="auto"/>
          <w:sz w:val="24"/>
          <w:szCs w:val="20"/>
          <w:highlight w:val="none"/>
          <w:lang w:val="en-US" w:eastAsia="zh-CN"/>
        </w:rPr>
        <w:t>监理大纲</w:t>
      </w:r>
    </w:p>
    <w:p w14:paraId="0DE27679">
      <w:pPr>
        <w:spacing w:line="491" w:lineRule="auto"/>
        <w:ind w:left="10" w:right="3598" w:hanging="1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八、</w:t>
      </w:r>
      <w:r>
        <w:rPr>
          <w:rFonts w:hint="eastAsia" w:ascii="宋体" w:hAnsi="宋体" w:eastAsia="宋体" w:cs="宋体"/>
          <w:color w:val="auto"/>
          <w:sz w:val="24"/>
          <w:szCs w:val="20"/>
          <w:highlight w:val="none"/>
          <w:lang w:val="en-US" w:eastAsia="zh-CN"/>
        </w:rPr>
        <w:t>拟投入本项目工作人员安排</w:t>
      </w:r>
    </w:p>
    <w:p w14:paraId="0A2FF476">
      <w:pPr>
        <w:spacing w:line="491" w:lineRule="auto"/>
        <w:ind w:left="10" w:right="3598" w:hanging="1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九</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服务承诺</w:t>
      </w:r>
    </w:p>
    <w:p w14:paraId="1FA44FEA">
      <w:pPr>
        <w:spacing w:line="491" w:lineRule="auto"/>
        <w:ind w:left="10" w:right="3598" w:hanging="1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十、供应商（投标单位）《遵守政府采购相关法律法规承诺书》</w:t>
      </w:r>
    </w:p>
    <w:p w14:paraId="78395B05">
      <w:pPr>
        <w:spacing w:line="491" w:lineRule="auto"/>
        <w:ind w:left="10" w:right="3598" w:hanging="1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十一、中小企业声明函</w:t>
      </w:r>
    </w:p>
    <w:p w14:paraId="000CA997">
      <w:pPr>
        <w:spacing w:line="491" w:lineRule="auto"/>
        <w:ind w:left="10" w:right="3598" w:hanging="1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十</w:t>
      </w:r>
      <w:r>
        <w:rPr>
          <w:rFonts w:hint="eastAsia" w:ascii="宋体" w:hAnsi="宋体" w:cs="宋体"/>
          <w:color w:val="auto"/>
          <w:sz w:val="24"/>
          <w:szCs w:val="20"/>
          <w:highlight w:val="none"/>
          <w:lang w:val="en-US" w:eastAsia="zh-CN"/>
        </w:rPr>
        <w:t>二</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其他资料</w:t>
      </w:r>
    </w:p>
    <w:p w14:paraId="7A9E1128">
      <w:pPr>
        <w:spacing w:line="491" w:lineRule="auto"/>
        <w:ind w:left="10" w:right="3598" w:hanging="1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ab/>
      </w:r>
      <w:r>
        <w:rPr>
          <w:rFonts w:hint="eastAsia" w:ascii="宋体" w:hAnsi="宋体" w:eastAsia="宋体" w:cs="宋体"/>
          <w:color w:val="auto"/>
          <w:sz w:val="24"/>
          <w:szCs w:val="20"/>
          <w:highlight w:val="none"/>
        </w:rPr>
        <w:t xml:space="preserve"> </w:t>
      </w:r>
    </w:p>
    <w:p w14:paraId="637A3EAC">
      <w:pPr>
        <w:spacing w:line="440" w:lineRule="exact"/>
        <w:jc w:val="center"/>
        <w:rPr>
          <w:rFonts w:hint="eastAsia" w:ascii="宋体" w:hAnsi="宋体" w:eastAsia="宋体" w:cs="宋体"/>
          <w:b/>
          <w:bCs/>
          <w:color w:val="auto"/>
          <w:sz w:val="32"/>
          <w:szCs w:val="32"/>
          <w:highlight w:val="none"/>
        </w:rPr>
      </w:pPr>
    </w:p>
    <w:p w14:paraId="28FED5DA">
      <w:pPr>
        <w:pStyle w:val="4"/>
        <w:rPr>
          <w:rFonts w:hint="eastAsia" w:ascii="宋体" w:hAnsi="宋体" w:eastAsia="宋体" w:cs="宋体"/>
          <w:b/>
          <w:bCs/>
          <w:color w:val="auto"/>
          <w:sz w:val="32"/>
          <w:szCs w:val="32"/>
          <w:highlight w:val="none"/>
        </w:rPr>
      </w:pPr>
    </w:p>
    <w:p w14:paraId="27C5643A">
      <w:pPr>
        <w:pStyle w:val="4"/>
        <w:rPr>
          <w:rFonts w:hint="eastAsia" w:ascii="宋体" w:hAnsi="宋体" w:eastAsia="宋体" w:cs="宋体"/>
          <w:b/>
          <w:bCs/>
          <w:color w:val="auto"/>
          <w:sz w:val="32"/>
          <w:szCs w:val="32"/>
          <w:highlight w:val="none"/>
        </w:rPr>
      </w:pPr>
    </w:p>
    <w:p w14:paraId="50915010">
      <w:pPr>
        <w:pStyle w:val="4"/>
        <w:rPr>
          <w:rFonts w:hint="eastAsia" w:ascii="宋体" w:hAnsi="宋体" w:eastAsia="宋体" w:cs="宋体"/>
          <w:b/>
          <w:bCs/>
          <w:color w:val="auto"/>
          <w:sz w:val="32"/>
          <w:szCs w:val="32"/>
          <w:highlight w:val="none"/>
        </w:rPr>
      </w:pPr>
    </w:p>
    <w:p w14:paraId="433BE98C">
      <w:pPr>
        <w:pStyle w:val="4"/>
        <w:rPr>
          <w:rFonts w:hint="eastAsia" w:ascii="宋体" w:hAnsi="宋体" w:eastAsia="宋体" w:cs="宋体"/>
          <w:b/>
          <w:bCs/>
          <w:color w:val="auto"/>
          <w:sz w:val="32"/>
          <w:szCs w:val="32"/>
          <w:highlight w:val="none"/>
        </w:rPr>
      </w:pPr>
    </w:p>
    <w:p w14:paraId="3B2CFA1C">
      <w:pPr>
        <w:pStyle w:val="4"/>
        <w:rPr>
          <w:rFonts w:hint="eastAsia" w:ascii="宋体" w:hAnsi="宋体" w:eastAsia="宋体" w:cs="宋体"/>
          <w:b/>
          <w:bCs/>
          <w:color w:val="auto"/>
          <w:sz w:val="32"/>
          <w:szCs w:val="32"/>
          <w:highlight w:val="none"/>
        </w:rPr>
      </w:pPr>
    </w:p>
    <w:p w14:paraId="7410254F">
      <w:pPr>
        <w:pStyle w:val="4"/>
        <w:rPr>
          <w:rFonts w:hint="eastAsia" w:ascii="宋体" w:hAnsi="宋体" w:eastAsia="宋体" w:cs="宋体"/>
          <w:b/>
          <w:bCs/>
          <w:color w:val="auto"/>
          <w:sz w:val="32"/>
          <w:szCs w:val="32"/>
          <w:highlight w:val="none"/>
        </w:rPr>
      </w:pPr>
    </w:p>
    <w:p w14:paraId="151EDF4F">
      <w:pPr>
        <w:jc w:val="both"/>
        <w:rPr>
          <w:rFonts w:hint="eastAsia" w:ascii="宋体" w:hAnsi="宋体" w:eastAsia="宋体" w:cs="宋体"/>
          <w:b/>
          <w:color w:val="auto"/>
          <w:sz w:val="28"/>
          <w:szCs w:val="28"/>
          <w:highlight w:val="none"/>
        </w:rPr>
      </w:pPr>
      <w:bookmarkStart w:id="38" w:name="_Toc118927"/>
    </w:p>
    <w:p w14:paraId="447DB7AB">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8B7D2FB">
      <w:pPr>
        <w:jc w:val="center"/>
        <w:rPr>
          <w:rFonts w:hint="eastAsia" w:ascii="宋体" w:hAnsi="宋体" w:eastAsia="宋体" w:cs="宋体"/>
          <w:b/>
          <w:color w:val="auto"/>
          <w:sz w:val="24"/>
          <w:szCs w:val="20"/>
          <w:highlight w:val="none"/>
        </w:rPr>
      </w:pPr>
      <w:r>
        <w:rPr>
          <w:rFonts w:hint="eastAsia" w:ascii="宋体" w:hAnsi="宋体" w:eastAsia="宋体" w:cs="宋体"/>
          <w:b/>
          <w:color w:val="auto"/>
          <w:sz w:val="28"/>
          <w:szCs w:val="28"/>
          <w:highlight w:val="none"/>
        </w:rPr>
        <w:t>一、投标函</w:t>
      </w:r>
    </w:p>
    <w:p w14:paraId="4576F228">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（委托人名称）</w:t>
      </w:r>
      <w:r>
        <w:rPr>
          <w:rFonts w:hint="eastAsia" w:ascii="宋体" w:hAnsi="宋体" w:eastAsia="宋体" w:cs="宋体"/>
          <w:color w:val="auto"/>
          <w:sz w:val="24"/>
          <w:szCs w:val="24"/>
          <w:highlight w:val="none"/>
        </w:rPr>
        <w:t xml:space="preserve">        </w:t>
      </w:r>
    </w:p>
    <w:p w14:paraId="7DACDFF5">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（应答人名称）      </w:t>
      </w:r>
      <w:r>
        <w:rPr>
          <w:rFonts w:hint="eastAsia" w:ascii="宋体" w:hAnsi="宋体" w:eastAsia="宋体" w:cs="宋体"/>
          <w:color w:val="auto"/>
          <w:sz w:val="24"/>
          <w:szCs w:val="24"/>
          <w:highlight w:val="none"/>
        </w:rPr>
        <w:t>已详细查阅了关于</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文件全部内容（包括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文件的修改和补遗），现正式授权下述签字人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 xml:space="preserve">代表应答人 </w:t>
      </w:r>
      <w:r>
        <w:rPr>
          <w:rFonts w:hint="eastAsia" w:ascii="宋体" w:hAnsi="宋体" w:eastAsia="宋体" w:cs="宋体"/>
          <w:color w:val="auto"/>
          <w:sz w:val="24"/>
          <w:szCs w:val="24"/>
          <w:highlight w:val="none"/>
          <w:u w:val="single"/>
        </w:rPr>
        <w:t xml:space="preserve">（应答人名称） </w:t>
      </w:r>
      <w:r>
        <w:rPr>
          <w:rFonts w:hint="eastAsia" w:ascii="宋体" w:hAnsi="宋体" w:eastAsia="宋体" w:cs="宋体"/>
          <w:color w:val="auto"/>
          <w:sz w:val="24"/>
          <w:szCs w:val="24"/>
          <w:highlight w:val="none"/>
        </w:rPr>
        <w:t>提交按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文件规定编制的应答文件正本1份，副本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份，电子版</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291FC210">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据此，授权签字人宣布同意如下：</w:t>
      </w:r>
    </w:p>
    <w:p w14:paraId="15DA27BF">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文件中规定的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内容及服务的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报价为人民币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）；服务期：以实际施工工期为依据，从监理合同生效之日起至监理范围内工程保修期满为止。</w:t>
      </w:r>
    </w:p>
    <w:p w14:paraId="222332A2">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2、如果我单位有幸成交，我们保证按规定时间与委托人签订合同。</w:t>
      </w:r>
    </w:p>
    <w:p w14:paraId="19AA78B0">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3、我单位同意遵照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文件的全部内容，承担</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文件中规定的全部责任和义务。</w:t>
      </w:r>
    </w:p>
    <w:p w14:paraId="44F989FA">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4、我单位承诺，在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文件规定的时间内，如果我们撤回报价或成交后拒签合同，我们同意委托人撤销对本应答文件的所有承诺。</w:t>
      </w:r>
    </w:p>
    <w:p w14:paraId="22897BAB">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5、我单位愿意承担直至合同签订时止为此项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所开支的一切费用。</w:t>
      </w:r>
    </w:p>
    <w:p w14:paraId="1DA03DF5">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7、本应答文件有效期同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w:t>
      </w:r>
    </w:p>
    <w:p w14:paraId="1628BE82">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p>
    <w:p w14:paraId="6B681802">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应答人：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CDAED92">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p>
    <w:p w14:paraId="609C531A">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p>
    <w:p w14:paraId="1B931339">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CDBFC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p>
    <w:p w14:paraId="1C14EE5E">
      <w:pPr>
        <w:pStyle w:val="31"/>
        <w:ind w:firstLine="482"/>
        <w:rPr>
          <w:rFonts w:hint="eastAsia" w:ascii="宋体" w:hAnsi="宋体" w:eastAsia="宋体" w:cs="宋体"/>
          <w:b/>
          <w:color w:val="auto"/>
          <w:sz w:val="21"/>
          <w:szCs w:val="24"/>
          <w:highlight w:val="none"/>
        </w:rPr>
      </w:pPr>
    </w:p>
    <w:p w14:paraId="566DDD4F">
      <w:pP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br w:type="page"/>
      </w:r>
    </w:p>
    <w:bookmarkEnd w:id="38"/>
    <w:p w14:paraId="524CC544">
      <w:pPr>
        <w:widowControl/>
        <w:shd w:val="clear" w:color="auto" w:fill="FFFFFF"/>
        <w:snapToGrid w:val="0"/>
        <w:spacing w:line="450" w:lineRule="atLeast"/>
        <w:jc w:val="center"/>
        <w:rPr>
          <w:rFonts w:hint="eastAsia" w:ascii="宋体" w:hAnsi="宋体" w:eastAsia="宋体" w:cs="宋体"/>
          <w:b/>
          <w:bCs/>
          <w:color w:val="auto"/>
          <w:kern w:val="0"/>
          <w:sz w:val="28"/>
          <w:szCs w:val="28"/>
          <w:highlight w:val="none"/>
        </w:rPr>
      </w:pPr>
      <w:bookmarkStart w:id="39" w:name="_Toc118930"/>
      <w:r>
        <w:rPr>
          <w:rFonts w:hint="eastAsia" w:ascii="宋体" w:hAnsi="宋体" w:eastAsia="宋体" w:cs="宋体"/>
          <w:b/>
          <w:bCs/>
          <w:color w:val="auto"/>
          <w:kern w:val="0"/>
          <w:sz w:val="28"/>
          <w:szCs w:val="28"/>
          <w:highlight w:val="none"/>
        </w:rPr>
        <w:t>二、法定代表人身份证明书</w:t>
      </w:r>
    </w:p>
    <w:p w14:paraId="6F325DAD">
      <w:pPr>
        <w:widowControl/>
        <w:shd w:val="clear" w:color="auto" w:fill="FFFFFF"/>
        <w:snapToGrid w:val="0"/>
        <w:spacing w:line="360" w:lineRule="auto"/>
        <w:jc w:val="left"/>
        <w:rPr>
          <w:rFonts w:hint="eastAsia" w:ascii="宋体" w:hAnsi="宋体" w:eastAsia="宋体" w:cs="宋体"/>
          <w:color w:val="auto"/>
          <w:kern w:val="0"/>
          <w:sz w:val="24"/>
          <w:szCs w:val="21"/>
          <w:highlight w:val="none"/>
        </w:rPr>
      </w:pPr>
    </w:p>
    <w:p w14:paraId="2F917D71">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供应商名称：</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 xml:space="preserve"> </w:t>
      </w:r>
    </w:p>
    <w:p w14:paraId="2938E275">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单位性质：</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 xml:space="preserve"> </w:t>
      </w:r>
    </w:p>
    <w:p w14:paraId="1449FD87">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地址：</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 xml:space="preserve">  </w:t>
      </w:r>
    </w:p>
    <w:p w14:paraId="72571548">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成立时间：</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年</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月</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日</w:t>
      </w:r>
    </w:p>
    <w:p w14:paraId="082370EF">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经营期限：</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 xml:space="preserve"> </w:t>
      </w:r>
    </w:p>
    <w:p w14:paraId="7BCE752B">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姓名：</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性别：</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年龄：</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职务：</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系</w:t>
      </w:r>
      <w:r>
        <w:rPr>
          <w:rFonts w:hint="eastAsia" w:ascii="宋体" w:hAnsi="宋体" w:eastAsia="宋体" w:cs="宋体"/>
          <w:color w:val="auto"/>
          <w:kern w:val="0"/>
          <w:sz w:val="24"/>
          <w:szCs w:val="21"/>
          <w:highlight w:val="none"/>
          <w:u w:val="single"/>
        </w:rPr>
        <w:t xml:space="preserve">             （供应商名称）        </w:t>
      </w:r>
      <w:r>
        <w:rPr>
          <w:rFonts w:hint="eastAsia" w:ascii="宋体" w:hAnsi="宋体" w:eastAsia="宋体" w:cs="宋体"/>
          <w:color w:val="auto"/>
          <w:kern w:val="0"/>
          <w:sz w:val="24"/>
          <w:szCs w:val="21"/>
          <w:highlight w:val="none"/>
        </w:rPr>
        <w:t>的法定代表人。</w:t>
      </w:r>
    </w:p>
    <w:p w14:paraId="4552D4D0">
      <w:pPr>
        <w:widowControl/>
        <w:shd w:val="clear" w:color="auto" w:fill="FFFFFF"/>
        <w:snapToGrid w:val="0"/>
        <w:spacing w:line="360" w:lineRule="auto"/>
        <w:ind w:firstLine="960" w:firstLineChars="4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特此证明。</w:t>
      </w:r>
    </w:p>
    <w:p w14:paraId="43EF90E4">
      <w:pPr>
        <w:widowControl/>
        <w:shd w:val="clear" w:color="auto" w:fill="FFFFFF"/>
        <w:snapToGrid w:val="0"/>
        <w:spacing w:line="360" w:lineRule="auto"/>
        <w:ind w:firstLine="960" w:firstLineChars="400"/>
        <w:jc w:val="left"/>
        <w:rPr>
          <w:rFonts w:hint="eastAsia" w:ascii="宋体" w:hAnsi="宋体" w:eastAsia="宋体" w:cs="宋体"/>
          <w:color w:val="auto"/>
          <w:kern w:val="0"/>
          <w:sz w:val="24"/>
          <w:szCs w:val="21"/>
          <w:highlight w:val="none"/>
        </w:rPr>
      </w:pPr>
    </w:p>
    <w:p w14:paraId="35F7D329">
      <w:pPr>
        <w:widowControl/>
        <w:shd w:val="clear" w:color="auto" w:fill="FFFFFF"/>
        <w:snapToGrid w:val="0"/>
        <w:spacing w:line="360" w:lineRule="auto"/>
        <w:ind w:firstLine="960" w:firstLineChars="400"/>
        <w:jc w:val="left"/>
        <w:rPr>
          <w:rFonts w:hint="eastAsia" w:ascii="宋体" w:hAnsi="宋体" w:eastAsia="宋体" w:cs="宋体"/>
          <w:color w:val="auto"/>
          <w:kern w:val="0"/>
          <w:sz w:val="24"/>
          <w:szCs w:val="21"/>
          <w:highlight w:val="none"/>
        </w:rPr>
      </w:pPr>
    </w:p>
    <w:p w14:paraId="0327C5A2">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mc:AlternateContent>
          <mc:Choice Requires="wps">
            <w:drawing>
              <wp:anchor distT="0" distB="0" distL="114300" distR="114300" simplePos="0" relativeHeight="251660288" behindDoc="0" locked="0" layoutInCell="1" allowOverlap="1">
                <wp:simplePos x="0" y="0"/>
                <wp:positionH relativeFrom="column">
                  <wp:posOffset>1454150</wp:posOffset>
                </wp:positionH>
                <wp:positionV relativeFrom="paragraph">
                  <wp:posOffset>45085</wp:posOffset>
                </wp:positionV>
                <wp:extent cx="3067050" cy="1920240"/>
                <wp:effectExtent l="4445" t="5080" r="14605" b="17780"/>
                <wp:wrapNone/>
                <wp:docPr id="3" name="矩形 3"/>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AF8019">
                            <w:pPr>
                              <w:jc w:val="center"/>
                            </w:pPr>
                          </w:p>
                          <w:p w14:paraId="13515733">
                            <w:pPr>
                              <w:jc w:val="center"/>
                            </w:pPr>
                          </w:p>
                          <w:p w14:paraId="505E5DE7">
                            <w:pPr>
                              <w:jc w:val="center"/>
                            </w:pPr>
                          </w:p>
                          <w:p w14:paraId="40E0120E">
                            <w:pPr>
                              <w:jc w:val="center"/>
                            </w:pPr>
                          </w:p>
                          <w:p w14:paraId="250B4150">
                            <w:pPr>
                              <w:jc w:val="center"/>
                            </w:pPr>
                          </w:p>
                          <w:p w14:paraId="1E6074BD">
                            <w:r>
                              <w:rPr>
                                <w:rFonts w:hint="eastAsia"/>
                              </w:rPr>
                              <w:t xml:space="preserve">          法人身份证复印件正、反面</w:t>
                            </w:r>
                          </w:p>
                        </w:txbxContent>
                      </wps:txbx>
                      <wps:bodyPr upright="1"/>
                    </wps:wsp>
                  </a:graphicData>
                </a:graphic>
              </wp:anchor>
            </w:drawing>
          </mc:Choice>
          <mc:Fallback>
            <w:pict>
              <v:rect id="_x0000_s1026" o:spid="_x0000_s1026" o:spt="1" style="position:absolute;left:0pt;margin-left:114.5pt;margin-top:3.55pt;height:151.2pt;width:241.5pt;z-index:251660288;mso-width-relative:page;mso-height-relative:page;" fillcolor="#FFFFFF" filled="t" stroked="t" coordsize="21600,21600" o:gfxdata="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qp4htcAAAAJAQAADwAAAAAAAAABACAAAAAiAAAAZHJz&#10;L2Rvd25yZXYueG1sUEsBAhQAFAAAAAgAh07iQKZSHXYFAgAAKgQAAA4AAAAAAAAAAQAgAAAAJgEA&#10;AGRycy9lMm9Eb2MueG1sUEsFBgAAAAAGAAYAWQEAAJ0FAAAAAA==&#10;">
                <v:fill on="t" focussize="0,0"/>
                <v:stroke color="#000000" joinstyle="miter"/>
                <v:imagedata o:title=""/>
                <o:lock v:ext="edit" aspectratio="f"/>
                <v:textbox>
                  <w:txbxContent>
                    <w:p w14:paraId="69AF8019">
                      <w:pPr>
                        <w:jc w:val="center"/>
                      </w:pPr>
                    </w:p>
                    <w:p w14:paraId="13515733">
                      <w:pPr>
                        <w:jc w:val="center"/>
                      </w:pPr>
                    </w:p>
                    <w:p w14:paraId="505E5DE7">
                      <w:pPr>
                        <w:jc w:val="center"/>
                      </w:pPr>
                    </w:p>
                    <w:p w14:paraId="40E0120E">
                      <w:pPr>
                        <w:jc w:val="center"/>
                      </w:pPr>
                    </w:p>
                    <w:p w14:paraId="250B4150">
                      <w:pPr>
                        <w:jc w:val="center"/>
                      </w:pPr>
                    </w:p>
                    <w:p w14:paraId="1E6074BD">
                      <w:r>
                        <w:rPr>
                          <w:rFonts w:hint="eastAsia"/>
                        </w:rPr>
                        <w:t xml:space="preserve">          法人身份证复印件正、反面</w:t>
                      </w:r>
                    </w:p>
                  </w:txbxContent>
                </v:textbox>
              </v:rect>
            </w:pict>
          </mc:Fallback>
        </mc:AlternateContent>
      </w:r>
    </w:p>
    <w:p w14:paraId="66F7E7C5">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p>
    <w:p w14:paraId="498C22FE">
      <w:pPr>
        <w:widowControl/>
        <w:shd w:val="clear" w:color="auto" w:fill="FFFFFF"/>
        <w:snapToGrid w:val="0"/>
        <w:spacing w:line="360" w:lineRule="auto"/>
        <w:ind w:firstLine="480" w:firstLineChars="200"/>
        <w:jc w:val="left"/>
        <w:rPr>
          <w:rFonts w:hint="eastAsia" w:ascii="宋体" w:hAnsi="宋体" w:eastAsia="宋体" w:cs="宋体"/>
          <w:color w:val="auto"/>
          <w:kern w:val="0"/>
          <w:sz w:val="24"/>
          <w:szCs w:val="21"/>
          <w:highlight w:val="none"/>
        </w:rPr>
      </w:pPr>
    </w:p>
    <w:p w14:paraId="2360D915">
      <w:pPr>
        <w:widowControl/>
        <w:shd w:val="clear" w:color="auto" w:fill="FFFFFF"/>
        <w:snapToGrid w:val="0"/>
        <w:spacing w:line="360" w:lineRule="auto"/>
        <w:ind w:firstLine="4800" w:firstLineChars="2000"/>
        <w:jc w:val="left"/>
        <w:rPr>
          <w:rFonts w:hint="eastAsia" w:ascii="宋体" w:hAnsi="宋体" w:eastAsia="宋体" w:cs="宋体"/>
          <w:color w:val="auto"/>
          <w:kern w:val="0"/>
          <w:sz w:val="24"/>
          <w:szCs w:val="21"/>
          <w:highlight w:val="none"/>
        </w:rPr>
      </w:pPr>
    </w:p>
    <w:p w14:paraId="4D9A5C80">
      <w:pPr>
        <w:widowControl/>
        <w:shd w:val="clear" w:color="auto" w:fill="FFFFFF"/>
        <w:snapToGrid w:val="0"/>
        <w:spacing w:line="360" w:lineRule="auto"/>
        <w:ind w:firstLine="4800" w:firstLineChars="2000"/>
        <w:jc w:val="left"/>
        <w:rPr>
          <w:rFonts w:hint="eastAsia" w:ascii="宋体" w:hAnsi="宋体" w:eastAsia="宋体" w:cs="宋体"/>
          <w:color w:val="auto"/>
          <w:kern w:val="0"/>
          <w:sz w:val="24"/>
          <w:szCs w:val="21"/>
          <w:highlight w:val="none"/>
        </w:rPr>
      </w:pPr>
    </w:p>
    <w:p w14:paraId="090D9977">
      <w:pPr>
        <w:widowControl/>
        <w:shd w:val="clear" w:color="auto" w:fill="FFFFFF"/>
        <w:snapToGrid w:val="0"/>
        <w:spacing w:line="360" w:lineRule="auto"/>
        <w:ind w:firstLine="4800" w:firstLineChars="2000"/>
        <w:jc w:val="left"/>
        <w:rPr>
          <w:rFonts w:hint="eastAsia" w:ascii="宋体" w:hAnsi="宋体" w:eastAsia="宋体" w:cs="宋体"/>
          <w:color w:val="auto"/>
          <w:kern w:val="0"/>
          <w:sz w:val="24"/>
          <w:szCs w:val="21"/>
          <w:highlight w:val="none"/>
        </w:rPr>
      </w:pPr>
    </w:p>
    <w:p w14:paraId="2FAF1670">
      <w:pPr>
        <w:widowControl/>
        <w:shd w:val="clear" w:color="auto" w:fill="FFFFFF"/>
        <w:snapToGrid w:val="0"/>
        <w:spacing w:line="360" w:lineRule="auto"/>
        <w:ind w:firstLine="4800" w:firstLineChars="2000"/>
        <w:jc w:val="left"/>
        <w:rPr>
          <w:rFonts w:hint="eastAsia" w:ascii="宋体" w:hAnsi="宋体" w:eastAsia="宋体" w:cs="宋体"/>
          <w:color w:val="auto"/>
          <w:kern w:val="0"/>
          <w:sz w:val="24"/>
          <w:szCs w:val="21"/>
          <w:highlight w:val="none"/>
        </w:rPr>
      </w:pPr>
    </w:p>
    <w:p w14:paraId="1602920A">
      <w:pPr>
        <w:widowControl/>
        <w:shd w:val="clear" w:color="auto" w:fill="FFFFFF"/>
        <w:snapToGrid w:val="0"/>
        <w:spacing w:line="360" w:lineRule="auto"/>
        <w:jc w:val="left"/>
        <w:rPr>
          <w:rFonts w:hint="eastAsia" w:ascii="宋体" w:hAnsi="宋体" w:eastAsia="宋体" w:cs="宋体"/>
          <w:color w:val="auto"/>
          <w:kern w:val="0"/>
          <w:sz w:val="24"/>
          <w:szCs w:val="21"/>
          <w:highlight w:val="none"/>
        </w:rPr>
      </w:pPr>
    </w:p>
    <w:p w14:paraId="657A69BF">
      <w:pPr>
        <w:widowControl/>
        <w:shd w:val="clear" w:color="auto" w:fill="FFFFFF"/>
        <w:snapToGrid w:val="0"/>
        <w:spacing w:line="360" w:lineRule="auto"/>
        <w:jc w:val="left"/>
        <w:rPr>
          <w:rFonts w:hint="eastAsia" w:ascii="宋体" w:hAnsi="宋体" w:eastAsia="宋体" w:cs="宋体"/>
          <w:color w:val="auto"/>
          <w:kern w:val="0"/>
          <w:sz w:val="24"/>
          <w:szCs w:val="21"/>
          <w:highlight w:val="none"/>
        </w:rPr>
      </w:pPr>
    </w:p>
    <w:p w14:paraId="284AB20B">
      <w:pPr>
        <w:widowControl/>
        <w:shd w:val="clear" w:color="auto" w:fill="FFFFFF"/>
        <w:snapToGrid w:val="0"/>
        <w:spacing w:line="360" w:lineRule="auto"/>
        <w:ind w:firstLine="4800" w:firstLineChars="2000"/>
        <w:jc w:val="left"/>
        <w:rPr>
          <w:rFonts w:hint="eastAsia" w:ascii="宋体" w:hAnsi="宋体" w:eastAsia="宋体" w:cs="宋体"/>
          <w:color w:val="auto"/>
          <w:kern w:val="0"/>
          <w:sz w:val="24"/>
          <w:szCs w:val="21"/>
          <w:highlight w:val="none"/>
        </w:rPr>
      </w:pPr>
    </w:p>
    <w:p w14:paraId="62CC2519">
      <w:pPr>
        <w:widowControl/>
        <w:shd w:val="clear" w:color="auto" w:fill="FFFFFF"/>
        <w:snapToGrid w:val="0"/>
        <w:spacing w:line="360" w:lineRule="auto"/>
        <w:ind w:firstLine="5400" w:firstLineChars="2250"/>
        <w:jc w:val="left"/>
        <w:rPr>
          <w:rFonts w:hint="eastAsia" w:ascii="宋体" w:hAnsi="宋体" w:eastAsia="宋体" w:cs="宋体"/>
          <w:color w:val="auto"/>
          <w:kern w:val="0"/>
          <w:sz w:val="24"/>
          <w:szCs w:val="21"/>
          <w:highlight w:val="none"/>
          <w:u w:val="single"/>
        </w:rPr>
      </w:pPr>
      <w:r>
        <w:rPr>
          <w:rFonts w:hint="eastAsia" w:ascii="宋体" w:hAnsi="宋体" w:eastAsia="宋体" w:cs="宋体"/>
          <w:color w:val="auto"/>
          <w:kern w:val="0"/>
          <w:sz w:val="24"/>
          <w:szCs w:val="21"/>
          <w:highlight w:val="none"/>
        </w:rPr>
        <w:t>供应商：</w:t>
      </w:r>
      <w:r>
        <w:rPr>
          <w:rFonts w:hint="eastAsia" w:ascii="宋体" w:hAnsi="宋体" w:eastAsia="宋体" w:cs="宋体"/>
          <w:color w:val="auto"/>
          <w:kern w:val="0"/>
          <w:sz w:val="24"/>
          <w:szCs w:val="21"/>
          <w:highlight w:val="none"/>
          <w:u w:val="single"/>
        </w:rPr>
        <w:t xml:space="preserve">          （盖单位章）         </w:t>
      </w:r>
    </w:p>
    <w:p w14:paraId="6530E98A">
      <w:pPr>
        <w:widowControl/>
        <w:shd w:val="clear" w:color="auto" w:fill="FFFFFF"/>
        <w:snapToGrid w:val="0"/>
        <w:spacing w:line="360" w:lineRule="auto"/>
        <w:ind w:firstLine="5160" w:firstLineChars="2150"/>
        <w:jc w:val="left"/>
        <w:rPr>
          <w:rFonts w:hint="eastAsia" w:ascii="宋体" w:hAnsi="宋体" w:eastAsia="宋体" w:cs="宋体"/>
          <w:color w:val="auto"/>
          <w:kern w:val="0"/>
          <w:sz w:val="24"/>
          <w:szCs w:val="21"/>
          <w:highlight w:val="none"/>
          <w:u w:val="single"/>
        </w:rPr>
      </w:pPr>
    </w:p>
    <w:p w14:paraId="3214FCE8">
      <w:pPr>
        <w:widowControl/>
        <w:shd w:val="clear" w:color="auto" w:fill="FFFFFF"/>
        <w:snapToGrid w:val="0"/>
        <w:spacing w:line="360" w:lineRule="auto"/>
        <w:ind w:firstLine="6240" w:firstLineChars="26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年</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月</w:t>
      </w:r>
      <w:r>
        <w:rPr>
          <w:rFonts w:hint="eastAsia" w:ascii="宋体" w:hAnsi="宋体" w:eastAsia="宋体" w:cs="宋体"/>
          <w:color w:val="auto"/>
          <w:kern w:val="0"/>
          <w:sz w:val="24"/>
          <w:szCs w:val="21"/>
          <w:highlight w:val="none"/>
          <w:u w:val="single"/>
        </w:rPr>
        <w:t xml:space="preserve">     </w:t>
      </w:r>
      <w:r>
        <w:rPr>
          <w:rFonts w:hint="eastAsia" w:ascii="宋体" w:hAnsi="宋体" w:eastAsia="宋体" w:cs="宋体"/>
          <w:color w:val="auto"/>
          <w:kern w:val="0"/>
          <w:sz w:val="24"/>
          <w:szCs w:val="21"/>
          <w:highlight w:val="none"/>
        </w:rPr>
        <w:t>日</w:t>
      </w:r>
      <w:bookmarkStart w:id="40" w:name="_Toc28377"/>
      <w:bookmarkStart w:id="41" w:name="_Toc15567"/>
    </w:p>
    <w:p w14:paraId="44545AC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left"/>
        <w:textAlignment w:val="baseline"/>
        <w:rPr>
          <w:rFonts w:hint="eastAsia" w:ascii="宋体" w:hAnsi="宋体" w:eastAsia="宋体" w:cs="宋体"/>
          <w:color w:val="auto"/>
          <w:kern w:val="0"/>
          <w:sz w:val="24"/>
          <w:szCs w:val="21"/>
          <w:highlight w:val="none"/>
        </w:rPr>
      </w:pPr>
    </w:p>
    <w:p w14:paraId="2F9B8A3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说明：本证明文件用于供应商法定代表人出席磋商会，并须按此格式提供。</w:t>
      </w:r>
      <w:bookmarkEnd w:id="40"/>
      <w:bookmarkEnd w:id="41"/>
      <w:bookmarkStart w:id="42" w:name="_Toc29061"/>
      <w:bookmarkStart w:id="43" w:name="_Toc17427"/>
    </w:p>
    <w:p w14:paraId="5A6E6B02">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2012D48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0" w:firstLineChars="0"/>
        <w:jc w:val="center"/>
        <w:textAlignment w:val="baseline"/>
        <w:rPr>
          <w:rFonts w:hint="eastAsia" w:ascii="宋体" w:hAnsi="宋体" w:eastAsia="宋体" w:cs="宋体"/>
          <w:color w:val="auto"/>
          <w:sz w:val="28"/>
          <w:szCs w:val="32"/>
          <w:highlight w:val="none"/>
          <w:lang w:eastAsia="zh-CN"/>
        </w:rPr>
      </w:pPr>
      <w:r>
        <w:rPr>
          <w:rFonts w:hint="eastAsia" w:ascii="宋体" w:hAnsi="宋体" w:eastAsia="宋体" w:cs="宋体"/>
          <w:b/>
          <w:color w:val="auto"/>
          <w:sz w:val="28"/>
          <w:szCs w:val="32"/>
          <w:highlight w:val="none"/>
        </w:rPr>
        <w:t>三</w:t>
      </w:r>
      <w:r>
        <w:rPr>
          <w:rFonts w:hint="eastAsia" w:ascii="宋体" w:hAnsi="宋体" w:eastAsia="宋体" w:cs="宋体"/>
          <w:b/>
          <w:bCs/>
          <w:smallCaps/>
          <w:color w:val="auto"/>
          <w:sz w:val="36"/>
          <w:szCs w:val="36"/>
          <w:highlight w:val="none"/>
        </w:rPr>
        <w:t>、</w:t>
      </w:r>
      <w:r>
        <w:rPr>
          <w:rFonts w:hint="eastAsia" w:ascii="宋体" w:hAnsi="宋体" w:eastAsia="宋体" w:cs="宋体"/>
          <w:b/>
          <w:color w:val="auto"/>
          <w:sz w:val="28"/>
          <w:szCs w:val="32"/>
          <w:highlight w:val="none"/>
        </w:rPr>
        <w:t>法定代表人授权书</w:t>
      </w:r>
      <w:bookmarkEnd w:id="42"/>
      <w:bookmarkEnd w:id="43"/>
    </w:p>
    <w:p w14:paraId="7415EAD6">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采购人名称        </w:t>
      </w:r>
      <w:r>
        <w:rPr>
          <w:rFonts w:hint="eastAsia" w:ascii="宋体" w:hAnsi="宋体" w:eastAsia="宋体" w:cs="宋体"/>
          <w:color w:val="auto"/>
          <w:sz w:val="24"/>
          <w:szCs w:val="24"/>
          <w:highlight w:val="none"/>
        </w:rPr>
        <w:t>：</w:t>
      </w:r>
    </w:p>
    <w:p w14:paraId="5BF84734">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p>
    <w:p w14:paraId="44356A86">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（磋商供应商全称）        的</w:t>
      </w:r>
      <w:r>
        <w:rPr>
          <w:rFonts w:hint="eastAsia" w:ascii="宋体" w:hAnsi="宋体" w:eastAsia="宋体" w:cs="宋体"/>
          <w:color w:val="auto"/>
          <w:sz w:val="24"/>
          <w:szCs w:val="24"/>
          <w:highlight w:val="none"/>
        </w:rPr>
        <w:t>法定代表人授权我公司</w:t>
      </w:r>
      <w:r>
        <w:rPr>
          <w:rFonts w:hint="eastAsia" w:ascii="宋体" w:hAnsi="宋体" w:eastAsia="宋体" w:cs="宋体"/>
          <w:color w:val="auto"/>
          <w:sz w:val="24"/>
          <w:szCs w:val="24"/>
          <w:highlight w:val="none"/>
          <w:u w:val="single"/>
        </w:rPr>
        <w:t>（磋商供应商代表姓名）</w:t>
      </w:r>
      <w:r>
        <w:rPr>
          <w:rFonts w:hint="eastAsia" w:ascii="宋体" w:hAnsi="宋体" w:eastAsia="宋体" w:cs="宋体"/>
          <w:color w:val="auto"/>
          <w:sz w:val="24"/>
          <w:szCs w:val="24"/>
          <w:highlight w:val="none"/>
        </w:rPr>
        <w:t>为磋商供应商代表，代表本公司参加</w:t>
      </w:r>
      <w:r>
        <w:rPr>
          <w:rFonts w:hint="eastAsia" w:ascii="宋体" w:hAnsi="宋体" w:eastAsia="宋体" w:cs="宋体"/>
          <w:color w:val="auto"/>
          <w:sz w:val="24"/>
          <w:szCs w:val="24"/>
          <w:highlight w:val="none"/>
          <w:lang w:eastAsia="zh-CN"/>
        </w:rPr>
        <w:t>贵公</w:t>
      </w:r>
      <w:r>
        <w:rPr>
          <w:rFonts w:hint="eastAsia" w:ascii="宋体" w:hAnsi="宋体" w:eastAsia="宋体" w:cs="宋体"/>
          <w:color w:val="auto"/>
          <w:sz w:val="24"/>
          <w:szCs w:val="24"/>
          <w:highlight w:val="none"/>
        </w:rPr>
        <w:t>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竞争性磋商活动，全权代表本公司处理磋商过程的一切事宜，包括但不限于：磋商、成交、签约等。磋商供应商代表在磋商过程中所签署的一切文件和处理与之有关的一切事务，本公司均予以认可并对此承担责任。磋商供应商代表无转委托权。特此授权。</w:t>
      </w:r>
    </w:p>
    <w:p w14:paraId="4AF2E846">
      <w:pPr>
        <w:pStyle w:val="12"/>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本授权书自出具之日起生效。</w:t>
      </w:r>
    </w:p>
    <w:p w14:paraId="4588753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身份证号：</w:t>
      </w:r>
      <w:r>
        <w:rPr>
          <w:rFonts w:hint="eastAsia" w:ascii="宋体" w:hAnsi="宋体" w:eastAsia="宋体" w:cs="宋体"/>
          <w:color w:val="auto"/>
          <w:sz w:val="24"/>
          <w:szCs w:val="24"/>
          <w:highlight w:val="none"/>
          <w:u w:val="single"/>
        </w:rPr>
        <w:t xml:space="preserve">                           </w:t>
      </w:r>
    </w:p>
    <w:p w14:paraId="41FE84B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389D9979">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p w14:paraId="452A9F6B">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62865</wp:posOffset>
                </wp:positionV>
                <wp:extent cx="3067050" cy="1920240"/>
                <wp:effectExtent l="4445" t="5080" r="14605" b="17780"/>
                <wp:wrapNone/>
                <wp:docPr id="4" name="矩形 3"/>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1D5E0E">
                            <w:pPr>
                              <w:jc w:val="center"/>
                            </w:pPr>
                          </w:p>
                          <w:p w14:paraId="0F441FAB">
                            <w:pPr>
                              <w:jc w:val="center"/>
                            </w:pPr>
                          </w:p>
                          <w:p w14:paraId="3924C6F5">
                            <w:pPr>
                              <w:jc w:val="center"/>
                            </w:pPr>
                          </w:p>
                          <w:p w14:paraId="55B23B71">
                            <w:pPr>
                              <w:jc w:val="center"/>
                            </w:pPr>
                          </w:p>
                          <w:p w14:paraId="268EB49F">
                            <w:pPr>
                              <w:jc w:val="center"/>
                            </w:pPr>
                          </w:p>
                          <w:p w14:paraId="6CA91EB8">
                            <w:r>
                              <w:rPr>
                                <w:rFonts w:hint="eastAsia"/>
                              </w:rPr>
                              <w:t xml:space="preserve">          授权代表身份证复印件正、反面</w:t>
                            </w:r>
                          </w:p>
                        </w:txbxContent>
                      </wps:txbx>
                      <wps:bodyPr upright="1"/>
                    </wps:wsp>
                  </a:graphicData>
                </a:graphic>
              </wp:anchor>
            </w:drawing>
          </mc:Choice>
          <mc:Fallback>
            <w:pict>
              <v:rect id="矩形 3" o:spid="_x0000_s1026" o:spt="1" style="position:absolute;left:0pt;margin-left:241.5pt;margin-top:4.95pt;height:151.2pt;width:241.5pt;z-index:251661312;mso-width-relative:page;mso-height-relative:page;" fillcolor="#FFFFFF" filled="t" stroked="t" coordsize="21600,21600" o:gfxdata="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zNlu1wAAAAkBAAAPAAAAAAAAAAEAIAAAACIAAABkcnMv&#10;ZG93bnJldi54bWxQSwECFAAUAAAACACHTuJALaTycgQCAAAqBAAADgAAAAAAAAABACAAAAAmAQAA&#10;ZHJzL2Uyb0RvYy54bWxQSwUGAAAAAAYABgBZAQAAnAUAAAAA&#10;">
                <v:fill on="t" focussize="0,0"/>
                <v:stroke color="#000000" joinstyle="miter"/>
                <v:imagedata o:title=""/>
                <o:lock v:ext="edit" aspectratio="f"/>
                <v:textbox>
                  <w:txbxContent>
                    <w:p w14:paraId="621D5E0E">
                      <w:pPr>
                        <w:jc w:val="center"/>
                      </w:pPr>
                    </w:p>
                    <w:p w14:paraId="0F441FAB">
                      <w:pPr>
                        <w:jc w:val="center"/>
                      </w:pPr>
                    </w:p>
                    <w:p w14:paraId="3924C6F5">
                      <w:pPr>
                        <w:jc w:val="center"/>
                      </w:pPr>
                    </w:p>
                    <w:p w14:paraId="55B23B71">
                      <w:pPr>
                        <w:jc w:val="center"/>
                      </w:pPr>
                    </w:p>
                    <w:p w14:paraId="268EB49F">
                      <w:pPr>
                        <w:jc w:val="center"/>
                      </w:pPr>
                    </w:p>
                    <w:p w14:paraId="6CA91EB8">
                      <w:r>
                        <w:rPr>
                          <w:rFonts w:hint="eastAsia"/>
                        </w:rPr>
                        <w:t xml:space="preserve">          授权代表身份证复印件正、反面</w:t>
                      </w:r>
                    </w:p>
                  </w:txbxContent>
                </v:textbox>
              </v: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72390</wp:posOffset>
                </wp:positionV>
                <wp:extent cx="3067050" cy="1920240"/>
                <wp:effectExtent l="4445" t="5080" r="14605" b="17780"/>
                <wp:wrapNone/>
                <wp:docPr id="5" name="矩形 4"/>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2C5A9F">
                            <w:pPr>
                              <w:jc w:val="center"/>
                            </w:pPr>
                          </w:p>
                          <w:p w14:paraId="22162103">
                            <w:pPr>
                              <w:jc w:val="center"/>
                            </w:pPr>
                          </w:p>
                          <w:p w14:paraId="1D166C43">
                            <w:pPr>
                              <w:jc w:val="center"/>
                            </w:pPr>
                          </w:p>
                          <w:p w14:paraId="76A1FC28">
                            <w:pPr>
                              <w:jc w:val="center"/>
                            </w:pPr>
                          </w:p>
                          <w:p w14:paraId="481B68DD">
                            <w:pPr>
                              <w:jc w:val="center"/>
                            </w:pPr>
                          </w:p>
                          <w:p w14:paraId="6E6A9651">
                            <w:r>
                              <w:rPr>
                                <w:rFonts w:hint="eastAsia"/>
                              </w:rPr>
                              <w:t xml:space="preserve">            法人身份证复印件正、反面</w:t>
                            </w:r>
                          </w:p>
                        </w:txbxContent>
                      </wps:txbx>
                      <wps:bodyPr upright="1"/>
                    </wps:wsp>
                  </a:graphicData>
                </a:graphic>
              </wp:anchor>
            </w:drawing>
          </mc:Choice>
          <mc:Fallback>
            <w:pict>
              <v:rect id="矩形 4" o:spid="_x0000_s1026" o:spt="1" style="position:absolute;left:0pt;margin-left:-10.5pt;margin-top:5.7pt;height:151.2pt;width:241.5pt;z-index:251662336;mso-width-relative:page;mso-height-relative:page;" fillcolor="#FFFFFF" filled="t" stroked="t" coordsize="21600,21600" o:gfxdata="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gAlmTYAAAACgEAAA8AAAAAAAAAAQAgAAAAIgAAAGRy&#10;cy9kb3ducmV2LnhtbFBLAQIUABQAAAAIAIdO4kDShi80BQIAACoEAAAOAAAAAAAAAAEAIAAAACcB&#10;AABkcnMvZTJvRG9jLnhtbFBLBQYAAAAABgAGAFkBAACeBQAAAAA=&#10;">
                <v:fill on="t" focussize="0,0"/>
                <v:stroke color="#000000" joinstyle="miter"/>
                <v:imagedata o:title=""/>
                <o:lock v:ext="edit" aspectratio="f"/>
                <v:textbox>
                  <w:txbxContent>
                    <w:p w14:paraId="4E2C5A9F">
                      <w:pPr>
                        <w:jc w:val="center"/>
                      </w:pPr>
                    </w:p>
                    <w:p w14:paraId="22162103">
                      <w:pPr>
                        <w:jc w:val="center"/>
                      </w:pPr>
                    </w:p>
                    <w:p w14:paraId="1D166C43">
                      <w:pPr>
                        <w:jc w:val="center"/>
                      </w:pPr>
                    </w:p>
                    <w:p w14:paraId="76A1FC28">
                      <w:pPr>
                        <w:jc w:val="center"/>
                      </w:pPr>
                    </w:p>
                    <w:p w14:paraId="481B68DD">
                      <w:pPr>
                        <w:jc w:val="center"/>
                      </w:pPr>
                    </w:p>
                    <w:p w14:paraId="6E6A9651">
                      <w:r>
                        <w:rPr>
                          <w:rFonts w:hint="eastAsia"/>
                        </w:rPr>
                        <w:t xml:space="preserve">            法人身份证复印件正、反面</w:t>
                      </w:r>
                    </w:p>
                  </w:txbxContent>
                </v:textbox>
              </v:rect>
            </w:pict>
          </mc:Fallback>
        </mc:AlternateContent>
      </w:r>
    </w:p>
    <w:p w14:paraId="16AB59F5">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p w14:paraId="5B8F6ABD">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p w14:paraId="2371AADA">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p w14:paraId="4071BAA4">
      <w:pPr>
        <w:keepNext w:val="0"/>
        <w:keepLines w:val="0"/>
        <w:pageBreakBefore w:val="0"/>
        <w:widowControl/>
        <w:kinsoku/>
        <w:wordWrap/>
        <w:overflowPunct/>
        <w:topLinePunct w:val="0"/>
        <w:autoSpaceDE/>
        <w:autoSpaceDN/>
        <w:bidi w:val="0"/>
        <w:adjustRightInd w:val="0"/>
        <w:snapToGrid w:val="0"/>
        <w:spacing w:line="360" w:lineRule="auto"/>
        <w:ind w:firstLine="4003" w:firstLineChars="1668"/>
        <w:jc w:val="left"/>
        <w:rPr>
          <w:rFonts w:hint="eastAsia" w:ascii="宋体" w:hAnsi="宋体" w:eastAsia="宋体" w:cs="宋体"/>
          <w:color w:val="auto"/>
          <w:sz w:val="24"/>
          <w:szCs w:val="24"/>
          <w:highlight w:val="none"/>
        </w:rPr>
      </w:pPr>
    </w:p>
    <w:p w14:paraId="17D77844">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p w14:paraId="4641FB72">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p w14:paraId="1C7A9F0C">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866BF73">
      <w:pPr>
        <w:keepNext w:val="0"/>
        <w:keepLines w:val="0"/>
        <w:pageBreakBefore w:val="0"/>
        <w:widowControl/>
        <w:kinsoku/>
        <w:wordWrap/>
        <w:overflowPunct/>
        <w:topLinePunct w:val="0"/>
        <w:autoSpaceDE/>
        <w:autoSpaceDN/>
        <w:bidi w:val="0"/>
        <w:adjustRightInd w:val="0"/>
        <w:snapToGrid w:val="0"/>
        <w:spacing w:line="360" w:lineRule="auto"/>
        <w:ind w:firstLine="3360" w:firstLineChars="1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供应商（加盖公章）：</w:t>
      </w:r>
      <w:r>
        <w:rPr>
          <w:rFonts w:hint="eastAsia" w:ascii="宋体" w:hAnsi="宋体" w:eastAsia="宋体" w:cs="宋体"/>
          <w:color w:val="auto"/>
          <w:sz w:val="24"/>
          <w:szCs w:val="24"/>
          <w:highlight w:val="none"/>
          <w:u w:val="single"/>
        </w:rPr>
        <w:t xml:space="preserve">                             </w:t>
      </w:r>
    </w:p>
    <w:p w14:paraId="5CAF3683">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71C05B94">
      <w:pPr>
        <w:keepNext w:val="0"/>
        <w:keepLines w:val="0"/>
        <w:pageBreakBefore w:val="0"/>
        <w:widowControl/>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D30E2D">
      <w:pPr>
        <w:keepNext w:val="0"/>
        <w:keepLines w:val="0"/>
        <w:pageBreakBefore w:val="0"/>
        <w:widowControl/>
        <w:kinsoku/>
        <w:wordWrap/>
        <w:overflowPunct/>
        <w:topLinePunct w:val="0"/>
        <w:autoSpaceDE/>
        <w:autoSpaceDN/>
        <w:bidi w:val="0"/>
        <w:adjustRightInd w:val="0"/>
        <w:snapToGrid w:val="0"/>
        <w:spacing w:line="360" w:lineRule="auto"/>
        <w:ind w:firstLine="4800" w:firstLineChars="20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C8B8DBA">
      <w:pPr>
        <w:keepNext w:val="0"/>
        <w:keepLines w:val="0"/>
        <w:pageBreakBefore w:val="0"/>
        <w:kinsoku/>
        <w:wordWrap/>
        <w:overflowPunct/>
        <w:topLinePunct w:val="0"/>
        <w:autoSpaceDE/>
        <w:autoSpaceDN/>
        <w:bidi w:val="0"/>
        <w:adjustRightInd w:val="0"/>
        <w:snapToGrid w:val="0"/>
        <w:spacing w:line="360" w:lineRule="auto"/>
        <w:ind w:right="102"/>
        <w:rPr>
          <w:rFonts w:hint="eastAsia" w:ascii="宋体" w:hAnsi="宋体" w:eastAsia="宋体" w:cs="宋体"/>
          <w:color w:val="auto"/>
          <w:sz w:val="24"/>
          <w:szCs w:val="24"/>
          <w:highlight w:val="none"/>
        </w:rPr>
      </w:pPr>
      <w:bookmarkStart w:id="44" w:name="_Toc22627"/>
      <w:r>
        <w:rPr>
          <w:rFonts w:hint="eastAsia" w:ascii="宋体" w:hAnsi="宋体" w:eastAsia="宋体" w:cs="宋体"/>
          <w:b/>
          <w:color w:val="auto"/>
          <w:sz w:val="24"/>
          <w:szCs w:val="24"/>
          <w:highlight w:val="none"/>
        </w:rPr>
        <w:t>说明：本授权委托书用于供应商法定代表人授权委托人出席磋商会，并须按此格式提供。</w:t>
      </w:r>
      <w:bookmarkEnd w:id="39"/>
      <w:bookmarkEnd w:id="44"/>
    </w:p>
    <w:p w14:paraId="1188D74C">
      <w:pPr>
        <w:rPr>
          <w:rFonts w:hint="eastAsia" w:ascii="宋体" w:hAnsi="宋体" w:eastAsia="宋体" w:cs="宋体"/>
          <w:b/>
          <w:color w:val="auto"/>
          <w:sz w:val="28"/>
          <w:szCs w:val="28"/>
          <w:highlight w:val="none"/>
        </w:rPr>
      </w:pPr>
      <w:bookmarkStart w:id="45" w:name="_Toc118933"/>
      <w:r>
        <w:rPr>
          <w:rFonts w:hint="eastAsia" w:ascii="宋体" w:hAnsi="宋体" w:eastAsia="宋体" w:cs="宋体"/>
          <w:b/>
          <w:color w:val="auto"/>
          <w:sz w:val="28"/>
          <w:szCs w:val="28"/>
          <w:highlight w:val="none"/>
        </w:rPr>
        <w:br w:type="page"/>
      </w:r>
    </w:p>
    <w:p w14:paraId="5938FC10">
      <w:pPr>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四、</w:t>
      </w:r>
      <w:r>
        <w:rPr>
          <w:rFonts w:hint="eastAsia" w:ascii="宋体" w:hAnsi="宋体" w:eastAsia="宋体" w:cs="宋体"/>
          <w:b/>
          <w:bCs/>
          <w:color w:val="auto"/>
          <w:sz w:val="28"/>
          <w:szCs w:val="28"/>
          <w:highlight w:val="none"/>
        </w:rPr>
        <w:t>磋商保证金</w:t>
      </w:r>
    </w:p>
    <w:p w14:paraId="3E093CD3">
      <w:pPr>
        <w:widowControl/>
        <w:shd w:val="clear" w:color="auto" w:fill="FFFFFF"/>
        <w:snapToGrid w:val="0"/>
        <w:spacing w:line="360" w:lineRule="auto"/>
        <w:jc w:val="left"/>
        <w:rPr>
          <w:rFonts w:hint="eastAsia" w:ascii="宋体" w:hAnsi="宋体" w:eastAsia="宋体" w:cs="宋体"/>
          <w:color w:val="auto"/>
          <w:kern w:val="0"/>
          <w:sz w:val="24"/>
          <w:szCs w:val="21"/>
          <w:highlight w:val="none"/>
          <w:u w:val="single"/>
        </w:rPr>
      </w:pPr>
    </w:p>
    <w:tbl>
      <w:tblPr>
        <w:tblStyle w:val="20"/>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8"/>
      </w:tblGrid>
      <w:tr w14:paraId="35BF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9798" w:type="dxa"/>
            <w:vAlign w:val="center"/>
          </w:tcPr>
          <w:p w14:paraId="661B9000">
            <w:pPr>
              <w:widowControl/>
              <w:snapToGrid w:val="0"/>
              <w:spacing w:line="450" w:lineRule="atLeas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磋商保证金转账凭证扫描件</w:t>
            </w:r>
            <w:r>
              <w:rPr>
                <w:rFonts w:hint="eastAsia" w:ascii="宋体" w:hAnsi="宋体" w:eastAsia="宋体" w:cs="宋体"/>
                <w:b/>
                <w:bCs/>
                <w:color w:val="auto"/>
                <w:kern w:val="0"/>
                <w:sz w:val="28"/>
                <w:szCs w:val="28"/>
                <w:highlight w:val="none"/>
                <w:lang w:eastAsia="zh-CN"/>
              </w:rPr>
              <w:t>或保函</w:t>
            </w:r>
            <w:r>
              <w:rPr>
                <w:rFonts w:hint="eastAsia" w:ascii="宋体" w:hAnsi="宋体" w:eastAsia="宋体" w:cs="宋体"/>
                <w:b/>
                <w:bCs/>
                <w:color w:val="auto"/>
                <w:kern w:val="0"/>
                <w:sz w:val="28"/>
                <w:szCs w:val="28"/>
                <w:highlight w:val="none"/>
              </w:rPr>
              <w:t>粘贴处</w:t>
            </w:r>
          </w:p>
        </w:tc>
      </w:tr>
    </w:tbl>
    <w:p w14:paraId="572DBC09">
      <w:pPr>
        <w:widowControl/>
        <w:shd w:val="clear" w:color="auto" w:fill="FFFFFF"/>
        <w:snapToGrid w:val="0"/>
        <w:spacing w:line="450" w:lineRule="atLeast"/>
        <w:jc w:val="center"/>
        <w:rPr>
          <w:rFonts w:hint="eastAsia" w:ascii="宋体" w:hAnsi="宋体" w:eastAsia="宋体" w:cs="宋体"/>
          <w:b/>
          <w:bCs/>
          <w:color w:val="auto"/>
          <w:kern w:val="0"/>
          <w:sz w:val="28"/>
          <w:szCs w:val="28"/>
          <w:highlight w:val="none"/>
        </w:rPr>
      </w:pPr>
    </w:p>
    <w:p w14:paraId="0356095D">
      <w:pPr>
        <w:autoSpaceDN w:val="0"/>
        <w:spacing w:line="432" w:lineRule="auto"/>
        <w:jc w:val="center"/>
        <w:rPr>
          <w:rFonts w:hint="eastAsia" w:ascii="宋体" w:hAnsi="宋体" w:eastAsia="宋体" w:cs="宋体"/>
          <w:b/>
          <w:bCs/>
          <w:smallCaps/>
          <w:color w:val="auto"/>
          <w:sz w:val="28"/>
          <w:szCs w:val="20"/>
          <w:highlight w:val="none"/>
        </w:rPr>
      </w:pPr>
    </w:p>
    <w:bookmarkEnd w:id="45"/>
    <w:p w14:paraId="4F7C93F7">
      <w:pPr>
        <w:rPr>
          <w:rFonts w:hint="eastAsia" w:ascii="宋体" w:hAnsi="宋体" w:eastAsia="宋体" w:cs="宋体"/>
          <w:b/>
          <w:color w:val="auto"/>
          <w:sz w:val="28"/>
          <w:szCs w:val="28"/>
          <w:highlight w:val="none"/>
        </w:rPr>
      </w:pPr>
      <w:bookmarkStart w:id="46" w:name="_Toc118934"/>
      <w:r>
        <w:rPr>
          <w:rFonts w:hint="eastAsia" w:ascii="宋体" w:hAnsi="宋体" w:eastAsia="宋体" w:cs="宋体"/>
          <w:b/>
          <w:color w:val="auto"/>
          <w:sz w:val="28"/>
          <w:szCs w:val="28"/>
          <w:highlight w:val="none"/>
        </w:rPr>
        <w:br w:type="page"/>
      </w:r>
    </w:p>
    <w:p w14:paraId="65BEBAD8">
      <w:pPr>
        <w:jc w:val="center"/>
        <w:rPr>
          <w:rFonts w:hint="eastAsia" w:ascii="宋体" w:hAnsi="宋体" w:eastAsia="宋体" w:cs="宋体"/>
          <w:bCs/>
          <w:color w:val="000000"/>
          <w:sz w:val="24"/>
          <w:szCs w:val="20"/>
          <w:highlight w:val="none"/>
        </w:rPr>
      </w:pPr>
      <w:r>
        <w:rPr>
          <w:rFonts w:hint="eastAsia" w:ascii="宋体" w:hAnsi="宋体" w:eastAsia="宋体" w:cs="宋体"/>
          <w:b/>
          <w:color w:val="auto"/>
          <w:sz w:val="28"/>
          <w:szCs w:val="28"/>
          <w:highlight w:val="none"/>
        </w:rPr>
        <w:t>五、</w:t>
      </w:r>
      <w:r>
        <w:rPr>
          <w:rFonts w:hint="eastAsia" w:ascii="宋体" w:hAnsi="宋体" w:eastAsia="宋体" w:cs="宋体"/>
          <w:b/>
          <w:color w:val="auto"/>
          <w:sz w:val="28"/>
          <w:szCs w:val="28"/>
          <w:highlight w:val="none"/>
          <w:lang w:val="en-US" w:eastAsia="zh-CN"/>
        </w:rPr>
        <w:t>报价表</w:t>
      </w:r>
      <w:bookmarkEnd w:id="46"/>
    </w:p>
    <w:tbl>
      <w:tblPr>
        <w:tblStyle w:val="19"/>
        <w:tblpPr w:leftFromText="180" w:rightFromText="180" w:vertAnchor="text" w:horzAnchor="margin" w:tblpY="242"/>
        <w:tblW w:w="955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8"/>
        <w:gridCol w:w="2940"/>
        <w:gridCol w:w="5460"/>
      </w:tblGrid>
      <w:tr w14:paraId="4C871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1158" w:type="dxa"/>
            <w:tcBorders>
              <w:right w:val="single" w:color="auto" w:sz="4" w:space="0"/>
            </w:tcBorders>
            <w:vAlign w:val="center"/>
          </w:tcPr>
          <w:p w14:paraId="79FA20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  号</w:t>
            </w:r>
          </w:p>
        </w:tc>
        <w:tc>
          <w:tcPr>
            <w:tcW w:w="2940" w:type="dxa"/>
            <w:tcBorders>
              <w:left w:val="single" w:color="auto" w:sz="4" w:space="0"/>
            </w:tcBorders>
            <w:vAlign w:val="center"/>
          </w:tcPr>
          <w:p w14:paraId="4A98DA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招标工程名称</w:t>
            </w:r>
          </w:p>
        </w:tc>
        <w:tc>
          <w:tcPr>
            <w:tcW w:w="5460" w:type="dxa"/>
            <w:vAlign w:val="center"/>
          </w:tcPr>
          <w:p w14:paraId="4D5177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p>
        </w:tc>
      </w:tr>
      <w:tr w14:paraId="02D86A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1158" w:type="dxa"/>
            <w:tcBorders>
              <w:right w:val="single" w:color="auto" w:sz="4" w:space="0"/>
            </w:tcBorders>
            <w:vAlign w:val="center"/>
          </w:tcPr>
          <w:p w14:paraId="029B8C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940" w:type="dxa"/>
            <w:tcBorders>
              <w:left w:val="single" w:color="auto" w:sz="4" w:space="0"/>
            </w:tcBorders>
            <w:vAlign w:val="center"/>
          </w:tcPr>
          <w:p w14:paraId="7A69D2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5460" w:type="dxa"/>
            <w:vAlign w:val="center"/>
          </w:tcPr>
          <w:p w14:paraId="7CF5C9E0">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p>
        </w:tc>
      </w:tr>
      <w:tr w14:paraId="78A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1158" w:type="dxa"/>
            <w:tcBorders>
              <w:right w:val="single" w:color="auto" w:sz="4" w:space="0"/>
            </w:tcBorders>
            <w:vAlign w:val="center"/>
          </w:tcPr>
          <w:p w14:paraId="2BDBFF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940" w:type="dxa"/>
            <w:tcBorders>
              <w:left w:val="single" w:color="auto" w:sz="4" w:space="0"/>
            </w:tcBorders>
            <w:vAlign w:val="center"/>
          </w:tcPr>
          <w:p w14:paraId="28DB97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采购范围和内容</w:t>
            </w:r>
          </w:p>
        </w:tc>
        <w:tc>
          <w:tcPr>
            <w:tcW w:w="5460" w:type="dxa"/>
            <w:vAlign w:val="center"/>
          </w:tcPr>
          <w:p w14:paraId="365EEA2A">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p>
        </w:tc>
      </w:tr>
      <w:tr w14:paraId="169DE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4" w:hRule="atLeast"/>
        </w:trPr>
        <w:tc>
          <w:tcPr>
            <w:tcW w:w="1158" w:type="dxa"/>
            <w:tcBorders>
              <w:right w:val="single" w:color="auto" w:sz="4" w:space="0"/>
            </w:tcBorders>
            <w:vAlign w:val="center"/>
          </w:tcPr>
          <w:p w14:paraId="76E2288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2940" w:type="dxa"/>
            <w:tcBorders>
              <w:left w:val="single" w:color="auto" w:sz="4" w:space="0"/>
            </w:tcBorders>
            <w:vAlign w:val="center"/>
          </w:tcPr>
          <w:p w14:paraId="103478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服务工期</w:t>
            </w:r>
          </w:p>
        </w:tc>
        <w:tc>
          <w:tcPr>
            <w:tcW w:w="5460" w:type="dxa"/>
            <w:vAlign w:val="center"/>
          </w:tcPr>
          <w:p w14:paraId="4D8CCC01">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p>
        </w:tc>
      </w:tr>
      <w:tr w14:paraId="0F117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4098" w:type="dxa"/>
            <w:gridSpan w:val="2"/>
            <w:vAlign w:val="center"/>
          </w:tcPr>
          <w:p w14:paraId="522854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投标报价合计</w:t>
            </w:r>
          </w:p>
        </w:tc>
        <w:tc>
          <w:tcPr>
            <w:tcW w:w="5460" w:type="dxa"/>
            <w:vAlign w:val="center"/>
          </w:tcPr>
          <w:p w14:paraId="00A39706">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（元） </w:t>
            </w:r>
          </w:p>
          <w:p w14:paraId="7C6A4CF0">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大写：</w:t>
            </w:r>
            <w:r>
              <w:rPr>
                <w:rFonts w:hint="eastAsia" w:ascii="宋体" w:hAnsi="宋体" w:eastAsia="宋体" w:cs="宋体"/>
                <w:color w:val="000000"/>
                <w:sz w:val="24"/>
                <w:szCs w:val="24"/>
                <w:highlight w:val="none"/>
                <w:u w:val="single"/>
              </w:rPr>
              <w:t xml:space="preserve">        </w:t>
            </w:r>
          </w:p>
        </w:tc>
      </w:tr>
    </w:tbl>
    <w:p w14:paraId="7A23D4C8">
      <w:pPr>
        <w:spacing w:line="360" w:lineRule="auto"/>
        <w:rPr>
          <w:rFonts w:hint="eastAsia" w:ascii="宋体" w:hAnsi="宋体" w:eastAsia="宋体" w:cs="宋体"/>
          <w:color w:val="000000"/>
          <w:sz w:val="24"/>
          <w:szCs w:val="20"/>
          <w:highlight w:val="none"/>
        </w:rPr>
      </w:pPr>
    </w:p>
    <w:p w14:paraId="6C886DB5">
      <w:pPr>
        <w:spacing w:line="360" w:lineRule="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注：1、表中每项必须填写。</w:t>
      </w:r>
    </w:p>
    <w:p w14:paraId="0420F23F">
      <w:pPr>
        <w:spacing w:line="360" w:lineRule="auto"/>
        <w:ind w:left="480" w:leftChars="200"/>
        <w:rPr>
          <w:rFonts w:hint="eastAsia" w:ascii="宋体" w:hAnsi="宋体" w:eastAsia="宋体" w:cs="宋体"/>
          <w:sz w:val="24"/>
          <w:szCs w:val="20"/>
          <w:highlight w:val="none"/>
        </w:rPr>
      </w:pPr>
      <w:r>
        <w:rPr>
          <w:rFonts w:hint="eastAsia" w:ascii="宋体" w:hAnsi="宋体" w:eastAsia="宋体" w:cs="宋体"/>
          <w:color w:val="000000"/>
          <w:sz w:val="24"/>
          <w:szCs w:val="20"/>
          <w:highlight w:val="none"/>
        </w:rPr>
        <w:t>2、表中大小写不一致时，以大写为准</w:t>
      </w:r>
    </w:p>
    <w:p w14:paraId="6F82F451">
      <w:pPr>
        <w:spacing w:line="360" w:lineRule="auto"/>
        <w:rPr>
          <w:rFonts w:hint="eastAsia" w:ascii="宋体" w:hAnsi="宋体" w:eastAsia="宋体" w:cs="宋体"/>
          <w:color w:val="000000"/>
          <w:sz w:val="24"/>
          <w:szCs w:val="20"/>
          <w:highlight w:val="none"/>
        </w:rPr>
      </w:pPr>
    </w:p>
    <w:p w14:paraId="27E3A28A">
      <w:pPr>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投 标 人（盖章）：</w:t>
      </w:r>
    </w:p>
    <w:p w14:paraId="74A32BB9">
      <w:pPr>
        <w:spacing w:line="360" w:lineRule="auto"/>
        <w:rPr>
          <w:rFonts w:hint="eastAsia" w:ascii="宋体" w:hAnsi="宋体" w:eastAsia="宋体" w:cs="宋体"/>
          <w:color w:val="000000"/>
          <w:sz w:val="24"/>
          <w:szCs w:val="20"/>
          <w:highlight w:val="none"/>
        </w:rPr>
      </w:pPr>
    </w:p>
    <w:p w14:paraId="65D3DE75">
      <w:pPr>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法定代表人</w:t>
      </w:r>
    </w:p>
    <w:p w14:paraId="0005CC2B">
      <w:pPr>
        <w:spacing w:line="360" w:lineRule="auto"/>
        <w:ind w:firstLine="480" w:firstLineChars="200"/>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或委托代理人（盖章）：</w:t>
      </w:r>
    </w:p>
    <w:p w14:paraId="0BE999A9">
      <w:pPr>
        <w:spacing w:line="360" w:lineRule="auto"/>
        <w:rPr>
          <w:rFonts w:hint="eastAsia" w:ascii="宋体" w:hAnsi="宋体" w:eastAsia="宋体" w:cs="宋体"/>
          <w:color w:val="000000"/>
          <w:sz w:val="24"/>
          <w:szCs w:val="20"/>
          <w:highlight w:val="none"/>
        </w:rPr>
      </w:pPr>
    </w:p>
    <w:p w14:paraId="7C6D8F5C">
      <w:pPr>
        <w:spacing w:line="360" w:lineRule="auto"/>
        <w:jc w:val="right"/>
        <w:rPr>
          <w:rFonts w:hint="eastAsia" w:ascii="宋体" w:hAnsi="宋体" w:eastAsia="宋体" w:cs="宋体"/>
          <w:b/>
          <w:color w:val="000000"/>
          <w:sz w:val="24"/>
          <w:szCs w:val="20"/>
          <w:highlight w:val="none"/>
        </w:rPr>
      </w:pPr>
      <w:r>
        <w:rPr>
          <w:rFonts w:hint="eastAsia" w:ascii="宋体" w:hAnsi="宋体" w:eastAsia="宋体" w:cs="宋体"/>
          <w:color w:val="000000"/>
          <w:sz w:val="24"/>
          <w:szCs w:val="20"/>
          <w:highlight w:val="none"/>
        </w:rPr>
        <w:t>日期：</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年</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月</w:t>
      </w:r>
      <w:r>
        <w:rPr>
          <w:rFonts w:hint="eastAsia" w:ascii="宋体" w:hAnsi="宋体" w:eastAsia="宋体" w:cs="宋体"/>
          <w:color w:val="000000"/>
          <w:sz w:val="24"/>
          <w:szCs w:val="20"/>
          <w:highlight w:val="none"/>
          <w:u w:val="single"/>
        </w:rPr>
        <w:t xml:space="preserve">    </w:t>
      </w:r>
      <w:r>
        <w:rPr>
          <w:rFonts w:hint="eastAsia" w:ascii="宋体" w:hAnsi="宋体" w:eastAsia="宋体" w:cs="宋体"/>
          <w:color w:val="000000"/>
          <w:sz w:val="24"/>
          <w:szCs w:val="20"/>
          <w:highlight w:val="none"/>
        </w:rPr>
        <w:t>日</w:t>
      </w:r>
    </w:p>
    <w:p w14:paraId="31C19F45">
      <w:pPr>
        <w:spacing w:after="7"/>
        <w:ind w:left="420"/>
        <w:rPr>
          <w:rFonts w:hint="eastAsia" w:ascii="宋体" w:hAnsi="宋体" w:eastAsia="宋体" w:cs="宋体"/>
          <w:color w:val="auto"/>
          <w:sz w:val="24"/>
          <w:szCs w:val="20"/>
          <w:highlight w:val="none"/>
        </w:rPr>
      </w:pPr>
    </w:p>
    <w:p w14:paraId="1FAD181A">
      <w:pPr>
        <w:spacing w:after="7"/>
        <w:ind w:left="420"/>
        <w:rPr>
          <w:rFonts w:hint="eastAsia" w:ascii="宋体" w:hAnsi="宋体" w:eastAsia="宋体" w:cs="宋体"/>
          <w:color w:val="auto"/>
          <w:sz w:val="24"/>
          <w:szCs w:val="20"/>
          <w:highlight w:val="none"/>
        </w:rPr>
      </w:pPr>
    </w:p>
    <w:p w14:paraId="41E0DA1A">
      <w:pPr>
        <w:spacing w:after="7"/>
        <w:ind w:left="420"/>
        <w:rPr>
          <w:rFonts w:hint="eastAsia" w:ascii="宋体" w:hAnsi="宋体" w:eastAsia="宋体" w:cs="宋体"/>
          <w:color w:val="auto"/>
          <w:sz w:val="24"/>
          <w:szCs w:val="20"/>
          <w:highlight w:val="none"/>
        </w:rPr>
      </w:pPr>
    </w:p>
    <w:p w14:paraId="3109F3FC">
      <w:pPr>
        <w:spacing w:after="7"/>
        <w:ind w:left="420"/>
        <w:rPr>
          <w:rFonts w:hint="eastAsia" w:ascii="宋体" w:hAnsi="宋体" w:eastAsia="宋体" w:cs="宋体"/>
          <w:color w:val="auto"/>
          <w:sz w:val="24"/>
          <w:szCs w:val="20"/>
          <w:highlight w:val="none"/>
        </w:rPr>
      </w:pPr>
    </w:p>
    <w:p w14:paraId="56C0673F">
      <w:pPr>
        <w:spacing w:after="7"/>
        <w:ind w:left="420"/>
        <w:rPr>
          <w:rFonts w:hint="eastAsia" w:ascii="宋体" w:hAnsi="宋体" w:eastAsia="宋体" w:cs="宋体"/>
          <w:color w:val="auto"/>
          <w:sz w:val="24"/>
          <w:szCs w:val="20"/>
          <w:highlight w:val="none"/>
        </w:rPr>
      </w:pPr>
    </w:p>
    <w:p w14:paraId="09A1050D">
      <w:pPr>
        <w:spacing w:after="7"/>
        <w:ind w:left="420"/>
        <w:rPr>
          <w:rFonts w:hint="eastAsia" w:ascii="宋体" w:hAnsi="宋体" w:eastAsia="宋体" w:cs="宋体"/>
          <w:color w:val="auto"/>
          <w:sz w:val="24"/>
          <w:szCs w:val="20"/>
          <w:highlight w:val="none"/>
        </w:rPr>
      </w:pPr>
    </w:p>
    <w:p w14:paraId="284E19BD">
      <w:pPr>
        <w:spacing w:after="7"/>
        <w:ind w:left="420"/>
        <w:rPr>
          <w:rFonts w:hint="eastAsia" w:ascii="宋体" w:hAnsi="宋体" w:eastAsia="宋体" w:cs="宋体"/>
          <w:color w:val="auto"/>
          <w:sz w:val="24"/>
          <w:szCs w:val="20"/>
          <w:highlight w:val="none"/>
        </w:rPr>
      </w:pPr>
    </w:p>
    <w:p w14:paraId="57ED0951">
      <w:pPr>
        <w:rPr>
          <w:rFonts w:hint="eastAsia" w:ascii="宋体" w:hAnsi="宋体" w:eastAsia="宋体" w:cs="宋体"/>
          <w:b/>
          <w:color w:val="auto"/>
          <w:sz w:val="28"/>
          <w:szCs w:val="28"/>
          <w:highlight w:val="none"/>
        </w:rPr>
      </w:pPr>
      <w:bookmarkStart w:id="47" w:name="_Toc118935"/>
      <w:r>
        <w:rPr>
          <w:rFonts w:hint="eastAsia" w:ascii="宋体" w:hAnsi="宋体" w:eastAsia="宋体" w:cs="宋体"/>
          <w:b/>
          <w:color w:val="auto"/>
          <w:sz w:val="28"/>
          <w:szCs w:val="28"/>
          <w:highlight w:val="none"/>
        </w:rPr>
        <w:br w:type="page"/>
      </w:r>
    </w:p>
    <w:p w14:paraId="2AEAFE06">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六、资格审查资料</w:t>
      </w:r>
      <w:bookmarkEnd w:id="47"/>
    </w:p>
    <w:p w14:paraId="3D820DA9">
      <w:pPr>
        <w:spacing w:line="360" w:lineRule="exact"/>
        <w:jc w:val="center"/>
        <w:rPr>
          <w:rFonts w:hint="eastAsia" w:ascii="宋体" w:hAnsi="宋体" w:eastAsia="宋体" w:cs="宋体"/>
          <w:b/>
          <w:color w:val="auto"/>
          <w:sz w:val="24"/>
          <w:szCs w:val="20"/>
          <w:highlight w:val="none"/>
        </w:rPr>
      </w:pPr>
      <w:bookmarkStart w:id="48" w:name="_Toc118936"/>
      <w:r>
        <w:rPr>
          <w:rFonts w:hint="eastAsia" w:ascii="宋体" w:hAnsi="宋体" w:eastAsia="宋体" w:cs="宋体"/>
          <w:b/>
          <w:color w:val="auto"/>
          <w:sz w:val="24"/>
          <w:szCs w:val="20"/>
          <w:highlight w:val="none"/>
        </w:rPr>
        <w:t>（一）基本情况表</w:t>
      </w:r>
      <w:bookmarkEnd w:id="48"/>
    </w:p>
    <w:tbl>
      <w:tblPr>
        <w:tblStyle w:val="19"/>
        <w:tblW w:w="10044" w:type="dxa"/>
        <w:jc w:val="center"/>
        <w:tblLayout w:type="fixed"/>
        <w:tblCellMar>
          <w:top w:w="0" w:type="dxa"/>
          <w:left w:w="108" w:type="dxa"/>
          <w:bottom w:w="46" w:type="dxa"/>
          <w:right w:w="43" w:type="dxa"/>
        </w:tblCellMar>
      </w:tblPr>
      <w:tblGrid>
        <w:gridCol w:w="2427"/>
        <w:gridCol w:w="900"/>
        <w:gridCol w:w="2245"/>
        <w:gridCol w:w="1415"/>
        <w:gridCol w:w="1210"/>
        <w:gridCol w:w="1847"/>
      </w:tblGrid>
      <w:tr w14:paraId="6DEA5A08">
        <w:tblPrEx>
          <w:tblCellMar>
            <w:top w:w="0" w:type="dxa"/>
            <w:left w:w="108" w:type="dxa"/>
            <w:bottom w:w="46" w:type="dxa"/>
            <w:right w:w="43" w:type="dxa"/>
          </w:tblCellMar>
        </w:tblPrEx>
        <w:trPr>
          <w:trHeight w:val="451"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629E249D">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7617" w:type="dxa"/>
            <w:gridSpan w:val="5"/>
            <w:tcBorders>
              <w:top w:val="single" w:color="000000" w:sz="4" w:space="0"/>
              <w:left w:val="single" w:color="000000" w:sz="4" w:space="0"/>
              <w:bottom w:val="single" w:color="000000" w:sz="4" w:space="0"/>
              <w:right w:val="single" w:color="000000" w:sz="4" w:space="0"/>
            </w:tcBorders>
            <w:vAlign w:val="center"/>
          </w:tcPr>
          <w:p w14:paraId="6AB948FD">
            <w:pPr>
              <w:spacing w:line="280" w:lineRule="exact"/>
              <w:jc w:val="center"/>
              <w:rPr>
                <w:rFonts w:hint="eastAsia" w:ascii="宋体" w:hAnsi="宋体" w:eastAsia="宋体" w:cs="宋体"/>
                <w:color w:val="auto"/>
                <w:sz w:val="24"/>
                <w:szCs w:val="24"/>
                <w:highlight w:val="none"/>
              </w:rPr>
            </w:pPr>
          </w:p>
        </w:tc>
      </w:tr>
      <w:tr w14:paraId="2F81F081">
        <w:tblPrEx>
          <w:tblCellMar>
            <w:top w:w="0" w:type="dxa"/>
            <w:left w:w="108" w:type="dxa"/>
            <w:bottom w:w="46" w:type="dxa"/>
            <w:right w:w="43" w:type="dxa"/>
          </w:tblCellMar>
        </w:tblPrEx>
        <w:trPr>
          <w:trHeight w:val="449"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6EB535F7">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145" w:type="dxa"/>
            <w:gridSpan w:val="2"/>
            <w:tcBorders>
              <w:top w:val="single" w:color="000000" w:sz="4" w:space="0"/>
              <w:left w:val="single" w:color="000000" w:sz="4" w:space="0"/>
              <w:bottom w:val="single" w:color="000000" w:sz="4" w:space="0"/>
              <w:right w:val="single" w:color="000000" w:sz="4" w:space="0"/>
            </w:tcBorders>
            <w:vAlign w:val="center"/>
          </w:tcPr>
          <w:p w14:paraId="2922297B">
            <w:pPr>
              <w:spacing w:line="280" w:lineRule="exact"/>
              <w:jc w:val="center"/>
              <w:rPr>
                <w:rFonts w:hint="eastAsia" w:ascii="宋体" w:hAnsi="宋体" w:eastAsia="宋体" w:cs="宋体"/>
                <w:color w:val="auto"/>
                <w:sz w:val="24"/>
                <w:szCs w:val="24"/>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14:paraId="3149F6D3">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3057" w:type="dxa"/>
            <w:gridSpan w:val="2"/>
            <w:tcBorders>
              <w:top w:val="single" w:color="000000" w:sz="4" w:space="0"/>
              <w:left w:val="single" w:color="000000" w:sz="4" w:space="0"/>
              <w:bottom w:val="single" w:color="000000" w:sz="4" w:space="0"/>
              <w:right w:val="single" w:color="000000" w:sz="4" w:space="0"/>
            </w:tcBorders>
            <w:vAlign w:val="center"/>
          </w:tcPr>
          <w:p w14:paraId="74F5EC9E">
            <w:pPr>
              <w:spacing w:line="280" w:lineRule="exact"/>
              <w:jc w:val="center"/>
              <w:rPr>
                <w:rFonts w:hint="eastAsia" w:ascii="宋体" w:hAnsi="宋体" w:eastAsia="宋体" w:cs="宋体"/>
                <w:color w:val="auto"/>
                <w:sz w:val="24"/>
                <w:szCs w:val="24"/>
                <w:highlight w:val="none"/>
              </w:rPr>
            </w:pPr>
          </w:p>
        </w:tc>
      </w:tr>
      <w:tr w14:paraId="53682A1B">
        <w:tblPrEx>
          <w:tblCellMar>
            <w:top w:w="0" w:type="dxa"/>
            <w:left w:w="108" w:type="dxa"/>
            <w:bottom w:w="46" w:type="dxa"/>
            <w:right w:w="43" w:type="dxa"/>
          </w:tblCellMar>
        </w:tblPrEx>
        <w:trPr>
          <w:trHeight w:val="451" w:hRule="atLeast"/>
          <w:jc w:val="center"/>
        </w:trPr>
        <w:tc>
          <w:tcPr>
            <w:tcW w:w="2427" w:type="dxa"/>
            <w:vMerge w:val="restart"/>
            <w:tcBorders>
              <w:top w:val="single" w:color="000000" w:sz="4" w:space="0"/>
              <w:left w:val="single" w:color="000000" w:sz="4" w:space="0"/>
              <w:bottom w:val="single" w:color="000000" w:sz="4" w:space="0"/>
              <w:right w:val="single" w:color="000000" w:sz="4" w:space="0"/>
            </w:tcBorders>
            <w:vAlign w:val="center"/>
          </w:tcPr>
          <w:p w14:paraId="72B4B053">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900" w:type="dxa"/>
            <w:tcBorders>
              <w:top w:val="single" w:color="000000" w:sz="4" w:space="0"/>
              <w:left w:val="single" w:color="000000" w:sz="4" w:space="0"/>
              <w:bottom w:val="single" w:color="000000" w:sz="4" w:space="0"/>
              <w:right w:val="single" w:color="000000" w:sz="4" w:space="0"/>
            </w:tcBorders>
            <w:vAlign w:val="center"/>
          </w:tcPr>
          <w:p w14:paraId="5B9A1605">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245" w:type="dxa"/>
            <w:tcBorders>
              <w:top w:val="single" w:color="000000" w:sz="4" w:space="0"/>
              <w:left w:val="single" w:color="000000" w:sz="4" w:space="0"/>
              <w:bottom w:val="single" w:color="000000" w:sz="4" w:space="0"/>
              <w:right w:val="single" w:color="000000" w:sz="4" w:space="0"/>
            </w:tcBorders>
            <w:vAlign w:val="center"/>
          </w:tcPr>
          <w:p w14:paraId="638976A1">
            <w:pPr>
              <w:spacing w:line="280" w:lineRule="exact"/>
              <w:jc w:val="center"/>
              <w:rPr>
                <w:rFonts w:hint="eastAsia" w:ascii="宋体" w:hAnsi="宋体" w:eastAsia="宋体" w:cs="宋体"/>
                <w:color w:val="auto"/>
                <w:sz w:val="24"/>
                <w:szCs w:val="24"/>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14:paraId="039F4B21">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3057" w:type="dxa"/>
            <w:gridSpan w:val="2"/>
            <w:tcBorders>
              <w:top w:val="single" w:color="000000" w:sz="4" w:space="0"/>
              <w:left w:val="single" w:color="000000" w:sz="4" w:space="0"/>
              <w:bottom w:val="single" w:color="000000" w:sz="4" w:space="0"/>
              <w:right w:val="single" w:color="000000" w:sz="4" w:space="0"/>
            </w:tcBorders>
            <w:vAlign w:val="center"/>
          </w:tcPr>
          <w:p w14:paraId="25D31435">
            <w:pPr>
              <w:spacing w:line="280" w:lineRule="exact"/>
              <w:jc w:val="center"/>
              <w:rPr>
                <w:rFonts w:hint="eastAsia" w:ascii="宋体" w:hAnsi="宋体" w:eastAsia="宋体" w:cs="宋体"/>
                <w:color w:val="auto"/>
                <w:sz w:val="24"/>
                <w:szCs w:val="24"/>
                <w:highlight w:val="none"/>
              </w:rPr>
            </w:pPr>
          </w:p>
        </w:tc>
      </w:tr>
      <w:tr w14:paraId="6861DD98">
        <w:tblPrEx>
          <w:tblCellMar>
            <w:top w:w="0" w:type="dxa"/>
            <w:left w:w="108" w:type="dxa"/>
            <w:bottom w:w="46" w:type="dxa"/>
            <w:right w:w="43" w:type="dxa"/>
          </w:tblCellMar>
        </w:tblPrEx>
        <w:trPr>
          <w:trHeight w:val="449" w:hRule="atLeast"/>
          <w:jc w:val="center"/>
        </w:trPr>
        <w:tc>
          <w:tcPr>
            <w:tcW w:w="2427" w:type="dxa"/>
            <w:vMerge w:val="continue"/>
            <w:tcBorders>
              <w:top w:val="nil"/>
              <w:left w:val="single" w:color="000000" w:sz="4" w:space="0"/>
              <w:bottom w:val="single" w:color="000000" w:sz="4" w:space="0"/>
              <w:right w:val="single" w:color="000000" w:sz="4" w:space="0"/>
            </w:tcBorders>
            <w:vAlign w:val="center"/>
          </w:tcPr>
          <w:p w14:paraId="709855CB">
            <w:pPr>
              <w:spacing w:line="280" w:lineRule="exact"/>
              <w:jc w:val="center"/>
              <w:rPr>
                <w:rFonts w:hint="eastAsia" w:ascii="宋体" w:hAnsi="宋体" w:eastAsia="宋体" w:cs="宋体"/>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1E1D1C05">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245" w:type="dxa"/>
            <w:tcBorders>
              <w:top w:val="single" w:color="000000" w:sz="4" w:space="0"/>
              <w:left w:val="single" w:color="000000" w:sz="4" w:space="0"/>
              <w:bottom w:val="single" w:color="000000" w:sz="4" w:space="0"/>
              <w:right w:val="single" w:color="000000" w:sz="4" w:space="0"/>
            </w:tcBorders>
            <w:vAlign w:val="center"/>
          </w:tcPr>
          <w:p w14:paraId="612B4C48">
            <w:pPr>
              <w:spacing w:line="280" w:lineRule="exact"/>
              <w:jc w:val="center"/>
              <w:rPr>
                <w:rFonts w:hint="eastAsia" w:ascii="宋体" w:hAnsi="宋体" w:eastAsia="宋体" w:cs="宋体"/>
                <w:color w:val="auto"/>
                <w:sz w:val="24"/>
                <w:szCs w:val="24"/>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14:paraId="2445CA1D">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3057" w:type="dxa"/>
            <w:gridSpan w:val="2"/>
            <w:tcBorders>
              <w:top w:val="single" w:color="000000" w:sz="4" w:space="0"/>
              <w:left w:val="single" w:color="000000" w:sz="4" w:space="0"/>
              <w:bottom w:val="single" w:color="000000" w:sz="4" w:space="0"/>
              <w:right w:val="single" w:color="000000" w:sz="4" w:space="0"/>
            </w:tcBorders>
            <w:vAlign w:val="center"/>
          </w:tcPr>
          <w:p w14:paraId="5B333FE0">
            <w:pPr>
              <w:spacing w:line="280" w:lineRule="exact"/>
              <w:jc w:val="center"/>
              <w:rPr>
                <w:rFonts w:hint="eastAsia" w:ascii="宋体" w:hAnsi="宋体" w:eastAsia="宋体" w:cs="宋体"/>
                <w:color w:val="auto"/>
                <w:sz w:val="24"/>
                <w:szCs w:val="24"/>
                <w:highlight w:val="none"/>
              </w:rPr>
            </w:pPr>
          </w:p>
        </w:tc>
      </w:tr>
      <w:tr w14:paraId="203CD460">
        <w:tblPrEx>
          <w:tblCellMar>
            <w:top w:w="0" w:type="dxa"/>
            <w:left w:w="108" w:type="dxa"/>
            <w:bottom w:w="46" w:type="dxa"/>
            <w:right w:w="43" w:type="dxa"/>
          </w:tblCellMar>
        </w:tblPrEx>
        <w:trPr>
          <w:trHeight w:val="451"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4A41E08D">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900" w:type="dxa"/>
            <w:tcBorders>
              <w:top w:val="single" w:color="000000" w:sz="4" w:space="0"/>
              <w:left w:val="single" w:color="000000" w:sz="4" w:space="0"/>
              <w:bottom w:val="single" w:color="000000" w:sz="4" w:space="0"/>
              <w:right w:val="single" w:color="000000" w:sz="4" w:space="0"/>
            </w:tcBorders>
            <w:vAlign w:val="center"/>
          </w:tcPr>
          <w:p w14:paraId="134B6FAE">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3660" w:type="dxa"/>
            <w:gridSpan w:val="2"/>
            <w:tcBorders>
              <w:top w:val="single" w:color="000000" w:sz="4" w:space="0"/>
              <w:left w:val="single" w:color="000000" w:sz="4" w:space="0"/>
              <w:bottom w:val="single" w:color="000000" w:sz="4" w:space="0"/>
              <w:right w:val="single" w:color="000000" w:sz="4" w:space="0"/>
            </w:tcBorders>
            <w:vAlign w:val="center"/>
          </w:tcPr>
          <w:p w14:paraId="36FE72C2">
            <w:pPr>
              <w:spacing w:line="280" w:lineRule="exact"/>
              <w:jc w:val="center"/>
              <w:rPr>
                <w:rFonts w:hint="eastAsia" w:ascii="宋体" w:hAnsi="宋体" w:eastAsia="宋体" w:cs="宋体"/>
                <w:color w:val="auto"/>
                <w:sz w:val="24"/>
                <w:szCs w:val="24"/>
                <w:highlight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14:paraId="2C911C9E">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47" w:type="dxa"/>
            <w:tcBorders>
              <w:top w:val="single" w:color="000000" w:sz="4" w:space="0"/>
              <w:left w:val="single" w:color="000000" w:sz="4" w:space="0"/>
              <w:bottom w:val="single" w:color="000000" w:sz="4" w:space="0"/>
              <w:right w:val="single" w:color="000000" w:sz="4" w:space="0"/>
            </w:tcBorders>
            <w:vAlign w:val="center"/>
          </w:tcPr>
          <w:p w14:paraId="24298A5C">
            <w:pPr>
              <w:spacing w:line="280" w:lineRule="exact"/>
              <w:jc w:val="center"/>
              <w:rPr>
                <w:rFonts w:hint="eastAsia" w:ascii="宋体" w:hAnsi="宋体" w:eastAsia="宋体" w:cs="宋体"/>
                <w:color w:val="auto"/>
                <w:sz w:val="24"/>
                <w:szCs w:val="24"/>
                <w:highlight w:val="none"/>
              </w:rPr>
            </w:pPr>
          </w:p>
        </w:tc>
      </w:tr>
      <w:tr w14:paraId="36B09E67">
        <w:tblPrEx>
          <w:tblCellMar>
            <w:top w:w="0" w:type="dxa"/>
            <w:left w:w="108" w:type="dxa"/>
            <w:bottom w:w="46" w:type="dxa"/>
            <w:right w:w="43" w:type="dxa"/>
          </w:tblCellMar>
        </w:tblPrEx>
        <w:trPr>
          <w:trHeight w:val="449"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18E32231">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900" w:type="dxa"/>
            <w:tcBorders>
              <w:top w:val="single" w:color="000000" w:sz="4" w:space="0"/>
              <w:left w:val="single" w:color="000000" w:sz="4" w:space="0"/>
              <w:bottom w:val="single" w:color="000000" w:sz="4" w:space="0"/>
              <w:right w:val="single" w:color="000000" w:sz="4" w:space="0"/>
            </w:tcBorders>
            <w:vAlign w:val="center"/>
          </w:tcPr>
          <w:p w14:paraId="2FDEA1BE">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3660" w:type="dxa"/>
            <w:gridSpan w:val="2"/>
            <w:tcBorders>
              <w:top w:val="single" w:color="000000" w:sz="4" w:space="0"/>
              <w:left w:val="single" w:color="000000" w:sz="4" w:space="0"/>
              <w:bottom w:val="single" w:color="000000" w:sz="4" w:space="0"/>
              <w:right w:val="single" w:color="000000" w:sz="4" w:space="0"/>
            </w:tcBorders>
            <w:vAlign w:val="center"/>
          </w:tcPr>
          <w:p w14:paraId="55480FEE">
            <w:pPr>
              <w:spacing w:line="280" w:lineRule="exact"/>
              <w:jc w:val="center"/>
              <w:rPr>
                <w:rFonts w:hint="eastAsia" w:ascii="宋体" w:hAnsi="宋体" w:eastAsia="宋体" w:cs="宋体"/>
                <w:color w:val="auto"/>
                <w:sz w:val="24"/>
                <w:szCs w:val="24"/>
                <w:highlight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14:paraId="46C50AAD">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47" w:type="dxa"/>
            <w:tcBorders>
              <w:top w:val="single" w:color="000000" w:sz="4" w:space="0"/>
              <w:left w:val="single" w:color="000000" w:sz="4" w:space="0"/>
              <w:bottom w:val="single" w:color="000000" w:sz="4" w:space="0"/>
              <w:right w:val="single" w:color="000000" w:sz="4" w:space="0"/>
            </w:tcBorders>
            <w:vAlign w:val="center"/>
          </w:tcPr>
          <w:p w14:paraId="40B88C3B">
            <w:pPr>
              <w:spacing w:line="280" w:lineRule="exact"/>
              <w:jc w:val="center"/>
              <w:rPr>
                <w:rFonts w:hint="eastAsia" w:ascii="宋体" w:hAnsi="宋体" w:eastAsia="宋体" w:cs="宋体"/>
                <w:color w:val="auto"/>
                <w:sz w:val="24"/>
                <w:szCs w:val="24"/>
                <w:highlight w:val="none"/>
              </w:rPr>
            </w:pPr>
          </w:p>
        </w:tc>
      </w:tr>
      <w:tr w14:paraId="4FF92895">
        <w:tblPrEx>
          <w:tblCellMar>
            <w:top w:w="0" w:type="dxa"/>
            <w:left w:w="108" w:type="dxa"/>
            <w:bottom w:w="46" w:type="dxa"/>
            <w:right w:w="43" w:type="dxa"/>
          </w:tblCellMar>
        </w:tblPrEx>
        <w:trPr>
          <w:trHeight w:val="642"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4F2A5C7A">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质量管理体系证书</w:t>
            </w:r>
          </w:p>
          <w:p w14:paraId="7A613A0D">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w:t>
            </w:r>
          </w:p>
        </w:tc>
        <w:tc>
          <w:tcPr>
            <w:tcW w:w="7617" w:type="dxa"/>
            <w:gridSpan w:val="5"/>
            <w:tcBorders>
              <w:top w:val="single" w:color="000000" w:sz="4" w:space="0"/>
              <w:left w:val="single" w:color="000000" w:sz="4" w:space="0"/>
              <w:bottom w:val="single" w:color="000000" w:sz="4" w:space="0"/>
              <w:right w:val="single" w:color="000000" w:sz="4" w:space="0"/>
            </w:tcBorders>
            <w:vAlign w:val="center"/>
          </w:tcPr>
          <w:p w14:paraId="4AE78F82">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                    等级：      证书号：</w:t>
            </w:r>
          </w:p>
        </w:tc>
      </w:tr>
      <w:tr w14:paraId="6E69DC29">
        <w:tblPrEx>
          <w:tblCellMar>
            <w:top w:w="0" w:type="dxa"/>
            <w:left w:w="108" w:type="dxa"/>
            <w:bottom w:w="46" w:type="dxa"/>
            <w:right w:w="43" w:type="dxa"/>
          </w:tblCellMar>
        </w:tblPrEx>
        <w:trPr>
          <w:trHeight w:val="525"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633ABA1F">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145" w:type="dxa"/>
            <w:gridSpan w:val="2"/>
            <w:tcBorders>
              <w:top w:val="single" w:color="000000" w:sz="4" w:space="0"/>
              <w:left w:val="single" w:color="000000" w:sz="4" w:space="0"/>
              <w:bottom w:val="single" w:color="000000" w:sz="4" w:space="0"/>
              <w:right w:val="single" w:color="000000" w:sz="4" w:space="0"/>
            </w:tcBorders>
            <w:vAlign w:val="center"/>
          </w:tcPr>
          <w:p w14:paraId="64A093DE">
            <w:pPr>
              <w:spacing w:line="280" w:lineRule="exact"/>
              <w:jc w:val="center"/>
              <w:rPr>
                <w:rFonts w:hint="eastAsia" w:ascii="宋体" w:hAnsi="宋体" w:eastAsia="宋体" w:cs="宋体"/>
                <w:color w:val="auto"/>
                <w:sz w:val="24"/>
                <w:szCs w:val="24"/>
                <w:highlight w:val="none"/>
              </w:rPr>
            </w:pPr>
          </w:p>
        </w:tc>
        <w:tc>
          <w:tcPr>
            <w:tcW w:w="4472" w:type="dxa"/>
            <w:gridSpan w:val="3"/>
            <w:tcBorders>
              <w:top w:val="single" w:color="000000" w:sz="4" w:space="0"/>
              <w:left w:val="single" w:color="000000" w:sz="4" w:space="0"/>
              <w:bottom w:val="single" w:color="000000" w:sz="4" w:space="0"/>
              <w:right w:val="single" w:color="000000" w:sz="4" w:space="0"/>
            </w:tcBorders>
            <w:vAlign w:val="center"/>
          </w:tcPr>
          <w:p w14:paraId="4409A42A">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0CB9EA67">
        <w:tblPrEx>
          <w:tblCellMar>
            <w:top w:w="0" w:type="dxa"/>
            <w:left w:w="108" w:type="dxa"/>
            <w:bottom w:w="46" w:type="dxa"/>
            <w:right w:w="43" w:type="dxa"/>
          </w:tblCellMar>
        </w:tblPrEx>
        <w:trPr>
          <w:trHeight w:val="451"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17A0E0A3">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3145" w:type="dxa"/>
            <w:gridSpan w:val="2"/>
            <w:tcBorders>
              <w:top w:val="single" w:color="000000" w:sz="4" w:space="0"/>
              <w:left w:val="single" w:color="000000" w:sz="4" w:space="0"/>
              <w:bottom w:val="single" w:color="000000" w:sz="4" w:space="0"/>
              <w:right w:val="single" w:color="000000" w:sz="4" w:space="0"/>
            </w:tcBorders>
            <w:vAlign w:val="center"/>
          </w:tcPr>
          <w:p w14:paraId="21468826">
            <w:pPr>
              <w:spacing w:line="280" w:lineRule="exact"/>
              <w:jc w:val="center"/>
              <w:rPr>
                <w:rFonts w:hint="eastAsia" w:ascii="宋体" w:hAnsi="宋体" w:eastAsia="宋体" w:cs="宋体"/>
                <w:color w:val="auto"/>
                <w:sz w:val="24"/>
                <w:szCs w:val="24"/>
                <w:highlight w:val="none"/>
              </w:rPr>
            </w:pPr>
          </w:p>
        </w:tc>
        <w:tc>
          <w:tcPr>
            <w:tcW w:w="2625" w:type="dxa"/>
            <w:gridSpan w:val="2"/>
            <w:vMerge w:val="restart"/>
            <w:tcBorders>
              <w:top w:val="single" w:color="000000" w:sz="4" w:space="0"/>
              <w:left w:val="single" w:color="000000" w:sz="4" w:space="0"/>
              <w:right w:val="single" w:color="000000" w:sz="4" w:space="0"/>
            </w:tcBorders>
            <w:vAlign w:val="center"/>
          </w:tcPr>
          <w:p w14:paraId="633B7754">
            <w:pPr>
              <w:spacing w:line="2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其中</w:t>
            </w:r>
            <w:r>
              <w:rPr>
                <w:rFonts w:hint="eastAsia" w:ascii="宋体" w:hAnsi="宋体" w:eastAsia="宋体" w:cs="宋体"/>
                <w:color w:val="auto"/>
                <w:sz w:val="24"/>
                <w:szCs w:val="24"/>
                <w:highlight w:val="none"/>
                <w:lang w:val="en-US" w:eastAsia="zh-CN"/>
              </w:rPr>
              <w:t>技术人员人数</w:t>
            </w:r>
          </w:p>
        </w:tc>
        <w:tc>
          <w:tcPr>
            <w:tcW w:w="1847" w:type="dxa"/>
            <w:vMerge w:val="restart"/>
            <w:tcBorders>
              <w:top w:val="single" w:color="000000" w:sz="4" w:space="0"/>
              <w:left w:val="single" w:color="000000" w:sz="4" w:space="0"/>
              <w:right w:val="single" w:color="000000" w:sz="4" w:space="0"/>
            </w:tcBorders>
            <w:vAlign w:val="center"/>
          </w:tcPr>
          <w:p w14:paraId="4CCAC9DE">
            <w:pPr>
              <w:spacing w:line="280" w:lineRule="exact"/>
              <w:jc w:val="center"/>
              <w:rPr>
                <w:rFonts w:hint="eastAsia" w:ascii="宋体" w:hAnsi="宋体" w:eastAsia="宋体" w:cs="宋体"/>
                <w:color w:val="auto"/>
                <w:sz w:val="24"/>
                <w:szCs w:val="24"/>
                <w:highlight w:val="none"/>
              </w:rPr>
            </w:pPr>
          </w:p>
        </w:tc>
      </w:tr>
      <w:tr w14:paraId="39E2D717">
        <w:tblPrEx>
          <w:tblCellMar>
            <w:top w:w="0" w:type="dxa"/>
            <w:left w:w="108" w:type="dxa"/>
            <w:bottom w:w="46" w:type="dxa"/>
            <w:right w:w="43" w:type="dxa"/>
          </w:tblCellMar>
        </w:tblPrEx>
        <w:trPr>
          <w:trHeight w:val="449"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6F5F9838">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成立日期</w:t>
            </w:r>
          </w:p>
        </w:tc>
        <w:tc>
          <w:tcPr>
            <w:tcW w:w="3145" w:type="dxa"/>
            <w:gridSpan w:val="2"/>
            <w:tcBorders>
              <w:top w:val="single" w:color="000000" w:sz="4" w:space="0"/>
              <w:left w:val="single" w:color="000000" w:sz="4" w:space="0"/>
              <w:bottom w:val="single" w:color="000000" w:sz="4" w:space="0"/>
              <w:right w:val="single" w:color="000000" w:sz="4" w:space="0"/>
            </w:tcBorders>
            <w:vAlign w:val="center"/>
          </w:tcPr>
          <w:p w14:paraId="70881E06">
            <w:pPr>
              <w:spacing w:line="280" w:lineRule="exact"/>
              <w:jc w:val="center"/>
              <w:rPr>
                <w:rFonts w:hint="eastAsia" w:ascii="宋体" w:hAnsi="宋体" w:eastAsia="宋体" w:cs="宋体"/>
                <w:color w:val="auto"/>
                <w:sz w:val="24"/>
                <w:szCs w:val="24"/>
                <w:highlight w:val="none"/>
              </w:rPr>
            </w:pPr>
          </w:p>
        </w:tc>
        <w:tc>
          <w:tcPr>
            <w:tcW w:w="2625" w:type="dxa"/>
            <w:gridSpan w:val="2"/>
            <w:vMerge w:val="continue"/>
            <w:tcBorders>
              <w:left w:val="single" w:color="000000" w:sz="4" w:space="0"/>
              <w:right w:val="single" w:color="000000" w:sz="4" w:space="0"/>
            </w:tcBorders>
            <w:vAlign w:val="center"/>
          </w:tcPr>
          <w:p w14:paraId="0F714050">
            <w:pPr>
              <w:spacing w:line="280" w:lineRule="exact"/>
              <w:jc w:val="center"/>
              <w:rPr>
                <w:rFonts w:hint="eastAsia" w:ascii="宋体" w:hAnsi="宋体" w:eastAsia="宋体" w:cs="宋体"/>
                <w:color w:val="auto"/>
                <w:sz w:val="24"/>
                <w:szCs w:val="24"/>
                <w:highlight w:val="none"/>
              </w:rPr>
            </w:pPr>
          </w:p>
        </w:tc>
        <w:tc>
          <w:tcPr>
            <w:tcW w:w="1847" w:type="dxa"/>
            <w:vMerge w:val="continue"/>
            <w:tcBorders>
              <w:left w:val="single" w:color="000000" w:sz="4" w:space="0"/>
              <w:right w:val="single" w:color="000000" w:sz="4" w:space="0"/>
            </w:tcBorders>
            <w:vAlign w:val="center"/>
          </w:tcPr>
          <w:p w14:paraId="092DD8D1">
            <w:pPr>
              <w:spacing w:line="280" w:lineRule="exact"/>
              <w:jc w:val="center"/>
              <w:rPr>
                <w:rFonts w:hint="eastAsia" w:ascii="宋体" w:hAnsi="宋体" w:eastAsia="宋体" w:cs="宋体"/>
                <w:color w:val="auto"/>
                <w:sz w:val="24"/>
                <w:szCs w:val="24"/>
                <w:highlight w:val="none"/>
              </w:rPr>
            </w:pPr>
          </w:p>
        </w:tc>
      </w:tr>
      <w:tr w14:paraId="42547DCB">
        <w:tblPrEx>
          <w:tblCellMar>
            <w:top w:w="0" w:type="dxa"/>
            <w:left w:w="108" w:type="dxa"/>
            <w:bottom w:w="46" w:type="dxa"/>
            <w:right w:w="43" w:type="dxa"/>
          </w:tblCellMar>
        </w:tblPrEx>
        <w:trPr>
          <w:trHeight w:val="451"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0831BCA8">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145" w:type="dxa"/>
            <w:gridSpan w:val="2"/>
            <w:tcBorders>
              <w:top w:val="single" w:color="000000" w:sz="4" w:space="0"/>
              <w:left w:val="single" w:color="000000" w:sz="4" w:space="0"/>
              <w:bottom w:val="single" w:color="000000" w:sz="4" w:space="0"/>
              <w:right w:val="single" w:color="000000" w:sz="4" w:space="0"/>
            </w:tcBorders>
            <w:vAlign w:val="center"/>
          </w:tcPr>
          <w:p w14:paraId="722D5E4C">
            <w:pPr>
              <w:spacing w:line="280" w:lineRule="exact"/>
              <w:jc w:val="center"/>
              <w:rPr>
                <w:rFonts w:hint="eastAsia" w:ascii="宋体" w:hAnsi="宋体" w:eastAsia="宋体" w:cs="宋体"/>
                <w:color w:val="auto"/>
                <w:sz w:val="24"/>
                <w:szCs w:val="24"/>
                <w:highlight w:val="none"/>
              </w:rPr>
            </w:pPr>
          </w:p>
        </w:tc>
        <w:tc>
          <w:tcPr>
            <w:tcW w:w="2625" w:type="dxa"/>
            <w:gridSpan w:val="2"/>
            <w:vMerge w:val="continue"/>
            <w:tcBorders>
              <w:left w:val="single" w:color="000000" w:sz="4" w:space="0"/>
              <w:right w:val="single" w:color="000000" w:sz="4" w:space="0"/>
            </w:tcBorders>
            <w:vAlign w:val="center"/>
          </w:tcPr>
          <w:p w14:paraId="35A0B96B">
            <w:pPr>
              <w:spacing w:line="280" w:lineRule="exact"/>
              <w:jc w:val="center"/>
              <w:rPr>
                <w:rFonts w:hint="eastAsia" w:ascii="宋体" w:hAnsi="宋体" w:eastAsia="宋体" w:cs="宋体"/>
                <w:color w:val="auto"/>
                <w:sz w:val="24"/>
                <w:szCs w:val="24"/>
                <w:highlight w:val="none"/>
              </w:rPr>
            </w:pPr>
          </w:p>
        </w:tc>
        <w:tc>
          <w:tcPr>
            <w:tcW w:w="1847" w:type="dxa"/>
            <w:vMerge w:val="continue"/>
            <w:tcBorders>
              <w:left w:val="single" w:color="000000" w:sz="4" w:space="0"/>
              <w:right w:val="single" w:color="000000" w:sz="4" w:space="0"/>
            </w:tcBorders>
            <w:vAlign w:val="center"/>
          </w:tcPr>
          <w:p w14:paraId="55F19244">
            <w:pPr>
              <w:spacing w:line="280" w:lineRule="exact"/>
              <w:jc w:val="center"/>
              <w:rPr>
                <w:rFonts w:hint="eastAsia" w:ascii="宋体" w:hAnsi="宋体" w:eastAsia="宋体" w:cs="宋体"/>
                <w:color w:val="auto"/>
                <w:sz w:val="24"/>
                <w:szCs w:val="24"/>
                <w:highlight w:val="none"/>
              </w:rPr>
            </w:pPr>
          </w:p>
        </w:tc>
      </w:tr>
      <w:tr w14:paraId="7AC6EA59">
        <w:tblPrEx>
          <w:tblCellMar>
            <w:top w:w="0" w:type="dxa"/>
            <w:left w:w="108" w:type="dxa"/>
            <w:bottom w:w="46" w:type="dxa"/>
            <w:right w:w="43" w:type="dxa"/>
          </w:tblCellMar>
        </w:tblPrEx>
        <w:trPr>
          <w:trHeight w:val="449"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21597BBB">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145" w:type="dxa"/>
            <w:gridSpan w:val="2"/>
            <w:tcBorders>
              <w:top w:val="single" w:color="000000" w:sz="4" w:space="0"/>
              <w:left w:val="single" w:color="000000" w:sz="4" w:space="0"/>
              <w:bottom w:val="single" w:color="000000" w:sz="4" w:space="0"/>
              <w:right w:val="single" w:color="000000" w:sz="4" w:space="0"/>
            </w:tcBorders>
            <w:vAlign w:val="center"/>
          </w:tcPr>
          <w:p w14:paraId="4DA1ACCA">
            <w:pPr>
              <w:spacing w:line="280" w:lineRule="exact"/>
              <w:jc w:val="center"/>
              <w:rPr>
                <w:rFonts w:hint="eastAsia" w:ascii="宋体" w:hAnsi="宋体" w:eastAsia="宋体" w:cs="宋体"/>
                <w:color w:val="auto"/>
                <w:sz w:val="24"/>
                <w:szCs w:val="24"/>
                <w:highlight w:val="none"/>
              </w:rPr>
            </w:pPr>
          </w:p>
        </w:tc>
        <w:tc>
          <w:tcPr>
            <w:tcW w:w="2625" w:type="dxa"/>
            <w:gridSpan w:val="2"/>
            <w:vMerge w:val="continue"/>
            <w:tcBorders>
              <w:left w:val="single" w:color="000000" w:sz="4" w:space="0"/>
              <w:bottom w:val="single" w:color="000000" w:sz="4" w:space="0"/>
              <w:right w:val="single" w:color="000000" w:sz="4" w:space="0"/>
            </w:tcBorders>
            <w:vAlign w:val="center"/>
          </w:tcPr>
          <w:p w14:paraId="7AD0FA1C">
            <w:pPr>
              <w:spacing w:line="280" w:lineRule="exact"/>
              <w:jc w:val="center"/>
              <w:rPr>
                <w:rFonts w:hint="eastAsia" w:ascii="宋体" w:hAnsi="宋体" w:eastAsia="宋体" w:cs="宋体"/>
                <w:color w:val="auto"/>
                <w:sz w:val="24"/>
                <w:szCs w:val="24"/>
                <w:highlight w:val="none"/>
              </w:rPr>
            </w:pPr>
          </w:p>
        </w:tc>
        <w:tc>
          <w:tcPr>
            <w:tcW w:w="1847" w:type="dxa"/>
            <w:vMerge w:val="continue"/>
            <w:tcBorders>
              <w:left w:val="single" w:color="000000" w:sz="4" w:space="0"/>
              <w:bottom w:val="single" w:color="000000" w:sz="4" w:space="0"/>
              <w:right w:val="single" w:color="000000" w:sz="4" w:space="0"/>
            </w:tcBorders>
            <w:vAlign w:val="center"/>
          </w:tcPr>
          <w:p w14:paraId="2DF410FE">
            <w:pPr>
              <w:spacing w:line="280" w:lineRule="exact"/>
              <w:jc w:val="center"/>
              <w:rPr>
                <w:rFonts w:hint="eastAsia" w:ascii="宋体" w:hAnsi="宋体" w:eastAsia="宋体" w:cs="宋体"/>
                <w:color w:val="auto"/>
                <w:sz w:val="24"/>
                <w:szCs w:val="24"/>
                <w:highlight w:val="none"/>
              </w:rPr>
            </w:pPr>
          </w:p>
        </w:tc>
      </w:tr>
      <w:tr w14:paraId="037A2A1C">
        <w:tblPrEx>
          <w:tblCellMar>
            <w:top w:w="0" w:type="dxa"/>
            <w:left w:w="108" w:type="dxa"/>
            <w:bottom w:w="46" w:type="dxa"/>
            <w:right w:w="43" w:type="dxa"/>
          </w:tblCellMar>
        </w:tblPrEx>
        <w:trPr>
          <w:trHeight w:val="1842"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26094F98">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617" w:type="dxa"/>
            <w:gridSpan w:val="5"/>
            <w:tcBorders>
              <w:top w:val="single" w:color="000000" w:sz="4" w:space="0"/>
              <w:left w:val="single" w:color="000000" w:sz="4" w:space="0"/>
              <w:bottom w:val="single" w:color="000000" w:sz="4" w:space="0"/>
              <w:right w:val="single" w:color="000000" w:sz="4" w:space="0"/>
            </w:tcBorders>
            <w:vAlign w:val="center"/>
          </w:tcPr>
          <w:p w14:paraId="7D37D1C2">
            <w:pPr>
              <w:spacing w:line="280" w:lineRule="exact"/>
              <w:jc w:val="center"/>
              <w:rPr>
                <w:rFonts w:hint="eastAsia" w:ascii="宋体" w:hAnsi="宋体" w:eastAsia="宋体" w:cs="宋体"/>
                <w:color w:val="auto"/>
                <w:sz w:val="24"/>
                <w:szCs w:val="24"/>
                <w:highlight w:val="none"/>
              </w:rPr>
            </w:pPr>
          </w:p>
        </w:tc>
      </w:tr>
      <w:tr w14:paraId="049CDFBB">
        <w:tblPrEx>
          <w:tblCellMar>
            <w:top w:w="0" w:type="dxa"/>
            <w:left w:w="108" w:type="dxa"/>
            <w:bottom w:w="46" w:type="dxa"/>
            <w:right w:w="43" w:type="dxa"/>
          </w:tblCellMar>
        </w:tblPrEx>
        <w:trPr>
          <w:trHeight w:val="1764"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4C56686F">
            <w:pPr>
              <w:spacing w:line="2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供应商关联企业情况（包括但不限于与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法定代表人为同一人或者存在控股、管理关系的不同单位）</w:t>
            </w:r>
          </w:p>
        </w:tc>
        <w:tc>
          <w:tcPr>
            <w:tcW w:w="7617" w:type="dxa"/>
            <w:gridSpan w:val="5"/>
            <w:tcBorders>
              <w:top w:val="single" w:color="000000" w:sz="4" w:space="0"/>
              <w:left w:val="single" w:color="000000" w:sz="4" w:space="0"/>
              <w:bottom w:val="single" w:color="000000" w:sz="4" w:space="0"/>
              <w:right w:val="single" w:color="000000" w:sz="4" w:space="0"/>
            </w:tcBorders>
            <w:vAlign w:val="center"/>
          </w:tcPr>
          <w:p w14:paraId="6AED15DF">
            <w:pPr>
              <w:spacing w:line="280" w:lineRule="exact"/>
              <w:jc w:val="center"/>
              <w:rPr>
                <w:rFonts w:hint="eastAsia" w:ascii="宋体" w:hAnsi="宋体" w:eastAsia="宋体" w:cs="宋体"/>
                <w:color w:val="auto"/>
                <w:sz w:val="24"/>
                <w:szCs w:val="24"/>
                <w:highlight w:val="none"/>
              </w:rPr>
            </w:pPr>
          </w:p>
        </w:tc>
      </w:tr>
      <w:tr w14:paraId="770440DC">
        <w:tblPrEx>
          <w:tblCellMar>
            <w:top w:w="0" w:type="dxa"/>
            <w:left w:w="108" w:type="dxa"/>
            <w:bottom w:w="46" w:type="dxa"/>
            <w:right w:w="43" w:type="dxa"/>
          </w:tblCellMar>
        </w:tblPrEx>
        <w:trPr>
          <w:trHeight w:val="449" w:hRule="atLeast"/>
          <w:jc w:val="center"/>
        </w:trPr>
        <w:tc>
          <w:tcPr>
            <w:tcW w:w="2427" w:type="dxa"/>
            <w:tcBorders>
              <w:top w:val="single" w:color="000000" w:sz="4" w:space="0"/>
              <w:left w:val="single" w:color="000000" w:sz="4" w:space="0"/>
              <w:bottom w:val="single" w:color="000000" w:sz="4" w:space="0"/>
              <w:right w:val="single" w:color="000000" w:sz="4" w:space="0"/>
            </w:tcBorders>
            <w:vAlign w:val="center"/>
          </w:tcPr>
          <w:p w14:paraId="20DDBB0D">
            <w:pPr>
              <w:spacing w:line="2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17" w:type="dxa"/>
            <w:gridSpan w:val="5"/>
            <w:tcBorders>
              <w:top w:val="single" w:color="000000" w:sz="4" w:space="0"/>
              <w:left w:val="single" w:color="000000" w:sz="4" w:space="0"/>
              <w:bottom w:val="single" w:color="000000" w:sz="4" w:space="0"/>
              <w:right w:val="single" w:color="000000" w:sz="4" w:space="0"/>
            </w:tcBorders>
            <w:vAlign w:val="center"/>
          </w:tcPr>
          <w:p w14:paraId="15F3C4FA">
            <w:pPr>
              <w:spacing w:line="280" w:lineRule="exact"/>
              <w:jc w:val="center"/>
              <w:rPr>
                <w:rFonts w:hint="eastAsia" w:ascii="宋体" w:hAnsi="宋体" w:eastAsia="宋体" w:cs="宋体"/>
                <w:color w:val="auto"/>
                <w:sz w:val="24"/>
                <w:szCs w:val="24"/>
                <w:highlight w:val="none"/>
              </w:rPr>
            </w:pPr>
          </w:p>
        </w:tc>
      </w:tr>
    </w:tbl>
    <w:p w14:paraId="7FD3167C">
      <w:pPr>
        <w:spacing w:line="32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1"/>
          <w:highlight w:val="none"/>
          <w:lang w:val="en-US" w:eastAsia="zh-CN"/>
        </w:rPr>
        <w:t>备</w:t>
      </w:r>
      <w:r>
        <w:rPr>
          <w:rFonts w:hint="eastAsia" w:ascii="宋体" w:hAnsi="宋体" w:eastAsia="宋体" w:cs="宋体"/>
          <w:color w:val="auto"/>
          <w:sz w:val="24"/>
          <w:szCs w:val="21"/>
          <w:highlight w:val="none"/>
        </w:rPr>
        <w:t>注：供应商应根据要求在本表后附相关证明材料（相关材料包括：</w:t>
      </w:r>
      <w:r>
        <w:rPr>
          <w:rFonts w:hint="eastAsia" w:ascii="宋体" w:hAnsi="宋体" w:eastAsia="宋体" w:cs="宋体"/>
          <w:color w:val="auto"/>
          <w:sz w:val="24"/>
          <w:szCs w:val="24"/>
          <w:highlight w:val="none"/>
        </w:rPr>
        <w:t>资格审查标准</w:t>
      </w:r>
      <w:r>
        <w:rPr>
          <w:rFonts w:hint="eastAsia" w:ascii="宋体" w:hAnsi="宋体" w:eastAsia="宋体" w:cs="宋体"/>
          <w:color w:val="auto"/>
          <w:sz w:val="24"/>
          <w:szCs w:val="24"/>
          <w:highlight w:val="none"/>
          <w:lang w:val="en-US" w:eastAsia="zh-CN"/>
        </w:rPr>
        <w:t>内的资料及</w:t>
      </w:r>
      <w:r>
        <w:rPr>
          <w:rFonts w:hint="eastAsia" w:ascii="宋体" w:hAnsi="宋体" w:eastAsia="宋体" w:cs="宋体"/>
          <w:color w:val="auto"/>
          <w:sz w:val="24"/>
          <w:szCs w:val="21"/>
          <w:highlight w:val="none"/>
        </w:rPr>
        <w:t>营业执照、开户许可证）。</w:t>
      </w:r>
    </w:p>
    <w:p w14:paraId="2E07296C">
      <w:pP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7BCD841E">
      <w:pPr>
        <w:rPr>
          <w:rFonts w:hint="eastAsia" w:ascii="宋体" w:hAnsi="宋体" w:eastAsia="宋体" w:cs="宋体"/>
          <w:b/>
          <w:color w:val="auto"/>
          <w:sz w:val="24"/>
          <w:szCs w:val="24"/>
          <w:highlight w:val="none"/>
        </w:rPr>
      </w:pPr>
      <w:bookmarkStart w:id="49" w:name="_Toc118937"/>
      <w:r>
        <w:rPr>
          <w:rFonts w:hint="eastAsia" w:ascii="宋体" w:hAnsi="宋体" w:eastAsia="宋体" w:cs="宋体"/>
          <w:b/>
          <w:color w:val="auto"/>
          <w:sz w:val="24"/>
          <w:szCs w:val="24"/>
          <w:highlight w:val="none"/>
        </w:rPr>
        <w:br w:type="page"/>
      </w:r>
    </w:p>
    <w:p w14:paraId="330504F5">
      <w:pPr>
        <w:jc w:val="both"/>
        <w:rPr>
          <w:rFonts w:hint="eastAsia" w:ascii="宋体" w:hAnsi="宋体" w:eastAsia="宋体" w:cs="宋体"/>
          <w:color w:val="auto"/>
          <w:sz w:val="24"/>
          <w:szCs w:val="20"/>
          <w:highlight w:val="none"/>
        </w:rPr>
      </w:pPr>
      <w:r>
        <w:rPr>
          <w:rFonts w:hint="eastAsia" w:ascii="宋体" w:hAnsi="宋体" w:eastAsia="宋体" w:cs="宋体"/>
          <w:b/>
          <w:color w:val="auto"/>
          <w:sz w:val="24"/>
          <w:szCs w:val="24"/>
          <w:highlight w:val="none"/>
        </w:rPr>
        <w:t>（二）</w:t>
      </w:r>
      <w:bookmarkEnd w:id="49"/>
      <w:r>
        <w:rPr>
          <w:rStyle w:val="22"/>
          <w:rFonts w:hint="eastAsia" w:ascii="宋体" w:hAnsi="宋体" w:eastAsia="宋体" w:cs="宋体"/>
          <w:b/>
          <w:bCs/>
          <w:sz w:val="24"/>
          <w:szCs w:val="24"/>
          <w:highlight w:val="none"/>
        </w:rPr>
        <w:t>财务状况证明资料</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ab/>
      </w:r>
    </w:p>
    <w:p w14:paraId="60F1B86C">
      <w:pPr>
        <w:pStyle w:val="31"/>
        <w:ind w:firstLine="420"/>
        <w:rPr>
          <w:rFonts w:hint="eastAsia" w:ascii="宋体" w:hAnsi="宋体" w:eastAsia="宋体" w:cs="宋体"/>
          <w:color w:val="auto"/>
          <w:sz w:val="21"/>
          <w:szCs w:val="21"/>
          <w:highlight w:val="none"/>
        </w:rPr>
      </w:pPr>
    </w:p>
    <w:p w14:paraId="71F2A134">
      <w:pPr>
        <w:rPr>
          <w:rFonts w:hint="eastAsia" w:ascii="宋体" w:hAnsi="宋体" w:eastAsia="宋体" w:cs="宋体"/>
          <w:color w:val="auto"/>
          <w:sz w:val="24"/>
          <w:szCs w:val="20"/>
          <w:highlight w:val="none"/>
        </w:rPr>
      </w:pPr>
    </w:p>
    <w:p w14:paraId="1F5E0A50">
      <w:pPr>
        <w:pStyle w:val="31"/>
        <w:ind w:firstLine="420"/>
        <w:rPr>
          <w:rFonts w:hint="eastAsia" w:ascii="宋体" w:hAnsi="宋体" w:eastAsia="宋体" w:cs="宋体"/>
          <w:color w:val="auto"/>
          <w:sz w:val="21"/>
          <w:szCs w:val="21"/>
          <w:highlight w:val="none"/>
        </w:rPr>
      </w:pPr>
    </w:p>
    <w:p w14:paraId="0D86AA20">
      <w:pPr>
        <w:rPr>
          <w:rFonts w:hint="eastAsia" w:ascii="宋体" w:hAnsi="宋体" w:eastAsia="宋体" w:cs="宋体"/>
          <w:color w:val="auto"/>
          <w:sz w:val="24"/>
          <w:szCs w:val="20"/>
          <w:highlight w:val="none"/>
        </w:rPr>
      </w:pPr>
    </w:p>
    <w:p w14:paraId="268AF54A">
      <w:pPr>
        <w:pStyle w:val="31"/>
        <w:ind w:firstLine="420"/>
        <w:rPr>
          <w:rFonts w:hint="eastAsia" w:ascii="宋体" w:hAnsi="宋体" w:eastAsia="宋体" w:cs="宋体"/>
          <w:color w:val="auto"/>
          <w:sz w:val="21"/>
          <w:szCs w:val="21"/>
          <w:highlight w:val="none"/>
        </w:rPr>
      </w:pPr>
    </w:p>
    <w:p w14:paraId="4913ACE0">
      <w:pPr>
        <w:rPr>
          <w:rFonts w:hint="eastAsia" w:ascii="宋体" w:hAnsi="宋体" w:eastAsia="宋体" w:cs="宋体"/>
          <w:color w:val="auto"/>
          <w:sz w:val="24"/>
          <w:szCs w:val="20"/>
          <w:highlight w:val="none"/>
        </w:rPr>
      </w:pPr>
    </w:p>
    <w:p w14:paraId="5A45C88D">
      <w:pPr>
        <w:pStyle w:val="31"/>
        <w:ind w:firstLine="420"/>
        <w:rPr>
          <w:rFonts w:hint="eastAsia" w:ascii="宋体" w:hAnsi="宋体" w:eastAsia="宋体" w:cs="宋体"/>
          <w:color w:val="auto"/>
          <w:sz w:val="21"/>
          <w:szCs w:val="21"/>
          <w:highlight w:val="none"/>
        </w:rPr>
      </w:pPr>
    </w:p>
    <w:p w14:paraId="0BBECE8A">
      <w:pPr>
        <w:rPr>
          <w:rFonts w:hint="eastAsia" w:ascii="宋体" w:hAnsi="宋体" w:eastAsia="宋体" w:cs="宋体"/>
          <w:color w:val="auto"/>
          <w:sz w:val="24"/>
          <w:szCs w:val="20"/>
          <w:highlight w:val="none"/>
        </w:rPr>
      </w:pPr>
    </w:p>
    <w:p w14:paraId="6F4CA328">
      <w:pPr>
        <w:pStyle w:val="31"/>
        <w:ind w:firstLine="420"/>
        <w:rPr>
          <w:rFonts w:hint="eastAsia" w:ascii="宋体" w:hAnsi="宋体" w:eastAsia="宋体" w:cs="宋体"/>
          <w:color w:val="auto"/>
          <w:sz w:val="21"/>
          <w:szCs w:val="21"/>
          <w:highlight w:val="none"/>
        </w:rPr>
      </w:pPr>
    </w:p>
    <w:p w14:paraId="6F4497CE">
      <w:pPr>
        <w:rPr>
          <w:rFonts w:hint="eastAsia" w:ascii="宋体" w:hAnsi="宋体" w:eastAsia="宋体" w:cs="宋体"/>
          <w:color w:val="auto"/>
          <w:sz w:val="24"/>
          <w:szCs w:val="20"/>
          <w:highlight w:val="none"/>
        </w:rPr>
      </w:pPr>
    </w:p>
    <w:p w14:paraId="71B87D27">
      <w:pPr>
        <w:pStyle w:val="31"/>
        <w:ind w:firstLine="420"/>
        <w:rPr>
          <w:rFonts w:hint="eastAsia" w:ascii="宋体" w:hAnsi="宋体" w:eastAsia="宋体" w:cs="宋体"/>
          <w:color w:val="auto"/>
          <w:sz w:val="21"/>
          <w:szCs w:val="21"/>
          <w:highlight w:val="none"/>
        </w:rPr>
      </w:pPr>
    </w:p>
    <w:p w14:paraId="4F072DD2">
      <w:pPr>
        <w:rPr>
          <w:rFonts w:hint="eastAsia" w:ascii="宋体" w:hAnsi="宋体" w:eastAsia="宋体" w:cs="宋体"/>
          <w:color w:val="auto"/>
          <w:sz w:val="24"/>
          <w:szCs w:val="20"/>
          <w:highlight w:val="none"/>
        </w:rPr>
      </w:pPr>
    </w:p>
    <w:p w14:paraId="5E76C0A6">
      <w:pPr>
        <w:pStyle w:val="31"/>
        <w:ind w:firstLine="420"/>
        <w:rPr>
          <w:rFonts w:hint="eastAsia" w:ascii="宋体" w:hAnsi="宋体" w:eastAsia="宋体" w:cs="宋体"/>
          <w:color w:val="auto"/>
          <w:sz w:val="21"/>
          <w:szCs w:val="21"/>
          <w:highlight w:val="none"/>
        </w:rPr>
      </w:pPr>
    </w:p>
    <w:p w14:paraId="38F7BBCB">
      <w:pPr>
        <w:rPr>
          <w:rFonts w:hint="eastAsia" w:ascii="宋体" w:hAnsi="宋体" w:eastAsia="宋体" w:cs="宋体"/>
          <w:color w:val="auto"/>
          <w:sz w:val="24"/>
          <w:szCs w:val="20"/>
          <w:highlight w:val="none"/>
        </w:rPr>
      </w:pPr>
    </w:p>
    <w:p w14:paraId="41F0FD35">
      <w:pPr>
        <w:pStyle w:val="31"/>
        <w:ind w:firstLine="420"/>
        <w:rPr>
          <w:rFonts w:hint="eastAsia" w:ascii="宋体" w:hAnsi="宋体" w:eastAsia="宋体" w:cs="宋体"/>
          <w:color w:val="auto"/>
          <w:sz w:val="21"/>
          <w:szCs w:val="21"/>
          <w:highlight w:val="none"/>
        </w:rPr>
      </w:pPr>
    </w:p>
    <w:p w14:paraId="24E8D954">
      <w:pPr>
        <w:rPr>
          <w:rFonts w:hint="eastAsia" w:ascii="宋体" w:hAnsi="宋体" w:eastAsia="宋体" w:cs="宋体"/>
          <w:color w:val="auto"/>
          <w:sz w:val="24"/>
          <w:szCs w:val="20"/>
          <w:highlight w:val="none"/>
        </w:rPr>
      </w:pPr>
    </w:p>
    <w:p w14:paraId="6772FF06">
      <w:pPr>
        <w:pStyle w:val="31"/>
        <w:ind w:firstLine="420"/>
        <w:rPr>
          <w:rFonts w:hint="eastAsia" w:ascii="宋体" w:hAnsi="宋体" w:eastAsia="宋体" w:cs="宋体"/>
          <w:color w:val="auto"/>
          <w:sz w:val="21"/>
          <w:szCs w:val="21"/>
          <w:highlight w:val="none"/>
        </w:rPr>
      </w:pPr>
    </w:p>
    <w:p w14:paraId="057E15CB">
      <w:pPr>
        <w:rPr>
          <w:rFonts w:hint="eastAsia" w:ascii="宋体" w:hAnsi="宋体" w:eastAsia="宋体" w:cs="宋体"/>
          <w:color w:val="auto"/>
          <w:sz w:val="24"/>
          <w:szCs w:val="20"/>
          <w:highlight w:val="none"/>
        </w:rPr>
      </w:pPr>
    </w:p>
    <w:p w14:paraId="729B4AE3">
      <w:pPr>
        <w:pStyle w:val="31"/>
        <w:ind w:firstLine="420"/>
        <w:rPr>
          <w:rFonts w:hint="eastAsia" w:ascii="宋体" w:hAnsi="宋体" w:eastAsia="宋体" w:cs="宋体"/>
          <w:color w:val="auto"/>
          <w:sz w:val="21"/>
          <w:szCs w:val="21"/>
          <w:highlight w:val="none"/>
        </w:rPr>
      </w:pPr>
    </w:p>
    <w:p w14:paraId="56EEF9B3">
      <w:pPr>
        <w:rPr>
          <w:rFonts w:hint="eastAsia" w:ascii="宋体" w:hAnsi="宋体" w:eastAsia="宋体" w:cs="宋体"/>
          <w:color w:val="auto"/>
          <w:sz w:val="24"/>
          <w:szCs w:val="20"/>
          <w:highlight w:val="none"/>
        </w:rPr>
      </w:pPr>
    </w:p>
    <w:p w14:paraId="75757EB0">
      <w:pPr>
        <w:pStyle w:val="31"/>
        <w:ind w:firstLine="420"/>
        <w:rPr>
          <w:rFonts w:hint="eastAsia" w:ascii="宋体" w:hAnsi="宋体" w:eastAsia="宋体" w:cs="宋体"/>
          <w:color w:val="auto"/>
          <w:sz w:val="21"/>
          <w:szCs w:val="21"/>
          <w:highlight w:val="none"/>
        </w:rPr>
      </w:pPr>
    </w:p>
    <w:p w14:paraId="1EB5EE51">
      <w:pPr>
        <w:rPr>
          <w:rFonts w:hint="eastAsia" w:ascii="宋体" w:hAnsi="宋体" w:eastAsia="宋体" w:cs="宋体"/>
          <w:color w:val="auto"/>
          <w:sz w:val="24"/>
          <w:szCs w:val="20"/>
          <w:highlight w:val="none"/>
        </w:rPr>
      </w:pPr>
    </w:p>
    <w:p w14:paraId="647FFA2B">
      <w:pPr>
        <w:pStyle w:val="31"/>
        <w:ind w:firstLine="420"/>
        <w:rPr>
          <w:rFonts w:hint="eastAsia" w:ascii="宋体" w:hAnsi="宋体" w:eastAsia="宋体" w:cs="宋体"/>
          <w:color w:val="auto"/>
          <w:sz w:val="21"/>
          <w:szCs w:val="21"/>
          <w:highlight w:val="none"/>
        </w:rPr>
      </w:pPr>
    </w:p>
    <w:p w14:paraId="044AB1E4">
      <w:pPr>
        <w:rPr>
          <w:rFonts w:hint="eastAsia" w:ascii="宋体" w:hAnsi="宋体" w:eastAsia="宋体" w:cs="宋体"/>
          <w:color w:val="auto"/>
          <w:sz w:val="24"/>
          <w:szCs w:val="20"/>
          <w:highlight w:val="none"/>
        </w:rPr>
      </w:pPr>
    </w:p>
    <w:p w14:paraId="5D5F9F70">
      <w:pPr>
        <w:pStyle w:val="31"/>
        <w:ind w:firstLine="420"/>
        <w:rPr>
          <w:rFonts w:hint="eastAsia" w:ascii="宋体" w:hAnsi="宋体" w:eastAsia="宋体" w:cs="宋体"/>
          <w:color w:val="auto"/>
          <w:sz w:val="21"/>
          <w:szCs w:val="21"/>
          <w:highlight w:val="none"/>
        </w:rPr>
      </w:pPr>
    </w:p>
    <w:p w14:paraId="0F338CCD">
      <w:pPr>
        <w:rPr>
          <w:rFonts w:hint="eastAsia" w:ascii="宋体" w:hAnsi="宋体" w:eastAsia="宋体" w:cs="宋体"/>
          <w:color w:val="auto"/>
          <w:sz w:val="24"/>
          <w:szCs w:val="20"/>
          <w:highlight w:val="none"/>
        </w:rPr>
      </w:pPr>
    </w:p>
    <w:p w14:paraId="0BD28CBB">
      <w:pPr>
        <w:pStyle w:val="31"/>
        <w:ind w:firstLine="420"/>
        <w:rPr>
          <w:rFonts w:hint="eastAsia" w:ascii="宋体" w:hAnsi="宋体" w:eastAsia="宋体" w:cs="宋体"/>
          <w:color w:val="auto"/>
          <w:sz w:val="21"/>
          <w:szCs w:val="21"/>
          <w:highlight w:val="none"/>
        </w:rPr>
      </w:pPr>
    </w:p>
    <w:p w14:paraId="46E1D49C">
      <w:pPr>
        <w:rPr>
          <w:rFonts w:hint="eastAsia" w:ascii="宋体" w:hAnsi="宋体" w:eastAsia="宋体" w:cs="宋体"/>
          <w:color w:val="auto"/>
          <w:sz w:val="24"/>
          <w:szCs w:val="20"/>
          <w:highlight w:val="none"/>
        </w:rPr>
      </w:pPr>
    </w:p>
    <w:p w14:paraId="7D6E6368">
      <w:pPr>
        <w:pStyle w:val="31"/>
        <w:ind w:firstLine="420"/>
        <w:rPr>
          <w:rFonts w:hint="eastAsia" w:ascii="宋体" w:hAnsi="宋体" w:eastAsia="宋体" w:cs="宋体"/>
          <w:color w:val="auto"/>
          <w:sz w:val="21"/>
          <w:szCs w:val="21"/>
          <w:highlight w:val="none"/>
        </w:rPr>
      </w:pPr>
    </w:p>
    <w:p w14:paraId="611B9FF5">
      <w:pPr>
        <w:rPr>
          <w:rFonts w:hint="eastAsia" w:ascii="宋体" w:hAnsi="宋体" w:eastAsia="宋体" w:cs="宋体"/>
          <w:color w:val="auto"/>
          <w:sz w:val="24"/>
          <w:szCs w:val="20"/>
          <w:highlight w:val="none"/>
        </w:rPr>
      </w:pPr>
    </w:p>
    <w:p w14:paraId="0F523B86">
      <w:pPr>
        <w:rPr>
          <w:rFonts w:hint="eastAsia" w:ascii="宋体" w:hAnsi="宋体" w:eastAsia="宋体" w:cs="宋体"/>
          <w:b/>
          <w:color w:val="auto"/>
          <w:sz w:val="24"/>
          <w:szCs w:val="20"/>
          <w:highlight w:val="none"/>
        </w:rPr>
      </w:pPr>
      <w:bookmarkStart w:id="50" w:name="_Toc118938"/>
      <w:r>
        <w:rPr>
          <w:rFonts w:hint="eastAsia" w:ascii="宋体" w:hAnsi="宋体" w:eastAsia="宋体" w:cs="宋体"/>
          <w:b/>
          <w:color w:val="auto"/>
          <w:sz w:val="24"/>
          <w:szCs w:val="20"/>
          <w:highlight w:val="none"/>
        </w:rPr>
        <w:br w:type="page"/>
      </w:r>
    </w:p>
    <w:p w14:paraId="66A3666F">
      <w:pPr>
        <w:spacing w:line="360" w:lineRule="exact"/>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（三）近年完成的类似项目情况表</w:t>
      </w:r>
      <w:bookmarkEnd w:id="50"/>
    </w:p>
    <w:tbl>
      <w:tblPr>
        <w:tblStyle w:val="19"/>
        <w:tblW w:w="10065" w:type="dxa"/>
        <w:jc w:val="center"/>
        <w:tblLayout w:type="fixed"/>
        <w:tblCellMar>
          <w:top w:w="169" w:type="dxa"/>
          <w:left w:w="108" w:type="dxa"/>
          <w:bottom w:w="48" w:type="dxa"/>
          <w:right w:w="115" w:type="dxa"/>
        </w:tblCellMar>
      </w:tblPr>
      <w:tblGrid>
        <w:gridCol w:w="1843"/>
        <w:gridCol w:w="8222"/>
      </w:tblGrid>
      <w:tr w14:paraId="5843A57E">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7D613507">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项目名称</w:t>
            </w:r>
          </w:p>
        </w:tc>
        <w:tc>
          <w:tcPr>
            <w:tcW w:w="8222" w:type="dxa"/>
            <w:tcBorders>
              <w:top w:val="single" w:color="000000" w:sz="4" w:space="0"/>
              <w:left w:val="single" w:color="000000" w:sz="4" w:space="0"/>
              <w:bottom w:val="single" w:color="000000" w:sz="4" w:space="0"/>
              <w:right w:val="single" w:color="000000" w:sz="4" w:space="0"/>
            </w:tcBorders>
            <w:vAlign w:val="center"/>
          </w:tcPr>
          <w:p w14:paraId="69600EE1">
            <w:pPr>
              <w:spacing w:line="280" w:lineRule="exact"/>
              <w:jc w:val="center"/>
              <w:rPr>
                <w:rFonts w:hint="eastAsia" w:ascii="宋体" w:hAnsi="宋体" w:eastAsia="宋体" w:cs="宋体"/>
                <w:color w:val="auto"/>
                <w:sz w:val="24"/>
                <w:szCs w:val="21"/>
                <w:highlight w:val="none"/>
              </w:rPr>
            </w:pPr>
          </w:p>
        </w:tc>
      </w:tr>
      <w:tr w14:paraId="5E9EB78C">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4B8FE765">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项目所在地</w:t>
            </w:r>
          </w:p>
        </w:tc>
        <w:tc>
          <w:tcPr>
            <w:tcW w:w="8222" w:type="dxa"/>
            <w:tcBorders>
              <w:top w:val="single" w:color="000000" w:sz="4" w:space="0"/>
              <w:left w:val="single" w:color="000000" w:sz="4" w:space="0"/>
              <w:bottom w:val="single" w:color="000000" w:sz="4" w:space="0"/>
              <w:right w:val="single" w:color="000000" w:sz="4" w:space="0"/>
            </w:tcBorders>
            <w:vAlign w:val="center"/>
          </w:tcPr>
          <w:p w14:paraId="2203260D">
            <w:pPr>
              <w:spacing w:line="280" w:lineRule="exact"/>
              <w:jc w:val="center"/>
              <w:rPr>
                <w:rFonts w:hint="eastAsia" w:ascii="宋体" w:hAnsi="宋体" w:eastAsia="宋体" w:cs="宋体"/>
                <w:color w:val="auto"/>
                <w:sz w:val="24"/>
                <w:szCs w:val="21"/>
                <w:highlight w:val="none"/>
              </w:rPr>
            </w:pPr>
          </w:p>
        </w:tc>
      </w:tr>
      <w:tr w14:paraId="427C28DB">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603CEFB3">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发包人名称</w:t>
            </w:r>
          </w:p>
        </w:tc>
        <w:tc>
          <w:tcPr>
            <w:tcW w:w="8222" w:type="dxa"/>
            <w:tcBorders>
              <w:top w:val="single" w:color="000000" w:sz="4" w:space="0"/>
              <w:left w:val="single" w:color="000000" w:sz="4" w:space="0"/>
              <w:bottom w:val="single" w:color="000000" w:sz="4" w:space="0"/>
              <w:right w:val="single" w:color="000000" w:sz="4" w:space="0"/>
            </w:tcBorders>
            <w:vAlign w:val="center"/>
          </w:tcPr>
          <w:p w14:paraId="003EE222">
            <w:pPr>
              <w:spacing w:line="280" w:lineRule="exact"/>
              <w:jc w:val="center"/>
              <w:rPr>
                <w:rFonts w:hint="eastAsia" w:ascii="宋体" w:hAnsi="宋体" w:eastAsia="宋体" w:cs="宋体"/>
                <w:color w:val="auto"/>
                <w:sz w:val="24"/>
                <w:szCs w:val="21"/>
                <w:highlight w:val="none"/>
              </w:rPr>
            </w:pPr>
          </w:p>
        </w:tc>
      </w:tr>
      <w:tr w14:paraId="4987C768">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36B49C16">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发包人地址</w:t>
            </w:r>
          </w:p>
        </w:tc>
        <w:tc>
          <w:tcPr>
            <w:tcW w:w="8222" w:type="dxa"/>
            <w:tcBorders>
              <w:top w:val="single" w:color="000000" w:sz="4" w:space="0"/>
              <w:left w:val="single" w:color="000000" w:sz="4" w:space="0"/>
              <w:bottom w:val="single" w:color="000000" w:sz="4" w:space="0"/>
              <w:right w:val="single" w:color="000000" w:sz="4" w:space="0"/>
            </w:tcBorders>
            <w:vAlign w:val="center"/>
          </w:tcPr>
          <w:p w14:paraId="576DBA73">
            <w:pPr>
              <w:spacing w:line="280" w:lineRule="exact"/>
              <w:jc w:val="center"/>
              <w:rPr>
                <w:rFonts w:hint="eastAsia" w:ascii="宋体" w:hAnsi="宋体" w:eastAsia="宋体" w:cs="宋体"/>
                <w:color w:val="auto"/>
                <w:sz w:val="24"/>
                <w:szCs w:val="21"/>
                <w:highlight w:val="none"/>
              </w:rPr>
            </w:pPr>
          </w:p>
        </w:tc>
      </w:tr>
      <w:tr w14:paraId="370F7D35">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2244B72A">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发包人电话</w:t>
            </w:r>
          </w:p>
        </w:tc>
        <w:tc>
          <w:tcPr>
            <w:tcW w:w="8222" w:type="dxa"/>
            <w:tcBorders>
              <w:top w:val="single" w:color="000000" w:sz="4" w:space="0"/>
              <w:left w:val="single" w:color="000000" w:sz="4" w:space="0"/>
              <w:bottom w:val="single" w:color="000000" w:sz="4" w:space="0"/>
              <w:right w:val="single" w:color="000000" w:sz="4" w:space="0"/>
            </w:tcBorders>
            <w:vAlign w:val="center"/>
          </w:tcPr>
          <w:p w14:paraId="5893FBA6">
            <w:pPr>
              <w:spacing w:line="280" w:lineRule="exact"/>
              <w:jc w:val="center"/>
              <w:rPr>
                <w:rFonts w:hint="eastAsia" w:ascii="宋体" w:hAnsi="宋体" w:eastAsia="宋体" w:cs="宋体"/>
                <w:color w:val="auto"/>
                <w:sz w:val="24"/>
                <w:szCs w:val="21"/>
                <w:highlight w:val="none"/>
              </w:rPr>
            </w:pPr>
          </w:p>
        </w:tc>
      </w:tr>
      <w:tr w14:paraId="62ADEE6C">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03950602">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合同价格</w:t>
            </w:r>
          </w:p>
        </w:tc>
        <w:tc>
          <w:tcPr>
            <w:tcW w:w="8222" w:type="dxa"/>
            <w:tcBorders>
              <w:top w:val="single" w:color="000000" w:sz="4" w:space="0"/>
              <w:left w:val="single" w:color="000000" w:sz="4" w:space="0"/>
              <w:bottom w:val="single" w:color="000000" w:sz="4" w:space="0"/>
              <w:right w:val="single" w:color="000000" w:sz="4" w:space="0"/>
            </w:tcBorders>
            <w:vAlign w:val="center"/>
          </w:tcPr>
          <w:p w14:paraId="72234778">
            <w:pPr>
              <w:spacing w:line="280" w:lineRule="exact"/>
              <w:jc w:val="center"/>
              <w:rPr>
                <w:rFonts w:hint="eastAsia" w:ascii="宋体" w:hAnsi="宋体" w:eastAsia="宋体" w:cs="宋体"/>
                <w:color w:val="auto"/>
                <w:sz w:val="24"/>
                <w:szCs w:val="21"/>
                <w:highlight w:val="none"/>
              </w:rPr>
            </w:pPr>
          </w:p>
        </w:tc>
      </w:tr>
      <w:tr w14:paraId="7C6C55B9">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02EC1961">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工作服务期限</w:t>
            </w:r>
          </w:p>
        </w:tc>
        <w:tc>
          <w:tcPr>
            <w:tcW w:w="8222" w:type="dxa"/>
            <w:tcBorders>
              <w:top w:val="single" w:color="000000" w:sz="4" w:space="0"/>
              <w:left w:val="single" w:color="000000" w:sz="4" w:space="0"/>
              <w:bottom w:val="single" w:color="000000" w:sz="4" w:space="0"/>
              <w:right w:val="single" w:color="000000" w:sz="4" w:space="0"/>
            </w:tcBorders>
            <w:vAlign w:val="center"/>
          </w:tcPr>
          <w:p w14:paraId="4A650823">
            <w:pPr>
              <w:spacing w:line="280" w:lineRule="exact"/>
              <w:jc w:val="center"/>
              <w:rPr>
                <w:rFonts w:hint="eastAsia" w:ascii="宋体" w:hAnsi="宋体" w:eastAsia="宋体" w:cs="宋体"/>
                <w:color w:val="auto"/>
                <w:sz w:val="24"/>
                <w:szCs w:val="21"/>
                <w:highlight w:val="none"/>
              </w:rPr>
            </w:pPr>
          </w:p>
        </w:tc>
      </w:tr>
      <w:tr w14:paraId="2BE0BF16">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40ED9F7F">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工作内容</w:t>
            </w:r>
          </w:p>
        </w:tc>
        <w:tc>
          <w:tcPr>
            <w:tcW w:w="8222" w:type="dxa"/>
            <w:tcBorders>
              <w:top w:val="single" w:color="000000" w:sz="4" w:space="0"/>
              <w:left w:val="single" w:color="000000" w:sz="4" w:space="0"/>
              <w:bottom w:val="single" w:color="000000" w:sz="4" w:space="0"/>
              <w:right w:val="single" w:color="000000" w:sz="4" w:space="0"/>
            </w:tcBorders>
            <w:vAlign w:val="center"/>
          </w:tcPr>
          <w:p w14:paraId="38B7619D">
            <w:pPr>
              <w:spacing w:line="280" w:lineRule="exact"/>
              <w:jc w:val="center"/>
              <w:rPr>
                <w:rFonts w:hint="eastAsia" w:ascii="宋体" w:hAnsi="宋体" w:eastAsia="宋体" w:cs="宋体"/>
                <w:color w:val="auto"/>
                <w:sz w:val="24"/>
                <w:szCs w:val="21"/>
                <w:highlight w:val="none"/>
              </w:rPr>
            </w:pPr>
          </w:p>
        </w:tc>
      </w:tr>
      <w:tr w14:paraId="5445B539">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32D800C1">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项目负责人</w:t>
            </w:r>
          </w:p>
        </w:tc>
        <w:tc>
          <w:tcPr>
            <w:tcW w:w="8222" w:type="dxa"/>
            <w:tcBorders>
              <w:top w:val="single" w:color="000000" w:sz="4" w:space="0"/>
              <w:left w:val="single" w:color="000000" w:sz="4" w:space="0"/>
              <w:bottom w:val="single" w:color="000000" w:sz="4" w:space="0"/>
              <w:right w:val="single" w:color="000000" w:sz="4" w:space="0"/>
            </w:tcBorders>
            <w:vAlign w:val="center"/>
          </w:tcPr>
          <w:p w14:paraId="76EF97BE">
            <w:pPr>
              <w:spacing w:line="280" w:lineRule="exact"/>
              <w:jc w:val="center"/>
              <w:rPr>
                <w:rFonts w:hint="eastAsia" w:ascii="宋体" w:hAnsi="宋体" w:eastAsia="宋体" w:cs="宋体"/>
                <w:color w:val="auto"/>
                <w:sz w:val="24"/>
                <w:szCs w:val="21"/>
                <w:highlight w:val="none"/>
              </w:rPr>
            </w:pPr>
          </w:p>
        </w:tc>
      </w:tr>
      <w:tr w14:paraId="06F669D2">
        <w:tblPrEx>
          <w:tblCellMar>
            <w:top w:w="169" w:type="dxa"/>
            <w:left w:w="108" w:type="dxa"/>
            <w:bottom w:w="48" w:type="dxa"/>
            <w:right w:w="115" w:type="dxa"/>
          </w:tblCellMar>
        </w:tblPrEx>
        <w:trPr>
          <w:trHeight w:val="2758"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3318B391">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项目描述</w:t>
            </w:r>
          </w:p>
        </w:tc>
        <w:tc>
          <w:tcPr>
            <w:tcW w:w="8222" w:type="dxa"/>
            <w:tcBorders>
              <w:top w:val="single" w:color="000000" w:sz="4" w:space="0"/>
              <w:left w:val="single" w:color="000000" w:sz="4" w:space="0"/>
              <w:bottom w:val="single" w:color="000000" w:sz="4" w:space="0"/>
              <w:right w:val="single" w:color="000000" w:sz="4" w:space="0"/>
            </w:tcBorders>
            <w:vAlign w:val="center"/>
          </w:tcPr>
          <w:p w14:paraId="097A14AE">
            <w:pPr>
              <w:spacing w:line="280" w:lineRule="exact"/>
              <w:jc w:val="center"/>
              <w:rPr>
                <w:rFonts w:hint="eastAsia" w:ascii="宋体" w:hAnsi="宋体" w:eastAsia="宋体" w:cs="宋体"/>
                <w:color w:val="auto"/>
                <w:sz w:val="24"/>
                <w:szCs w:val="21"/>
                <w:highlight w:val="none"/>
              </w:rPr>
            </w:pPr>
          </w:p>
        </w:tc>
      </w:tr>
      <w:tr w14:paraId="1C37A2E4">
        <w:tblPrEx>
          <w:tblCellMar>
            <w:top w:w="169" w:type="dxa"/>
            <w:left w:w="108" w:type="dxa"/>
            <w:bottom w:w="48" w:type="dxa"/>
            <w:right w:w="115" w:type="dxa"/>
          </w:tblCellMar>
        </w:tblPrEx>
        <w:trPr>
          <w:trHeight w:val="1191"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5457145E">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备注</w:t>
            </w:r>
          </w:p>
        </w:tc>
        <w:tc>
          <w:tcPr>
            <w:tcW w:w="8222" w:type="dxa"/>
            <w:tcBorders>
              <w:top w:val="single" w:color="000000" w:sz="4" w:space="0"/>
              <w:left w:val="single" w:color="000000" w:sz="4" w:space="0"/>
              <w:bottom w:val="single" w:color="000000" w:sz="4" w:space="0"/>
              <w:right w:val="single" w:color="000000" w:sz="4" w:space="0"/>
            </w:tcBorders>
            <w:vAlign w:val="center"/>
          </w:tcPr>
          <w:p w14:paraId="39E03D76">
            <w:pPr>
              <w:spacing w:line="280" w:lineRule="exact"/>
              <w:jc w:val="center"/>
              <w:rPr>
                <w:rFonts w:hint="eastAsia" w:ascii="宋体" w:hAnsi="宋体" w:eastAsia="宋体" w:cs="宋体"/>
                <w:color w:val="auto"/>
                <w:sz w:val="24"/>
                <w:szCs w:val="21"/>
                <w:highlight w:val="none"/>
              </w:rPr>
            </w:pPr>
          </w:p>
        </w:tc>
      </w:tr>
    </w:tbl>
    <w:p w14:paraId="7235DF00">
      <w:pP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注：供应商应根据要求在本表后附相关证明材料（</w:t>
      </w:r>
      <w:r>
        <w:rPr>
          <w:rFonts w:hint="eastAsia" w:ascii="宋体" w:hAnsi="宋体" w:eastAsia="宋体" w:cs="宋体"/>
          <w:color w:val="auto"/>
          <w:sz w:val="24"/>
          <w:szCs w:val="24"/>
          <w:highlight w:val="none"/>
        </w:rPr>
        <w:t>提供中标通知书或发包通知书、监理合同（第一部分）及竣工验收报告或竣工接受证书复印件加盖公章。否则该项业绩视为无效</w:t>
      </w:r>
      <w:r>
        <w:rPr>
          <w:rFonts w:hint="eastAsia" w:ascii="宋体" w:hAnsi="宋体" w:eastAsia="宋体" w:cs="宋体"/>
          <w:color w:val="auto"/>
          <w:sz w:val="24"/>
          <w:szCs w:val="21"/>
          <w:highlight w:val="none"/>
        </w:rPr>
        <w:t xml:space="preserve">）。 </w:t>
      </w:r>
    </w:p>
    <w:p w14:paraId="7502437F">
      <w:pPr>
        <w:numPr>
          <w:ilvl w:val="0"/>
          <w:numId w:val="0"/>
        </w:numPr>
        <w:spacing w:after="157" w:line="265" w:lineRule="auto"/>
        <w:ind w:leftChars="0" w:right="103" w:rightChars="0"/>
        <w:jc w:val="center"/>
        <w:rPr>
          <w:rFonts w:hint="eastAsia" w:ascii="宋体" w:hAnsi="宋体" w:eastAsia="宋体" w:cs="宋体"/>
          <w:b/>
          <w:color w:val="auto"/>
          <w:sz w:val="24"/>
          <w:szCs w:val="20"/>
          <w:highlight w:val="none"/>
        </w:rPr>
      </w:pPr>
    </w:p>
    <w:p w14:paraId="35394271">
      <w:pPr>
        <w:numPr>
          <w:ilvl w:val="0"/>
          <w:numId w:val="0"/>
        </w:numPr>
        <w:spacing w:after="157" w:line="265" w:lineRule="auto"/>
        <w:ind w:leftChars="0" w:right="103" w:rightChars="0"/>
        <w:jc w:val="center"/>
        <w:rPr>
          <w:rFonts w:hint="eastAsia" w:ascii="宋体" w:hAnsi="宋体" w:eastAsia="宋体" w:cs="宋体"/>
          <w:b/>
          <w:color w:val="auto"/>
          <w:sz w:val="24"/>
          <w:szCs w:val="20"/>
          <w:highlight w:val="none"/>
        </w:rPr>
      </w:pPr>
    </w:p>
    <w:p w14:paraId="0171457D">
      <w:pPr>
        <w:numPr>
          <w:ilvl w:val="0"/>
          <w:numId w:val="0"/>
        </w:numPr>
        <w:spacing w:after="157" w:line="265" w:lineRule="auto"/>
        <w:ind w:leftChars="0" w:right="103" w:rightChars="0"/>
        <w:jc w:val="center"/>
        <w:rPr>
          <w:rFonts w:hint="eastAsia" w:ascii="宋体" w:hAnsi="宋体" w:eastAsia="宋体" w:cs="宋体"/>
          <w:color w:val="auto"/>
          <w:sz w:val="28"/>
          <w:szCs w:val="20"/>
          <w:highlight w:val="none"/>
        </w:rPr>
      </w:pPr>
      <w:r>
        <w:rPr>
          <w:rFonts w:hint="eastAsia" w:ascii="宋体" w:hAnsi="宋体" w:eastAsia="宋体" w:cs="宋体"/>
          <w:b/>
          <w:color w:val="auto"/>
          <w:sz w:val="24"/>
          <w:szCs w:val="20"/>
          <w:highlight w:val="none"/>
        </w:rPr>
        <w:t>（</w:t>
      </w:r>
      <w:r>
        <w:rPr>
          <w:rFonts w:hint="eastAsia" w:ascii="宋体" w:hAnsi="宋体" w:eastAsia="宋体" w:cs="宋体"/>
          <w:b/>
          <w:color w:val="auto"/>
          <w:sz w:val="24"/>
          <w:szCs w:val="20"/>
          <w:highlight w:val="none"/>
          <w:lang w:val="en-US" w:eastAsia="zh-CN"/>
        </w:rPr>
        <w:t>四</w:t>
      </w:r>
      <w:r>
        <w:rPr>
          <w:rFonts w:hint="eastAsia" w:ascii="宋体" w:hAnsi="宋体" w:eastAsia="宋体" w:cs="宋体"/>
          <w:b/>
          <w:color w:val="auto"/>
          <w:sz w:val="24"/>
          <w:szCs w:val="20"/>
          <w:highlight w:val="none"/>
        </w:rPr>
        <w:t>）“信用中国</w:t>
      </w:r>
      <w:r>
        <w:rPr>
          <w:rFonts w:hint="eastAsia" w:ascii="宋体" w:hAnsi="宋体" w:eastAsia="宋体" w:cs="宋体"/>
          <w:b/>
          <w:color w:val="auto"/>
          <w:sz w:val="24"/>
          <w:szCs w:val="20"/>
          <w:highlight w:val="none"/>
          <w:lang w:eastAsia="zh-CN"/>
        </w:rPr>
        <w:t>”“</w:t>
      </w:r>
      <w:r>
        <w:rPr>
          <w:rFonts w:hint="eastAsia" w:ascii="宋体" w:hAnsi="宋体" w:eastAsia="宋体" w:cs="宋体"/>
          <w:b/>
          <w:color w:val="auto"/>
          <w:sz w:val="24"/>
          <w:szCs w:val="20"/>
          <w:highlight w:val="none"/>
        </w:rPr>
        <w:t>中国政府采购网”查询截图</w:t>
      </w:r>
    </w:p>
    <w:p w14:paraId="59067B02">
      <w:pPr>
        <w:pStyle w:val="31"/>
        <w:ind w:firstLine="560"/>
        <w:rPr>
          <w:rFonts w:hint="eastAsia" w:ascii="宋体" w:hAnsi="宋体" w:eastAsia="宋体" w:cs="宋体"/>
          <w:color w:val="auto"/>
          <w:sz w:val="28"/>
          <w:szCs w:val="21"/>
          <w:highlight w:val="none"/>
        </w:rPr>
      </w:pPr>
    </w:p>
    <w:p w14:paraId="08A4D08F">
      <w:pPr>
        <w:rPr>
          <w:rFonts w:hint="eastAsia" w:ascii="宋体" w:hAnsi="宋体" w:eastAsia="宋体" w:cs="宋体"/>
          <w:color w:val="auto"/>
          <w:sz w:val="28"/>
          <w:szCs w:val="20"/>
          <w:highlight w:val="none"/>
        </w:rPr>
      </w:pPr>
    </w:p>
    <w:p w14:paraId="2FECB4B9">
      <w:pPr>
        <w:pStyle w:val="31"/>
        <w:ind w:firstLine="560"/>
        <w:rPr>
          <w:rFonts w:hint="eastAsia" w:ascii="宋体" w:hAnsi="宋体" w:eastAsia="宋体" w:cs="宋体"/>
          <w:color w:val="auto"/>
          <w:sz w:val="28"/>
          <w:szCs w:val="21"/>
          <w:highlight w:val="none"/>
        </w:rPr>
      </w:pPr>
    </w:p>
    <w:p w14:paraId="77026039">
      <w:pPr>
        <w:rPr>
          <w:rFonts w:hint="eastAsia" w:ascii="宋体" w:hAnsi="宋体" w:eastAsia="宋体" w:cs="宋体"/>
          <w:color w:val="auto"/>
          <w:sz w:val="28"/>
          <w:szCs w:val="20"/>
          <w:highlight w:val="none"/>
        </w:rPr>
      </w:pPr>
    </w:p>
    <w:p w14:paraId="6796CB2C">
      <w:pPr>
        <w:pStyle w:val="31"/>
        <w:ind w:firstLine="560"/>
        <w:rPr>
          <w:rFonts w:hint="eastAsia" w:ascii="宋体" w:hAnsi="宋体" w:eastAsia="宋体" w:cs="宋体"/>
          <w:color w:val="auto"/>
          <w:sz w:val="28"/>
          <w:szCs w:val="21"/>
          <w:highlight w:val="none"/>
        </w:rPr>
      </w:pPr>
    </w:p>
    <w:p w14:paraId="4138A95B">
      <w:pPr>
        <w:rPr>
          <w:rFonts w:hint="eastAsia" w:ascii="宋体" w:hAnsi="宋体" w:eastAsia="宋体" w:cs="宋体"/>
          <w:color w:val="auto"/>
          <w:sz w:val="28"/>
          <w:szCs w:val="20"/>
          <w:highlight w:val="none"/>
        </w:rPr>
      </w:pPr>
    </w:p>
    <w:p w14:paraId="3250C2EC">
      <w:pPr>
        <w:pStyle w:val="31"/>
        <w:ind w:firstLine="560"/>
        <w:rPr>
          <w:rFonts w:hint="eastAsia" w:ascii="宋体" w:hAnsi="宋体" w:eastAsia="宋体" w:cs="宋体"/>
          <w:color w:val="auto"/>
          <w:sz w:val="28"/>
          <w:szCs w:val="21"/>
          <w:highlight w:val="none"/>
        </w:rPr>
      </w:pPr>
    </w:p>
    <w:p w14:paraId="08E3B238">
      <w:pPr>
        <w:rPr>
          <w:rFonts w:hint="eastAsia" w:ascii="宋体" w:hAnsi="宋体" w:eastAsia="宋体" w:cs="宋体"/>
          <w:color w:val="auto"/>
          <w:sz w:val="28"/>
          <w:szCs w:val="20"/>
          <w:highlight w:val="none"/>
        </w:rPr>
      </w:pPr>
    </w:p>
    <w:p w14:paraId="2DDB753F">
      <w:pPr>
        <w:pStyle w:val="31"/>
        <w:ind w:firstLine="560"/>
        <w:rPr>
          <w:rFonts w:hint="eastAsia" w:ascii="宋体" w:hAnsi="宋体" w:eastAsia="宋体" w:cs="宋体"/>
          <w:color w:val="auto"/>
          <w:sz w:val="28"/>
          <w:szCs w:val="21"/>
          <w:highlight w:val="none"/>
        </w:rPr>
      </w:pPr>
    </w:p>
    <w:p w14:paraId="2D916185">
      <w:pPr>
        <w:rPr>
          <w:rFonts w:hint="eastAsia" w:ascii="宋体" w:hAnsi="宋体" w:eastAsia="宋体" w:cs="宋体"/>
          <w:color w:val="auto"/>
          <w:sz w:val="28"/>
          <w:szCs w:val="20"/>
          <w:highlight w:val="none"/>
        </w:rPr>
      </w:pPr>
    </w:p>
    <w:p w14:paraId="0BE3E0B6">
      <w:pPr>
        <w:pStyle w:val="31"/>
        <w:ind w:firstLine="560"/>
        <w:rPr>
          <w:rFonts w:hint="eastAsia" w:ascii="宋体" w:hAnsi="宋体" w:eastAsia="宋体" w:cs="宋体"/>
          <w:color w:val="auto"/>
          <w:sz w:val="28"/>
          <w:szCs w:val="21"/>
          <w:highlight w:val="none"/>
        </w:rPr>
      </w:pPr>
    </w:p>
    <w:p w14:paraId="74EF2147">
      <w:pPr>
        <w:rPr>
          <w:rFonts w:hint="eastAsia" w:ascii="宋体" w:hAnsi="宋体" w:eastAsia="宋体" w:cs="宋体"/>
          <w:color w:val="auto"/>
          <w:sz w:val="28"/>
          <w:szCs w:val="20"/>
          <w:highlight w:val="none"/>
        </w:rPr>
      </w:pPr>
    </w:p>
    <w:p w14:paraId="063CBC4D">
      <w:pPr>
        <w:pStyle w:val="31"/>
        <w:ind w:firstLine="560"/>
        <w:rPr>
          <w:rFonts w:hint="eastAsia" w:ascii="宋体" w:hAnsi="宋体" w:eastAsia="宋体" w:cs="宋体"/>
          <w:color w:val="auto"/>
          <w:sz w:val="28"/>
          <w:szCs w:val="21"/>
          <w:highlight w:val="none"/>
        </w:rPr>
      </w:pPr>
    </w:p>
    <w:p w14:paraId="06B513C8">
      <w:pPr>
        <w:rPr>
          <w:rFonts w:hint="eastAsia" w:ascii="宋体" w:hAnsi="宋体" w:eastAsia="宋体" w:cs="宋体"/>
          <w:color w:val="auto"/>
          <w:sz w:val="28"/>
          <w:szCs w:val="20"/>
          <w:highlight w:val="none"/>
        </w:rPr>
      </w:pPr>
    </w:p>
    <w:p w14:paraId="6E879653">
      <w:pPr>
        <w:pStyle w:val="31"/>
        <w:ind w:firstLine="560"/>
        <w:rPr>
          <w:rFonts w:hint="eastAsia" w:ascii="宋体" w:hAnsi="宋体" w:eastAsia="宋体" w:cs="宋体"/>
          <w:color w:val="auto"/>
          <w:sz w:val="28"/>
          <w:szCs w:val="21"/>
          <w:highlight w:val="none"/>
        </w:rPr>
      </w:pPr>
    </w:p>
    <w:p w14:paraId="71A7D6B7">
      <w:pPr>
        <w:rPr>
          <w:rFonts w:hint="eastAsia" w:ascii="宋体" w:hAnsi="宋体" w:eastAsia="宋体" w:cs="宋体"/>
          <w:color w:val="auto"/>
          <w:sz w:val="28"/>
          <w:szCs w:val="20"/>
          <w:highlight w:val="none"/>
        </w:rPr>
      </w:pPr>
    </w:p>
    <w:p w14:paraId="6A7F81F3">
      <w:pPr>
        <w:pStyle w:val="31"/>
        <w:ind w:firstLine="560"/>
        <w:rPr>
          <w:rFonts w:hint="eastAsia" w:ascii="宋体" w:hAnsi="宋体" w:eastAsia="宋体" w:cs="宋体"/>
          <w:color w:val="auto"/>
          <w:sz w:val="28"/>
          <w:szCs w:val="21"/>
          <w:highlight w:val="none"/>
        </w:rPr>
      </w:pPr>
    </w:p>
    <w:p w14:paraId="706E9F68">
      <w:pPr>
        <w:rPr>
          <w:rFonts w:hint="eastAsia" w:ascii="宋体" w:hAnsi="宋体" w:eastAsia="宋体" w:cs="宋体"/>
          <w:color w:val="auto"/>
          <w:sz w:val="28"/>
          <w:szCs w:val="20"/>
          <w:highlight w:val="none"/>
        </w:rPr>
      </w:pPr>
    </w:p>
    <w:p w14:paraId="417A2231">
      <w:pPr>
        <w:pStyle w:val="31"/>
        <w:ind w:firstLine="560"/>
        <w:rPr>
          <w:rFonts w:hint="eastAsia" w:ascii="宋体" w:hAnsi="宋体" w:eastAsia="宋体" w:cs="宋体"/>
          <w:color w:val="auto"/>
          <w:sz w:val="28"/>
          <w:szCs w:val="21"/>
          <w:highlight w:val="none"/>
        </w:rPr>
      </w:pPr>
    </w:p>
    <w:p w14:paraId="0EA2A538">
      <w:pPr>
        <w:rPr>
          <w:rFonts w:hint="eastAsia" w:ascii="宋体" w:hAnsi="宋体" w:eastAsia="宋体" w:cs="宋体"/>
          <w:color w:val="auto"/>
          <w:sz w:val="28"/>
          <w:szCs w:val="20"/>
          <w:highlight w:val="none"/>
        </w:rPr>
      </w:pPr>
    </w:p>
    <w:p w14:paraId="7FBDF178">
      <w:pPr>
        <w:pStyle w:val="31"/>
        <w:ind w:firstLine="560"/>
        <w:rPr>
          <w:rFonts w:hint="eastAsia" w:ascii="宋体" w:hAnsi="宋体" w:eastAsia="宋体" w:cs="宋体"/>
          <w:color w:val="auto"/>
          <w:sz w:val="28"/>
          <w:szCs w:val="21"/>
          <w:highlight w:val="none"/>
        </w:rPr>
      </w:pPr>
    </w:p>
    <w:p w14:paraId="50FB22B8">
      <w:pPr>
        <w:rPr>
          <w:rFonts w:hint="eastAsia" w:ascii="宋体" w:hAnsi="宋体" w:eastAsia="宋体" w:cs="宋体"/>
          <w:color w:val="auto"/>
          <w:sz w:val="28"/>
          <w:szCs w:val="20"/>
          <w:highlight w:val="none"/>
        </w:rPr>
      </w:pPr>
    </w:p>
    <w:p w14:paraId="127E8F8C">
      <w:pPr>
        <w:pStyle w:val="31"/>
        <w:ind w:firstLine="560"/>
        <w:rPr>
          <w:rFonts w:hint="eastAsia" w:ascii="宋体" w:hAnsi="宋体" w:eastAsia="宋体" w:cs="宋体"/>
          <w:color w:val="auto"/>
          <w:sz w:val="28"/>
          <w:szCs w:val="21"/>
          <w:highlight w:val="none"/>
        </w:rPr>
      </w:pPr>
    </w:p>
    <w:p w14:paraId="429C8CEE">
      <w:pPr>
        <w:rPr>
          <w:rFonts w:hint="eastAsia" w:ascii="宋体" w:hAnsi="宋体" w:eastAsia="宋体" w:cs="宋体"/>
          <w:color w:val="auto"/>
          <w:sz w:val="28"/>
          <w:szCs w:val="20"/>
          <w:highlight w:val="none"/>
        </w:rPr>
      </w:pPr>
    </w:p>
    <w:p w14:paraId="61BAB88B">
      <w:pPr>
        <w:pStyle w:val="31"/>
        <w:ind w:firstLine="560"/>
        <w:rPr>
          <w:rFonts w:hint="eastAsia" w:ascii="宋体" w:hAnsi="宋体" w:eastAsia="宋体" w:cs="宋体"/>
          <w:color w:val="auto"/>
          <w:sz w:val="28"/>
          <w:szCs w:val="21"/>
          <w:highlight w:val="none"/>
        </w:rPr>
      </w:pPr>
    </w:p>
    <w:p w14:paraId="618B69D8">
      <w:pPr>
        <w:rPr>
          <w:rFonts w:hint="eastAsia" w:ascii="宋体" w:hAnsi="宋体" w:eastAsia="宋体" w:cs="宋体"/>
          <w:color w:val="auto"/>
          <w:sz w:val="28"/>
          <w:szCs w:val="20"/>
          <w:highlight w:val="none"/>
        </w:rPr>
      </w:pPr>
    </w:p>
    <w:p w14:paraId="797820B6">
      <w:pPr>
        <w:pStyle w:val="31"/>
        <w:ind w:firstLine="560"/>
        <w:rPr>
          <w:rFonts w:hint="eastAsia" w:ascii="宋体" w:hAnsi="宋体" w:eastAsia="宋体" w:cs="宋体"/>
          <w:color w:val="auto"/>
          <w:sz w:val="28"/>
          <w:szCs w:val="21"/>
          <w:highlight w:val="none"/>
        </w:rPr>
      </w:pPr>
    </w:p>
    <w:p w14:paraId="30BAF975">
      <w:pPr>
        <w:rPr>
          <w:rFonts w:hint="eastAsia" w:ascii="宋体" w:hAnsi="宋体" w:eastAsia="宋体" w:cs="宋体"/>
          <w:color w:val="auto"/>
          <w:sz w:val="28"/>
          <w:szCs w:val="20"/>
          <w:highlight w:val="none"/>
        </w:rPr>
      </w:pPr>
    </w:p>
    <w:p w14:paraId="0DEE7F8B">
      <w:pPr>
        <w:pStyle w:val="31"/>
        <w:ind w:firstLine="560"/>
        <w:rPr>
          <w:rFonts w:hint="eastAsia" w:ascii="宋体" w:hAnsi="宋体" w:eastAsia="宋体" w:cs="宋体"/>
          <w:color w:val="auto"/>
          <w:sz w:val="28"/>
          <w:szCs w:val="21"/>
          <w:highlight w:val="none"/>
        </w:rPr>
      </w:pPr>
    </w:p>
    <w:p w14:paraId="1FF4C23C">
      <w:pPr>
        <w:rPr>
          <w:rFonts w:hint="eastAsia" w:ascii="宋体" w:hAnsi="宋体" w:eastAsia="宋体" w:cs="宋体"/>
          <w:color w:val="auto"/>
          <w:sz w:val="24"/>
          <w:szCs w:val="20"/>
          <w:highlight w:val="none"/>
        </w:rPr>
      </w:pPr>
    </w:p>
    <w:p w14:paraId="46F33745">
      <w:pPr>
        <w:rPr>
          <w:rFonts w:hint="eastAsia" w:ascii="宋体" w:hAnsi="宋体" w:eastAsia="宋体" w:cs="宋体"/>
          <w:b/>
          <w:color w:val="auto"/>
          <w:sz w:val="24"/>
          <w:szCs w:val="20"/>
          <w:highlight w:val="none"/>
        </w:rPr>
      </w:pPr>
      <w:bookmarkStart w:id="51" w:name="_Toc118942"/>
      <w:r>
        <w:rPr>
          <w:rFonts w:hint="eastAsia" w:ascii="宋体" w:hAnsi="宋体" w:eastAsia="宋体" w:cs="宋体"/>
          <w:b/>
          <w:color w:val="auto"/>
          <w:sz w:val="24"/>
          <w:szCs w:val="20"/>
          <w:highlight w:val="none"/>
        </w:rPr>
        <w:br w:type="page"/>
      </w:r>
    </w:p>
    <w:p w14:paraId="74D82553">
      <w:pPr>
        <w:spacing w:line="360" w:lineRule="exact"/>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w:t>
      </w:r>
      <w:r>
        <w:rPr>
          <w:rFonts w:hint="eastAsia" w:ascii="宋体" w:hAnsi="宋体" w:eastAsia="宋体" w:cs="宋体"/>
          <w:b/>
          <w:color w:val="auto"/>
          <w:sz w:val="24"/>
          <w:szCs w:val="20"/>
          <w:highlight w:val="none"/>
          <w:lang w:val="en-US" w:eastAsia="zh-CN"/>
        </w:rPr>
        <w:t>五</w:t>
      </w:r>
      <w:r>
        <w:rPr>
          <w:rFonts w:hint="eastAsia" w:ascii="宋体" w:hAnsi="宋体" w:eastAsia="宋体" w:cs="宋体"/>
          <w:b/>
          <w:color w:val="auto"/>
          <w:sz w:val="24"/>
          <w:szCs w:val="20"/>
          <w:highlight w:val="none"/>
        </w:rPr>
        <w:t>）主要人员简历表</w:t>
      </w:r>
      <w:bookmarkEnd w:id="51"/>
    </w:p>
    <w:tbl>
      <w:tblPr>
        <w:tblStyle w:val="19"/>
        <w:tblW w:w="10065" w:type="dxa"/>
        <w:jc w:val="center"/>
        <w:tblLayout w:type="fixed"/>
        <w:tblCellMar>
          <w:top w:w="169" w:type="dxa"/>
          <w:left w:w="108" w:type="dxa"/>
          <w:bottom w:w="61" w:type="dxa"/>
          <w:right w:w="24" w:type="dxa"/>
        </w:tblCellMar>
      </w:tblPr>
      <w:tblGrid>
        <w:gridCol w:w="1392"/>
        <w:gridCol w:w="358"/>
        <w:gridCol w:w="1227"/>
        <w:gridCol w:w="993"/>
        <w:gridCol w:w="992"/>
        <w:gridCol w:w="209"/>
        <w:gridCol w:w="2342"/>
        <w:gridCol w:w="2552"/>
      </w:tblGrid>
      <w:tr w14:paraId="074A8B9F">
        <w:tblPrEx>
          <w:tblCellMar>
            <w:top w:w="169" w:type="dxa"/>
            <w:left w:w="108" w:type="dxa"/>
            <w:bottom w:w="61" w:type="dxa"/>
            <w:right w:w="24" w:type="dxa"/>
          </w:tblCellMar>
        </w:tblPrEx>
        <w:trPr>
          <w:trHeight w:val="590"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14:paraId="4F96C847">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姓  名</w:t>
            </w:r>
          </w:p>
        </w:tc>
        <w:tc>
          <w:tcPr>
            <w:tcW w:w="1585" w:type="dxa"/>
            <w:gridSpan w:val="2"/>
            <w:tcBorders>
              <w:top w:val="single" w:color="000000" w:sz="4" w:space="0"/>
              <w:left w:val="single" w:color="000000" w:sz="4" w:space="0"/>
              <w:bottom w:val="single" w:color="000000" w:sz="4" w:space="0"/>
              <w:right w:val="single" w:color="000000" w:sz="4" w:space="0"/>
            </w:tcBorders>
            <w:vAlign w:val="center"/>
          </w:tcPr>
          <w:p w14:paraId="0540EB6C">
            <w:pPr>
              <w:spacing w:line="280" w:lineRule="exact"/>
              <w:jc w:val="center"/>
              <w:rPr>
                <w:rFonts w:hint="eastAsia" w:ascii="宋体" w:hAnsi="宋体" w:eastAsia="宋体" w:cs="宋体"/>
                <w:color w:val="auto"/>
                <w:sz w:val="24"/>
                <w:szCs w:val="2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733EF37E">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年龄</w:t>
            </w:r>
          </w:p>
        </w:tc>
        <w:tc>
          <w:tcPr>
            <w:tcW w:w="992" w:type="dxa"/>
            <w:tcBorders>
              <w:top w:val="single" w:color="000000" w:sz="4" w:space="0"/>
              <w:left w:val="single" w:color="000000" w:sz="4" w:space="0"/>
              <w:bottom w:val="single" w:color="000000" w:sz="4" w:space="0"/>
              <w:right w:val="single" w:color="000000" w:sz="4" w:space="0"/>
            </w:tcBorders>
            <w:vAlign w:val="center"/>
          </w:tcPr>
          <w:p w14:paraId="6323CDD1">
            <w:pPr>
              <w:spacing w:line="280" w:lineRule="exact"/>
              <w:jc w:val="center"/>
              <w:rPr>
                <w:rFonts w:hint="eastAsia" w:ascii="宋体" w:hAnsi="宋体" w:eastAsia="宋体" w:cs="宋体"/>
                <w:color w:val="auto"/>
                <w:sz w:val="24"/>
                <w:szCs w:val="21"/>
                <w:highlight w:val="none"/>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51EB4CCF">
            <w:pPr>
              <w:spacing w:line="280" w:lineRule="exact"/>
              <w:ind w:firstLine="240" w:firstLineChars="10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学历证或职称证</w:t>
            </w:r>
          </w:p>
        </w:tc>
        <w:tc>
          <w:tcPr>
            <w:tcW w:w="2552" w:type="dxa"/>
            <w:tcBorders>
              <w:top w:val="single" w:color="000000" w:sz="4" w:space="0"/>
              <w:left w:val="single" w:color="000000" w:sz="4" w:space="0"/>
              <w:bottom w:val="single" w:color="000000" w:sz="4" w:space="0"/>
              <w:right w:val="single" w:color="000000" w:sz="4" w:space="0"/>
            </w:tcBorders>
            <w:vAlign w:val="center"/>
          </w:tcPr>
          <w:p w14:paraId="0C6F2480">
            <w:pPr>
              <w:spacing w:line="280" w:lineRule="exact"/>
              <w:jc w:val="center"/>
              <w:rPr>
                <w:rFonts w:hint="eastAsia" w:ascii="宋体" w:hAnsi="宋体" w:eastAsia="宋体" w:cs="宋体"/>
                <w:color w:val="auto"/>
                <w:sz w:val="24"/>
                <w:szCs w:val="21"/>
                <w:highlight w:val="none"/>
              </w:rPr>
            </w:pPr>
          </w:p>
        </w:tc>
      </w:tr>
      <w:tr w14:paraId="441F2D84">
        <w:tblPrEx>
          <w:tblCellMar>
            <w:top w:w="169" w:type="dxa"/>
            <w:left w:w="108" w:type="dxa"/>
            <w:bottom w:w="61" w:type="dxa"/>
            <w:right w:w="24" w:type="dxa"/>
          </w:tblCellMar>
        </w:tblPrEx>
        <w:trPr>
          <w:trHeight w:val="590"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14:paraId="383432C8">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职  称</w:t>
            </w:r>
          </w:p>
        </w:tc>
        <w:tc>
          <w:tcPr>
            <w:tcW w:w="1585" w:type="dxa"/>
            <w:gridSpan w:val="2"/>
            <w:tcBorders>
              <w:top w:val="single" w:color="000000" w:sz="4" w:space="0"/>
              <w:left w:val="single" w:color="000000" w:sz="4" w:space="0"/>
              <w:bottom w:val="single" w:color="000000" w:sz="4" w:space="0"/>
              <w:right w:val="single" w:color="000000" w:sz="4" w:space="0"/>
            </w:tcBorders>
            <w:vAlign w:val="center"/>
          </w:tcPr>
          <w:p w14:paraId="10AAC1B7">
            <w:pPr>
              <w:spacing w:line="280" w:lineRule="exact"/>
              <w:jc w:val="center"/>
              <w:rPr>
                <w:rFonts w:hint="eastAsia" w:ascii="宋体" w:hAnsi="宋体" w:eastAsia="宋体" w:cs="宋体"/>
                <w:color w:val="auto"/>
                <w:sz w:val="24"/>
                <w:szCs w:val="2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29AB2819">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学历</w:t>
            </w:r>
          </w:p>
        </w:tc>
        <w:tc>
          <w:tcPr>
            <w:tcW w:w="992" w:type="dxa"/>
            <w:tcBorders>
              <w:top w:val="single" w:color="000000" w:sz="4" w:space="0"/>
              <w:left w:val="single" w:color="000000" w:sz="4" w:space="0"/>
              <w:bottom w:val="single" w:color="000000" w:sz="4" w:space="0"/>
              <w:right w:val="single" w:color="000000" w:sz="4" w:space="0"/>
            </w:tcBorders>
            <w:vAlign w:val="center"/>
          </w:tcPr>
          <w:p w14:paraId="275BED70">
            <w:pPr>
              <w:spacing w:line="280" w:lineRule="exact"/>
              <w:jc w:val="center"/>
              <w:rPr>
                <w:rFonts w:hint="eastAsia" w:ascii="宋体" w:hAnsi="宋体" w:eastAsia="宋体" w:cs="宋体"/>
                <w:color w:val="auto"/>
                <w:sz w:val="24"/>
                <w:szCs w:val="21"/>
                <w:highlight w:val="none"/>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1985798F">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拟在本项目任职</w:t>
            </w:r>
          </w:p>
        </w:tc>
        <w:tc>
          <w:tcPr>
            <w:tcW w:w="2552" w:type="dxa"/>
            <w:tcBorders>
              <w:top w:val="single" w:color="000000" w:sz="4" w:space="0"/>
              <w:left w:val="single" w:color="000000" w:sz="4" w:space="0"/>
              <w:bottom w:val="single" w:color="000000" w:sz="4" w:space="0"/>
              <w:right w:val="single" w:color="000000" w:sz="4" w:space="0"/>
            </w:tcBorders>
            <w:vAlign w:val="center"/>
          </w:tcPr>
          <w:p w14:paraId="7632C315">
            <w:pPr>
              <w:spacing w:line="280" w:lineRule="exact"/>
              <w:jc w:val="center"/>
              <w:rPr>
                <w:rFonts w:hint="eastAsia" w:ascii="宋体" w:hAnsi="宋体" w:eastAsia="宋体" w:cs="宋体"/>
                <w:color w:val="auto"/>
                <w:sz w:val="24"/>
                <w:szCs w:val="21"/>
                <w:highlight w:val="none"/>
              </w:rPr>
            </w:pPr>
          </w:p>
        </w:tc>
      </w:tr>
      <w:tr w14:paraId="68338E5A">
        <w:tblPrEx>
          <w:tblCellMar>
            <w:top w:w="169" w:type="dxa"/>
            <w:left w:w="108" w:type="dxa"/>
            <w:bottom w:w="61" w:type="dxa"/>
            <w:right w:w="24" w:type="dxa"/>
          </w:tblCellMar>
        </w:tblPrEx>
        <w:trPr>
          <w:trHeight w:val="590"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14:paraId="59789AC4">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工作年限</w:t>
            </w:r>
          </w:p>
        </w:tc>
        <w:tc>
          <w:tcPr>
            <w:tcW w:w="3570" w:type="dxa"/>
            <w:gridSpan w:val="4"/>
            <w:tcBorders>
              <w:top w:val="single" w:color="000000" w:sz="4" w:space="0"/>
              <w:left w:val="single" w:color="000000" w:sz="4" w:space="0"/>
              <w:bottom w:val="single" w:color="000000" w:sz="4" w:space="0"/>
              <w:right w:val="single" w:color="000000" w:sz="4" w:space="0"/>
            </w:tcBorders>
            <w:vAlign w:val="center"/>
          </w:tcPr>
          <w:p w14:paraId="21141002">
            <w:pPr>
              <w:spacing w:line="280" w:lineRule="exact"/>
              <w:jc w:val="center"/>
              <w:rPr>
                <w:rFonts w:hint="eastAsia" w:ascii="宋体" w:hAnsi="宋体" w:eastAsia="宋体" w:cs="宋体"/>
                <w:color w:val="auto"/>
                <w:sz w:val="24"/>
                <w:szCs w:val="21"/>
                <w:highlight w:val="none"/>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14:paraId="019AAB4F">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从事相关工作年限</w:t>
            </w:r>
          </w:p>
        </w:tc>
        <w:tc>
          <w:tcPr>
            <w:tcW w:w="2552" w:type="dxa"/>
            <w:tcBorders>
              <w:top w:val="single" w:color="000000" w:sz="4" w:space="0"/>
              <w:left w:val="single" w:color="000000" w:sz="4" w:space="0"/>
              <w:bottom w:val="single" w:color="000000" w:sz="4" w:space="0"/>
              <w:right w:val="single" w:color="000000" w:sz="4" w:space="0"/>
            </w:tcBorders>
            <w:vAlign w:val="center"/>
          </w:tcPr>
          <w:p w14:paraId="48711614">
            <w:pPr>
              <w:spacing w:line="280" w:lineRule="exact"/>
              <w:jc w:val="center"/>
              <w:rPr>
                <w:rFonts w:hint="eastAsia" w:ascii="宋体" w:hAnsi="宋体" w:eastAsia="宋体" w:cs="宋体"/>
                <w:color w:val="auto"/>
                <w:sz w:val="24"/>
                <w:szCs w:val="21"/>
                <w:highlight w:val="none"/>
              </w:rPr>
            </w:pPr>
          </w:p>
        </w:tc>
      </w:tr>
      <w:tr w14:paraId="33E5201F">
        <w:tblPrEx>
          <w:tblCellMar>
            <w:top w:w="169" w:type="dxa"/>
            <w:left w:w="108" w:type="dxa"/>
            <w:bottom w:w="61" w:type="dxa"/>
            <w:right w:w="24" w:type="dxa"/>
          </w:tblCellMar>
        </w:tblPrEx>
        <w:trPr>
          <w:trHeight w:val="590" w:hRule="atLeast"/>
          <w:jc w:val="center"/>
        </w:trPr>
        <w:tc>
          <w:tcPr>
            <w:tcW w:w="1392" w:type="dxa"/>
            <w:tcBorders>
              <w:top w:val="single" w:color="000000" w:sz="4" w:space="0"/>
              <w:left w:val="single" w:color="000000" w:sz="4" w:space="0"/>
              <w:bottom w:val="single" w:color="000000" w:sz="4" w:space="0"/>
              <w:right w:val="single" w:color="000000" w:sz="4" w:space="0"/>
            </w:tcBorders>
            <w:vAlign w:val="center"/>
          </w:tcPr>
          <w:p w14:paraId="49F5FF00">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毕业学校</w:t>
            </w:r>
          </w:p>
        </w:tc>
        <w:tc>
          <w:tcPr>
            <w:tcW w:w="8673" w:type="dxa"/>
            <w:gridSpan w:val="7"/>
            <w:tcBorders>
              <w:top w:val="single" w:color="000000" w:sz="4" w:space="0"/>
              <w:left w:val="single" w:color="000000" w:sz="4" w:space="0"/>
              <w:bottom w:val="single" w:color="000000" w:sz="4" w:space="0"/>
              <w:right w:val="single" w:color="000000" w:sz="4" w:space="0"/>
            </w:tcBorders>
            <w:vAlign w:val="center"/>
          </w:tcPr>
          <w:p w14:paraId="758D35FF">
            <w:pPr>
              <w:spacing w:line="280" w:lineRule="exact"/>
              <w:ind w:firstLine="1440" w:firstLineChars="6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年毕业于                   学校                专业</w:t>
            </w:r>
          </w:p>
        </w:tc>
      </w:tr>
      <w:tr w14:paraId="4743FC91">
        <w:tblPrEx>
          <w:tblCellMar>
            <w:top w:w="169" w:type="dxa"/>
            <w:left w:w="108" w:type="dxa"/>
            <w:bottom w:w="61" w:type="dxa"/>
            <w:right w:w="24" w:type="dxa"/>
          </w:tblCellMar>
        </w:tblPrEx>
        <w:trPr>
          <w:trHeight w:val="533" w:hRule="atLeast"/>
          <w:jc w:val="center"/>
        </w:trPr>
        <w:tc>
          <w:tcPr>
            <w:tcW w:w="10065" w:type="dxa"/>
            <w:gridSpan w:val="8"/>
            <w:tcBorders>
              <w:top w:val="single" w:color="000000" w:sz="4" w:space="0"/>
              <w:left w:val="single" w:color="000000" w:sz="4" w:space="0"/>
              <w:bottom w:val="single" w:color="000000" w:sz="4" w:space="0"/>
              <w:right w:val="single" w:color="000000" w:sz="4" w:space="0"/>
            </w:tcBorders>
            <w:vAlign w:val="center"/>
          </w:tcPr>
          <w:p w14:paraId="57B40F86">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主要工作经历</w:t>
            </w:r>
          </w:p>
        </w:tc>
      </w:tr>
      <w:tr w14:paraId="5FF8FD0F">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69DE185E">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时  间</w:t>
            </w: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22367CFA">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参加过的类似项目</w:t>
            </w: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722D97FB">
            <w:pPr>
              <w:spacing w:line="28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担任职务</w:t>
            </w:r>
          </w:p>
          <w:p w14:paraId="2AA6DD58">
            <w:pPr>
              <w:spacing w:line="280" w:lineRule="exact"/>
              <w:jc w:val="center"/>
              <w:rPr>
                <w:rFonts w:hint="eastAsia" w:ascii="宋体" w:hAnsi="宋体" w:eastAsia="宋体" w:cs="宋体"/>
                <w:color w:val="auto"/>
                <w:sz w:val="24"/>
                <w:szCs w:val="21"/>
                <w:highlight w:val="none"/>
              </w:rPr>
            </w:pPr>
          </w:p>
        </w:tc>
      </w:tr>
      <w:tr w14:paraId="6EAB07C6">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330C83DB">
            <w:pPr>
              <w:spacing w:line="280" w:lineRule="exact"/>
              <w:jc w:val="center"/>
              <w:rPr>
                <w:rFonts w:hint="eastAsia" w:ascii="宋体" w:hAnsi="宋体" w:eastAsia="宋体" w:cs="宋体"/>
                <w:color w:val="auto"/>
                <w:sz w:val="24"/>
                <w:szCs w:val="21"/>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0FEF0E9A">
            <w:pPr>
              <w:spacing w:line="280" w:lineRule="exact"/>
              <w:jc w:val="center"/>
              <w:rPr>
                <w:rFonts w:hint="eastAsia" w:ascii="宋体" w:hAnsi="宋体" w:eastAsia="宋体" w:cs="宋体"/>
                <w:color w:val="auto"/>
                <w:sz w:val="24"/>
                <w:szCs w:val="21"/>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411DF344">
            <w:pPr>
              <w:spacing w:line="280" w:lineRule="exact"/>
              <w:jc w:val="center"/>
              <w:rPr>
                <w:rFonts w:hint="eastAsia" w:ascii="宋体" w:hAnsi="宋体" w:eastAsia="宋体" w:cs="宋体"/>
                <w:color w:val="auto"/>
                <w:sz w:val="24"/>
                <w:szCs w:val="21"/>
                <w:highlight w:val="none"/>
              </w:rPr>
            </w:pPr>
          </w:p>
        </w:tc>
      </w:tr>
      <w:tr w14:paraId="56805685">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40C7C032">
            <w:pPr>
              <w:spacing w:line="280" w:lineRule="exact"/>
              <w:jc w:val="center"/>
              <w:rPr>
                <w:rFonts w:hint="eastAsia" w:ascii="宋体" w:hAnsi="宋体" w:eastAsia="宋体" w:cs="宋体"/>
                <w:color w:val="auto"/>
                <w:sz w:val="24"/>
                <w:szCs w:val="21"/>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58F11BB6">
            <w:pPr>
              <w:spacing w:line="280" w:lineRule="exact"/>
              <w:jc w:val="center"/>
              <w:rPr>
                <w:rFonts w:hint="eastAsia" w:ascii="宋体" w:hAnsi="宋体" w:eastAsia="宋体" w:cs="宋体"/>
                <w:color w:val="auto"/>
                <w:sz w:val="24"/>
                <w:szCs w:val="21"/>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69A02DBE">
            <w:pPr>
              <w:spacing w:line="280" w:lineRule="exact"/>
              <w:jc w:val="center"/>
              <w:rPr>
                <w:rFonts w:hint="eastAsia" w:ascii="宋体" w:hAnsi="宋体" w:eastAsia="宋体" w:cs="宋体"/>
                <w:color w:val="auto"/>
                <w:sz w:val="24"/>
                <w:szCs w:val="21"/>
                <w:highlight w:val="none"/>
              </w:rPr>
            </w:pPr>
          </w:p>
        </w:tc>
      </w:tr>
      <w:tr w14:paraId="64BA7136">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7752DCF9">
            <w:pPr>
              <w:spacing w:line="280" w:lineRule="exact"/>
              <w:jc w:val="center"/>
              <w:rPr>
                <w:rFonts w:hint="eastAsia" w:ascii="宋体" w:hAnsi="宋体" w:eastAsia="宋体" w:cs="宋体"/>
                <w:color w:val="auto"/>
                <w:sz w:val="24"/>
                <w:szCs w:val="21"/>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440F0EA0">
            <w:pPr>
              <w:spacing w:line="280" w:lineRule="exact"/>
              <w:jc w:val="center"/>
              <w:rPr>
                <w:rFonts w:hint="eastAsia" w:ascii="宋体" w:hAnsi="宋体" w:eastAsia="宋体" w:cs="宋体"/>
                <w:color w:val="auto"/>
                <w:sz w:val="24"/>
                <w:szCs w:val="21"/>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176B0EAB">
            <w:pPr>
              <w:spacing w:line="280" w:lineRule="exact"/>
              <w:jc w:val="center"/>
              <w:rPr>
                <w:rFonts w:hint="eastAsia" w:ascii="宋体" w:hAnsi="宋体" w:eastAsia="宋体" w:cs="宋体"/>
                <w:color w:val="auto"/>
                <w:sz w:val="24"/>
                <w:szCs w:val="21"/>
                <w:highlight w:val="none"/>
              </w:rPr>
            </w:pPr>
          </w:p>
        </w:tc>
      </w:tr>
      <w:tr w14:paraId="165FAF68">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0A764BA7">
            <w:pPr>
              <w:spacing w:line="280" w:lineRule="exact"/>
              <w:jc w:val="center"/>
              <w:rPr>
                <w:rFonts w:hint="eastAsia" w:ascii="宋体" w:hAnsi="宋体" w:eastAsia="宋体" w:cs="宋体"/>
                <w:color w:val="auto"/>
                <w:sz w:val="24"/>
                <w:szCs w:val="21"/>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6A3A8949">
            <w:pPr>
              <w:spacing w:line="280" w:lineRule="exact"/>
              <w:jc w:val="center"/>
              <w:rPr>
                <w:rFonts w:hint="eastAsia" w:ascii="宋体" w:hAnsi="宋体" w:eastAsia="宋体" w:cs="宋体"/>
                <w:color w:val="auto"/>
                <w:sz w:val="24"/>
                <w:szCs w:val="21"/>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02AB9BF2">
            <w:pPr>
              <w:spacing w:line="280" w:lineRule="exact"/>
              <w:jc w:val="center"/>
              <w:rPr>
                <w:rFonts w:hint="eastAsia" w:ascii="宋体" w:hAnsi="宋体" w:eastAsia="宋体" w:cs="宋体"/>
                <w:color w:val="auto"/>
                <w:sz w:val="24"/>
                <w:szCs w:val="21"/>
                <w:highlight w:val="none"/>
              </w:rPr>
            </w:pPr>
          </w:p>
        </w:tc>
      </w:tr>
      <w:tr w14:paraId="319C18C4">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37B1062A">
            <w:pPr>
              <w:spacing w:line="280" w:lineRule="exact"/>
              <w:jc w:val="center"/>
              <w:rPr>
                <w:rFonts w:hint="eastAsia" w:ascii="宋体" w:hAnsi="宋体" w:eastAsia="宋体" w:cs="宋体"/>
                <w:color w:val="auto"/>
                <w:sz w:val="24"/>
                <w:szCs w:val="21"/>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2FA71BAB">
            <w:pPr>
              <w:spacing w:line="280" w:lineRule="exact"/>
              <w:jc w:val="center"/>
              <w:rPr>
                <w:rFonts w:hint="eastAsia" w:ascii="宋体" w:hAnsi="宋体" w:eastAsia="宋体" w:cs="宋体"/>
                <w:color w:val="auto"/>
                <w:sz w:val="24"/>
                <w:szCs w:val="21"/>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5382B827">
            <w:pPr>
              <w:spacing w:line="280" w:lineRule="exact"/>
              <w:jc w:val="center"/>
              <w:rPr>
                <w:rFonts w:hint="eastAsia" w:ascii="宋体" w:hAnsi="宋体" w:eastAsia="宋体" w:cs="宋体"/>
                <w:color w:val="auto"/>
                <w:sz w:val="24"/>
                <w:szCs w:val="21"/>
                <w:highlight w:val="none"/>
              </w:rPr>
            </w:pPr>
          </w:p>
        </w:tc>
      </w:tr>
      <w:tr w14:paraId="7B231A80">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207B6C56">
            <w:pPr>
              <w:spacing w:line="280" w:lineRule="exact"/>
              <w:jc w:val="center"/>
              <w:rPr>
                <w:rFonts w:hint="eastAsia" w:ascii="宋体" w:hAnsi="宋体" w:eastAsia="宋体" w:cs="宋体"/>
                <w:color w:val="auto"/>
                <w:sz w:val="24"/>
                <w:szCs w:val="21"/>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07483E69">
            <w:pPr>
              <w:spacing w:line="280" w:lineRule="exact"/>
              <w:jc w:val="center"/>
              <w:rPr>
                <w:rFonts w:hint="eastAsia" w:ascii="宋体" w:hAnsi="宋体" w:eastAsia="宋体" w:cs="宋体"/>
                <w:color w:val="auto"/>
                <w:sz w:val="24"/>
                <w:szCs w:val="21"/>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298C014A">
            <w:pPr>
              <w:spacing w:line="280" w:lineRule="exact"/>
              <w:jc w:val="center"/>
              <w:rPr>
                <w:rFonts w:hint="eastAsia" w:ascii="宋体" w:hAnsi="宋体" w:eastAsia="宋体" w:cs="宋体"/>
                <w:color w:val="auto"/>
                <w:sz w:val="24"/>
                <w:szCs w:val="21"/>
                <w:highlight w:val="none"/>
              </w:rPr>
            </w:pPr>
          </w:p>
        </w:tc>
      </w:tr>
      <w:tr w14:paraId="31B5D37D">
        <w:tblPrEx>
          <w:tblCellMar>
            <w:top w:w="169" w:type="dxa"/>
            <w:left w:w="108" w:type="dxa"/>
            <w:bottom w:w="61" w:type="dxa"/>
            <w:right w:w="24" w:type="dxa"/>
          </w:tblCellMar>
        </w:tblPrEx>
        <w:trPr>
          <w:trHeight w:val="649" w:hRule="atLeast"/>
          <w:jc w:val="center"/>
        </w:trPr>
        <w:tc>
          <w:tcPr>
            <w:tcW w:w="1750" w:type="dxa"/>
            <w:gridSpan w:val="2"/>
            <w:tcBorders>
              <w:top w:val="single" w:color="000000" w:sz="4" w:space="0"/>
              <w:left w:val="single" w:color="000000" w:sz="4" w:space="0"/>
              <w:bottom w:val="single" w:color="000000" w:sz="4" w:space="0"/>
              <w:right w:val="single" w:color="000000" w:sz="4" w:space="0"/>
            </w:tcBorders>
            <w:vAlign w:val="center"/>
          </w:tcPr>
          <w:p w14:paraId="1F8FF4D6">
            <w:pPr>
              <w:spacing w:line="280" w:lineRule="exact"/>
              <w:jc w:val="center"/>
              <w:rPr>
                <w:rFonts w:hint="eastAsia" w:ascii="宋体" w:hAnsi="宋体" w:eastAsia="宋体" w:cs="宋体"/>
                <w:color w:val="auto"/>
                <w:sz w:val="24"/>
                <w:szCs w:val="20"/>
                <w:highlight w:val="none"/>
              </w:rPr>
            </w:pP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14:paraId="65F7EEED">
            <w:pPr>
              <w:spacing w:line="280" w:lineRule="exact"/>
              <w:jc w:val="center"/>
              <w:rPr>
                <w:rFonts w:hint="eastAsia" w:ascii="宋体" w:hAnsi="宋体" w:eastAsia="宋体" w:cs="宋体"/>
                <w:color w:val="auto"/>
                <w:sz w:val="24"/>
                <w:szCs w:val="20"/>
                <w:highlight w:val="none"/>
              </w:rPr>
            </w:pPr>
          </w:p>
        </w:tc>
        <w:tc>
          <w:tcPr>
            <w:tcW w:w="4894" w:type="dxa"/>
            <w:gridSpan w:val="2"/>
            <w:tcBorders>
              <w:top w:val="single" w:color="000000" w:sz="4" w:space="0"/>
              <w:left w:val="single" w:color="000000" w:sz="4" w:space="0"/>
              <w:bottom w:val="single" w:color="000000" w:sz="4" w:space="0"/>
              <w:right w:val="single" w:color="000000" w:sz="4" w:space="0"/>
            </w:tcBorders>
            <w:vAlign w:val="center"/>
          </w:tcPr>
          <w:p w14:paraId="0A4F9885">
            <w:pPr>
              <w:spacing w:line="280" w:lineRule="exact"/>
              <w:jc w:val="center"/>
              <w:rPr>
                <w:rFonts w:hint="eastAsia" w:ascii="宋体" w:hAnsi="宋体" w:eastAsia="宋体" w:cs="宋体"/>
                <w:color w:val="auto"/>
                <w:sz w:val="24"/>
                <w:szCs w:val="20"/>
                <w:highlight w:val="none"/>
              </w:rPr>
            </w:pPr>
          </w:p>
        </w:tc>
      </w:tr>
    </w:tbl>
    <w:p w14:paraId="09700EF3">
      <w:pPr>
        <w:spacing w:line="280" w:lineRule="exact"/>
        <w:rPr>
          <w:rFonts w:hint="eastAsia" w:ascii="宋体" w:hAnsi="宋体" w:eastAsia="宋体" w:cs="宋体"/>
          <w:color w:val="auto"/>
          <w:sz w:val="24"/>
          <w:szCs w:val="21"/>
          <w:highlight w:val="none"/>
        </w:rPr>
      </w:pPr>
    </w:p>
    <w:p w14:paraId="3B1C0D80">
      <w:pPr>
        <w:spacing w:line="28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注：供应商应根据</w:t>
      </w:r>
      <w:r>
        <w:rPr>
          <w:rFonts w:hint="eastAsia" w:ascii="宋体" w:hAnsi="宋体" w:eastAsia="宋体" w:cs="宋体"/>
          <w:color w:val="auto"/>
          <w:sz w:val="24"/>
          <w:szCs w:val="21"/>
          <w:highlight w:val="none"/>
          <w:lang w:eastAsia="zh-CN"/>
        </w:rPr>
        <w:t>供应</w:t>
      </w:r>
      <w:r>
        <w:rPr>
          <w:rFonts w:hint="eastAsia" w:ascii="宋体" w:hAnsi="宋体" w:eastAsia="宋体" w:cs="宋体"/>
          <w:color w:val="auto"/>
          <w:sz w:val="24"/>
          <w:szCs w:val="21"/>
          <w:highlight w:val="none"/>
        </w:rPr>
        <w:t>要求在本表后附相关证明材料（相关材料包括：身份证、学历证</w:t>
      </w:r>
      <w:r>
        <w:rPr>
          <w:rFonts w:hint="eastAsia" w:ascii="宋体" w:hAnsi="宋体" w:eastAsia="宋体" w:cs="宋体"/>
          <w:color w:val="auto"/>
          <w:sz w:val="24"/>
          <w:szCs w:val="21"/>
          <w:highlight w:val="none"/>
          <w:lang w:val="en-US" w:eastAsia="zh-CN"/>
        </w:rPr>
        <w:t>或</w:t>
      </w:r>
      <w:r>
        <w:rPr>
          <w:rFonts w:hint="eastAsia" w:ascii="宋体" w:hAnsi="宋体" w:eastAsia="宋体" w:cs="宋体"/>
          <w:color w:val="auto"/>
          <w:sz w:val="24"/>
          <w:szCs w:val="21"/>
          <w:highlight w:val="none"/>
        </w:rPr>
        <w:t xml:space="preserve">职称证等）。  </w:t>
      </w:r>
    </w:p>
    <w:p w14:paraId="2F8BAEAD">
      <w:pPr>
        <w:spacing w:line="360" w:lineRule="exact"/>
        <w:jc w:val="center"/>
        <w:rPr>
          <w:rFonts w:hint="eastAsia" w:ascii="宋体" w:hAnsi="宋体" w:eastAsia="宋体" w:cs="宋体"/>
          <w:b/>
          <w:color w:val="auto"/>
          <w:sz w:val="24"/>
          <w:szCs w:val="20"/>
          <w:highlight w:val="none"/>
        </w:rPr>
      </w:pPr>
      <w:bookmarkStart w:id="52" w:name="_Toc118943"/>
    </w:p>
    <w:bookmarkEnd w:id="52"/>
    <w:p w14:paraId="77BA1602">
      <w:pPr>
        <w:jc w:val="center"/>
        <w:rPr>
          <w:rFonts w:hint="eastAsia" w:ascii="宋体" w:hAnsi="宋体" w:eastAsia="宋体" w:cs="宋体"/>
          <w:b/>
          <w:color w:val="auto"/>
          <w:sz w:val="28"/>
          <w:szCs w:val="28"/>
          <w:highlight w:val="none"/>
          <w:lang w:val="en-US" w:eastAsia="zh-CN"/>
        </w:rPr>
      </w:pPr>
      <w:bookmarkStart w:id="53" w:name="_Toc118944"/>
      <w:r>
        <w:rPr>
          <w:rFonts w:hint="eastAsia" w:ascii="宋体" w:hAnsi="宋体" w:eastAsia="宋体" w:cs="宋体"/>
          <w:b/>
          <w:color w:val="auto"/>
          <w:sz w:val="28"/>
          <w:szCs w:val="28"/>
          <w:highlight w:val="none"/>
        </w:rPr>
        <w:t>七、</w:t>
      </w:r>
      <w:bookmarkEnd w:id="53"/>
      <w:r>
        <w:rPr>
          <w:rFonts w:hint="eastAsia" w:ascii="宋体" w:hAnsi="宋体" w:eastAsia="宋体" w:cs="宋体"/>
          <w:b/>
          <w:color w:val="auto"/>
          <w:sz w:val="28"/>
          <w:szCs w:val="28"/>
          <w:highlight w:val="none"/>
          <w:lang w:val="en-US" w:eastAsia="zh-CN"/>
        </w:rPr>
        <w:t>监理大纲</w:t>
      </w:r>
    </w:p>
    <w:p w14:paraId="0AFC4F1A">
      <w:pPr>
        <w:spacing w:line="360" w:lineRule="auto"/>
        <w:ind w:firstLine="210" w:firstLineChars="100"/>
        <w:rPr>
          <w:rFonts w:hint="eastAsia" w:ascii="宋体" w:hAnsi="宋体" w:eastAsia="宋体" w:cs="宋体"/>
          <w:color w:val="auto"/>
          <w:kern w:val="2"/>
          <w:sz w:val="21"/>
          <w:szCs w:val="21"/>
          <w:highlight w:val="none"/>
          <w:lang w:val="zh-CN" w:eastAsia="zh-CN" w:bidi="zh-CN"/>
        </w:rPr>
      </w:pPr>
    </w:p>
    <w:p w14:paraId="5A6CE1EB">
      <w:pPr>
        <w:pStyle w:val="4"/>
        <w:spacing w:line="360" w:lineRule="auto"/>
        <w:rPr>
          <w:rFonts w:hint="eastAsia" w:ascii="宋体" w:hAnsi="宋体" w:eastAsia="宋体" w:cs="宋体"/>
          <w:color w:val="auto"/>
          <w:kern w:val="2"/>
          <w:sz w:val="24"/>
          <w:szCs w:val="24"/>
          <w:highlight w:val="none"/>
          <w:lang w:val="zh-CN" w:eastAsia="zh-CN" w:bidi="zh-CN"/>
        </w:rPr>
      </w:pPr>
      <w:bookmarkStart w:id="54" w:name="_Hlk506905112"/>
      <w:r>
        <w:rPr>
          <w:rFonts w:hint="eastAsia" w:ascii="宋体" w:hAnsi="宋体" w:eastAsia="宋体" w:cs="宋体"/>
          <w:color w:val="auto"/>
          <w:kern w:val="2"/>
          <w:sz w:val="24"/>
          <w:szCs w:val="24"/>
          <w:highlight w:val="none"/>
          <w:lang w:val="zh-CN" w:eastAsia="zh-CN" w:bidi="zh-CN"/>
        </w:rPr>
        <w:t>监理大纲应针对本项目的工程实际，包括（但不限于）下列内容：</w:t>
      </w:r>
    </w:p>
    <w:p w14:paraId="0D82BD52">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一、监理工程概况</w:t>
      </w:r>
    </w:p>
    <w:p w14:paraId="71093CF0">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二、监理范围和服务内容、监理依据</w:t>
      </w:r>
    </w:p>
    <w:p w14:paraId="47834CFD">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三、监理机构设置（框图）、组成人员名单、监理人员岗位职责、监理人员进场工作计划表、拟配备的试验检测设备及主要办公设施</w:t>
      </w:r>
    </w:p>
    <w:p w14:paraId="79C73DAC">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四、工程质量监理控制措施</w:t>
      </w:r>
    </w:p>
    <w:p w14:paraId="5E00BA84">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五、工程造价监理控制措施</w:t>
      </w:r>
    </w:p>
    <w:p w14:paraId="6EBC378F">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六、工程进度监理控制措施</w:t>
      </w:r>
    </w:p>
    <w:p w14:paraId="3A14ACDD">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七、关键部位、关键工序旁站监理实施方案</w:t>
      </w:r>
    </w:p>
    <w:p w14:paraId="3DD60C1D">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八、环保、安全、文明施工监理措施</w:t>
      </w:r>
    </w:p>
    <w:p w14:paraId="5DFB0557">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九、工程质量保修期的监理工作</w:t>
      </w:r>
    </w:p>
    <w:p w14:paraId="24599F75">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十、合同管理措施</w:t>
      </w:r>
    </w:p>
    <w:p w14:paraId="26E0A1BF">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十一、信息资料管理措施</w:t>
      </w:r>
    </w:p>
    <w:p w14:paraId="67E1CC87">
      <w:pPr>
        <w:pStyle w:val="4"/>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十二、组织协调措施</w:t>
      </w:r>
    </w:p>
    <w:p w14:paraId="7A10DF19">
      <w:pPr>
        <w:pStyle w:val="4"/>
        <w:spacing w:line="360" w:lineRule="auto"/>
        <w:rPr>
          <w:rFonts w:hint="eastAsia" w:ascii="宋体" w:hAnsi="宋体" w:eastAsia="宋体" w:cs="宋体"/>
          <w:color w:val="auto"/>
          <w:kern w:val="2"/>
          <w:sz w:val="21"/>
          <w:szCs w:val="21"/>
          <w:highlight w:val="none"/>
          <w:lang w:val="zh-CN" w:eastAsia="zh-CN" w:bidi="zh-CN"/>
        </w:rPr>
      </w:pPr>
    </w:p>
    <w:bookmarkEnd w:id="54"/>
    <w:p w14:paraId="59B12E35">
      <w:pPr>
        <w:spacing w:after="100" w:line="265" w:lineRule="auto"/>
        <w:ind w:right="103"/>
        <w:jc w:val="center"/>
        <w:rPr>
          <w:rFonts w:hint="eastAsia" w:ascii="宋体" w:hAnsi="宋体" w:eastAsia="宋体" w:cs="宋体"/>
          <w:color w:val="auto"/>
          <w:sz w:val="24"/>
          <w:szCs w:val="20"/>
          <w:highlight w:val="none"/>
        </w:rPr>
      </w:pPr>
    </w:p>
    <w:p w14:paraId="5B4F378B">
      <w:pPr>
        <w:spacing w:after="100" w:line="265" w:lineRule="auto"/>
        <w:ind w:right="103"/>
        <w:jc w:val="center"/>
        <w:rPr>
          <w:rFonts w:hint="eastAsia" w:ascii="宋体" w:hAnsi="宋体" w:eastAsia="宋体" w:cs="宋体"/>
          <w:b/>
          <w:color w:val="auto"/>
          <w:sz w:val="28"/>
          <w:szCs w:val="28"/>
          <w:highlight w:val="none"/>
        </w:rPr>
      </w:pPr>
    </w:p>
    <w:p w14:paraId="4A643F1B">
      <w:pPr>
        <w:spacing w:after="100" w:line="265" w:lineRule="auto"/>
        <w:ind w:right="103"/>
        <w:jc w:val="center"/>
        <w:rPr>
          <w:rFonts w:hint="eastAsia" w:ascii="宋体" w:hAnsi="宋体" w:eastAsia="宋体" w:cs="宋体"/>
          <w:b/>
          <w:color w:val="auto"/>
          <w:sz w:val="28"/>
          <w:szCs w:val="28"/>
          <w:highlight w:val="none"/>
        </w:rPr>
      </w:pPr>
    </w:p>
    <w:p w14:paraId="622C063D">
      <w:pPr>
        <w:spacing w:after="100" w:line="265" w:lineRule="auto"/>
        <w:ind w:right="103"/>
        <w:jc w:val="center"/>
        <w:rPr>
          <w:rFonts w:hint="eastAsia" w:ascii="宋体" w:hAnsi="宋体" w:eastAsia="宋体" w:cs="宋体"/>
          <w:b/>
          <w:color w:val="auto"/>
          <w:sz w:val="28"/>
          <w:szCs w:val="28"/>
          <w:highlight w:val="none"/>
        </w:rPr>
      </w:pPr>
    </w:p>
    <w:p w14:paraId="00E53177">
      <w:pPr>
        <w:spacing w:after="100" w:line="265" w:lineRule="auto"/>
        <w:ind w:right="103"/>
        <w:jc w:val="center"/>
        <w:rPr>
          <w:rFonts w:hint="eastAsia" w:ascii="宋体" w:hAnsi="宋体" w:eastAsia="宋体" w:cs="宋体"/>
          <w:b/>
          <w:color w:val="auto"/>
          <w:sz w:val="28"/>
          <w:szCs w:val="28"/>
          <w:highlight w:val="none"/>
        </w:rPr>
      </w:pPr>
    </w:p>
    <w:p w14:paraId="4A97C6AA">
      <w:pPr>
        <w:spacing w:after="100" w:line="265" w:lineRule="auto"/>
        <w:ind w:right="103"/>
        <w:jc w:val="center"/>
        <w:rPr>
          <w:rFonts w:hint="eastAsia" w:ascii="宋体" w:hAnsi="宋体" w:eastAsia="宋体" w:cs="宋体"/>
          <w:b/>
          <w:color w:val="auto"/>
          <w:sz w:val="28"/>
          <w:szCs w:val="28"/>
          <w:highlight w:val="none"/>
        </w:rPr>
      </w:pPr>
    </w:p>
    <w:p w14:paraId="3B046C0C">
      <w:pPr>
        <w:spacing w:after="100" w:line="265" w:lineRule="auto"/>
        <w:ind w:right="103"/>
        <w:jc w:val="both"/>
        <w:rPr>
          <w:rFonts w:hint="eastAsia" w:ascii="宋体" w:hAnsi="宋体" w:eastAsia="宋体" w:cs="宋体"/>
          <w:b/>
          <w:color w:val="auto"/>
          <w:sz w:val="28"/>
          <w:szCs w:val="28"/>
          <w:highlight w:val="none"/>
        </w:rPr>
      </w:pPr>
    </w:p>
    <w:p w14:paraId="5DAC272C">
      <w:pPr>
        <w:spacing w:after="100" w:line="265" w:lineRule="auto"/>
        <w:ind w:right="10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w:t>
      </w:r>
      <w:r>
        <w:rPr>
          <w:rFonts w:hint="eastAsia" w:ascii="宋体" w:hAnsi="宋体" w:eastAsia="宋体" w:cs="宋体"/>
          <w:b/>
          <w:color w:val="auto"/>
          <w:sz w:val="28"/>
          <w:szCs w:val="28"/>
          <w:highlight w:val="none"/>
          <w:lang w:val="en-US" w:eastAsia="zh-CN"/>
        </w:rPr>
        <w:t>拟投入本项目工作人员安排</w:t>
      </w:r>
    </w:p>
    <w:p w14:paraId="00183DC4">
      <w:pPr>
        <w:keepNext w:val="0"/>
        <w:keepLines w:val="0"/>
        <w:pageBreakBefore w:val="0"/>
        <w:widowControl w:val="0"/>
        <w:kinsoku/>
        <w:wordWrap/>
        <w:overflowPunct/>
        <w:topLinePunct w:val="0"/>
        <w:autoSpaceDE/>
        <w:autoSpaceDN/>
        <w:bidi w:val="0"/>
        <w:adjustRightInd w:val="0"/>
        <w:snapToGrid w:val="0"/>
        <w:spacing w:line="360" w:lineRule="auto"/>
        <w:ind w:right="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项目总监介绍应包括：姓名、性别、年龄、职称、学历、参加工作时间、从事项目总监年限和能反映该项目总监情况的其他内容。</w:t>
      </w:r>
    </w:p>
    <w:p w14:paraId="2FE2DF16">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项目总监在监工程应按下表提供</w:t>
      </w:r>
    </w:p>
    <w:p w14:paraId="6BB95F1A">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项目总监在建工程一览表</w:t>
      </w:r>
    </w:p>
    <w:tbl>
      <w:tblPr>
        <w:tblStyle w:val="19"/>
        <w:tblW w:w="83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1334"/>
        <w:gridCol w:w="1238"/>
        <w:gridCol w:w="1838"/>
        <w:gridCol w:w="1829"/>
        <w:gridCol w:w="907"/>
      </w:tblGrid>
      <w:tr w14:paraId="3D44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7" w:hRule="exact"/>
          <w:jc w:val="center"/>
        </w:trPr>
        <w:tc>
          <w:tcPr>
            <w:tcW w:w="1243" w:type="dxa"/>
            <w:tcBorders>
              <w:top w:val="single" w:color="auto" w:sz="4" w:space="0"/>
              <w:left w:val="single" w:color="auto" w:sz="4" w:space="0"/>
              <w:bottom w:val="nil"/>
              <w:right w:val="nil"/>
            </w:tcBorders>
            <w:shd w:val="clear" w:color="auto" w:fill="FFFFFF"/>
            <w:vAlign w:val="center"/>
          </w:tcPr>
          <w:p w14:paraId="1ED6CC93">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建设单位</w:t>
            </w:r>
          </w:p>
        </w:tc>
        <w:tc>
          <w:tcPr>
            <w:tcW w:w="1334" w:type="dxa"/>
            <w:tcBorders>
              <w:top w:val="single" w:color="auto" w:sz="4" w:space="0"/>
              <w:left w:val="single" w:color="auto" w:sz="4" w:space="0"/>
              <w:bottom w:val="nil"/>
              <w:right w:val="nil"/>
            </w:tcBorders>
            <w:shd w:val="clear" w:color="auto" w:fill="FFFFFF"/>
            <w:vAlign w:val="center"/>
          </w:tcPr>
          <w:p w14:paraId="32375B23">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1238" w:type="dxa"/>
            <w:tcBorders>
              <w:top w:val="single" w:color="auto" w:sz="4" w:space="0"/>
              <w:left w:val="single" w:color="auto" w:sz="4" w:space="0"/>
              <w:bottom w:val="nil"/>
              <w:right w:val="nil"/>
            </w:tcBorders>
            <w:shd w:val="clear" w:color="auto" w:fill="FFFFFF"/>
            <w:vAlign w:val="center"/>
          </w:tcPr>
          <w:p w14:paraId="64AABC54">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建设规模</w:t>
            </w:r>
          </w:p>
        </w:tc>
        <w:tc>
          <w:tcPr>
            <w:tcW w:w="1838" w:type="dxa"/>
            <w:tcBorders>
              <w:top w:val="single" w:color="auto" w:sz="4" w:space="0"/>
              <w:left w:val="single" w:color="auto" w:sz="4" w:space="0"/>
              <w:bottom w:val="nil"/>
              <w:right w:val="nil"/>
            </w:tcBorders>
            <w:shd w:val="clear" w:color="auto" w:fill="FFFFFF"/>
            <w:vAlign w:val="center"/>
          </w:tcPr>
          <w:p w14:paraId="24D568A3">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开竣工日期</w:t>
            </w:r>
          </w:p>
        </w:tc>
        <w:tc>
          <w:tcPr>
            <w:tcW w:w="1829" w:type="dxa"/>
            <w:tcBorders>
              <w:top w:val="single" w:color="auto" w:sz="4" w:space="0"/>
              <w:left w:val="single" w:color="auto" w:sz="4" w:space="0"/>
              <w:bottom w:val="nil"/>
              <w:right w:val="nil"/>
            </w:tcBorders>
            <w:shd w:val="clear" w:color="auto" w:fill="FFFFFF"/>
            <w:vAlign w:val="center"/>
          </w:tcPr>
          <w:p w14:paraId="067708EC">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w:t>
            </w:r>
          </w:p>
        </w:tc>
        <w:tc>
          <w:tcPr>
            <w:tcW w:w="907" w:type="dxa"/>
            <w:tcBorders>
              <w:top w:val="single" w:color="auto" w:sz="4" w:space="0"/>
              <w:left w:val="single" w:color="auto" w:sz="4" w:space="0"/>
              <w:bottom w:val="nil"/>
              <w:right w:val="single" w:color="auto" w:sz="4" w:space="0"/>
            </w:tcBorders>
            <w:shd w:val="clear" w:color="auto" w:fill="FFFFFF"/>
            <w:vAlign w:val="center"/>
          </w:tcPr>
          <w:p w14:paraId="5F31983A">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1352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exact"/>
          <w:jc w:val="center"/>
        </w:trPr>
        <w:tc>
          <w:tcPr>
            <w:tcW w:w="1243" w:type="dxa"/>
            <w:tcBorders>
              <w:top w:val="single" w:color="auto" w:sz="4" w:space="0"/>
              <w:left w:val="single" w:color="auto" w:sz="4" w:space="0"/>
              <w:bottom w:val="single" w:color="auto" w:sz="4" w:space="0"/>
              <w:right w:val="nil"/>
            </w:tcBorders>
            <w:shd w:val="clear" w:color="auto" w:fill="FFFFFF"/>
            <w:vAlign w:val="top"/>
          </w:tcPr>
          <w:p w14:paraId="5363FC5E">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334" w:type="dxa"/>
            <w:tcBorders>
              <w:top w:val="single" w:color="auto" w:sz="4" w:space="0"/>
              <w:left w:val="single" w:color="auto" w:sz="4" w:space="0"/>
              <w:bottom w:val="single" w:color="auto" w:sz="4" w:space="0"/>
              <w:right w:val="nil"/>
            </w:tcBorders>
            <w:shd w:val="clear" w:color="auto" w:fill="FFFFFF"/>
            <w:vAlign w:val="top"/>
          </w:tcPr>
          <w:p w14:paraId="1E9096A7">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238" w:type="dxa"/>
            <w:tcBorders>
              <w:top w:val="single" w:color="auto" w:sz="4" w:space="0"/>
              <w:left w:val="single" w:color="auto" w:sz="4" w:space="0"/>
              <w:bottom w:val="single" w:color="auto" w:sz="4" w:space="0"/>
              <w:right w:val="nil"/>
            </w:tcBorders>
            <w:shd w:val="clear" w:color="auto" w:fill="FFFFFF"/>
            <w:vAlign w:val="top"/>
          </w:tcPr>
          <w:p w14:paraId="0D2DFD43">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838" w:type="dxa"/>
            <w:tcBorders>
              <w:top w:val="single" w:color="auto" w:sz="4" w:space="0"/>
              <w:left w:val="single" w:color="auto" w:sz="4" w:space="0"/>
              <w:bottom w:val="single" w:color="auto" w:sz="4" w:space="0"/>
              <w:right w:val="nil"/>
            </w:tcBorders>
            <w:shd w:val="clear" w:color="auto" w:fill="FFFFFF"/>
            <w:vAlign w:val="top"/>
          </w:tcPr>
          <w:p w14:paraId="1E975612">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829" w:type="dxa"/>
            <w:tcBorders>
              <w:top w:val="single" w:color="auto" w:sz="4" w:space="0"/>
              <w:left w:val="single" w:color="auto" w:sz="4" w:space="0"/>
              <w:bottom w:val="single" w:color="auto" w:sz="4" w:space="0"/>
              <w:right w:val="nil"/>
            </w:tcBorders>
            <w:shd w:val="clear" w:color="auto" w:fill="FFFFFF"/>
            <w:vAlign w:val="top"/>
          </w:tcPr>
          <w:p w14:paraId="2DA9E0F5">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907" w:type="dxa"/>
            <w:tcBorders>
              <w:top w:val="single" w:color="auto" w:sz="4" w:space="0"/>
              <w:left w:val="single" w:color="auto" w:sz="4" w:space="0"/>
              <w:bottom w:val="single" w:color="auto" w:sz="4" w:space="0"/>
              <w:right w:val="single" w:color="auto" w:sz="4" w:space="0"/>
            </w:tcBorders>
            <w:shd w:val="clear" w:color="auto" w:fill="FFFFFF"/>
            <w:vAlign w:val="top"/>
          </w:tcPr>
          <w:p w14:paraId="0ABD7678">
            <w:pPr>
              <w:keepNext w:val="0"/>
              <w:keepLines w:val="0"/>
              <w:pageBreakBefore w:val="0"/>
              <w:framePr w:w="8390" w:wrap="notBeside" w:vAnchor="text" w:hAnchor="text" w:xAlign="center" w:y="1"/>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r>
    </w:tbl>
    <w:p w14:paraId="3DB6185F">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p w14:paraId="249E1306">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项目总监类似工程业绩应按下表提供</w:t>
      </w:r>
    </w:p>
    <w:p w14:paraId="6079E637">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项目总监类似工程业绩一览表</w:t>
      </w:r>
    </w:p>
    <w:tbl>
      <w:tblPr>
        <w:tblStyle w:val="19"/>
        <w:tblpPr w:leftFromText="180" w:rightFromText="180" w:vertAnchor="text" w:horzAnchor="page" w:tblpX="1743" w:tblpY="56"/>
        <w:tblOverlap w:val="never"/>
        <w:tblW w:w="8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3"/>
        <w:gridCol w:w="1334"/>
        <w:gridCol w:w="1238"/>
        <w:gridCol w:w="1838"/>
        <w:gridCol w:w="1829"/>
        <w:gridCol w:w="907"/>
      </w:tblGrid>
      <w:tr w14:paraId="2E42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exact"/>
        </w:trPr>
        <w:tc>
          <w:tcPr>
            <w:tcW w:w="1243" w:type="dxa"/>
            <w:tcBorders>
              <w:top w:val="single" w:color="auto" w:sz="4" w:space="0"/>
              <w:left w:val="single" w:color="auto" w:sz="4" w:space="0"/>
              <w:bottom w:val="nil"/>
              <w:right w:val="nil"/>
            </w:tcBorders>
            <w:shd w:val="clear" w:color="auto" w:fill="FFFFFF"/>
            <w:vAlign w:val="center"/>
          </w:tcPr>
          <w:p w14:paraId="0BEA881C">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建设单位</w:t>
            </w:r>
          </w:p>
        </w:tc>
        <w:tc>
          <w:tcPr>
            <w:tcW w:w="1334" w:type="dxa"/>
            <w:tcBorders>
              <w:top w:val="single" w:color="auto" w:sz="4" w:space="0"/>
              <w:left w:val="single" w:color="auto" w:sz="4" w:space="0"/>
              <w:bottom w:val="nil"/>
              <w:right w:val="nil"/>
            </w:tcBorders>
            <w:shd w:val="clear" w:color="auto" w:fill="FFFFFF"/>
            <w:vAlign w:val="center"/>
          </w:tcPr>
          <w:p w14:paraId="233DB4DC">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1238" w:type="dxa"/>
            <w:tcBorders>
              <w:top w:val="single" w:color="auto" w:sz="4" w:space="0"/>
              <w:left w:val="single" w:color="auto" w:sz="4" w:space="0"/>
              <w:bottom w:val="nil"/>
              <w:right w:val="nil"/>
            </w:tcBorders>
            <w:shd w:val="clear" w:color="auto" w:fill="FFFFFF"/>
            <w:vAlign w:val="center"/>
          </w:tcPr>
          <w:p w14:paraId="0E352841">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建设规模</w:t>
            </w:r>
          </w:p>
        </w:tc>
        <w:tc>
          <w:tcPr>
            <w:tcW w:w="1838" w:type="dxa"/>
            <w:tcBorders>
              <w:top w:val="single" w:color="auto" w:sz="4" w:space="0"/>
              <w:left w:val="single" w:color="auto" w:sz="4" w:space="0"/>
              <w:bottom w:val="nil"/>
              <w:right w:val="nil"/>
            </w:tcBorders>
            <w:shd w:val="clear" w:color="auto" w:fill="FFFFFF"/>
            <w:vAlign w:val="center"/>
          </w:tcPr>
          <w:p w14:paraId="07377298">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开竣工日期</w:t>
            </w:r>
          </w:p>
        </w:tc>
        <w:tc>
          <w:tcPr>
            <w:tcW w:w="1829" w:type="dxa"/>
            <w:tcBorders>
              <w:top w:val="single" w:color="auto" w:sz="4" w:space="0"/>
              <w:left w:val="single" w:color="auto" w:sz="4" w:space="0"/>
              <w:bottom w:val="nil"/>
              <w:right w:val="nil"/>
            </w:tcBorders>
            <w:shd w:val="clear" w:color="auto" w:fill="FFFFFF"/>
            <w:vAlign w:val="center"/>
          </w:tcPr>
          <w:p w14:paraId="6A8A5BD6">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w:t>
            </w:r>
          </w:p>
        </w:tc>
        <w:tc>
          <w:tcPr>
            <w:tcW w:w="907" w:type="dxa"/>
            <w:tcBorders>
              <w:top w:val="single" w:color="auto" w:sz="4" w:space="0"/>
              <w:left w:val="single" w:color="auto" w:sz="4" w:space="0"/>
              <w:bottom w:val="nil"/>
              <w:right w:val="single" w:color="auto" w:sz="4" w:space="0"/>
            </w:tcBorders>
            <w:shd w:val="clear" w:color="auto" w:fill="FFFFFF"/>
            <w:vAlign w:val="center"/>
          </w:tcPr>
          <w:p w14:paraId="1F1F08A5">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703F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exact"/>
        </w:trPr>
        <w:tc>
          <w:tcPr>
            <w:tcW w:w="1243" w:type="dxa"/>
            <w:tcBorders>
              <w:top w:val="single" w:color="auto" w:sz="4" w:space="0"/>
              <w:left w:val="single" w:color="auto" w:sz="4" w:space="0"/>
              <w:bottom w:val="single" w:color="auto" w:sz="4" w:space="0"/>
              <w:right w:val="nil"/>
            </w:tcBorders>
            <w:shd w:val="clear" w:color="auto" w:fill="FFFFFF"/>
            <w:vAlign w:val="top"/>
          </w:tcPr>
          <w:p w14:paraId="2CAF3DAB">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334" w:type="dxa"/>
            <w:tcBorders>
              <w:top w:val="single" w:color="auto" w:sz="4" w:space="0"/>
              <w:left w:val="single" w:color="auto" w:sz="4" w:space="0"/>
              <w:bottom w:val="single" w:color="auto" w:sz="4" w:space="0"/>
              <w:right w:val="nil"/>
            </w:tcBorders>
            <w:shd w:val="clear" w:color="auto" w:fill="FFFFFF"/>
            <w:vAlign w:val="top"/>
          </w:tcPr>
          <w:p w14:paraId="658EBA0A">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238" w:type="dxa"/>
            <w:tcBorders>
              <w:top w:val="single" w:color="auto" w:sz="4" w:space="0"/>
              <w:left w:val="single" w:color="auto" w:sz="4" w:space="0"/>
              <w:bottom w:val="single" w:color="auto" w:sz="4" w:space="0"/>
              <w:right w:val="nil"/>
            </w:tcBorders>
            <w:shd w:val="clear" w:color="auto" w:fill="FFFFFF"/>
            <w:vAlign w:val="top"/>
          </w:tcPr>
          <w:p w14:paraId="61A7DFC4">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838" w:type="dxa"/>
            <w:tcBorders>
              <w:top w:val="single" w:color="auto" w:sz="4" w:space="0"/>
              <w:left w:val="single" w:color="auto" w:sz="4" w:space="0"/>
              <w:bottom w:val="single" w:color="auto" w:sz="4" w:space="0"/>
              <w:right w:val="nil"/>
            </w:tcBorders>
            <w:shd w:val="clear" w:color="auto" w:fill="FFFFFF"/>
            <w:vAlign w:val="top"/>
          </w:tcPr>
          <w:p w14:paraId="6B9A3CE6">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1829" w:type="dxa"/>
            <w:tcBorders>
              <w:top w:val="single" w:color="auto" w:sz="4" w:space="0"/>
              <w:left w:val="single" w:color="auto" w:sz="4" w:space="0"/>
              <w:bottom w:val="single" w:color="auto" w:sz="4" w:space="0"/>
              <w:right w:val="nil"/>
            </w:tcBorders>
            <w:shd w:val="clear" w:color="auto" w:fill="FFFFFF"/>
            <w:vAlign w:val="top"/>
          </w:tcPr>
          <w:p w14:paraId="5D24B1C9">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c>
          <w:tcPr>
            <w:tcW w:w="907" w:type="dxa"/>
            <w:tcBorders>
              <w:top w:val="single" w:color="auto" w:sz="4" w:space="0"/>
              <w:left w:val="single" w:color="auto" w:sz="4" w:space="0"/>
              <w:bottom w:val="single" w:color="auto" w:sz="4" w:space="0"/>
              <w:right w:val="single" w:color="auto" w:sz="4" w:space="0"/>
            </w:tcBorders>
            <w:shd w:val="clear" w:color="auto" w:fill="FFFFFF"/>
            <w:vAlign w:val="top"/>
          </w:tcPr>
          <w:p w14:paraId="6C477236">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tc>
      </w:tr>
    </w:tbl>
    <w:p w14:paraId="05F9EBBF">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p w14:paraId="496FE441">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p w14:paraId="6F99D872">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p w14:paraId="79A7BA86">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p w14:paraId="523207C4">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p>
    <w:p w14:paraId="6739A753">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注：本表后附有效业绩证明材料。</w:t>
      </w:r>
    </w:p>
    <w:p w14:paraId="79B1F063">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现场</w:t>
      </w:r>
      <w:bookmarkStart w:id="55" w:name="bookmark26"/>
      <w:r>
        <w:rPr>
          <w:rFonts w:hint="eastAsia" w:ascii="宋体" w:hAnsi="宋体" w:eastAsia="宋体" w:cs="宋体"/>
          <w:color w:val="auto"/>
          <w:sz w:val="24"/>
          <w:szCs w:val="24"/>
          <w:highlight w:val="none"/>
          <w:lang w:val="en-US" w:eastAsia="zh-CN"/>
        </w:rPr>
        <w:t>监理人员</w:t>
      </w:r>
    </w:p>
    <w:p w14:paraId="47F5355E">
      <w:pPr>
        <w:keepNext w:val="0"/>
        <w:keepLines w:val="0"/>
        <w:pageBreakBefore w:val="0"/>
        <w:widowControl w:val="0"/>
        <w:kinsoku/>
        <w:wordWrap/>
        <w:overflowPunct/>
        <w:topLinePunct w:val="0"/>
        <w:autoSpaceDE/>
        <w:autoSpaceDN/>
        <w:bidi w:val="0"/>
        <w:adjustRightInd w:val="0"/>
        <w:snapToGrid w:val="0"/>
        <w:spacing w:line="360" w:lineRule="auto"/>
        <w:ind w:right="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bookmarkEnd w:id="55"/>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现场监理人员应包括：土建监理工程师、监理员及项目总监认为需要配备的其他人员。</w:t>
      </w:r>
    </w:p>
    <w:p w14:paraId="55769161">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上述人员介绍应包括姓名、职称、主要资历等基本信息。</w:t>
      </w:r>
    </w:p>
    <w:p w14:paraId="0E0F3339">
      <w:pPr>
        <w:keepNext w:val="0"/>
        <w:keepLines w:val="0"/>
        <w:pageBreakBefore w:val="0"/>
        <w:widowControl w:val="0"/>
        <w:kinsoku/>
        <w:wordWrap/>
        <w:overflowPunct/>
        <w:topLinePunct w:val="0"/>
        <w:autoSpaceDE/>
        <w:autoSpaceDN/>
        <w:bidi w:val="0"/>
        <w:adjustRightInd w:val="0"/>
        <w:snapToGrid w:val="0"/>
        <w:spacing w:line="360" w:lineRule="auto"/>
        <w:ind w:right="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现场监理人员应附职称证书或注册证书上岗证书扫描件</w:t>
      </w:r>
    </w:p>
    <w:p w14:paraId="78874E6C">
      <w:pPr>
        <w:spacing w:after="100" w:line="265" w:lineRule="auto"/>
        <w:ind w:right="103"/>
        <w:jc w:val="center"/>
        <w:rPr>
          <w:rFonts w:hint="eastAsia" w:ascii="宋体" w:hAnsi="宋体" w:eastAsia="宋体" w:cs="宋体"/>
          <w:color w:val="auto"/>
          <w:sz w:val="24"/>
          <w:szCs w:val="21"/>
          <w:highlight w:val="none"/>
        </w:rPr>
      </w:pPr>
    </w:p>
    <w:p w14:paraId="0F0472AE">
      <w:pPr>
        <w:adjustRightInd w:val="0"/>
        <w:spacing w:line="360" w:lineRule="atLeast"/>
        <w:jc w:val="center"/>
        <w:textAlignment w:val="baseline"/>
        <w:rPr>
          <w:rFonts w:hint="eastAsia" w:ascii="宋体" w:hAnsi="宋体" w:eastAsia="宋体" w:cs="宋体"/>
          <w:b/>
          <w:color w:val="auto"/>
          <w:sz w:val="32"/>
          <w:szCs w:val="32"/>
          <w:highlight w:val="none"/>
        </w:rPr>
      </w:pPr>
    </w:p>
    <w:p w14:paraId="092C1C6C">
      <w:pPr>
        <w:adjustRightInd w:val="0"/>
        <w:spacing w:line="360" w:lineRule="atLeast"/>
        <w:jc w:val="center"/>
        <w:textAlignment w:val="baseline"/>
        <w:rPr>
          <w:rFonts w:hint="eastAsia" w:ascii="宋体" w:hAnsi="宋体" w:eastAsia="宋体" w:cs="宋体"/>
          <w:b/>
          <w:color w:val="auto"/>
          <w:sz w:val="32"/>
          <w:szCs w:val="32"/>
          <w:highlight w:val="none"/>
        </w:rPr>
      </w:pPr>
    </w:p>
    <w:p w14:paraId="1D21F448">
      <w:pPr>
        <w:adjustRightInd w:val="0"/>
        <w:spacing w:line="360" w:lineRule="atLeast"/>
        <w:jc w:val="both"/>
        <w:textAlignment w:val="baseline"/>
        <w:rPr>
          <w:rFonts w:hint="eastAsia" w:ascii="宋体" w:hAnsi="宋体" w:eastAsia="宋体" w:cs="宋体"/>
          <w:b/>
          <w:color w:val="auto"/>
          <w:sz w:val="32"/>
          <w:szCs w:val="32"/>
          <w:highlight w:val="none"/>
          <w:lang w:val="en-US" w:eastAsia="zh-CN"/>
        </w:rPr>
      </w:pPr>
    </w:p>
    <w:p w14:paraId="0E51B6FC">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745B4A9F">
      <w:pPr>
        <w:adjustRightInd w:val="0"/>
        <w:spacing w:line="360" w:lineRule="atLeast"/>
        <w:jc w:val="center"/>
        <w:textAlignment w:val="baseline"/>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九、服务承诺书</w:t>
      </w:r>
    </w:p>
    <w:p w14:paraId="508F2B20">
      <w:pPr>
        <w:adjustRightInd w:val="0"/>
        <w:spacing w:line="360" w:lineRule="atLeast"/>
        <w:jc w:val="center"/>
        <w:textAlignment w:val="baseline"/>
        <w:rPr>
          <w:rFonts w:hint="eastAsia" w:ascii="宋体" w:hAnsi="宋体" w:eastAsia="宋体" w:cs="宋体"/>
          <w:b/>
          <w:color w:val="auto"/>
          <w:sz w:val="32"/>
          <w:szCs w:val="32"/>
          <w:highlight w:val="none"/>
        </w:rPr>
      </w:pPr>
    </w:p>
    <w:p w14:paraId="699184C2">
      <w:pPr>
        <w:adjustRightInd w:val="0"/>
        <w:spacing w:line="360" w:lineRule="atLeast"/>
        <w:jc w:val="center"/>
        <w:textAlignment w:val="baseline"/>
        <w:rPr>
          <w:rFonts w:hint="eastAsia" w:ascii="宋体" w:hAnsi="宋体" w:eastAsia="宋体" w:cs="宋体"/>
          <w:b/>
          <w:color w:val="auto"/>
          <w:sz w:val="32"/>
          <w:szCs w:val="32"/>
          <w:highlight w:val="none"/>
        </w:rPr>
      </w:pPr>
    </w:p>
    <w:p w14:paraId="3E7A7672">
      <w:pPr>
        <w:pStyle w:val="1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（格式自拟）</w:t>
      </w:r>
    </w:p>
    <w:p w14:paraId="62F893CE">
      <w:pPr>
        <w:adjustRightInd w:val="0"/>
        <w:spacing w:line="360" w:lineRule="atLeast"/>
        <w:jc w:val="center"/>
        <w:textAlignment w:val="baseline"/>
        <w:rPr>
          <w:rFonts w:hint="eastAsia" w:ascii="宋体" w:hAnsi="宋体" w:eastAsia="宋体" w:cs="宋体"/>
          <w:b/>
          <w:color w:val="auto"/>
          <w:sz w:val="32"/>
          <w:szCs w:val="32"/>
          <w:highlight w:val="none"/>
        </w:rPr>
      </w:pPr>
    </w:p>
    <w:p w14:paraId="4E5267B2">
      <w:pPr>
        <w:adjustRightInd w:val="0"/>
        <w:spacing w:line="360" w:lineRule="atLeast"/>
        <w:jc w:val="center"/>
        <w:textAlignment w:val="baseline"/>
        <w:rPr>
          <w:rFonts w:hint="eastAsia" w:ascii="宋体" w:hAnsi="宋体" w:eastAsia="宋体" w:cs="宋体"/>
          <w:b/>
          <w:color w:val="auto"/>
          <w:sz w:val="32"/>
          <w:szCs w:val="32"/>
          <w:highlight w:val="none"/>
        </w:rPr>
      </w:pPr>
    </w:p>
    <w:p w14:paraId="261EF980">
      <w:pPr>
        <w:adjustRightInd w:val="0"/>
        <w:spacing w:line="360" w:lineRule="atLeast"/>
        <w:jc w:val="center"/>
        <w:textAlignment w:val="baseline"/>
        <w:rPr>
          <w:rFonts w:hint="eastAsia" w:ascii="宋体" w:hAnsi="宋体" w:eastAsia="宋体" w:cs="宋体"/>
          <w:b/>
          <w:color w:val="auto"/>
          <w:sz w:val="32"/>
          <w:szCs w:val="32"/>
          <w:highlight w:val="none"/>
        </w:rPr>
      </w:pPr>
    </w:p>
    <w:p w14:paraId="31C908D8">
      <w:pPr>
        <w:adjustRightInd w:val="0"/>
        <w:spacing w:line="360" w:lineRule="atLeast"/>
        <w:jc w:val="center"/>
        <w:textAlignment w:val="baseline"/>
        <w:rPr>
          <w:rFonts w:hint="eastAsia" w:ascii="宋体" w:hAnsi="宋体" w:eastAsia="宋体" w:cs="宋体"/>
          <w:b/>
          <w:color w:val="auto"/>
          <w:sz w:val="32"/>
          <w:szCs w:val="32"/>
          <w:highlight w:val="none"/>
        </w:rPr>
      </w:pPr>
    </w:p>
    <w:p w14:paraId="7D4C3C0F">
      <w:pPr>
        <w:adjustRightInd w:val="0"/>
        <w:spacing w:line="360" w:lineRule="atLeast"/>
        <w:jc w:val="center"/>
        <w:textAlignment w:val="baseline"/>
        <w:rPr>
          <w:rFonts w:hint="eastAsia" w:ascii="宋体" w:hAnsi="宋体" w:eastAsia="宋体" w:cs="宋体"/>
          <w:b/>
          <w:color w:val="auto"/>
          <w:sz w:val="32"/>
          <w:szCs w:val="32"/>
          <w:highlight w:val="none"/>
        </w:rPr>
      </w:pPr>
    </w:p>
    <w:p w14:paraId="78B37570">
      <w:pPr>
        <w:adjustRightInd w:val="0"/>
        <w:spacing w:line="360" w:lineRule="atLeast"/>
        <w:jc w:val="center"/>
        <w:textAlignment w:val="baseline"/>
        <w:rPr>
          <w:rFonts w:hint="eastAsia" w:ascii="宋体" w:hAnsi="宋体" w:eastAsia="宋体" w:cs="宋体"/>
          <w:b/>
          <w:color w:val="auto"/>
          <w:sz w:val="32"/>
          <w:szCs w:val="32"/>
          <w:highlight w:val="none"/>
        </w:rPr>
      </w:pPr>
    </w:p>
    <w:p w14:paraId="79AEA4AE">
      <w:pPr>
        <w:adjustRightInd w:val="0"/>
        <w:spacing w:line="360" w:lineRule="atLeast"/>
        <w:jc w:val="center"/>
        <w:textAlignment w:val="baseline"/>
        <w:rPr>
          <w:rFonts w:hint="eastAsia" w:ascii="宋体" w:hAnsi="宋体" w:eastAsia="宋体" w:cs="宋体"/>
          <w:b/>
          <w:color w:val="auto"/>
          <w:sz w:val="32"/>
          <w:szCs w:val="32"/>
          <w:highlight w:val="none"/>
        </w:rPr>
      </w:pPr>
    </w:p>
    <w:p w14:paraId="247FFCFA">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4985EE7">
      <w:pPr>
        <w:pStyle w:val="3"/>
        <w:spacing w:after="120" w:afterLines="50" w:line="360" w:lineRule="auto"/>
        <w:jc w:val="center"/>
        <w:rPr>
          <w:rStyle w:val="22"/>
          <w:rFonts w:hint="eastAsia" w:ascii="宋体" w:hAnsi="宋体" w:eastAsia="宋体" w:cs="宋体"/>
          <w:kern w:val="28"/>
          <w:sz w:val="32"/>
          <w:szCs w:val="32"/>
          <w:highlight w:val="none"/>
        </w:rPr>
      </w:pPr>
      <w:r>
        <w:rPr>
          <w:rFonts w:hint="eastAsia" w:ascii="宋体" w:hAnsi="宋体" w:eastAsia="宋体" w:cs="宋体"/>
          <w:b/>
          <w:color w:val="auto"/>
          <w:sz w:val="32"/>
          <w:szCs w:val="32"/>
          <w:highlight w:val="none"/>
          <w:lang w:val="en-US" w:eastAsia="zh-CN"/>
        </w:rPr>
        <w:t>十、</w:t>
      </w:r>
      <w:r>
        <w:rPr>
          <w:rStyle w:val="22"/>
          <w:rFonts w:hint="eastAsia" w:ascii="宋体" w:hAnsi="宋体" w:eastAsia="宋体" w:cs="宋体"/>
          <w:kern w:val="28"/>
          <w:sz w:val="32"/>
          <w:szCs w:val="32"/>
          <w:highlight w:val="none"/>
          <w:lang w:val="en-US" w:eastAsia="zh-CN"/>
        </w:rPr>
        <w:t>供应商</w:t>
      </w:r>
      <w:r>
        <w:rPr>
          <w:rStyle w:val="22"/>
          <w:rFonts w:hint="eastAsia" w:ascii="宋体" w:hAnsi="宋体" w:eastAsia="宋体" w:cs="宋体"/>
          <w:kern w:val="28"/>
          <w:sz w:val="32"/>
          <w:szCs w:val="32"/>
          <w:highlight w:val="none"/>
        </w:rPr>
        <w:t>（投标单位）《遵守政府采购相关法律法规承诺书》</w:t>
      </w:r>
    </w:p>
    <w:p w14:paraId="15CD7ED7">
      <w:pPr>
        <w:pStyle w:val="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我公司承诺在（项目编号、项目名称）采购活动中，严格遵守政府采购相关法律法规，遵循公平竞争的原则，不存在恶意串通的行为，不存在妨碍其他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的竞争行为，不存在损害采购人或者其他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的合法权益的行为。</w:t>
      </w:r>
    </w:p>
    <w:p w14:paraId="30F8F5DC">
      <w:pPr>
        <w:pStyle w:val="3"/>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如发生违反政府采购相关法律法规行为，我公司及项目参与人员自愿放弃本次项目的投标、报价资格，并承担相关法律责任。</w:t>
      </w:r>
    </w:p>
    <w:p w14:paraId="646ADA07">
      <w:pPr>
        <w:pStyle w:val="3"/>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2FD4890F">
      <w:pPr>
        <w:rPr>
          <w:rFonts w:hint="eastAsia" w:ascii="宋体" w:hAnsi="宋体" w:eastAsia="宋体" w:cs="宋体"/>
          <w:sz w:val="24"/>
          <w:szCs w:val="24"/>
          <w:highlight w:val="none"/>
        </w:rPr>
      </w:pPr>
    </w:p>
    <w:p w14:paraId="76983362">
      <w:pPr>
        <w:pStyle w:val="11"/>
        <w:rPr>
          <w:rFonts w:hint="eastAsia" w:ascii="宋体" w:hAnsi="宋体" w:eastAsia="宋体" w:cs="宋体"/>
          <w:sz w:val="24"/>
          <w:szCs w:val="24"/>
          <w:highlight w:val="none"/>
        </w:rPr>
      </w:pPr>
    </w:p>
    <w:p w14:paraId="57CD4BB2">
      <w:pPr>
        <w:rPr>
          <w:rFonts w:hint="eastAsia" w:ascii="宋体" w:hAnsi="宋体" w:eastAsia="宋体" w:cs="宋体"/>
          <w:sz w:val="24"/>
          <w:szCs w:val="24"/>
          <w:highlight w:val="none"/>
        </w:rPr>
      </w:pPr>
    </w:p>
    <w:p w14:paraId="3A046152">
      <w:pPr>
        <w:pStyle w:val="3"/>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公司名称：（盖章） </w:t>
      </w:r>
    </w:p>
    <w:p w14:paraId="0D038771">
      <w:pPr>
        <w:pStyle w:val="3"/>
        <w:spacing w:line="360" w:lineRule="auto"/>
        <w:ind w:firstLine="3360" w:firstLineChars="1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公司法人代表：</w:t>
      </w:r>
    </w:p>
    <w:p w14:paraId="73839CEE">
      <w:pPr>
        <w:pStyle w:val="3"/>
        <w:spacing w:line="360" w:lineRule="auto"/>
        <w:ind w:firstLine="3360" w:firstLineChars="1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法人授权代表：</w:t>
      </w:r>
    </w:p>
    <w:p w14:paraId="0BCDAF90">
      <w:pPr>
        <w:pStyle w:val="3"/>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14:paraId="2769C0BA">
      <w:pPr>
        <w:adjustRightInd w:val="0"/>
        <w:spacing w:line="360" w:lineRule="atLeast"/>
        <w:jc w:val="center"/>
        <w:textAlignment w:val="baseline"/>
        <w:rPr>
          <w:rFonts w:hint="eastAsia" w:ascii="宋体" w:hAnsi="宋体" w:eastAsia="宋体" w:cs="宋体"/>
          <w:b/>
          <w:color w:val="auto"/>
          <w:sz w:val="32"/>
          <w:szCs w:val="32"/>
          <w:highlight w:val="none"/>
          <w:lang w:val="en-US" w:eastAsia="zh-CN"/>
        </w:rPr>
      </w:pPr>
    </w:p>
    <w:p w14:paraId="44E25F1A">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09471894">
      <w:pPr>
        <w:pStyle w:val="2"/>
        <w:spacing w:line="360" w:lineRule="auto"/>
        <w:jc w:val="center"/>
        <w:rPr>
          <w:rFonts w:hint="eastAsia" w:ascii="宋体" w:hAnsi="宋体" w:eastAsia="宋体" w:cs="宋体"/>
          <w:b/>
          <w:bCs w:val="0"/>
          <w:sz w:val="28"/>
          <w:szCs w:val="28"/>
          <w:highlight w:val="none"/>
          <w:lang w:val="en-US" w:eastAsia="zh-CN"/>
        </w:rPr>
      </w:pPr>
      <w:bookmarkStart w:id="56" w:name="_Toc24541"/>
      <w:r>
        <w:rPr>
          <w:rStyle w:val="28"/>
          <w:rFonts w:hint="eastAsia" w:ascii="宋体" w:hAnsi="宋体" w:eastAsia="宋体" w:cs="宋体"/>
          <w:b/>
          <w:color w:val="auto"/>
          <w:sz w:val="28"/>
          <w:szCs w:val="24"/>
          <w:highlight w:val="none"/>
          <w:lang w:val="en-US" w:eastAsia="zh-CN"/>
        </w:rPr>
        <w:t>十一、</w:t>
      </w:r>
      <w:bookmarkEnd w:id="56"/>
      <w:r>
        <w:rPr>
          <w:rFonts w:hint="eastAsia" w:ascii="宋体" w:hAnsi="宋体" w:eastAsia="宋体" w:cs="宋体"/>
          <w:b/>
          <w:bCs w:val="0"/>
          <w:sz w:val="28"/>
          <w:szCs w:val="28"/>
          <w:highlight w:val="none"/>
          <w:lang w:val="en-US" w:eastAsia="zh-CN"/>
        </w:rPr>
        <w:t>中小企业声明函（工程、服务）</w:t>
      </w:r>
    </w:p>
    <w:p w14:paraId="7F08F8C5">
      <w:pPr>
        <w:pStyle w:val="2"/>
        <w:spacing w:line="360" w:lineRule="auto"/>
        <w:jc w:val="center"/>
        <w:rPr>
          <w:rFonts w:hint="eastAsia" w:ascii="宋体" w:hAnsi="宋体" w:eastAsia="宋体" w:cs="宋体"/>
          <w:b/>
          <w:bCs w:val="0"/>
          <w:sz w:val="28"/>
          <w:szCs w:val="28"/>
          <w:highlight w:val="none"/>
          <w:lang w:val="en-US" w:eastAsia="zh-CN"/>
        </w:rPr>
      </w:pPr>
    </w:p>
    <w:p w14:paraId="303E9B54">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30D497FF">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1. </w:t>
      </w:r>
      <w:r>
        <w:rPr>
          <w:rFonts w:hint="eastAsia" w:ascii="宋体" w:hAnsi="宋体" w:eastAsia="宋体" w:cs="宋体"/>
          <w:b w:val="0"/>
          <w:bCs/>
          <w:sz w:val="28"/>
          <w:szCs w:val="28"/>
          <w:highlight w:val="none"/>
          <w:u w:val="single"/>
          <w:lang w:val="en-US" w:eastAsia="zh-CN"/>
        </w:rPr>
        <w:t xml:space="preserve">（标的名称） </w:t>
      </w:r>
      <w:r>
        <w:rPr>
          <w:rFonts w:hint="eastAsia" w:ascii="宋体" w:hAnsi="宋体" w:eastAsia="宋体" w:cs="宋体"/>
          <w:b w:val="0"/>
          <w:bCs/>
          <w:sz w:val="28"/>
          <w:szCs w:val="28"/>
          <w:highlight w:val="none"/>
          <w:lang w:val="en-US" w:eastAsia="zh-CN"/>
        </w:rPr>
        <w:t>，属于</w:t>
      </w:r>
      <w:r>
        <w:rPr>
          <w:rFonts w:hint="eastAsia" w:ascii="宋体" w:hAnsi="宋体" w:eastAsia="宋体" w:cs="宋体"/>
          <w:b w:val="0"/>
          <w:bCs/>
          <w:sz w:val="28"/>
          <w:szCs w:val="28"/>
          <w:highlight w:val="none"/>
          <w:u w:val="single"/>
          <w:lang w:val="en-US" w:eastAsia="zh-CN"/>
        </w:rPr>
        <w:t>（采购文件中明确的所属行业）</w:t>
      </w:r>
      <w:r>
        <w:rPr>
          <w:rFonts w:hint="eastAsia" w:ascii="宋体" w:hAnsi="宋体" w:eastAsia="宋体" w:cs="宋体"/>
          <w:b w:val="0"/>
          <w:bCs/>
          <w:sz w:val="28"/>
          <w:szCs w:val="28"/>
          <w:highlight w:val="none"/>
          <w:lang w:val="en-US" w:eastAsia="zh-CN"/>
        </w:rPr>
        <w:t>；承建</w:t>
      </w:r>
      <w:r>
        <w:rPr>
          <w:rFonts w:hint="eastAsia" w:ascii="宋体" w:hAnsi="宋体" w:eastAsia="宋体" w:cs="宋体"/>
          <w:b w:val="0"/>
          <w:bCs/>
          <w:sz w:val="28"/>
          <w:szCs w:val="28"/>
          <w:highlight w:val="none"/>
          <w:u w:val="single"/>
          <w:lang w:val="en-US" w:eastAsia="zh-CN"/>
        </w:rPr>
        <w:t>（承接）</w:t>
      </w:r>
      <w:r>
        <w:rPr>
          <w:rFonts w:hint="eastAsia" w:ascii="宋体" w:hAnsi="宋体" w:eastAsia="宋体" w:cs="宋体"/>
          <w:b w:val="0"/>
          <w:bCs/>
          <w:sz w:val="28"/>
          <w:szCs w:val="28"/>
          <w:highlight w:val="none"/>
          <w:lang w:val="en-US" w:eastAsia="zh-CN"/>
        </w:rPr>
        <w:t>企业为</w:t>
      </w:r>
      <w:r>
        <w:rPr>
          <w:rFonts w:hint="eastAsia" w:ascii="宋体" w:hAnsi="宋体" w:eastAsia="宋体" w:cs="宋体"/>
          <w:b w:val="0"/>
          <w:bCs/>
          <w:sz w:val="28"/>
          <w:szCs w:val="28"/>
          <w:highlight w:val="none"/>
          <w:u w:val="single"/>
          <w:lang w:val="en-US" w:eastAsia="zh-CN"/>
        </w:rPr>
        <w:t>（企业名称）</w:t>
      </w:r>
      <w:r>
        <w:rPr>
          <w:rFonts w:hint="eastAsia" w:ascii="宋体" w:hAnsi="宋体" w:eastAsia="宋体" w:cs="宋体"/>
          <w:b w:val="0"/>
          <w:bCs/>
          <w:sz w:val="28"/>
          <w:szCs w:val="28"/>
          <w:highlight w:val="none"/>
          <w:lang w:val="en-US" w:eastAsia="zh-CN"/>
        </w:rPr>
        <w:t>，从业人员</w:t>
      </w:r>
      <w:r>
        <w:rPr>
          <w:rFonts w:hint="eastAsia" w:ascii="宋体" w:hAnsi="宋体" w:eastAsia="宋体" w:cs="宋体"/>
          <w:b w:val="0"/>
          <w:bCs/>
          <w:sz w:val="28"/>
          <w:szCs w:val="28"/>
          <w:highlight w:val="none"/>
          <w:u w:val="single"/>
          <w:lang w:val="en-US" w:eastAsia="zh-CN"/>
        </w:rPr>
        <w:t xml:space="preserve">    </w:t>
      </w:r>
      <w:r>
        <w:rPr>
          <w:rFonts w:hint="eastAsia" w:ascii="宋体" w:hAnsi="宋体" w:eastAsia="宋体" w:cs="宋体"/>
          <w:b w:val="0"/>
          <w:bCs/>
          <w:sz w:val="28"/>
          <w:szCs w:val="28"/>
          <w:highlight w:val="none"/>
          <w:lang w:val="en-US" w:eastAsia="zh-CN"/>
        </w:rPr>
        <w:t>人，营业收入为</w:t>
      </w:r>
      <w:r>
        <w:rPr>
          <w:rFonts w:hint="eastAsia" w:ascii="宋体" w:hAnsi="宋体" w:eastAsia="宋体" w:cs="宋体"/>
          <w:b w:val="0"/>
          <w:bCs/>
          <w:sz w:val="28"/>
          <w:szCs w:val="28"/>
          <w:highlight w:val="none"/>
          <w:u w:val="single"/>
          <w:lang w:val="en-US" w:eastAsia="zh-CN"/>
        </w:rPr>
        <w:t xml:space="preserve">     </w:t>
      </w:r>
      <w:r>
        <w:rPr>
          <w:rFonts w:hint="eastAsia" w:ascii="宋体" w:hAnsi="宋体" w:eastAsia="宋体" w:cs="宋体"/>
          <w:b w:val="0"/>
          <w:bCs/>
          <w:sz w:val="28"/>
          <w:szCs w:val="28"/>
          <w:highlight w:val="none"/>
          <w:lang w:val="en-US" w:eastAsia="zh-CN"/>
        </w:rPr>
        <w:t>万元，资产总额为</w:t>
      </w:r>
      <w:r>
        <w:rPr>
          <w:rFonts w:hint="eastAsia" w:ascii="宋体" w:hAnsi="宋体" w:eastAsia="宋体" w:cs="宋体"/>
          <w:b w:val="0"/>
          <w:bCs/>
          <w:sz w:val="28"/>
          <w:szCs w:val="28"/>
          <w:highlight w:val="none"/>
          <w:u w:val="single"/>
          <w:lang w:val="en-US" w:eastAsia="zh-CN"/>
        </w:rPr>
        <w:t xml:space="preserve">    </w:t>
      </w:r>
      <w:r>
        <w:rPr>
          <w:rFonts w:hint="eastAsia" w:ascii="宋体" w:hAnsi="宋体" w:eastAsia="宋体" w:cs="宋体"/>
          <w:b w:val="0"/>
          <w:bCs/>
          <w:sz w:val="28"/>
          <w:szCs w:val="28"/>
          <w:highlight w:val="none"/>
          <w:lang w:val="en-US" w:eastAsia="zh-CN"/>
        </w:rPr>
        <w:t>万元，属于</w:t>
      </w:r>
      <w:r>
        <w:rPr>
          <w:rFonts w:hint="eastAsia" w:ascii="宋体" w:hAnsi="宋体" w:eastAsia="宋体" w:cs="宋体"/>
          <w:b w:val="0"/>
          <w:bCs/>
          <w:sz w:val="28"/>
          <w:szCs w:val="28"/>
          <w:highlight w:val="none"/>
          <w:u w:val="single"/>
          <w:lang w:val="en-US" w:eastAsia="zh-CN"/>
        </w:rPr>
        <w:t xml:space="preserve">     （中型企业、小型企业、微型企业）</w:t>
      </w:r>
      <w:r>
        <w:rPr>
          <w:rFonts w:hint="eastAsia" w:ascii="宋体" w:hAnsi="宋体" w:eastAsia="宋体" w:cs="宋体"/>
          <w:b w:val="0"/>
          <w:bCs/>
          <w:sz w:val="28"/>
          <w:szCs w:val="28"/>
          <w:highlight w:val="none"/>
          <w:lang w:val="en-US" w:eastAsia="zh-CN"/>
        </w:rPr>
        <w:t xml:space="preserve">； </w:t>
      </w:r>
    </w:p>
    <w:p w14:paraId="6E5EEBDC">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2. </w:t>
      </w:r>
      <w:r>
        <w:rPr>
          <w:rFonts w:hint="eastAsia" w:ascii="宋体" w:hAnsi="宋体" w:eastAsia="宋体" w:cs="宋体"/>
          <w:b w:val="0"/>
          <w:bCs/>
          <w:sz w:val="28"/>
          <w:szCs w:val="28"/>
          <w:highlight w:val="none"/>
          <w:u w:val="single"/>
          <w:lang w:val="en-US" w:eastAsia="zh-CN"/>
        </w:rPr>
        <w:t xml:space="preserve">（标的名称） </w:t>
      </w:r>
      <w:r>
        <w:rPr>
          <w:rFonts w:hint="eastAsia" w:ascii="宋体" w:hAnsi="宋体" w:eastAsia="宋体" w:cs="宋体"/>
          <w:b w:val="0"/>
          <w:bCs/>
          <w:sz w:val="28"/>
          <w:szCs w:val="28"/>
          <w:highlight w:val="none"/>
          <w:lang w:val="en-US" w:eastAsia="zh-CN"/>
        </w:rPr>
        <w:t>，属于</w:t>
      </w:r>
      <w:r>
        <w:rPr>
          <w:rFonts w:hint="eastAsia" w:ascii="宋体" w:hAnsi="宋体" w:eastAsia="宋体" w:cs="宋体"/>
          <w:b w:val="0"/>
          <w:bCs/>
          <w:sz w:val="28"/>
          <w:szCs w:val="28"/>
          <w:highlight w:val="none"/>
          <w:u w:val="single"/>
          <w:lang w:val="en-US" w:eastAsia="zh-CN"/>
        </w:rPr>
        <w:t>（采购文件中明确的所属行业）</w:t>
      </w:r>
      <w:r>
        <w:rPr>
          <w:rFonts w:hint="eastAsia" w:ascii="宋体" w:hAnsi="宋体" w:eastAsia="宋体" w:cs="宋体"/>
          <w:b w:val="0"/>
          <w:bCs/>
          <w:sz w:val="28"/>
          <w:szCs w:val="28"/>
          <w:highlight w:val="none"/>
          <w:lang w:val="en-US" w:eastAsia="zh-CN"/>
        </w:rPr>
        <w:t>；承建</w:t>
      </w:r>
      <w:r>
        <w:rPr>
          <w:rFonts w:hint="eastAsia" w:ascii="宋体" w:hAnsi="宋体" w:eastAsia="宋体" w:cs="宋体"/>
          <w:b w:val="0"/>
          <w:bCs/>
          <w:sz w:val="28"/>
          <w:szCs w:val="28"/>
          <w:highlight w:val="none"/>
          <w:u w:val="single"/>
          <w:lang w:val="en-US" w:eastAsia="zh-CN"/>
        </w:rPr>
        <w:t>（承接）</w:t>
      </w:r>
      <w:r>
        <w:rPr>
          <w:rFonts w:hint="eastAsia" w:ascii="宋体" w:hAnsi="宋体" w:eastAsia="宋体" w:cs="宋体"/>
          <w:b w:val="0"/>
          <w:bCs/>
          <w:sz w:val="28"/>
          <w:szCs w:val="28"/>
          <w:highlight w:val="none"/>
          <w:lang w:val="en-US" w:eastAsia="zh-CN"/>
        </w:rPr>
        <w:t>企业为</w:t>
      </w:r>
      <w:r>
        <w:rPr>
          <w:rFonts w:hint="eastAsia" w:ascii="宋体" w:hAnsi="宋体" w:eastAsia="宋体" w:cs="宋体"/>
          <w:b w:val="0"/>
          <w:bCs/>
          <w:sz w:val="28"/>
          <w:szCs w:val="28"/>
          <w:highlight w:val="none"/>
          <w:u w:val="single"/>
          <w:lang w:val="en-US" w:eastAsia="zh-CN"/>
        </w:rPr>
        <w:t>（企业名称）</w:t>
      </w:r>
      <w:r>
        <w:rPr>
          <w:rFonts w:hint="eastAsia" w:ascii="宋体" w:hAnsi="宋体" w:eastAsia="宋体" w:cs="宋体"/>
          <w:b w:val="0"/>
          <w:bCs/>
          <w:sz w:val="28"/>
          <w:szCs w:val="28"/>
          <w:highlight w:val="none"/>
          <w:lang w:val="en-US" w:eastAsia="zh-CN"/>
        </w:rPr>
        <w:t>，从业人员</w:t>
      </w:r>
      <w:r>
        <w:rPr>
          <w:rFonts w:hint="eastAsia" w:ascii="宋体" w:hAnsi="宋体" w:eastAsia="宋体" w:cs="宋体"/>
          <w:b w:val="0"/>
          <w:bCs/>
          <w:sz w:val="28"/>
          <w:szCs w:val="28"/>
          <w:highlight w:val="none"/>
          <w:u w:val="single"/>
          <w:lang w:val="en-US" w:eastAsia="zh-CN"/>
        </w:rPr>
        <w:t xml:space="preserve">    </w:t>
      </w:r>
      <w:r>
        <w:rPr>
          <w:rFonts w:hint="eastAsia" w:ascii="宋体" w:hAnsi="宋体" w:eastAsia="宋体" w:cs="宋体"/>
          <w:b w:val="0"/>
          <w:bCs/>
          <w:sz w:val="28"/>
          <w:szCs w:val="28"/>
          <w:highlight w:val="none"/>
          <w:lang w:val="en-US" w:eastAsia="zh-CN"/>
        </w:rPr>
        <w:t>人，营业收入为</w:t>
      </w:r>
      <w:r>
        <w:rPr>
          <w:rFonts w:hint="eastAsia" w:ascii="宋体" w:hAnsi="宋体" w:eastAsia="宋体" w:cs="宋体"/>
          <w:b w:val="0"/>
          <w:bCs/>
          <w:sz w:val="28"/>
          <w:szCs w:val="28"/>
          <w:highlight w:val="none"/>
          <w:u w:val="single"/>
          <w:lang w:val="en-US" w:eastAsia="zh-CN"/>
        </w:rPr>
        <w:t xml:space="preserve">     </w:t>
      </w:r>
      <w:r>
        <w:rPr>
          <w:rFonts w:hint="eastAsia" w:ascii="宋体" w:hAnsi="宋体" w:eastAsia="宋体" w:cs="宋体"/>
          <w:b w:val="0"/>
          <w:bCs/>
          <w:sz w:val="28"/>
          <w:szCs w:val="28"/>
          <w:highlight w:val="none"/>
          <w:lang w:val="en-US" w:eastAsia="zh-CN"/>
        </w:rPr>
        <w:t>万元，资产总额为</w:t>
      </w:r>
      <w:r>
        <w:rPr>
          <w:rFonts w:hint="eastAsia" w:ascii="宋体" w:hAnsi="宋体" w:eastAsia="宋体" w:cs="宋体"/>
          <w:b w:val="0"/>
          <w:bCs/>
          <w:sz w:val="28"/>
          <w:szCs w:val="28"/>
          <w:highlight w:val="none"/>
          <w:u w:val="single"/>
          <w:lang w:val="en-US" w:eastAsia="zh-CN"/>
        </w:rPr>
        <w:t xml:space="preserve">    </w:t>
      </w:r>
      <w:r>
        <w:rPr>
          <w:rFonts w:hint="eastAsia" w:ascii="宋体" w:hAnsi="宋体" w:eastAsia="宋体" w:cs="宋体"/>
          <w:b w:val="0"/>
          <w:bCs/>
          <w:sz w:val="28"/>
          <w:szCs w:val="28"/>
          <w:highlight w:val="none"/>
          <w:lang w:val="en-US" w:eastAsia="zh-CN"/>
        </w:rPr>
        <w:t>万元，属于</w:t>
      </w:r>
      <w:r>
        <w:rPr>
          <w:rFonts w:hint="eastAsia" w:ascii="宋体" w:hAnsi="宋体" w:eastAsia="宋体" w:cs="宋体"/>
          <w:b w:val="0"/>
          <w:bCs/>
          <w:sz w:val="28"/>
          <w:szCs w:val="28"/>
          <w:highlight w:val="none"/>
          <w:u w:val="single"/>
          <w:lang w:val="en-US" w:eastAsia="zh-CN"/>
        </w:rPr>
        <w:t xml:space="preserve">      （中型企业、小型企业、微型企业）</w:t>
      </w:r>
      <w:r>
        <w:rPr>
          <w:rFonts w:hint="eastAsia" w:ascii="宋体" w:hAnsi="宋体" w:eastAsia="宋体" w:cs="宋体"/>
          <w:b w:val="0"/>
          <w:bCs/>
          <w:sz w:val="28"/>
          <w:szCs w:val="28"/>
          <w:highlight w:val="none"/>
          <w:lang w:val="en-US" w:eastAsia="zh-CN"/>
        </w:rPr>
        <w:t xml:space="preserve">； </w:t>
      </w:r>
    </w:p>
    <w:p w14:paraId="6E5FB568">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 </w:t>
      </w:r>
    </w:p>
    <w:p w14:paraId="137A6ECC">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以上企业，不属于大企业的分支机构，不存在控股股东为大企业的情形，也不存在与大企业的负责人为同一人的情形。 </w:t>
      </w:r>
    </w:p>
    <w:p w14:paraId="64EE9371">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 xml:space="preserve">本企业对上述声明内容的真实性负责。如有虚假，将依法承担相应责任。 </w:t>
      </w:r>
    </w:p>
    <w:p w14:paraId="3C4D4212">
      <w:pPr>
        <w:pStyle w:val="6"/>
        <w:keepNext w:val="0"/>
        <w:numPr>
          <w:ilvl w:val="0"/>
          <w:numId w:val="0"/>
        </w:numPr>
        <w:tabs>
          <w:tab w:val="left" w:pos="420"/>
        </w:tabs>
        <w:spacing w:line="360" w:lineRule="auto"/>
        <w:jc w:val="left"/>
        <w:rPr>
          <w:rStyle w:val="28"/>
          <w:rFonts w:hint="eastAsia" w:ascii="宋体" w:hAnsi="宋体" w:eastAsia="宋体" w:cs="宋体"/>
          <w:b/>
          <w:bCs/>
          <w:color w:val="auto"/>
          <w:sz w:val="28"/>
          <w:szCs w:val="24"/>
          <w:highlight w:val="none"/>
          <w:lang w:val="en-US" w:eastAsia="zh-CN"/>
        </w:rPr>
      </w:pPr>
    </w:p>
    <w:p w14:paraId="0BCDE4B2">
      <w:pPr>
        <w:bidi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Cs/>
          <w:color w:val="auto"/>
          <w:sz w:val="20"/>
          <w:szCs w:val="18"/>
          <w:highlight w:val="none"/>
          <w:lang w:val="en-US" w:eastAsia="zh-CN"/>
        </w:rPr>
        <w:t xml:space="preserve">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color w:val="auto"/>
          <w:sz w:val="28"/>
          <w:szCs w:val="28"/>
          <w:highlight w:val="none"/>
        </w:rPr>
        <w:t>供应商名称（盖章）：</w:t>
      </w:r>
    </w:p>
    <w:p w14:paraId="024E2EB2">
      <w:pPr>
        <w:bidi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法定代表人或委托代理人（签字或盖章）：</w:t>
      </w:r>
    </w:p>
    <w:p w14:paraId="47210406">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日期：     年   月   </w:t>
      </w:r>
      <w:r>
        <w:rPr>
          <w:rFonts w:hint="eastAsia" w:ascii="宋体" w:hAnsi="宋体" w:eastAsia="宋体" w:cs="宋体"/>
          <w:color w:val="auto"/>
          <w:sz w:val="28"/>
          <w:szCs w:val="28"/>
          <w:highlight w:val="none"/>
          <w:lang w:val="en-US" w:eastAsia="zh-CN"/>
        </w:rPr>
        <w:t>日</w:t>
      </w:r>
    </w:p>
    <w:p w14:paraId="743F2272">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color w:val="auto"/>
          <w:sz w:val="28"/>
          <w:szCs w:val="28"/>
          <w:highlight w:val="none"/>
          <w:lang w:val="en-US" w:eastAsia="zh-CN"/>
        </w:rPr>
      </w:pPr>
    </w:p>
    <w:p w14:paraId="4520C7E7">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十二、其他资料</w:t>
      </w:r>
    </w:p>
    <w:p w14:paraId="215D9E65">
      <w:pPr>
        <w:adjustRightInd w:val="0"/>
        <w:spacing w:line="360" w:lineRule="auto"/>
        <w:jc w:val="center"/>
        <w:textAlignment w:val="baseline"/>
        <w:rPr>
          <w:rFonts w:hint="eastAsia" w:ascii="宋体" w:hAnsi="宋体" w:eastAsia="宋体" w:cs="宋体"/>
          <w:b/>
          <w:color w:val="auto"/>
          <w:sz w:val="28"/>
          <w:szCs w:val="28"/>
          <w:highlight w:val="none"/>
        </w:rPr>
      </w:pPr>
      <w:r>
        <w:rPr>
          <w:rFonts w:hint="eastAsia" w:ascii="宋体" w:hAnsi="宋体" w:eastAsia="宋体" w:cs="宋体"/>
          <w:color w:val="auto"/>
          <w:sz w:val="24"/>
          <w:szCs w:val="21"/>
          <w:highlight w:val="none"/>
        </w:rPr>
        <w:t>（磋商文件规定应提交的有关资料，或供应商认为应提交的其他资料，在此提交）</w:t>
      </w:r>
    </w:p>
    <w:p w14:paraId="52353A1C">
      <w:pPr>
        <w:rPr>
          <w:rFonts w:hint="eastAsia" w:ascii="宋体" w:hAnsi="宋体" w:eastAsia="宋体" w:cs="宋体"/>
          <w:sz w:val="24"/>
          <w:szCs w:val="28"/>
          <w:highlight w:val="none"/>
        </w:rPr>
      </w:pPr>
    </w:p>
    <w:p w14:paraId="1A1C0613">
      <w:pPr>
        <w:rPr>
          <w:rFonts w:hint="eastAsia" w:ascii="宋体" w:hAnsi="宋体" w:eastAsia="宋体" w:cs="宋体"/>
          <w:sz w:val="24"/>
          <w:szCs w:val="20"/>
        </w:rPr>
      </w:pPr>
    </w:p>
    <w:sectPr>
      <w:footerReference r:id="rId17" w:type="first"/>
      <w:footerReference r:id="rId16" w:type="default"/>
      <w:pgSz w:w="12240" w:h="15840"/>
      <w:pgMar w:top="1440" w:right="1418" w:bottom="1440" w:left="1259" w:header="851" w:footer="851"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EDE7D"/>
  <w:p w14:paraId="56680FCB"/>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FEB0A">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39745">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639745">
                    <w:pPr>
                      <w:pStyle w:val="13"/>
                    </w:pPr>
                    <w:r>
                      <w:fldChar w:fldCharType="begin"/>
                    </w:r>
                    <w:r>
                      <w:instrText xml:space="preserve"> PAGE  \* MERGEFORMAT </w:instrText>
                    </w:r>
                    <w:r>
                      <w:fldChar w:fldCharType="separate"/>
                    </w:r>
                    <w:r>
                      <w:t>2</w:t>
                    </w:r>
                    <w:r>
                      <w:fldChar w:fldCharType="end"/>
                    </w:r>
                  </w:p>
                </w:txbxContent>
              </v:textbox>
            </v:shape>
          </w:pict>
        </mc:Fallback>
      </mc:AlternateContent>
    </w:r>
  </w:p>
  <w:p w14:paraId="1411E0A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60CDD">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A4B87E">
                          <w:pPr>
                            <w:pStyle w:val="13"/>
                          </w:pPr>
                          <w:r>
                            <w:fldChar w:fldCharType="begin"/>
                          </w:r>
                          <w:r>
                            <w:instrText xml:space="preserve"> PAGE  \* MERGEFORMAT </w:instrText>
                          </w:r>
                          <w:r>
                            <w:fldChar w:fldCharType="separate"/>
                          </w:r>
                          <w:r>
                            <w:t>77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7BA4B87E">
                    <w:pPr>
                      <w:pStyle w:val="13"/>
                    </w:pPr>
                    <w:r>
                      <w:fldChar w:fldCharType="begin"/>
                    </w:r>
                    <w:r>
                      <w:instrText xml:space="preserve"> PAGE  \* MERGEFORMAT </w:instrText>
                    </w:r>
                    <w:r>
                      <w:fldChar w:fldCharType="separate"/>
                    </w:r>
                    <w:r>
                      <w:t>77</w:t>
                    </w:r>
                    <w:r>
                      <w:fldChar w:fldCharType="end"/>
                    </w:r>
                  </w:p>
                </w:txbxContent>
              </v:textbox>
            </v:shape>
          </w:pict>
        </mc:Fallback>
      </mc:AlternateContent>
    </w:r>
  </w:p>
  <w:p w14:paraId="184EA83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438D8"/>
  <w:p w14:paraId="3A3EC51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16EE">
    <w:pPr>
      <w:pStyle w:val="3"/>
      <w:spacing w:before="0"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E1EED">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AE1EED">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BC057">
    <w:pPr>
      <w:pStyle w:val="3"/>
      <w:spacing w:before="0" w:line="14" w:lineRule="auto"/>
      <w:ind w:left="0"/>
      <w:rPr>
        <w:sz w:val="20"/>
      </w:rPr>
    </w:pPr>
    <w:r>
      <mc:AlternateContent>
        <mc:Choice Requires="wps">
          <w:drawing>
            <wp:anchor distT="0" distB="0" distL="114300" distR="114300" simplePos="0" relativeHeight="251664384" behindDoc="1" locked="0" layoutInCell="1" allowOverlap="1">
              <wp:simplePos x="0" y="0"/>
              <wp:positionH relativeFrom="page">
                <wp:posOffset>874395</wp:posOffset>
              </wp:positionH>
              <wp:positionV relativeFrom="page">
                <wp:posOffset>10023475</wp:posOffset>
              </wp:positionV>
              <wp:extent cx="114300" cy="16637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a:noFill/>
                      </a:ln>
                    </wps:spPr>
                    <wps:txbx>
                      <w:txbxContent>
                        <w:p w14:paraId="3BAE850E">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68.85pt;margin-top:789.25pt;height:13.1pt;width:9pt;mso-position-horizontal-relative:page;mso-position-vertical-relative:page;z-index:-251652096;mso-width-relative:page;mso-height-relative:page;" filled="f" stroked="f" coordsize="21600,21600" o:gfxdata="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Q3mbtoAAAANAQAADwAAAAAAAAABACAAAAAiAAAAZHJzL2Rvd25yZXYueG1sUEsB&#10;AhQAFAAAAAgAh07iQKLNVTi6AQAAcwMAAA4AAAAAAAAAAQAgAAAAKQEAAGRycy9lMm9Eb2MueG1s&#10;UEsFBgAAAAAGAAYAWQEAAFUFAAAAAA==&#10;">
              <v:fill on="f" focussize="0,0"/>
              <v:stroke on="f"/>
              <v:imagedata o:title=""/>
              <o:lock v:ext="edit" aspectratio="f"/>
              <v:textbox inset="0mm,0mm,0mm,0mm">
                <w:txbxContent>
                  <w:p w14:paraId="3BAE850E">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1C10">
    <w:pPr>
      <w:widowControl w:val="0"/>
      <w:autoSpaceDE w:val="0"/>
      <w:autoSpaceDN w:val="0"/>
      <w:spacing w:before="0" w:after="0" w:line="14" w:lineRule="auto"/>
      <w:ind w:left="0" w:right="0"/>
      <w:jc w:val="left"/>
      <w:rPr>
        <w:rFonts w:ascii="方正书宋_GBK" w:hAnsi="方正书宋_GBK" w:eastAsia="方正书宋_GBK" w:cs="方正书宋_GBK"/>
        <w:sz w:val="20"/>
        <w:szCs w:val="22"/>
        <w:lang w:val="en-US" w:eastAsia="en-US" w:bidi="ar-SA"/>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22DB5">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722DB5">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A59A2">
    <w:pPr>
      <w:widowControl w:val="0"/>
      <w:autoSpaceDE w:val="0"/>
      <w:autoSpaceDN w:val="0"/>
      <w:spacing w:before="0" w:after="0" w:line="14" w:lineRule="auto"/>
      <w:ind w:left="0" w:right="0"/>
      <w:jc w:val="left"/>
      <w:rPr>
        <w:rFonts w:ascii="方正书宋_GBK" w:hAnsi="方正书宋_GBK" w:eastAsia="方正书宋_GBK" w:cs="方正书宋_GBK"/>
        <w:sz w:val="20"/>
        <w:szCs w:val="22"/>
        <w:lang w:val="en-US" w:eastAsia="en-US" w:bidi="ar-SA"/>
      </w:rPr>
    </w:pPr>
    <w:r>
      <w:rPr>
        <w:rFonts w:ascii="方正书宋_GBK" w:hAnsi="方正书宋_GBK" w:eastAsia="方正书宋_GBK" w:cs="方正书宋_GBK"/>
        <w:sz w:val="22"/>
        <w:szCs w:val="22"/>
        <w:lang w:val="en-US" w:eastAsia="en-US" w:bidi="ar-SA"/>
      </w:rPr>
      <mc:AlternateContent>
        <mc:Choice Requires="wps">
          <w:drawing>
            <wp:anchor distT="0" distB="0" distL="114300" distR="114300" simplePos="0" relativeHeight="251664384" behindDoc="1" locked="0" layoutInCell="1" allowOverlap="1">
              <wp:simplePos x="0" y="0"/>
              <wp:positionH relativeFrom="page">
                <wp:posOffset>874395</wp:posOffset>
              </wp:positionH>
              <wp:positionV relativeFrom="page">
                <wp:posOffset>10023475</wp:posOffset>
              </wp:positionV>
              <wp:extent cx="114300" cy="16637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14300" cy="166370"/>
                      </a:xfrm>
                      <a:prstGeom prst="rect">
                        <a:avLst/>
                      </a:prstGeom>
                      <a:noFill/>
                      <a:ln>
                        <a:noFill/>
                      </a:ln>
                    </wps:spPr>
                    <wps:txbx>
                      <w:txbxContent>
                        <w:p w14:paraId="314DB9D4">
                          <w:pPr>
                            <w:autoSpaceDE w:val="0"/>
                            <w:autoSpaceDN w:val="0"/>
                            <w:adjustRightInd/>
                            <w:spacing w:before="11" w:after="0" w:line="240" w:lineRule="auto"/>
                            <w:ind w:left="40" w:right="0" w:firstLine="0"/>
                            <w:jc w:val="left"/>
                            <w:textAlignment w:val="auto"/>
                            <w:rPr>
                              <w:rFonts w:ascii="Times New Roman" w:hAnsi="方正书宋_GBK" w:eastAsia="方正书宋_GBK" w:cs="方正书宋_GBK"/>
                              <w:sz w:val="20"/>
                              <w:szCs w:val="22"/>
                              <w:lang w:eastAsia="en-US"/>
                            </w:rPr>
                          </w:pPr>
                          <w:r>
                            <w:rPr>
                              <w:rFonts w:ascii="方正书宋_GBK" w:hAnsi="方正书宋_GBK" w:eastAsia="方正书宋_GBK" w:cs="方正书宋_GBK"/>
                              <w:sz w:val="22"/>
                              <w:szCs w:val="22"/>
                              <w:lang w:eastAsia="en-US"/>
                            </w:rPr>
                            <w:fldChar w:fldCharType="begin"/>
                          </w:r>
                          <w:r>
                            <w:rPr>
                              <w:rFonts w:ascii="Times New Roman" w:hAnsi="方正书宋_GBK" w:eastAsia="方正书宋_GBK" w:cs="方正书宋_GBK"/>
                              <w:color w:val="231F20"/>
                              <w:sz w:val="20"/>
                              <w:szCs w:val="22"/>
                              <w:lang w:eastAsia="en-US"/>
                            </w:rPr>
                            <w:instrText xml:space="preserve"> PAGE </w:instrText>
                          </w:r>
                          <w:r>
                            <w:rPr>
                              <w:rFonts w:ascii="方正书宋_GBK" w:hAnsi="方正书宋_GBK" w:eastAsia="方正书宋_GBK" w:cs="方正书宋_GBK"/>
                              <w:sz w:val="22"/>
                              <w:szCs w:val="22"/>
                              <w:lang w:eastAsia="en-US"/>
                            </w:rPr>
                            <w:fldChar w:fldCharType="separate"/>
                          </w:r>
                          <w:r>
                            <w:rPr>
                              <w:rFonts w:ascii="方正书宋_GBK" w:hAnsi="方正书宋_GBK" w:eastAsia="方正书宋_GBK" w:cs="方正书宋_GBK"/>
                              <w:sz w:val="22"/>
                              <w:szCs w:val="22"/>
                              <w:lang w:eastAsia="en-US"/>
                            </w:rPr>
                            <w:t>2</w:t>
                          </w:r>
                          <w:r>
                            <w:rPr>
                              <w:rFonts w:ascii="方正书宋_GBK" w:hAnsi="方正书宋_GBK" w:eastAsia="方正书宋_GBK" w:cs="方正书宋_GBK"/>
                              <w:sz w:val="22"/>
                              <w:szCs w:val="22"/>
                              <w:lang w:eastAsia="en-US"/>
                            </w:rPr>
                            <w:fldChar w:fldCharType="end"/>
                          </w:r>
                        </w:p>
                      </w:txbxContent>
                    </wps:txbx>
                    <wps:bodyPr lIns="0" tIns="0" rIns="0" bIns="0" upright="1"/>
                  </wps:wsp>
                </a:graphicData>
              </a:graphic>
            </wp:anchor>
          </w:drawing>
        </mc:Choice>
        <mc:Fallback>
          <w:pict>
            <v:shape id="_x0000_s1026" o:spid="_x0000_s1026" o:spt="202" type="#_x0000_t202" style="position:absolute;left:0pt;margin-left:68.85pt;margin-top:789.25pt;height:13.1pt;width:9pt;mso-position-horizontal-relative:page;mso-position-vertical-relative:page;z-index:-251652096;mso-width-relative:page;mso-height-relative:page;" filled="f" stroked="f" coordsize="21600,21600" o:gfxdata="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kN5m7aAAAADQEAAA8AAAAAAAAAAQAgAAAAIgAAAGRycy9kb3ducmV2LnhtbFBL&#10;AQIUABQAAAAIAIdO4kCU1zPauwEAAHMDAAAOAAAAAAAAAAEAIAAAACkBAABkcnMvZTJvRG9jLnht&#10;bFBLBQYAAAAABgAGAFkBAABWBQAAAAA=&#10;">
              <v:fill on="f" focussize="0,0"/>
              <v:stroke on="f"/>
              <v:imagedata o:title=""/>
              <o:lock v:ext="edit" aspectratio="f"/>
              <v:textbox inset="0mm,0mm,0mm,0mm">
                <w:txbxContent>
                  <w:p w14:paraId="314DB9D4">
                    <w:pPr>
                      <w:autoSpaceDE w:val="0"/>
                      <w:autoSpaceDN w:val="0"/>
                      <w:adjustRightInd/>
                      <w:spacing w:before="11" w:after="0" w:line="240" w:lineRule="auto"/>
                      <w:ind w:left="40" w:right="0" w:firstLine="0"/>
                      <w:jc w:val="left"/>
                      <w:textAlignment w:val="auto"/>
                      <w:rPr>
                        <w:rFonts w:ascii="Times New Roman" w:hAnsi="方正书宋_GBK" w:eastAsia="方正书宋_GBK" w:cs="方正书宋_GBK"/>
                        <w:sz w:val="20"/>
                        <w:szCs w:val="22"/>
                        <w:lang w:eastAsia="en-US"/>
                      </w:rPr>
                    </w:pPr>
                    <w:r>
                      <w:rPr>
                        <w:rFonts w:ascii="方正书宋_GBK" w:hAnsi="方正书宋_GBK" w:eastAsia="方正书宋_GBK" w:cs="方正书宋_GBK"/>
                        <w:sz w:val="22"/>
                        <w:szCs w:val="22"/>
                        <w:lang w:eastAsia="en-US"/>
                      </w:rPr>
                      <w:fldChar w:fldCharType="begin"/>
                    </w:r>
                    <w:r>
                      <w:rPr>
                        <w:rFonts w:ascii="Times New Roman" w:hAnsi="方正书宋_GBK" w:eastAsia="方正书宋_GBK" w:cs="方正书宋_GBK"/>
                        <w:color w:val="231F20"/>
                        <w:sz w:val="20"/>
                        <w:szCs w:val="22"/>
                        <w:lang w:eastAsia="en-US"/>
                      </w:rPr>
                      <w:instrText xml:space="preserve"> PAGE </w:instrText>
                    </w:r>
                    <w:r>
                      <w:rPr>
                        <w:rFonts w:ascii="方正书宋_GBK" w:hAnsi="方正书宋_GBK" w:eastAsia="方正书宋_GBK" w:cs="方正书宋_GBK"/>
                        <w:sz w:val="22"/>
                        <w:szCs w:val="22"/>
                        <w:lang w:eastAsia="en-US"/>
                      </w:rPr>
                      <w:fldChar w:fldCharType="separate"/>
                    </w:r>
                    <w:r>
                      <w:rPr>
                        <w:rFonts w:ascii="方正书宋_GBK" w:hAnsi="方正书宋_GBK" w:eastAsia="方正书宋_GBK" w:cs="方正书宋_GBK"/>
                        <w:sz w:val="22"/>
                        <w:szCs w:val="22"/>
                        <w:lang w:eastAsia="en-US"/>
                      </w:rPr>
                      <w:t>2</w:t>
                    </w:r>
                    <w:r>
                      <w:rPr>
                        <w:rFonts w:ascii="方正书宋_GBK" w:hAnsi="方正书宋_GBK" w:eastAsia="方正书宋_GBK" w:cs="方正书宋_GBK"/>
                        <w:sz w:val="22"/>
                        <w:szCs w:val="22"/>
                        <w:lang w:eastAsia="en-US"/>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9E22">
    <w:pPr>
      <w:widowControl w:val="0"/>
      <w:autoSpaceDE w:val="0"/>
      <w:autoSpaceDN w:val="0"/>
      <w:spacing w:before="0" w:after="0" w:line="14" w:lineRule="auto"/>
      <w:ind w:left="0" w:right="0"/>
      <w:jc w:val="left"/>
      <w:rPr>
        <w:rFonts w:ascii="方正书宋_GBK" w:hAnsi="方正书宋_GBK" w:eastAsia="方正书宋_GBK" w:cs="方正书宋_GBK"/>
        <w:sz w:val="20"/>
        <w:szCs w:val="22"/>
        <w:lang w:val="en-US" w:eastAsia="en-US" w:bidi="ar-SA"/>
      </w:rPr>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13F1F">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A13F1F">
                    <w:pPr>
                      <w:pStyle w:val="13"/>
                    </w:pPr>
                    <w:r>
                      <w:fldChar w:fldCharType="begin"/>
                    </w:r>
                    <w:r>
                      <w:instrText xml:space="preserve"> PAGE  \* MERGEFORMAT </w:instrText>
                    </w:r>
                    <w:r>
                      <w:fldChar w:fldCharType="separate"/>
                    </w:r>
                    <w:r>
                      <w:t>49</w:t>
                    </w:r>
                    <w:r>
                      <w:fldChar w:fldCharType="end"/>
                    </w:r>
                  </w:p>
                </w:txbxContent>
              </v:textbox>
            </v:shape>
          </w:pict>
        </mc:Fallback>
      </mc:AlternateContent>
    </w:r>
    <w:r>
      <w:rPr>
        <w:rFonts w:ascii="方正书宋_GBK" w:hAnsi="方正书宋_GBK" w:eastAsia="方正书宋_GBK" w:cs="方正书宋_GBK"/>
        <w:sz w:val="22"/>
        <w:szCs w:val="22"/>
        <w:lang w:val="en-US" w:eastAsia="en-US" w:bidi="ar-SA"/>
      </w:rPr>
      <mc:AlternateContent>
        <mc:Choice Requires="wps">
          <w:drawing>
            <wp:anchor distT="0" distB="0" distL="114300" distR="114300" simplePos="0" relativeHeight="251664384" behindDoc="1" locked="0" layoutInCell="1" allowOverlap="1">
              <wp:simplePos x="0" y="0"/>
              <wp:positionH relativeFrom="page">
                <wp:posOffset>6511925</wp:posOffset>
              </wp:positionH>
              <wp:positionV relativeFrom="page">
                <wp:posOffset>10023475</wp:posOffset>
              </wp:positionV>
              <wp:extent cx="168910" cy="16637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68910" cy="166370"/>
                      </a:xfrm>
                      <a:prstGeom prst="rect">
                        <a:avLst/>
                      </a:prstGeom>
                      <a:noFill/>
                      <a:ln>
                        <a:noFill/>
                      </a:ln>
                    </wps:spPr>
                    <wps:txbx>
                      <w:txbxContent>
                        <w:p w14:paraId="3AF3361A">
                          <w:pPr>
                            <w:autoSpaceDE w:val="0"/>
                            <w:autoSpaceDN w:val="0"/>
                            <w:adjustRightInd/>
                            <w:spacing w:before="11" w:after="0" w:line="240" w:lineRule="auto"/>
                            <w:ind w:left="40" w:right="0" w:firstLine="0"/>
                            <w:jc w:val="left"/>
                            <w:textAlignment w:val="auto"/>
                            <w:rPr>
                              <w:rFonts w:ascii="Times New Roman" w:hAnsi="方正书宋_GBK" w:eastAsia="方正书宋_GBK" w:cs="方正书宋_GBK"/>
                              <w:sz w:val="20"/>
                              <w:szCs w:val="22"/>
                              <w:lang w:eastAsia="en-US"/>
                            </w:rPr>
                          </w:pPr>
                          <w:r>
                            <w:rPr>
                              <w:rFonts w:ascii="Times New Roman" w:hAnsi="方正书宋_GBK" w:eastAsia="方正书宋_GBK" w:cs="方正书宋_GBK"/>
                              <w:color w:val="231F20"/>
                              <w:sz w:val="20"/>
                              <w:szCs w:val="22"/>
                              <w:lang w:eastAsia="en-US"/>
                            </w:rPr>
                            <w:t>11</w:t>
                          </w:r>
                        </w:p>
                      </w:txbxContent>
                    </wps:txbx>
                    <wps:bodyPr lIns="0" tIns="0" rIns="0" bIns="0" upright="1"/>
                  </wps:wsp>
                </a:graphicData>
              </a:graphic>
            </wp:anchor>
          </w:drawing>
        </mc:Choice>
        <mc:Fallback>
          <w:pict>
            <v:shape id="_x0000_s1026" o:spid="_x0000_s1026" o:spt="202" type="#_x0000_t202" style="position:absolute;left:0pt;margin-left:512.75pt;margin-top:789.25pt;height:13.1pt;width:13.3pt;mso-position-horizontal-relative:page;mso-position-vertical-relative:page;z-index:-251652096;mso-width-relative:page;mso-height-relative:page;" filled="f" stroked="f" coordsize="21600,21600" o:gfxdata="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bdUF2wAAAA8BAAAPAAAAAAAAAAEAIAAAACIAAABkcnMvZG93bnJldi54bWxQ&#10;SwECFAAUAAAACACHTuJA/TwPbbsBAABzAwAADgAAAAAAAAABACAAAAAqAQAAZHJzL2Uyb0RvYy54&#10;bWxQSwUGAAAAAAYABgBZAQAAVwUAAAAA&#10;">
              <v:fill on="f" focussize="0,0"/>
              <v:stroke on="f"/>
              <v:imagedata o:title=""/>
              <o:lock v:ext="edit" aspectratio="f"/>
              <v:textbox inset="0mm,0mm,0mm,0mm">
                <w:txbxContent>
                  <w:p w14:paraId="3AF3361A">
                    <w:pPr>
                      <w:autoSpaceDE w:val="0"/>
                      <w:autoSpaceDN w:val="0"/>
                      <w:adjustRightInd/>
                      <w:spacing w:before="11" w:after="0" w:line="240" w:lineRule="auto"/>
                      <w:ind w:left="40" w:right="0" w:firstLine="0"/>
                      <w:jc w:val="left"/>
                      <w:textAlignment w:val="auto"/>
                      <w:rPr>
                        <w:rFonts w:ascii="Times New Roman" w:hAnsi="方正书宋_GBK" w:eastAsia="方正书宋_GBK" w:cs="方正书宋_GBK"/>
                        <w:sz w:val="20"/>
                        <w:szCs w:val="22"/>
                        <w:lang w:eastAsia="en-US"/>
                      </w:rPr>
                    </w:pPr>
                    <w:r>
                      <w:rPr>
                        <w:rFonts w:ascii="Times New Roman" w:hAnsi="方正书宋_GBK" w:eastAsia="方正书宋_GBK" w:cs="方正书宋_GBK"/>
                        <w:color w:val="231F20"/>
                        <w:sz w:val="20"/>
                        <w:szCs w:val="22"/>
                        <w:lang w:eastAsia="en-US"/>
                      </w:rPr>
                      <w:t>11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656E">
    <w:pPr>
      <w:widowControl w:val="0"/>
      <w:autoSpaceDE w:val="0"/>
      <w:autoSpaceDN w:val="0"/>
      <w:spacing w:before="0" w:after="0" w:line="14" w:lineRule="auto"/>
      <w:ind w:left="0" w:right="0"/>
      <w:jc w:val="left"/>
      <w:rPr>
        <w:rFonts w:ascii="方正书宋_GBK" w:hAnsi="方正书宋_GBK" w:eastAsia="方正书宋_GBK" w:cs="方正书宋_GBK"/>
        <w:sz w:val="20"/>
        <w:szCs w:val="22"/>
        <w:lang w:val="en-US" w:eastAsia="en-US" w:bidi="ar-SA"/>
      </w:rPr>
    </w:pPr>
    <w:r>
      <w:rPr>
        <w:rFonts w:ascii="方正书宋_GBK" w:hAnsi="方正书宋_GBK" w:eastAsia="方正书宋_GBK" w:cs="方正书宋_GBK"/>
        <w:sz w:val="22"/>
        <w:szCs w:val="22"/>
        <w:lang w:val="en-US" w:eastAsia="en-US" w:bidi="ar-SA"/>
      </w:rPr>
      <mc:AlternateContent>
        <mc:Choice Requires="wps">
          <w:drawing>
            <wp:anchor distT="0" distB="0" distL="114300" distR="114300" simplePos="0" relativeHeight="251664384" behindDoc="1" locked="0" layoutInCell="1" allowOverlap="1">
              <wp:simplePos x="0" y="0"/>
              <wp:positionH relativeFrom="page">
                <wp:posOffset>887095</wp:posOffset>
              </wp:positionH>
              <wp:positionV relativeFrom="page">
                <wp:posOffset>10023475</wp:posOffset>
              </wp:positionV>
              <wp:extent cx="152400" cy="16637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52400" cy="166370"/>
                      </a:xfrm>
                      <a:prstGeom prst="rect">
                        <a:avLst/>
                      </a:prstGeom>
                      <a:noFill/>
                      <a:ln>
                        <a:noFill/>
                      </a:ln>
                    </wps:spPr>
                    <wps:txbx>
                      <w:txbxContent>
                        <w:p w14:paraId="4F06B70C">
                          <w:pPr>
                            <w:autoSpaceDE w:val="0"/>
                            <w:autoSpaceDN w:val="0"/>
                            <w:adjustRightInd/>
                            <w:spacing w:before="11" w:after="0" w:line="240" w:lineRule="auto"/>
                            <w:ind w:left="20" w:right="0" w:firstLine="0"/>
                            <w:jc w:val="left"/>
                            <w:textAlignment w:val="auto"/>
                            <w:rPr>
                              <w:rFonts w:ascii="Times New Roman" w:hAnsi="方正书宋_GBK" w:eastAsia="方正书宋_GBK" w:cs="方正书宋_GBK"/>
                              <w:sz w:val="20"/>
                              <w:szCs w:val="22"/>
                              <w:lang w:eastAsia="en-US"/>
                            </w:rPr>
                          </w:pPr>
                          <w:r>
                            <w:rPr>
                              <w:rFonts w:ascii="Times New Roman" w:hAnsi="方正书宋_GBK" w:eastAsia="方正书宋_GBK" w:cs="方正书宋_GBK"/>
                              <w:color w:val="231F20"/>
                              <w:sz w:val="20"/>
                              <w:szCs w:val="22"/>
                              <w:lang w:eastAsia="en-US"/>
                            </w:rPr>
                            <w:t>10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2pt;mso-position-horizontal-relative:page;mso-position-vertical-relative:page;z-index:-251652096;mso-width-relative:page;mso-height-relative:page;" filled="f" stroked="f" coordsize="21600,21600" o:gfxdata="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VnA2QAAAA0BAAAPAAAAAAAAAAEAIAAAACIAAABkcnMvZG93bnJldi54bWxQSwEC&#10;FAAUAAAACACHTuJA1CSlPboBAABzAwAADgAAAAAAAAABACAAAAAoAQAAZHJzL2Uyb0RvYy54bWxQ&#10;SwUGAAAAAAYABgBZAQAAVAUAAAAA&#10;">
              <v:fill on="f" focussize="0,0"/>
              <v:stroke on="f"/>
              <v:imagedata o:title=""/>
              <o:lock v:ext="edit" aspectratio="f"/>
              <v:textbox inset="0mm,0mm,0mm,0mm">
                <w:txbxContent>
                  <w:p w14:paraId="4F06B70C">
                    <w:pPr>
                      <w:autoSpaceDE w:val="0"/>
                      <w:autoSpaceDN w:val="0"/>
                      <w:adjustRightInd/>
                      <w:spacing w:before="11" w:after="0" w:line="240" w:lineRule="auto"/>
                      <w:ind w:left="20" w:right="0" w:firstLine="0"/>
                      <w:jc w:val="left"/>
                      <w:textAlignment w:val="auto"/>
                      <w:rPr>
                        <w:rFonts w:ascii="Times New Roman" w:hAnsi="方正书宋_GBK" w:eastAsia="方正书宋_GBK" w:cs="方正书宋_GBK"/>
                        <w:sz w:val="20"/>
                        <w:szCs w:val="22"/>
                        <w:lang w:eastAsia="en-US"/>
                      </w:rPr>
                    </w:pPr>
                    <w:r>
                      <w:rPr>
                        <w:rFonts w:ascii="Times New Roman" w:hAnsi="方正书宋_GBK" w:eastAsia="方正书宋_GBK" w:cs="方正书宋_GBK"/>
                        <w:color w:val="231F20"/>
                        <w:sz w:val="20"/>
                        <w:szCs w:val="22"/>
                        <w:lang w:eastAsia="en-US"/>
                      </w:rPr>
                      <w:t>10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DBFB7">
    <w:pPr>
      <w:widowControl w:val="0"/>
      <w:autoSpaceDE w:val="0"/>
      <w:autoSpaceDN w:val="0"/>
      <w:spacing w:before="0" w:after="0" w:line="14" w:lineRule="auto"/>
      <w:ind w:left="0" w:right="0"/>
      <w:jc w:val="left"/>
      <w:rPr>
        <w:rFonts w:ascii="方正书宋_GBK" w:hAnsi="方正书宋_GBK" w:eastAsia="方正书宋_GBK" w:cs="方正书宋_GBK"/>
        <w:sz w:val="20"/>
        <w:szCs w:val="22"/>
        <w:lang w:val="en-US" w:eastAsia="en-US" w:bidi="ar-SA"/>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3D7E0">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83D7E0">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B476">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554F6">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decimal"/>
      <w:lvlText w:val="%1"/>
      <w:lvlJc w:val="left"/>
      <w:pPr>
        <w:ind w:left="883" w:hanging="327"/>
        <w:jc w:val="left"/>
      </w:pPr>
      <w:rPr>
        <w:rFonts w:hint="default"/>
      </w:rPr>
    </w:lvl>
    <w:lvl w:ilvl="1" w:tentative="0">
      <w:start w:val="4"/>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752" w:hanging="491"/>
      </w:pPr>
      <w:rPr>
        <w:rFonts w:hint="default"/>
      </w:rPr>
    </w:lvl>
    <w:lvl w:ilvl="4" w:tentative="0">
      <w:start w:val="0"/>
      <w:numFmt w:val="bullet"/>
      <w:lvlText w:val="•"/>
      <w:lvlJc w:val="left"/>
      <w:pPr>
        <w:ind w:left="3688" w:hanging="491"/>
      </w:pPr>
      <w:rPr>
        <w:rFonts w:hint="default"/>
      </w:rPr>
    </w:lvl>
    <w:lvl w:ilvl="5" w:tentative="0">
      <w:start w:val="0"/>
      <w:numFmt w:val="bullet"/>
      <w:lvlText w:val="•"/>
      <w:lvlJc w:val="left"/>
      <w:pPr>
        <w:ind w:left="4624" w:hanging="491"/>
      </w:pPr>
      <w:rPr>
        <w:rFonts w:hint="default"/>
      </w:rPr>
    </w:lvl>
    <w:lvl w:ilvl="6" w:tentative="0">
      <w:start w:val="0"/>
      <w:numFmt w:val="bullet"/>
      <w:lvlText w:val="•"/>
      <w:lvlJc w:val="left"/>
      <w:pPr>
        <w:ind w:left="5560" w:hanging="491"/>
      </w:pPr>
      <w:rPr>
        <w:rFonts w:hint="default"/>
      </w:rPr>
    </w:lvl>
    <w:lvl w:ilvl="7" w:tentative="0">
      <w:start w:val="0"/>
      <w:numFmt w:val="bullet"/>
      <w:lvlText w:val="•"/>
      <w:lvlJc w:val="left"/>
      <w:pPr>
        <w:ind w:left="6497" w:hanging="491"/>
      </w:pPr>
      <w:rPr>
        <w:rFonts w:hint="default"/>
      </w:rPr>
    </w:lvl>
    <w:lvl w:ilvl="8" w:tentative="0">
      <w:start w:val="0"/>
      <w:numFmt w:val="bullet"/>
      <w:lvlText w:val="•"/>
      <w:lvlJc w:val="left"/>
      <w:pPr>
        <w:ind w:left="7433" w:hanging="491"/>
      </w:pPr>
      <w:rPr>
        <w:rFonts w:hint="default"/>
      </w:rPr>
    </w:lvl>
  </w:abstractNum>
  <w:abstractNum w:abstractNumId="1">
    <w:nsid w:val="9C8AC8EF"/>
    <w:multiLevelType w:val="multilevel"/>
    <w:tmpl w:val="9C8AC8EF"/>
    <w:lvl w:ilvl="0" w:tentative="0">
      <w:start w:val="6"/>
      <w:numFmt w:val="decimal"/>
      <w:lvlText w:val="%1"/>
      <w:lvlJc w:val="left"/>
      <w:pPr>
        <w:ind w:left="117" w:hanging="490"/>
        <w:jc w:val="left"/>
      </w:pPr>
      <w:rPr>
        <w:rFonts w:hint="default"/>
      </w:rPr>
    </w:lvl>
    <w:lvl w:ilvl="1" w:tentative="0">
      <w:start w:val="2"/>
      <w:numFmt w:val="decimal"/>
      <w:lvlText w:val="%1.%2"/>
      <w:lvlJc w:val="left"/>
      <w:pPr>
        <w:ind w:left="117" w:hanging="490"/>
        <w:jc w:val="left"/>
      </w:pPr>
      <w:rPr>
        <w:rFonts w:hint="default"/>
      </w:rPr>
    </w:lvl>
    <w:lvl w:ilvl="2" w:tentative="0">
      <w:start w:val="5"/>
      <w:numFmt w:val="decimal"/>
      <w:lvlText w:val="%1.%2.%3"/>
      <w:lvlJc w:val="left"/>
      <w:pPr>
        <w:ind w:left="11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75" w:hanging="490"/>
      </w:pPr>
      <w:rPr>
        <w:rFonts w:hint="default"/>
      </w:rPr>
    </w:lvl>
    <w:lvl w:ilvl="4" w:tentative="0">
      <w:start w:val="0"/>
      <w:numFmt w:val="bullet"/>
      <w:lvlText w:val="•"/>
      <w:lvlJc w:val="left"/>
      <w:pPr>
        <w:ind w:left="3794" w:hanging="490"/>
      </w:pPr>
      <w:rPr>
        <w:rFonts w:hint="default"/>
      </w:rPr>
    </w:lvl>
    <w:lvl w:ilvl="5" w:tentative="0">
      <w:start w:val="0"/>
      <w:numFmt w:val="bullet"/>
      <w:lvlText w:val="•"/>
      <w:lvlJc w:val="left"/>
      <w:pPr>
        <w:ind w:left="4712" w:hanging="490"/>
      </w:pPr>
      <w:rPr>
        <w:rFonts w:hint="default"/>
      </w:rPr>
    </w:lvl>
    <w:lvl w:ilvl="6" w:tentative="0">
      <w:start w:val="0"/>
      <w:numFmt w:val="bullet"/>
      <w:lvlText w:val="•"/>
      <w:lvlJc w:val="left"/>
      <w:pPr>
        <w:ind w:left="5631" w:hanging="490"/>
      </w:pPr>
      <w:rPr>
        <w:rFonts w:hint="default"/>
      </w:rPr>
    </w:lvl>
    <w:lvl w:ilvl="7" w:tentative="0">
      <w:start w:val="0"/>
      <w:numFmt w:val="bullet"/>
      <w:lvlText w:val="•"/>
      <w:lvlJc w:val="left"/>
      <w:pPr>
        <w:ind w:left="6549" w:hanging="490"/>
      </w:pPr>
      <w:rPr>
        <w:rFonts w:hint="default"/>
      </w:rPr>
    </w:lvl>
    <w:lvl w:ilvl="8" w:tentative="0">
      <w:start w:val="0"/>
      <w:numFmt w:val="bullet"/>
      <w:lvlText w:val="•"/>
      <w:lvlJc w:val="left"/>
      <w:pPr>
        <w:ind w:left="7468" w:hanging="490"/>
      </w:pPr>
      <w:rPr>
        <w:rFonts w:hint="default"/>
      </w:rPr>
    </w:lvl>
  </w:abstractNum>
  <w:abstractNum w:abstractNumId="2">
    <w:nsid w:val="B5E306ED"/>
    <w:multiLevelType w:val="multilevel"/>
    <w:tmpl w:val="B5E306ED"/>
    <w:lvl w:ilvl="0" w:tentative="0">
      <w:start w:val="1"/>
      <w:numFmt w:val="decimal"/>
      <w:lvlText w:val="%1."/>
      <w:lvlJc w:val="left"/>
      <w:pPr>
        <w:ind w:left="117"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048" w:hanging="218"/>
      </w:pPr>
      <w:rPr>
        <w:rFonts w:hint="default"/>
      </w:rPr>
    </w:lvl>
    <w:lvl w:ilvl="2" w:tentative="0">
      <w:start w:val="0"/>
      <w:numFmt w:val="bullet"/>
      <w:lvlText w:val="•"/>
      <w:lvlJc w:val="left"/>
      <w:pPr>
        <w:ind w:left="1977" w:hanging="218"/>
      </w:pPr>
      <w:rPr>
        <w:rFonts w:hint="default"/>
      </w:rPr>
    </w:lvl>
    <w:lvl w:ilvl="3" w:tentative="0">
      <w:start w:val="0"/>
      <w:numFmt w:val="bullet"/>
      <w:lvlText w:val="•"/>
      <w:lvlJc w:val="left"/>
      <w:pPr>
        <w:ind w:left="2905" w:hanging="218"/>
      </w:pPr>
      <w:rPr>
        <w:rFonts w:hint="default"/>
      </w:rPr>
    </w:lvl>
    <w:lvl w:ilvl="4" w:tentative="0">
      <w:start w:val="0"/>
      <w:numFmt w:val="bullet"/>
      <w:lvlText w:val="•"/>
      <w:lvlJc w:val="left"/>
      <w:pPr>
        <w:ind w:left="3834" w:hanging="218"/>
      </w:pPr>
      <w:rPr>
        <w:rFonts w:hint="default"/>
      </w:rPr>
    </w:lvl>
    <w:lvl w:ilvl="5" w:tentative="0">
      <w:start w:val="0"/>
      <w:numFmt w:val="bullet"/>
      <w:lvlText w:val="•"/>
      <w:lvlJc w:val="left"/>
      <w:pPr>
        <w:ind w:left="4762" w:hanging="218"/>
      </w:pPr>
      <w:rPr>
        <w:rFonts w:hint="default"/>
      </w:rPr>
    </w:lvl>
    <w:lvl w:ilvl="6" w:tentative="0">
      <w:start w:val="0"/>
      <w:numFmt w:val="bullet"/>
      <w:lvlText w:val="•"/>
      <w:lvlJc w:val="left"/>
      <w:pPr>
        <w:ind w:left="5691" w:hanging="218"/>
      </w:pPr>
      <w:rPr>
        <w:rFonts w:hint="default"/>
      </w:rPr>
    </w:lvl>
    <w:lvl w:ilvl="7" w:tentative="0">
      <w:start w:val="0"/>
      <w:numFmt w:val="bullet"/>
      <w:lvlText w:val="•"/>
      <w:lvlJc w:val="left"/>
      <w:pPr>
        <w:ind w:left="6619" w:hanging="218"/>
      </w:pPr>
      <w:rPr>
        <w:rFonts w:hint="default"/>
      </w:rPr>
    </w:lvl>
    <w:lvl w:ilvl="8" w:tentative="0">
      <w:start w:val="0"/>
      <w:numFmt w:val="bullet"/>
      <w:lvlText w:val="•"/>
      <w:lvlJc w:val="left"/>
      <w:pPr>
        <w:ind w:left="7548" w:hanging="218"/>
      </w:pPr>
      <w:rPr>
        <w:rFonts w:hint="default"/>
      </w:rPr>
    </w:lvl>
  </w:abstractNum>
  <w:abstractNum w:abstractNumId="3">
    <w:nsid w:val="BF205925"/>
    <w:multiLevelType w:val="multilevel"/>
    <w:tmpl w:val="BF205925"/>
    <w:lvl w:ilvl="0" w:tentative="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8"/>
      </w:pPr>
      <w:rPr>
        <w:rFonts w:hint="default"/>
      </w:rPr>
    </w:lvl>
    <w:lvl w:ilvl="2" w:tentative="0">
      <w:start w:val="0"/>
      <w:numFmt w:val="bullet"/>
      <w:lvlText w:val="•"/>
      <w:lvlJc w:val="left"/>
      <w:pPr>
        <w:ind w:left="2505" w:hanging="218"/>
      </w:pPr>
      <w:rPr>
        <w:rFonts w:hint="default"/>
      </w:rPr>
    </w:lvl>
    <w:lvl w:ilvl="3" w:tentative="0">
      <w:start w:val="0"/>
      <w:numFmt w:val="bullet"/>
      <w:lvlText w:val="•"/>
      <w:lvlJc w:val="left"/>
      <w:pPr>
        <w:ind w:left="3367" w:hanging="218"/>
      </w:pPr>
      <w:rPr>
        <w:rFonts w:hint="default"/>
      </w:rPr>
    </w:lvl>
    <w:lvl w:ilvl="4" w:tentative="0">
      <w:start w:val="0"/>
      <w:numFmt w:val="bullet"/>
      <w:lvlText w:val="•"/>
      <w:lvlJc w:val="left"/>
      <w:pPr>
        <w:ind w:left="4230" w:hanging="218"/>
      </w:pPr>
      <w:rPr>
        <w:rFonts w:hint="default"/>
      </w:rPr>
    </w:lvl>
    <w:lvl w:ilvl="5" w:tentative="0">
      <w:start w:val="0"/>
      <w:numFmt w:val="bullet"/>
      <w:lvlText w:val="•"/>
      <w:lvlJc w:val="left"/>
      <w:pPr>
        <w:ind w:left="5092" w:hanging="218"/>
      </w:pPr>
      <w:rPr>
        <w:rFonts w:hint="default"/>
      </w:rPr>
    </w:lvl>
    <w:lvl w:ilvl="6" w:tentative="0">
      <w:start w:val="0"/>
      <w:numFmt w:val="bullet"/>
      <w:lvlText w:val="•"/>
      <w:lvlJc w:val="left"/>
      <w:pPr>
        <w:ind w:left="5955" w:hanging="218"/>
      </w:pPr>
      <w:rPr>
        <w:rFonts w:hint="default"/>
      </w:rPr>
    </w:lvl>
    <w:lvl w:ilvl="7" w:tentative="0">
      <w:start w:val="0"/>
      <w:numFmt w:val="bullet"/>
      <w:lvlText w:val="•"/>
      <w:lvlJc w:val="left"/>
      <w:pPr>
        <w:ind w:left="6817" w:hanging="218"/>
      </w:pPr>
      <w:rPr>
        <w:rFonts w:hint="default"/>
      </w:rPr>
    </w:lvl>
    <w:lvl w:ilvl="8" w:tentative="0">
      <w:start w:val="0"/>
      <w:numFmt w:val="bullet"/>
      <w:lvlText w:val="•"/>
      <w:lvlJc w:val="left"/>
      <w:pPr>
        <w:ind w:left="7680" w:hanging="218"/>
      </w:pPr>
      <w:rPr>
        <w:rFonts w:hint="default"/>
      </w:rPr>
    </w:lvl>
  </w:abstractNum>
  <w:abstractNum w:abstractNumId="4">
    <w:nsid w:val="C8879AEF"/>
    <w:multiLevelType w:val="multilevel"/>
    <w:tmpl w:val="C8879AEF"/>
    <w:lvl w:ilvl="0" w:tentative="0">
      <w:start w:val="4"/>
      <w:numFmt w:val="decimal"/>
      <w:lvlText w:val="%1."/>
      <w:lvlJc w:val="left"/>
      <w:pPr>
        <w:ind w:left="801" w:hanging="245"/>
        <w:jc w:val="left"/>
      </w:pPr>
      <w:rPr>
        <w:rFonts w:hint="default" w:ascii="方正黑体_GBK" w:hAnsi="方正黑体_GBK" w:eastAsia="方正黑体_GBK" w:cs="方正黑体_GBK"/>
        <w:color w:val="231F20"/>
        <w:w w:val="100"/>
        <w:sz w:val="22"/>
        <w:szCs w:val="22"/>
      </w:rPr>
    </w:lvl>
    <w:lvl w:ilvl="1" w:tentative="0">
      <w:start w:val="1"/>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1933" w:hanging="491"/>
      </w:pPr>
      <w:rPr>
        <w:rFonts w:hint="default"/>
      </w:rPr>
    </w:lvl>
    <w:lvl w:ilvl="4" w:tentative="0">
      <w:start w:val="0"/>
      <w:numFmt w:val="bullet"/>
      <w:lvlText w:val="•"/>
      <w:lvlJc w:val="left"/>
      <w:pPr>
        <w:ind w:left="2986" w:hanging="491"/>
      </w:pPr>
      <w:rPr>
        <w:rFonts w:hint="default"/>
      </w:rPr>
    </w:lvl>
    <w:lvl w:ilvl="5" w:tentative="0">
      <w:start w:val="0"/>
      <w:numFmt w:val="bullet"/>
      <w:lvlText w:val="•"/>
      <w:lvlJc w:val="left"/>
      <w:pPr>
        <w:ind w:left="4039" w:hanging="491"/>
      </w:pPr>
      <w:rPr>
        <w:rFonts w:hint="default"/>
      </w:rPr>
    </w:lvl>
    <w:lvl w:ilvl="6" w:tentative="0">
      <w:start w:val="0"/>
      <w:numFmt w:val="bullet"/>
      <w:lvlText w:val="•"/>
      <w:lvlJc w:val="left"/>
      <w:pPr>
        <w:ind w:left="5092" w:hanging="491"/>
      </w:pPr>
      <w:rPr>
        <w:rFonts w:hint="default"/>
      </w:rPr>
    </w:lvl>
    <w:lvl w:ilvl="7" w:tentative="0">
      <w:start w:val="0"/>
      <w:numFmt w:val="bullet"/>
      <w:lvlText w:val="•"/>
      <w:lvlJc w:val="left"/>
      <w:pPr>
        <w:ind w:left="6145" w:hanging="491"/>
      </w:pPr>
      <w:rPr>
        <w:rFonts w:hint="default"/>
      </w:rPr>
    </w:lvl>
    <w:lvl w:ilvl="8" w:tentative="0">
      <w:start w:val="0"/>
      <w:numFmt w:val="bullet"/>
      <w:lvlText w:val="•"/>
      <w:lvlJc w:val="left"/>
      <w:pPr>
        <w:ind w:left="7199" w:hanging="491"/>
      </w:pPr>
      <w:rPr>
        <w:rFonts w:hint="default"/>
      </w:rPr>
    </w:lvl>
  </w:abstractNum>
  <w:abstractNum w:abstractNumId="5">
    <w:nsid w:val="CF092B84"/>
    <w:multiLevelType w:val="multilevel"/>
    <w:tmpl w:val="CF092B84"/>
    <w:lvl w:ilvl="0" w:tentative="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8"/>
      </w:pPr>
      <w:rPr>
        <w:rFonts w:hint="default"/>
      </w:rPr>
    </w:lvl>
    <w:lvl w:ilvl="2" w:tentative="0">
      <w:start w:val="0"/>
      <w:numFmt w:val="bullet"/>
      <w:lvlText w:val="•"/>
      <w:lvlJc w:val="left"/>
      <w:pPr>
        <w:ind w:left="2505" w:hanging="218"/>
      </w:pPr>
      <w:rPr>
        <w:rFonts w:hint="default"/>
      </w:rPr>
    </w:lvl>
    <w:lvl w:ilvl="3" w:tentative="0">
      <w:start w:val="0"/>
      <w:numFmt w:val="bullet"/>
      <w:lvlText w:val="•"/>
      <w:lvlJc w:val="left"/>
      <w:pPr>
        <w:ind w:left="3367" w:hanging="218"/>
      </w:pPr>
      <w:rPr>
        <w:rFonts w:hint="default"/>
      </w:rPr>
    </w:lvl>
    <w:lvl w:ilvl="4" w:tentative="0">
      <w:start w:val="0"/>
      <w:numFmt w:val="bullet"/>
      <w:lvlText w:val="•"/>
      <w:lvlJc w:val="left"/>
      <w:pPr>
        <w:ind w:left="4230" w:hanging="218"/>
      </w:pPr>
      <w:rPr>
        <w:rFonts w:hint="default"/>
      </w:rPr>
    </w:lvl>
    <w:lvl w:ilvl="5" w:tentative="0">
      <w:start w:val="0"/>
      <w:numFmt w:val="bullet"/>
      <w:lvlText w:val="•"/>
      <w:lvlJc w:val="left"/>
      <w:pPr>
        <w:ind w:left="5092" w:hanging="218"/>
      </w:pPr>
      <w:rPr>
        <w:rFonts w:hint="default"/>
      </w:rPr>
    </w:lvl>
    <w:lvl w:ilvl="6" w:tentative="0">
      <w:start w:val="0"/>
      <w:numFmt w:val="bullet"/>
      <w:lvlText w:val="•"/>
      <w:lvlJc w:val="left"/>
      <w:pPr>
        <w:ind w:left="5955" w:hanging="218"/>
      </w:pPr>
      <w:rPr>
        <w:rFonts w:hint="default"/>
      </w:rPr>
    </w:lvl>
    <w:lvl w:ilvl="7" w:tentative="0">
      <w:start w:val="0"/>
      <w:numFmt w:val="bullet"/>
      <w:lvlText w:val="•"/>
      <w:lvlJc w:val="left"/>
      <w:pPr>
        <w:ind w:left="6817" w:hanging="218"/>
      </w:pPr>
      <w:rPr>
        <w:rFonts w:hint="default"/>
      </w:rPr>
    </w:lvl>
    <w:lvl w:ilvl="8" w:tentative="0">
      <w:start w:val="0"/>
      <w:numFmt w:val="bullet"/>
      <w:lvlText w:val="•"/>
      <w:lvlJc w:val="left"/>
      <w:pPr>
        <w:ind w:left="7680" w:hanging="218"/>
      </w:pPr>
      <w:rPr>
        <w:rFonts w:hint="default"/>
      </w:rPr>
    </w:lvl>
  </w:abstractNum>
  <w:abstractNum w:abstractNumId="6">
    <w:nsid w:val="D7F9FE59"/>
    <w:multiLevelType w:val="multilevel"/>
    <w:tmpl w:val="D7F9FE59"/>
    <w:lvl w:ilvl="0" w:tentative="0">
      <w:start w:val="6"/>
      <w:numFmt w:val="decimal"/>
      <w:lvlText w:val="%1"/>
      <w:lvlJc w:val="left"/>
      <w:pPr>
        <w:ind w:left="117" w:hanging="509"/>
        <w:jc w:val="left"/>
      </w:pPr>
      <w:rPr>
        <w:rFonts w:hint="default"/>
      </w:rPr>
    </w:lvl>
    <w:lvl w:ilvl="1" w:tentative="0">
      <w:start w:val="2"/>
      <w:numFmt w:val="decimal"/>
      <w:lvlText w:val="%1.%2"/>
      <w:lvlJc w:val="left"/>
      <w:pPr>
        <w:ind w:left="117" w:hanging="509"/>
        <w:jc w:val="left"/>
      </w:pPr>
      <w:rPr>
        <w:rFonts w:hint="default"/>
      </w:rPr>
    </w:lvl>
    <w:lvl w:ilvl="2" w:tentative="0">
      <w:start w:val="2"/>
      <w:numFmt w:val="decimal"/>
      <w:lvlText w:val="%1.%2.%3"/>
      <w:lvlJc w:val="left"/>
      <w:pPr>
        <w:ind w:left="117" w:hanging="509"/>
        <w:jc w:val="left"/>
      </w:pPr>
      <w:rPr>
        <w:rFonts w:hint="default" w:ascii="方正书宋_GBK" w:hAnsi="方正书宋_GBK" w:eastAsia="方正书宋_GBK" w:cs="方正书宋_GBK"/>
        <w:color w:val="231F20"/>
        <w:w w:val="100"/>
        <w:sz w:val="22"/>
        <w:szCs w:val="22"/>
      </w:rPr>
    </w:lvl>
    <w:lvl w:ilvl="3" w:tentative="0">
      <w:start w:val="0"/>
      <w:numFmt w:val="bullet"/>
      <w:lvlText w:val="•"/>
      <w:lvlJc w:val="left"/>
      <w:pPr>
        <w:ind w:left="2875" w:hanging="509"/>
      </w:pPr>
      <w:rPr>
        <w:rFonts w:hint="default"/>
      </w:rPr>
    </w:lvl>
    <w:lvl w:ilvl="4" w:tentative="0">
      <w:start w:val="0"/>
      <w:numFmt w:val="bullet"/>
      <w:lvlText w:val="•"/>
      <w:lvlJc w:val="left"/>
      <w:pPr>
        <w:ind w:left="3794" w:hanging="509"/>
      </w:pPr>
      <w:rPr>
        <w:rFonts w:hint="default"/>
      </w:rPr>
    </w:lvl>
    <w:lvl w:ilvl="5" w:tentative="0">
      <w:start w:val="0"/>
      <w:numFmt w:val="bullet"/>
      <w:lvlText w:val="•"/>
      <w:lvlJc w:val="left"/>
      <w:pPr>
        <w:ind w:left="4712" w:hanging="509"/>
      </w:pPr>
      <w:rPr>
        <w:rFonts w:hint="default"/>
      </w:rPr>
    </w:lvl>
    <w:lvl w:ilvl="6" w:tentative="0">
      <w:start w:val="0"/>
      <w:numFmt w:val="bullet"/>
      <w:lvlText w:val="•"/>
      <w:lvlJc w:val="left"/>
      <w:pPr>
        <w:ind w:left="5631" w:hanging="509"/>
      </w:pPr>
      <w:rPr>
        <w:rFonts w:hint="default"/>
      </w:rPr>
    </w:lvl>
    <w:lvl w:ilvl="7" w:tentative="0">
      <w:start w:val="0"/>
      <w:numFmt w:val="bullet"/>
      <w:lvlText w:val="•"/>
      <w:lvlJc w:val="left"/>
      <w:pPr>
        <w:ind w:left="6549" w:hanging="509"/>
      </w:pPr>
      <w:rPr>
        <w:rFonts w:hint="default"/>
      </w:rPr>
    </w:lvl>
    <w:lvl w:ilvl="8" w:tentative="0">
      <w:start w:val="0"/>
      <w:numFmt w:val="bullet"/>
      <w:lvlText w:val="•"/>
      <w:lvlJc w:val="left"/>
      <w:pPr>
        <w:ind w:left="7468" w:hanging="509"/>
      </w:pPr>
      <w:rPr>
        <w:rFonts w:hint="default"/>
      </w:rPr>
    </w:lvl>
  </w:abstractNum>
  <w:abstractNum w:abstractNumId="7">
    <w:nsid w:val="DCBA6B53"/>
    <w:multiLevelType w:val="multilevel"/>
    <w:tmpl w:val="DCBA6B53"/>
    <w:lvl w:ilvl="0" w:tentative="0">
      <w:start w:val="2"/>
      <w:numFmt w:val="decimal"/>
      <w:lvlText w:val="%1"/>
      <w:lvlJc w:val="left"/>
      <w:pPr>
        <w:ind w:left="883" w:hanging="327"/>
        <w:jc w:val="left"/>
      </w:pPr>
      <w:rPr>
        <w:rFonts w:hint="default"/>
      </w:rPr>
    </w:lvl>
    <w:lvl w:ilvl="1" w:tentative="0">
      <w:start w:val="4"/>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3"/>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99" w:hanging="490"/>
      </w:pPr>
      <w:rPr>
        <w:rFonts w:hint="default"/>
      </w:rPr>
    </w:lvl>
    <w:lvl w:ilvl="4" w:tentative="0">
      <w:start w:val="0"/>
      <w:numFmt w:val="bullet"/>
      <w:lvlText w:val="•"/>
      <w:lvlJc w:val="left"/>
      <w:pPr>
        <w:ind w:left="3828" w:hanging="490"/>
      </w:pPr>
      <w:rPr>
        <w:rFonts w:hint="default"/>
      </w:rPr>
    </w:lvl>
    <w:lvl w:ilvl="5" w:tentative="0">
      <w:start w:val="0"/>
      <w:numFmt w:val="bullet"/>
      <w:lvlText w:val="•"/>
      <w:lvlJc w:val="left"/>
      <w:pPr>
        <w:ind w:left="4758" w:hanging="490"/>
      </w:pPr>
      <w:rPr>
        <w:rFonts w:hint="default"/>
      </w:rPr>
    </w:lvl>
    <w:lvl w:ilvl="6" w:tentative="0">
      <w:start w:val="0"/>
      <w:numFmt w:val="bullet"/>
      <w:lvlText w:val="•"/>
      <w:lvlJc w:val="left"/>
      <w:pPr>
        <w:ind w:left="5687" w:hanging="490"/>
      </w:pPr>
      <w:rPr>
        <w:rFonts w:hint="default"/>
      </w:rPr>
    </w:lvl>
    <w:lvl w:ilvl="7" w:tentative="0">
      <w:start w:val="0"/>
      <w:numFmt w:val="bullet"/>
      <w:lvlText w:val="•"/>
      <w:lvlJc w:val="left"/>
      <w:pPr>
        <w:ind w:left="6617" w:hanging="490"/>
      </w:pPr>
      <w:rPr>
        <w:rFonts w:hint="default"/>
      </w:rPr>
    </w:lvl>
    <w:lvl w:ilvl="8" w:tentative="0">
      <w:start w:val="0"/>
      <w:numFmt w:val="bullet"/>
      <w:lvlText w:val="•"/>
      <w:lvlJc w:val="left"/>
      <w:pPr>
        <w:ind w:left="7546" w:hanging="490"/>
      </w:pPr>
      <w:rPr>
        <w:rFonts w:hint="default"/>
      </w:rPr>
    </w:lvl>
  </w:abstractNum>
  <w:abstractNum w:abstractNumId="8">
    <w:nsid w:val="F4B5D9F5"/>
    <w:multiLevelType w:val="multilevel"/>
    <w:tmpl w:val="F4B5D9F5"/>
    <w:lvl w:ilvl="0" w:tentative="0">
      <w:start w:val="1"/>
      <w:numFmt w:val="decimal"/>
      <w:lvlText w:val="%1."/>
      <w:lvlJc w:val="left"/>
      <w:pPr>
        <w:ind w:left="801" w:hanging="245"/>
        <w:jc w:val="left"/>
      </w:pPr>
      <w:rPr>
        <w:rFonts w:hint="default" w:ascii="方正黑体_GBK" w:hAnsi="方正黑体_GBK" w:eastAsia="方正黑体_GBK" w:cs="方正黑体_GBK"/>
        <w:color w:val="231F20"/>
        <w:w w:val="100"/>
        <w:sz w:val="22"/>
        <w:szCs w:val="22"/>
      </w:rPr>
    </w:lvl>
    <w:lvl w:ilvl="1" w:tentative="0">
      <w:start w:val="1"/>
      <w:numFmt w:val="decimal"/>
      <w:lvlText w:val="%1.%2"/>
      <w:lvlJc w:val="left"/>
      <w:pPr>
        <w:ind w:left="883" w:hanging="327"/>
        <w:jc w:val="righ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085" w:hanging="490"/>
      </w:pPr>
      <w:rPr>
        <w:rFonts w:hint="default"/>
      </w:rPr>
    </w:lvl>
    <w:lvl w:ilvl="4" w:tentative="0">
      <w:start w:val="0"/>
      <w:numFmt w:val="bullet"/>
      <w:lvlText w:val="•"/>
      <w:lvlJc w:val="left"/>
      <w:pPr>
        <w:ind w:left="3131" w:hanging="490"/>
      </w:pPr>
      <w:rPr>
        <w:rFonts w:hint="default"/>
      </w:rPr>
    </w:lvl>
    <w:lvl w:ilvl="5" w:tentative="0">
      <w:start w:val="0"/>
      <w:numFmt w:val="bullet"/>
      <w:lvlText w:val="•"/>
      <w:lvlJc w:val="left"/>
      <w:pPr>
        <w:ind w:left="4177" w:hanging="490"/>
      </w:pPr>
      <w:rPr>
        <w:rFonts w:hint="default"/>
      </w:rPr>
    </w:lvl>
    <w:lvl w:ilvl="6" w:tentative="0">
      <w:start w:val="0"/>
      <w:numFmt w:val="bullet"/>
      <w:lvlText w:val="•"/>
      <w:lvlJc w:val="left"/>
      <w:pPr>
        <w:ind w:left="5222" w:hanging="490"/>
      </w:pPr>
      <w:rPr>
        <w:rFonts w:hint="default"/>
      </w:rPr>
    </w:lvl>
    <w:lvl w:ilvl="7" w:tentative="0">
      <w:start w:val="0"/>
      <w:numFmt w:val="bullet"/>
      <w:lvlText w:val="•"/>
      <w:lvlJc w:val="left"/>
      <w:pPr>
        <w:ind w:left="6268" w:hanging="490"/>
      </w:pPr>
      <w:rPr>
        <w:rFonts w:hint="default"/>
      </w:rPr>
    </w:lvl>
    <w:lvl w:ilvl="8" w:tentative="0">
      <w:start w:val="0"/>
      <w:numFmt w:val="bullet"/>
      <w:lvlText w:val="•"/>
      <w:lvlJc w:val="left"/>
      <w:pPr>
        <w:ind w:left="7314" w:hanging="490"/>
      </w:pPr>
      <w:rPr>
        <w:rFonts w:hint="default"/>
      </w:rPr>
    </w:lvl>
  </w:abstractNum>
  <w:abstractNum w:abstractNumId="9">
    <w:nsid w:val="F7B64A3F"/>
    <w:multiLevelType w:val="singleLevel"/>
    <w:tmpl w:val="F7B64A3F"/>
    <w:lvl w:ilvl="0" w:tentative="0">
      <w:start w:val="1"/>
      <w:numFmt w:val="decimal"/>
      <w:suff w:val="nothing"/>
      <w:lvlText w:val="%1、"/>
      <w:lvlJc w:val="left"/>
    </w:lvl>
  </w:abstractNum>
  <w:abstractNum w:abstractNumId="10">
    <w:nsid w:val="FFFE3CED"/>
    <w:multiLevelType w:val="singleLevel"/>
    <w:tmpl w:val="FFFE3CED"/>
    <w:lvl w:ilvl="0" w:tentative="0">
      <w:start w:val="1"/>
      <w:numFmt w:val="chineseCounting"/>
      <w:suff w:val="nothing"/>
      <w:lvlText w:val="%1、"/>
      <w:lvlJc w:val="left"/>
      <w:rPr>
        <w:rFonts w:hint="eastAsia"/>
      </w:rPr>
    </w:lvl>
  </w:abstractNum>
  <w:abstractNum w:abstractNumId="11">
    <w:nsid w:val="0053208E"/>
    <w:multiLevelType w:val="multilevel"/>
    <w:tmpl w:val="0053208E"/>
    <w:lvl w:ilvl="0" w:tentative="0">
      <w:start w:val="1"/>
      <w:numFmt w:val="decimal"/>
      <w:lvlText w:val="%1."/>
      <w:lvlJc w:val="left"/>
      <w:pPr>
        <w:ind w:left="774"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42" w:hanging="218"/>
      </w:pPr>
      <w:rPr>
        <w:rFonts w:hint="default"/>
      </w:rPr>
    </w:lvl>
    <w:lvl w:ilvl="2" w:tentative="0">
      <w:start w:val="0"/>
      <w:numFmt w:val="bullet"/>
      <w:lvlText w:val="•"/>
      <w:lvlJc w:val="left"/>
      <w:pPr>
        <w:ind w:left="2505" w:hanging="218"/>
      </w:pPr>
      <w:rPr>
        <w:rFonts w:hint="default"/>
      </w:rPr>
    </w:lvl>
    <w:lvl w:ilvl="3" w:tentative="0">
      <w:start w:val="0"/>
      <w:numFmt w:val="bullet"/>
      <w:lvlText w:val="•"/>
      <w:lvlJc w:val="left"/>
      <w:pPr>
        <w:ind w:left="3367" w:hanging="218"/>
      </w:pPr>
      <w:rPr>
        <w:rFonts w:hint="default"/>
      </w:rPr>
    </w:lvl>
    <w:lvl w:ilvl="4" w:tentative="0">
      <w:start w:val="0"/>
      <w:numFmt w:val="bullet"/>
      <w:lvlText w:val="•"/>
      <w:lvlJc w:val="left"/>
      <w:pPr>
        <w:ind w:left="4230" w:hanging="218"/>
      </w:pPr>
      <w:rPr>
        <w:rFonts w:hint="default"/>
      </w:rPr>
    </w:lvl>
    <w:lvl w:ilvl="5" w:tentative="0">
      <w:start w:val="0"/>
      <w:numFmt w:val="bullet"/>
      <w:lvlText w:val="•"/>
      <w:lvlJc w:val="left"/>
      <w:pPr>
        <w:ind w:left="5092" w:hanging="218"/>
      </w:pPr>
      <w:rPr>
        <w:rFonts w:hint="default"/>
      </w:rPr>
    </w:lvl>
    <w:lvl w:ilvl="6" w:tentative="0">
      <w:start w:val="0"/>
      <w:numFmt w:val="bullet"/>
      <w:lvlText w:val="•"/>
      <w:lvlJc w:val="left"/>
      <w:pPr>
        <w:ind w:left="5955" w:hanging="218"/>
      </w:pPr>
      <w:rPr>
        <w:rFonts w:hint="default"/>
      </w:rPr>
    </w:lvl>
    <w:lvl w:ilvl="7" w:tentative="0">
      <w:start w:val="0"/>
      <w:numFmt w:val="bullet"/>
      <w:lvlText w:val="•"/>
      <w:lvlJc w:val="left"/>
      <w:pPr>
        <w:ind w:left="6817" w:hanging="218"/>
      </w:pPr>
      <w:rPr>
        <w:rFonts w:hint="default"/>
      </w:rPr>
    </w:lvl>
    <w:lvl w:ilvl="8" w:tentative="0">
      <w:start w:val="0"/>
      <w:numFmt w:val="bullet"/>
      <w:lvlText w:val="•"/>
      <w:lvlJc w:val="left"/>
      <w:pPr>
        <w:ind w:left="7680" w:hanging="218"/>
      </w:pPr>
      <w:rPr>
        <w:rFonts w:hint="default"/>
      </w:rPr>
    </w:lvl>
  </w:abstractNum>
  <w:abstractNum w:abstractNumId="12">
    <w:nsid w:val="0248C179"/>
    <w:multiLevelType w:val="multilevel"/>
    <w:tmpl w:val="0248C179"/>
    <w:lvl w:ilvl="0" w:tentative="0">
      <w:start w:val="2"/>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085" w:hanging="490"/>
      </w:pPr>
      <w:rPr>
        <w:rFonts w:hint="default"/>
      </w:rPr>
    </w:lvl>
    <w:lvl w:ilvl="4" w:tentative="0">
      <w:start w:val="0"/>
      <w:numFmt w:val="bullet"/>
      <w:lvlText w:val="•"/>
      <w:lvlJc w:val="left"/>
      <w:pPr>
        <w:ind w:left="3131" w:hanging="490"/>
      </w:pPr>
      <w:rPr>
        <w:rFonts w:hint="default"/>
      </w:rPr>
    </w:lvl>
    <w:lvl w:ilvl="5" w:tentative="0">
      <w:start w:val="0"/>
      <w:numFmt w:val="bullet"/>
      <w:lvlText w:val="•"/>
      <w:lvlJc w:val="left"/>
      <w:pPr>
        <w:ind w:left="4177" w:hanging="490"/>
      </w:pPr>
      <w:rPr>
        <w:rFonts w:hint="default"/>
      </w:rPr>
    </w:lvl>
    <w:lvl w:ilvl="6" w:tentative="0">
      <w:start w:val="0"/>
      <w:numFmt w:val="bullet"/>
      <w:lvlText w:val="•"/>
      <w:lvlJc w:val="left"/>
      <w:pPr>
        <w:ind w:left="5222" w:hanging="490"/>
      </w:pPr>
      <w:rPr>
        <w:rFonts w:hint="default"/>
      </w:rPr>
    </w:lvl>
    <w:lvl w:ilvl="7" w:tentative="0">
      <w:start w:val="0"/>
      <w:numFmt w:val="bullet"/>
      <w:lvlText w:val="•"/>
      <w:lvlJc w:val="left"/>
      <w:pPr>
        <w:ind w:left="6268" w:hanging="490"/>
      </w:pPr>
      <w:rPr>
        <w:rFonts w:hint="default"/>
      </w:rPr>
    </w:lvl>
    <w:lvl w:ilvl="8" w:tentative="0">
      <w:start w:val="0"/>
      <w:numFmt w:val="bullet"/>
      <w:lvlText w:val="•"/>
      <w:lvlJc w:val="left"/>
      <w:pPr>
        <w:ind w:left="7314" w:hanging="490"/>
      </w:pPr>
      <w:rPr>
        <w:rFonts w:hint="default"/>
      </w:rPr>
    </w:lvl>
  </w:abstractNum>
  <w:abstractNum w:abstractNumId="13">
    <w:nsid w:val="0CAF6195"/>
    <w:multiLevelType w:val="singleLevel"/>
    <w:tmpl w:val="0CAF6195"/>
    <w:lvl w:ilvl="0" w:tentative="0">
      <w:start w:val="1"/>
      <w:numFmt w:val="chineseCounting"/>
      <w:suff w:val="space"/>
      <w:lvlText w:val="第%1部分"/>
      <w:lvlJc w:val="left"/>
      <w:rPr>
        <w:rFonts w:hint="eastAsia"/>
        <w:sz w:val="36"/>
        <w:szCs w:val="36"/>
      </w:rPr>
    </w:lvl>
  </w:abstractNum>
  <w:abstractNum w:abstractNumId="14">
    <w:nsid w:val="0E640482"/>
    <w:multiLevelType w:val="multilevel"/>
    <w:tmpl w:val="0E640482"/>
    <w:lvl w:ilvl="0" w:tentative="0">
      <w:start w:val="2"/>
      <w:numFmt w:val="upperLetter"/>
      <w:lvlText w:val="%1"/>
      <w:lvlJc w:val="left"/>
      <w:pPr>
        <w:ind w:left="3918" w:hanging="613"/>
        <w:jc w:val="left"/>
      </w:pPr>
      <w:rPr>
        <w:rFonts w:hint="default"/>
      </w:rPr>
    </w:lvl>
    <w:lvl w:ilvl="1" w:tentative="0">
      <w:start w:val="2"/>
      <w:numFmt w:val="decimal"/>
      <w:lvlText w:val="%1-%2"/>
      <w:lvlJc w:val="left"/>
      <w:pPr>
        <w:ind w:left="3918" w:hanging="613"/>
        <w:jc w:val="left"/>
      </w:pPr>
      <w:rPr>
        <w:rFonts w:hint="default" w:ascii="方正黑体_GBK" w:hAnsi="方正黑体_GBK" w:eastAsia="方正黑体_GBK" w:cs="方正黑体_GBK"/>
        <w:color w:val="231F20"/>
        <w:spacing w:val="-1"/>
        <w:w w:val="100"/>
        <w:sz w:val="26"/>
        <w:szCs w:val="26"/>
      </w:rPr>
    </w:lvl>
    <w:lvl w:ilvl="2" w:tentative="0">
      <w:start w:val="0"/>
      <w:numFmt w:val="bullet"/>
      <w:lvlText w:val="•"/>
      <w:lvlJc w:val="left"/>
      <w:pPr>
        <w:ind w:left="4997" w:hanging="613"/>
      </w:pPr>
      <w:rPr>
        <w:rFonts w:hint="default"/>
      </w:rPr>
    </w:lvl>
    <w:lvl w:ilvl="3" w:tentative="0">
      <w:start w:val="0"/>
      <w:numFmt w:val="bullet"/>
      <w:lvlText w:val="•"/>
      <w:lvlJc w:val="left"/>
      <w:pPr>
        <w:ind w:left="5535" w:hanging="613"/>
      </w:pPr>
      <w:rPr>
        <w:rFonts w:hint="default"/>
      </w:rPr>
    </w:lvl>
    <w:lvl w:ilvl="4" w:tentative="0">
      <w:start w:val="0"/>
      <w:numFmt w:val="bullet"/>
      <w:lvlText w:val="•"/>
      <w:lvlJc w:val="left"/>
      <w:pPr>
        <w:ind w:left="6074" w:hanging="613"/>
      </w:pPr>
      <w:rPr>
        <w:rFonts w:hint="default"/>
      </w:rPr>
    </w:lvl>
    <w:lvl w:ilvl="5" w:tentative="0">
      <w:start w:val="0"/>
      <w:numFmt w:val="bullet"/>
      <w:lvlText w:val="•"/>
      <w:lvlJc w:val="left"/>
      <w:pPr>
        <w:ind w:left="6612" w:hanging="613"/>
      </w:pPr>
      <w:rPr>
        <w:rFonts w:hint="default"/>
      </w:rPr>
    </w:lvl>
    <w:lvl w:ilvl="6" w:tentative="0">
      <w:start w:val="0"/>
      <w:numFmt w:val="bullet"/>
      <w:lvlText w:val="•"/>
      <w:lvlJc w:val="left"/>
      <w:pPr>
        <w:ind w:left="7151" w:hanging="613"/>
      </w:pPr>
      <w:rPr>
        <w:rFonts w:hint="default"/>
      </w:rPr>
    </w:lvl>
    <w:lvl w:ilvl="7" w:tentative="0">
      <w:start w:val="0"/>
      <w:numFmt w:val="bullet"/>
      <w:lvlText w:val="•"/>
      <w:lvlJc w:val="left"/>
      <w:pPr>
        <w:ind w:left="7689" w:hanging="613"/>
      </w:pPr>
      <w:rPr>
        <w:rFonts w:hint="default"/>
      </w:rPr>
    </w:lvl>
    <w:lvl w:ilvl="8" w:tentative="0">
      <w:start w:val="0"/>
      <w:numFmt w:val="bullet"/>
      <w:lvlText w:val="•"/>
      <w:lvlJc w:val="left"/>
      <w:pPr>
        <w:ind w:left="8228" w:hanging="613"/>
      </w:pPr>
      <w:rPr>
        <w:rFonts w:hint="default"/>
      </w:rPr>
    </w:lvl>
  </w:abstractNum>
  <w:abstractNum w:abstractNumId="15">
    <w:nsid w:val="2470EC97"/>
    <w:multiLevelType w:val="multilevel"/>
    <w:tmpl w:val="2470EC97"/>
    <w:lvl w:ilvl="0" w:tentative="0">
      <w:start w:val="1"/>
      <w:numFmt w:val="decimal"/>
      <w:lvlText w:val="%1"/>
      <w:lvlJc w:val="left"/>
      <w:pPr>
        <w:ind w:left="937" w:hanging="381"/>
        <w:jc w:val="left"/>
      </w:pPr>
      <w:rPr>
        <w:rFonts w:hint="default"/>
      </w:rPr>
    </w:lvl>
    <w:lvl w:ilvl="1" w:tentative="0">
      <w:start w:val="2"/>
      <w:numFmt w:val="decimal"/>
      <w:lvlText w:val="%1.%2"/>
      <w:lvlJc w:val="left"/>
      <w:pPr>
        <w:ind w:left="937" w:hanging="381"/>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99" w:hanging="490"/>
      </w:pPr>
      <w:rPr>
        <w:rFonts w:hint="default"/>
      </w:rPr>
    </w:lvl>
    <w:lvl w:ilvl="4" w:tentative="0">
      <w:start w:val="0"/>
      <w:numFmt w:val="bullet"/>
      <w:lvlText w:val="•"/>
      <w:lvlJc w:val="left"/>
      <w:pPr>
        <w:ind w:left="3828" w:hanging="490"/>
      </w:pPr>
      <w:rPr>
        <w:rFonts w:hint="default"/>
      </w:rPr>
    </w:lvl>
    <w:lvl w:ilvl="5" w:tentative="0">
      <w:start w:val="0"/>
      <w:numFmt w:val="bullet"/>
      <w:lvlText w:val="•"/>
      <w:lvlJc w:val="left"/>
      <w:pPr>
        <w:ind w:left="4758" w:hanging="490"/>
      </w:pPr>
      <w:rPr>
        <w:rFonts w:hint="default"/>
      </w:rPr>
    </w:lvl>
    <w:lvl w:ilvl="6" w:tentative="0">
      <w:start w:val="0"/>
      <w:numFmt w:val="bullet"/>
      <w:lvlText w:val="•"/>
      <w:lvlJc w:val="left"/>
      <w:pPr>
        <w:ind w:left="5687" w:hanging="490"/>
      </w:pPr>
      <w:rPr>
        <w:rFonts w:hint="default"/>
      </w:rPr>
    </w:lvl>
    <w:lvl w:ilvl="7" w:tentative="0">
      <w:start w:val="0"/>
      <w:numFmt w:val="bullet"/>
      <w:lvlText w:val="•"/>
      <w:lvlJc w:val="left"/>
      <w:pPr>
        <w:ind w:left="6617" w:hanging="490"/>
      </w:pPr>
      <w:rPr>
        <w:rFonts w:hint="default"/>
      </w:rPr>
    </w:lvl>
    <w:lvl w:ilvl="8" w:tentative="0">
      <w:start w:val="0"/>
      <w:numFmt w:val="bullet"/>
      <w:lvlText w:val="•"/>
      <w:lvlJc w:val="left"/>
      <w:pPr>
        <w:ind w:left="7546" w:hanging="490"/>
      </w:pPr>
      <w:rPr>
        <w:rFonts w:hint="default"/>
      </w:rPr>
    </w:lvl>
  </w:abstractNum>
  <w:abstractNum w:abstractNumId="16">
    <w:nsid w:val="2A8F537B"/>
    <w:multiLevelType w:val="multilevel"/>
    <w:tmpl w:val="2A8F537B"/>
    <w:lvl w:ilvl="0" w:tentative="0">
      <w:start w:val="3"/>
      <w:numFmt w:val="decimal"/>
      <w:lvlText w:val="%1"/>
      <w:lvlJc w:val="left"/>
      <w:pPr>
        <w:ind w:left="883" w:hanging="327"/>
        <w:jc w:val="left"/>
      </w:pPr>
      <w:rPr>
        <w:rFonts w:hint="default"/>
      </w:rPr>
    </w:lvl>
    <w:lvl w:ilvl="1" w:tentative="0">
      <w:start w:val="1"/>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756" w:hanging="490"/>
      </w:pPr>
      <w:rPr>
        <w:rFonts w:hint="default"/>
      </w:rPr>
    </w:lvl>
    <w:lvl w:ilvl="4" w:tentative="0">
      <w:start w:val="0"/>
      <w:numFmt w:val="bullet"/>
      <w:lvlText w:val="•"/>
      <w:lvlJc w:val="left"/>
      <w:pPr>
        <w:ind w:left="3695" w:hanging="490"/>
      </w:pPr>
      <w:rPr>
        <w:rFonts w:hint="default"/>
      </w:rPr>
    </w:lvl>
    <w:lvl w:ilvl="5" w:tentative="0">
      <w:start w:val="0"/>
      <w:numFmt w:val="bullet"/>
      <w:lvlText w:val="•"/>
      <w:lvlJc w:val="left"/>
      <w:pPr>
        <w:ind w:left="4633" w:hanging="490"/>
      </w:pPr>
      <w:rPr>
        <w:rFonts w:hint="default"/>
      </w:rPr>
    </w:lvl>
    <w:lvl w:ilvl="6" w:tentative="0">
      <w:start w:val="0"/>
      <w:numFmt w:val="bullet"/>
      <w:lvlText w:val="•"/>
      <w:lvlJc w:val="left"/>
      <w:pPr>
        <w:ind w:left="5571" w:hanging="490"/>
      </w:pPr>
      <w:rPr>
        <w:rFonts w:hint="default"/>
      </w:rPr>
    </w:lvl>
    <w:lvl w:ilvl="7" w:tentative="0">
      <w:start w:val="0"/>
      <w:numFmt w:val="bullet"/>
      <w:lvlText w:val="•"/>
      <w:lvlJc w:val="left"/>
      <w:pPr>
        <w:ind w:left="6510" w:hanging="490"/>
      </w:pPr>
      <w:rPr>
        <w:rFonts w:hint="default"/>
      </w:rPr>
    </w:lvl>
    <w:lvl w:ilvl="8" w:tentative="0">
      <w:start w:val="0"/>
      <w:numFmt w:val="bullet"/>
      <w:lvlText w:val="•"/>
      <w:lvlJc w:val="left"/>
      <w:pPr>
        <w:ind w:left="7448" w:hanging="490"/>
      </w:pPr>
      <w:rPr>
        <w:rFonts w:hint="default"/>
      </w:rPr>
    </w:lvl>
  </w:abstractNum>
  <w:abstractNum w:abstractNumId="17">
    <w:nsid w:val="4C1BAE26"/>
    <w:multiLevelType w:val="multilevel"/>
    <w:tmpl w:val="4C1BAE26"/>
    <w:lvl w:ilvl="0" w:tentative="0">
      <w:start w:val="7"/>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65" w:hanging="327"/>
      </w:pPr>
      <w:rPr>
        <w:rFonts w:hint="default"/>
      </w:rPr>
    </w:lvl>
    <w:lvl w:ilvl="3" w:tentative="0">
      <w:start w:val="0"/>
      <w:numFmt w:val="bullet"/>
      <w:lvlText w:val="•"/>
      <w:lvlJc w:val="left"/>
      <w:pPr>
        <w:ind w:left="3407" w:hanging="327"/>
      </w:pPr>
      <w:rPr>
        <w:rFonts w:hint="default"/>
      </w:rPr>
    </w:lvl>
    <w:lvl w:ilvl="4" w:tentative="0">
      <w:start w:val="0"/>
      <w:numFmt w:val="bullet"/>
      <w:lvlText w:val="•"/>
      <w:lvlJc w:val="left"/>
      <w:pPr>
        <w:ind w:left="4250" w:hanging="327"/>
      </w:pPr>
      <w:rPr>
        <w:rFonts w:hint="default"/>
      </w:rPr>
    </w:lvl>
    <w:lvl w:ilvl="5" w:tentative="0">
      <w:start w:val="0"/>
      <w:numFmt w:val="bullet"/>
      <w:lvlText w:val="•"/>
      <w:lvlJc w:val="left"/>
      <w:pPr>
        <w:ind w:left="5092" w:hanging="327"/>
      </w:pPr>
      <w:rPr>
        <w:rFonts w:hint="default"/>
      </w:rPr>
    </w:lvl>
    <w:lvl w:ilvl="6" w:tentative="0">
      <w:start w:val="0"/>
      <w:numFmt w:val="bullet"/>
      <w:lvlText w:val="•"/>
      <w:lvlJc w:val="left"/>
      <w:pPr>
        <w:ind w:left="5935" w:hanging="327"/>
      </w:pPr>
      <w:rPr>
        <w:rFonts w:hint="default"/>
      </w:rPr>
    </w:lvl>
    <w:lvl w:ilvl="7" w:tentative="0">
      <w:start w:val="0"/>
      <w:numFmt w:val="bullet"/>
      <w:lvlText w:val="•"/>
      <w:lvlJc w:val="left"/>
      <w:pPr>
        <w:ind w:left="6777" w:hanging="327"/>
      </w:pPr>
      <w:rPr>
        <w:rFonts w:hint="default"/>
      </w:rPr>
    </w:lvl>
    <w:lvl w:ilvl="8" w:tentative="0">
      <w:start w:val="0"/>
      <w:numFmt w:val="bullet"/>
      <w:lvlText w:val="•"/>
      <w:lvlJc w:val="left"/>
      <w:pPr>
        <w:ind w:left="7620" w:hanging="327"/>
      </w:pPr>
      <w:rPr>
        <w:rFonts w:hint="default"/>
      </w:rPr>
    </w:lvl>
  </w:abstractNum>
  <w:abstractNum w:abstractNumId="18">
    <w:nsid w:val="4D4DC07F"/>
    <w:multiLevelType w:val="multilevel"/>
    <w:tmpl w:val="4D4DC07F"/>
    <w:lvl w:ilvl="0" w:tentative="0">
      <w:start w:val="4"/>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047" w:hanging="490"/>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876" w:hanging="490"/>
      </w:pPr>
      <w:rPr>
        <w:rFonts w:hint="default"/>
      </w:rPr>
    </w:lvl>
    <w:lvl w:ilvl="4" w:tentative="0">
      <w:start w:val="0"/>
      <w:numFmt w:val="bullet"/>
      <w:lvlText w:val="•"/>
      <w:lvlJc w:val="left"/>
      <w:pPr>
        <w:ind w:left="3795" w:hanging="490"/>
      </w:pPr>
      <w:rPr>
        <w:rFonts w:hint="default"/>
      </w:rPr>
    </w:lvl>
    <w:lvl w:ilvl="5" w:tentative="0">
      <w:start w:val="0"/>
      <w:numFmt w:val="bullet"/>
      <w:lvlText w:val="•"/>
      <w:lvlJc w:val="left"/>
      <w:pPr>
        <w:ind w:left="4713" w:hanging="490"/>
      </w:pPr>
      <w:rPr>
        <w:rFonts w:hint="default"/>
      </w:rPr>
    </w:lvl>
    <w:lvl w:ilvl="6" w:tentative="0">
      <w:start w:val="0"/>
      <w:numFmt w:val="bullet"/>
      <w:lvlText w:val="•"/>
      <w:lvlJc w:val="left"/>
      <w:pPr>
        <w:ind w:left="5631" w:hanging="490"/>
      </w:pPr>
      <w:rPr>
        <w:rFonts w:hint="default"/>
      </w:rPr>
    </w:lvl>
    <w:lvl w:ilvl="7" w:tentative="0">
      <w:start w:val="0"/>
      <w:numFmt w:val="bullet"/>
      <w:lvlText w:val="•"/>
      <w:lvlJc w:val="left"/>
      <w:pPr>
        <w:ind w:left="6550" w:hanging="490"/>
      </w:pPr>
      <w:rPr>
        <w:rFonts w:hint="default"/>
      </w:rPr>
    </w:lvl>
    <w:lvl w:ilvl="8" w:tentative="0">
      <w:start w:val="0"/>
      <w:numFmt w:val="bullet"/>
      <w:lvlText w:val="•"/>
      <w:lvlJc w:val="left"/>
      <w:pPr>
        <w:ind w:left="7468" w:hanging="490"/>
      </w:pPr>
      <w:rPr>
        <w:rFonts w:hint="default"/>
      </w:rPr>
    </w:lvl>
  </w:abstractNum>
  <w:abstractNum w:abstractNumId="19">
    <w:nsid w:val="59ADCABA"/>
    <w:multiLevelType w:val="multilevel"/>
    <w:tmpl w:val="59ADCABA"/>
    <w:lvl w:ilvl="0" w:tentative="0">
      <w:start w:val="1"/>
      <w:numFmt w:val="decimal"/>
      <w:lvlText w:val="%1."/>
      <w:lvlJc w:val="left"/>
      <w:pPr>
        <w:ind w:left="557" w:hanging="218"/>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444" w:hanging="218"/>
      </w:pPr>
      <w:rPr>
        <w:rFonts w:hint="default"/>
      </w:rPr>
    </w:lvl>
    <w:lvl w:ilvl="2" w:tentative="0">
      <w:start w:val="0"/>
      <w:numFmt w:val="bullet"/>
      <w:lvlText w:val="•"/>
      <w:lvlJc w:val="left"/>
      <w:pPr>
        <w:ind w:left="2329" w:hanging="218"/>
      </w:pPr>
      <w:rPr>
        <w:rFonts w:hint="default"/>
      </w:rPr>
    </w:lvl>
    <w:lvl w:ilvl="3" w:tentative="0">
      <w:start w:val="0"/>
      <w:numFmt w:val="bullet"/>
      <w:lvlText w:val="•"/>
      <w:lvlJc w:val="left"/>
      <w:pPr>
        <w:ind w:left="3213" w:hanging="218"/>
      </w:pPr>
      <w:rPr>
        <w:rFonts w:hint="default"/>
      </w:rPr>
    </w:lvl>
    <w:lvl w:ilvl="4" w:tentative="0">
      <w:start w:val="0"/>
      <w:numFmt w:val="bullet"/>
      <w:lvlText w:val="•"/>
      <w:lvlJc w:val="left"/>
      <w:pPr>
        <w:ind w:left="4098" w:hanging="218"/>
      </w:pPr>
      <w:rPr>
        <w:rFonts w:hint="default"/>
      </w:rPr>
    </w:lvl>
    <w:lvl w:ilvl="5" w:tentative="0">
      <w:start w:val="0"/>
      <w:numFmt w:val="bullet"/>
      <w:lvlText w:val="•"/>
      <w:lvlJc w:val="left"/>
      <w:pPr>
        <w:ind w:left="4982" w:hanging="218"/>
      </w:pPr>
      <w:rPr>
        <w:rFonts w:hint="default"/>
      </w:rPr>
    </w:lvl>
    <w:lvl w:ilvl="6" w:tentative="0">
      <w:start w:val="0"/>
      <w:numFmt w:val="bullet"/>
      <w:lvlText w:val="•"/>
      <w:lvlJc w:val="left"/>
      <w:pPr>
        <w:ind w:left="5867" w:hanging="218"/>
      </w:pPr>
      <w:rPr>
        <w:rFonts w:hint="default"/>
      </w:rPr>
    </w:lvl>
    <w:lvl w:ilvl="7" w:tentative="0">
      <w:start w:val="0"/>
      <w:numFmt w:val="bullet"/>
      <w:lvlText w:val="•"/>
      <w:lvlJc w:val="left"/>
      <w:pPr>
        <w:ind w:left="6751" w:hanging="218"/>
      </w:pPr>
      <w:rPr>
        <w:rFonts w:hint="default"/>
      </w:rPr>
    </w:lvl>
    <w:lvl w:ilvl="8" w:tentative="0">
      <w:start w:val="0"/>
      <w:numFmt w:val="bullet"/>
      <w:lvlText w:val="•"/>
      <w:lvlJc w:val="left"/>
      <w:pPr>
        <w:ind w:left="7636" w:hanging="218"/>
      </w:pPr>
      <w:rPr>
        <w:rFonts w:hint="default"/>
      </w:rPr>
    </w:lvl>
  </w:abstractNum>
  <w:abstractNum w:abstractNumId="20">
    <w:nsid w:val="5A241D34"/>
    <w:multiLevelType w:val="multilevel"/>
    <w:tmpl w:val="5A241D34"/>
    <w:lvl w:ilvl="0" w:tentative="0">
      <w:start w:val="3"/>
      <w:numFmt w:val="decimal"/>
      <w:lvlText w:val="%1"/>
      <w:lvlJc w:val="left"/>
      <w:pPr>
        <w:ind w:left="883" w:hanging="327"/>
        <w:jc w:val="left"/>
      </w:pPr>
      <w:rPr>
        <w:rFonts w:hint="default"/>
      </w:rPr>
    </w:lvl>
    <w:lvl w:ilvl="1" w:tentative="0">
      <w:start w:val="4"/>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69" w:hanging="327"/>
      </w:pPr>
      <w:rPr>
        <w:rFonts w:hint="default"/>
      </w:rPr>
    </w:lvl>
    <w:lvl w:ilvl="3" w:tentative="0">
      <w:start w:val="0"/>
      <w:numFmt w:val="bullet"/>
      <w:lvlText w:val="•"/>
      <w:lvlJc w:val="left"/>
      <w:pPr>
        <w:ind w:left="3413" w:hanging="327"/>
      </w:pPr>
      <w:rPr>
        <w:rFonts w:hint="default"/>
      </w:rPr>
    </w:lvl>
    <w:lvl w:ilvl="4" w:tentative="0">
      <w:start w:val="0"/>
      <w:numFmt w:val="bullet"/>
      <w:lvlText w:val="•"/>
      <w:lvlJc w:val="left"/>
      <w:pPr>
        <w:ind w:left="4258" w:hanging="327"/>
      </w:pPr>
      <w:rPr>
        <w:rFonts w:hint="default"/>
      </w:rPr>
    </w:lvl>
    <w:lvl w:ilvl="5" w:tentative="0">
      <w:start w:val="0"/>
      <w:numFmt w:val="bullet"/>
      <w:lvlText w:val="•"/>
      <w:lvlJc w:val="left"/>
      <w:pPr>
        <w:ind w:left="5102" w:hanging="327"/>
      </w:pPr>
      <w:rPr>
        <w:rFonts w:hint="default"/>
      </w:rPr>
    </w:lvl>
    <w:lvl w:ilvl="6" w:tentative="0">
      <w:start w:val="0"/>
      <w:numFmt w:val="bullet"/>
      <w:lvlText w:val="•"/>
      <w:lvlJc w:val="left"/>
      <w:pPr>
        <w:ind w:left="5947" w:hanging="327"/>
      </w:pPr>
      <w:rPr>
        <w:rFonts w:hint="default"/>
      </w:rPr>
    </w:lvl>
    <w:lvl w:ilvl="7" w:tentative="0">
      <w:start w:val="0"/>
      <w:numFmt w:val="bullet"/>
      <w:lvlText w:val="•"/>
      <w:lvlJc w:val="left"/>
      <w:pPr>
        <w:ind w:left="6791" w:hanging="327"/>
      </w:pPr>
      <w:rPr>
        <w:rFonts w:hint="default"/>
      </w:rPr>
    </w:lvl>
    <w:lvl w:ilvl="8" w:tentative="0">
      <w:start w:val="0"/>
      <w:numFmt w:val="bullet"/>
      <w:lvlText w:val="•"/>
      <w:lvlJc w:val="left"/>
      <w:pPr>
        <w:ind w:left="7636" w:hanging="327"/>
      </w:pPr>
      <w:rPr>
        <w:rFonts w:hint="default"/>
      </w:rPr>
    </w:lvl>
  </w:abstractNum>
  <w:abstractNum w:abstractNumId="21">
    <w:nsid w:val="60382F6E"/>
    <w:multiLevelType w:val="multilevel"/>
    <w:tmpl w:val="60382F6E"/>
    <w:lvl w:ilvl="0" w:tentative="0">
      <w:start w:val="8"/>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0"/>
      <w:numFmt w:val="bullet"/>
      <w:lvlText w:val="•"/>
      <w:lvlJc w:val="left"/>
      <w:pPr>
        <w:ind w:left="2565" w:hanging="327"/>
      </w:pPr>
      <w:rPr>
        <w:rFonts w:hint="default"/>
      </w:rPr>
    </w:lvl>
    <w:lvl w:ilvl="3" w:tentative="0">
      <w:start w:val="0"/>
      <w:numFmt w:val="bullet"/>
      <w:lvlText w:val="•"/>
      <w:lvlJc w:val="left"/>
      <w:pPr>
        <w:ind w:left="3407" w:hanging="327"/>
      </w:pPr>
      <w:rPr>
        <w:rFonts w:hint="default"/>
      </w:rPr>
    </w:lvl>
    <w:lvl w:ilvl="4" w:tentative="0">
      <w:start w:val="0"/>
      <w:numFmt w:val="bullet"/>
      <w:lvlText w:val="•"/>
      <w:lvlJc w:val="left"/>
      <w:pPr>
        <w:ind w:left="4250" w:hanging="327"/>
      </w:pPr>
      <w:rPr>
        <w:rFonts w:hint="default"/>
      </w:rPr>
    </w:lvl>
    <w:lvl w:ilvl="5" w:tentative="0">
      <w:start w:val="0"/>
      <w:numFmt w:val="bullet"/>
      <w:lvlText w:val="•"/>
      <w:lvlJc w:val="left"/>
      <w:pPr>
        <w:ind w:left="5092" w:hanging="327"/>
      </w:pPr>
      <w:rPr>
        <w:rFonts w:hint="default"/>
      </w:rPr>
    </w:lvl>
    <w:lvl w:ilvl="6" w:tentative="0">
      <w:start w:val="0"/>
      <w:numFmt w:val="bullet"/>
      <w:lvlText w:val="•"/>
      <w:lvlJc w:val="left"/>
      <w:pPr>
        <w:ind w:left="5935" w:hanging="327"/>
      </w:pPr>
      <w:rPr>
        <w:rFonts w:hint="default"/>
      </w:rPr>
    </w:lvl>
    <w:lvl w:ilvl="7" w:tentative="0">
      <w:start w:val="0"/>
      <w:numFmt w:val="bullet"/>
      <w:lvlText w:val="•"/>
      <w:lvlJc w:val="left"/>
      <w:pPr>
        <w:ind w:left="6777" w:hanging="327"/>
      </w:pPr>
      <w:rPr>
        <w:rFonts w:hint="default"/>
      </w:rPr>
    </w:lvl>
    <w:lvl w:ilvl="8" w:tentative="0">
      <w:start w:val="0"/>
      <w:numFmt w:val="bullet"/>
      <w:lvlText w:val="•"/>
      <w:lvlJc w:val="left"/>
      <w:pPr>
        <w:ind w:left="7620" w:hanging="327"/>
      </w:pPr>
      <w:rPr>
        <w:rFonts w:hint="default"/>
      </w:rPr>
    </w:lvl>
  </w:abstractNum>
  <w:abstractNum w:abstractNumId="22">
    <w:nsid w:val="656D6133"/>
    <w:multiLevelType w:val="multilevel"/>
    <w:tmpl w:val="656D6133"/>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70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eastAsia"/>
      </w:rPr>
    </w:lvl>
    <w:lvl w:ilvl="3" w:tentative="0">
      <w:start w:val="1"/>
      <w:numFmt w:val="decimal"/>
      <w:pStyle w:val="7"/>
      <w:suff w:val="nothing"/>
      <w:lvlText w:val="%4、"/>
      <w:lvlJc w:val="left"/>
      <w:pPr>
        <w:ind w:left="0" w:firstLine="0"/>
      </w:pPr>
      <w:rPr>
        <w:rFonts w:hint="eastAsia" w:ascii="宋体" w:hAnsi="宋体" w:eastAsia="宋体"/>
        <w:b/>
        <w:bCs/>
        <w:i w:val="0"/>
        <w:iCs w:val="0"/>
        <w:caps w:val="0"/>
        <w:smallCaps w:val="0"/>
        <w:strike w:val="0"/>
        <w:dstrike w:val="0"/>
        <w:color w:val="auto"/>
        <w:spacing w:val="0"/>
        <w:w w:val="100"/>
        <w:kern w:val="0"/>
        <w:position w:val="0"/>
        <w:sz w:val="24"/>
        <w:u w:val="none"/>
        <w:shd w:val="clear" w:color="auto" w:fill="auto"/>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3">
    <w:nsid w:val="72183CF9"/>
    <w:multiLevelType w:val="multilevel"/>
    <w:tmpl w:val="72183CF9"/>
    <w:lvl w:ilvl="0" w:tentative="0">
      <w:start w:val="1"/>
      <w:numFmt w:val="decimal"/>
      <w:lvlText w:val="%1"/>
      <w:lvlJc w:val="left"/>
      <w:pPr>
        <w:ind w:left="883" w:hanging="327"/>
        <w:jc w:val="left"/>
      </w:pPr>
      <w:rPr>
        <w:rFonts w:hint="default"/>
      </w:rPr>
    </w:lvl>
    <w:lvl w:ilvl="1" w:tentative="0">
      <w:start w:val="2"/>
      <w:numFmt w:val="decimal"/>
      <w:lvlText w:val="%1.%2"/>
      <w:lvlJc w:val="left"/>
      <w:pPr>
        <w:ind w:left="883" w:hanging="327"/>
        <w:jc w:val="left"/>
      </w:pPr>
      <w:rPr>
        <w:rFonts w:hint="default" w:ascii="方正书宋_GBK" w:hAnsi="方正书宋_GBK" w:eastAsia="方正书宋_GBK" w:cs="方正书宋_GBK"/>
        <w:color w:val="231F20"/>
        <w:spacing w:val="-1"/>
        <w:w w:val="100"/>
        <w:sz w:val="22"/>
        <w:szCs w:val="22"/>
      </w:rPr>
    </w:lvl>
    <w:lvl w:ilvl="2" w:tentative="0">
      <w:start w:val="1"/>
      <w:numFmt w:val="decimal"/>
      <w:lvlText w:val="%1.%2.%3"/>
      <w:lvlJc w:val="left"/>
      <w:pPr>
        <w:ind w:left="117" w:hanging="491"/>
        <w:jc w:val="left"/>
      </w:pPr>
      <w:rPr>
        <w:rFonts w:hint="default" w:ascii="方正书宋_GBK" w:hAnsi="方正书宋_GBK" w:eastAsia="方正书宋_GBK" w:cs="方正书宋_GBK"/>
        <w:color w:val="231F20"/>
        <w:spacing w:val="-1"/>
        <w:w w:val="100"/>
        <w:sz w:val="22"/>
        <w:szCs w:val="22"/>
      </w:rPr>
    </w:lvl>
    <w:lvl w:ilvl="3" w:tentative="0">
      <w:start w:val="0"/>
      <w:numFmt w:val="bullet"/>
      <w:lvlText w:val="•"/>
      <w:lvlJc w:val="left"/>
      <w:pPr>
        <w:ind w:left="2752" w:hanging="491"/>
      </w:pPr>
      <w:rPr>
        <w:rFonts w:hint="default"/>
      </w:rPr>
    </w:lvl>
    <w:lvl w:ilvl="4" w:tentative="0">
      <w:start w:val="0"/>
      <w:numFmt w:val="bullet"/>
      <w:lvlText w:val="•"/>
      <w:lvlJc w:val="left"/>
      <w:pPr>
        <w:ind w:left="3688" w:hanging="491"/>
      </w:pPr>
      <w:rPr>
        <w:rFonts w:hint="default"/>
      </w:rPr>
    </w:lvl>
    <w:lvl w:ilvl="5" w:tentative="0">
      <w:start w:val="0"/>
      <w:numFmt w:val="bullet"/>
      <w:lvlText w:val="•"/>
      <w:lvlJc w:val="left"/>
      <w:pPr>
        <w:ind w:left="4624" w:hanging="491"/>
      </w:pPr>
      <w:rPr>
        <w:rFonts w:hint="default"/>
      </w:rPr>
    </w:lvl>
    <w:lvl w:ilvl="6" w:tentative="0">
      <w:start w:val="0"/>
      <w:numFmt w:val="bullet"/>
      <w:lvlText w:val="•"/>
      <w:lvlJc w:val="left"/>
      <w:pPr>
        <w:ind w:left="5560" w:hanging="491"/>
      </w:pPr>
      <w:rPr>
        <w:rFonts w:hint="default"/>
      </w:rPr>
    </w:lvl>
    <w:lvl w:ilvl="7" w:tentative="0">
      <w:start w:val="0"/>
      <w:numFmt w:val="bullet"/>
      <w:lvlText w:val="•"/>
      <w:lvlJc w:val="left"/>
      <w:pPr>
        <w:ind w:left="6497" w:hanging="491"/>
      </w:pPr>
      <w:rPr>
        <w:rFonts w:hint="default"/>
      </w:rPr>
    </w:lvl>
    <w:lvl w:ilvl="8" w:tentative="0">
      <w:start w:val="0"/>
      <w:numFmt w:val="bullet"/>
      <w:lvlText w:val="•"/>
      <w:lvlJc w:val="left"/>
      <w:pPr>
        <w:ind w:left="7433" w:hanging="491"/>
      </w:pPr>
      <w:rPr>
        <w:rFonts w:hint="default"/>
      </w:rPr>
    </w:lvl>
  </w:abstractNum>
  <w:num w:numId="1">
    <w:abstractNumId w:val="22"/>
  </w:num>
  <w:num w:numId="2">
    <w:abstractNumId w:val="13"/>
  </w:num>
  <w:num w:numId="3">
    <w:abstractNumId w:val="10"/>
  </w:num>
  <w:num w:numId="4">
    <w:abstractNumId w:val="9"/>
  </w:num>
  <w:num w:numId="5">
    <w:abstractNumId w:val="11"/>
  </w:num>
  <w:num w:numId="6">
    <w:abstractNumId w:val="5"/>
  </w:num>
  <w:num w:numId="7">
    <w:abstractNumId w:val="19"/>
  </w:num>
  <w:num w:numId="8">
    <w:abstractNumId w:val="3"/>
  </w:num>
  <w:num w:numId="9">
    <w:abstractNumId w:val="2"/>
  </w:num>
  <w:num w:numId="10">
    <w:abstractNumId w:val="23"/>
  </w:num>
  <w:num w:numId="11">
    <w:abstractNumId w:val="12"/>
  </w:num>
  <w:num w:numId="12">
    <w:abstractNumId w:val="0"/>
  </w:num>
  <w:num w:numId="13">
    <w:abstractNumId w:val="16"/>
  </w:num>
  <w:num w:numId="14">
    <w:abstractNumId w:val="20"/>
  </w:num>
  <w:num w:numId="15">
    <w:abstractNumId w:val="4"/>
  </w:num>
  <w:num w:numId="16">
    <w:abstractNumId w:val="18"/>
  </w:num>
  <w:num w:numId="17">
    <w:abstractNumId w:val="8"/>
  </w:num>
  <w:num w:numId="18">
    <w:abstractNumId w:val="15"/>
  </w:num>
  <w:num w:numId="19">
    <w:abstractNumId w:val="7"/>
  </w:num>
  <w:num w:numId="20">
    <w:abstractNumId w:val="6"/>
  </w:num>
  <w:num w:numId="21">
    <w:abstractNumId w:val="1"/>
  </w:num>
  <w:num w:numId="22">
    <w:abstractNumId w:val="17"/>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E3FD2"/>
    <w:rsid w:val="08A87331"/>
    <w:rsid w:val="098071A2"/>
    <w:rsid w:val="1A3D367B"/>
    <w:rsid w:val="1D2733FA"/>
    <w:rsid w:val="1D2D219C"/>
    <w:rsid w:val="1D750436"/>
    <w:rsid w:val="1E140954"/>
    <w:rsid w:val="201C4CA8"/>
    <w:rsid w:val="20BD316F"/>
    <w:rsid w:val="20F63F8C"/>
    <w:rsid w:val="21026006"/>
    <w:rsid w:val="248176A9"/>
    <w:rsid w:val="2AF84B1D"/>
    <w:rsid w:val="2EE94FEF"/>
    <w:rsid w:val="357F67EE"/>
    <w:rsid w:val="36127662"/>
    <w:rsid w:val="36E630A0"/>
    <w:rsid w:val="38063F9E"/>
    <w:rsid w:val="38A8605B"/>
    <w:rsid w:val="3B6B62F8"/>
    <w:rsid w:val="3C653DC4"/>
    <w:rsid w:val="42F006ED"/>
    <w:rsid w:val="45587EA7"/>
    <w:rsid w:val="462B5959"/>
    <w:rsid w:val="49B01A48"/>
    <w:rsid w:val="49C97DEE"/>
    <w:rsid w:val="49F356C6"/>
    <w:rsid w:val="4FED442E"/>
    <w:rsid w:val="581D1822"/>
    <w:rsid w:val="59672A29"/>
    <w:rsid w:val="5ACF4E5A"/>
    <w:rsid w:val="6BCC7750"/>
    <w:rsid w:val="6C6E48EB"/>
    <w:rsid w:val="701B08E6"/>
    <w:rsid w:val="75ED222E"/>
    <w:rsid w:val="77F32B2B"/>
    <w:rsid w:val="7B974B2F"/>
    <w:rsid w:val="7C514D51"/>
    <w:rsid w:val="7F872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lang w:val="en-US" w:eastAsia="zh-CN" w:bidi="ar-SA"/>
    </w:rPr>
  </w:style>
  <w:style w:type="paragraph" w:styleId="5">
    <w:name w:val="heading 1"/>
    <w:basedOn w:val="1"/>
    <w:next w:val="1"/>
    <w:link w:val="28"/>
    <w:qFormat/>
    <w:uiPriority w:val="0"/>
    <w:pPr>
      <w:keepNext/>
      <w:keepLines/>
      <w:numPr>
        <w:ilvl w:val="0"/>
        <w:numId w:val="1"/>
      </w:numPr>
      <w:spacing w:before="340" w:after="330" w:line="578" w:lineRule="atLeast"/>
      <w:outlineLvl w:val="0"/>
    </w:pPr>
    <w:rPr>
      <w:b/>
      <w:bCs/>
      <w:kern w:val="44"/>
      <w:sz w:val="44"/>
      <w:szCs w:val="44"/>
    </w:rPr>
  </w:style>
  <w:style w:type="paragraph" w:styleId="6">
    <w:name w:val="heading 2"/>
    <w:basedOn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7">
    <w:name w:val="heading 4"/>
    <w:basedOn w:val="1"/>
    <w:next w:val="1"/>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spacing w:line="312" w:lineRule="atLeast"/>
    </w:pPr>
    <w:rPr>
      <w:sz w:val="18"/>
      <w:szCs w:val="18"/>
    </w:rPr>
  </w:style>
  <w:style w:type="paragraph" w:styleId="3">
    <w:name w:val="Body Text"/>
    <w:basedOn w:val="1"/>
    <w:next w:val="4"/>
    <w:qFormat/>
    <w:uiPriority w:val="0"/>
    <w:pPr>
      <w:adjustRightInd/>
      <w:spacing w:line="240" w:lineRule="auto"/>
      <w:jc w:val="both"/>
      <w:textAlignment w:val="auto"/>
    </w:pPr>
    <w:rPr>
      <w:kern w:val="2"/>
      <w:sz w:val="28"/>
    </w:rPr>
  </w:style>
  <w:style w:type="paragraph" w:styleId="4">
    <w:name w:val="Body Text First Indent"/>
    <w:basedOn w:val="3"/>
    <w:next w:val="1"/>
    <w:qFormat/>
    <w:uiPriority w:val="99"/>
    <w:pPr>
      <w:spacing w:after="120"/>
      <w:ind w:firstLine="420" w:firstLineChars="100"/>
    </w:pPr>
  </w:style>
  <w:style w:type="paragraph" w:styleId="8">
    <w:name w:val="Normal Indent"/>
    <w:basedOn w:val="1"/>
    <w:next w:val="7"/>
    <w:qFormat/>
    <w:uiPriority w:val="0"/>
    <w:pPr>
      <w:ind w:firstLine="420" w:firstLineChars="200"/>
    </w:pPr>
  </w:style>
  <w:style w:type="paragraph" w:styleId="9">
    <w:name w:val="Body Text Indent"/>
    <w:basedOn w:val="1"/>
    <w:next w:val="10"/>
    <w:qFormat/>
    <w:uiPriority w:val="0"/>
    <w:pPr>
      <w:spacing w:line="240" w:lineRule="auto"/>
      <w:ind w:left="1104" w:leftChars="460"/>
    </w:pPr>
    <w:rPr>
      <w:rFonts w:ascii="宋体" w:hAnsi="宋体"/>
      <w:szCs w:val="21"/>
    </w:rPr>
  </w:style>
  <w:style w:type="paragraph" w:styleId="10">
    <w:name w:val="Normal (Web)"/>
    <w:basedOn w:val="1"/>
    <w:next w:val="1"/>
    <w:qFormat/>
    <w:uiPriority w:val="0"/>
    <w:pPr>
      <w:widowControl/>
      <w:adjustRightInd/>
      <w:spacing w:before="100" w:beforeAutospacing="1" w:after="100" w:afterAutospacing="1" w:line="240" w:lineRule="auto"/>
      <w:textAlignment w:val="auto"/>
    </w:pPr>
    <w:rPr>
      <w:rFonts w:ascii="宋体" w:hAnsi="宋体"/>
      <w:szCs w:val="24"/>
    </w:rPr>
  </w:style>
  <w:style w:type="paragraph" w:styleId="11">
    <w:name w:val="toc 3"/>
    <w:basedOn w:val="1"/>
    <w:next w:val="1"/>
    <w:qFormat/>
    <w:uiPriority w:val="0"/>
    <w:pPr>
      <w:spacing w:line="312" w:lineRule="atLeast"/>
      <w:ind w:left="840"/>
      <w:jc w:val="both"/>
    </w:pPr>
    <w:rPr>
      <w:rFonts w:eastAsia="仿宋"/>
      <w:sz w:val="32"/>
    </w:rPr>
  </w:style>
  <w:style w:type="paragraph" w:styleId="12">
    <w:name w:val="Plain Text"/>
    <w:basedOn w:val="1"/>
    <w:qFormat/>
    <w:uiPriority w:val="0"/>
    <w:pPr>
      <w:adjustRightInd/>
      <w:spacing w:line="240" w:lineRule="auto"/>
      <w:jc w:val="both"/>
      <w:textAlignment w:val="auto"/>
    </w:pPr>
    <w:rPr>
      <w:rFonts w:ascii="宋体" w:hAnsi="Courier New"/>
      <w:kern w:val="2"/>
      <w:sz w:val="21"/>
      <w:szCs w:val="21"/>
    </w:rPr>
  </w:style>
  <w:style w:type="paragraph" w:styleId="13">
    <w:name w:val="footer"/>
    <w:basedOn w:val="1"/>
    <w:next w:val="1"/>
    <w:qFormat/>
    <w:uiPriority w:val="0"/>
    <w:pPr>
      <w:tabs>
        <w:tab w:val="center" w:pos="4153"/>
        <w:tab w:val="right" w:pos="8306"/>
      </w:tabs>
      <w:spacing w:line="240" w:lineRule="atLeast"/>
    </w:pPr>
    <w:rPr>
      <w:sz w:val="18"/>
    </w:rPr>
  </w:style>
  <w:style w:type="paragraph" w:styleId="14">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5">
    <w:name w:val="toc 1"/>
    <w:basedOn w:val="1"/>
    <w:next w:val="1"/>
    <w:qFormat/>
    <w:uiPriority w:val="0"/>
  </w:style>
  <w:style w:type="paragraph" w:styleId="16">
    <w:name w:val="List"/>
    <w:basedOn w:val="1"/>
    <w:qFormat/>
    <w:uiPriority w:val="0"/>
    <w:pPr>
      <w:widowControl/>
      <w:ind w:left="200" w:hanging="200" w:hangingChars="200"/>
      <w:contextualSpacing/>
      <w:textAlignment w:val="baseline"/>
    </w:pPr>
    <w:rPr>
      <w:rFonts w:cs="Times New Roman"/>
      <w:szCs w:val="24"/>
    </w:rPr>
  </w:style>
  <w:style w:type="paragraph" w:styleId="17">
    <w:name w:val="toc 2"/>
    <w:basedOn w:val="1"/>
    <w:next w:val="1"/>
    <w:qFormat/>
    <w:uiPriority w:val="0"/>
    <w:pPr>
      <w:ind w:left="420" w:leftChars="200"/>
    </w:pPr>
  </w:style>
  <w:style w:type="paragraph" w:styleId="18">
    <w:name w:val="Body Text First Indent 2"/>
    <w:basedOn w:val="9"/>
    <w:qFormat/>
    <w:uiPriority w:val="0"/>
    <w:pPr>
      <w:spacing w:line="360" w:lineRule="auto"/>
      <w:ind w:firstLine="420" w:firstLineChars="200"/>
    </w:pPr>
    <w:rPr>
      <w:rFonts w:ascii="Times New Roman" w:hAnsi="Times New Roman" w:eastAsia="仿宋_GB2312" w:cs="Times New Roman"/>
      <w:spacing w:val="15"/>
      <w:kern w:val="1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paragraph" w:customStyle="1" w:styleId="23">
    <w:name w:val="目录 53"/>
    <w:basedOn w:val="1"/>
    <w:next w:val="1"/>
    <w:autoRedefine/>
    <w:qFormat/>
    <w:uiPriority w:val="99"/>
    <w:pPr>
      <w:ind w:left="840"/>
    </w:pPr>
    <w:rPr>
      <w:sz w:val="18"/>
    </w:rPr>
  </w:style>
  <w:style w:type="paragraph" w:customStyle="1" w:styleId="24">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Char Char Char Char Char Char Char Char Char Char Char Char Char Char1 Char Char Char Char"/>
    <w:basedOn w:val="1"/>
    <w:qFormat/>
    <w:uiPriority w:val="0"/>
    <w:rPr>
      <w:szCs w:val="21"/>
    </w:rPr>
  </w:style>
  <w:style w:type="paragraph" w:customStyle="1" w:styleId="27">
    <w:name w:val="Table Paragraph"/>
    <w:basedOn w:val="1"/>
    <w:qFormat/>
    <w:uiPriority w:val="0"/>
  </w:style>
  <w:style w:type="character" w:customStyle="1" w:styleId="28">
    <w:name w:val="标题 1 Char"/>
    <w:link w:val="5"/>
    <w:qFormat/>
    <w:uiPriority w:val="0"/>
    <w:rPr>
      <w:b/>
      <w:bCs/>
      <w:kern w:val="44"/>
      <w:sz w:val="44"/>
      <w:szCs w:val="44"/>
    </w:rPr>
  </w:style>
  <w:style w:type="table" w:customStyle="1" w:styleId="29">
    <w:name w:val="Table Normal"/>
    <w:semiHidden/>
    <w:unhideWhenUsed/>
    <w:qFormat/>
    <w:uiPriority w:val="0"/>
    <w:rPr>
      <w:rFonts w:ascii="Times New Roman" w:hAnsi="Times New Roman"/>
    </w:rPr>
    <w:tblPr>
      <w:tblCellMar>
        <w:top w:w="0" w:type="dxa"/>
        <w:left w:w="0" w:type="dxa"/>
        <w:bottom w:w="0" w:type="dxa"/>
        <w:right w:w="0" w:type="dxa"/>
      </w:tblCellMar>
    </w:tblPr>
  </w:style>
  <w:style w:type="paragraph" w:customStyle="1" w:styleId="30">
    <w:name w:val="Default Tex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1">
    <w:name w:val="段"/>
    <w:basedOn w:val="1"/>
    <w:next w:val="1"/>
    <w:autoRedefine/>
    <w:qFormat/>
    <w:uiPriority w:val="0"/>
    <w:pPr>
      <w:widowControl/>
      <w:autoSpaceDE w:val="0"/>
      <w:autoSpaceDN w:val="0"/>
      <w:ind w:firstLine="420" w:firstLineChars="200"/>
      <w:jc w:val="both"/>
    </w:pPr>
    <w:rPr>
      <w:rFonts w:hint="eastAsia" w:ascii="宋体" w:hAnsi="Times New Roman"/>
      <w:sz w:val="21"/>
      <w:szCs w:val="21"/>
    </w:rPr>
  </w:style>
  <w:style w:type="character" w:customStyle="1" w:styleId="32">
    <w:name w:val="NormalCharacter"/>
    <w:semiHidden/>
    <w:qFormat/>
    <w:uiPriority w:val="0"/>
  </w:style>
  <w:style w:type="paragraph" w:customStyle="1" w:styleId="33">
    <w:name w:val="样式1"/>
    <w:basedOn w:val="34"/>
    <w:next w:val="1"/>
    <w:qFormat/>
    <w:uiPriority w:val="0"/>
    <w:pPr>
      <w:jc w:val="center"/>
    </w:pPr>
    <w:rPr>
      <w:rFonts w:cs="Times New Roman"/>
      <w:szCs w:val="30"/>
    </w:rPr>
  </w:style>
  <w:style w:type="paragraph" w:customStyle="1" w:styleId="34">
    <w:name w:val="标题一 黑体2号加粗"/>
    <w:basedOn w:val="5"/>
    <w:qFormat/>
    <w:uiPriority w:val="0"/>
    <w:pPr>
      <w:ind w:firstLine="0" w:firstLineChars="0"/>
      <w:jc w:val="center"/>
    </w:pPr>
    <w:rPr>
      <w:sz w:val="36"/>
    </w:rPr>
  </w:style>
  <w:style w:type="paragraph" w:customStyle="1" w:styleId="35">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79</Words>
  <Characters>98</Characters>
  <Lines>0</Lines>
  <Paragraphs>0</Paragraphs>
  <TotalTime>1</TotalTime>
  <ScaleCrop>false</ScaleCrop>
  <LinksUpToDate>false</LinksUpToDate>
  <CharactersWithSpaces>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2025-06-24T12:08:43Z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eyJoZGlkIjoiNzA3ZTI0NWMyMTAwNDJmNzc5ZWU4YjVkNjMzYWJlMzYiLCJ1c2VySWQiOiIzODM5MDI3ODUifQ==</vt:lpwstr>
  </property>
  <property fmtid="{D5CDD505-2E9C-101B-9397-08002B2CF9AE}" pid="4" name="ICV">
    <vt:lpwstr>B22F40D5AE9245EEA05266EE94E79BBF_13</vt:lpwstr>
  </property>
</Properties>
</file>