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9EECB">
      <w:pPr>
        <w:bidi w:val="0"/>
        <w:rPr>
          <w:rFonts w:hint="eastAsia" w:ascii="仿宋" w:hAnsi="仿宋" w:eastAsia="仿宋" w:cs="仿宋"/>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编号：</w:t>
      </w:r>
      <w:r>
        <w:rPr>
          <w:rFonts w:hint="eastAsia" w:ascii="仿宋" w:hAnsi="仿宋" w:eastAsia="仿宋" w:cs="仿宋"/>
          <w:b/>
          <w:bCs/>
          <w:sz w:val="28"/>
          <w:szCs w:val="28"/>
          <w:lang w:eastAsia="zh-CN"/>
        </w:rPr>
        <w:t>XJWKS（JZXCS）2025-009号</w:t>
      </w:r>
    </w:p>
    <w:p w14:paraId="76F3636D">
      <w:pPr>
        <w:pStyle w:val="21"/>
        <w:shd w:val="clear" w:color="auto" w:fill="auto"/>
        <w:spacing w:line="300" w:lineRule="auto"/>
        <w:jc w:val="center"/>
        <w:rPr>
          <w:rFonts w:hint="eastAsia" w:ascii="仿宋" w:hAnsi="仿宋" w:eastAsia="仿宋" w:cs="仿宋"/>
          <w:color w:val="auto"/>
          <w:sz w:val="24"/>
          <w:shd w:val="clear" w:color="auto" w:fill="auto"/>
        </w:rPr>
      </w:pPr>
    </w:p>
    <w:p w14:paraId="2093944B">
      <w:pPr>
        <w:pStyle w:val="21"/>
        <w:shd w:val="clear" w:color="auto" w:fill="auto"/>
        <w:spacing w:line="300" w:lineRule="auto"/>
        <w:jc w:val="both"/>
        <w:rPr>
          <w:rFonts w:hint="eastAsia" w:ascii="仿宋" w:hAnsi="仿宋" w:eastAsia="仿宋" w:cs="仿宋"/>
          <w:color w:val="auto"/>
          <w:sz w:val="24"/>
        </w:rPr>
      </w:pPr>
    </w:p>
    <w:p w14:paraId="74467BD7">
      <w:pPr>
        <w:pStyle w:val="21"/>
        <w:shd w:val="clear" w:color="auto" w:fill="auto"/>
        <w:spacing w:line="300" w:lineRule="auto"/>
        <w:jc w:val="center"/>
        <w:rPr>
          <w:rFonts w:hint="eastAsia" w:ascii="仿宋" w:hAnsi="仿宋" w:eastAsia="仿宋" w:cs="仿宋"/>
          <w:color w:val="auto"/>
          <w:sz w:val="24"/>
        </w:rPr>
      </w:pPr>
    </w:p>
    <w:p w14:paraId="2434AB62">
      <w:pPr>
        <w:pStyle w:val="21"/>
        <w:shd w:val="clear" w:color="auto" w:fill="auto"/>
        <w:spacing w:line="300" w:lineRule="auto"/>
        <w:jc w:val="center"/>
        <w:rPr>
          <w:rFonts w:hint="eastAsia" w:ascii="仿宋" w:hAnsi="仿宋" w:eastAsia="仿宋" w:cs="仿宋"/>
          <w:color w:val="auto"/>
          <w:sz w:val="24"/>
        </w:rPr>
      </w:pPr>
    </w:p>
    <w:p w14:paraId="1A10D2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72"/>
          <w:szCs w:val="72"/>
          <w:lang w:bidi="ar"/>
        </w:rPr>
      </w:pPr>
    </w:p>
    <w:p w14:paraId="284D8E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32"/>
          <w:szCs w:val="32"/>
          <w:lang w:bidi="ar"/>
        </w:rPr>
      </w:pPr>
      <w:r>
        <w:rPr>
          <w:rFonts w:hint="eastAsia" w:ascii="仿宋" w:hAnsi="仿宋" w:eastAsia="仿宋" w:cs="仿宋"/>
          <w:b/>
          <w:kern w:val="0"/>
          <w:sz w:val="72"/>
          <w:szCs w:val="72"/>
          <w:lang w:bidi="ar"/>
        </w:rPr>
        <w:t>竞争性磋商文件</w:t>
      </w:r>
    </w:p>
    <w:p w14:paraId="3A42C3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28"/>
          <w:szCs w:val="28"/>
          <w:lang w:eastAsia="zh-CN" w:bidi="ar"/>
        </w:rPr>
      </w:pPr>
      <w:r>
        <w:rPr>
          <w:rFonts w:hint="eastAsia" w:ascii="仿宋" w:hAnsi="仿宋" w:eastAsia="仿宋" w:cs="仿宋"/>
          <w:b/>
          <w:kern w:val="0"/>
          <w:sz w:val="28"/>
          <w:szCs w:val="28"/>
          <w:lang w:eastAsia="zh-CN" w:bidi="ar"/>
        </w:rPr>
        <w:t xml:space="preserve"> </w:t>
      </w:r>
    </w:p>
    <w:p w14:paraId="04222097">
      <w:pPr>
        <w:pStyle w:val="21"/>
        <w:shd w:val="clear" w:color="auto" w:fill="auto"/>
        <w:spacing w:line="360" w:lineRule="auto"/>
        <w:rPr>
          <w:rFonts w:hint="eastAsia" w:ascii="仿宋" w:hAnsi="仿宋" w:eastAsia="仿宋" w:cs="仿宋"/>
          <w:color w:val="auto"/>
          <w:sz w:val="21"/>
          <w:szCs w:val="21"/>
        </w:rPr>
      </w:pPr>
    </w:p>
    <w:p w14:paraId="14E68B86">
      <w:pPr>
        <w:pStyle w:val="21"/>
        <w:shd w:val="clear" w:color="auto" w:fill="auto"/>
        <w:spacing w:line="360" w:lineRule="auto"/>
        <w:jc w:val="both"/>
        <w:rPr>
          <w:rFonts w:hint="eastAsia" w:ascii="仿宋" w:hAnsi="仿宋" w:eastAsia="仿宋" w:cs="仿宋"/>
          <w:color w:val="auto"/>
          <w:sz w:val="32"/>
          <w:szCs w:val="32"/>
        </w:rPr>
      </w:pPr>
    </w:p>
    <w:p w14:paraId="16A9A9E6">
      <w:pPr>
        <w:pStyle w:val="21"/>
        <w:shd w:val="clear" w:color="auto" w:fill="auto"/>
        <w:spacing w:line="360" w:lineRule="auto"/>
        <w:jc w:val="left"/>
        <w:rPr>
          <w:rFonts w:hint="eastAsia" w:ascii="仿宋" w:hAnsi="仿宋" w:eastAsia="仿宋" w:cs="仿宋"/>
          <w:color w:val="auto"/>
          <w:sz w:val="32"/>
          <w:szCs w:val="32"/>
        </w:rPr>
      </w:pPr>
    </w:p>
    <w:p w14:paraId="7FB79E5D">
      <w:pPr>
        <w:pStyle w:val="21"/>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且末县阿羌镇喀特勒什村羊肉精细化分割项目</w:t>
      </w:r>
    </w:p>
    <w:p w14:paraId="7C182843">
      <w:pPr>
        <w:pStyle w:val="21"/>
        <w:spacing w:line="360" w:lineRule="auto"/>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采购单位：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且末县阿羌镇人民政府</w:t>
      </w:r>
      <w:r>
        <w:rPr>
          <w:rFonts w:hint="eastAsia" w:ascii="仿宋" w:hAnsi="仿宋" w:eastAsia="仿宋" w:cs="仿宋"/>
          <w:sz w:val="28"/>
          <w:szCs w:val="28"/>
          <w:u w:val="single"/>
          <w:lang w:val="en-US" w:eastAsia="zh-CN"/>
        </w:rPr>
        <w:t xml:space="preserve">     </w:t>
      </w:r>
    </w:p>
    <w:p w14:paraId="5F22D559">
      <w:pPr>
        <w:pStyle w:val="21"/>
        <w:spacing w:line="360" w:lineRule="auto"/>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朱海鹏</w:t>
      </w:r>
      <w:r>
        <w:rPr>
          <w:rFonts w:hint="eastAsia" w:ascii="仿宋" w:hAnsi="仿宋" w:eastAsia="仿宋" w:cs="仿宋"/>
          <w:sz w:val="30"/>
          <w:szCs w:val="30"/>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18919174404  </w:t>
      </w:r>
    </w:p>
    <w:p w14:paraId="0F5B20FC">
      <w:pPr>
        <w:pStyle w:val="21"/>
        <w:jc w:val="left"/>
        <w:rPr>
          <w:rFonts w:hint="eastAsia" w:ascii="仿宋" w:hAnsi="仿宋" w:eastAsia="仿宋" w:cs="仿宋"/>
          <w:sz w:val="28"/>
          <w:szCs w:val="28"/>
        </w:rPr>
      </w:pPr>
    </w:p>
    <w:p w14:paraId="0073076B">
      <w:pPr>
        <w:pStyle w:val="21"/>
        <w:jc w:val="left"/>
        <w:rPr>
          <w:rFonts w:hint="eastAsia" w:ascii="仿宋" w:hAnsi="仿宋" w:eastAsia="仿宋" w:cs="仿宋"/>
          <w:sz w:val="28"/>
          <w:szCs w:val="28"/>
        </w:rPr>
      </w:pPr>
    </w:p>
    <w:p w14:paraId="3F29B868">
      <w:pPr>
        <w:pStyle w:val="21"/>
        <w:spacing w:line="360" w:lineRule="auto"/>
        <w:jc w:val="left"/>
        <w:rPr>
          <w:rFonts w:hint="eastAsia" w:ascii="仿宋" w:hAnsi="仿宋" w:eastAsia="仿宋" w:cs="仿宋"/>
          <w:sz w:val="28"/>
          <w:szCs w:val="28"/>
        </w:rPr>
      </w:pPr>
      <w:r>
        <w:rPr>
          <w:rFonts w:hint="eastAsia" w:ascii="仿宋" w:hAnsi="仿宋" w:eastAsia="仿宋" w:cs="仿宋"/>
          <w:sz w:val="28"/>
          <w:szCs w:val="28"/>
        </w:rPr>
        <w:t>招标代理机构</w:t>
      </w:r>
      <w:r>
        <w:rPr>
          <w:rFonts w:hint="eastAsia" w:ascii="仿宋" w:hAnsi="仿宋" w:eastAsia="仿宋" w:cs="仿宋"/>
          <w:sz w:val="28"/>
          <w:szCs w:val="28"/>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新疆万凯盛工程管理咨询有限公司</w:t>
      </w:r>
      <w:r>
        <w:rPr>
          <w:rFonts w:hint="eastAsia" w:ascii="仿宋" w:hAnsi="仿宋" w:eastAsia="仿宋" w:cs="仿宋"/>
          <w:sz w:val="28"/>
          <w:szCs w:val="28"/>
          <w:u w:val="single"/>
        </w:rPr>
        <w:t xml:space="preserve">    </w:t>
      </w:r>
    </w:p>
    <w:p w14:paraId="214D2774">
      <w:pPr>
        <w:pStyle w:val="21"/>
        <w:spacing w:line="360" w:lineRule="auto"/>
        <w:jc w:val="left"/>
        <w:rPr>
          <w:rFonts w:hint="eastAsia"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孙换换 </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15909963816</w:t>
      </w:r>
      <w:r>
        <w:rPr>
          <w:rFonts w:hint="eastAsia" w:ascii="仿宋" w:hAnsi="仿宋" w:eastAsia="仿宋" w:cs="仿宋"/>
          <w:sz w:val="28"/>
          <w:szCs w:val="28"/>
          <w:u w:val="single"/>
        </w:rPr>
        <w:t xml:space="preserve">  </w:t>
      </w:r>
    </w:p>
    <w:p w14:paraId="7CDB2974">
      <w:pPr>
        <w:spacing w:line="240" w:lineRule="atLeast"/>
        <w:rPr>
          <w:rFonts w:hint="eastAsia" w:ascii="仿宋" w:hAnsi="仿宋" w:eastAsia="仿宋" w:cs="仿宋"/>
          <w:color w:val="000000"/>
          <w:kern w:val="0"/>
          <w:sz w:val="28"/>
          <w:szCs w:val="28"/>
        </w:rPr>
      </w:pPr>
    </w:p>
    <w:p w14:paraId="1F9EE592">
      <w:pPr>
        <w:spacing w:line="240" w:lineRule="atLeast"/>
        <w:rPr>
          <w:rFonts w:hint="eastAsia" w:ascii="仿宋" w:hAnsi="仿宋" w:eastAsia="仿宋" w:cs="仿宋"/>
          <w:color w:val="000000"/>
          <w:kern w:val="0"/>
          <w:sz w:val="28"/>
          <w:szCs w:val="28"/>
        </w:rPr>
      </w:pPr>
    </w:p>
    <w:p w14:paraId="37E72E3B">
      <w:pPr>
        <w:spacing w:line="240" w:lineRule="atLeast"/>
        <w:ind w:firstLine="3855" w:firstLineChars="1200"/>
        <w:rPr>
          <w:rFonts w:hint="eastAsia" w:ascii="仿宋" w:hAnsi="仿宋" w:eastAsia="仿宋" w:cs="仿宋"/>
          <w:b/>
          <w:sz w:val="32"/>
          <w:szCs w:val="32"/>
        </w:rPr>
      </w:pPr>
    </w:p>
    <w:p w14:paraId="1E09E4BD">
      <w:pPr>
        <w:spacing w:line="240" w:lineRule="atLeast"/>
        <w:jc w:val="center"/>
        <w:rPr>
          <w:rFonts w:hint="eastAsia" w:ascii="仿宋" w:hAnsi="仿宋" w:eastAsia="仿宋" w:cs="仿宋"/>
          <w:b/>
          <w:sz w:val="32"/>
          <w:szCs w:val="32"/>
        </w:rPr>
      </w:pPr>
    </w:p>
    <w:p w14:paraId="3E99EEE1">
      <w:pPr>
        <w:spacing w:line="240" w:lineRule="atLeast"/>
        <w:jc w:val="center"/>
        <w:rPr>
          <w:rFonts w:hint="eastAsia" w:ascii="仿宋" w:hAnsi="仿宋" w:eastAsia="仿宋" w:cs="仿宋"/>
          <w:lang w:eastAsia="zh-CN"/>
        </w:rPr>
      </w:pPr>
      <w:r>
        <w:rPr>
          <w:rFonts w:hint="eastAsia" w:ascii="仿宋" w:hAnsi="仿宋" w:eastAsia="仿宋" w:cs="仿宋"/>
          <w:b/>
          <w:sz w:val="32"/>
          <w:szCs w:val="32"/>
        </w:rPr>
        <w:t>二〇二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六</w:t>
      </w:r>
      <w:r>
        <w:rPr>
          <w:rFonts w:hint="eastAsia" w:ascii="仿宋" w:hAnsi="仿宋" w:eastAsia="仿宋" w:cs="仿宋"/>
          <w:b/>
          <w:sz w:val="32"/>
          <w:szCs w:val="32"/>
        </w:rPr>
        <w:t>月</w:t>
      </w:r>
      <w:r>
        <w:rPr>
          <w:rFonts w:hint="eastAsia" w:ascii="仿宋" w:hAnsi="仿宋" w:eastAsia="仿宋" w:cs="仿宋"/>
          <w:b/>
          <w:sz w:val="32"/>
          <w:szCs w:val="32"/>
          <w:lang w:val="en-US" w:eastAsia="zh-CN"/>
        </w:rPr>
        <w:t>二十五</w:t>
      </w:r>
      <w:r>
        <w:rPr>
          <w:rFonts w:hint="eastAsia" w:ascii="仿宋" w:hAnsi="仿宋" w:eastAsia="仿宋" w:cs="仿宋"/>
          <w:b/>
          <w:sz w:val="32"/>
          <w:szCs w:val="32"/>
          <w:lang w:eastAsia="zh-CN"/>
        </w:rPr>
        <w:t>日</w:t>
      </w:r>
    </w:p>
    <w:p w14:paraId="7FB72CEA">
      <w:pPr>
        <w:pStyle w:val="8"/>
        <w:shd w:val="clear" w:color="auto" w:fill="auto"/>
        <w:tabs>
          <w:tab w:val="left" w:pos="1204"/>
        </w:tabs>
        <w:kinsoku w:val="0"/>
        <w:overflowPunct w:val="0"/>
        <w:spacing w:before="0" w:line="501" w:lineRule="exact"/>
        <w:ind w:left="1"/>
        <w:jc w:val="center"/>
        <w:rPr>
          <w:rFonts w:hint="eastAsia" w:ascii="仿宋" w:hAnsi="仿宋" w:eastAsia="仿宋" w:cs="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850" w:footer="850" w:gutter="0"/>
          <w:pgBorders>
            <w:top w:val="none" w:sz="0" w:space="0"/>
            <w:left w:val="none" w:sz="0" w:space="0"/>
            <w:bottom w:val="none" w:sz="0" w:space="0"/>
            <w:right w:val="none" w:sz="0" w:space="0"/>
          </w:pgBorders>
          <w:pgNumType w:fmt="decimal" w:start="0"/>
          <w:cols w:space="720" w:num="1"/>
          <w:titlePg/>
          <w:docGrid w:linePitch="286" w:charSpace="0"/>
        </w:sectPr>
      </w:pPr>
    </w:p>
    <w:p w14:paraId="5B8AE809">
      <w:pPr>
        <w:pStyle w:val="8"/>
        <w:tabs>
          <w:tab w:val="left" w:pos="1204"/>
        </w:tabs>
        <w:kinsoku w:val="0"/>
        <w:overflowPunct w:val="0"/>
        <w:spacing w:before="0" w:line="501" w:lineRule="exact"/>
        <w:ind w:left="0"/>
        <w:jc w:val="center"/>
        <w:rPr>
          <w:rFonts w:hint="eastAsia" w:ascii="仿宋" w:hAnsi="仿宋" w:eastAsia="仿宋" w:cs="仿宋"/>
          <w:b/>
          <w:bCs/>
          <w:sz w:val="36"/>
          <w:szCs w:val="36"/>
        </w:rPr>
      </w:pPr>
      <w:r>
        <w:rPr>
          <w:rFonts w:hint="eastAsia" w:ascii="仿宋" w:hAnsi="仿宋" w:eastAsia="仿宋" w:cs="仿宋"/>
          <w:b/>
          <w:bCs/>
          <w:w w:val="95"/>
          <w:sz w:val="36"/>
          <w:szCs w:val="36"/>
        </w:rPr>
        <w:t>目</w:t>
      </w:r>
      <w:r>
        <w:rPr>
          <w:rFonts w:hint="eastAsia" w:ascii="仿宋" w:hAnsi="仿宋" w:eastAsia="仿宋" w:cs="仿宋"/>
          <w:b/>
          <w:bCs/>
          <w:w w:val="95"/>
          <w:sz w:val="36"/>
          <w:szCs w:val="36"/>
          <w:lang w:val="en-US" w:eastAsia="zh-CN"/>
        </w:rPr>
        <w:t xml:space="preserve">    </w:t>
      </w:r>
      <w:r>
        <w:rPr>
          <w:rFonts w:hint="eastAsia" w:ascii="仿宋" w:hAnsi="仿宋" w:eastAsia="仿宋" w:cs="仿宋"/>
          <w:b/>
          <w:bCs/>
          <w:sz w:val="36"/>
          <w:szCs w:val="36"/>
        </w:rPr>
        <w:t>录</w:t>
      </w:r>
    </w:p>
    <w:p w14:paraId="005F424B">
      <w:pPr>
        <w:rPr>
          <w:rFonts w:hint="eastAsia" w:ascii="仿宋" w:hAnsi="仿宋" w:eastAsia="仿宋" w:cs="仿宋"/>
        </w:rPr>
      </w:pPr>
    </w:p>
    <w:p w14:paraId="5C5D3D36">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_Toc25311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第一章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_Toc25311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50ADA7">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_Toc6483 </w:instrText>
      </w:r>
      <w:r>
        <w:rPr>
          <w:rFonts w:hint="eastAsia" w:ascii="仿宋" w:hAnsi="仿宋" w:eastAsia="仿宋" w:cs="仿宋"/>
          <w:sz w:val="28"/>
          <w:szCs w:val="28"/>
        </w:rPr>
        <w:fldChar w:fldCharType="separate"/>
      </w:r>
      <w:r>
        <w:rPr>
          <w:rFonts w:hint="eastAsia" w:ascii="仿宋" w:hAnsi="仿宋" w:eastAsia="仿宋" w:cs="仿宋"/>
          <w:w w:val="95"/>
          <w:sz w:val="28"/>
          <w:szCs w:val="28"/>
        </w:rPr>
        <w:t>第二章</w:t>
      </w:r>
      <w:r>
        <w:rPr>
          <w:rFonts w:hint="eastAsia" w:ascii="仿宋" w:hAnsi="仿宋" w:eastAsia="仿宋" w:cs="仿宋"/>
          <w:w w:val="95"/>
          <w:sz w:val="28"/>
          <w:szCs w:val="28"/>
          <w:lang w:val="en-US" w:eastAsia="zh-CN"/>
        </w:rPr>
        <w:t xml:space="preserve">  </w:t>
      </w:r>
      <w:r>
        <w:rPr>
          <w:rFonts w:hint="eastAsia" w:ascii="仿宋" w:hAnsi="仿宋" w:eastAsia="仿宋" w:cs="仿宋"/>
          <w:sz w:val="28"/>
          <w:szCs w:val="28"/>
        </w:rPr>
        <w:t>供应商须知及前附表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_Toc6483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7EF241">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_Toc19652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_Toc19652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BFC048">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_Toc6711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_Toc6711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4AACD8">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_Toc30198 </w:instrText>
      </w:r>
      <w:r>
        <w:rPr>
          <w:rFonts w:hint="eastAsia" w:ascii="仿宋" w:hAnsi="仿宋" w:eastAsia="仿宋" w:cs="仿宋"/>
          <w:sz w:val="28"/>
          <w:szCs w:val="28"/>
        </w:rPr>
        <w:fldChar w:fldCharType="separate"/>
      </w:r>
      <w:r>
        <w:rPr>
          <w:rFonts w:hint="eastAsia" w:ascii="仿宋" w:hAnsi="仿宋" w:eastAsia="仿宋" w:cs="仿宋"/>
          <w:sz w:val="28"/>
          <w:szCs w:val="28"/>
        </w:rPr>
        <w:t>（三）《竞争性磋商文件》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_Toc30198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ADB3C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_Toc25634 </w:instrText>
      </w:r>
      <w:r>
        <w:rPr>
          <w:rFonts w:hint="eastAsia" w:ascii="仿宋" w:hAnsi="仿宋" w:eastAsia="仿宋" w:cs="仿宋"/>
          <w:sz w:val="28"/>
          <w:szCs w:val="28"/>
        </w:rPr>
        <w:fldChar w:fldCharType="separate"/>
      </w:r>
      <w:r>
        <w:rPr>
          <w:rFonts w:hint="eastAsia" w:ascii="仿宋" w:hAnsi="仿宋" w:eastAsia="仿宋" w:cs="仿宋"/>
          <w:sz w:val="28"/>
          <w:szCs w:val="28"/>
        </w:rPr>
        <w:t>（四）《磋商响应性文件》的编制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_Toc25634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067BB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_Toc27731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_Toc27731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99C7E5">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_Toc5842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）定标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374B76">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_Toc23697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）合同签订及履行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_Toc23697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E8050A">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_Toc20556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八</w:t>
      </w:r>
      <w:r>
        <w:rPr>
          <w:rFonts w:hint="eastAsia" w:ascii="仿宋" w:hAnsi="仿宋" w:eastAsia="仿宋" w:cs="仿宋"/>
          <w:sz w:val="28"/>
          <w:szCs w:val="28"/>
        </w:rPr>
        <w:t>）重新招标和不再招标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_Toc20556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13CEF4">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_Toc10277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九</w:t>
      </w:r>
      <w:r>
        <w:rPr>
          <w:rFonts w:hint="eastAsia" w:ascii="仿宋" w:hAnsi="仿宋" w:eastAsia="仿宋" w:cs="仿宋"/>
          <w:sz w:val="28"/>
          <w:szCs w:val="28"/>
        </w:rPr>
        <w:t>）纪律和监督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_Toc10277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BF792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_Toc16816 </w:instrText>
      </w:r>
      <w:r>
        <w:rPr>
          <w:rFonts w:hint="eastAsia" w:ascii="仿宋" w:hAnsi="仿宋" w:eastAsia="仿宋" w:cs="仿宋"/>
          <w:sz w:val="28"/>
          <w:szCs w:val="28"/>
        </w:rPr>
        <w:fldChar w:fldCharType="separate"/>
      </w:r>
      <w:r>
        <w:rPr>
          <w:rFonts w:hint="eastAsia" w:ascii="仿宋" w:hAnsi="仿宋" w:eastAsia="仿宋" w:cs="仿宋"/>
          <w:sz w:val="28"/>
          <w:szCs w:val="28"/>
        </w:rPr>
        <w:t>（十）无效投标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_Toc16816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21E62E">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_Toc9021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一</w:t>
      </w:r>
      <w:r>
        <w:rPr>
          <w:rFonts w:hint="eastAsia" w:ascii="仿宋" w:hAnsi="仿宋" w:eastAsia="仿宋" w:cs="仿宋"/>
          <w:sz w:val="28"/>
          <w:szCs w:val="28"/>
        </w:rPr>
        <w:t>）废标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_Toc9021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DCE657">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_Toc32698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）质疑和投诉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_Toc32698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94698F">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_Toc972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第三章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_Toc972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32BA74">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_Toc5164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第四章  磋商内容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_Toc5164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C50AD1">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_Toc4536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合同条款及合同格式（仅供参考）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_Toc4536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C75BD5">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_Toc16315 </w:instrText>
      </w:r>
      <w:r>
        <w:rPr>
          <w:rFonts w:hint="eastAsia" w:ascii="仿宋" w:hAnsi="仿宋" w:eastAsia="仿宋" w:cs="仿宋"/>
          <w:sz w:val="28"/>
          <w:szCs w:val="28"/>
        </w:rPr>
        <w:fldChar w:fldCharType="separate"/>
      </w:r>
      <w:r>
        <w:rPr>
          <w:rFonts w:hint="eastAsia" w:ascii="仿宋" w:hAnsi="仿宋" w:eastAsia="仿宋" w:cs="仿宋"/>
          <w:w w:val="95"/>
          <w:sz w:val="28"/>
          <w:szCs w:val="28"/>
        </w:rPr>
        <w:t>第六章</w:t>
      </w:r>
      <w:r>
        <w:rPr>
          <w:rFonts w:hint="eastAsia" w:ascii="仿宋" w:hAnsi="仿宋" w:eastAsia="仿宋" w:cs="仿宋"/>
          <w:w w:val="95"/>
          <w:sz w:val="28"/>
          <w:szCs w:val="28"/>
          <w:lang w:val="en-US" w:eastAsia="zh-CN"/>
        </w:rPr>
        <w:t xml:space="preserve">  </w:t>
      </w:r>
      <w:r>
        <w:rPr>
          <w:rFonts w:hint="eastAsia" w:ascii="仿宋" w:hAnsi="仿宋" w:eastAsia="仿宋" w:cs="仿宋"/>
          <w:sz w:val="28"/>
          <w:szCs w:val="28"/>
        </w:rPr>
        <w:t>磋商响应性文件格式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_Toc16315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ADC6A2">
      <w:pPr>
        <w:bidi w:val="0"/>
        <w:rPr>
          <w:rFonts w:hint="eastAsia" w:ascii="仿宋" w:hAnsi="仿宋" w:eastAsia="仿宋" w:cs="仿宋"/>
        </w:rPr>
      </w:pPr>
      <w:r>
        <w:rPr>
          <w:rFonts w:hint="eastAsia" w:ascii="仿宋" w:hAnsi="仿宋" w:eastAsia="仿宋" w:cs="仿宋"/>
        </w:rPr>
        <w:fldChar w:fldCharType="end"/>
      </w:r>
    </w:p>
    <w:p w14:paraId="7BFE51F3">
      <w:pPr>
        <w:rPr>
          <w:rFonts w:hint="eastAsia" w:ascii="仿宋" w:hAnsi="仿宋" w:eastAsia="仿宋" w:cs="仿宋"/>
        </w:rPr>
      </w:pPr>
    </w:p>
    <w:p w14:paraId="79983EF8">
      <w:pPr>
        <w:pStyle w:val="3"/>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sectPr>
          <w:footerReference r:id="rId8" w:type="first"/>
          <w:footerReference r:id="rId7" w:type="default"/>
          <w:pgSz w:w="11910" w:h="16840"/>
          <w:pgMar w:top="1040" w:right="1137" w:bottom="960" w:left="1080" w:header="763" w:footer="766" w:gutter="0"/>
          <w:pgBorders>
            <w:top w:val="none" w:sz="0" w:space="0"/>
            <w:left w:val="none" w:sz="0" w:space="0"/>
            <w:bottom w:val="none" w:sz="0" w:space="0"/>
            <w:right w:val="none" w:sz="0" w:space="0"/>
          </w:pgBorders>
          <w:pgNumType w:fmt="decimal" w:start="1"/>
          <w:cols w:space="720" w:num="1"/>
          <w:titlePg/>
          <w:docGrid w:linePitch="286" w:charSpace="0"/>
        </w:sectPr>
      </w:pPr>
    </w:p>
    <w:p w14:paraId="58AACCED">
      <w:pPr>
        <w:pStyle w:val="3"/>
        <w:keepNext/>
        <w:keepLines/>
        <w:pageBreakBefore w:val="0"/>
        <w:widowControl w:val="0"/>
        <w:tabs>
          <w:tab w:val="left" w:pos="2685"/>
          <w:tab w:val="center" w:pos="4907"/>
        </w:tabs>
        <w:kinsoku/>
        <w:wordWrap/>
        <w:overflowPunct/>
        <w:topLinePunct w:val="0"/>
        <w:autoSpaceDE/>
        <w:autoSpaceDN/>
        <w:bidi w:val="0"/>
        <w:adjustRightInd/>
        <w:snapToGrid/>
        <w:spacing w:line="300" w:lineRule="auto"/>
        <w:jc w:val="center"/>
        <w:textAlignment w:val="auto"/>
        <w:rPr>
          <w:rFonts w:hint="eastAsia" w:ascii="仿宋" w:hAnsi="仿宋" w:eastAsia="仿宋" w:cs="仿宋"/>
          <w:w w:val="95"/>
          <w:sz w:val="32"/>
          <w:szCs w:val="44"/>
          <w:lang w:val="en-US" w:eastAsia="zh-CN"/>
        </w:rPr>
      </w:pPr>
      <w:bookmarkStart w:id="0" w:name="_Toc25311"/>
      <w:bookmarkStart w:id="1" w:name="_Toc6969529"/>
      <w:r>
        <w:rPr>
          <w:rFonts w:hint="eastAsia" w:ascii="仿宋" w:hAnsi="仿宋" w:eastAsia="仿宋" w:cs="仿宋"/>
          <w:w w:val="95"/>
          <w:sz w:val="32"/>
          <w:szCs w:val="44"/>
          <w:lang w:val="en-US" w:eastAsia="zh-CN"/>
        </w:rPr>
        <w:t>第一章  竞争性磋商公告</w:t>
      </w:r>
      <w:bookmarkEnd w:id="0"/>
    </w:p>
    <w:p w14:paraId="5CFBC4F4">
      <w:pPr>
        <w:adjustRightInd w:val="0"/>
        <w:snapToGrid w:val="0"/>
        <w:spacing w:before="0" w:after="0" w:line="360" w:lineRule="auto"/>
        <w:jc w:val="center"/>
        <w:outlineLvl w:val="9"/>
        <w:rPr>
          <w:rFonts w:hint="eastAsia" w:ascii="仿宋" w:hAnsi="仿宋" w:eastAsia="仿宋" w:cs="仿宋"/>
          <w:b/>
          <w:bCs/>
          <w:sz w:val="32"/>
          <w:szCs w:val="32"/>
          <w:lang w:val="en-US" w:eastAsia="zh-CN"/>
        </w:rPr>
      </w:pPr>
      <w:bookmarkStart w:id="2" w:name="_Toc3441"/>
      <w:bookmarkStart w:id="3" w:name="_Toc12408"/>
      <w:bookmarkStart w:id="4" w:name="_Toc1120"/>
      <w:r>
        <w:rPr>
          <w:rFonts w:hint="eastAsia" w:ascii="仿宋" w:hAnsi="仿宋" w:eastAsia="仿宋" w:cs="仿宋"/>
          <w:b/>
          <w:bCs/>
          <w:sz w:val="32"/>
          <w:szCs w:val="32"/>
          <w:lang w:val="en-US" w:eastAsia="zh-CN"/>
        </w:rPr>
        <w:t>且末县阿羌镇喀特勒什村羊肉精细化分割项目</w:t>
      </w:r>
    </w:p>
    <w:p w14:paraId="08FB13B9">
      <w:pPr>
        <w:adjustRightInd w:val="0"/>
        <w:snapToGrid w:val="0"/>
        <w:spacing w:before="0" w:after="0" w:line="360" w:lineRule="auto"/>
        <w:jc w:val="center"/>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竞争性磋商</w:t>
      </w:r>
      <w:r>
        <w:rPr>
          <w:rFonts w:hint="eastAsia" w:ascii="仿宋" w:hAnsi="仿宋" w:eastAsia="仿宋" w:cs="仿宋"/>
          <w:b/>
          <w:bCs/>
          <w:sz w:val="32"/>
          <w:szCs w:val="32"/>
        </w:rPr>
        <w:t>公告</w:t>
      </w:r>
      <w:bookmarkEnd w:id="2"/>
      <w:bookmarkEnd w:id="3"/>
      <w:bookmarkEnd w:id="4"/>
    </w:p>
    <w:p w14:paraId="06721EF3">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1D861E0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2"/>
          <w:lang w:eastAsia="zh-CN"/>
        </w:rPr>
        <w:t>且末县阿羌镇喀特勒什村羊肉精细化分割项目</w:t>
      </w:r>
      <w:r>
        <w:rPr>
          <w:rFonts w:hint="eastAsia" w:ascii="仿宋" w:hAnsi="仿宋" w:eastAsia="仿宋" w:cs="仿宋"/>
          <w:sz w:val="24"/>
          <w:szCs w:val="24"/>
        </w:rPr>
        <w:t>采购项目的潜在供应商应在政采云平台线上获取采购文件，并于2025年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08</w:t>
      </w:r>
      <w:r>
        <w:rPr>
          <w:rFonts w:hint="eastAsia" w:ascii="仿宋" w:hAnsi="仿宋" w:eastAsia="仿宋" w:cs="仿宋"/>
          <w:sz w:val="24"/>
          <w:szCs w:val="24"/>
        </w:rPr>
        <w:t>日</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sz w:val="24"/>
          <w:szCs w:val="24"/>
        </w:rPr>
        <w:t>（北京时间）前提交响应文件。</w:t>
      </w:r>
    </w:p>
    <w:p w14:paraId="5985BEE6">
      <w:pPr>
        <w:adjustRightInd w:val="0"/>
        <w:snapToGrid w:val="0"/>
        <w:spacing w:line="360" w:lineRule="auto"/>
        <w:rPr>
          <w:rFonts w:hint="eastAsia" w:ascii="仿宋" w:hAnsi="仿宋" w:eastAsia="仿宋" w:cs="仿宋"/>
          <w:sz w:val="24"/>
          <w:szCs w:val="24"/>
        </w:rPr>
      </w:pPr>
    </w:p>
    <w:p w14:paraId="0E8B0F65">
      <w:pPr>
        <w:adjustRightInd w:val="0"/>
        <w:snapToGrid w:val="0"/>
        <w:spacing w:line="360" w:lineRule="auto"/>
        <w:rPr>
          <w:rFonts w:hint="eastAsia" w:ascii="仿宋" w:hAnsi="仿宋" w:eastAsia="仿宋" w:cs="仿宋"/>
          <w:sz w:val="24"/>
          <w:szCs w:val="24"/>
        </w:rPr>
      </w:pPr>
      <w:r>
        <w:rPr>
          <w:rFonts w:hint="eastAsia" w:ascii="仿宋" w:hAnsi="仿宋" w:eastAsia="仿宋" w:cs="仿宋"/>
          <w:b/>
          <w:bCs/>
          <w:sz w:val="28"/>
          <w:szCs w:val="28"/>
        </w:rPr>
        <w:t>一、项目基本情况</w:t>
      </w:r>
    </w:p>
    <w:p w14:paraId="13C6E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XJWKS（JZXCS）2025-009号</w:t>
      </w:r>
    </w:p>
    <w:p w14:paraId="7AEFD0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且末县阿羌镇喀特勒什村羊肉精细化分割项目</w:t>
      </w:r>
    </w:p>
    <w:p w14:paraId="594002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0894FC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2300000.00</w:t>
      </w:r>
    </w:p>
    <w:p w14:paraId="3547C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2300000.00</w:t>
      </w:r>
    </w:p>
    <w:p w14:paraId="31C18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0A9194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且末县阿羌镇喀特勒什村羊肉精细化分割项目</w:t>
      </w:r>
    </w:p>
    <w:p w14:paraId="46025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数量:1</w:t>
      </w:r>
    </w:p>
    <w:p w14:paraId="0BB2A1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2300000.00</w:t>
      </w:r>
    </w:p>
    <w:p w14:paraId="37DF6A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单位：批</w:t>
      </w:r>
    </w:p>
    <w:p w14:paraId="43D3FA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简要规格描述：在昆仑牧业屠宰场建设清洗车间，精细化分割线，排酸库，冷库，</w:t>
      </w:r>
      <w:r>
        <w:rPr>
          <w:rFonts w:hint="eastAsia" w:ascii="仿宋" w:hAnsi="仿宋" w:eastAsia="仿宋" w:cs="仿宋"/>
          <w:sz w:val="24"/>
          <w:szCs w:val="24"/>
          <w:lang w:val="en-US" w:eastAsia="zh-CN"/>
        </w:rPr>
        <w:t>采购</w:t>
      </w:r>
      <w:r>
        <w:rPr>
          <w:rFonts w:hint="eastAsia" w:ascii="仿宋" w:hAnsi="仿宋" w:eastAsia="仿宋" w:cs="仿宋"/>
          <w:sz w:val="24"/>
          <w:szCs w:val="24"/>
        </w:rPr>
        <w:t>冰鲜设备</w:t>
      </w:r>
      <w:r>
        <w:rPr>
          <w:rFonts w:hint="eastAsia" w:ascii="仿宋" w:hAnsi="仿宋" w:eastAsia="仿宋" w:cs="仿宋"/>
          <w:sz w:val="24"/>
          <w:szCs w:val="24"/>
          <w:lang w:eastAsia="zh-CN"/>
        </w:rPr>
        <w:t>、</w:t>
      </w:r>
      <w:r>
        <w:rPr>
          <w:rFonts w:hint="eastAsia" w:ascii="仿宋" w:hAnsi="仿宋" w:eastAsia="仿宋" w:cs="仿宋"/>
          <w:sz w:val="24"/>
          <w:szCs w:val="24"/>
        </w:rPr>
        <w:t>包装盒</w:t>
      </w:r>
      <w:r>
        <w:rPr>
          <w:rFonts w:hint="eastAsia" w:ascii="仿宋" w:hAnsi="仿宋" w:eastAsia="仿宋" w:cs="仿宋"/>
          <w:sz w:val="24"/>
          <w:szCs w:val="24"/>
          <w:lang w:val="en-US" w:eastAsia="zh-CN"/>
        </w:rPr>
        <w:t>、附属</w:t>
      </w:r>
      <w:r>
        <w:rPr>
          <w:rFonts w:hint="eastAsia" w:ascii="仿宋" w:hAnsi="仿宋" w:eastAsia="仿宋" w:cs="仿宋"/>
          <w:sz w:val="24"/>
          <w:szCs w:val="24"/>
        </w:rPr>
        <w:t>配套</w:t>
      </w:r>
      <w:r>
        <w:rPr>
          <w:rFonts w:hint="eastAsia" w:ascii="仿宋" w:hAnsi="仿宋" w:eastAsia="仿宋" w:cs="仿宋"/>
          <w:sz w:val="24"/>
          <w:szCs w:val="24"/>
          <w:lang w:val="en-US" w:eastAsia="zh-CN"/>
        </w:rPr>
        <w:t>设施</w:t>
      </w:r>
      <w:r>
        <w:rPr>
          <w:rFonts w:hint="eastAsia" w:ascii="仿宋" w:hAnsi="仿宋" w:eastAsia="仿宋" w:cs="仿宋"/>
          <w:sz w:val="24"/>
          <w:szCs w:val="24"/>
        </w:rPr>
        <w:t>并安装调试完成。</w:t>
      </w:r>
    </w:p>
    <w:p w14:paraId="01D6C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备注：</w:t>
      </w:r>
    </w:p>
    <w:p w14:paraId="5C43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合同履约期限：合同签订后</w:t>
      </w:r>
      <w:r>
        <w:rPr>
          <w:rFonts w:hint="eastAsia" w:ascii="仿宋" w:hAnsi="仿宋" w:eastAsia="仿宋" w:cs="仿宋"/>
          <w:sz w:val="24"/>
          <w:szCs w:val="24"/>
          <w:lang w:val="en-US" w:eastAsia="zh-CN"/>
        </w:rPr>
        <w:t>30日内，包装盒按需供货</w:t>
      </w:r>
      <w:r>
        <w:rPr>
          <w:rFonts w:hint="eastAsia" w:ascii="仿宋" w:hAnsi="仿宋" w:eastAsia="仿宋" w:cs="仿宋"/>
          <w:sz w:val="24"/>
          <w:szCs w:val="24"/>
          <w:lang w:eastAsia="zh-CN"/>
        </w:rPr>
        <w:t>；</w:t>
      </w:r>
      <w:r>
        <w:rPr>
          <w:rFonts w:hint="eastAsia" w:ascii="仿宋" w:hAnsi="仿宋" w:eastAsia="仿宋" w:cs="仿宋"/>
          <w:sz w:val="24"/>
          <w:szCs w:val="24"/>
        </w:rPr>
        <w:t>质保期：</w:t>
      </w:r>
      <w:r>
        <w:rPr>
          <w:rFonts w:hint="eastAsia" w:ascii="仿宋" w:hAnsi="仿宋" w:eastAsia="仿宋" w:cs="仿宋"/>
          <w:sz w:val="24"/>
          <w:szCs w:val="24"/>
          <w:lang w:val="en-US" w:eastAsia="zh-CN"/>
        </w:rPr>
        <w:t>2</w:t>
      </w:r>
      <w:r>
        <w:rPr>
          <w:rFonts w:hint="eastAsia" w:ascii="仿宋" w:hAnsi="仿宋" w:eastAsia="仿宋" w:cs="仿宋"/>
          <w:sz w:val="24"/>
          <w:szCs w:val="24"/>
        </w:rPr>
        <w:t>年。</w:t>
      </w:r>
    </w:p>
    <w:p w14:paraId="7E73E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本项目（否）接受联合体投标。</w:t>
      </w:r>
    </w:p>
    <w:p w14:paraId="4DA3597B">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二、申请人的资格要求:</w:t>
      </w:r>
    </w:p>
    <w:p w14:paraId="07A7A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5884EA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2.落实政府采购政策需满足的资格要求： </w:t>
      </w:r>
    </w:p>
    <w:p w14:paraId="75FB69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）本项目不属于专门面向中小企业采购的项目；</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）《政府采购促进中小企业发展管理办法》（财库〔2020〕46号）；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）《关于进一步加大政府采购支持中小企业力度的通知》（财库〔2022〕19号）；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）《财政部、司法部关于政府采购支持监狱企业发展有关问题的通知》（财库〔2014〕68号）；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）《财政部 民政部 中国残疾人联合会关于促进残疾人就业政府采购政策的通知》财库〔2017〕141号。</w:t>
      </w:r>
    </w:p>
    <w:p w14:paraId="5CB1CA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本项目的特定资格要求：</w:t>
      </w:r>
    </w:p>
    <w:p w14:paraId="699EAF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14:paraId="6F3D3A39">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b/>
          <w:bCs/>
          <w:sz w:val="28"/>
          <w:szCs w:val="28"/>
          <w:lang w:eastAsia="zh-CN"/>
        </w:rPr>
        <w:t>三、获取</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lang w:eastAsia="zh-CN"/>
        </w:rPr>
        <w:t>文件</w:t>
      </w:r>
    </w:p>
    <w:p w14:paraId="1EC86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日至20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lang w:eastAsia="zh-CN"/>
        </w:rPr>
        <w:t>日，每天上午00:00至14:00，下午14:00至23:59（北京时间，法定节假日除外）。</w:t>
      </w:r>
    </w:p>
    <w:p w14:paraId="17913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地点：登陆政采云平台http://www.zcygov.cn/在线申请获取。</w:t>
      </w:r>
    </w:p>
    <w:p w14:paraId="56DEAC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7DAE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售价（</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w:t>
      </w:r>
    </w:p>
    <w:p w14:paraId="55F2F233">
      <w:pPr>
        <w:adjustRightInd w:val="0"/>
        <w:snapToGrid w:val="0"/>
        <w:spacing w:line="360" w:lineRule="auto"/>
        <w:rPr>
          <w:rFonts w:hint="eastAsia" w:ascii="仿宋" w:hAnsi="仿宋" w:eastAsia="仿宋" w:cs="仿宋"/>
          <w:b/>
          <w:bCs/>
          <w:sz w:val="28"/>
          <w:szCs w:val="28"/>
          <w:lang w:eastAsia="zh-CN"/>
        </w:rPr>
      </w:pPr>
      <w:bookmarkStart w:id="5" w:name="_Toc35393793"/>
      <w:bookmarkStart w:id="6" w:name="_Toc28359005"/>
      <w:bookmarkStart w:id="7" w:name="_Toc35393624"/>
      <w:bookmarkStart w:id="8" w:name="_Toc28359082"/>
      <w:r>
        <w:rPr>
          <w:rFonts w:hint="eastAsia" w:ascii="仿宋" w:hAnsi="仿宋" w:eastAsia="仿宋" w:cs="仿宋"/>
          <w:b/>
          <w:bCs/>
          <w:sz w:val="28"/>
          <w:szCs w:val="28"/>
          <w:lang w:eastAsia="zh-CN"/>
        </w:rPr>
        <w:t>四、</w:t>
      </w:r>
      <w:bookmarkEnd w:id="5"/>
      <w:bookmarkEnd w:id="6"/>
      <w:bookmarkEnd w:id="7"/>
      <w:bookmarkEnd w:id="8"/>
      <w:r>
        <w:rPr>
          <w:rFonts w:hint="eastAsia" w:ascii="仿宋" w:hAnsi="仿宋" w:eastAsia="仿宋" w:cs="仿宋"/>
          <w:b/>
          <w:bCs/>
          <w:sz w:val="28"/>
          <w:szCs w:val="28"/>
          <w:lang w:eastAsia="zh-CN"/>
        </w:rPr>
        <w:t>响应文件提交</w:t>
      </w:r>
    </w:p>
    <w:p w14:paraId="611E6B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截止</w:t>
      </w:r>
      <w:r>
        <w:rPr>
          <w:rFonts w:hint="eastAsia" w:ascii="仿宋" w:hAnsi="仿宋" w:eastAsia="仿宋" w:cs="仿宋"/>
          <w:sz w:val="24"/>
          <w:szCs w:val="24"/>
          <w:lang w:eastAsia="zh-CN"/>
        </w:rPr>
        <w:t>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08</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分（北京时间）</w:t>
      </w:r>
    </w:p>
    <w:p w14:paraId="73DAC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地点：请登录政采云投标客户端投标</w:t>
      </w:r>
    </w:p>
    <w:p w14:paraId="02450A62">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五、响应文件开启</w:t>
      </w:r>
    </w:p>
    <w:p w14:paraId="4779A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时间：</w:t>
      </w:r>
      <w:r>
        <w:rPr>
          <w:rFonts w:hint="eastAsia" w:ascii="仿宋" w:hAnsi="仿宋" w:eastAsia="仿宋" w:cs="仿宋"/>
          <w:color w:val="auto"/>
          <w:sz w:val="24"/>
          <w:szCs w:val="24"/>
          <w:lang w:eastAsia="zh-CN"/>
        </w:rPr>
        <w:t>2025年7月08日11时00分（北京时间）</w:t>
      </w:r>
    </w:p>
    <w:p w14:paraId="1A2F9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地点：投标人登录政采云平台https://www.zcygov.cn/，进入“项目采购-开标评标-右边选择对应项目点击“进入项目”进入开标大厅。</w:t>
      </w:r>
    </w:p>
    <w:p w14:paraId="190FD58F">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六、公告期限</w:t>
      </w:r>
    </w:p>
    <w:p w14:paraId="3DDFBDCD">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个工作日。</w:t>
      </w:r>
    </w:p>
    <w:p w14:paraId="02C57101">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七、其他补充事宜</w:t>
      </w:r>
    </w:p>
    <w:p w14:paraId="7B9C2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5CCB34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D56E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3、供应商将政采云电子交易客户端下载、安装完成后，可通过账号密码或CA登录客户端进行投标文件的制作。在使用政采云投标客户端时，建议使用WIN7及以上操作系统。</w:t>
      </w:r>
    </w:p>
    <w:p w14:paraId="5FECC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其他事项：①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38C7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②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3D6CFC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③逾期上传或者未上传指定地点的响应文件，采购人不予受理。</w:t>
      </w:r>
    </w:p>
    <w:p w14:paraId="730C6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特别提示：</w:t>
      </w:r>
    </w:p>
    <w:p w14:paraId="76E5A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1、采购限额标准以上，200万元以下的货物和服务采购项目、400万元以下的工程采购项目，适宜由中小企业提供的，采购人应当专门面向中小企业采购。</w:t>
      </w:r>
    </w:p>
    <w:p w14:paraId="59B7E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2、超过200万元的货物和服务采购项目，预留该部分采购项目预算总额的30%以上专门面向中小企业采购，其中预留给小微企业的比例不低于60%。</w:t>
      </w:r>
    </w:p>
    <w:p w14:paraId="6E1A9C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3、超过400万元的工程采购项目中适宜由中小企业提供的，预留该部分采购项目预算总额的40%以上专门面向中小企业采购，其中预留给小微企业的比例不低于60%。</w:t>
      </w:r>
    </w:p>
    <w:p w14:paraId="021890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2905F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B0E51F">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八、对本次采购提出询问，请按以下方式联系</w:t>
      </w:r>
    </w:p>
    <w:p w14:paraId="6753C090">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48E31BC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名  称：且末县阿羌镇人民政府</w:t>
      </w:r>
    </w:p>
    <w:p w14:paraId="27DBFED1">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地  址：且末县阿羌镇</w:t>
      </w:r>
    </w:p>
    <w:p w14:paraId="47442F25">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联系方式：0996-7628125</w:t>
      </w:r>
    </w:p>
    <w:p w14:paraId="277F5EB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445049B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名  称：新疆万凯盛工程管理咨询有限公司</w:t>
      </w:r>
    </w:p>
    <w:p w14:paraId="2C907EF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地  址：新疆库尔勒市人民东路豪景大厦1408室</w:t>
      </w:r>
    </w:p>
    <w:p w14:paraId="42D985BC">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联系方式：15909963816</w:t>
      </w:r>
    </w:p>
    <w:p w14:paraId="3770EA9B">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3.项目联系方式</w:t>
      </w:r>
    </w:p>
    <w:p w14:paraId="2B62DDE2">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联系人：孙换换     </w:t>
      </w:r>
    </w:p>
    <w:p w14:paraId="4FE81B1C">
      <w:pPr>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电  话：15909963816</w:t>
      </w:r>
    </w:p>
    <w:p w14:paraId="0CA2DB33">
      <w:pPr>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8"/>
          <w:szCs w:val="40"/>
        </w:rPr>
      </w:pPr>
      <w:r>
        <w:rPr>
          <w:rFonts w:hint="eastAsia" w:ascii="仿宋" w:hAnsi="仿宋" w:eastAsia="仿宋" w:cs="仿宋"/>
          <w:sz w:val="28"/>
          <w:szCs w:val="21"/>
        </w:rPr>
        <w:br w:type="page"/>
      </w:r>
      <w:bookmarkEnd w:id="1"/>
      <w:bookmarkStart w:id="9" w:name="_Toc6483"/>
      <w:r>
        <w:rPr>
          <w:rStyle w:val="49"/>
          <w:rFonts w:hint="eastAsia" w:ascii="仿宋" w:hAnsi="仿宋" w:eastAsia="仿宋" w:cs="仿宋"/>
          <w:lang w:val="en-US" w:eastAsia="zh-CN"/>
        </w:rPr>
        <w:t>第</w:t>
      </w:r>
      <w:bookmarkStart w:id="10" w:name="（一）供应商须知前附表"/>
      <w:bookmarkEnd w:id="10"/>
      <w:bookmarkStart w:id="11" w:name="bookmark2"/>
      <w:bookmarkEnd w:id="11"/>
      <w:r>
        <w:rPr>
          <w:rStyle w:val="49"/>
          <w:rFonts w:hint="eastAsia" w:ascii="仿宋" w:hAnsi="仿宋" w:eastAsia="仿宋" w:cs="仿宋"/>
          <w:lang w:val="en-US" w:eastAsia="zh-CN"/>
        </w:rPr>
        <w:t>二章  供应商须知及前附表</w:t>
      </w:r>
      <w:bookmarkEnd w:id="9"/>
    </w:p>
    <w:p w14:paraId="17100979">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6"/>
        </w:rPr>
      </w:pPr>
      <w:bookmarkStart w:id="12" w:name="_Toc19652"/>
      <w:r>
        <w:rPr>
          <w:rFonts w:hint="eastAsia" w:ascii="仿宋" w:hAnsi="仿宋" w:eastAsia="仿宋" w:cs="仿宋"/>
          <w:sz w:val="28"/>
          <w:szCs w:val="28"/>
        </w:rPr>
        <w:t>（一）供应商须知前附表</w:t>
      </w:r>
      <w:bookmarkEnd w:id="12"/>
    </w:p>
    <w:p w14:paraId="645986A3">
      <w:pPr>
        <w:rPr>
          <w:rFonts w:hint="eastAsia" w:ascii="仿宋" w:hAnsi="仿宋" w:eastAsia="仿宋" w:cs="仿宋"/>
        </w:rPr>
      </w:pPr>
    </w:p>
    <w:tbl>
      <w:tblPr>
        <w:tblStyle w:val="17"/>
        <w:tblW w:w="105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888"/>
        <w:gridCol w:w="7890"/>
      </w:tblGrid>
      <w:tr w14:paraId="51A1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63" w:type="dxa"/>
            <w:noWrap w:val="0"/>
            <w:vAlign w:val="center"/>
          </w:tcPr>
          <w:p w14:paraId="4490B3E7">
            <w:pPr>
              <w:overflowPunct w:val="0"/>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888" w:type="dxa"/>
            <w:noWrap w:val="0"/>
            <w:vAlign w:val="center"/>
          </w:tcPr>
          <w:p w14:paraId="484D5242">
            <w:pPr>
              <w:overflowPunct w:val="0"/>
              <w:spacing w:line="440" w:lineRule="exact"/>
              <w:jc w:val="center"/>
              <w:rPr>
                <w:rFonts w:hint="eastAsia" w:ascii="仿宋" w:hAnsi="仿宋" w:eastAsia="仿宋" w:cs="仿宋"/>
                <w:sz w:val="24"/>
              </w:rPr>
            </w:pPr>
            <w:r>
              <w:rPr>
                <w:rFonts w:hint="eastAsia" w:ascii="仿宋" w:hAnsi="仿宋" w:eastAsia="仿宋" w:cs="仿宋"/>
                <w:sz w:val="24"/>
              </w:rPr>
              <w:t>名称</w:t>
            </w:r>
          </w:p>
        </w:tc>
        <w:tc>
          <w:tcPr>
            <w:tcW w:w="7890" w:type="dxa"/>
            <w:noWrap w:val="0"/>
            <w:vAlign w:val="center"/>
          </w:tcPr>
          <w:p w14:paraId="5EC55217">
            <w:pPr>
              <w:overflowPunct w:val="0"/>
              <w:spacing w:line="440" w:lineRule="exact"/>
              <w:jc w:val="center"/>
              <w:rPr>
                <w:rFonts w:hint="eastAsia" w:ascii="仿宋" w:hAnsi="仿宋" w:eastAsia="仿宋" w:cs="仿宋"/>
                <w:sz w:val="24"/>
              </w:rPr>
            </w:pPr>
            <w:r>
              <w:rPr>
                <w:rFonts w:hint="eastAsia" w:ascii="仿宋" w:hAnsi="仿宋" w:eastAsia="仿宋" w:cs="仿宋"/>
                <w:sz w:val="24"/>
              </w:rPr>
              <w:t>内容</w:t>
            </w:r>
          </w:p>
        </w:tc>
      </w:tr>
      <w:tr w14:paraId="36AC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7BBCA3FE">
            <w:pPr>
              <w:overflowPunct w:val="0"/>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888" w:type="dxa"/>
            <w:noWrap w:val="0"/>
            <w:vAlign w:val="center"/>
          </w:tcPr>
          <w:p w14:paraId="76DB0C24">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项目编号</w:t>
            </w:r>
          </w:p>
        </w:tc>
        <w:tc>
          <w:tcPr>
            <w:tcW w:w="7890" w:type="dxa"/>
            <w:noWrap w:val="0"/>
            <w:vAlign w:val="center"/>
          </w:tcPr>
          <w:p w14:paraId="7BF7F79F">
            <w:pPr>
              <w:spacing w:line="440" w:lineRule="exact"/>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XJWKS（JZXCS）2025-009号</w:t>
            </w:r>
          </w:p>
        </w:tc>
      </w:tr>
      <w:tr w14:paraId="33BA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63" w:type="dxa"/>
            <w:noWrap w:val="0"/>
            <w:vAlign w:val="center"/>
          </w:tcPr>
          <w:p w14:paraId="32F4A593">
            <w:pPr>
              <w:overflowPunct w:val="0"/>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888" w:type="dxa"/>
            <w:noWrap w:val="0"/>
            <w:vAlign w:val="center"/>
          </w:tcPr>
          <w:p w14:paraId="6D86CB5B">
            <w:pPr>
              <w:overflowPunct w:val="0"/>
              <w:spacing w:line="440" w:lineRule="exact"/>
              <w:jc w:val="center"/>
              <w:rPr>
                <w:rFonts w:hint="eastAsia" w:ascii="仿宋" w:hAnsi="仿宋" w:eastAsia="仿宋" w:cs="仿宋"/>
                <w:sz w:val="24"/>
              </w:rPr>
            </w:pPr>
            <w:r>
              <w:rPr>
                <w:rFonts w:hint="eastAsia" w:ascii="仿宋" w:hAnsi="仿宋" w:eastAsia="仿宋" w:cs="仿宋"/>
                <w:sz w:val="24"/>
              </w:rPr>
              <w:t>项目名称</w:t>
            </w:r>
          </w:p>
        </w:tc>
        <w:tc>
          <w:tcPr>
            <w:tcW w:w="7890" w:type="dxa"/>
            <w:noWrap w:val="0"/>
            <w:vAlign w:val="top"/>
          </w:tcPr>
          <w:p w14:paraId="291BAB6E">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lang w:eastAsia="zh-CN"/>
              </w:rPr>
              <w:t>且末县阿羌镇喀特勒什村羊肉精细化分割项目</w:t>
            </w:r>
          </w:p>
        </w:tc>
      </w:tr>
      <w:tr w14:paraId="1C6F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07F7E467">
            <w:pPr>
              <w:overflowPunct w:val="0"/>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1888" w:type="dxa"/>
            <w:noWrap w:val="0"/>
            <w:vAlign w:val="center"/>
          </w:tcPr>
          <w:p w14:paraId="0D2D483B">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联系方式</w:t>
            </w:r>
          </w:p>
        </w:tc>
        <w:tc>
          <w:tcPr>
            <w:tcW w:w="7890" w:type="dxa"/>
            <w:noWrap w:val="0"/>
            <w:vAlign w:val="center"/>
          </w:tcPr>
          <w:p w14:paraId="03823B9C">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采购单位：</w:t>
            </w:r>
            <w:r>
              <w:rPr>
                <w:rFonts w:hint="eastAsia" w:ascii="仿宋" w:hAnsi="仿宋" w:eastAsia="仿宋" w:cs="仿宋"/>
                <w:sz w:val="24"/>
                <w:szCs w:val="22"/>
                <w:lang w:eastAsia="zh-CN"/>
              </w:rPr>
              <w:t xml:space="preserve">且末县阿羌镇人民政府  </w:t>
            </w:r>
          </w:p>
          <w:p w14:paraId="541A034E">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联系人：</w:t>
            </w:r>
            <w:r>
              <w:rPr>
                <w:rFonts w:hint="eastAsia" w:ascii="仿宋" w:hAnsi="仿宋" w:eastAsia="仿宋" w:cs="仿宋"/>
                <w:sz w:val="24"/>
                <w:szCs w:val="22"/>
                <w:lang w:eastAsia="zh-CN"/>
              </w:rPr>
              <w:t>朱海鹏</w:t>
            </w:r>
            <w:r>
              <w:rPr>
                <w:rFonts w:hint="eastAsia" w:ascii="仿宋" w:hAnsi="仿宋" w:eastAsia="仿宋" w:cs="仿宋"/>
                <w:sz w:val="24"/>
                <w:szCs w:val="22"/>
              </w:rPr>
              <w:t xml:space="preserve">   联系电话：</w:t>
            </w:r>
            <w:r>
              <w:rPr>
                <w:rFonts w:hint="eastAsia" w:ascii="仿宋" w:hAnsi="仿宋" w:eastAsia="仿宋" w:cs="仿宋"/>
                <w:sz w:val="24"/>
                <w:szCs w:val="22"/>
                <w:lang w:eastAsia="zh-CN"/>
              </w:rPr>
              <w:t>18919174404</w:t>
            </w:r>
          </w:p>
          <w:p w14:paraId="4DA07DC9">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招标代理机构：</w:t>
            </w:r>
            <w:r>
              <w:rPr>
                <w:rFonts w:hint="eastAsia" w:ascii="仿宋" w:hAnsi="仿宋" w:eastAsia="仿宋" w:cs="仿宋"/>
                <w:sz w:val="24"/>
                <w:szCs w:val="22"/>
                <w:lang w:eastAsia="zh-CN"/>
              </w:rPr>
              <w:t>新疆万凯盛工程管理咨询有限公司</w:t>
            </w:r>
          </w:p>
          <w:p w14:paraId="2E8234B0">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招标公司地址：</w:t>
            </w:r>
            <w:r>
              <w:rPr>
                <w:rFonts w:hint="eastAsia" w:ascii="仿宋" w:hAnsi="仿宋" w:eastAsia="仿宋" w:cs="仿宋"/>
                <w:sz w:val="24"/>
                <w:szCs w:val="24"/>
                <w:lang w:eastAsia="zh-CN"/>
              </w:rPr>
              <w:t>新疆库尔勒市人民东路</w:t>
            </w:r>
            <w:r>
              <w:rPr>
                <w:rFonts w:hint="eastAsia" w:ascii="仿宋" w:hAnsi="仿宋" w:eastAsia="仿宋" w:cs="仿宋"/>
                <w:sz w:val="24"/>
                <w:szCs w:val="24"/>
                <w:lang w:val="en-US" w:eastAsia="zh-CN"/>
              </w:rPr>
              <w:t>豪景</w:t>
            </w:r>
            <w:r>
              <w:rPr>
                <w:rFonts w:hint="eastAsia" w:ascii="仿宋" w:hAnsi="仿宋" w:eastAsia="仿宋" w:cs="仿宋"/>
                <w:sz w:val="24"/>
                <w:szCs w:val="24"/>
                <w:lang w:eastAsia="zh-CN"/>
              </w:rPr>
              <w:t>大厦</w:t>
            </w:r>
            <w:r>
              <w:rPr>
                <w:rFonts w:hint="eastAsia" w:ascii="仿宋" w:hAnsi="仿宋" w:eastAsia="仿宋" w:cs="仿宋"/>
                <w:sz w:val="24"/>
                <w:szCs w:val="24"/>
                <w:lang w:val="en-US" w:eastAsia="zh-CN"/>
              </w:rPr>
              <w:t>1408室</w:t>
            </w:r>
          </w:p>
          <w:p w14:paraId="47B71F07">
            <w:pPr>
              <w:overflowPunct w:val="0"/>
              <w:spacing w:line="440" w:lineRule="exact"/>
              <w:rPr>
                <w:rFonts w:hint="eastAsia" w:ascii="仿宋" w:hAnsi="仿宋" w:eastAsia="仿宋" w:cs="仿宋"/>
                <w:sz w:val="24"/>
                <w:szCs w:val="22"/>
                <w:lang w:val="en-US" w:eastAsia="zh-CN"/>
              </w:rPr>
            </w:pPr>
            <w:r>
              <w:rPr>
                <w:rFonts w:hint="eastAsia" w:ascii="仿宋" w:hAnsi="仿宋" w:eastAsia="仿宋" w:cs="仿宋"/>
                <w:sz w:val="24"/>
                <w:szCs w:val="22"/>
              </w:rPr>
              <w:t>项目联系人：</w:t>
            </w:r>
            <w:r>
              <w:rPr>
                <w:rFonts w:hint="eastAsia" w:ascii="仿宋" w:hAnsi="仿宋" w:eastAsia="仿宋" w:cs="仿宋"/>
                <w:sz w:val="24"/>
                <w:szCs w:val="22"/>
                <w:lang w:eastAsia="zh-CN"/>
              </w:rPr>
              <w:t xml:space="preserve">孙换换 </w:t>
            </w:r>
            <w:r>
              <w:rPr>
                <w:rFonts w:hint="eastAsia" w:ascii="仿宋" w:hAnsi="仿宋" w:eastAsia="仿宋" w:cs="仿宋"/>
                <w:sz w:val="24"/>
                <w:szCs w:val="22"/>
              </w:rPr>
              <w:t xml:space="preserve">  联系电话：</w:t>
            </w:r>
            <w:r>
              <w:rPr>
                <w:rFonts w:hint="eastAsia" w:ascii="仿宋" w:hAnsi="仿宋" w:eastAsia="仿宋" w:cs="仿宋"/>
                <w:sz w:val="24"/>
                <w:szCs w:val="22"/>
                <w:lang w:val="en-US" w:eastAsia="zh-CN"/>
              </w:rPr>
              <w:t>15909963816</w:t>
            </w:r>
          </w:p>
        </w:tc>
      </w:tr>
      <w:tr w14:paraId="507E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30CE8B77">
            <w:pPr>
              <w:overflowPunct w:val="0"/>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1888" w:type="dxa"/>
            <w:noWrap w:val="0"/>
            <w:vAlign w:val="center"/>
          </w:tcPr>
          <w:p w14:paraId="2A5D1D7F">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投标内容</w:t>
            </w:r>
          </w:p>
        </w:tc>
        <w:tc>
          <w:tcPr>
            <w:tcW w:w="7890" w:type="dxa"/>
            <w:noWrap w:val="0"/>
            <w:vAlign w:val="center"/>
          </w:tcPr>
          <w:p w14:paraId="5751E50B">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lang w:val="en-US" w:eastAsia="zh-CN"/>
              </w:rPr>
              <w:t>在昆仑牧业屠宰场建设清洗车间，精细化分割线，排酸库，冷库，采购冰鲜设备、包装盒、附属配套设施并安装调试完成。</w:t>
            </w:r>
          </w:p>
        </w:tc>
      </w:tr>
      <w:tr w14:paraId="74B3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03221C50">
            <w:pPr>
              <w:overflowPunct w:val="0"/>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1888" w:type="dxa"/>
            <w:noWrap w:val="0"/>
            <w:vAlign w:val="center"/>
          </w:tcPr>
          <w:p w14:paraId="745E30BB">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预算金额</w:t>
            </w:r>
          </w:p>
        </w:tc>
        <w:tc>
          <w:tcPr>
            <w:tcW w:w="7890" w:type="dxa"/>
            <w:noWrap w:val="0"/>
            <w:vAlign w:val="center"/>
          </w:tcPr>
          <w:p w14:paraId="01EF2863">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lang w:val="en-US" w:eastAsia="zh-CN"/>
              </w:rPr>
              <w:t>2300000.00</w:t>
            </w:r>
            <w:r>
              <w:rPr>
                <w:rFonts w:hint="eastAsia" w:ascii="仿宋" w:hAnsi="仿宋" w:eastAsia="仿宋" w:cs="仿宋"/>
                <w:sz w:val="24"/>
                <w:szCs w:val="22"/>
                <w:lang w:eastAsia="zh-CN"/>
              </w:rPr>
              <w:t>元</w:t>
            </w:r>
          </w:p>
        </w:tc>
      </w:tr>
      <w:tr w14:paraId="5EB7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63" w:type="dxa"/>
            <w:tcBorders>
              <w:bottom w:val="single" w:color="auto" w:sz="4" w:space="0"/>
            </w:tcBorders>
            <w:noWrap w:val="0"/>
            <w:vAlign w:val="center"/>
          </w:tcPr>
          <w:p w14:paraId="036F2F0B">
            <w:pPr>
              <w:overflowPunct w:val="0"/>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1888" w:type="dxa"/>
            <w:tcBorders>
              <w:bottom w:val="single" w:color="auto" w:sz="4" w:space="0"/>
              <w:right w:val="single" w:color="auto" w:sz="4" w:space="0"/>
            </w:tcBorders>
            <w:noWrap w:val="0"/>
            <w:vAlign w:val="center"/>
          </w:tcPr>
          <w:p w14:paraId="737C05C2">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投标资格</w:t>
            </w:r>
          </w:p>
        </w:tc>
        <w:tc>
          <w:tcPr>
            <w:tcW w:w="7890" w:type="dxa"/>
            <w:tcBorders>
              <w:left w:val="single" w:color="auto" w:sz="4" w:space="0"/>
              <w:bottom w:val="single" w:color="auto" w:sz="4" w:space="0"/>
            </w:tcBorders>
            <w:noWrap w:val="0"/>
            <w:vAlign w:val="center"/>
          </w:tcPr>
          <w:p w14:paraId="4FA3A2E1">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1.满足《中华人民共和国政府采购法》第二十二条规定；</w:t>
            </w:r>
          </w:p>
          <w:p w14:paraId="26A10B4F">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 xml:space="preserve">2.落实政府采购政策需满足的资格要求： </w:t>
            </w:r>
          </w:p>
          <w:p w14:paraId="74469861">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w:t>
            </w:r>
            <w:r>
              <w:rPr>
                <w:rFonts w:hint="eastAsia" w:ascii="仿宋" w:hAnsi="仿宋" w:eastAsia="仿宋" w:cs="仿宋"/>
                <w:sz w:val="24"/>
                <w:szCs w:val="22"/>
                <w:lang w:eastAsia="zh-CN"/>
              </w:rPr>
              <w:t>）本项目不属于专门面向中小企业采购的项目；</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2</w:t>
            </w:r>
            <w:r>
              <w:rPr>
                <w:rFonts w:hint="eastAsia" w:ascii="仿宋" w:hAnsi="仿宋" w:eastAsia="仿宋" w:cs="仿宋"/>
                <w:sz w:val="24"/>
                <w:szCs w:val="22"/>
                <w:lang w:eastAsia="zh-CN"/>
              </w:rPr>
              <w:t>）《政府采购促进中小企业发展管理办法》（财库〔2020〕46号）；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3</w:t>
            </w:r>
            <w:r>
              <w:rPr>
                <w:rFonts w:hint="eastAsia" w:ascii="仿宋" w:hAnsi="仿宋" w:eastAsia="仿宋" w:cs="仿宋"/>
                <w:sz w:val="24"/>
                <w:szCs w:val="22"/>
                <w:lang w:eastAsia="zh-CN"/>
              </w:rPr>
              <w:t>）《关于进一步加大政府采购支持中小企业力度的通知》（财库〔2022〕19号）；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4</w:t>
            </w:r>
            <w:r>
              <w:rPr>
                <w:rFonts w:hint="eastAsia" w:ascii="仿宋" w:hAnsi="仿宋" w:eastAsia="仿宋" w:cs="仿宋"/>
                <w:sz w:val="24"/>
                <w:szCs w:val="22"/>
                <w:lang w:eastAsia="zh-CN"/>
              </w:rPr>
              <w:t>）《财政部、司法部关于政府采购支持监狱企业发展有关问题的通知》（财库〔2014〕68号）；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5</w:t>
            </w:r>
            <w:r>
              <w:rPr>
                <w:rFonts w:hint="eastAsia" w:ascii="仿宋" w:hAnsi="仿宋" w:eastAsia="仿宋" w:cs="仿宋"/>
                <w:sz w:val="24"/>
                <w:szCs w:val="22"/>
                <w:lang w:eastAsia="zh-CN"/>
              </w:rPr>
              <w:t>）《财政部 民政部 中国残疾人联合会关于促进残疾人就业政府采购政策的通知》财库〔2017〕141号。</w:t>
            </w:r>
          </w:p>
          <w:p w14:paraId="6B11BFBC">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val="en-US" w:eastAsia="zh-CN"/>
              </w:rPr>
              <w:t>3.</w:t>
            </w:r>
            <w:r>
              <w:rPr>
                <w:rFonts w:hint="eastAsia" w:ascii="仿宋" w:hAnsi="仿宋" w:eastAsia="仿宋" w:cs="仿宋"/>
                <w:sz w:val="24"/>
                <w:szCs w:val="22"/>
                <w:lang w:eastAsia="zh-CN"/>
              </w:rPr>
              <w:t>本项目的特定资格要求：</w:t>
            </w:r>
          </w:p>
          <w:p w14:paraId="491B77ED">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lang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tc>
      </w:tr>
      <w:tr w14:paraId="6D80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63" w:type="dxa"/>
            <w:tcBorders>
              <w:bottom w:val="single" w:color="auto" w:sz="4" w:space="0"/>
            </w:tcBorders>
            <w:noWrap w:val="0"/>
            <w:vAlign w:val="center"/>
          </w:tcPr>
          <w:p w14:paraId="120A5BB1">
            <w:pPr>
              <w:overflowPunct w:val="0"/>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1888" w:type="dxa"/>
            <w:tcBorders>
              <w:bottom w:val="single" w:color="auto" w:sz="4" w:space="0"/>
              <w:right w:val="single" w:color="auto" w:sz="4" w:space="0"/>
            </w:tcBorders>
            <w:noWrap w:val="0"/>
            <w:vAlign w:val="center"/>
          </w:tcPr>
          <w:p w14:paraId="33361EBA">
            <w:pPr>
              <w:pStyle w:val="37"/>
              <w:ind w:left="38"/>
              <w:jc w:val="center"/>
              <w:rPr>
                <w:rFonts w:hint="eastAsia" w:ascii="仿宋" w:hAnsi="仿宋" w:eastAsia="仿宋" w:cs="仿宋"/>
                <w:kern w:val="2"/>
              </w:rPr>
            </w:pPr>
            <w:r>
              <w:rPr>
                <w:rFonts w:hint="eastAsia" w:ascii="仿宋" w:hAnsi="仿宋" w:eastAsia="仿宋" w:cs="仿宋"/>
                <w:kern w:val="2"/>
              </w:rPr>
              <w:t>信用情况</w:t>
            </w:r>
          </w:p>
        </w:tc>
        <w:tc>
          <w:tcPr>
            <w:tcW w:w="7890" w:type="dxa"/>
            <w:tcBorders>
              <w:left w:val="single" w:color="auto" w:sz="4" w:space="0"/>
              <w:bottom w:val="single" w:color="auto" w:sz="4" w:space="0"/>
            </w:tcBorders>
            <w:noWrap w:val="0"/>
            <w:vAlign w:val="center"/>
          </w:tcPr>
          <w:p w14:paraId="6EEB879F">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信用记录查询时间及方式：</w:t>
            </w:r>
          </w:p>
          <w:p w14:paraId="7970F678">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b w:val="0"/>
                <w:bCs w:val="0"/>
                <w:sz w:val="24"/>
                <w:szCs w:val="22"/>
              </w:rPr>
              <w:t>查询时间：</w:t>
            </w:r>
            <w:r>
              <w:rPr>
                <w:rFonts w:hint="eastAsia" w:ascii="仿宋" w:hAnsi="仿宋" w:eastAsia="仿宋" w:cs="仿宋"/>
                <w:sz w:val="24"/>
                <w:szCs w:val="22"/>
              </w:rPr>
              <w:t>自招标公告发布日期起至开标日期止，超出此时间范围将被视为无效投标。</w:t>
            </w:r>
          </w:p>
          <w:p w14:paraId="7A38F232">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7BC1EB59">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（3）供应商参加政府采购活动时，应当就自己的诚信情况在响应性文件中进行承诺。</w:t>
            </w:r>
          </w:p>
          <w:p w14:paraId="49ECCD4E">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本项目不接受失信企业投标。</w:t>
            </w:r>
          </w:p>
        </w:tc>
      </w:tr>
      <w:tr w14:paraId="3A0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763" w:type="dxa"/>
            <w:tcBorders>
              <w:top w:val="single" w:color="auto" w:sz="4" w:space="0"/>
            </w:tcBorders>
            <w:noWrap w:val="0"/>
            <w:vAlign w:val="center"/>
          </w:tcPr>
          <w:p w14:paraId="4A26414B">
            <w:pPr>
              <w:overflowPunct w:val="0"/>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1888" w:type="dxa"/>
            <w:tcBorders>
              <w:top w:val="single" w:color="auto" w:sz="4" w:space="0"/>
            </w:tcBorders>
            <w:noWrap w:val="0"/>
            <w:vAlign w:val="center"/>
          </w:tcPr>
          <w:p w14:paraId="5BE4A64B">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投标有效期</w:t>
            </w:r>
          </w:p>
        </w:tc>
        <w:tc>
          <w:tcPr>
            <w:tcW w:w="7890" w:type="dxa"/>
            <w:tcBorders>
              <w:top w:val="single" w:color="auto" w:sz="4" w:space="0"/>
            </w:tcBorders>
            <w:noWrap w:val="0"/>
            <w:vAlign w:val="center"/>
          </w:tcPr>
          <w:p w14:paraId="59273990">
            <w:pPr>
              <w:overflowPunct w:val="0"/>
              <w:spacing w:line="440" w:lineRule="exact"/>
              <w:rPr>
                <w:rFonts w:hint="eastAsia" w:ascii="仿宋" w:hAnsi="仿宋" w:eastAsia="仿宋" w:cs="仿宋"/>
                <w:sz w:val="24"/>
              </w:rPr>
            </w:pPr>
            <w:r>
              <w:rPr>
                <w:rFonts w:hint="eastAsia" w:ascii="仿宋" w:hAnsi="仿宋" w:eastAsia="仿宋" w:cs="仿宋"/>
                <w:sz w:val="24"/>
              </w:rPr>
              <w:t>九十天</w:t>
            </w:r>
          </w:p>
        </w:tc>
      </w:tr>
      <w:tr w14:paraId="66AF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bottom w:val="single" w:color="auto" w:sz="4" w:space="0"/>
            </w:tcBorders>
            <w:noWrap w:val="0"/>
            <w:vAlign w:val="center"/>
          </w:tcPr>
          <w:p w14:paraId="4D14B0DA">
            <w:pPr>
              <w:overflowPunct w:val="0"/>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1888" w:type="dxa"/>
            <w:tcBorders>
              <w:bottom w:val="single" w:color="auto" w:sz="4" w:space="0"/>
            </w:tcBorders>
            <w:noWrap w:val="0"/>
            <w:vAlign w:val="center"/>
          </w:tcPr>
          <w:p w14:paraId="740AD7A7">
            <w:pPr>
              <w:overflowPunct w:val="0"/>
              <w:spacing w:line="440" w:lineRule="exact"/>
              <w:jc w:val="center"/>
              <w:rPr>
                <w:rFonts w:hint="eastAsia" w:ascii="仿宋" w:hAnsi="仿宋" w:eastAsia="仿宋" w:cs="仿宋"/>
                <w:sz w:val="24"/>
              </w:rPr>
            </w:pPr>
            <w:r>
              <w:rPr>
                <w:rFonts w:hint="eastAsia" w:ascii="仿宋" w:hAnsi="仿宋" w:eastAsia="仿宋" w:cs="仿宋"/>
                <w:sz w:val="24"/>
              </w:rPr>
              <w:t>评标方法</w:t>
            </w:r>
          </w:p>
        </w:tc>
        <w:tc>
          <w:tcPr>
            <w:tcW w:w="7890" w:type="dxa"/>
            <w:tcBorders>
              <w:bottom w:val="single" w:color="auto" w:sz="4" w:space="0"/>
            </w:tcBorders>
            <w:noWrap w:val="0"/>
            <w:vAlign w:val="center"/>
          </w:tcPr>
          <w:p w14:paraId="32F8D6AB">
            <w:pPr>
              <w:overflowPunct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 xml:space="preserve">☑资格后审                   □资格预审 </w:t>
            </w:r>
          </w:p>
          <w:p w14:paraId="53077D89">
            <w:pPr>
              <w:overflowPunct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 xml:space="preserve">☑综合评分法（采用二次报价） </w:t>
            </w:r>
            <w:r>
              <w:rPr>
                <w:rFonts w:hint="eastAsia" w:ascii="仿宋" w:hAnsi="仿宋" w:eastAsia="仿宋" w:cs="仿宋"/>
                <w:sz w:val="24"/>
                <w:lang w:val="en-US" w:eastAsia="zh-CN"/>
              </w:rPr>
              <w:sym w:font="Wingdings 2" w:char="00A3"/>
            </w:r>
            <w:r>
              <w:rPr>
                <w:rFonts w:hint="eastAsia" w:ascii="仿宋" w:hAnsi="仿宋" w:eastAsia="仿宋" w:cs="仿宋"/>
                <w:sz w:val="24"/>
                <w:lang w:val="en-US" w:eastAsia="zh-CN"/>
              </w:rPr>
              <w:t xml:space="preserve">最低评标价法 </w:t>
            </w:r>
          </w:p>
        </w:tc>
      </w:tr>
      <w:tr w14:paraId="1AB9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top w:val="single" w:color="auto" w:sz="4" w:space="0"/>
            </w:tcBorders>
            <w:noWrap w:val="0"/>
            <w:vAlign w:val="center"/>
          </w:tcPr>
          <w:p w14:paraId="0D7515B9">
            <w:pPr>
              <w:overflowPunct w:val="0"/>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1888" w:type="dxa"/>
            <w:tcBorders>
              <w:top w:val="single" w:color="auto" w:sz="4" w:space="0"/>
            </w:tcBorders>
            <w:noWrap w:val="0"/>
            <w:vAlign w:val="center"/>
          </w:tcPr>
          <w:p w14:paraId="2CB80713">
            <w:pPr>
              <w:overflowPunct w:val="0"/>
              <w:spacing w:line="440" w:lineRule="exact"/>
              <w:jc w:val="center"/>
              <w:rPr>
                <w:rFonts w:hint="eastAsia" w:ascii="仿宋" w:hAnsi="仿宋" w:eastAsia="仿宋" w:cs="仿宋"/>
                <w:sz w:val="24"/>
              </w:rPr>
            </w:pPr>
            <w:r>
              <w:rPr>
                <w:rFonts w:hint="eastAsia" w:ascii="仿宋" w:hAnsi="仿宋" w:eastAsia="仿宋" w:cs="仿宋"/>
                <w:kern w:val="0"/>
                <w:sz w:val="24"/>
              </w:rPr>
              <w:t>是否</w:t>
            </w:r>
            <w:r>
              <w:rPr>
                <w:rFonts w:hint="eastAsia" w:ascii="仿宋" w:hAnsi="仿宋" w:eastAsia="仿宋" w:cs="仿宋"/>
                <w:kern w:val="0"/>
                <w:sz w:val="24"/>
                <w:lang w:eastAsia="zh-CN"/>
              </w:rPr>
              <w:t>允许</w:t>
            </w:r>
            <w:r>
              <w:rPr>
                <w:rFonts w:hint="eastAsia" w:ascii="仿宋" w:hAnsi="仿宋" w:eastAsia="仿宋" w:cs="仿宋"/>
                <w:kern w:val="0"/>
                <w:sz w:val="24"/>
              </w:rPr>
              <w:t>联合体投标</w:t>
            </w:r>
          </w:p>
        </w:tc>
        <w:tc>
          <w:tcPr>
            <w:tcW w:w="7890" w:type="dxa"/>
            <w:tcBorders>
              <w:top w:val="single" w:color="auto" w:sz="4" w:space="0"/>
            </w:tcBorders>
            <w:noWrap w:val="0"/>
            <w:vAlign w:val="center"/>
          </w:tcPr>
          <w:p w14:paraId="08F71C58">
            <w:pPr>
              <w:overflowPunct w:val="0"/>
              <w:spacing w:line="440" w:lineRule="exact"/>
              <w:rPr>
                <w:rFonts w:hint="eastAsia" w:ascii="仿宋" w:hAnsi="仿宋" w:eastAsia="仿宋" w:cs="仿宋"/>
                <w:sz w:val="24"/>
              </w:rPr>
            </w:pPr>
            <w:r>
              <w:rPr>
                <w:rFonts w:hint="eastAsia" w:ascii="仿宋" w:hAnsi="仿宋" w:eastAsia="仿宋" w:cs="仿宋"/>
                <w:sz w:val="24"/>
                <w:lang w:val="en-US" w:eastAsia="zh-CN"/>
              </w:rPr>
              <w:t xml:space="preserve">☑否 </w:t>
            </w:r>
          </w:p>
          <w:p w14:paraId="0BFDB634">
            <w:pPr>
              <w:overflowPunct w:val="0"/>
              <w:spacing w:line="440" w:lineRule="exact"/>
              <w:rPr>
                <w:rFonts w:hint="eastAsia" w:ascii="仿宋" w:hAnsi="仿宋" w:eastAsia="仿宋" w:cs="仿宋"/>
                <w:sz w:val="24"/>
              </w:rPr>
            </w:pPr>
            <w:r>
              <w:rPr>
                <w:rFonts w:hint="eastAsia" w:ascii="仿宋" w:hAnsi="仿宋" w:eastAsia="仿宋" w:cs="仿宋"/>
                <w:sz w:val="24"/>
                <w:lang w:val="en-US" w:eastAsia="zh-CN"/>
              </w:rPr>
              <w:t>□是   应满足要求：</w:t>
            </w:r>
          </w:p>
        </w:tc>
      </w:tr>
      <w:tr w14:paraId="6F0C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9" w:hRule="atLeast"/>
          <w:jc w:val="center"/>
        </w:trPr>
        <w:tc>
          <w:tcPr>
            <w:tcW w:w="763" w:type="dxa"/>
            <w:noWrap w:val="0"/>
            <w:vAlign w:val="center"/>
          </w:tcPr>
          <w:p w14:paraId="5260B8D8">
            <w:pPr>
              <w:overflowPunct w:val="0"/>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1888" w:type="dxa"/>
            <w:noWrap w:val="0"/>
            <w:vAlign w:val="center"/>
          </w:tcPr>
          <w:p w14:paraId="580789A9">
            <w:pPr>
              <w:overflowPunct w:val="0"/>
              <w:spacing w:line="440" w:lineRule="exact"/>
              <w:jc w:val="center"/>
              <w:rPr>
                <w:rFonts w:hint="eastAsia" w:ascii="仿宋" w:hAnsi="仿宋" w:eastAsia="仿宋" w:cs="仿宋"/>
                <w:sz w:val="24"/>
              </w:rPr>
            </w:pPr>
            <w:r>
              <w:rPr>
                <w:rFonts w:hint="eastAsia" w:ascii="仿宋" w:hAnsi="仿宋" w:eastAsia="仿宋" w:cs="仿宋"/>
                <w:sz w:val="24"/>
              </w:rPr>
              <w:t>获取招标文件时间</w:t>
            </w:r>
          </w:p>
        </w:tc>
        <w:tc>
          <w:tcPr>
            <w:tcW w:w="7890" w:type="dxa"/>
            <w:noWrap w:val="0"/>
            <w:vAlign w:val="center"/>
          </w:tcPr>
          <w:p w14:paraId="53D29909">
            <w:pPr>
              <w:overflowPunct w:val="0"/>
              <w:spacing w:line="440" w:lineRule="exact"/>
              <w:rPr>
                <w:rFonts w:hint="eastAsia" w:ascii="仿宋" w:hAnsi="仿宋" w:eastAsia="仿宋" w:cs="仿宋"/>
                <w:kern w:val="0"/>
                <w:szCs w:val="21"/>
              </w:rPr>
            </w:pPr>
            <w:r>
              <w:rPr>
                <w:rFonts w:hint="eastAsia" w:ascii="仿宋" w:hAnsi="仿宋" w:eastAsia="仿宋" w:cs="仿宋"/>
                <w:sz w:val="24"/>
                <w:lang w:val="en-US" w:eastAsia="zh-CN"/>
              </w:rPr>
              <w:t>2025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日起至20</w:t>
            </w:r>
            <w:r>
              <w:rPr>
                <w:rFonts w:hint="eastAsia" w:ascii="仿宋" w:hAnsi="仿宋" w:eastAsia="仿宋" w:cs="仿宋"/>
                <w:sz w:val="24"/>
                <w:lang w:val="en-US" w:eastAsia="zh-CN"/>
              </w:rPr>
              <w:t>25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02</w:t>
            </w:r>
            <w:r>
              <w:rPr>
                <w:rFonts w:hint="eastAsia" w:ascii="仿宋" w:hAnsi="仿宋" w:eastAsia="仿宋" w:cs="仿宋"/>
                <w:sz w:val="24"/>
              </w:rPr>
              <w:t>日止。每天上午00:00至14:00，下午14:00至23:59（北京时间，法定节假日除外）</w:t>
            </w:r>
            <w:r>
              <w:rPr>
                <w:rFonts w:hint="eastAsia" w:ascii="仿宋" w:hAnsi="仿宋" w:eastAsia="仿宋" w:cs="仿宋"/>
                <w:sz w:val="24"/>
                <w:lang w:eastAsia="zh-CN"/>
              </w:rPr>
              <w:t>。</w:t>
            </w:r>
          </w:p>
        </w:tc>
      </w:tr>
      <w:tr w14:paraId="5B2D5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131A1242">
            <w:pPr>
              <w:overflowPunct w:val="0"/>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1888" w:type="dxa"/>
            <w:noWrap w:val="0"/>
            <w:vAlign w:val="center"/>
          </w:tcPr>
          <w:p w14:paraId="6EAFD678">
            <w:pPr>
              <w:overflowPunct w:val="0"/>
              <w:spacing w:line="440" w:lineRule="exact"/>
              <w:jc w:val="center"/>
              <w:rPr>
                <w:rFonts w:hint="eastAsia" w:ascii="仿宋" w:hAnsi="仿宋" w:eastAsia="仿宋" w:cs="仿宋"/>
                <w:sz w:val="24"/>
              </w:rPr>
            </w:pPr>
            <w:r>
              <w:rPr>
                <w:rFonts w:hint="eastAsia" w:ascii="仿宋" w:hAnsi="仿宋" w:eastAsia="仿宋" w:cs="仿宋"/>
                <w:sz w:val="24"/>
              </w:rPr>
              <w:t>招标文件售价</w:t>
            </w:r>
          </w:p>
        </w:tc>
        <w:tc>
          <w:tcPr>
            <w:tcW w:w="7890" w:type="dxa"/>
            <w:noWrap w:val="0"/>
            <w:vAlign w:val="center"/>
          </w:tcPr>
          <w:p w14:paraId="58557B1C">
            <w:pPr>
              <w:overflowPunct w:val="0"/>
              <w:spacing w:line="440" w:lineRule="exact"/>
              <w:rPr>
                <w:rFonts w:hint="eastAsia" w:ascii="仿宋" w:hAnsi="仿宋" w:eastAsia="仿宋" w:cs="仿宋"/>
                <w:sz w:val="24"/>
              </w:rPr>
            </w:pPr>
            <w:r>
              <w:rPr>
                <w:rFonts w:hint="eastAsia" w:ascii="仿宋" w:hAnsi="仿宋" w:eastAsia="仿宋" w:cs="仿宋"/>
                <w:sz w:val="24"/>
              </w:rPr>
              <w:t>免费</w:t>
            </w:r>
          </w:p>
        </w:tc>
      </w:tr>
      <w:tr w14:paraId="3100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67E2BC52">
            <w:pPr>
              <w:overflowPunct w:val="0"/>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1888" w:type="dxa"/>
            <w:noWrap w:val="0"/>
            <w:vAlign w:val="center"/>
          </w:tcPr>
          <w:p w14:paraId="7E00AF55">
            <w:pPr>
              <w:jc w:val="center"/>
              <w:rPr>
                <w:rFonts w:hint="eastAsia" w:ascii="仿宋" w:hAnsi="仿宋" w:eastAsia="仿宋" w:cs="仿宋"/>
                <w:sz w:val="24"/>
                <w:szCs w:val="22"/>
              </w:rPr>
            </w:pPr>
            <w:r>
              <w:rPr>
                <w:rFonts w:hint="eastAsia" w:ascii="仿宋" w:hAnsi="仿宋" w:eastAsia="仿宋" w:cs="仿宋"/>
                <w:sz w:val="24"/>
                <w:szCs w:val="22"/>
              </w:rPr>
              <w:t>投标保证金</w:t>
            </w:r>
          </w:p>
        </w:tc>
        <w:tc>
          <w:tcPr>
            <w:tcW w:w="7890" w:type="dxa"/>
            <w:noWrap w:val="0"/>
            <w:vAlign w:val="center"/>
          </w:tcPr>
          <w:p w14:paraId="5011B739">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投标保证金：45000.00元整（肆万伍仟元整）</w:t>
            </w:r>
          </w:p>
          <w:p w14:paraId="7622CBC3">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 xml:space="preserve">缴纳方式：保证金应当以支票、汇票、本票、银行转账或者金融机构、担保机构出具的保函（推荐使用政府采购电子保函）等非现金形式以基本户提交。 </w:t>
            </w:r>
          </w:p>
          <w:p w14:paraId="79695A39">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投标保证金必须在2025年</w:t>
            </w:r>
            <w:r>
              <w:rPr>
                <w:rStyle w:val="38"/>
                <w:rFonts w:hint="eastAsia" w:ascii="仿宋" w:hAnsi="仿宋" w:eastAsia="仿宋" w:cs="仿宋"/>
                <w:b w:val="0"/>
                <w:i w:val="0"/>
                <w:caps w:val="0"/>
                <w:spacing w:val="0"/>
                <w:w w:val="100"/>
                <w:kern w:val="0"/>
                <w:sz w:val="24"/>
                <w:szCs w:val="24"/>
                <w:lang w:val="en-US" w:eastAsia="zh-CN"/>
              </w:rPr>
              <w:t>7</w:t>
            </w:r>
            <w:r>
              <w:rPr>
                <w:rStyle w:val="38"/>
                <w:rFonts w:hint="eastAsia" w:ascii="仿宋" w:hAnsi="仿宋" w:eastAsia="仿宋" w:cs="仿宋"/>
                <w:b w:val="0"/>
                <w:i w:val="0"/>
                <w:caps w:val="0"/>
                <w:spacing w:val="0"/>
                <w:w w:val="100"/>
                <w:kern w:val="0"/>
                <w:sz w:val="24"/>
                <w:szCs w:val="24"/>
                <w:lang w:val="zh-CN" w:eastAsia="zh-CN"/>
              </w:rPr>
              <w:t>月</w:t>
            </w:r>
            <w:r>
              <w:rPr>
                <w:rStyle w:val="38"/>
                <w:rFonts w:hint="eastAsia" w:ascii="仿宋" w:hAnsi="仿宋" w:eastAsia="仿宋" w:cs="仿宋"/>
                <w:b w:val="0"/>
                <w:i w:val="0"/>
                <w:caps w:val="0"/>
                <w:spacing w:val="0"/>
                <w:w w:val="100"/>
                <w:kern w:val="0"/>
                <w:sz w:val="24"/>
                <w:szCs w:val="24"/>
                <w:lang w:val="en-US" w:eastAsia="zh-CN"/>
              </w:rPr>
              <w:t>08</w:t>
            </w:r>
            <w:r>
              <w:rPr>
                <w:rStyle w:val="38"/>
                <w:rFonts w:hint="eastAsia" w:ascii="仿宋" w:hAnsi="仿宋" w:eastAsia="仿宋" w:cs="仿宋"/>
                <w:b w:val="0"/>
                <w:i w:val="0"/>
                <w:caps w:val="0"/>
                <w:spacing w:val="0"/>
                <w:w w:val="100"/>
                <w:kern w:val="0"/>
                <w:sz w:val="24"/>
                <w:szCs w:val="24"/>
                <w:lang w:val="zh-CN" w:eastAsia="zh-CN"/>
              </w:rPr>
              <w:t>日</w:t>
            </w:r>
            <w:r>
              <w:rPr>
                <w:rStyle w:val="38"/>
                <w:rFonts w:hint="eastAsia" w:ascii="仿宋" w:hAnsi="仿宋" w:eastAsia="仿宋" w:cs="仿宋"/>
                <w:b w:val="0"/>
                <w:i w:val="0"/>
                <w:caps w:val="0"/>
                <w:spacing w:val="0"/>
                <w:w w:val="100"/>
                <w:kern w:val="0"/>
                <w:sz w:val="24"/>
                <w:szCs w:val="24"/>
                <w:lang w:val="en-US" w:eastAsia="zh-CN"/>
              </w:rPr>
              <w:t>11</w:t>
            </w:r>
            <w:r>
              <w:rPr>
                <w:rStyle w:val="38"/>
                <w:rFonts w:hint="eastAsia" w:ascii="仿宋" w:hAnsi="仿宋" w:eastAsia="仿宋" w:cs="仿宋"/>
                <w:b w:val="0"/>
                <w:i w:val="0"/>
                <w:caps w:val="0"/>
                <w:spacing w:val="0"/>
                <w:w w:val="100"/>
                <w:kern w:val="0"/>
                <w:sz w:val="24"/>
                <w:szCs w:val="24"/>
                <w:lang w:val="zh-CN" w:eastAsia="zh-CN"/>
              </w:rPr>
              <w:t>:</w:t>
            </w:r>
            <w:r>
              <w:rPr>
                <w:rStyle w:val="38"/>
                <w:rFonts w:hint="eastAsia" w:ascii="仿宋" w:hAnsi="仿宋" w:eastAsia="仿宋" w:cs="仿宋"/>
                <w:b w:val="0"/>
                <w:i w:val="0"/>
                <w:caps w:val="0"/>
                <w:spacing w:val="0"/>
                <w:w w:val="100"/>
                <w:kern w:val="0"/>
                <w:sz w:val="24"/>
                <w:szCs w:val="24"/>
                <w:lang w:val="en-US" w:eastAsia="zh-CN"/>
              </w:rPr>
              <w:t>0</w:t>
            </w:r>
            <w:r>
              <w:rPr>
                <w:rStyle w:val="38"/>
                <w:rFonts w:hint="eastAsia" w:ascii="仿宋" w:hAnsi="仿宋" w:eastAsia="仿宋" w:cs="仿宋"/>
                <w:b w:val="0"/>
                <w:i w:val="0"/>
                <w:caps w:val="0"/>
                <w:spacing w:val="0"/>
                <w:w w:val="100"/>
                <w:kern w:val="0"/>
                <w:sz w:val="24"/>
                <w:szCs w:val="24"/>
                <w:lang w:val="zh-CN" w:eastAsia="zh-CN"/>
              </w:rPr>
              <w:t>0时前从投标人基本账户足额缴纳至：</w:t>
            </w:r>
          </w:p>
          <w:p w14:paraId="02A303B4">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 xml:space="preserve">账户名称：新疆万凯盛工程管理咨询有限公司 </w:t>
            </w:r>
          </w:p>
          <w:p w14:paraId="34B69BE7">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开户银行：中国建设银行股份有限公司库尔勒团结路支行</w:t>
            </w:r>
          </w:p>
          <w:p w14:paraId="39B845D6">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银行账号：65050110048600000325</w:t>
            </w:r>
          </w:p>
          <w:p w14:paraId="1C3DD75D">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行号：105888000186</w:t>
            </w:r>
          </w:p>
          <w:p w14:paraId="676A5BCF">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2"/>
              </w:rPr>
            </w:pPr>
            <w:r>
              <w:rPr>
                <w:rStyle w:val="38"/>
                <w:rFonts w:hint="eastAsia" w:ascii="仿宋" w:hAnsi="仿宋" w:eastAsia="仿宋" w:cs="仿宋"/>
                <w:b w:val="0"/>
                <w:i w:val="0"/>
                <w:caps w:val="0"/>
                <w:spacing w:val="0"/>
                <w:w w:val="100"/>
                <w:kern w:val="0"/>
                <w:sz w:val="24"/>
                <w:szCs w:val="24"/>
                <w:lang w:val="zh-CN" w:eastAsia="zh-CN"/>
              </w:rPr>
              <w:t>★投标人办理投标保证金时，须注明“项目名称+项目编号+投标保证金”（如字数超出规定字数可简写项目名称及项目编号）。</w:t>
            </w:r>
          </w:p>
        </w:tc>
      </w:tr>
      <w:tr w14:paraId="6C077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225B22FA">
            <w:pPr>
              <w:overflowPunct w:val="0"/>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1888" w:type="dxa"/>
            <w:noWrap w:val="0"/>
            <w:vAlign w:val="center"/>
          </w:tcPr>
          <w:p w14:paraId="51AE9B22">
            <w:pPr>
              <w:overflowPunct w:val="0"/>
              <w:spacing w:line="440" w:lineRule="exact"/>
              <w:jc w:val="center"/>
              <w:rPr>
                <w:rFonts w:hint="eastAsia" w:ascii="仿宋" w:hAnsi="仿宋" w:eastAsia="仿宋" w:cs="仿宋"/>
                <w:sz w:val="24"/>
              </w:rPr>
            </w:pPr>
            <w:r>
              <w:rPr>
                <w:rFonts w:hint="eastAsia" w:ascii="仿宋" w:hAnsi="仿宋" w:eastAsia="仿宋" w:cs="仿宋"/>
                <w:sz w:val="24"/>
              </w:rPr>
              <w:t>注意事项</w:t>
            </w:r>
          </w:p>
        </w:tc>
        <w:tc>
          <w:tcPr>
            <w:tcW w:w="7890" w:type="dxa"/>
            <w:noWrap w:val="0"/>
            <w:vAlign w:val="center"/>
          </w:tcPr>
          <w:p w14:paraId="17EBF5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2EDE0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7EEF7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3、供应商将政采云电子交易客户端下载、安装完成后，可通过账号密码或CA登录客户端进行投标文件的制作。在使用政采云投标客户端时，建议使用WIN7及以上操作系统。</w:t>
            </w:r>
          </w:p>
          <w:p w14:paraId="75CD3A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其他事项：①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D2272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②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5E983ECA">
            <w:pPr>
              <w:overflowPunct w:val="0"/>
              <w:spacing w:line="440" w:lineRule="exact"/>
              <w:rPr>
                <w:rFonts w:hint="eastAsia" w:ascii="仿宋" w:hAnsi="仿宋" w:eastAsia="仿宋" w:cs="仿宋"/>
                <w:sz w:val="24"/>
                <w:highlight w:val="yellow"/>
              </w:rPr>
            </w:pPr>
            <w:r>
              <w:rPr>
                <w:rFonts w:hint="eastAsia" w:ascii="仿宋" w:hAnsi="仿宋" w:eastAsia="仿宋" w:cs="仿宋"/>
                <w:sz w:val="24"/>
                <w:szCs w:val="24"/>
                <w:lang w:eastAsia="zh-CN"/>
              </w:rPr>
              <w:t>③逾期上传或者未上传指定地点的响应文件，采购人不予受理。</w:t>
            </w:r>
          </w:p>
        </w:tc>
      </w:tr>
      <w:tr w14:paraId="6285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63" w:type="dxa"/>
            <w:noWrap w:val="0"/>
            <w:vAlign w:val="center"/>
          </w:tcPr>
          <w:p w14:paraId="0C006EDB">
            <w:pPr>
              <w:overflowPunct w:val="0"/>
              <w:spacing w:line="440" w:lineRule="exact"/>
              <w:jc w:val="center"/>
              <w:rPr>
                <w:rFonts w:hint="eastAsia" w:ascii="仿宋" w:hAnsi="仿宋" w:eastAsia="仿宋" w:cs="仿宋"/>
                <w:sz w:val="24"/>
              </w:rPr>
            </w:pPr>
            <w:r>
              <w:rPr>
                <w:rFonts w:hint="eastAsia" w:ascii="仿宋" w:hAnsi="仿宋" w:eastAsia="仿宋" w:cs="仿宋"/>
                <w:sz w:val="24"/>
              </w:rPr>
              <w:t>15</w:t>
            </w:r>
          </w:p>
        </w:tc>
        <w:tc>
          <w:tcPr>
            <w:tcW w:w="1888" w:type="dxa"/>
            <w:noWrap w:val="0"/>
            <w:vAlign w:val="center"/>
          </w:tcPr>
          <w:p w14:paraId="66517ECF">
            <w:pPr>
              <w:overflowPunct w:val="0"/>
              <w:spacing w:line="440" w:lineRule="exact"/>
              <w:ind w:left="240" w:hanging="240" w:hangingChars="100"/>
              <w:rPr>
                <w:rFonts w:hint="eastAsia" w:ascii="仿宋" w:hAnsi="仿宋" w:eastAsia="仿宋" w:cs="仿宋"/>
                <w:sz w:val="24"/>
              </w:rPr>
            </w:pPr>
            <w:r>
              <w:rPr>
                <w:rFonts w:hint="eastAsia" w:ascii="仿宋" w:hAnsi="仿宋" w:eastAsia="仿宋" w:cs="仿宋"/>
                <w:sz w:val="24"/>
              </w:rPr>
              <w:t>开标地点及投标文件递交</w:t>
            </w:r>
          </w:p>
        </w:tc>
        <w:tc>
          <w:tcPr>
            <w:tcW w:w="7890" w:type="dxa"/>
            <w:noWrap w:val="0"/>
            <w:vAlign w:val="center"/>
          </w:tcPr>
          <w:p w14:paraId="4ED3110E">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☑采用不见面开标</w:t>
            </w:r>
          </w:p>
          <w:p w14:paraId="43DB3B37">
            <w:pPr>
              <w:overflowPunct w:val="0"/>
              <w:spacing w:line="440" w:lineRule="exact"/>
              <w:jc w:val="left"/>
              <w:rPr>
                <w:rFonts w:hint="eastAsia" w:ascii="仿宋" w:hAnsi="仿宋" w:eastAsia="仿宋" w:cs="仿宋"/>
                <w:b/>
                <w:bCs/>
                <w:sz w:val="24"/>
                <w:szCs w:val="22"/>
                <w:lang w:val="en-US"/>
              </w:rPr>
            </w:pPr>
            <w:r>
              <w:rPr>
                <w:rFonts w:hint="eastAsia" w:ascii="仿宋" w:hAnsi="仿宋" w:eastAsia="仿宋" w:cs="仿宋"/>
                <w:b/>
                <w:bCs/>
                <w:sz w:val="24"/>
                <w:szCs w:val="22"/>
                <w:lang w:val="en-US" w:eastAsia="zh-CN"/>
              </w:rPr>
              <w:t>开标时间：2025年7月08日11时00分（北京时间）</w:t>
            </w:r>
          </w:p>
          <w:p w14:paraId="1AA618DF">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开标地点：政采云平台不见面开标大厅（网址：</w:t>
            </w:r>
          </w:p>
          <w:p w14:paraId="00D5F5E0">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 xml:space="preserve">https://www.zcygov.cn/），供应商无需到达现场 </w:t>
            </w:r>
            <w:r>
              <w:rPr>
                <w:rFonts w:hint="eastAsia" w:ascii="仿宋" w:hAnsi="仿宋" w:eastAsia="仿宋" w:cs="仿宋"/>
                <w:b/>
                <w:bCs/>
                <w:sz w:val="24"/>
                <w:szCs w:val="22"/>
              </w:rPr>
              <w:t>。</w:t>
            </w:r>
          </w:p>
          <w:p w14:paraId="1CE713AC">
            <w:pPr>
              <w:overflowPunct w:val="0"/>
              <w:spacing w:line="440" w:lineRule="exact"/>
              <w:rPr>
                <w:rFonts w:hint="eastAsia" w:ascii="仿宋" w:hAnsi="仿宋" w:eastAsia="仿宋" w:cs="仿宋"/>
              </w:rPr>
            </w:pPr>
            <w:r>
              <w:rPr>
                <w:rFonts w:hint="eastAsia" w:ascii="仿宋" w:hAnsi="仿宋" w:eastAsia="仿宋" w:cs="仿宋"/>
                <w:b/>
                <w:bCs/>
                <w:sz w:val="24"/>
                <w:szCs w:val="22"/>
              </w:rPr>
              <w:t>投标人应于</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00时</w:t>
            </w:r>
            <w:r>
              <w:rPr>
                <w:rFonts w:hint="eastAsia" w:ascii="仿宋" w:hAnsi="仿宋" w:eastAsia="仿宋" w:cs="仿宋"/>
                <w:b/>
                <w:bCs/>
                <w:sz w:val="24"/>
                <w:szCs w:val="22"/>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
                <w:bCs/>
                <w:sz w:val="24"/>
                <w:szCs w:val="22"/>
                <w:lang w:val="en-US" w:eastAsia="zh-CN"/>
              </w:rPr>
              <w:t>95763</w:t>
            </w:r>
            <w:r>
              <w:rPr>
                <w:rFonts w:hint="eastAsia" w:ascii="仿宋" w:hAnsi="仿宋" w:eastAsia="仿宋" w:cs="仿宋"/>
                <w:b/>
                <w:bCs/>
                <w:sz w:val="24"/>
                <w:szCs w:val="22"/>
              </w:rPr>
              <w:t>。</w:t>
            </w:r>
          </w:p>
        </w:tc>
      </w:tr>
      <w:tr w14:paraId="4C15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63" w:type="dxa"/>
            <w:noWrap w:val="0"/>
            <w:vAlign w:val="center"/>
          </w:tcPr>
          <w:p w14:paraId="18D2F2B7">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1888" w:type="dxa"/>
            <w:noWrap w:val="0"/>
            <w:vAlign w:val="center"/>
          </w:tcPr>
          <w:p w14:paraId="229E02D4">
            <w:pPr>
              <w:overflowPunct w:val="0"/>
              <w:spacing w:line="440" w:lineRule="exact"/>
              <w:jc w:val="center"/>
              <w:rPr>
                <w:rFonts w:hint="eastAsia" w:ascii="仿宋" w:hAnsi="仿宋" w:eastAsia="仿宋" w:cs="仿宋"/>
                <w:sz w:val="24"/>
              </w:rPr>
            </w:pPr>
            <w:r>
              <w:rPr>
                <w:rFonts w:hint="eastAsia" w:ascii="仿宋" w:hAnsi="仿宋" w:eastAsia="仿宋" w:cs="仿宋"/>
                <w:sz w:val="24"/>
                <w:lang w:val="en-US" w:eastAsia="zh-CN"/>
              </w:rPr>
              <w:t>投</w:t>
            </w:r>
            <w:r>
              <w:rPr>
                <w:rFonts w:hint="eastAsia" w:ascii="仿宋" w:hAnsi="仿宋" w:eastAsia="仿宋" w:cs="仿宋"/>
                <w:sz w:val="24"/>
              </w:rPr>
              <w:t>标文件解密时间</w:t>
            </w:r>
          </w:p>
        </w:tc>
        <w:tc>
          <w:tcPr>
            <w:tcW w:w="7890" w:type="dxa"/>
            <w:noWrap w:val="0"/>
            <w:vAlign w:val="center"/>
          </w:tcPr>
          <w:p w14:paraId="57FEF2F7">
            <w:pPr>
              <w:overflowPunct w:val="0"/>
              <w:spacing w:line="440" w:lineRule="exact"/>
              <w:jc w:val="left"/>
              <w:rPr>
                <w:rFonts w:hint="eastAsia" w:ascii="仿宋" w:hAnsi="仿宋" w:eastAsia="仿宋" w:cs="仿宋"/>
                <w:kern w:val="0"/>
                <w:sz w:val="24"/>
                <w:szCs w:val="28"/>
                <w:lang w:eastAsia="zh-CN"/>
              </w:rPr>
            </w:pPr>
            <w:r>
              <w:rPr>
                <w:rFonts w:hint="eastAsia" w:ascii="仿宋" w:hAnsi="仿宋" w:eastAsia="仿宋" w:cs="仿宋"/>
                <w:b/>
                <w:bCs/>
                <w:sz w:val="24"/>
                <w:szCs w:val="22"/>
              </w:rPr>
              <w:t>开标时间后30分钟内（</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0</w:t>
            </w:r>
            <w:r>
              <w:rPr>
                <w:rFonts w:hint="eastAsia" w:ascii="仿宋" w:hAnsi="仿宋" w:eastAsia="仿宋" w:cs="仿宋"/>
                <w:b/>
                <w:bCs/>
                <w:sz w:val="24"/>
                <w:szCs w:val="22"/>
              </w:rPr>
              <w:t>0-</w:t>
            </w:r>
            <w:r>
              <w:rPr>
                <w:rFonts w:hint="eastAsia" w:ascii="仿宋" w:hAnsi="仿宋" w:eastAsia="仿宋" w:cs="仿宋"/>
                <w:b/>
                <w:bCs/>
                <w:sz w:val="24"/>
                <w:szCs w:val="22"/>
                <w:lang w:val="en-US" w:eastAsia="zh-CN"/>
              </w:rPr>
              <w:t>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30</w:t>
            </w:r>
            <w:r>
              <w:rPr>
                <w:rFonts w:hint="eastAsia" w:ascii="仿宋" w:hAnsi="仿宋" w:eastAsia="仿宋" w:cs="仿宋"/>
                <w:b/>
                <w:bCs/>
                <w:sz w:val="24"/>
                <w:szCs w:val="22"/>
              </w:rPr>
              <w:t>前）供应商可以登录“政采云”平台，用“项目采购-开标评标”功能进行解密投标文件。若供应商在规定时间内（</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30</w:t>
            </w:r>
            <w:r>
              <w:rPr>
                <w:rFonts w:hint="eastAsia" w:ascii="仿宋" w:hAnsi="仿宋" w:eastAsia="仿宋" w:cs="仿宋"/>
                <w:b/>
                <w:bCs/>
                <w:sz w:val="24"/>
                <w:szCs w:val="22"/>
              </w:rPr>
              <w:t>前）未按时解密的，视为投标文件撤回。（因本项目还要二次报价，请各投标单位开标当天注意二次报价）</w:t>
            </w:r>
            <w:r>
              <w:rPr>
                <w:rFonts w:hint="eastAsia" w:ascii="仿宋" w:hAnsi="仿宋" w:eastAsia="仿宋" w:cs="仿宋"/>
                <w:b/>
                <w:bCs/>
                <w:sz w:val="24"/>
                <w:szCs w:val="22"/>
                <w:lang w:eastAsia="zh-CN"/>
              </w:rPr>
              <w:t>。</w:t>
            </w:r>
          </w:p>
        </w:tc>
      </w:tr>
      <w:tr w14:paraId="5566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13EF9924">
            <w:pPr>
              <w:overflowPunct w:val="0"/>
              <w:spacing w:line="440" w:lineRule="exact"/>
              <w:jc w:val="center"/>
              <w:rPr>
                <w:rFonts w:hint="eastAsia" w:ascii="仿宋" w:hAnsi="仿宋" w:eastAsia="仿宋" w:cs="仿宋"/>
                <w:sz w:val="24"/>
              </w:rPr>
            </w:pPr>
            <w:r>
              <w:rPr>
                <w:rFonts w:hint="eastAsia" w:ascii="仿宋" w:hAnsi="仿宋" w:eastAsia="仿宋" w:cs="仿宋"/>
                <w:sz w:val="24"/>
              </w:rPr>
              <w:t>17</w:t>
            </w:r>
          </w:p>
        </w:tc>
        <w:tc>
          <w:tcPr>
            <w:tcW w:w="1888" w:type="dxa"/>
            <w:noWrap w:val="0"/>
            <w:vAlign w:val="center"/>
          </w:tcPr>
          <w:p w14:paraId="7D6A197B">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招标代理</w:t>
            </w:r>
          </w:p>
          <w:p w14:paraId="7A10C274">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服务费</w:t>
            </w:r>
          </w:p>
        </w:tc>
        <w:tc>
          <w:tcPr>
            <w:tcW w:w="7890" w:type="dxa"/>
            <w:noWrap w:val="0"/>
            <w:vAlign w:val="center"/>
          </w:tcPr>
          <w:p w14:paraId="37498081">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代理报酬的支付时间：中标单位在领取中标通知书前，一次性支付。</w:t>
            </w:r>
          </w:p>
          <w:p w14:paraId="790218EC">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5D828DCE">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中标服务费的计算基数是中标人投标报价的总金额，即成交通知书中载明的中标金额。</w:t>
            </w:r>
          </w:p>
          <w:p w14:paraId="3B028C6E">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代理报酬的收取金额：中标金额的1.5%。</w:t>
            </w:r>
          </w:p>
          <w:p w14:paraId="4734F58F">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代理报酬的支付账户：缴纳投标保证金同一账户。</w:t>
            </w:r>
          </w:p>
          <w:p w14:paraId="5929B4C7">
            <w:pPr>
              <w:overflowPunct w:val="0"/>
              <w:spacing w:line="440" w:lineRule="exact"/>
              <w:rPr>
                <w:rFonts w:hint="eastAsia" w:ascii="仿宋" w:hAnsi="仿宋" w:eastAsia="仿宋" w:cs="仿宋"/>
                <w:kern w:val="0"/>
                <w:sz w:val="24"/>
              </w:rPr>
            </w:pPr>
            <w:r>
              <w:rPr>
                <w:rFonts w:hint="eastAsia" w:ascii="仿宋" w:hAnsi="仿宋" w:eastAsia="仿宋" w:cs="仿宋"/>
                <w:kern w:val="0"/>
                <w:sz w:val="24"/>
                <w:lang w:val="en-US" w:eastAsia="zh-CN"/>
              </w:rPr>
              <w:t>针对招标代理服务费，如中标人需我司开具“增值税专用发票”的，在领取中标通知书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3CD2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4D5FC0E6">
            <w:pPr>
              <w:overflowPunct w:val="0"/>
              <w:spacing w:line="440" w:lineRule="exact"/>
              <w:jc w:val="center"/>
              <w:rPr>
                <w:rFonts w:hint="eastAsia" w:ascii="仿宋" w:hAnsi="仿宋" w:eastAsia="仿宋" w:cs="仿宋"/>
                <w:sz w:val="24"/>
              </w:rPr>
            </w:pPr>
            <w:r>
              <w:rPr>
                <w:rFonts w:hint="eastAsia" w:ascii="仿宋" w:hAnsi="仿宋" w:eastAsia="仿宋" w:cs="仿宋"/>
                <w:sz w:val="24"/>
              </w:rPr>
              <w:t>18</w:t>
            </w:r>
          </w:p>
        </w:tc>
        <w:tc>
          <w:tcPr>
            <w:tcW w:w="1888" w:type="dxa"/>
            <w:noWrap w:val="0"/>
            <w:vAlign w:val="center"/>
          </w:tcPr>
          <w:p w14:paraId="0A21512F">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投标文件的签署规定</w:t>
            </w:r>
          </w:p>
        </w:tc>
        <w:tc>
          <w:tcPr>
            <w:tcW w:w="7890" w:type="dxa"/>
            <w:noWrap w:val="0"/>
            <w:vAlign w:val="center"/>
          </w:tcPr>
          <w:p w14:paraId="51F6339F">
            <w:pPr>
              <w:widowControl/>
              <w:spacing w:line="460" w:lineRule="atLeast"/>
              <w:jc w:val="left"/>
              <w:rPr>
                <w:rFonts w:hint="eastAsia" w:ascii="仿宋" w:hAnsi="仿宋" w:eastAsia="仿宋" w:cs="仿宋"/>
                <w:sz w:val="24"/>
                <w:lang w:eastAsia="zh-CN"/>
              </w:rPr>
            </w:pPr>
            <w:r>
              <w:rPr>
                <w:rFonts w:hint="eastAsia" w:ascii="仿宋" w:hAnsi="仿宋" w:eastAsia="仿宋" w:cs="仿宋"/>
                <w:sz w:val="24"/>
              </w:rPr>
              <w:t>详见第</w:t>
            </w:r>
            <w:r>
              <w:rPr>
                <w:rFonts w:hint="eastAsia" w:ascii="仿宋" w:hAnsi="仿宋" w:eastAsia="仿宋" w:cs="仿宋"/>
                <w:sz w:val="24"/>
                <w:lang w:eastAsia="zh-CN"/>
              </w:rPr>
              <w:t>二</w:t>
            </w:r>
            <w:r>
              <w:rPr>
                <w:rFonts w:hint="eastAsia" w:ascii="仿宋" w:hAnsi="仿宋" w:eastAsia="仿宋" w:cs="仿宋"/>
                <w:sz w:val="24"/>
              </w:rPr>
              <w:t>章第</w:t>
            </w:r>
            <w:r>
              <w:rPr>
                <w:rFonts w:hint="eastAsia" w:ascii="仿宋" w:hAnsi="仿宋" w:eastAsia="仿宋" w:cs="仿宋"/>
                <w:sz w:val="24"/>
                <w:lang w:eastAsia="zh-CN"/>
              </w:rPr>
              <w:t>四部分</w:t>
            </w:r>
          </w:p>
        </w:tc>
      </w:tr>
      <w:tr w14:paraId="0DD95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63" w:type="dxa"/>
            <w:noWrap w:val="0"/>
            <w:vAlign w:val="center"/>
          </w:tcPr>
          <w:p w14:paraId="1EF330D9">
            <w:pPr>
              <w:overflowPunct w:val="0"/>
              <w:spacing w:line="440" w:lineRule="exact"/>
              <w:jc w:val="center"/>
              <w:rPr>
                <w:rFonts w:hint="eastAsia" w:ascii="仿宋" w:hAnsi="仿宋" w:eastAsia="仿宋" w:cs="仿宋"/>
                <w:sz w:val="24"/>
              </w:rPr>
            </w:pPr>
            <w:r>
              <w:rPr>
                <w:rFonts w:hint="eastAsia" w:ascii="仿宋" w:hAnsi="仿宋" w:eastAsia="仿宋" w:cs="仿宋"/>
                <w:sz w:val="24"/>
              </w:rPr>
              <w:t>19</w:t>
            </w:r>
          </w:p>
        </w:tc>
        <w:tc>
          <w:tcPr>
            <w:tcW w:w="1888" w:type="dxa"/>
            <w:noWrap w:val="0"/>
            <w:vAlign w:val="center"/>
          </w:tcPr>
          <w:p w14:paraId="7ABC73B5">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投标文件格式</w:t>
            </w:r>
          </w:p>
        </w:tc>
        <w:tc>
          <w:tcPr>
            <w:tcW w:w="7890" w:type="dxa"/>
            <w:noWrap w:val="0"/>
            <w:vAlign w:val="center"/>
          </w:tcPr>
          <w:p w14:paraId="4C43E3F9">
            <w:pPr>
              <w:widowControl/>
              <w:spacing w:line="460" w:lineRule="atLeast"/>
              <w:jc w:val="left"/>
              <w:rPr>
                <w:rFonts w:hint="eastAsia" w:ascii="仿宋" w:hAnsi="仿宋" w:eastAsia="仿宋" w:cs="仿宋"/>
                <w:sz w:val="24"/>
              </w:rPr>
            </w:pPr>
            <w:r>
              <w:rPr>
                <w:rFonts w:hint="eastAsia" w:ascii="仿宋" w:hAnsi="仿宋" w:eastAsia="仿宋" w:cs="仿宋"/>
                <w:sz w:val="24"/>
              </w:rPr>
              <w:t>详见第</w:t>
            </w:r>
            <w:r>
              <w:rPr>
                <w:rFonts w:hint="eastAsia" w:ascii="仿宋" w:hAnsi="仿宋" w:eastAsia="仿宋" w:cs="仿宋"/>
                <w:sz w:val="24"/>
                <w:lang w:eastAsia="zh-CN"/>
              </w:rPr>
              <w:t>二</w:t>
            </w:r>
            <w:r>
              <w:rPr>
                <w:rFonts w:hint="eastAsia" w:ascii="仿宋" w:hAnsi="仿宋" w:eastAsia="仿宋" w:cs="仿宋"/>
                <w:sz w:val="24"/>
              </w:rPr>
              <w:t>章第</w:t>
            </w:r>
            <w:r>
              <w:rPr>
                <w:rFonts w:hint="eastAsia" w:ascii="仿宋" w:hAnsi="仿宋" w:eastAsia="仿宋" w:cs="仿宋"/>
                <w:sz w:val="24"/>
                <w:lang w:eastAsia="zh-CN"/>
              </w:rPr>
              <w:t>四部分</w:t>
            </w:r>
          </w:p>
        </w:tc>
      </w:tr>
      <w:tr w14:paraId="4637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63" w:type="dxa"/>
            <w:tcBorders>
              <w:top w:val="single" w:color="auto" w:sz="4" w:space="0"/>
            </w:tcBorders>
            <w:noWrap w:val="0"/>
            <w:vAlign w:val="center"/>
          </w:tcPr>
          <w:p w14:paraId="77685747">
            <w:pPr>
              <w:overflowPunct w:val="0"/>
              <w:spacing w:line="440" w:lineRule="exact"/>
              <w:jc w:val="center"/>
              <w:rPr>
                <w:rFonts w:hint="eastAsia" w:ascii="仿宋" w:hAnsi="仿宋" w:eastAsia="仿宋" w:cs="仿宋"/>
                <w:sz w:val="24"/>
              </w:rPr>
            </w:pPr>
            <w:r>
              <w:rPr>
                <w:rFonts w:hint="eastAsia" w:ascii="仿宋" w:hAnsi="仿宋" w:eastAsia="仿宋" w:cs="仿宋"/>
                <w:sz w:val="24"/>
              </w:rPr>
              <w:t>20</w:t>
            </w:r>
          </w:p>
        </w:tc>
        <w:tc>
          <w:tcPr>
            <w:tcW w:w="1888" w:type="dxa"/>
            <w:tcBorders>
              <w:top w:val="single" w:color="auto" w:sz="4" w:space="0"/>
              <w:bottom w:val="single" w:color="auto" w:sz="4" w:space="0"/>
            </w:tcBorders>
            <w:noWrap w:val="0"/>
            <w:vAlign w:val="center"/>
          </w:tcPr>
          <w:p w14:paraId="2705C932">
            <w:pPr>
              <w:overflowPunct w:val="0"/>
              <w:spacing w:line="440" w:lineRule="exact"/>
              <w:jc w:val="center"/>
              <w:rPr>
                <w:rFonts w:hint="eastAsia" w:ascii="仿宋" w:hAnsi="仿宋" w:eastAsia="仿宋" w:cs="仿宋"/>
                <w:sz w:val="24"/>
              </w:rPr>
            </w:pPr>
            <w:r>
              <w:rPr>
                <w:rFonts w:hint="eastAsia" w:ascii="仿宋" w:hAnsi="仿宋" w:eastAsia="仿宋" w:cs="仿宋"/>
                <w:sz w:val="24"/>
              </w:rPr>
              <w:t>付款方式</w:t>
            </w:r>
          </w:p>
        </w:tc>
        <w:tc>
          <w:tcPr>
            <w:tcW w:w="7890" w:type="dxa"/>
            <w:tcBorders>
              <w:top w:val="single" w:color="auto" w:sz="4" w:space="0"/>
            </w:tcBorders>
            <w:noWrap w:val="0"/>
            <w:vAlign w:val="center"/>
          </w:tcPr>
          <w:p w14:paraId="7ACF7C5E">
            <w:pPr>
              <w:overflowPunct w:val="0"/>
              <w:spacing w:line="440" w:lineRule="exact"/>
              <w:jc w:val="left"/>
              <w:rPr>
                <w:rFonts w:hint="eastAsia" w:ascii="仿宋" w:hAnsi="仿宋" w:eastAsia="仿宋" w:cs="仿宋"/>
                <w:sz w:val="24"/>
                <w:lang w:eastAsia="zh-CN"/>
              </w:rPr>
            </w:pPr>
            <w:r>
              <w:rPr>
                <w:rFonts w:hint="eastAsia" w:ascii="仿宋" w:hAnsi="仿宋" w:eastAsia="仿宋" w:cs="仿宋"/>
                <w:sz w:val="24"/>
                <w:lang w:eastAsia="zh-CN"/>
              </w:rPr>
              <w:t>甲乙双</w:t>
            </w:r>
            <w:r>
              <w:rPr>
                <w:rFonts w:hint="eastAsia" w:ascii="仿宋" w:hAnsi="仿宋" w:eastAsia="仿宋" w:cs="仿宋"/>
                <w:sz w:val="24"/>
              </w:rPr>
              <w:t>方合同</w:t>
            </w:r>
            <w:r>
              <w:rPr>
                <w:rFonts w:hint="eastAsia" w:ascii="仿宋" w:hAnsi="仿宋" w:eastAsia="仿宋" w:cs="仿宋"/>
                <w:sz w:val="24"/>
                <w:lang w:eastAsia="zh-CN"/>
              </w:rPr>
              <w:t>约定</w:t>
            </w:r>
          </w:p>
          <w:p w14:paraId="18D60900">
            <w:pPr>
              <w:overflowPunct w:val="0"/>
              <w:spacing w:line="440" w:lineRule="exact"/>
              <w:jc w:val="left"/>
              <w:rPr>
                <w:rFonts w:hint="default" w:ascii="仿宋" w:hAnsi="仿宋" w:eastAsia="仿宋" w:cs="仿宋"/>
                <w:sz w:val="24"/>
                <w:lang w:val="en-US"/>
              </w:rPr>
            </w:pPr>
            <w:r>
              <w:rPr>
                <w:rFonts w:hint="eastAsia" w:ascii="仿宋" w:hAnsi="仿宋" w:eastAsia="仿宋" w:cs="仿宋"/>
                <w:sz w:val="24"/>
                <w:lang w:val="en-US" w:eastAsia="zh-CN"/>
              </w:rPr>
              <w:t>质保金：3%</w:t>
            </w:r>
          </w:p>
        </w:tc>
      </w:tr>
      <w:tr w14:paraId="0D95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63" w:type="dxa"/>
            <w:tcBorders>
              <w:top w:val="single" w:color="auto" w:sz="4" w:space="0"/>
            </w:tcBorders>
            <w:noWrap w:val="0"/>
            <w:vAlign w:val="center"/>
          </w:tcPr>
          <w:p w14:paraId="18C7FE06">
            <w:pPr>
              <w:overflowPunct w:val="0"/>
              <w:spacing w:line="440" w:lineRule="exact"/>
              <w:jc w:val="center"/>
              <w:rPr>
                <w:rFonts w:hint="eastAsia" w:ascii="仿宋" w:hAnsi="仿宋" w:eastAsia="仿宋" w:cs="仿宋"/>
                <w:sz w:val="24"/>
              </w:rPr>
            </w:pPr>
            <w:r>
              <w:rPr>
                <w:rFonts w:hint="eastAsia" w:ascii="仿宋" w:hAnsi="仿宋" w:eastAsia="仿宋" w:cs="仿宋"/>
                <w:sz w:val="24"/>
              </w:rPr>
              <w:t>21</w:t>
            </w:r>
          </w:p>
        </w:tc>
        <w:tc>
          <w:tcPr>
            <w:tcW w:w="1888" w:type="dxa"/>
            <w:tcBorders>
              <w:top w:val="single" w:color="auto" w:sz="4" w:space="0"/>
              <w:bottom w:val="single" w:color="auto" w:sz="4" w:space="0"/>
            </w:tcBorders>
            <w:noWrap w:val="0"/>
            <w:vAlign w:val="center"/>
          </w:tcPr>
          <w:p w14:paraId="11D45750">
            <w:pPr>
              <w:overflowPunct w:val="0"/>
              <w:spacing w:line="440" w:lineRule="exact"/>
              <w:jc w:val="center"/>
              <w:rPr>
                <w:rFonts w:hint="eastAsia" w:ascii="仿宋" w:hAnsi="仿宋" w:eastAsia="仿宋" w:cs="仿宋"/>
                <w:sz w:val="24"/>
              </w:rPr>
            </w:pPr>
            <w:r>
              <w:rPr>
                <w:rFonts w:hint="eastAsia" w:ascii="仿宋" w:hAnsi="仿宋" w:eastAsia="仿宋" w:cs="仿宋"/>
                <w:sz w:val="24"/>
              </w:rPr>
              <w:t>踏勘现场</w:t>
            </w:r>
          </w:p>
        </w:tc>
        <w:tc>
          <w:tcPr>
            <w:tcW w:w="7890" w:type="dxa"/>
            <w:tcBorders>
              <w:top w:val="single" w:color="auto" w:sz="4" w:space="0"/>
            </w:tcBorders>
            <w:noWrap w:val="0"/>
            <w:vAlign w:val="center"/>
          </w:tcPr>
          <w:p w14:paraId="5E160032">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☑不组织</w:t>
            </w:r>
          </w:p>
          <w:p w14:paraId="75C35560">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sym w:font="Wingdings 2" w:char="00A3"/>
            </w:r>
            <w:r>
              <w:rPr>
                <w:rFonts w:hint="eastAsia" w:ascii="仿宋" w:hAnsi="仿宋" w:eastAsia="仿宋" w:cs="仿宋"/>
                <w:bCs/>
                <w:sz w:val="24"/>
                <w:szCs w:val="24"/>
                <w:lang w:val="en-US" w:eastAsia="zh-CN"/>
              </w:rPr>
              <w:t xml:space="preserve">统一组织 </w:t>
            </w:r>
          </w:p>
          <w:p w14:paraId="3C9D0E78">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联系人：       联系电话： </w:t>
            </w:r>
          </w:p>
          <w:p w14:paraId="5FB8A734">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踏勘时间：     踏勘地点： </w:t>
            </w:r>
          </w:p>
        </w:tc>
      </w:tr>
      <w:tr w14:paraId="04F3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68121C2A">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22</w:t>
            </w:r>
          </w:p>
        </w:tc>
        <w:tc>
          <w:tcPr>
            <w:tcW w:w="1888" w:type="dxa"/>
            <w:tcBorders>
              <w:top w:val="single" w:color="auto" w:sz="4" w:space="0"/>
            </w:tcBorders>
            <w:noWrap w:val="0"/>
            <w:vAlign w:val="center"/>
          </w:tcPr>
          <w:p w14:paraId="68BB49A1">
            <w:pPr>
              <w:overflowPunct w:val="0"/>
              <w:spacing w:line="440" w:lineRule="exact"/>
              <w:jc w:val="center"/>
              <w:rPr>
                <w:rFonts w:hint="eastAsia" w:ascii="仿宋" w:hAnsi="仿宋" w:eastAsia="仿宋" w:cs="仿宋"/>
                <w:kern w:val="0"/>
                <w:sz w:val="24"/>
                <w:szCs w:val="22"/>
                <w:lang w:eastAsia="zh-CN"/>
              </w:rPr>
            </w:pPr>
            <w:r>
              <w:rPr>
                <w:rFonts w:hint="eastAsia" w:ascii="仿宋" w:hAnsi="仿宋" w:eastAsia="仿宋" w:cs="仿宋"/>
                <w:kern w:val="0"/>
                <w:sz w:val="24"/>
                <w:szCs w:val="22"/>
                <w:lang w:val="en-US" w:eastAsia="zh-CN"/>
              </w:rPr>
              <w:t>供货期</w:t>
            </w:r>
            <w:r>
              <w:rPr>
                <w:rFonts w:hint="eastAsia" w:ascii="仿宋" w:hAnsi="仿宋" w:eastAsia="仿宋" w:cs="仿宋"/>
                <w:kern w:val="0"/>
                <w:sz w:val="24"/>
                <w:szCs w:val="22"/>
                <w:lang w:eastAsia="zh-CN"/>
              </w:rPr>
              <w:t>及质保期</w:t>
            </w:r>
          </w:p>
        </w:tc>
        <w:tc>
          <w:tcPr>
            <w:tcW w:w="7890" w:type="dxa"/>
            <w:noWrap w:val="0"/>
            <w:vAlign w:val="center"/>
          </w:tcPr>
          <w:p w14:paraId="10EAAED8">
            <w:pPr>
              <w:overflowPunct w:val="0"/>
              <w:spacing w:line="440" w:lineRule="exac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供货期</w:t>
            </w:r>
            <w:r>
              <w:rPr>
                <w:rFonts w:hint="eastAsia" w:ascii="仿宋" w:hAnsi="仿宋" w:eastAsia="仿宋" w:cs="仿宋"/>
                <w:b/>
                <w:bCs w:val="0"/>
                <w:color w:val="auto"/>
                <w:sz w:val="24"/>
                <w:szCs w:val="24"/>
                <w:lang w:eastAsia="zh-CN"/>
              </w:rPr>
              <w:t>：合同签订后</w:t>
            </w:r>
            <w:r>
              <w:rPr>
                <w:rFonts w:hint="eastAsia" w:ascii="仿宋" w:hAnsi="仿宋" w:eastAsia="仿宋" w:cs="仿宋"/>
                <w:b/>
                <w:bCs w:val="0"/>
                <w:color w:val="auto"/>
                <w:sz w:val="24"/>
                <w:szCs w:val="24"/>
                <w:lang w:val="en-US" w:eastAsia="zh-CN"/>
              </w:rPr>
              <w:t>30日内，包装盒按需供货；</w:t>
            </w:r>
          </w:p>
          <w:p w14:paraId="3594EF05">
            <w:pPr>
              <w:pStyle w:val="8"/>
              <w:ind w:left="0" w:leftChars="0" w:firstLine="0" w:firstLineChars="0"/>
              <w:rPr>
                <w:rFonts w:hint="eastAsia" w:ascii="仿宋" w:hAnsi="仿宋" w:eastAsia="仿宋" w:cs="仿宋"/>
                <w:lang w:val="en-US" w:eastAsia="zh-CN"/>
              </w:rPr>
            </w:pPr>
            <w:r>
              <w:rPr>
                <w:rFonts w:hint="eastAsia" w:ascii="仿宋" w:hAnsi="仿宋" w:eastAsia="仿宋" w:cs="仿宋"/>
                <w:b/>
                <w:bCs w:val="0"/>
                <w:color w:val="auto"/>
                <w:sz w:val="24"/>
                <w:szCs w:val="24"/>
                <w:lang w:val="en-US" w:eastAsia="zh-CN"/>
              </w:rPr>
              <w:t>质保期：2年</w:t>
            </w:r>
          </w:p>
        </w:tc>
      </w:tr>
      <w:tr w14:paraId="3A6E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7E506EBA">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23</w:t>
            </w:r>
          </w:p>
        </w:tc>
        <w:tc>
          <w:tcPr>
            <w:tcW w:w="1888" w:type="dxa"/>
            <w:noWrap w:val="0"/>
            <w:vAlign w:val="center"/>
          </w:tcPr>
          <w:p w14:paraId="329AE5DA">
            <w:pPr>
              <w:overflowPunct w:val="0"/>
              <w:jc w:val="center"/>
              <w:rPr>
                <w:rFonts w:hint="eastAsia" w:ascii="仿宋" w:hAnsi="仿宋" w:eastAsia="仿宋" w:cs="仿宋"/>
                <w:sz w:val="24"/>
              </w:rPr>
            </w:pPr>
            <w:r>
              <w:rPr>
                <w:rFonts w:hint="eastAsia" w:ascii="仿宋" w:hAnsi="仿宋" w:eastAsia="仿宋" w:cs="仿宋"/>
                <w:sz w:val="24"/>
              </w:rPr>
              <w:t>低于成本价不正当</w:t>
            </w:r>
          </w:p>
          <w:p w14:paraId="5B569389">
            <w:pPr>
              <w:overflowPunct w:val="0"/>
              <w:jc w:val="center"/>
              <w:rPr>
                <w:rFonts w:hint="eastAsia" w:ascii="仿宋" w:hAnsi="仿宋" w:eastAsia="仿宋" w:cs="仿宋"/>
                <w:sz w:val="24"/>
              </w:rPr>
            </w:pPr>
            <w:r>
              <w:rPr>
                <w:rFonts w:hint="eastAsia" w:ascii="仿宋" w:hAnsi="仿宋" w:eastAsia="仿宋" w:cs="仿宋"/>
                <w:sz w:val="24"/>
              </w:rPr>
              <w:t>竞争预防措施</w:t>
            </w:r>
          </w:p>
        </w:tc>
        <w:tc>
          <w:tcPr>
            <w:tcW w:w="7890" w:type="dxa"/>
            <w:noWrap w:val="0"/>
            <w:vAlign w:val="center"/>
          </w:tcPr>
          <w:p w14:paraId="29524841">
            <w:pPr>
              <w:spacing w:line="440" w:lineRule="exact"/>
              <w:rPr>
                <w:rFonts w:hint="eastAsia" w:ascii="仿宋" w:hAnsi="仿宋" w:eastAsia="仿宋" w:cs="仿宋"/>
                <w:sz w:val="24"/>
              </w:rPr>
            </w:pPr>
            <w:r>
              <w:rPr>
                <w:rFonts w:hint="eastAsia" w:ascii="仿宋" w:hAnsi="仿宋" w:eastAsia="仿宋" w:cs="仿宋"/>
                <w:sz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5B35341">
            <w:pPr>
              <w:spacing w:line="440" w:lineRule="exact"/>
              <w:rPr>
                <w:rFonts w:hint="eastAsia" w:ascii="仿宋" w:hAnsi="仿宋" w:eastAsia="仿宋" w:cs="仿宋"/>
                <w:sz w:val="24"/>
              </w:rPr>
            </w:pPr>
            <w:r>
              <w:rPr>
                <w:rFonts w:hint="eastAsia" w:ascii="仿宋" w:hAnsi="仿宋" w:eastAsia="仿宋" w:cs="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3356D65">
            <w:pPr>
              <w:spacing w:line="440" w:lineRule="exact"/>
              <w:rPr>
                <w:rFonts w:hint="eastAsia" w:ascii="仿宋" w:hAnsi="仿宋" w:eastAsia="仿宋" w:cs="仿宋"/>
                <w:sz w:val="24"/>
              </w:rPr>
            </w:pPr>
            <w:r>
              <w:rPr>
                <w:rFonts w:hint="eastAsia" w:ascii="仿宋" w:hAnsi="仿宋" w:eastAsia="仿宋" w:cs="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0C3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100C423B">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24</w:t>
            </w:r>
          </w:p>
        </w:tc>
        <w:tc>
          <w:tcPr>
            <w:tcW w:w="1888" w:type="dxa"/>
            <w:noWrap w:val="0"/>
            <w:vAlign w:val="center"/>
          </w:tcPr>
          <w:p w14:paraId="7B2D6965">
            <w:pPr>
              <w:overflowPunct w:val="0"/>
              <w:jc w:val="center"/>
              <w:rPr>
                <w:rFonts w:hint="eastAsia" w:ascii="仿宋" w:hAnsi="仿宋" w:eastAsia="仿宋" w:cs="仿宋"/>
                <w:sz w:val="24"/>
              </w:rPr>
            </w:pPr>
            <w:r>
              <w:rPr>
                <w:rFonts w:hint="eastAsia" w:ascii="仿宋" w:hAnsi="仿宋" w:eastAsia="仿宋" w:cs="仿宋"/>
                <w:sz w:val="24"/>
              </w:rPr>
              <w:t>投标文件</w:t>
            </w:r>
            <w:r>
              <w:rPr>
                <w:rFonts w:hint="eastAsia" w:ascii="仿宋" w:hAnsi="仿宋" w:eastAsia="仿宋" w:cs="仿宋"/>
                <w:sz w:val="24"/>
                <w:lang w:val="en-US" w:eastAsia="zh-CN"/>
              </w:rPr>
              <w:t>的</w:t>
            </w:r>
            <w:r>
              <w:rPr>
                <w:rFonts w:hint="eastAsia" w:ascii="仿宋" w:hAnsi="仿宋" w:eastAsia="仿宋" w:cs="仿宋"/>
                <w:sz w:val="24"/>
              </w:rPr>
              <w:t>递交</w:t>
            </w:r>
          </w:p>
        </w:tc>
        <w:tc>
          <w:tcPr>
            <w:tcW w:w="7890" w:type="dxa"/>
            <w:noWrap w:val="0"/>
            <w:vAlign w:val="center"/>
          </w:tcPr>
          <w:p w14:paraId="51E73E0D">
            <w:pPr>
              <w:spacing w:line="440" w:lineRule="exact"/>
              <w:rPr>
                <w:rFonts w:hint="eastAsia" w:ascii="仿宋" w:hAnsi="仿宋" w:eastAsia="仿宋" w:cs="仿宋"/>
                <w:sz w:val="24"/>
              </w:rPr>
            </w:pPr>
            <w:r>
              <w:rPr>
                <w:rFonts w:hint="eastAsia" w:ascii="仿宋" w:hAnsi="仿宋" w:eastAsia="仿宋" w:cs="仿宋"/>
                <w:sz w:val="24"/>
                <w:lang w:val="en-US" w:eastAsia="zh-CN"/>
              </w:rPr>
              <w:t>本项目采用不见面开标、投标人需要递交电子投标文件，加密的电子投标文件，在投标截止时间前通过政采云平台（https://www.zcygov.cn/）上传到指定位置。</w:t>
            </w:r>
          </w:p>
        </w:tc>
      </w:tr>
      <w:tr w14:paraId="1EAA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2ADFD013">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25</w:t>
            </w:r>
          </w:p>
        </w:tc>
        <w:tc>
          <w:tcPr>
            <w:tcW w:w="1888" w:type="dxa"/>
            <w:noWrap w:val="0"/>
            <w:vAlign w:val="center"/>
          </w:tcPr>
          <w:p w14:paraId="18E03563">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政府采购</w:t>
            </w:r>
          </w:p>
          <w:p w14:paraId="4D87560F">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政策支持</w:t>
            </w:r>
          </w:p>
        </w:tc>
        <w:tc>
          <w:tcPr>
            <w:tcW w:w="7890" w:type="dxa"/>
            <w:noWrap w:val="0"/>
            <w:vAlign w:val="center"/>
          </w:tcPr>
          <w:p w14:paraId="1C06A98E">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1、根据《政府采购促进中小企业展暂行办法》（财库【2020】46 号文）、《关于落实好政府采购支持中小企业发展的通知》（新财购〔2022〕22 号文）规定执行； </w:t>
            </w:r>
          </w:p>
          <w:p w14:paraId="0B9CDEB0">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2、根据工信部等部委发布的《关于印发中小企业划型标准规定的通知》（工信部联企业[2011]300 号）规定执行； </w:t>
            </w:r>
          </w:p>
          <w:p w14:paraId="4E6910E2">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本项目采购标的对应的中小企业划分标准所属行业为</w:t>
            </w:r>
            <w:r>
              <w:rPr>
                <w:rFonts w:hint="eastAsia" w:ascii="仿宋" w:hAnsi="仿宋" w:eastAsia="仿宋" w:cs="仿宋"/>
                <w:b/>
                <w:bCs/>
                <w:sz w:val="24"/>
                <w:u w:val="single"/>
                <w:lang w:val="en-US" w:eastAsia="zh-CN"/>
              </w:rPr>
              <w:t>工业</w:t>
            </w:r>
            <w:r>
              <w:rPr>
                <w:rFonts w:hint="eastAsia" w:ascii="仿宋" w:hAnsi="仿宋" w:eastAsia="仿宋" w:cs="仿宋"/>
                <w:b w:val="0"/>
                <w:bCs w:val="0"/>
                <w:sz w:val="24"/>
                <w:lang w:val="en-US" w:eastAsia="zh-CN"/>
              </w:rPr>
              <w:t>。</w:t>
            </w:r>
            <w:r>
              <w:rPr>
                <w:rFonts w:hint="eastAsia" w:ascii="仿宋" w:hAnsi="仿宋" w:eastAsia="仿宋" w:cs="仿宋"/>
                <w:b/>
                <w:bCs/>
                <w:sz w:val="24"/>
                <w:lang w:val="en-US" w:eastAsia="zh-CN"/>
              </w:rPr>
              <w:t xml:space="preserve"> </w:t>
            </w:r>
          </w:p>
          <w:p w14:paraId="5B7AB608">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3、价格扣除幅度： </w:t>
            </w:r>
          </w:p>
          <w:p w14:paraId="10C8A887">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lang w:val="en-US" w:eastAsia="zh-CN"/>
              </w:rPr>
              <w:t>专门面向中小企业采购项目 ；</w:t>
            </w:r>
          </w:p>
          <w:p w14:paraId="217178F3">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szCs w:val="24"/>
                <w:lang w:val="en-US" w:eastAsia="zh-CN"/>
              </w:rPr>
              <w:sym w:font="Wingdings 2" w:char="0052"/>
            </w:r>
            <w:r>
              <w:rPr>
                <w:rFonts w:hint="eastAsia" w:ascii="仿宋" w:hAnsi="仿宋" w:eastAsia="仿宋" w:cs="仿宋"/>
                <w:b w:val="0"/>
                <w:bCs w:val="0"/>
                <w:sz w:val="24"/>
                <w:lang w:val="en-US" w:eastAsia="zh-CN"/>
              </w:rPr>
              <w:t xml:space="preserve">非专门面向中小企业采购项目(价格扣除)：小型和微型企业将价格给予 10%的扣除； </w:t>
            </w:r>
          </w:p>
          <w:p w14:paraId="58683642">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4、小型和微型企业适用价格扣除办法时应提供的相关资料： </w:t>
            </w:r>
          </w:p>
          <w:p w14:paraId="15601228">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供应商需在响应文件报价部分中“产品明细表”中逐项注明所投产品的产品名称、制造商、型号并备注是否属于中、小企业。</w:t>
            </w:r>
            <w:r>
              <w:rPr>
                <w:rFonts w:hint="eastAsia" w:ascii="仿宋" w:hAnsi="仿宋" w:eastAsia="仿宋" w:cs="仿宋"/>
                <w:b/>
                <w:bCs/>
                <w:sz w:val="24"/>
                <w:lang w:val="en-US" w:eastAsia="zh-CN"/>
              </w:rPr>
              <w:t xml:space="preserve">  </w:t>
            </w:r>
          </w:p>
          <w:p w14:paraId="26F8A26A">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根据中华人民共和国财政部、中华人民共和国民政部、中国残疾人联合会《关于促进残疾人就业政府采购政策的通知》（（财库〔2017〕141 号）文件的规定：残疾人福利性单位视同小型、微型企业。 </w:t>
            </w:r>
          </w:p>
          <w:p w14:paraId="1599E828">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根据财政部、司法部《关于政府采购支持监狱企业发展有关问题的通知》(财库【2014】68 号)文件的规定：在政府采购活动中，监狱企业视同小型、微型企业。 </w:t>
            </w:r>
          </w:p>
          <w:p w14:paraId="500F495A">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 xml:space="preserve">供应商若为残疾人福利性单位，须在投标文件中提供《残疾人福利性单位声明函》，否则将不给予价格扣除。供应商须对其声明的真实性负责，若与事实不符的，将依照《政府采购法》第七十七条第一款的规定追究法律责任。 </w:t>
            </w:r>
          </w:p>
        </w:tc>
      </w:tr>
      <w:tr w14:paraId="0020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4BEE44A2">
            <w:pPr>
              <w:overflowPunct w:val="0"/>
              <w:spacing w:line="440" w:lineRule="exact"/>
              <w:jc w:val="center"/>
              <w:rPr>
                <w:rFonts w:hint="eastAsia" w:ascii="仿宋" w:hAnsi="仿宋" w:eastAsia="仿宋" w:cs="仿宋"/>
                <w:b/>
                <w:sz w:val="24"/>
              </w:rPr>
            </w:pPr>
            <w:r>
              <w:rPr>
                <w:rFonts w:hint="eastAsia" w:ascii="仿宋" w:hAnsi="仿宋" w:eastAsia="仿宋" w:cs="仿宋"/>
                <w:b/>
                <w:sz w:val="24"/>
              </w:rPr>
              <w:t>备注</w:t>
            </w:r>
          </w:p>
        </w:tc>
        <w:tc>
          <w:tcPr>
            <w:tcW w:w="9778" w:type="dxa"/>
            <w:gridSpan w:val="2"/>
            <w:noWrap w:val="0"/>
            <w:vAlign w:val="center"/>
          </w:tcPr>
          <w:p w14:paraId="6ABEB266">
            <w:pPr>
              <w:spacing w:line="440" w:lineRule="exact"/>
              <w:ind w:firstLine="472" w:firstLineChars="196"/>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5EA851F8">
            <w:pPr>
              <w:spacing w:line="440" w:lineRule="exact"/>
              <w:ind w:firstLine="472" w:firstLineChars="196"/>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w:t>
            </w:r>
            <w:r>
              <w:rPr>
                <w:rFonts w:hint="eastAsia" w:ascii="仿宋" w:hAnsi="仿宋" w:eastAsia="仿宋" w:cs="仿宋"/>
                <w:b/>
                <w:sz w:val="24"/>
                <w:lang w:val="en-US" w:eastAsia="zh-CN"/>
              </w:rPr>
              <w:t>的</w:t>
            </w:r>
            <w:r>
              <w:rPr>
                <w:rFonts w:hint="eastAsia" w:ascii="仿宋" w:hAnsi="仿宋" w:eastAsia="仿宋" w:cs="仿宋"/>
                <w:b/>
                <w:sz w:val="24"/>
              </w:rPr>
              <w:t>内容，招标人可拒绝与其签订合同。并将其列入政府采购黑名单库。</w:t>
            </w:r>
          </w:p>
        </w:tc>
      </w:tr>
      <w:tr w14:paraId="46AF2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541" w:type="dxa"/>
            <w:gridSpan w:val="3"/>
            <w:noWrap w:val="0"/>
            <w:vAlign w:val="center"/>
          </w:tcPr>
          <w:p w14:paraId="0AE57B4D">
            <w:pPr>
              <w:spacing w:line="360" w:lineRule="auto"/>
              <w:rPr>
                <w:rFonts w:hint="eastAsia" w:ascii="仿宋" w:hAnsi="仿宋" w:eastAsia="仿宋" w:cs="仿宋"/>
                <w:b/>
                <w:sz w:val="24"/>
              </w:rPr>
            </w:pPr>
            <w:r>
              <w:rPr>
                <w:rFonts w:hint="eastAsia" w:ascii="仿宋" w:hAnsi="仿宋" w:eastAsia="仿宋" w:cs="仿宋"/>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期。</w:t>
            </w:r>
          </w:p>
        </w:tc>
      </w:tr>
      <w:tr w14:paraId="4FDE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541" w:type="dxa"/>
            <w:gridSpan w:val="3"/>
            <w:noWrap w:val="0"/>
            <w:vAlign w:val="center"/>
          </w:tcPr>
          <w:p w14:paraId="296A2750">
            <w:pPr>
              <w:spacing w:line="360" w:lineRule="auto"/>
              <w:rPr>
                <w:rFonts w:hint="eastAsia" w:ascii="仿宋" w:hAnsi="仿宋" w:eastAsia="仿宋" w:cs="仿宋"/>
                <w:b/>
                <w:sz w:val="24"/>
              </w:rPr>
            </w:pPr>
            <w:r>
              <w:rPr>
                <w:rFonts w:hint="eastAsia" w:ascii="仿宋" w:hAnsi="仿宋" w:eastAsia="仿宋" w:cs="仿宋"/>
                <w:b/>
                <w:sz w:val="24"/>
                <w:lang w:val="en-US" w:eastAsia="zh-CN"/>
              </w:rPr>
              <w:t xml:space="preserve">注：1、本表中加★项目若有缺失或无效，将导致投标无效且不允许在开标后补正； </w:t>
            </w:r>
          </w:p>
          <w:p w14:paraId="4F9A6A9F">
            <w:pPr>
              <w:spacing w:line="360" w:lineRule="auto"/>
              <w:rPr>
                <w:rFonts w:hint="eastAsia" w:ascii="仿宋" w:hAnsi="仿宋" w:eastAsia="仿宋" w:cs="仿宋"/>
                <w:b/>
                <w:sz w:val="24"/>
              </w:rPr>
            </w:pPr>
            <w:r>
              <w:rPr>
                <w:rFonts w:hint="eastAsia" w:ascii="仿宋" w:hAnsi="仿宋" w:eastAsia="仿宋" w:cs="仿宋"/>
                <w:b/>
                <w:sz w:val="24"/>
                <w:lang w:val="en-US" w:eastAsia="zh-CN"/>
              </w:rPr>
              <w:t xml:space="preserve">2、本表内容与招标文件其它内容不一致的，应当以本表内容为准。 </w:t>
            </w:r>
          </w:p>
          <w:p w14:paraId="5BFDD2BF">
            <w:pPr>
              <w:spacing w:line="360" w:lineRule="auto"/>
              <w:rPr>
                <w:rFonts w:hint="eastAsia" w:ascii="仿宋" w:hAnsi="仿宋" w:eastAsia="仿宋" w:cs="仿宋"/>
                <w:b/>
                <w:sz w:val="24"/>
              </w:rPr>
            </w:pPr>
            <w:r>
              <w:rPr>
                <w:rFonts w:hint="eastAsia" w:ascii="仿宋" w:hAnsi="仿宋" w:eastAsia="仿宋" w:cs="仿宋"/>
                <w:b/>
                <w:sz w:val="24"/>
                <w:lang w:val="en-US" w:eastAsia="zh-CN"/>
              </w:rPr>
              <w:t>3、本表中“</w:t>
            </w:r>
            <w:r>
              <w:rPr>
                <w:rFonts w:hint="eastAsia" w:ascii="仿宋" w:hAnsi="仿宋" w:eastAsia="仿宋" w:cs="仿宋"/>
                <w:b/>
                <w:sz w:val="24"/>
                <w:lang w:val="en-US" w:eastAsia="zh-CN"/>
              </w:rPr>
              <w:sym w:font="Wingdings 2" w:char="0052"/>
            </w:r>
            <w:r>
              <w:rPr>
                <w:rFonts w:hint="eastAsia" w:ascii="仿宋" w:hAnsi="仿宋" w:eastAsia="仿宋" w:cs="仿宋"/>
                <w:b/>
                <w:sz w:val="24"/>
                <w:lang w:val="en-US" w:eastAsia="zh-CN"/>
              </w:rPr>
              <w:t xml:space="preserve">”标示选择使用该项，“□”标示不选择使用该项。 </w:t>
            </w:r>
          </w:p>
        </w:tc>
      </w:tr>
    </w:tbl>
    <w:p w14:paraId="31FD83B7">
      <w:pPr>
        <w:pStyle w:val="5"/>
        <w:rPr>
          <w:rFonts w:hint="eastAsia" w:ascii="仿宋" w:hAnsi="仿宋" w:eastAsia="仿宋" w:cs="仿宋"/>
          <w:sz w:val="24"/>
          <w:szCs w:val="24"/>
        </w:rPr>
      </w:pPr>
    </w:p>
    <w:p w14:paraId="1B72BBAE">
      <w:pPr>
        <w:pStyle w:val="4"/>
        <w:rPr>
          <w:rFonts w:hint="eastAsia" w:ascii="仿宋" w:hAnsi="仿宋" w:eastAsia="仿宋" w:cs="仿宋"/>
        </w:rPr>
      </w:pPr>
      <w:r>
        <w:rPr>
          <w:rFonts w:hint="eastAsia" w:ascii="仿宋" w:hAnsi="仿宋" w:eastAsia="仿宋" w:cs="仿宋"/>
        </w:rPr>
        <w:br w:type="page"/>
      </w:r>
      <w:bookmarkStart w:id="13" w:name="_Toc6711"/>
      <w:r>
        <w:rPr>
          <w:rFonts w:hint="eastAsia" w:ascii="仿宋" w:hAnsi="仿宋" w:eastAsia="仿宋" w:cs="仿宋"/>
        </w:rPr>
        <w:t>（二）供应商须知</w:t>
      </w:r>
      <w:bookmarkEnd w:id="13"/>
    </w:p>
    <w:p w14:paraId="3EA0CF45">
      <w:pPr>
        <w:pStyle w:val="8"/>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1</w:t>
      </w:r>
      <w:r>
        <w:rPr>
          <w:rFonts w:hint="eastAsia" w:ascii="仿宋" w:hAnsi="仿宋" w:eastAsia="仿宋" w:cs="仿宋"/>
          <w:b/>
          <w:bCs/>
          <w:lang w:val="en-US" w:eastAsia="zh-CN"/>
        </w:rPr>
        <w:t>.</w:t>
      </w:r>
      <w:r>
        <w:rPr>
          <w:rFonts w:hint="eastAsia" w:ascii="仿宋" w:hAnsi="仿宋" w:eastAsia="仿宋" w:cs="仿宋"/>
          <w:b/>
          <w:bCs/>
        </w:rPr>
        <w:t>综合说明</w:t>
      </w:r>
    </w:p>
    <w:p w14:paraId="7B1AF053">
      <w:pPr>
        <w:pStyle w:val="8"/>
        <w:kinsoku w:val="0"/>
        <w:overflowPunct w:val="0"/>
        <w:spacing w:before="130" w:line="355" w:lineRule="auto"/>
        <w:ind w:left="0" w:right="7" w:firstLine="480"/>
        <w:rPr>
          <w:rFonts w:hint="eastAsia" w:ascii="仿宋" w:hAnsi="仿宋" w:eastAsia="仿宋" w:cs="仿宋"/>
          <w:spacing w:val="4"/>
        </w:rPr>
      </w:pPr>
      <w:r>
        <w:rPr>
          <w:rFonts w:hint="eastAsia" w:ascii="仿宋" w:hAnsi="仿宋" w:eastAsia="仿宋" w:cs="仿宋"/>
          <w:spacing w:val="4"/>
        </w:rPr>
        <w:t>本项目按照《中华人民共和国政府采购法》、《中华人民共和国政府采购法实施条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14:paraId="0B84C374">
      <w:pPr>
        <w:pStyle w:val="8"/>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2.适用范围</w:t>
      </w:r>
    </w:p>
    <w:p w14:paraId="58D76FC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本竞争性磋商文件仅适用于本次磋商所叙述的磋商项目。</w:t>
      </w:r>
    </w:p>
    <w:p w14:paraId="09B24984">
      <w:pPr>
        <w:pStyle w:val="8"/>
        <w:kinsoku w:val="0"/>
        <w:overflowPunct w:val="0"/>
        <w:spacing w:before="38"/>
        <w:rPr>
          <w:rFonts w:hint="eastAsia" w:ascii="仿宋" w:hAnsi="仿宋" w:eastAsia="仿宋" w:cs="仿宋"/>
        </w:rPr>
      </w:pPr>
      <w:r>
        <w:rPr>
          <w:rFonts w:hint="eastAsia" w:ascii="仿宋" w:hAnsi="仿宋" w:eastAsia="仿宋" w:cs="仿宋"/>
          <w:b/>
          <w:bCs/>
          <w:spacing w:val="-1"/>
        </w:rPr>
        <w:t>3.定义</w:t>
      </w:r>
    </w:p>
    <w:p w14:paraId="423F6E5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“政府采购当事人”系指在政府采购活动中享有权利和承担义务的各类主体，包括采购人、供应商和招标代理机构。</w:t>
      </w:r>
    </w:p>
    <w:p w14:paraId="311E443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 “采购人”系指</w:t>
      </w:r>
      <w:r>
        <w:rPr>
          <w:rFonts w:hint="eastAsia" w:ascii="仿宋" w:hAnsi="仿宋" w:eastAsia="仿宋" w:cs="仿宋"/>
        </w:rPr>
        <w:fldChar w:fldCharType="begin"/>
      </w:r>
      <w:r>
        <w:rPr>
          <w:rFonts w:hint="eastAsia" w:ascii="仿宋" w:hAnsi="仿宋" w:eastAsia="仿宋" w:cs="仿宋"/>
        </w:rPr>
        <w:instrText xml:space="preserve"> HYPERLINK "https://www.baidu.com/link?url=FH7zryRMfTIBJlBMErvigl58NfVFpI9DRDNuH5fLtbm&amp;wd=&amp;eqid=9340123100004d8f000000035cde4142" \t "https://www.baidu.com/_blank" </w:instrText>
      </w:r>
      <w:r>
        <w:rPr>
          <w:rFonts w:hint="eastAsia" w:ascii="仿宋" w:hAnsi="仿宋" w:eastAsia="仿宋" w:cs="仿宋"/>
        </w:rPr>
        <w:fldChar w:fldCharType="separate"/>
      </w:r>
      <w:r>
        <w:rPr>
          <w:rFonts w:hint="eastAsia" w:ascii="仿宋" w:hAnsi="仿宋" w:eastAsia="仿宋" w:cs="仿宋"/>
          <w:lang w:eastAsia="zh-CN"/>
        </w:rPr>
        <w:t>且末县阿羌镇人民政府</w:t>
      </w:r>
      <w:r>
        <w:rPr>
          <w:rFonts w:hint="eastAsia" w:ascii="仿宋" w:hAnsi="仿宋" w:eastAsia="仿宋" w:cs="仿宋"/>
        </w:rPr>
        <w:fldChar w:fldCharType="end"/>
      </w:r>
      <w:r>
        <w:rPr>
          <w:rFonts w:hint="eastAsia" w:ascii="仿宋" w:hAnsi="仿宋" w:eastAsia="仿宋" w:cs="仿宋"/>
          <w:spacing w:val="4"/>
        </w:rPr>
        <w:t>；</w:t>
      </w:r>
    </w:p>
    <w:p w14:paraId="6503BFD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“招标代理机构”系指</w:t>
      </w:r>
      <w:r>
        <w:rPr>
          <w:rFonts w:hint="eastAsia" w:ascii="仿宋" w:hAnsi="仿宋" w:eastAsia="仿宋" w:cs="仿宋"/>
          <w:spacing w:val="4"/>
          <w:lang w:eastAsia="zh-CN"/>
        </w:rPr>
        <w:t>新疆万凯盛工程管理咨询有限公司</w:t>
      </w:r>
      <w:r>
        <w:rPr>
          <w:rFonts w:hint="eastAsia" w:ascii="仿宋" w:hAnsi="仿宋" w:eastAsia="仿宋" w:cs="仿宋"/>
          <w:spacing w:val="4"/>
        </w:rPr>
        <w:t>；</w:t>
      </w:r>
    </w:p>
    <w:p w14:paraId="0686FC7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“供应商、磋商单位、响应人”系指符合本磋商项目资质要求，参加磋商竞争的法人机构或其他组织。</w:t>
      </w:r>
    </w:p>
    <w:p w14:paraId="3F83B4A7">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3.5 “竞争性磋商文件”系指由采购人和招标代理机构发出的文本、文件，包括全部章节和附件及答疑会议纪要。</w:t>
      </w:r>
    </w:p>
    <w:p w14:paraId="052F0E95">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3.6 “磋商响应性文件”系指供应商根据本《竞争性磋商文件》向采购人提交的全部文件。</w:t>
      </w:r>
    </w:p>
    <w:p w14:paraId="62D4A19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3.7 “采购文件”系指包括采购活动的记录、采购预算、竞争性磋商文件、磋商响应性文件、评标标准、评估报告、定标文件、合同文本、验收证明、质疑答复、投诉处理决定及其他有关文件、资料。</w:t>
      </w:r>
    </w:p>
    <w:p w14:paraId="21631EF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3.8 “书面形式”系指任何手写、打印或印刷的各种函件，不包括电传、电报、传真、电子邮件。</w:t>
      </w:r>
    </w:p>
    <w:p w14:paraId="0E3EF99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3.9 “货物”系指供应商中标后根据竞争性磋商文件和合同的规定须向采购人提供的各种形态和种类的货物。</w:t>
      </w:r>
    </w:p>
    <w:p w14:paraId="7DF5E01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3.10“服务”系指供应商中标后根据竞争性磋商文件和合同的规定承担有关的服务。</w:t>
      </w:r>
    </w:p>
    <w:p w14:paraId="7FB5EA2F">
      <w:pPr>
        <w:pStyle w:val="8"/>
        <w:kinsoku w:val="0"/>
        <w:overflowPunct w:val="0"/>
        <w:spacing w:before="130" w:line="355" w:lineRule="auto"/>
        <w:ind w:right="7" w:firstLine="480"/>
        <w:rPr>
          <w:rFonts w:hint="eastAsia" w:ascii="仿宋" w:hAnsi="仿宋" w:eastAsia="仿宋" w:cs="仿宋"/>
          <w:spacing w:val="4"/>
          <w:lang w:val="en-US" w:eastAsia="zh-CN"/>
        </w:rPr>
      </w:pPr>
      <w:r>
        <w:rPr>
          <w:rFonts w:hint="eastAsia" w:ascii="仿宋" w:hAnsi="仿宋" w:eastAsia="仿宋" w:cs="仿宋"/>
          <w:spacing w:val="4"/>
          <w:lang w:val="en-US" w:eastAsia="zh-CN"/>
        </w:rPr>
        <w:t>3.11“工程”系指建设工程，包括建筑物和构筑物的新建、改建、扩建、装修、拆除、修缮等。</w:t>
      </w:r>
    </w:p>
    <w:p w14:paraId="03D544A7">
      <w:pPr>
        <w:pStyle w:val="8"/>
        <w:kinsoku w:val="0"/>
        <w:overflowPunct w:val="0"/>
        <w:spacing w:before="38"/>
        <w:rPr>
          <w:rFonts w:hint="eastAsia" w:ascii="仿宋" w:hAnsi="仿宋" w:eastAsia="仿宋" w:cs="仿宋"/>
        </w:rPr>
      </w:pPr>
      <w:r>
        <w:rPr>
          <w:rFonts w:hint="eastAsia" w:ascii="仿宋" w:hAnsi="仿宋" w:eastAsia="仿宋" w:cs="仿宋"/>
          <w:b/>
          <w:bCs/>
        </w:rPr>
        <w:t>4.合格的供应商</w:t>
      </w:r>
    </w:p>
    <w:p w14:paraId="5EE72DB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4.1 具备“供应商须知前附表”第六款的基本条件；</w:t>
      </w:r>
    </w:p>
    <w:p w14:paraId="583E2E4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4.2 凡是符合国家工商行政管理部门登记审核，具有相应生产经营许可的，有一定技术实力和生产规模，并有能力提供招标货物的生产商。</w:t>
      </w:r>
    </w:p>
    <w:p w14:paraId="5761A40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4.3 投标单位不得直接或间接地与本次招标进行设计、编制规范和其他文件所委托的咨询公司或其附属机构有任何关联；</w:t>
      </w:r>
    </w:p>
    <w:p w14:paraId="6359661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4.4 投标单位与采购人存在利害关系可能影响招标公正性的法人、其他组织或个人，不得参加投标。单位负责人为同一人或者存在控股、管理关系的不同单位，不得参加同一标段投标或者未划分标段的同一招标项目投标；</w:t>
      </w:r>
    </w:p>
    <w:p w14:paraId="1DFF46B9">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4.5 遵守国家有关的法律、法规和条例及《竞争性磋商文件》的规定。</w:t>
      </w:r>
    </w:p>
    <w:p w14:paraId="64B46ECA">
      <w:pPr>
        <w:pStyle w:val="8"/>
        <w:kinsoku w:val="0"/>
        <w:overflowPunct w:val="0"/>
        <w:spacing w:before="151"/>
        <w:rPr>
          <w:rFonts w:hint="eastAsia" w:ascii="仿宋" w:hAnsi="仿宋" w:eastAsia="仿宋" w:cs="仿宋"/>
        </w:rPr>
      </w:pPr>
      <w:r>
        <w:rPr>
          <w:rFonts w:hint="eastAsia" w:ascii="仿宋" w:hAnsi="仿宋" w:eastAsia="仿宋" w:cs="仿宋"/>
          <w:b/>
          <w:bCs/>
        </w:rPr>
        <w:t>5.费用承担</w:t>
      </w:r>
    </w:p>
    <w:p w14:paraId="3D2DD7D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供应商应承担与招标代理活动有关的一切费用。不论招标的结果如何，招标代理机构和采购人在任何情况下均无义务和责任承担这些费用。</w:t>
      </w:r>
    </w:p>
    <w:p w14:paraId="7305E2C5">
      <w:pPr>
        <w:pStyle w:val="8"/>
        <w:kinsoku w:val="0"/>
        <w:overflowPunct w:val="0"/>
        <w:spacing w:before="38"/>
        <w:rPr>
          <w:rFonts w:hint="eastAsia" w:ascii="仿宋" w:hAnsi="仿宋" w:eastAsia="仿宋" w:cs="仿宋"/>
        </w:rPr>
      </w:pPr>
      <w:r>
        <w:rPr>
          <w:rFonts w:hint="eastAsia" w:ascii="仿宋" w:hAnsi="仿宋" w:eastAsia="仿宋" w:cs="仿宋"/>
          <w:b/>
          <w:bCs/>
        </w:rPr>
        <w:t>6.招标代理服务费</w:t>
      </w:r>
    </w:p>
    <w:p w14:paraId="110DB63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bCs/>
        </w:rPr>
        <w:t>成交供应商</w:t>
      </w:r>
      <w:r>
        <w:rPr>
          <w:rFonts w:hint="eastAsia" w:ascii="仿宋" w:hAnsi="仿宋" w:eastAsia="仿宋" w:cs="仿宋"/>
          <w:spacing w:val="4"/>
        </w:rPr>
        <w:t>应承担所有与准备和参加磋商有关的费用。不论磋商的结果如何，招标代理机构和采购人均无义务和责任承担这些费用；</w:t>
      </w:r>
    </w:p>
    <w:p w14:paraId="35EC9E76">
      <w:pPr>
        <w:pStyle w:val="8"/>
        <w:kinsoku w:val="0"/>
        <w:overflowPunct w:val="0"/>
        <w:spacing w:before="130" w:line="355" w:lineRule="auto"/>
        <w:ind w:right="7" w:firstLine="480"/>
        <w:rPr>
          <w:rFonts w:hint="eastAsia" w:ascii="仿宋" w:hAnsi="仿宋" w:eastAsia="仿宋" w:cs="仿宋"/>
          <w:bCs/>
        </w:rPr>
      </w:pPr>
      <w:r>
        <w:rPr>
          <w:rFonts w:hint="eastAsia" w:ascii="仿宋" w:hAnsi="仿宋" w:eastAsia="仿宋" w:cs="仿宋"/>
          <w:bCs/>
        </w:rPr>
        <w:t>参照国家发改价格【2011】534号文件规定的服务费收费，由中标人在领取中标通知书时支付。</w:t>
      </w:r>
    </w:p>
    <w:p w14:paraId="6F6C2157">
      <w:pPr>
        <w:pStyle w:val="8"/>
        <w:kinsoku w:val="0"/>
        <w:overflowPunct w:val="0"/>
        <w:rPr>
          <w:rFonts w:hint="eastAsia" w:ascii="仿宋" w:hAnsi="仿宋" w:eastAsia="仿宋" w:cs="仿宋"/>
          <w:b/>
          <w:bCs/>
        </w:rPr>
      </w:pPr>
      <w:r>
        <w:rPr>
          <w:rFonts w:hint="eastAsia" w:ascii="仿宋" w:hAnsi="仿宋" w:eastAsia="仿宋" w:cs="仿宋"/>
          <w:b/>
          <w:bCs/>
          <w:spacing w:val="1"/>
        </w:rPr>
        <w:t>7.</w:t>
      </w:r>
      <w:r>
        <w:rPr>
          <w:rFonts w:hint="eastAsia" w:ascii="仿宋" w:hAnsi="仿宋" w:eastAsia="仿宋" w:cs="仿宋"/>
          <w:b/>
          <w:bCs/>
        </w:rPr>
        <w:t>踏勘现场和答疑会</w:t>
      </w:r>
    </w:p>
    <w:p w14:paraId="55B28BE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不组织</w:t>
      </w:r>
    </w:p>
    <w:p w14:paraId="52AA25E7">
      <w:pPr>
        <w:pStyle w:val="8"/>
        <w:kinsoku w:val="0"/>
        <w:overflowPunct w:val="0"/>
        <w:spacing w:before="151" w:line="357" w:lineRule="auto"/>
        <w:ind w:right="963"/>
        <w:rPr>
          <w:rFonts w:hint="eastAsia" w:ascii="仿宋" w:hAnsi="仿宋" w:eastAsia="仿宋" w:cs="仿宋"/>
        </w:rPr>
      </w:pPr>
      <w:r>
        <w:rPr>
          <w:rFonts w:hint="eastAsia" w:ascii="仿宋" w:hAnsi="仿宋" w:eastAsia="仿宋" w:cs="仿宋"/>
          <w:b/>
          <w:bCs/>
        </w:rPr>
        <w:t>8</w:t>
      </w:r>
      <w:r>
        <w:rPr>
          <w:rFonts w:hint="eastAsia" w:ascii="仿宋" w:hAnsi="仿宋" w:eastAsia="仿宋" w:cs="仿宋"/>
          <w:b/>
          <w:bCs/>
          <w:lang w:val="en-US" w:eastAsia="zh-CN"/>
        </w:rPr>
        <w:t>.</w:t>
      </w:r>
      <w:r>
        <w:rPr>
          <w:rFonts w:hint="eastAsia" w:ascii="仿宋" w:hAnsi="仿宋" w:eastAsia="仿宋" w:cs="仿宋"/>
          <w:b/>
          <w:bCs/>
        </w:rPr>
        <w:t>保密</w:t>
      </w:r>
    </w:p>
    <w:p w14:paraId="21CF88F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参与招标投标活动的各方应对竞争性磋商文件和磋商响应性文件中的商业和技术等秘密保密，违者应对由此造成的后果承担法律责任。</w:t>
      </w:r>
    </w:p>
    <w:p w14:paraId="6EDE47C3">
      <w:pPr>
        <w:pStyle w:val="8"/>
        <w:kinsoku w:val="0"/>
        <w:overflowPunct w:val="0"/>
        <w:spacing w:before="38"/>
        <w:rPr>
          <w:rFonts w:hint="eastAsia" w:ascii="仿宋" w:hAnsi="仿宋" w:eastAsia="仿宋" w:cs="仿宋"/>
        </w:rPr>
      </w:pPr>
      <w:r>
        <w:rPr>
          <w:rFonts w:hint="eastAsia" w:ascii="仿宋" w:hAnsi="仿宋" w:eastAsia="仿宋" w:cs="仿宋"/>
          <w:b/>
          <w:bCs/>
        </w:rPr>
        <w:t>9.适用法律</w:t>
      </w:r>
    </w:p>
    <w:p w14:paraId="5C2F04F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政府采购，招标采购单位、供应商、磋商小组的相关行为均受《《中华人民共和国政府采购法》、《中华人民共和国政府采购法实施条例》、《政府采购货物和服务招标投标管理办法》、《政府购买服务管理办法（暂行）》、《政府采购竞争性磋商采购方式管理暂行办法》和本项目采购人本级和上级财政部门政府采购有关规定的约束，其权利受到上述法律法规的保护。</w:t>
      </w:r>
    </w:p>
    <w:p w14:paraId="04FBCA45">
      <w:pPr>
        <w:pStyle w:val="4"/>
        <w:rPr>
          <w:rFonts w:hint="eastAsia" w:ascii="仿宋" w:hAnsi="仿宋" w:eastAsia="仿宋" w:cs="仿宋"/>
        </w:rPr>
      </w:pPr>
      <w:bookmarkStart w:id="14" w:name="_Toc30198"/>
      <w:r>
        <w:rPr>
          <w:rFonts w:hint="eastAsia" w:ascii="仿宋" w:hAnsi="仿宋" w:eastAsia="仿宋" w:cs="仿宋"/>
        </w:rPr>
        <w:t>（三）《竞争性磋商文件》</w:t>
      </w:r>
      <w:bookmarkEnd w:id="14"/>
    </w:p>
    <w:p w14:paraId="61031AF5">
      <w:pPr>
        <w:pStyle w:val="8"/>
        <w:kinsoku w:val="0"/>
        <w:overflowPunct w:val="0"/>
        <w:spacing w:before="122" w:line="357" w:lineRule="auto"/>
        <w:ind w:left="598" w:hanging="480"/>
        <w:rPr>
          <w:rFonts w:hint="eastAsia" w:ascii="仿宋" w:hAnsi="仿宋" w:eastAsia="仿宋" w:cs="仿宋"/>
          <w:b/>
          <w:bCs/>
          <w:spacing w:val="27"/>
          <w:w w:val="99"/>
        </w:rPr>
      </w:pPr>
      <w:r>
        <w:rPr>
          <w:rFonts w:hint="eastAsia" w:ascii="仿宋" w:hAnsi="仿宋" w:eastAsia="仿宋" w:cs="仿宋"/>
          <w:b/>
          <w:bCs/>
        </w:rPr>
        <w:t>1.《竞争性磋商文件》的组成</w:t>
      </w:r>
      <w:r>
        <w:rPr>
          <w:rFonts w:hint="eastAsia" w:ascii="仿宋" w:hAnsi="仿宋" w:eastAsia="仿宋" w:cs="仿宋"/>
          <w:b/>
          <w:bCs/>
          <w:spacing w:val="27"/>
          <w:w w:val="99"/>
        </w:rPr>
        <w:t xml:space="preserve"> </w:t>
      </w:r>
    </w:p>
    <w:p w14:paraId="4A27044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竞争性</w:t>
      </w:r>
      <w:r>
        <w:rPr>
          <w:rFonts w:hint="eastAsia" w:ascii="仿宋" w:hAnsi="仿宋" w:eastAsia="仿宋" w:cs="仿宋"/>
          <w:spacing w:val="4"/>
          <w:lang w:eastAsia="zh-CN"/>
        </w:rPr>
        <w:t>磋商</w:t>
      </w:r>
      <w:r>
        <w:rPr>
          <w:rFonts w:hint="eastAsia" w:ascii="仿宋" w:hAnsi="仿宋" w:eastAsia="仿宋" w:cs="仿宋"/>
          <w:spacing w:val="4"/>
        </w:rPr>
        <w:t>文件用以阐明招标项目所需的资质、技术、服务及报价等要求、招标投标程序、有关规定和注意事项以及合同主要条款等。本竞争性磋商文件包括以下内容,但不限于这些内容：</w:t>
      </w:r>
    </w:p>
    <w:p w14:paraId="3466520F">
      <w:pPr>
        <w:pStyle w:val="8"/>
        <w:kinsoku w:val="0"/>
        <w:overflowPunct w:val="0"/>
        <w:spacing w:before="130" w:line="355" w:lineRule="auto"/>
        <w:ind w:right="7" w:firstLine="480"/>
        <w:rPr>
          <w:rFonts w:hint="default" w:ascii="仿宋" w:hAnsi="仿宋" w:eastAsia="仿宋" w:cs="仿宋"/>
          <w:spacing w:val="4"/>
          <w:lang w:val="en-US" w:eastAsia="zh-CN"/>
        </w:rPr>
      </w:pPr>
      <w:r>
        <w:rPr>
          <w:rFonts w:hint="eastAsia" w:ascii="仿宋" w:hAnsi="仿宋" w:eastAsia="仿宋" w:cs="仿宋"/>
          <w:spacing w:val="4"/>
        </w:rPr>
        <w:t>1）</w:t>
      </w:r>
      <w:r>
        <w:rPr>
          <w:rFonts w:hint="eastAsia" w:hAnsi="仿宋" w:cs="仿宋"/>
          <w:spacing w:val="4"/>
          <w:lang w:val="en-US" w:eastAsia="zh-CN"/>
        </w:rPr>
        <w:t>竞争性磋商公告</w:t>
      </w:r>
    </w:p>
    <w:p w14:paraId="01F4164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2）供应商须知及前附表</w:t>
      </w:r>
    </w:p>
    <w:p w14:paraId="22EC5B00">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3）评标办法</w:t>
      </w:r>
    </w:p>
    <w:p w14:paraId="46E2DC2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4）磋商内容</w:t>
      </w:r>
    </w:p>
    <w:p w14:paraId="5B842EDA">
      <w:pPr>
        <w:pStyle w:val="8"/>
        <w:kinsoku w:val="0"/>
        <w:overflowPunct w:val="0"/>
        <w:spacing w:before="130" w:line="355" w:lineRule="auto"/>
        <w:ind w:right="7" w:firstLine="480"/>
        <w:rPr>
          <w:rFonts w:hint="eastAsia" w:ascii="仿宋" w:hAnsi="仿宋" w:eastAsia="仿宋" w:cs="仿宋"/>
          <w:spacing w:val="4"/>
        </w:rPr>
      </w:pPr>
      <w:bookmarkStart w:id="15" w:name="（四）《磋商响应性文件》的编制"/>
      <w:bookmarkEnd w:id="15"/>
      <w:bookmarkStart w:id="16" w:name="bookmark5"/>
      <w:bookmarkEnd w:id="16"/>
      <w:r>
        <w:rPr>
          <w:rFonts w:hint="eastAsia" w:ascii="仿宋" w:hAnsi="仿宋" w:eastAsia="仿宋" w:cs="仿宋"/>
          <w:spacing w:val="4"/>
        </w:rPr>
        <w:t>5）合同条款及合同格式</w:t>
      </w:r>
    </w:p>
    <w:p w14:paraId="7B0CF23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6）《磋商响应性文件》格式</w:t>
      </w:r>
    </w:p>
    <w:p w14:paraId="0E359747">
      <w:pPr>
        <w:pStyle w:val="8"/>
        <w:kinsoku w:val="0"/>
        <w:overflowPunct w:val="0"/>
        <w:spacing w:line="355" w:lineRule="auto"/>
        <w:ind w:left="598" w:right="50" w:hanging="480"/>
        <w:rPr>
          <w:rFonts w:hint="eastAsia" w:ascii="仿宋" w:hAnsi="仿宋" w:eastAsia="仿宋" w:cs="仿宋"/>
          <w:b/>
          <w:bCs/>
          <w:spacing w:val="27"/>
          <w:w w:val="99"/>
        </w:rPr>
      </w:pPr>
      <w:r>
        <w:rPr>
          <w:rFonts w:hint="eastAsia" w:ascii="仿宋" w:hAnsi="仿宋" w:eastAsia="仿宋" w:cs="仿宋"/>
          <w:b/>
          <w:bCs/>
        </w:rPr>
        <w:t>2.《竞争性磋商文件》的澄清</w:t>
      </w:r>
      <w:r>
        <w:rPr>
          <w:rFonts w:hint="eastAsia" w:ascii="仿宋" w:hAnsi="仿宋" w:eastAsia="仿宋" w:cs="仿宋"/>
          <w:b/>
          <w:bCs/>
          <w:spacing w:val="27"/>
          <w:w w:val="99"/>
        </w:rPr>
        <w:t xml:space="preserve"> </w:t>
      </w:r>
    </w:p>
    <w:p w14:paraId="050A02A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供应商若对《竞争性磋商文件》有任何疑问，根据《政府采购货物和服务招标投标管理办法》相关规定，供应商应于投标截止日期</w:t>
      </w:r>
      <w:r>
        <w:rPr>
          <w:rFonts w:hint="eastAsia" w:ascii="仿宋" w:hAnsi="仿宋" w:eastAsia="仿宋" w:cs="仿宋"/>
          <w:spacing w:val="4"/>
          <w:lang w:val="en-US" w:eastAsia="zh-CN"/>
        </w:rPr>
        <w:t>5</w:t>
      </w:r>
      <w:r>
        <w:rPr>
          <w:rFonts w:hint="eastAsia" w:ascii="仿宋" w:hAnsi="仿宋" w:eastAsia="仿宋" w:cs="仿宋"/>
          <w:spacing w:val="4"/>
        </w:rPr>
        <w:t>日前以书面形式向招标代理机构提出澄清要求，送至招标代理机构。如认为有必要，招标代理机构将以书面形式予以澄清，同时将书面澄清文件向所有供应商发送。供应商在收到该澄清文件后，应于1日内以书面形式（加盖公章）向招标代理机构予以确认，该答复作为《竞争性磋商文件》的组成部分，具有同《竞争性磋商文件》同样的约束作用。未确认情况应当视为对竞争性磋商文件修改的知晓，也将视为对修改内容接受的默认。对于未在磋商响应性文件中对修改内容做实质性响应的，对其产生的不利因素由未确认者自行承担。</w:t>
      </w:r>
    </w:p>
    <w:p w14:paraId="382BF475">
      <w:pPr>
        <w:pStyle w:val="8"/>
        <w:kinsoku w:val="0"/>
        <w:overflowPunct w:val="0"/>
        <w:spacing w:before="151" w:line="356" w:lineRule="auto"/>
        <w:ind w:right="106"/>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bCs/>
        </w:rPr>
        <w:t>3.《竞争性磋商文件》的修改</w:t>
      </w:r>
    </w:p>
    <w:p w14:paraId="60695BF9">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投标截止期</w:t>
      </w:r>
      <w:r>
        <w:rPr>
          <w:rFonts w:hint="eastAsia" w:ascii="仿宋" w:hAnsi="仿宋" w:eastAsia="仿宋" w:cs="仿宋"/>
          <w:spacing w:val="4"/>
          <w:lang w:val="en-US" w:eastAsia="zh-CN"/>
        </w:rPr>
        <w:t>5</w:t>
      </w:r>
      <w:r>
        <w:rPr>
          <w:rFonts w:hint="eastAsia" w:ascii="仿宋" w:hAnsi="仿宋" w:eastAsia="仿宋" w:cs="仿宋"/>
          <w:spacing w:val="4"/>
        </w:rPr>
        <w:t>日前，无论出于何种原因，招标采购单位可主动地或在解答供应商提出的澄清问题时对《竞争性磋商文件》进行修改，《竞争性磋商文件》的修改书将构成《竞争性磋商文件》的组成部分。</w:t>
      </w:r>
    </w:p>
    <w:p w14:paraId="1C37E46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竞争性磋商文件》的修改将以书面形式通知所有领取《竞争性磋商文件》的投标单位，并对其具有约束力。供应商在收到上述通知后，应于1日内以书面形式（加盖公章）向招标代理机构予以确认。未确认情况应当视为对竞争性磋商文件修改的知晓，也将视为对修改内容接受的默认。</w:t>
      </w:r>
    </w:p>
    <w:p w14:paraId="233529C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为使供应商在编制《磋商响应性文件》时有充分时间对《竞争性磋商文件》的修改部分进行研究，招标代理机构可自行决定是否延长投标截止日期和推迟开标时间，并通知全部供应商。</w:t>
      </w:r>
    </w:p>
    <w:p w14:paraId="2633830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供应商在应当领取竞争性磋商文件的3日内可对竞争性磋商文件的内容提出质 疑，招标采购单位按规定时间答复，超过时间的质疑将不予接受。</w:t>
      </w:r>
    </w:p>
    <w:p w14:paraId="06AC08CF">
      <w:pPr>
        <w:outlineLvl w:val="9"/>
        <w:rPr>
          <w:rFonts w:hint="eastAsia" w:ascii="仿宋" w:hAnsi="仿宋" w:eastAsia="仿宋" w:cs="仿宋"/>
        </w:rPr>
      </w:pPr>
    </w:p>
    <w:p w14:paraId="22A5FF7F">
      <w:pPr>
        <w:pStyle w:val="4"/>
        <w:rPr>
          <w:rFonts w:hint="eastAsia" w:ascii="仿宋" w:hAnsi="仿宋" w:eastAsia="仿宋" w:cs="仿宋"/>
        </w:rPr>
      </w:pPr>
      <w:bookmarkStart w:id="17" w:name="_Toc25634"/>
      <w:r>
        <w:rPr>
          <w:rFonts w:hint="eastAsia" w:ascii="仿宋" w:hAnsi="仿宋" w:eastAsia="仿宋" w:cs="仿宋"/>
        </w:rPr>
        <w:t>（四）《磋商响应性文件》的编制</w:t>
      </w:r>
      <w:bookmarkEnd w:id="17"/>
    </w:p>
    <w:p w14:paraId="14D4787E">
      <w:pPr>
        <w:pStyle w:val="8"/>
        <w:kinsoku w:val="0"/>
        <w:overflowPunct w:val="0"/>
        <w:spacing w:before="124"/>
        <w:rPr>
          <w:rFonts w:hint="eastAsia" w:ascii="仿宋" w:hAnsi="仿宋" w:eastAsia="仿宋" w:cs="仿宋"/>
        </w:rPr>
      </w:pPr>
      <w:r>
        <w:rPr>
          <w:rFonts w:hint="eastAsia" w:ascii="仿宋" w:hAnsi="仿宋" w:eastAsia="仿宋" w:cs="仿宋"/>
          <w:b/>
          <w:bCs/>
          <w:spacing w:val="1"/>
        </w:rPr>
        <w:t>1.</w:t>
      </w:r>
      <w:r>
        <w:rPr>
          <w:rFonts w:hint="eastAsia" w:ascii="仿宋" w:hAnsi="仿宋" w:eastAsia="仿宋" w:cs="仿宋"/>
          <w:b/>
          <w:bCs/>
        </w:rPr>
        <w:t>《磋商响应性文件》编制要求</w:t>
      </w:r>
    </w:p>
    <w:p w14:paraId="2E90FFB5">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 xml:space="preserve">1.1 供应商应仔细阅读和充分理解《竞争性磋商文件》的所有内容，并按照《竞争性磋商文件》的“磋商响应性文件格式”规定及要求内容的格式提交完整的《磋商响应性文件》。磋商响应性文件应使用中文、编排有序，并按要求编制文件目录和页码，准确标明文件内容所在位置。供应商没有对竞争性磋商文件全面做出实质性响应是供应商的风险。没有按照竞争性磋商文件要求作出实质性响应的不利后果由供应商自行承担。 </w:t>
      </w:r>
    </w:p>
    <w:p w14:paraId="025AF43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1.2 磋商响应性文件应字迹清楚，内容齐全，不得涂改和增删。如有修改错漏处，必须由供应商法定代表人或其授权代表签字。</w:t>
      </w:r>
    </w:p>
    <w:p w14:paraId="57DF995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1.3 磋商响应性文件所提供的全部资料必须真实可靠。若磋商响应性文件填报的内容资料不详，或提供了虚假资料，其磋商响应性文件为无效磋商响应性文件。</w:t>
      </w:r>
    </w:p>
    <w:p w14:paraId="7D968F0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1.4 磋商响应性文件应严格按照竞争性磋商文件格式的要求提交，并按规定的统一 格式逐项填写，不准有空项；无相应内容可填的项应填写“无”、“没有相应指标”等明确的回答文字。</w:t>
      </w:r>
    </w:p>
    <w:p w14:paraId="4B56A603">
      <w:pPr>
        <w:pStyle w:val="8"/>
        <w:kinsoku w:val="0"/>
        <w:overflowPunct w:val="0"/>
        <w:spacing w:before="35"/>
        <w:rPr>
          <w:rFonts w:hint="eastAsia" w:ascii="仿宋" w:hAnsi="仿宋" w:eastAsia="仿宋" w:cs="仿宋"/>
        </w:rPr>
      </w:pPr>
      <w:r>
        <w:rPr>
          <w:rFonts w:hint="eastAsia" w:ascii="仿宋" w:hAnsi="仿宋" w:eastAsia="仿宋" w:cs="仿宋"/>
          <w:b/>
          <w:bCs/>
          <w:spacing w:val="1"/>
        </w:rPr>
        <w:t>2.</w:t>
      </w:r>
      <w:r>
        <w:rPr>
          <w:rFonts w:hint="eastAsia" w:ascii="仿宋" w:hAnsi="仿宋" w:eastAsia="仿宋" w:cs="仿宋"/>
          <w:b/>
          <w:bCs/>
        </w:rPr>
        <w:t>投标语言：</w:t>
      </w:r>
    </w:p>
    <w:p w14:paraId="1E27DA7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2.1 专用术语外，与招标投标有关的磋商响应性文件、投标交换的文件和往来信件应均使用中文，必要时专用术语应附有中文注释。</w:t>
      </w:r>
    </w:p>
    <w:p w14:paraId="78B73940">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2.2 磋商响应性文件中如附有外文资料，必须逐一对应翻译成中文并加盖供应商公章后附在相关外文资料后面，否则，供应商的磋商响应性文件将作为无效投标处理。</w:t>
      </w:r>
    </w:p>
    <w:p w14:paraId="1118DC5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2.3 翻译的中文资料与外文资料如果出现差异和矛盾时，以中文为准。但不能故意错误翻译，否则供应商的磋商响应性文件将作为无效投标处理。</w:t>
      </w:r>
    </w:p>
    <w:p w14:paraId="5788C3AC">
      <w:pPr>
        <w:pStyle w:val="8"/>
        <w:kinsoku w:val="0"/>
        <w:overflowPunct w:val="0"/>
        <w:spacing w:before="34" w:line="356" w:lineRule="auto"/>
        <w:ind w:left="0" w:right="50"/>
        <w:rPr>
          <w:rFonts w:hint="eastAsia" w:ascii="仿宋" w:hAnsi="仿宋" w:eastAsia="仿宋" w:cs="仿宋"/>
          <w:b/>
          <w:bCs/>
          <w:spacing w:val="-2"/>
        </w:rPr>
      </w:pPr>
      <w:r>
        <w:rPr>
          <w:rFonts w:hint="eastAsia" w:ascii="仿宋" w:hAnsi="仿宋" w:eastAsia="仿宋" w:cs="仿宋"/>
        </w:rPr>
        <w:t xml:space="preserve"> </w:t>
      </w:r>
      <w:r>
        <w:rPr>
          <w:rFonts w:hint="eastAsia" w:ascii="仿宋" w:hAnsi="仿宋" w:eastAsia="仿宋" w:cs="仿宋"/>
          <w:b/>
          <w:bCs/>
          <w:spacing w:val="-2"/>
        </w:rPr>
        <w:t>3.计量单位：</w:t>
      </w:r>
    </w:p>
    <w:p w14:paraId="3C472EE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除工程规范中另有规定外，磋商响应性文件使用的度量衡单位，均应使用中华人民共和国法定计量单位。</w:t>
      </w:r>
    </w:p>
    <w:p w14:paraId="79600060">
      <w:pPr>
        <w:pStyle w:val="8"/>
        <w:kinsoku w:val="0"/>
        <w:overflowPunct w:val="0"/>
        <w:spacing w:before="37"/>
        <w:rPr>
          <w:rFonts w:hint="eastAsia" w:ascii="仿宋" w:hAnsi="仿宋" w:eastAsia="仿宋" w:cs="仿宋"/>
          <w:b/>
          <w:bCs/>
        </w:rPr>
      </w:pPr>
      <w:r>
        <w:rPr>
          <w:rFonts w:hint="eastAsia" w:ascii="仿宋" w:hAnsi="仿宋" w:eastAsia="仿宋" w:cs="仿宋"/>
          <w:b/>
          <w:bCs/>
        </w:rPr>
        <w:t>4.投标货币：</w:t>
      </w:r>
    </w:p>
    <w:p w14:paraId="32653B6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本次招标项目的投标均以人民币报价。</w:t>
      </w:r>
    </w:p>
    <w:p w14:paraId="5506AD6A">
      <w:pPr>
        <w:pStyle w:val="8"/>
        <w:kinsoku w:val="0"/>
        <w:overflowPunct w:val="0"/>
        <w:rPr>
          <w:rFonts w:hint="eastAsia" w:ascii="仿宋" w:hAnsi="仿宋" w:eastAsia="仿宋" w:cs="仿宋"/>
          <w:b/>
          <w:bCs/>
        </w:rPr>
      </w:pPr>
      <w:r>
        <w:rPr>
          <w:rFonts w:hint="eastAsia" w:ascii="仿宋" w:hAnsi="仿宋" w:eastAsia="仿宋" w:cs="仿宋"/>
          <w:b/>
          <w:bCs/>
        </w:rPr>
        <w:t>5.联合投标：</w:t>
      </w:r>
    </w:p>
    <w:p w14:paraId="51DA629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本项目不接受联合体投标。</w:t>
      </w:r>
    </w:p>
    <w:p w14:paraId="6F75BD4E">
      <w:pPr>
        <w:pStyle w:val="8"/>
        <w:kinsoku w:val="0"/>
        <w:overflowPunct w:val="0"/>
        <w:spacing w:before="151"/>
        <w:rPr>
          <w:rFonts w:hint="eastAsia" w:ascii="仿宋" w:hAnsi="仿宋" w:eastAsia="仿宋" w:cs="仿宋"/>
        </w:rPr>
      </w:pPr>
      <w:r>
        <w:rPr>
          <w:rFonts w:hint="eastAsia" w:ascii="仿宋" w:hAnsi="仿宋" w:eastAsia="仿宋" w:cs="仿宋"/>
          <w:b/>
          <w:bCs/>
        </w:rPr>
        <w:t>6.知识产权</w:t>
      </w:r>
    </w:p>
    <w:p w14:paraId="3D9DA9D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6.1 供应商应保证在本项目使用的任何技术成果和服务（包括部分使用）时，不会产生因第三方提出侵犯其专利权、商标权或其它知识产权而引起的法律和经济纠纷，如因专利权、商标权或其它知识产权而引起法律和经济纠纷，由供应商承担所有相关责任。</w:t>
      </w:r>
    </w:p>
    <w:p w14:paraId="034B068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6.2 采购人享有本项目实施过程中产生的知识成果及知识产权。</w:t>
      </w:r>
    </w:p>
    <w:p w14:paraId="2A1396D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6.3 供应商如欲在项目实施过程中采用自有知识成果，需在磋商响应性文件中声明，并提供相关知识产权证明文件。使用该知识成果后，供应商需提供开发接口和开发手册 等技术文档，并承诺提供无限期技术支持，采购人享有永久使用权。</w:t>
      </w:r>
    </w:p>
    <w:p w14:paraId="288330C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6.4 如采用供应商所不拥有的知识产权，则在投标报价中必须包括合法获取该知识产权的相关费用。</w:t>
      </w:r>
    </w:p>
    <w:p w14:paraId="5E4B9222">
      <w:pPr>
        <w:pStyle w:val="8"/>
        <w:kinsoku w:val="0"/>
        <w:overflowPunct w:val="0"/>
        <w:spacing w:before="26"/>
        <w:rPr>
          <w:rFonts w:hint="eastAsia" w:ascii="仿宋" w:hAnsi="仿宋" w:eastAsia="仿宋" w:cs="仿宋"/>
        </w:rPr>
      </w:pPr>
      <w:r>
        <w:rPr>
          <w:rFonts w:hint="eastAsia" w:ascii="仿宋" w:hAnsi="仿宋" w:eastAsia="仿宋" w:cs="仿宋"/>
          <w:b/>
          <w:bCs/>
        </w:rPr>
        <w:t>7.《磋商响应性文件》的组成</w:t>
      </w:r>
    </w:p>
    <w:p w14:paraId="7310856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b/>
          <w:spacing w:val="4"/>
          <w:lang w:val="en-US" w:eastAsia="zh-CN"/>
        </w:rPr>
        <w:t>7.1 磋商响应性文件组成：</w:t>
      </w:r>
      <w:r>
        <w:rPr>
          <w:rFonts w:hint="eastAsia" w:ascii="仿宋" w:hAnsi="仿宋" w:eastAsia="仿宋" w:cs="仿宋"/>
          <w:b w:val="0"/>
          <w:bCs/>
          <w:spacing w:val="4"/>
        </w:rPr>
        <w:t>《磋商</w:t>
      </w:r>
      <w:r>
        <w:rPr>
          <w:rFonts w:hint="eastAsia" w:ascii="仿宋" w:hAnsi="仿宋" w:eastAsia="仿宋" w:cs="仿宋"/>
          <w:spacing w:val="4"/>
        </w:rPr>
        <w:t>响应性文件》应由商务文件部分（包括资格证明文件）、投标报价部分、技术文件部分（包括技术参数、实施方案等）、其它部分组成。按如下顺序编制：</w:t>
      </w:r>
    </w:p>
    <w:p w14:paraId="7CAC6FEA">
      <w:pPr>
        <w:pStyle w:val="8"/>
        <w:kinsoku w:val="0"/>
        <w:overflowPunct w:val="0"/>
        <w:spacing w:before="130" w:line="355" w:lineRule="auto"/>
        <w:ind w:right="7" w:firstLine="480"/>
        <w:rPr>
          <w:rFonts w:hint="eastAsia" w:ascii="仿宋" w:hAnsi="仿宋" w:eastAsia="仿宋" w:cs="仿宋"/>
          <w:b/>
          <w:bCs w:val="0"/>
          <w:color w:val="000000"/>
          <w:spacing w:val="4"/>
        </w:rPr>
      </w:pPr>
      <w:r>
        <w:rPr>
          <w:rFonts w:hint="eastAsia" w:ascii="仿宋" w:hAnsi="仿宋" w:eastAsia="仿宋" w:cs="仿宋"/>
          <w:b/>
          <w:bCs w:val="0"/>
          <w:color w:val="000000"/>
          <w:spacing w:val="4"/>
          <w:lang w:val="en-US" w:eastAsia="zh-CN"/>
        </w:rPr>
        <w:t xml:space="preserve">7.2 </w:t>
      </w:r>
      <w:r>
        <w:rPr>
          <w:rFonts w:hint="eastAsia" w:ascii="仿宋" w:hAnsi="仿宋" w:eastAsia="仿宋" w:cs="仿宋"/>
          <w:b/>
          <w:bCs w:val="0"/>
          <w:color w:val="000000"/>
          <w:spacing w:val="4"/>
        </w:rPr>
        <w:t>投标文件编制内容：</w:t>
      </w:r>
    </w:p>
    <w:p w14:paraId="2000157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1.投标人的资格证明文件：</w:t>
      </w:r>
    </w:p>
    <w:p w14:paraId="2A85ED2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（1）具有独立承担民事责任的能力；</w:t>
      </w:r>
    </w:p>
    <w:p w14:paraId="67AEDE70">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（2）符合《中华人民共和国政府采购法》第二十二条的相关规定；</w:t>
      </w:r>
    </w:p>
    <w:p w14:paraId="6D55EC5E">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（3）法人身份证明或授权委托书；</w:t>
      </w:r>
    </w:p>
    <w:p w14:paraId="37CF4445">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（4）提供无重大违法记录声明书；</w:t>
      </w:r>
    </w:p>
    <w:p w14:paraId="0C3ADFB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（5）信用查询记录；</w:t>
      </w:r>
    </w:p>
    <w:p w14:paraId="7E2D32F6">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（6）不参与围标串标承诺书。</w:t>
      </w:r>
    </w:p>
    <w:p w14:paraId="6E34D4DA">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 xml:space="preserve">2.投标函； </w:t>
      </w:r>
    </w:p>
    <w:p w14:paraId="64797C35">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3.开标一览表：</w:t>
      </w:r>
    </w:p>
    <w:p w14:paraId="2D774F27">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（1）设备采购明细报价表；</w:t>
      </w:r>
    </w:p>
    <w:p w14:paraId="4EA3819B">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（2）装修部分明细报价表。</w:t>
      </w:r>
    </w:p>
    <w:p w14:paraId="362553D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4.投标保证金缴纳凭证；</w:t>
      </w:r>
    </w:p>
    <w:p w14:paraId="698CAF23">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5.商务条款偏离表；</w:t>
      </w:r>
    </w:p>
    <w:p w14:paraId="7BB4866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6.类似业绩；</w:t>
      </w:r>
    </w:p>
    <w:p w14:paraId="20DC005B">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7.中小企业声明函；</w:t>
      </w:r>
    </w:p>
    <w:p w14:paraId="3DC3F69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8.其他商务资格证明资料。</w:t>
      </w:r>
    </w:p>
    <w:p w14:paraId="349C64F3">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9.投标文件技术参数（技术条款偏离表）；</w:t>
      </w:r>
    </w:p>
    <w:p w14:paraId="395EF3AA">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10.供货实施方案；</w:t>
      </w:r>
    </w:p>
    <w:p w14:paraId="2504099F">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11.施工实施方案；</w:t>
      </w:r>
    </w:p>
    <w:p w14:paraId="3976F4C7">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12.质量保证措施及承诺；</w:t>
      </w:r>
    </w:p>
    <w:p w14:paraId="5CA4F07F">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13.售后服务体系；</w:t>
      </w:r>
    </w:p>
    <w:p w14:paraId="1FE502CC">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14.培训方案；</w:t>
      </w:r>
    </w:p>
    <w:p w14:paraId="08C2A789">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15.供应商认为需要提交的技术资料。</w:t>
      </w:r>
    </w:p>
    <w:p w14:paraId="6124B36C">
      <w:pPr>
        <w:pStyle w:val="8"/>
        <w:kinsoku w:val="0"/>
        <w:overflowPunct w:val="0"/>
        <w:spacing w:before="130" w:line="355" w:lineRule="auto"/>
        <w:ind w:right="7" w:firstLine="480"/>
        <w:rPr>
          <w:rFonts w:hint="eastAsia" w:ascii="仿宋" w:hAnsi="仿宋" w:eastAsia="仿宋" w:cs="仿宋"/>
          <w:b/>
          <w:spacing w:val="4"/>
        </w:rPr>
      </w:pPr>
      <w:r>
        <w:rPr>
          <w:rFonts w:hint="eastAsia" w:ascii="仿宋" w:hAnsi="仿宋" w:eastAsia="仿宋" w:cs="仿宋"/>
          <w:b/>
          <w:spacing w:val="4"/>
        </w:rPr>
        <w:t>7.3 本次投标报价要求：</w:t>
      </w:r>
    </w:p>
    <w:p w14:paraId="2771ED8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7.3.1 总价格包括完成采购范围内全部内容采购及相关伴随服务全过程的全部费用。</w:t>
      </w:r>
    </w:p>
    <w:p w14:paraId="21F1E49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7.3.2 供应商只允许在《磋商响应性文件》中有一个报价，并且在合同履行过程中是固定不变的，任何有选择或可调整的报价将不予接受，并按无效投标处理。</w:t>
      </w:r>
    </w:p>
    <w:p w14:paraId="7FAFC1D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7.3.3 供应商的报价作为评标的重要依据之一，但并不是本项目采购人招标、评标确定中标供应商的唯一依据。拒绝不计成本的故意压低投标报价和恶意以低价投标的行为。</w:t>
      </w:r>
    </w:p>
    <w:p w14:paraId="2170E190">
      <w:pPr>
        <w:pStyle w:val="8"/>
        <w:kinsoku w:val="0"/>
        <w:overflowPunct w:val="0"/>
        <w:spacing w:before="130" w:line="355" w:lineRule="auto"/>
        <w:ind w:right="7" w:firstLine="480"/>
        <w:rPr>
          <w:rFonts w:hint="eastAsia" w:ascii="仿宋" w:hAnsi="仿宋" w:eastAsia="仿宋" w:cs="仿宋"/>
          <w:spacing w:val="4"/>
          <w:highlight w:val="none"/>
        </w:rPr>
      </w:pPr>
      <w:r>
        <w:rPr>
          <w:rFonts w:hint="eastAsia" w:ascii="仿宋" w:hAnsi="仿宋" w:eastAsia="仿宋" w:cs="仿宋"/>
          <w:spacing w:val="4"/>
        </w:rPr>
        <w:t>7.3.4 本项目投标报价是在符合竞争性磋商文件对项目相关要求的情况下，以最大限度的</w:t>
      </w:r>
      <w:r>
        <w:rPr>
          <w:rFonts w:hint="eastAsia" w:ascii="仿宋" w:hAnsi="仿宋" w:eastAsia="仿宋" w:cs="仿宋"/>
          <w:spacing w:val="4"/>
          <w:highlight w:val="none"/>
        </w:rPr>
        <w:t>折扣价或优惠后价格的体现。</w:t>
      </w:r>
    </w:p>
    <w:p w14:paraId="6191060C">
      <w:pPr>
        <w:pStyle w:val="8"/>
        <w:kinsoku w:val="0"/>
        <w:overflowPunct w:val="0"/>
        <w:spacing w:before="36"/>
        <w:rPr>
          <w:rFonts w:hint="eastAsia" w:ascii="仿宋" w:hAnsi="仿宋" w:eastAsia="仿宋" w:cs="仿宋"/>
          <w:highlight w:val="none"/>
        </w:rPr>
      </w:pPr>
      <w:r>
        <w:rPr>
          <w:rFonts w:hint="eastAsia" w:ascii="仿宋" w:hAnsi="仿宋" w:eastAsia="仿宋" w:cs="仿宋"/>
          <w:b/>
          <w:bCs/>
          <w:highlight w:val="none"/>
        </w:rPr>
        <w:t>8.磋商响应性文件格式</w:t>
      </w:r>
    </w:p>
    <w:p w14:paraId="44CC824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highlight w:val="none"/>
        </w:rPr>
        <w:t>8.1 供应商应按《竞争性磋商文件》的内容与要求和第六章提供的格式编写其《磋商响应性文件》，供应商</w:t>
      </w:r>
      <w:r>
        <w:rPr>
          <w:rFonts w:hint="eastAsia" w:ascii="仿宋" w:hAnsi="仿宋" w:eastAsia="仿宋" w:cs="仿宋"/>
          <w:spacing w:val="4"/>
        </w:rPr>
        <w:t>不得空留或缺少任何《竞争性磋商文件》要求填写的表格或提交的资料，未列出格式的部分供应商可自行编制。</w:t>
      </w:r>
    </w:p>
    <w:p w14:paraId="62EA45E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8.2 供应商提交的《磋商响应性文件》中全部资料必须真实可靠，并接受采购人、招标代理机构对其中任何资料进一步审查的要求。</w:t>
      </w:r>
    </w:p>
    <w:p w14:paraId="26CB21A6">
      <w:pPr>
        <w:pStyle w:val="8"/>
        <w:kinsoku w:val="0"/>
        <w:overflowPunct w:val="0"/>
        <w:spacing w:before="151"/>
        <w:rPr>
          <w:rFonts w:hint="eastAsia" w:ascii="仿宋" w:hAnsi="仿宋" w:eastAsia="仿宋" w:cs="仿宋"/>
        </w:rPr>
      </w:pPr>
      <w:r>
        <w:rPr>
          <w:rFonts w:hint="eastAsia" w:ascii="仿宋" w:hAnsi="仿宋" w:eastAsia="仿宋" w:cs="仿宋"/>
          <w:b/>
          <w:bCs/>
        </w:rPr>
        <w:t>9.投标有效期</w:t>
      </w:r>
    </w:p>
    <w:p w14:paraId="436B8A1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9.1 投标有效期见本须知前附表所规定的期限，在此期限内，供应商不得要求撤销或修改其磋商响应性文件。</w:t>
      </w:r>
    </w:p>
    <w:p w14:paraId="52DF36C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9.2 在特殊情况下，采购人在原定投标有效期内，可以根据需要向供应商提出延长投标有效期的要求，对此要求供应商须以书面形式予以答复。供应商可以拒绝采购人这种要求</w:t>
      </w:r>
      <w:bookmarkStart w:id="18" w:name="（五）磋商响应性文件的提交及相关事项"/>
      <w:bookmarkEnd w:id="18"/>
      <w:bookmarkStart w:id="19" w:name="bookmark6"/>
      <w:bookmarkEnd w:id="19"/>
      <w:r>
        <w:rPr>
          <w:rFonts w:hint="eastAsia" w:ascii="仿宋" w:hAnsi="仿宋" w:eastAsia="仿宋" w:cs="仿宋"/>
          <w:spacing w:val="4"/>
        </w:rPr>
        <w:t>，而不被没收投标保证金。同意延长投标有效期的供应商既不能要求也不允许修改其磋商响应性文件，但需要相应的延长投标担保的有效期，在延长的投标有效期内须知前附表第21条关于投标担保的退还与没收的规定仍然适用。</w:t>
      </w:r>
    </w:p>
    <w:p w14:paraId="2E6C0ABC">
      <w:pPr>
        <w:pStyle w:val="8"/>
        <w:kinsoku w:val="0"/>
        <w:overflowPunct w:val="0"/>
        <w:spacing w:before="37"/>
        <w:jc w:val="both"/>
        <w:rPr>
          <w:rFonts w:hint="eastAsia" w:ascii="仿宋" w:hAnsi="仿宋" w:eastAsia="仿宋" w:cs="仿宋"/>
        </w:rPr>
      </w:pPr>
      <w:r>
        <w:rPr>
          <w:rFonts w:hint="eastAsia" w:ascii="仿宋" w:hAnsi="仿宋" w:eastAsia="仿宋" w:cs="仿宋"/>
          <w:b/>
          <w:bCs/>
        </w:rPr>
        <w:t>10.投标保证金</w:t>
      </w:r>
    </w:p>
    <w:p w14:paraId="18F7AFA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10.1</w:t>
      </w:r>
      <w:r>
        <w:rPr>
          <w:rFonts w:hint="eastAsia" w:ascii="仿宋" w:hAnsi="仿宋" w:eastAsia="仿宋" w:cs="仿宋"/>
          <w:spacing w:val="4"/>
          <w:lang w:val="en-US" w:eastAsia="zh-CN"/>
        </w:rPr>
        <w:t xml:space="preserve"> </w:t>
      </w:r>
      <w:r>
        <w:rPr>
          <w:rFonts w:hint="eastAsia" w:ascii="仿宋" w:hAnsi="仿宋" w:eastAsia="仿宋" w:cs="仿宋"/>
          <w:spacing w:val="4"/>
        </w:rPr>
        <w:t>投标保证金应用投标货币即人民币，并采用下列任何一种形式：</w:t>
      </w:r>
    </w:p>
    <w:p w14:paraId="51D11B3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投标保证金的形式：电汇、转账等形式</w:t>
      </w:r>
    </w:p>
    <w:p w14:paraId="27CCCAD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w:t>
      </w:r>
      <w:r>
        <w:rPr>
          <w:rFonts w:hint="eastAsia" w:ascii="仿宋" w:hAnsi="仿宋" w:eastAsia="仿宋" w:cs="仿宋"/>
          <w:spacing w:val="4"/>
          <w:highlight w:val="none"/>
        </w:rPr>
        <w:t>金的金额：</w:t>
      </w:r>
      <w:r>
        <w:rPr>
          <w:rFonts w:hint="eastAsia" w:ascii="仿宋" w:hAnsi="仿宋" w:eastAsia="仿宋" w:cs="仿宋"/>
          <w:spacing w:val="4"/>
          <w:highlight w:val="none"/>
          <w:lang w:val="en-US" w:eastAsia="zh-CN"/>
        </w:rPr>
        <w:t>45000.00元整（肆万伍仟元整）</w:t>
      </w:r>
    </w:p>
    <w:p w14:paraId="056931A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投标保证金必须在</w:t>
      </w:r>
      <w:r>
        <w:rPr>
          <w:rFonts w:hint="eastAsia" w:ascii="仿宋" w:hAnsi="仿宋" w:eastAsia="仿宋" w:cs="仿宋"/>
          <w:spacing w:val="4"/>
          <w:lang w:eastAsia="zh-CN"/>
        </w:rPr>
        <w:t>截止时间前</w:t>
      </w:r>
      <w:r>
        <w:rPr>
          <w:rFonts w:hint="eastAsia" w:ascii="仿宋" w:hAnsi="仿宋" w:eastAsia="仿宋" w:cs="仿宋"/>
          <w:spacing w:val="4"/>
        </w:rPr>
        <w:t>缴纳至以下账号：</w:t>
      </w:r>
    </w:p>
    <w:p w14:paraId="100B2345">
      <w:pPr>
        <w:pStyle w:val="8"/>
        <w:kinsoku w:val="0"/>
        <w:overflowPunct w:val="0"/>
        <w:spacing w:before="130" w:line="355" w:lineRule="auto"/>
        <w:ind w:right="7" w:firstLine="480"/>
        <w:rPr>
          <w:rFonts w:hint="eastAsia" w:ascii="仿宋" w:hAnsi="仿宋" w:eastAsia="仿宋" w:cs="仿宋"/>
          <w:spacing w:val="4"/>
          <w:highlight w:val="none"/>
          <w:lang w:eastAsia="zh-CN"/>
        </w:rPr>
      </w:pPr>
      <w:r>
        <w:rPr>
          <w:rFonts w:hint="eastAsia" w:ascii="仿宋" w:hAnsi="仿宋" w:eastAsia="仿宋" w:cs="仿宋"/>
          <w:spacing w:val="4"/>
        </w:rPr>
        <w:t>户名：</w:t>
      </w:r>
      <w:r>
        <w:rPr>
          <w:rFonts w:hint="eastAsia" w:ascii="仿宋" w:hAnsi="仿宋" w:eastAsia="仿宋" w:cs="仿宋"/>
          <w:spacing w:val="4"/>
          <w:lang w:eastAsia="zh-CN"/>
        </w:rPr>
        <w:t>新疆万凯盛工程管理咨询有限公司</w:t>
      </w:r>
    </w:p>
    <w:p w14:paraId="6C019A09">
      <w:pPr>
        <w:pStyle w:val="8"/>
        <w:kinsoku w:val="0"/>
        <w:overflowPunct w:val="0"/>
        <w:spacing w:before="130" w:line="355" w:lineRule="auto"/>
        <w:ind w:right="7" w:firstLine="480"/>
        <w:rPr>
          <w:rFonts w:hint="eastAsia" w:ascii="仿宋" w:hAnsi="仿宋" w:eastAsia="仿宋" w:cs="仿宋"/>
          <w:spacing w:val="4"/>
          <w:highlight w:val="none"/>
        </w:rPr>
      </w:pPr>
      <w:r>
        <w:rPr>
          <w:rFonts w:hint="eastAsia" w:ascii="仿宋" w:hAnsi="仿宋" w:eastAsia="仿宋" w:cs="仿宋"/>
          <w:spacing w:val="4"/>
          <w:highlight w:val="none"/>
        </w:rPr>
        <w:t>开户行名称：库尔勒银行股份有限公司营业部</w:t>
      </w:r>
    </w:p>
    <w:p w14:paraId="00650FBD">
      <w:pPr>
        <w:pStyle w:val="8"/>
        <w:kinsoku w:val="0"/>
        <w:overflowPunct w:val="0"/>
        <w:spacing w:before="130" w:line="355" w:lineRule="auto"/>
        <w:ind w:right="7" w:firstLine="480"/>
        <w:rPr>
          <w:rFonts w:hint="eastAsia" w:ascii="仿宋" w:hAnsi="仿宋" w:eastAsia="仿宋" w:cs="仿宋"/>
          <w:spacing w:val="4"/>
          <w:highlight w:val="none"/>
          <w:lang w:val="zh-CN" w:eastAsia="zh-CN"/>
        </w:rPr>
      </w:pPr>
      <w:r>
        <w:rPr>
          <w:rFonts w:hint="eastAsia" w:ascii="仿宋" w:hAnsi="仿宋" w:eastAsia="仿宋" w:cs="仿宋"/>
          <w:spacing w:val="4"/>
          <w:highlight w:val="none"/>
        </w:rPr>
        <w:t>账号：736070100100152727</w:t>
      </w:r>
    </w:p>
    <w:p w14:paraId="331848C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10.2</w:t>
      </w:r>
      <w:r>
        <w:rPr>
          <w:rFonts w:hint="eastAsia" w:ascii="仿宋" w:hAnsi="仿宋" w:eastAsia="仿宋" w:cs="仿宋"/>
          <w:spacing w:val="4"/>
          <w:lang w:val="en-US" w:eastAsia="zh-CN"/>
        </w:rPr>
        <w:t xml:space="preserve"> </w:t>
      </w:r>
      <w:r>
        <w:rPr>
          <w:rFonts w:hint="eastAsia" w:ascii="仿宋" w:hAnsi="仿宋" w:eastAsia="仿宋" w:cs="仿宋"/>
          <w:spacing w:val="4"/>
        </w:rPr>
        <w:t>投标保证金为磋商响应性文件的重要组成部分。未按规定提交投标保证金的供应商，将被视为无效投标而予以拒绝。</w:t>
      </w:r>
    </w:p>
    <w:p w14:paraId="53CA6B4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10.3</w:t>
      </w:r>
      <w:r>
        <w:rPr>
          <w:rFonts w:hint="eastAsia" w:ascii="仿宋" w:hAnsi="仿宋" w:eastAsia="仿宋" w:cs="仿宋"/>
          <w:spacing w:val="4"/>
          <w:lang w:val="en-US" w:eastAsia="zh-CN"/>
        </w:rPr>
        <w:t xml:space="preserve"> </w:t>
      </w:r>
      <w:r>
        <w:rPr>
          <w:rFonts w:hint="eastAsia" w:ascii="仿宋" w:hAnsi="仿宋" w:eastAsia="仿宋" w:cs="仿宋"/>
          <w:spacing w:val="4"/>
        </w:rPr>
        <w:t>成交人的投标保证金，在成交人按规定的金额付清招标代理服务费后予以无息退还。</w:t>
      </w:r>
    </w:p>
    <w:p w14:paraId="3C9B4637">
      <w:pPr>
        <w:pStyle w:val="8"/>
        <w:kinsoku w:val="0"/>
        <w:overflowPunct w:val="0"/>
        <w:spacing w:before="38"/>
        <w:ind w:left="598"/>
        <w:rPr>
          <w:rFonts w:hint="eastAsia" w:ascii="仿宋" w:hAnsi="仿宋" w:eastAsia="仿宋" w:cs="仿宋"/>
        </w:rPr>
      </w:pPr>
      <w:r>
        <w:rPr>
          <w:rFonts w:hint="eastAsia" w:ascii="仿宋" w:hAnsi="仿宋" w:eastAsia="仿宋" w:cs="仿宋"/>
        </w:rPr>
        <w:t>10.4</w:t>
      </w:r>
      <w:r>
        <w:rPr>
          <w:rFonts w:hint="eastAsia" w:ascii="仿宋" w:hAnsi="仿宋" w:eastAsia="仿宋" w:cs="仿宋"/>
          <w:lang w:val="en-US" w:eastAsia="zh-CN"/>
        </w:rPr>
        <w:t xml:space="preserve"> </w:t>
      </w:r>
      <w:r>
        <w:rPr>
          <w:rFonts w:hint="eastAsia" w:ascii="仿宋" w:hAnsi="仿宋" w:eastAsia="仿宋" w:cs="仿宋"/>
          <w:spacing w:val="-60"/>
        </w:rPr>
        <w:t xml:space="preserve"> </w:t>
      </w:r>
      <w:r>
        <w:rPr>
          <w:rFonts w:hint="eastAsia" w:ascii="仿宋" w:hAnsi="仿宋" w:eastAsia="仿宋" w:cs="仿宋"/>
          <w:spacing w:val="-60"/>
          <w:lang w:val="en-US" w:eastAsia="zh-CN"/>
        </w:rPr>
        <w:t xml:space="preserve">     </w:t>
      </w:r>
      <w:r>
        <w:rPr>
          <w:rFonts w:hint="eastAsia" w:ascii="仿宋" w:hAnsi="仿宋" w:eastAsia="仿宋" w:cs="仿宋"/>
        </w:rPr>
        <w:t>投标保证金的</w:t>
      </w:r>
      <w:r>
        <w:rPr>
          <w:rFonts w:hint="eastAsia" w:ascii="仿宋" w:hAnsi="仿宋" w:eastAsia="仿宋" w:cs="仿宋"/>
          <w:spacing w:val="4"/>
        </w:rPr>
        <w:t>缴纳</w:t>
      </w:r>
      <w:r>
        <w:rPr>
          <w:rFonts w:hint="eastAsia" w:ascii="仿宋" w:hAnsi="仿宋" w:eastAsia="仿宋" w:cs="仿宋"/>
        </w:rPr>
        <w:t>和退付（详见“供应商须知前附表”）。</w:t>
      </w:r>
    </w:p>
    <w:p w14:paraId="13B52EB5">
      <w:pPr>
        <w:pStyle w:val="8"/>
        <w:kinsoku w:val="0"/>
        <w:overflowPunct w:val="0"/>
        <w:spacing w:before="151"/>
        <w:jc w:val="both"/>
        <w:rPr>
          <w:rFonts w:hint="eastAsia" w:ascii="仿宋" w:hAnsi="仿宋" w:eastAsia="仿宋" w:cs="仿宋"/>
        </w:rPr>
      </w:pPr>
      <w:r>
        <w:rPr>
          <w:rFonts w:hint="eastAsia" w:ascii="仿宋" w:hAnsi="仿宋" w:eastAsia="仿宋" w:cs="仿宋"/>
          <w:b/>
          <w:bCs/>
        </w:rPr>
        <w:t>11.</w:t>
      </w:r>
      <w:r>
        <w:rPr>
          <w:rFonts w:hint="eastAsia" w:ascii="仿宋" w:hAnsi="仿宋" w:eastAsia="仿宋" w:cs="仿宋"/>
          <w:b/>
          <w:bCs/>
          <w:lang w:eastAsia="zh-CN"/>
        </w:rPr>
        <w:t>电子</w:t>
      </w:r>
      <w:r>
        <w:rPr>
          <w:rFonts w:hint="eastAsia" w:ascii="仿宋" w:hAnsi="仿宋" w:eastAsia="仿宋" w:cs="仿宋"/>
          <w:b/>
          <w:bCs/>
        </w:rPr>
        <w:t>磋商响应性文件的印制和签署</w:t>
      </w:r>
    </w:p>
    <w:p w14:paraId="43511955">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11.1 电子磋商响应文件应按照统一的“电子投标文件制作工具”以及磋商文件要求进行制作编制，保证目录清晰、内容完整；</w:t>
      </w:r>
    </w:p>
    <w:p w14:paraId="21B8C36C">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11.2 电子磋商响应文件各类证件须与磋商供应商注册登记资料相一致；</w:t>
      </w:r>
    </w:p>
    <w:p w14:paraId="0787F744">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11.3 网上提交的电子磋商响应文件（加密）为正</w:t>
      </w:r>
      <w:r>
        <w:rPr>
          <w:rFonts w:hint="eastAsia" w:ascii="仿宋" w:hAnsi="仿宋" w:eastAsia="仿宋" w:cs="仿宋"/>
          <w:color w:val="auto"/>
          <w:spacing w:val="4"/>
          <w:kern w:val="0"/>
          <w:sz w:val="24"/>
          <w:szCs w:val="24"/>
          <w:lang w:val="en-US" w:eastAsia="zh-CN" w:bidi="ar-SA"/>
        </w:rPr>
        <w:t>本。</w:t>
      </w:r>
    </w:p>
    <w:p w14:paraId="28180F5E">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11.4 磋商人因自身原因导致电子磋商响应文件无法导入电子评标系统的，该磋商响应文件视为无效文件。 </w:t>
      </w:r>
    </w:p>
    <w:p w14:paraId="798CF494">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11.5 电子磋商文件以及电子磋商响应文件具有法律效力,与其他形式的磋商文件以及磋商响应文件在内容和格式上等同，若判响应文件与磋商文件要求不一致，其内容影响成交结果时，责任由磋商供应商自行承担。 </w:t>
      </w:r>
    </w:p>
    <w:p w14:paraId="2D76E67B">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11.6 为了保证电子磋商响应文件的合法性、安全性和完整性，电子磋商响应文件转换完成后，应在规定区域加盖单位和法定代表人CA印章。电子磋商响应文件若无CA电子签章，则视为无效文件。</w:t>
      </w:r>
    </w:p>
    <w:p w14:paraId="7D26F7FD">
      <w:pPr>
        <w:pStyle w:val="23"/>
        <w:spacing w:line="500" w:lineRule="exact"/>
        <w:rPr>
          <w:rFonts w:hint="eastAsia" w:ascii="仿宋" w:hAnsi="仿宋" w:eastAsia="仿宋" w:cs="仿宋"/>
          <w:spacing w:val="4"/>
          <w:kern w:val="0"/>
          <w:sz w:val="24"/>
          <w:szCs w:val="24"/>
          <w:lang w:val="en-US" w:eastAsia="zh-CN" w:bidi="ar-SA"/>
        </w:rPr>
      </w:pPr>
    </w:p>
    <w:p w14:paraId="2FC679D6">
      <w:pPr>
        <w:pStyle w:val="4"/>
        <w:rPr>
          <w:rFonts w:hint="eastAsia" w:ascii="仿宋" w:hAnsi="仿宋" w:eastAsia="仿宋" w:cs="仿宋"/>
        </w:rPr>
      </w:pPr>
      <w:bookmarkStart w:id="20" w:name="_Toc27731"/>
      <w:r>
        <w:rPr>
          <w:rFonts w:hint="eastAsia" w:ascii="仿宋" w:hAnsi="仿宋" w:eastAsia="仿宋" w:cs="仿宋"/>
        </w:rPr>
        <w:t>（</w:t>
      </w:r>
      <w:r>
        <w:rPr>
          <w:rFonts w:hint="eastAsia" w:ascii="仿宋" w:hAnsi="仿宋" w:eastAsia="仿宋" w:cs="仿宋"/>
          <w:lang w:eastAsia="zh-CN"/>
        </w:rPr>
        <w:t>五</w:t>
      </w:r>
      <w:r>
        <w:rPr>
          <w:rFonts w:hint="eastAsia" w:ascii="仿宋" w:hAnsi="仿宋" w:eastAsia="仿宋" w:cs="仿宋"/>
        </w:rPr>
        <w:t>）评标</w:t>
      </w:r>
      <w:bookmarkEnd w:id="20"/>
    </w:p>
    <w:p w14:paraId="4D66FD48">
      <w:pPr>
        <w:pStyle w:val="8"/>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1.磋商小组</w:t>
      </w:r>
    </w:p>
    <w:p w14:paraId="3C5F1E0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 xml:space="preserve"> </w:t>
      </w:r>
      <w:r>
        <w:rPr>
          <w:rFonts w:hint="eastAsia" w:ascii="仿宋" w:hAnsi="仿宋" w:eastAsia="仿宋" w:cs="仿宋"/>
          <w:spacing w:val="1"/>
        </w:rPr>
        <w:t>评标由采购人依法组建的磋商小组负责。磋商小组由采购人熟悉相关业务</w:t>
      </w:r>
      <w:r>
        <w:rPr>
          <w:rFonts w:hint="eastAsia" w:ascii="仿宋" w:hAnsi="仿宋" w:eastAsia="仿宋" w:cs="仿宋"/>
        </w:rPr>
        <w:t>的代表，以及有关技术、经济等方面的专家</w:t>
      </w:r>
      <w:r>
        <w:rPr>
          <w:rFonts w:hint="eastAsia" w:ascii="仿宋" w:hAnsi="仿宋" w:eastAsia="仿宋" w:cs="仿宋"/>
          <w:lang w:val="en-US" w:eastAsia="zh-CN"/>
        </w:rPr>
        <w:t>3人及以上</w:t>
      </w:r>
      <w:r>
        <w:rPr>
          <w:rFonts w:hint="eastAsia" w:ascii="仿宋" w:hAnsi="仿宋" w:eastAsia="仿宋" w:cs="仿宋"/>
        </w:rPr>
        <w:t>的单数组成。</w:t>
      </w:r>
    </w:p>
    <w:p w14:paraId="16118280">
      <w:pPr>
        <w:pStyle w:val="8"/>
        <w:tabs>
          <w:tab w:val="left" w:pos="1438"/>
        </w:tabs>
        <w:kinsoku w:val="0"/>
        <w:overflowPunct w:val="0"/>
        <w:spacing w:before="36"/>
        <w:ind w:left="598"/>
        <w:rPr>
          <w:rFonts w:hint="eastAsia" w:ascii="仿宋" w:hAnsi="仿宋" w:eastAsia="仿宋" w:cs="仿宋"/>
        </w:rPr>
      </w:pPr>
      <w:r>
        <w:rPr>
          <w:rFonts w:hint="eastAsia" w:ascii="仿宋" w:hAnsi="仿宋" w:eastAsia="仿宋" w:cs="仿宋"/>
        </w:rPr>
        <w:t>1.2 磋商小组成员有下列情形之一的，应当回避；</w:t>
      </w:r>
    </w:p>
    <w:p w14:paraId="74846328">
      <w:pPr>
        <w:pStyle w:val="8"/>
        <w:kinsoku w:val="0"/>
        <w:overflowPunct w:val="0"/>
        <w:ind w:left="598"/>
        <w:rPr>
          <w:rFonts w:hint="eastAsia" w:ascii="仿宋" w:hAnsi="仿宋" w:eastAsia="仿宋" w:cs="仿宋"/>
        </w:rPr>
      </w:pPr>
      <w:r>
        <w:rPr>
          <w:rFonts w:hint="eastAsia" w:ascii="仿宋" w:hAnsi="仿宋" w:eastAsia="仿宋" w:cs="仿宋"/>
        </w:rPr>
        <w:t>（1）采购人或供应商的主要负责人的近亲属。</w:t>
      </w:r>
    </w:p>
    <w:p w14:paraId="2654681B">
      <w:pPr>
        <w:pStyle w:val="8"/>
        <w:kinsoku w:val="0"/>
        <w:overflowPunct w:val="0"/>
        <w:ind w:left="598"/>
        <w:rPr>
          <w:rFonts w:hint="eastAsia" w:ascii="仿宋" w:hAnsi="仿宋" w:eastAsia="仿宋" w:cs="仿宋"/>
        </w:rPr>
      </w:pPr>
      <w:r>
        <w:rPr>
          <w:rFonts w:hint="eastAsia" w:ascii="仿宋" w:hAnsi="仿宋" w:eastAsia="仿宋" w:cs="仿宋"/>
        </w:rPr>
        <w:t>（2）项目主管部门或者行政监督部门的人员。</w:t>
      </w:r>
    </w:p>
    <w:p w14:paraId="0BC3B583">
      <w:pPr>
        <w:pStyle w:val="8"/>
        <w:kinsoku w:val="0"/>
        <w:overflowPunct w:val="0"/>
        <w:spacing w:before="151"/>
        <w:ind w:left="598"/>
        <w:rPr>
          <w:rFonts w:hint="eastAsia" w:ascii="仿宋" w:hAnsi="仿宋" w:eastAsia="仿宋" w:cs="仿宋"/>
        </w:rPr>
      </w:pPr>
      <w:r>
        <w:rPr>
          <w:rFonts w:hint="eastAsia" w:ascii="仿宋" w:hAnsi="仿宋" w:eastAsia="仿宋" w:cs="仿宋"/>
        </w:rPr>
        <w:t>（3）与供应商有经济利益关系，可能影响对投标公正评审的。</w:t>
      </w:r>
    </w:p>
    <w:p w14:paraId="30E21D1D">
      <w:pPr>
        <w:pStyle w:val="8"/>
        <w:kinsoku w:val="0"/>
        <w:overflowPunct w:val="0"/>
        <w:spacing w:line="355" w:lineRule="auto"/>
        <w:ind w:right="50" w:firstLine="480"/>
        <w:rPr>
          <w:rFonts w:hint="eastAsia" w:ascii="仿宋" w:hAnsi="仿宋" w:eastAsia="仿宋" w:cs="仿宋"/>
        </w:rPr>
      </w:pPr>
      <w:r>
        <w:rPr>
          <w:rFonts w:hint="eastAsia" w:ascii="仿宋" w:hAnsi="仿宋" w:eastAsia="仿宋" w:cs="仿宋"/>
          <w:spacing w:val="1"/>
        </w:rPr>
        <w:t>（4）曾因在招标、评标以及其他与招标投标有关活动中从事违法行为而受过行政</w:t>
      </w:r>
      <w:r>
        <w:rPr>
          <w:rFonts w:hint="eastAsia" w:ascii="仿宋" w:hAnsi="仿宋" w:eastAsia="仿宋" w:cs="仿宋"/>
        </w:rPr>
        <w:t>处罚或刑事处罚的。</w:t>
      </w:r>
    </w:p>
    <w:p w14:paraId="2B71D9A0">
      <w:pPr>
        <w:pStyle w:val="8"/>
        <w:kinsoku w:val="0"/>
        <w:overflowPunct w:val="0"/>
        <w:spacing w:before="34" w:line="357" w:lineRule="auto"/>
        <w:ind w:right="306" w:firstLine="480"/>
        <w:jc w:val="both"/>
        <w:rPr>
          <w:rFonts w:hint="eastAsia" w:ascii="仿宋" w:hAnsi="仿宋" w:eastAsia="仿宋" w:cs="仿宋"/>
        </w:rPr>
      </w:pPr>
      <w:r>
        <w:rPr>
          <w:rFonts w:hint="eastAsia" w:ascii="仿宋" w:hAnsi="仿宋" w:eastAsia="仿宋" w:cs="仿宋"/>
        </w:rPr>
        <w:t>（5）其它可能影响公正评标的情形。</w:t>
      </w:r>
    </w:p>
    <w:p w14:paraId="4E1DC5A2">
      <w:pPr>
        <w:pStyle w:val="8"/>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2.评标原则</w:t>
      </w:r>
    </w:p>
    <w:p w14:paraId="2F4F01C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本次磋商遵循公开透明、公平竞争、公正和诚实信用的原则。磋商小组成员按照客观、公正、审慎的原则，根据磋商文件规定评审程序、评审方法和评审标准进行独立评审。未实质性响应磋商文件的响应文件按无效响应处理，并告知提交响应文件的供应商。</w:t>
      </w:r>
    </w:p>
    <w:p w14:paraId="6637EF71">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项目实施机构成立磋商小组，负责本次项目采购的磋商工作，磋商小组由业主代表与技术、经济等方面专家共</w:t>
      </w:r>
      <w:r>
        <w:rPr>
          <w:rFonts w:hint="eastAsia" w:ascii="仿宋" w:hAnsi="仿宋" w:eastAsia="仿宋" w:cs="仿宋"/>
          <w:lang w:val="en-US" w:eastAsia="zh-CN"/>
        </w:rPr>
        <w:t>3人及以上</w:t>
      </w:r>
      <w:r>
        <w:rPr>
          <w:rFonts w:hint="eastAsia" w:ascii="仿宋" w:hAnsi="仿宋" w:eastAsia="仿宋" w:cs="仿宋"/>
          <w:lang w:eastAsia="zh-CN"/>
        </w:rPr>
        <w:t>单数</w:t>
      </w:r>
      <w:r>
        <w:rPr>
          <w:rFonts w:hint="eastAsia" w:ascii="仿宋" w:hAnsi="仿宋" w:eastAsia="仿宋" w:cs="仿宋"/>
        </w:rPr>
        <w:t>组成，其中评审专家人数不得少于磋商小组成员总数的2/3。评审专家应当从政府采购评审庄家库内相关专业的专家名单中随机抽取，符合本办法（财库214号文）第三条第四项规定情形的项目，以及特殊情况。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A45241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C5341D">
      <w:pPr>
        <w:pStyle w:val="8"/>
        <w:kinsoku w:val="0"/>
        <w:overflowPunct w:val="0"/>
        <w:spacing w:before="35" w:line="357" w:lineRule="auto"/>
        <w:ind w:left="598" w:right="238" w:hanging="480"/>
        <w:rPr>
          <w:rFonts w:hint="eastAsia" w:ascii="仿宋" w:hAnsi="仿宋" w:eastAsia="仿宋" w:cs="仿宋"/>
          <w:b/>
          <w:bCs/>
          <w:spacing w:val="22"/>
          <w:w w:val="99"/>
        </w:rPr>
      </w:pPr>
      <w:r>
        <w:rPr>
          <w:rFonts w:hint="eastAsia" w:ascii="仿宋" w:hAnsi="仿宋" w:eastAsia="仿宋" w:cs="仿宋"/>
          <w:b/>
          <w:bCs/>
          <w:w w:val="95"/>
        </w:rPr>
        <w:t>3.</w:t>
      </w:r>
      <w:r>
        <w:rPr>
          <w:rFonts w:hint="eastAsia" w:ascii="仿宋" w:hAnsi="仿宋" w:eastAsia="仿宋" w:cs="仿宋"/>
          <w:b/>
          <w:bCs/>
        </w:rPr>
        <w:t>评标</w:t>
      </w:r>
      <w:r>
        <w:rPr>
          <w:rFonts w:hint="eastAsia" w:ascii="仿宋" w:hAnsi="仿宋" w:eastAsia="仿宋" w:cs="仿宋"/>
          <w:b/>
          <w:bCs/>
          <w:spacing w:val="22"/>
          <w:w w:val="99"/>
        </w:rPr>
        <w:t xml:space="preserve"> </w:t>
      </w:r>
    </w:p>
    <w:p w14:paraId="7CE7AEE7">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w:t>
      </w:r>
      <w:r>
        <w:rPr>
          <w:rFonts w:hint="eastAsia" w:ascii="仿宋" w:hAnsi="仿宋" w:eastAsia="仿宋" w:cs="仿宋"/>
          <w:lang w:val="en-US" w:eastAsia="zh-CN"/>
        </w:rPr>
        <w:t xml:space="preserve"> </w:t>
      </w:r>
      <w:r>
        <w:rPr>
          <w:rFonts w:hint="eastAsia" w:ascii="仿宋" w:hAnsi="仿宋" w:eastAsia="仿宋" w:cs="仿宋"/>
        </w:rPr>
        <w:t>磋商小组按照竞争性磋商文件中规定的方法、评审因素、标准和程序对磋商应性文件进行评审。竞争性磋商文件中没有规定的方法、评审因素和标准，不作为评标依据。 详见“评标办法”内容。</w:t>
      </w:r>
    </w:p>
    <w:p w14:paraId="1BDFE4A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w:t>
      </w:r>
      <w:r>
        <w:rPr>
          <w:rFonts w:hint="eastAsia" w:ascii="仿宋" w:hAnsi="仿宋" w:eastAsia="仿宋" w:cs="仿宋"/>
          <w:lang w:val="en-US" w:eastAsia="zh-CN"/>
        </w:rPr>
        <w:t xml:space="preserve"> </w:t>
      </w:r>
      <w:r>
        <w:rPr>
          <w:rFonts w:hint="eastAsia" w:ascii="仿宋" w:hAnsi="仿宋" w:eastAsia="仿宋" w:cs="仿宋"/>
        </w:rPr>
        <w:t>评标过程严格保密。供应商对评委会的评标过程或合同授予决定施加影响的任何行为都可能导致其投标被拒绝。</w:t>
      </w:r>
    </w:p>
    <w:p w14:paraId="1A5103D2">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在评标期间，评委会可要求供应商对其磋商响应性文件中非实质性的有关问题进行 澄清、说明或者补正。有关澄清、说明或者补正的要求和答复应以书面形式提交。供应 商的澄清、说明或者补正不得超出磋商响应性文件的范围或者改变磋商响应性文件的实 质性内容。</w:t>
      </w:r>
    </w:p>
    <w:p w14:paraId="0DF8A71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评委会认定实质性响应竞争性磋商文件的投标是磋商响应性文件与竞争性磋商文件 要求的全部条款、条件和规格相符，没有实质性负偏离。评委会评审磋商响应性文件的 响应性依据是磋商响应性文件本身的内容，而不寻求外部的证据。</w:t>
      </w:r>
    </w:p>
    <w:p w14:paraId="69D5E6E5">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3.5 如果磋商响应性文件没有实质性响应竞争性磋商文件的要求，评委会将予以拒绝。 供应商不得通过修正或撤消不合要求的偏离或保留从而使其投标成为实质性响应的投 标。</w:t>
      </w:r>
    </w:p>
    <w:p w14:paraId="091DA6C1">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3.6 评委会只对确定为实质性响应竞争性磋商文件要求的磋商响应性文件，根据竞争性 磋商文件的评审标准采用相同的评标程序、评分办法进行评价和比较。</w:t>
      </w:r>
    </w:p>
    <w:p w14:paraId="15C8528E">
      <w:pPr>
        <w:pStyle w:val="4"/>
        <w:rPr>
          <w:rFonts w:hint="eastAsia" w:ascii="仿宋" w:hAnsi="仿宋" w:eastAsia="仿宋" w:cs="仿宋"/>
        </w:rPr>
      </w:pPr>
      <w:bookmarkStart w:id="21" w:name="_Toc5842"/>
      <w:r>
        <w:rPr>
          <w:rFonts w:hint="eastAsia" w:ascii="仿宋" w:hAnsi="仿宋" w:eastAsia="仿宋" w:cs="仿宋"/>
        </w:rPr>
        <w:t>（</w:t>
      </w:r>
      <w:r>
        <w:rPr>
          <w:rFonts w:hint="eastAsia" w:ascii="仿宋" w:hAnsi="仿宋" w:eastAsia="仿宋" w:cs="仿宋"/>
          <w:lang w:eastAsia="zh-CN"/>
        </w:rPr>
        <w:t>六</w:t>
      </w:r>
      <w:r>
        <w:rPr>
          <w:rFonts w:hint="eastAsia" w:ascii="仿宋" w:hAnsi="仿宋" w:eastAsia="仿宋" w:cs="仿宋"/>
        </w:rPr>
        <w:t>）定标</w:t>
      </w:r>
      <w:bookmarkEnd w:id="21"/>
    </w:p>
    <w:p w14:paraId="39AAE9C4">
      <w:pPr>
        <w:pStyle w:val="8"/>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1.定标</w:t>
      </w:r>
    </w:p>
    <w:p w14:paraId="57A40A53">
      <w:pPr>
        <w:spacing w:line="360" w:lineRule="auto"/>
        <w:ind w:firstLine="480" w:firstLineChars="200"/>
        <w:rPr>
          <w:rFonts w:hint="eastAsia" w:ascii="仿宋" w:hAnsi="仿宋" w:eastAsia="仿宋" w:cs="仿宋"/>
          <w:b/>
          <w:bCs/>
          <w:w w:val="95"/>
          <w:kern w:val="0"/>
          <w:sz w:val="24"/>
          <w:szCs w:val="24"/>
        </w:rPr>
      </w:pPr>
      <w:r>
        <w:rPr>
          <w:rFonts w:hint="eastAsia" w:ascii="仿宋" w:hAnsi="仿宋" w:eastAsia="仿宋" w:cs="仿宋"/>
          <w:sz w:val="24"/>
          <w:szCs w:val="24"/>
        </w:rPr>
        <w:t>1.1 定标原则：磋商小组按照公开、公平、公正、诚实信用的原则对待参与磋商的供应商的响应文件；经磋商确定最终采购需求和提交最后报价的供应商后，由磋商小组采用综合评分法对提交最后报价的供应商的响应文件和最后报价进行综合评分。</w:t>
      </w:r>
      <w:r>
        <w:rPr>
          <w:rFonts w:hint="eastAsia" w:ascii="仿宋" w:hAnsi="仿宋" w:eastAsia="仿宋" w:cs="仿宋"/>
          <w:kern w:val="0"/>
          <w:sz w:val="24"/>
          <w:szCs w:val="24"/>
        </w:rPr>
        <w:t xml:space="preserve">能够最大限度满足竞争性磋商文件中规定的各项综合评价标准且得分最高（但投标价格低于成本价的除外）。 </w:t>
      </w:r>
    </w:p>
    <w:p w14:paraId="653996D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定标方法：综合评分法。</w:t>
      </w:r>
    </w:p>
    <w:p w14:paraId="17F6E79E">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定标方式：根据评委会推荐的中标候选人名单，采购人确定中标人。</w:t>
      </w:r>
    </w:p>
    <w:p w14:paraId="4C5073EF">
      <w:pPr>
        <w:pStyle w:val="8"/>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2.定标程序</w:t>
      </w:r>
    </w:p>
    <w:p w14:paraId="4CACBB18">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磋商小组按照综合评审打分结果由高到低排列顺序。综合得分相同的，按投标报价由低到高顺序排列。得分且投标报价相同的，按技术指标优劣顺序排列。前三名的供应商为拟中标候选人。</w:t>
      </w:r>
    </w:p>
    <w:p w14:paraId="4272692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采购人根据书面评标报告和被推荐的中标候选人，确定得分最高的供应商为拟中标供单位。</w:t>
      </w:r>
    </w:p>
    <w:p w14:paraId="37BAB48F">
      <w:pPr>
        <w:spacing w:line="360" w:lineRule="auto"/>
        <w:ind w:left="105" w:leftChars="50" w:firstLine="600" w:firstLineChars="250"/>
        <w:rPr>
          <w:rFonts w:hint="eastAsia" w:ascii="仿宋" w:hAnsi="仿宋" w:eastAsia="仿宋" w:cs="仿宋"/>
          <w:sz w:val="24"/>
          <w:szCs w:val="24"/>
        </w:rPr>
      </w:pPr>
      <w:r>
        <w:rPr>
          <w:rFonts w:hint="eastAsia" w:ascii="仿宋" w:hAnsi="仿宋" w:eastAsia="仿宋" w:cs="仿宋"/>
          <w:kern w:val="0"/>
          <w:sz w:val="24"/>
          <w:szCs w:val="24"/>
          <w:lang w:val="en-US" w:eastAsia="zh-CN" w:bidi="ar-SA"/>
        </w:rPr>
        <w:t>2.3 中</w:t>
      </w:r>
      <w:r>
        <w:rPr>
          <w:rFonts w:hint="eastAsia" w:ascii="仿宋" w:hAnsi="仿宋" w:eastAsia="仿宋" w:cs="仿宋"/>
          <w:sz w:val="24"/>
          <w:szCs w:val="24"/>
        </w:rPr>
        <w:t>标结果在“新疆政府采购网” 上予以公告。同时向中标人发出中标通知书。</w:t>
      </w:r>
    </w:p>
    <w:p w14:paraId="57930630">
      <w:pPr>
        <w:pStyle w:val="8"/>
        <w:kinsoku w:val="0"/>
        <w:overflowPunct w:val="0"/>
        <w:spacing w:before="151"/>
        <w:rPr>
          <w:rFonts w:hint="eastAsia" w:ascii="仿宋" w:hAnsi="仿宋" w:eastAsia="仿宋" w:cs="仿宋"/>
        </w:rPr>
      </w:pPr>
      <w:r>
        <w:rPr>
          <w:rFonts w:hint="eastAsia" w:ascii="仿宋" w:hAnsi="仿宋" w:eastAsia="仿宋" w:cs="仿宋"/>
          <w:b/>
          <w:bCs/>
        </w:rPr>
        <w:t>3.中标通知书</w:t>
      </w:r>
    </w:p>
    <w:p w14:paraId="2C07B96C">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 中标结果在公示期满无质疑或投诉后，该结果将作为正式中标或签订《采购合同》的凭据。招标代理机构将以书面形式《成交通知书》通知中标的供应商其投标被接受。在该通知书发出三十日内，中标单位应与采购人签订采购合同。</w:t>
      </w:r>
    </w:p>
    <w:p w14:paraId="36668250">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 中标通知书为签订政府采购合同的依据，是合同的有效组成部分。</w:t>
      </w:r>
    </w:p>
    <w:p w14:paraId="27A9A7E4">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中标通知书对采购人和中标人均具有法律效力。中标通知书发出后，采购人改变中标结果，或者中标人无正当理由放弃中标的，应当承担相应的法律责任。</w:t>
      </w:r>
    </w:p>
    <w:p w14:paraId="3F7EAA49">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中标人的磋商响应性文件本应作为无效投标处理或者有政府采购法律法规规章制度规定的中标无效情形的，招标代理机构在取得有权主体的认定以后，应当宣布发出的中标通知书无效，并收回发出的中标通知书（中标人也应当缴回），依法重新确定中标人或者重新开展采购活动。</w:t>
      </w:r>
    </w:p>
    <w:p w14:paraId="6D4EF33C">
      <w:pPr>
        <w:pStyle w:val="4"/>
        <w:rPr>
          <w:rFonts w:hint="eastAsia" w:ascii="仿宋" w:hAnsi="仿宋" w:eastAsia="仿宋" w:cs="仿宋"/>
        </w:rPr>
      </w:pPr>
      <w:bookmarkStart w:id="22" w:name="_Toc23697"/>
      <w:r>
        <w:rPr>
          <w:rFonts w:hint="eastAsia" w:ascii="仿宋" w:hAnsi="仿宋" w:eastAsia="仿宋" w:cs="仿宋"/>
        </w:rPr>
        <w:t>（</w:t>
      </w:r>
      <w:r>
        <w:rPr>
          <w:rFonts w:hint="eastAsia" w:ascii="仿宋" w:hAnsi="仿宋" w:eastAsia="仿宋" w:cs="仿宋"/>
          <w:lang w:eastAsia="zh-CN"/>
        </w:rPr>
        <w:t>七</w:t>
      </w:r>
      <w:r>
        <w:rPr>
          <w:rFonts w:hint="eastAsia" w:ascii="仿宋" w:hAnsi="仿宋" w:eastAsia="仿宋" w:cs="仿宋"/>
        </w:rPr>
        <w:t>）合同签订及履行</w:t>
      </w:r>
      <w:bookmarkEnd w:id="22"/>
    </w:p>
    <w:p w14:paraId="26AAF631">
      <w:pPr>
        <w:pStyle w:val="8"/>
        <w:kinsoku w:val="0"/>
        <w:overflowPunct w:val="0"/>
        <w:spacing w:before="151"/>
        <w:rPr>
          <w:rFonts w:hint="eastAsia" w:ascii="仿宋" w:hAnsi="仿宋" w:eastAsia="仿宋" w:cs="仿宋"/>
          <w:b/>
          <w:bCs/>
        </w:rPr>
      </w:pPr>
      <w:r>
        <w:rPr>
          <w:rFonts w:hint="eastAsia" w:ascii="仿宋" w:hAnsi="仿宋" w:eastAsia="仿宋" w:cs="仿宋"/>
          <w:b/>
          <w:bCs/>
        </w:rPr>
        <w:t>1.合同授予原则</w:t>
      </w:r>
    </w:p>
    <w:p w14:paraId="53E7550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 采购人将把合同授予经磋商小组评议推荐，在法定公示时间后，收到《成交通知书》的投标单位。若因中标单位违约或因不可抗力等原因不能被授予合同，则合同将授予排序在该中标单位之后的下一个供应商，以此类推。</w:t>
      </w:r>
    </w:p>
    <w:p w14:paraId="5101F18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采购人保留在签订合同时调整方案需求和变动所购服务内容的权力。</w:t>
      </w:r>
    </w:p>
    <w:p w14:paraId="1EB916C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采购人不得向中标人提出任何不合理的要求，作为签订合同的条件，不得与中标人私下订立背离合同实质性内容的任何协议，所签订的合同不得对竞争性磋商文件和中标人磋商响应性文件作实质性修改。</w:t>
      </w:r>
    </w:p>
    <w:p w14:paraId="071A5345">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1.4 中标人应当按照合同约定履行义务，完成中标项目的设计任务，不得将中标项目的转让（转包）给他人。</w:t>
      </w:r>
    </w:p>
    <w:p w14:paraId="2A200216">
      <w:pPr>
        <w:pStyle w:val="8"/>
        <w:kinsoku w:val="0"/>
        <w:overflowPunct w:val="0"/>
        <w:spacing w:before="34"/>
        <w:rPr>
          <w:rFonts w:hint="eastAsia" w:ascii="仿宋" w:hAnsi="仿宋" w:eastAsia="仿宋" w:cs="仿宋"/>
        </w:rPr>
      </w:pPr>
      <w:r>
        <w:rPr>
          <w:rFonts w:hint="eastAsia" w:ascii="仿宋" w:hAnsi="仿宋" w:eastAsia="仿宋" w:cs="仿宋"/>
          <w:b/>
          <w:bCs/>
        </w:rPr>
        <w:t>2.合同的签署</w:t>
      </w:r>
    </w:p>
    <w:p w14:paraId="13861DF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中标人依据《成交通知书》与采购人签订合同，签订时间为《成交通知书》发出之日起三十日内。</w:t>
      </w:r>
    </w:p>
    <w:p w14:paraId="35B8C492">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中标单位按《成交通知书》中规定的时间和地点，在招标代理机构监督下，由法定代表人或授权代表与采购人签订合同。采购人与中标单位是合同权利与义务的直接全部责任承担人。所发出的《成交通知书》对采购人和中标单位具有同等法律效力。</w:t>
      </w:r>
    </w:p>
    <w:p w14:paraId="4C58EE4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成交通知书》发出后，采购人拒绝签订《采购合同》或擅自改变中标内容，按照《中华人民共和国合同法》定金罚则及损害赔偿的原则处罚并办理。若由于中标单位的原因逾期未与采购人签订采购合同的，将视为放弃中标，取消其中标资格并将按照《中华人民共和国政府采购法》相关规定进行处理。</w:t>
      </w:r>
    </w:p>
    <w:p w14:paraId="0FBA1C7C">
      <w:pPr>
        <w:pStyle w:val="8"/>
        <w:kinsoku w:val="0"/>
        <w:overflowPunct w:val="0"/>
        <w:spacing w:before="37" w:line="357" w:lineRule="auto"/>
        <w:ind w:right="2481"/>
        <w:rPr>
          <w:rFonts w:hint="eastAsia" w:ascii="仿宋" w:hAnsi="仿宋" w:eastAsia="仿宋" w:cs="仿宋"/>
        </w:rPr>
      </w:pPr>
      <w:r>
        <w:rPr>
          <w:rFonts w:hint="eastAsia" w:ascii="仿宋" w:hAnsi="仿宋" w:eastAsia="仿宋" w:cs="仿宋"/>
          <w:b/>
          <w:bCs/>
        </w:rPr>
        <w:t>3.履行合同</w:t>
      </w:r>
    </w:p>
    <w:p w14:paraId="4C1D6B5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3.1 中标人与采购人签订合同后，合同双方应严格执行合同条款，履行合同规定的义务，保证合同的顺利完成。</w:t>
      </w:r>
    </w:p>
    <w:p w14:paraId="62A43C3A">
      <w:pPr>
        <w:pStyle w:val="8"/>
        <w:kinsoku w:val="0"/>
        <w:overflowPunct w:val="0"/>
        <w:spacing w:before="34" w:line="355" w:lineRule="auto"/>
        <w:ind w:right="126" w:firstLine="480"/>
        <w:jc w:val="both"/>
        <w:rPr>
          <w:rFonts w:hint="eastAsia" w:ascii="仿宋" w:hAnsi="仿宋" w:eastAsia="仿宋" w:cs="仿宋"/>
        </w:rPr>
      </w:pPr>
      <w:r>
        <w:rPr>
          <w:rFonts w:hint="eastAsia" w:ascii="仿宋" w:hAnsi="仿宋" w:eastAsia="仿宋" w:cs="仿宋"/>
        </w:rPr>
        <w:t>3.2 在合同履行过程中，如发生合同纠纷，合同双方应按照《合同法》的有关规定进行处理。</w:t>
      </w:r>
    </w:p>
    <w:p w14:paraId="4EBE1EF8">
      <w:pPr>
        <w:pStyle w:val="4"/>
        <w:rPr>
          <w:rFonts w:hint="eastAsia" w:ascii="仿宋" w:hAnsi="仿宋" w:eastAsia="仿宋" w:cs="仿宋"/>
        </w:rPr>
      </w:pPr>
      <w:bookmarkStart w:id="23" w:name="_Toc20556"/>
      <w:r>
        <w:rPr>
          <w:rFonts w:hint="eastAsia" w:ascii="仿宋" w:hAnsi="仿宋" w:eastAsia="仿宋" w:cs="仿宋"/>
        </w:rPr>
        <w:t>（</w:t>
      </w:r>
      <w:r>
        <w:rPr>
          <w:rFonts w:hint="eastAsia" w:ascii="仿宋" w:hAnsi="仿宋" w:eastAsia="仿宋" w:cs="仿宋"/>
          <w:lang w:eastAsia="zh-CN"/>
        </w:rPr>
        <w:t>八</w:t>
      </w:r>
      <w:r>
        <w:rPr>
          <w:rFonts w:hint="eastAsia" w:ascii="仿宋" w:hAnsi="仿宋" w:eastAsia="仿宋" w:cs="仿宋"/>
        </w:rPr>
        <w:t>）重新招标和不再招标</w:t>
      </w:r>
      <w:bookmarkEnd w:id="23"/>
    </w:p>
    <w:p w14:paraId="5AEF9138">
      <w:pPr>
        <w:pStyle w:val="8"/>
        <w:kinsoku w:val="0"/>
        <w:overflowPunct w:val="0"/>
        <w:spacing w:before="37" w:line="357" w:lineRule="auto"/>
        <w:ind w:right="2481"/>
        <w:rPr>
          <w:rFonts w:hint="eastAsia" w:ascii="仿宋" w:hAnsi="仿宋" w:eastAsia="仿宋" w:cs="仿宋"/>
          <w:b/>
          <w:bCs/>
        </w:rPr>
      </w:pPr>
      <w:r>
        <w:rPr>
          <w:rFonts w:hint="eastAsia" w:ascii="仿宋" w:hAnsi="仿宋" w:eastAsia="仿宋" w:cs="仿宋"/>
          <w:b/>
          <w:bCs/>
        </w:rPr>
        <w:t>1．重新招标</w:t>
      </w:r>
    </w:p>
    <w:p w14:paraId="25DE7AD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有下列情形之一的，采购人将重新招标：</w:t>
      </w:r>
    </w:p>
    <w:p w14:paraId="09A0CE3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（1）投标截止时间止，供应商少于</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14:paraId="712A191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（2）经磋商小组评审后否决所有投标的。 </w:t>
      </w:r>
    </w:p>
    <w:p w14:paraId="668AD754">
      <w:pPr>
        <w:pStyle w:val="8"/>
        <w:kinsoku w:val="0"/>
        <w:overflowPunct w:val="0"/>
        <w:spacing w:line="357" w:lineRule="auto"/>
        <w:ind w:right="4044" w:firstLine="24"/>
        <w:rPr>
          <w:rFonts w:hint="eastAsia" w:ascii="仿宋" w:hAnsi="仿宋" w:eastAsia="仿宋" w:cs="仿宋"/>
        </w:rPr>
      </w:pPr>
      <w:r>
        <w:rPr>
          <w:rFonts w:hint="eastAsia" w:ascii="仿宋" w:hAnsi="仿宋" w:eastAsia="仿宋" w:cs="仿宋"/>
          <w:b/>
          <w:bCs/>
        </w:rPr>
        <w:t>2．不再招标</w:t>
      </w:r>
    </w:p>
    <w:p w14:paraId="3D8EB21A">
      <w:pPr>
        <w:pStyle w:val="8"/>
        <w:kinsoku w:val="0"/>
        <w:overflowPunct w:val="0"/>
        <w:spacing w:before="34" w:line="357" w:lineRule="auto"/>
        <w:ind w:right="126" w:firstLine="480"/>
        <w:jc w:val="both"/>
        <w:rPr>
          <w:rFonts w:hint="eastAsia" w:ascii="仿宋" w:hAnsi="仿宋" w:eastAsia="仿宋" w:cs="仿宋"/>
          <w:color w:val="FF0000"/>
        </w:rPr>
      </w:pPr>
      <w:r>
        <w:rPr>
          <w:rFonts w:hint="eastAsia" w:ascii="仿宋" w:hAnsi="仿宋" w:eastAsia="仿宋" w:cs="仿宋"/>
        </w:rPr>
        <w:t>重新招标后供应商仍少于</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规定的家数，或者所有投标被否决的，属于必须审批或核准的工程 建设、货物、服务项目，经原审批或核准部门批准后不再进行招标。</w:t>
      </w:r>
    </w:p>
    <w:p w14:paraId="461D065F">
      <w:pPr>
        <w:pStyle w:val="4"/>
        <w:rPr>
          <w:rFonts w:hint="eastAsia" w:ascii="仿宋" w:hAnsi="仿宋" w:eastAsia="仿宋" w:cs="仿宋"/>
        </w:rPr>
      </w:pPr>
      <w:bookmarkStart w:id="24" w:name="_Toc10277"/>
      <w:r>
        <w:rPr>
          <w:rFonts w:hint="eastAsia" w:ascii="仿宋" w:hAnsi="仿宋" w:eastAsia="仿宋" w:cs="仿宋"/>
        </w:rPr>
        <w:t>（</w:t>
      </w:r>
      <w:r>
        <w:rPr>
          <w:rFonts w:hint="eastAsia" w:ascii="仿宋" w:hAnsi="仿宋" w:eastAsia="仿宋" w:cs="仿宋"/>
          <w:lang w:eastAsia="zh-CN"/>
        </w:rPr>
        <w:t>九</w:t>
      </w:r>
      <w:r>
        <w:rPr>
          <w:rFonts w:hint="eastAsia" w:ascii="仿宋" w:hAnsi="仿宋" w:eastAsia="仿宋" w:cs="仿宋"/>
        </w:rPr>
        <w:t>）纪律和监督</w:t>
      </w:r>
      <w:bookmarkEnd w:id="24"/>
    </w:p>
    <w:p w14:paraId="32FC3B4C">
      <w:pPr>
        <w:pStyle w:val="8"/>
        <w:kinsoku w:val="0"/>
        <w:overflowPunct w:val="0"/>
        <w:spacing w:line="357" w:lineRule="auto"/>
        <w:ind w:right="4044" w:firstLine="24"/>
        <w:rPr>
          <w:rFonts w:hint="eastAsia" w:ascii="仿宋" w:hAnsi="仿宋" w:eastAsia="仿宋" w:cs="仿宋"/>
          <w:b/>
          <w:bCs/>
        </w:rPr>
      </w:pPr>
      <w:r>
        <w:rPr>
          <w:rFonts w:hint="eastAsia" w:ascii="仿宋" w:hAnsi="仿宋" w:eastAsia="仿宋" w:cs="仿宋"/>
          <w:b/>
          <w:bCs/>
        </w:rPr>
        <w:t>1．对采购人的纪律要求</w:t>
      </w:r>
    </w:p>
    <w:p w14:paraId="30C132F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采购人不得泄漏招标投标活动中应当保密的情况和资料，不得与供应商串通损害国家利益、社会公共利益或者他人合法权益。下列行为视为采购人与供应商串通投标：</w:t>
      </w:r>
    </w:p>
    <w:p w14:paraId="7D2CD2E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(1）采购人在开标前开启磋商响应性文件，并将投标情况告知其它供应商，或者协助供应商撤换磋商响应性文件，更改报价；</w:t>
      </w:r>
    </w:p>
    <w:p w14:paraId="2FD6675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(2）采购人向供应商泄露标底；</w:t>
      </w:r>
    </w:p>
    <w:p w14:paraId="314898F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(3）采购人与供应商商定，投标时压低或抬高标价，中标后再给供应商或采购人额外补偿；</w:t>
      </w:r>
    </w:p>
    <w:p w14:paraId="48206D7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(4）采购人预先内定中标人；</w:t>
      </w:r>
    </w:p>
    <w:p w14:paraId="477166E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(5）其它串通投标行为。</w:t>
      </w:r>
    </w:p>
    <w:p w14:paraId="67A6A35B">
      <w:pPr>
        <w:pStyle w:val="8"/>
        <w:kinsoku w:val="0"/>
        <w:overflowPunct w:val="0"/>
        <w:spacing w:before="34" w:line="357" w:lineRule="auto"/>
        <w:ind w:left="598" w:right="178" w:hanging="480"/>
        <w:rPr>
          <w:rFonts w:hint="eastAsia" w:ascii="仿宋" w:hAnsi="仿宋" w:eastAsia="仿宋" w:cs="仿宋"/>
          <w:b/>
          <w:bCs/>
          <w:spacing w:val="25"/>
          <w:w w:val="99"/>
        </w:rPr>
      </w:pPr>
      <w:r>
        <w:rPr>
          <w:rFonts w:hint="eastAsia" w:ascii="仿宋" w:hAnsi="仿宋" w:eastAsia="仿宋" w:cs="仿宋"/>
          <w:b/>
          <w:bCs/>
        </w:rPr>
        <w:t>2.对供应商的纪律要求</w:t>
      </w:r>
      <w:r>
        <w:rPr>
          <w:rFonts w:hint="eastAsia" w:ascii="仿宋" w:hAnsi="仿宋" w:eastAsia="仿宋" w:cs="仿宋"/>
          <w:b/>
          <w:bCs/>
          <w:spacing w:val="25"/>
          <w:w w:val="99"/>
        </w:rPr>
        <w:t xml:space="preserve"> </w:t>
      </w:r>
    </w:p>
    <w:p w14:paraId="1EE76DD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w:t>
      </w:r>
      <w:r>
        <w:rPr>
          <w:rFonts w:hint="eastAsia" w:ascii="仿宋" w:hAnsi="仿宋" w:eastAsia="仿宋" w:cs="仿宋"/>
          <w:lang w:eastAsia="zh-CN"/>
        </w:rPr>
        <w:t>磋商</w:t>
      </w:r>
      <w:r>
        <w:rPr>
          <w:rFonts w:hint="eastAsia" w:ascii="仿宋" w:hAnsi="仿宋" w:eastAsia="仿宋" w:cs="仿宋"/>
        </w:rPr>
        <w:t>；不得拒绝有关部门的监督检查或者向监督检查部门提供虚假情况。</w:t>
      </w:r>
    </w:p>
    <w:p w14:paraId="4223122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2.1 下列行为视为以他人名义投标：</w:t>
      </w:r>
    </w:p>
    <w:p w14:paraId="291C241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（1）供应商挂靠其他单位；</w:t>
      </w:r>
    </w:p>
    <w:p w14:paraId="42F62C2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（2）供应商从其它单位通过转让或租借的方式获取资格或资质证书；</w:t>
      </w:r>
    </w:p>
    <w:p w14:paraId="072D424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（3）由其它单位及法定代表人在自己编制的磋商响应性文件上加盖印章或签字；</w:t>
      </w:r>
    </w:p>
    <w:p w14:paraId="0CED57E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（4）法律法规规定的其它情形。</w:t>
      </w:r>
    </w:p>
    <w:p w14:paraId="114C400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2.2 下列行为，视为允许他人以本单位名义承揽工程</w:t>
      </w:r>
    </w:p>
    <w:p w14:paraId="4788CBE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 供应商的法定代表人的委托代理人不是供应商本单位人员；</w:t>
      </w:r>
    </w:p>
    <w:p w14:paraId="073DB9C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b) 供应商拟在担任本项目的项目负责人或主要技术人员等不是本单位人员；</w:t>
      </w:r>
    </w:p>
    <w:p w14:paraId="5AEDD8B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c) 通过出租、出借资质证书或者收取管理费等方式允许他人以本单位名义承接工程；</w:t>
      </w:r>
    </w:p>
    <w:p w14:paraId="4901525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d) 投标保证金非投标单位银行基本账户转出，或虽由投标单位银行基本账户转出， 但先由非投标单位人员将投标保证金存入投标单位或有关个人账户，或以其他方式抵押的；</w:t>
      </w:r>
    </w:p>
    <w:p w14:paraId="28699DD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 项目资金未实行项目资金专户分账管理或独立核算制度的；财务管理人员（财务主管和出纳）非本单位人员，或项目资金的使用未经项目经理本人签字、审批的；</w:t>
      </w:r>
    </w:p>
    <w:p w14:paraId="32AEB62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 中标后，实际由他人履行职责且他人非本单位人员的(项目负责人换为非本单位人员，或其他主要技术人员有 2 个及以上换为非本单位人员)；</w:t>
      </w:r>
    </w:p>
    <w:p w14:paraId="6A3FC54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g) 法律法规规定的其它情形。</w:t>
      </w:r>
    </w:p>
    <w:p w14:paraId="5D6C07B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上述条件中，供应商</w:t>
      </w:r>
      <w:r>
        <w:rPr>
          <w:rFonts w:hint="eastAsia" w:ascii="仿宋" w:hAnsi="仿宋" w:eastAsia="仿宋" w:cs="仿宋"/>
          <w:lang w:eastAsia="zh-CN"/>
        </w:rPr>
        <w:t>为</w:t>
      </w:r>
      <w:r>
        <w:rPr>
          <w:rFonts w:hint="eastAsia" w:ascii="仿宋" w:hAnsi="仿宋" w:eastAsia="仿宋" w:cs="仿宋"/>
        </w:rPr>
        <w:t>本单位人员，必须同时满足以下条件：</w:t>
      </w:r>
    </w:p>
    <w:p w14:paraId="38C4115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（1）聘任合同必须由供应商单位与之签订，项目负责人的聘任合同投标前已执行合同一年以上；</w:t>
      </w:r>
    </w:p>
    <w:p w14:paraId="00C22B1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（2）与供应商单位有合法的工资关系，且投标前已连续支付工资一年以上；</w:t>
      </w:r>
    </w:p>
    <w:p w14:paraId="037D6CF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（3）供应商单位为其办理社会保险关系，政府人事或社保管理部门出具的有效证明其为本单位人员身份的文件。</w:t>
      </w:r>
    </w:p>
    <w:p w14:paraId="0044BD9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 下列行为均视为供应商串通投标：</w:t>
      </w:r>
    </w:p>
    <w:p w14:paraId="26D3A47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2.3.1 供应商串通投标报价： </w:t>
      </w:r>
    </w:p>
    <w:p w14:paraId="401FE43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a）供应商之间相互约定抬高或压低投标报价；</w:t>
      </w:r>
    </w:p>
    <w:p w14:paraId="4823E6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b）供应商之间相互约定，在招标项目中分别以高、中、低价位报价； </w:t>
      </w:r>
    </w:p>
    <w:p w14:paraId="5B8CD2D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c）供应商之间先进行内部竞价，内定中标人，然后再参加投标； </w:t>
      </w:r>
    </w:p>
    <w:p w14:paraId="37C5B69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d）不同供应商的投标报价或报价组成异常一致的； </w:t>
      </w:r>
    </w:p>
    <w:p w14:paraId="16D3AA8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e）供应商之间其它串通投标报价的行为。</w:t>
      </w:r>
    </w:p>
    <w:p w14:paraId="2A45934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2.3.2 不同供应商磋商响应性文件的编制人或审核人为同一人或同一单位人员的；</w:t>
      </w:r>
    </w:p>
    <w:p w14:paraId="33DEC7F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2.3.3 不同供应商磋商响应性文件的授权签署人为同一人或同一单位人员的；</w:t>
      </w:r>
    </w:p>
    <w:p w14:paraId="4B674E7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2.3.4 不同供应商委托同一人办理投标事宜的；</w:t>
      </w:r>
    </w:p>
    <w:p w14:paraId="08687C7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2.3.5 不同供应商的磋商响应性文件相互混装的；</w:t>
      </w:r>
    </w:p>
    <w:p w14:paraId="0DA25F4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2.3.6 不同供应商使用同一单位的资金缴纳投标保证金的；</w:t>
      </w:r>
    </w:p>
    <w:p w14:paraId="4F120E8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2.3.7 不同供应商的磋商响应性文件载明的项目成员出现相同人员的；</w:t>
      </w:r>
    </w:p>
    <w:p w14:paraId="24B9F7D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2.3.8 不同供应商的磋商响应性文件内容存在非正常一致的；</w:t>
      </w:r>
    </w:p>
    <w:p w14:paraId="2B993B5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2.3.9 不同供应商的服务方案中专门针对本项目的内容基本雷同的；</w:t>
      </w:r>
    </w:p>
    <w:p w14:paraId="3AE2268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2.3.10 不同供应商的磋商响应性文件出现磋商小组认为不应当雷同的情况的；</w:t>
      </w:r>
    </w:p>
    <w:p w14:paraId="430C59B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2.3.11 法律法规规章规定的其他围标串标行为。</w:t>
      </w:r>
    </w:p>
    <w:p w14:paraId="56A2CF0D">
      <w:pPr>
        <w:pStyle w:val="8"/>
        <w:kinsoku w:val="0"/>
        <w:overflowPunct w:val="0"/>
        <w:spacing w:before="26" w:line="355" w:lineRule="auto"/>
        <w:ind w:right="50"/>
        <w:rPr>
          <w:rFonts w:hint="eastAsia" w:ascii="仿宋" w:hAnsi="仿宋" w:eastAsia="仿宋" w:cs="仿宋"/>
        </w:rPr>
      </w:pPr>
      <w:r>
        <w:rPr>
          <w:rFonts w:hint="eastAsia" w:ascii="仿宋" w:hAnsi="仿宋" w:eastAsia="仿宋" w:cs="仿宋"/>
          <w:b/>
          <w:bCs/>
        </w:rPr>
        <w:t>3.对磋商小组成员的纪律要求</w:t>
      </w:r>
      <w:r>
        <w:rPr>
          <w:rFonts w:hint="eastAsia" w:ascii="仿宋" w:hAnsi="仿宋" w:eastAsia="仿宋" w:cs="仿宋"/>
        </w:rPr>
        <w:t xml:space="preserve"> </w:t>
      </w:r>
    </w:p>
    <w:p w14:paraId="5D6213D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磋商小组成员不得收受他人的财物或者其他好处，不得向他人透漏对磋商响应性文件的评审和比较、中标候选人的推荐情况以及评标有关的其他情况。在评标活动中，磋商小组成员不得擅离职守，</w:t>
      </w:r>
      <w:bookmarkStart w:id="25" w:name="（十二）无效投标"/>
      <w:bookmarkEnd w:id="25"/>
      <w:bookmarkStart w:id="26" w:name="bookmark13"/>
      <w:bookmarkEnd w:id="26"/>
      <w:bookmarkStart w:id="27" w:name="bookmark14"/>
      <w:bookmarkEnd w:id="27"/>
      <w:bookmarkStart w:id="28" w:name="（十三）废标"/>
      <w:bookmarkEnd w:id="28"/>
      <w:r>
        <w:rPr>
          <w:rFonts w:hint="eastAsia" w:ascii="仿宋" w:hAnsi="仿宋" w:eastAsia="仿宋" w:cs="仿宋"/>
        </w:rPr>
        <w:t>影响评标程序正常进行，不得使用“评标办法”没有规定的 评审因素和标准进行评标。</w:t>
      </w:r>
    </w:p>
    <w:p w14:paraId="61416561">
      <w:pPr>
        <w:pStyle w:val="8"/>
        <w:kinsoku w:val="0"/>
        <w:overflowPunct w:val="0"/>
        <w:spacing w:before="38" w:line="357" w:lineRule="auto"/>
        <w:ind w:left="598" w:right="50" w:hanging="480"/>
        <w:rPr>
          <w:rFonts w:hint="eastAsia" w:ascii="仿宋" w:hAnsi="仿宋" w:eastAsia="仿宋" w:cs="仿宋"/>
          <w:b/>
          <w:bCs/>
          <w:spacing w:val="26"/>
          <w:w w:val="99"/>
        </w:rPr>
      </w:pPr>
      <w:r>
        <w:rPr>
          <w:rFonts w:hint="eastAsia" w:ascii="仿宋" w:hAnsi="仿宋" w:eastAsia="仿宋" w:cs="仿宋"/>
          <w:b/>
          <w:bCs/>
        </w:rPr>
        <w:t>4.对与评标活动有关的工作人员的纪律要求</w:t>
      </w:r>
      <w:r>
        <w:rPr>
          <w:rFonts w:hint="eastAsia" w:ascii="仿宋" w:hAnsi="仿宋" w:eastAsia="仿宋" w:cs="仿宋"/>
          <w:b/>
          <w:bCs/>
          <w:spacing w:val="26"/>
          <w:w w:val="99"/>
        </w:rPr>
        <w:t xml:space="preserve"> </w:t>
      </w:r>
    </w:p>
    <w:p w14:paraId="243904D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与评标活动有关的工作人员不得收受他人的财物或者其他好处，不得向他人透漏对标文件的评审和比较、中标候选人的推荐情况以及评标有关的其他情况。在评标活动中，与评标活动有关的工作人员不得擅离职守，影响评标程序正常进行。</w:t>
      </w:r>
    </w:p>
    <w:p w14:paraId="7776E6E5">
      <w:pPr>
        <w:pStyle w:val="4"/>
        <w:rPr>
          <w:rFonts w:hint="eastAsia" w:ascii="仿宋" w:hAnsi="仿宋" w:eastAsia="仿宋" w:cs="仿宋"/>
        </w:rPr>
      </w:pPr>
      <w:bookmarkStart w:id="29" w:name="_Toc16816"/>
      <w:r>
        <w:rPr>
          <w:rFonts w:hint="eastAsia" w:ascii="仿宋" w:hAnsi="仿宋" w:eastAsia="仿宋" w:cs="仿宋"/>
        </w:rPr>
        <w:t>（十）无效投标</w:t>
      </w:r>
      <w:bookmarkEnd w:id="29"/>
    </w:p>
    <w:p w14:paraId="3F4387C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遇到下列情况之一时, 投标人的投标将被视为无效投标: </w:t>
      </w:r>
    </w:p>
    <w:p w14:paraId="2E07C0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1)未按照招标文件的规定提交投标保证金的；</w:t>
      </w:r>
    </w:p>
    <w:p w14:paraId="1732BC1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2)投标文件未按招标文件要求签署、盖章的；</w:t>
      </w:r>
    </w:p>
    <w:p w14:paraId="5381CEF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3)不具备招标文件中规定的资格要求的；</w:t>
      </w:r>
    </w:p>
    <w:p w14:paraId="6D1168F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 报价超过招标文件中规定的预算金额或者最高限价的；</w:t>
      </w:r>
    </w:p>
    <w:p w14:paraId="5CA5BC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 投标文件含有采购人不能接受的附加条件的；</w:t>
      </w:r>
    </w:p>
    <w:p w14:paraId="35448C8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6)法律、法规和招标文件规定的其他无效情形；</w:t>
      </w:r>
    </w:p>
    <w:p w14:paraId="3A617C0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7)有下列情形之一的，视为投标人串通投标，其投标无效： </w:t>
      </w:r>
    </w:p>
    <w:p w14:paraId="5105F96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A、不同投标人的投标文件由同一单位或者个人编制； </w:t>
      </w:r>
    </w:p>
    <w:p w14:paraId="03D5534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B、不同投标人委托同一单位或者个人办理投标事宜； </w:t>
      </w:r>
    </w:p>
    <w:p w14:paraId="08A9AEF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C、不同投标人的投标文件载明的项目管理成员或者联系人员为同一人； </w:t>
      </w:r>
    </w:p>
    <w:p w14:paraId="3A9247F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D、不同投标人的投标文件异常一致或者投标报价呈规律性差异； </w:t>
      </w:r>
    </w:p>
    <w:p w14:paraId="77EEAB9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E、不同投标人的投标文件相互混装； </w:t>
      </w:r>
    </w:p>
    <w:p w14:paraId="5D4F3A9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F、不同投标人的投标保证金从同一单位或者个人的账户转出。</w:t>
      </w:r>
    </w:p>
    <w:p w14:paraId="012B9771">
      <w:pPr>
        <w:pStyle w:val="4"/>
        <w:rPr>
          <w:rFonts w:hint="eastAsia" w:ascii="仿宋" w:hAnsi="仿宋" w:eastAsia="仿宋" w:cs="仿宋"/>
        </w:rPr>
      </w:pPr>
      <w:bookmarkStart w:id="30" w:name="_Toc9021"/>
      <w:r>
        <w:rPr>
          <w:rFonts w:hint="eastAsia" w:ascii="仿宋" w:hAnsi="仿宋" w:eastAsia="仿宋" w:cs="仿宋"/>
        </w:rPr>
        <w:t>（十</w:t>
      </w:r>
      <w:r>
        <w:rPr>
          <w:rFonts w:hint="eastAsia" w:ascii="仿宋" w:hAnsi="仿宋" w:eastAsia="仿宋" w:cs="仿宋"/>
          <w:lang w:eastAsia="zh-CN"/>
        </w:rPr>
        <w:t>一</w:t>
      </w:r>
      <w:r>
        <w:rPr>
          <w:rFonts w:hint="eastAsia" w:ascii="仿宋" w:hAnsi="仿宋" w:eastAsia="仿宋" w:cs="仿宋"/>
        </w:rPr>
        <w:t>）废标</w:t>
      </w:r>
      <w:bookmarkEnd w:id="30"/>
    </w:p>
    <w:p w14:paraId="1EB1B9C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招标采购中，出现下列情形之一的，予以废标：</w:t>
      </w:r>
    </w:p>
    <w:p w14:paraId="2C36385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（1）符合专业条件的投标单位或者对竞争性磋商文件作实质响应的投标单位不足</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14:paraId="53371A4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（2）出现影响采购公正的违法、违规行为的；</w:t>
      </w:r>
    </w:p>
    <w:p w14:paraId="14A9F85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（3）供应商的报价均超过了采购预算，采购人不能支付的；</w:t>
      </w:r>
    </w:p>
    <w:p w14:paraId="258B89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（4）因重大变故，采购任务取消的。废标后，招标代理机构应在发布公告相同的网站上公告，并公告废标的详细理由。</w:t>
      </w:r>
    </w:p>
    <w:p w14:paraId="5ACCF596">
      <w:pPr>
        <w:pStyle w:val="4"/>
        <w:rPr>
          <w:rFonts w:hint="eastAsia" w:ascii="仿宋" w:hAnsi="仿宋" w:eastAsia="仿宋" w:cs="仿宋"/>
        </w:rPr>
      </w:pPr>
      <w:bookmarkStart w:id="31" w:name="_Toc32698"/>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）质疑和投诉</w:t>
      </w:r>
      <w:bookmarkEnd w:id="31"/>
    </w:p>
    <w:p w14:paraId="0431EAE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1.供应商对政府采购活动事项有疑问的，可以向采购人提出询问，采购人应当及时作出答复，但答复的内容不得涉及商业秘密。</w:t>
      </w:r>
    </w:p>
    <w:p w14:paraId="6B5B1B8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2.供应商认为竞争性磋商文件、采购过程和中标、中标结果使自己的权益受到损害的，可以在知道或者应知其权益受到损害之日起七个工作日内，以规范的格式，详实的证明材料向采购人提出质疑。</w:t>
      </w:r>
    </w:p>
    <w:p w14:paraId="7B05CA1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3.采购人应当在收到供应商的书面质疑后七个工作日内作出答复，并通知质疑供应商和其他有关供应商，但答复的内容不得涉及商业秘密。</w:t>
      </w:r>
    </w:p>
    <w:p w14:paraId="246BFFB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委托采购代理机构采购的，供应商可以向采购代理机构提出询问或者质疑，采购代理机构应当依照《中华人民共和国政府采购法》第五十一条、第五十三条的规定就采购人委托授权范围内的事项作出答复。</w:t>
      </w:r>
    </w:p>
    <w:p w14:paraId="7E0B061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5.质疑供应商对采购人、采购代理机构的答复不满意或者采购人、采购代理机构未在规定的时间内作出答复的，可以在答复期满后十五个工作日内向同级政府采购监督管理部门投诉。</w:t>
      </w:r>
    </w:p>
    <w:p w14:paraId="587D517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6.政府采购监督管理部门应当在收到投诉后三十个工作日内，对投诉事项作出处理决定，并以书面形式通知投诉人和与投诉事项有关的当事人。</w:t>
      </w:r>
    </w:p>
    <w:p w14:paraId="2D8E886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7.政府采购监督管理部门在处理投诉事项期间，可以视具体情况书面通知采购人暂停采购活动，但暂停时间最长不得超过三十日。</w:t>
      </w:r>
    </w:p>
    <w:p w14:paraId="6B9019B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8.投诉人对政府采购监督管理部门的投诉处理决定不服或者政府采购监督管理部门逾期未作处理的，可以依法申请行政复议或者向人民法院提起行政诉讼。</w:t>
      </w:r>
    </w:p>
    <w:p w14:paraId="10267F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9.质疑、投诉书应当包括下列主要内容：</w:t>
      </w:r>
    </w:p>
    <w:p w14:paraId="0FC2D68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（1）投诉人和被投诉人的名称、地址、电话等；</w:t>
      </w:r>
    </w:p>
    <w:p w14:paraId="0E5F074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（2）具体的投诉事项及事实依据；</w:t>
      </w:r>
    </w:p>
    <w:p w14:paraId="497E14A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（3）提供有关质疑事项真实可靠的书面证明材料；</w:t>
      </w:r>
    </w:p>
    <w:p w14:paraId="2C05C06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（4）提起投诉的日期。 质疑、投诉书应当署名。质疑、投诉人为自然人的，应当由本人签字；质疑、投诉人为法人或者其他组织的，应当由法定代表人签字并加盖公章；质疑、投诉人为委托授 权人的应该出具针对本质疑、投诉事项的法人委托授权书。</w:t>
      </w:r>
    </w:p>
    <w:p w14:paraId="6BD93DC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10.投诉人有下列情形之一的，属于虚假、恶意投诉，财政部门应当驳回投诉，将其列入不良行为记录名单，并依法予以处罚：</w:t>
      </w:r>
    </w:p>
    <w:p w14:paraId="5F6203C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 年内 3 次以上投诉均查无实据的；</w:t>
      </w:r>
    </w:p>
    <w:p w14:paraId="679FFD8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（2）捏造事实或者提供虚假投诉材料的。 </w:t>
      </w:r>
    </w:p>
    <w:p w14:paraId="1EB67C4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11.澄清或质疑不予受理的情况有下列情形之一的，属于无效质疑，被质疑人不予受理，由此产生的影响由供应商自行承担：</w:t>
      </w:r>
    </w:p>
    <w:p w14:paraId="739438F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（1）不是参与该政府采购项目活动供应商的；</w:t>
      </w:r>
    </w:p>
    <w:p w14:paraId="4E1B260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（2）被质疑人为采购人或政府采购代理机构之外的；</w:t>
      </w:r>
    </w:p>
    <w:p w14:paraId="049047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（3）所有质疑事项超过质疑有效期的；</w:t>
      </w:r>
    </w:p>
    <w:p w14:paraId="3101980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（4）以具有法律效力的文书送达之外方式提出的；</w:t>
      </w:r>
    </w:p>
    <w:p w14:paraId="0C193B9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（5）未按上述规定递交澄清或质疑函的；</w:t>
      </w:r>
    </w:p>
    <w:p w14:paraId="4ADF40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（6）其它不符合受理条件的情形。</w:t>
      </w:r>
    </w:p>
    <w:p w14:paraId="3A31EC2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 12.腐败和欺诈行为</w:t>
      </w:r>
    </w:p>
    <w:p w14:paraId="5B7E7E2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（1）定义 “腐败行为”系指提供、给予、接受或索取任何有价值的物品来影响招标代理机构和/或采购人在采购过程或合同实施过程中的行为。 “欺诈行为”系指为了影响采购过程或合同实施过程而谎报事实，损害招标代理机构和采购人的利益，包括供应商之间串通投标（递交《磋商响应性文件》之前和之后）， 人为地使投标丧失竞争性，剥夺采购人从自由公开竞争所能获得的权益。</w:t>
      </w:r>
    </w:p>
    <w:p w14:paraId="18DF455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（2）如果招标代理机构和采购人认为供应商在本项目的竞争中有腐败或欺诈行为， 其投标将被拒绝。</w:t>
      </w:r>
    </w:p>
    <w:p w14:paraId="0CC0A814">
      <w:pPr>
        <w:bidi w:val="0"/>
        <w:jc w:val="center"/>
        <w:outlineLvl w:val="0"/>
        <w:rPr>
          <w:rFonts w:hint="eastAsia" w:ascii="仿宋" w:hAnsi="仿宋" w:eastAsia="仿宋" w:cs="仿宋"/>
          <w:spacing w:val="1"/>
        </w:rPr>
      </w:pPr>
      <w:r>
        <w:rPr>
          <w:rFonts w:hint="eastAsia" w:ascii="仿宋" w:hAnsi="仿宋" w:eastAsia="仿宋" w:cs="仿宋"/>
        </w:rPr>
        <w:br w:type="page"/>
      </w:r>
      <w:bookmarkStart w:id="32" w:name="_Toc972"/>
      <w:r>
        <w:rPr>
          <w:rStyle w:val="49"/>
          <w:rFonts w:hint="eastAsia" w:ascii="仿宋" w:hAnsi="仿宋" w:eastAsia="仿宋" w:cs="仿宋"/>
          <w:lang w:val="en-US" w:eastAsia="zh-CN"/>
        </w:rPr>
        <w:t>第三章  评标办法</w:t>
      </w:r>
      <w:bookmarkEnd w:id="32"/>
    </w:p>
    <w:p w14:paraId="3FECEE71">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一、总则</w:t>
      </w:r>
    </w:p>
    <w:p w14:paraId="629F0D0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根据《中华人民共和国政府采购法》、《中华人民共和国政府采购法实施条例》、《政府购买服务管理办法（暂行）》、《政府采购竞争性磋商采购方式管理暂行办法》等法律规章，结合采购项目特点制定本评标办法。</w:t>
      </w:r>
    </w:p>
    <w:p w14:paraId="3AC489B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2.评标工作由招标代理机构负责组织，具体评标事务由招标代理机构依法组建的磋商小组负责。磋商小组成员</w:t>
      </w:r>
      <w:r>
        <w:rPr>
          <w:rFonts w:hint="eastAsia" w:ascii="仿宋" w:hAnsi="仿宋" w:eastAsia="仿宋" w:cs="仿宋"/>
          <w:lang w:eastAsia="zh-CN"/>
        </w:rPr>
        <w:t>人数</w:t>
      </w:r>
      <w:r>
        <w:rPr>
          <w:rFonts w:hint="eastAsia" w:ascii="仿宋" w:hAnsi="仿宋" w:eastAsia="仿宋" w:cs="仿宋"/>
          <w:lang w:val="en-US" w:eastAsia="zh-CN"/>
        </w:rPr>
        <w:t>3</w:t>
      </w:r>
      <w:r>
        <w:rPr>
          <w:rFonts w:hint="eastAsia" w:ascii="仿宋" w:hAnsi="仿宋" w:eastAsia="仿宋" w:cs="仿宋"/>
          <w:lang w:eastAsia="zh-CN"/>
        </w:rPr>
        <w:t>人及以上</w:t>
      </w:r>
      <w:r>
        <w:rPr>
          <w:rFonts w:hint="eastAsia" w:ascii="仿宋" w:hAnsi="仿宋" w:eastAsia="仿宋" w:cs="仿宋"/>
        </w:rPr>
        <w:t>单数，其中技术、经济等方面的专家不少于成员总数的三分之二。磋商小组由有关技术、经济等方面的专家组成。</w:t>
      </w:r>
    </w:p>
    <w:p w14:paraId="27A089D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3.评标工作应遵循公平、公正、科学及择优的原则，并以相同的评标程序和标准对待所有的供应商。</w:t>
      </w:r>
    </w:p>
    <w:p w14:paraId="7E2244A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4.磋商小组按照竞争性磋商文件规定的评标方法和标准进行评标，并独立履行下列职责：</w:t>
      </w:r>
    </w:p>
    <w:p w14:paraId="740809C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（1）审查磋商响应性文件是否符合竞争性磋商文件要求，并做出评价；</w:t>
      </w:r>
    </w:p>
    <w:p w14:paraId="1416D6F2">
      <w:pPr>
        <w:pStyle w:val="8"/>
        <w:kinsoku w:val="0"/>
        <w:overflowPunct w:val="0"/>
        <w:spacing w:before="34" w:line="357" w:lineRule="auto"/>
        <w:ind w:left="598" w:right="126"/>
        <w:jc w:val="both"/>
        <w:rPr>
          <w:rFonts w:hint="eastAsia" w:ascii="仿宋" w:hAnsi="仿宋" w:eastAsia="仿宋" w:cs="仿宋"/>
        </w:rPr>
      </w:pPr>
      <w:r>
        <w:rPr>
          <w:rFonts w:hint="eastAsia" w:ascii="仿宋" w:hAnsi="仿宋" w:eastAsia="仿宋" w:cs="仿宋"/>
        </w:rPr>
        <w:t>（2）要求投标供应商对磋商响应性文件有关事项做出解释或者澄清；</w:t>
      </w:r>
    </w:p>
    <w:p w14:paraId="29A6D44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（3）推荐中标候选供应商名单，或者受采购人委托按照事先确定的办法直接确定中标单位；</w:t>
      </w:r>
    </w:p>
    <w:p w14:paraId="54DE37C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（4）向招标采购单位或者有关部门报告非法干预评标工作的行为。</w:t>
      </w:r>
    </w:p>
    <w:p w14:paraId="372486B1">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二、评标、定标组织</w:t>
      </w:r>
    </w:p>
    <w:p w14:paraId="2F816A6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1.开标后，由磋商小组组织进行评标。</w:t>
      </w:r>
    </w:p>
    <w:p w14:paraId="183B78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2.磋商小组由业主代表与专家库随机抽取的专家共</w:t>
      </w:r>
      <w:r>
        <w:rPr>
          <w:rFonts w:hint="eastAsia" w:ascii="仿宋" w:hAnsi="仿宋" w:eastAsia="仿宋" w:cs="仿宋"/>
          <w:lang w:val="en-US" w:eastAsia="zh-CN"/>
        </w:rPr>
        <w:t>3</w:t>
      </w:r>
      <w:r>
        <w:rPr>
          <w:rFonts w:hint="eastAsia" w:ascii="仿宋" w:hAnsi="仿宋" w:eastAsia="仿宋" w:cs="仿宋"/>
        </w:rPr>
        <w:t>人</w:t>
      </w:r>
      <w:r>
        <w:rPr>
          <w:rFonts w:hint="eastAsia" w:ascii="仿宋" w:hAnsi="仿宋" w:eastAsia="仿宋" w:cs="仿宋"/>
          <w:lang w:eastAsia="zh-CN"/>
        </w:rPr>
        <w:t>及以上</w:t>
      </w:r>
      <w:r>
        <w:rPr>
          <w:rFonts w:hint="eastAsia" w:ascii="仿宋" w:hAnsi="仿宋" w:eastAsia="仿宋" w:cs="仿宋"/>
        </w:rPr>
        <w:t>组成，磋商小组</w:t>
      </w:r>
      <w:r>
        <w:rPr>
          <w:rFonts w:hint="eastAsia" w:ascii="仿宋" w:hAnsi="仿宋" w:eastAsia="仿宋" w:cs="仿宋"/>
          <w:lang w:eastAsia="zh-CN"/>
        </w:rPr>
        <w:t>组长</w:t>
      </w:r>
      <w:r>
        <w:rPr>
          <w:rFonts w:hint="eastAsia" w:ascii="仿宋" w:hAnsi="仿宋" w:eastAsia="仿宋" w:cs="仿宋"/>
        </w:rPr>
        <w:t>由磋商小组成员共同推举产生，磋商小组</w:t>
      </w:r>
      <w:r>
        <w:rPr>
          <w:rFonts w:hint="eastAsia" w:ascii="仿宋" w:hAnsi="仿宋" w:eastAsia="仿宋" w:cs="仿宋"/>
          <w:lang w:eastAsia="zh-CN"/>
        </w:rPr>
        <w:t>组长</w:t>
      </w:r>
      <w:r>
        <w:rPr>
          <w:rFonts w:hint="eastAsia" w:ascii="仿宋" w:hAnsi="仿宋" w:eastAsia="仿宋" w:cs="仿宋"/>
        </w:rPr>
        <w:t>主持整个评标工作，与磋商小组的其他成员有同等的表决权。</w:t>
      </w:r>
    </w:p>
    <w:p w14:paraId="4DE5D43E">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三、评标原则</w:t>
      </w:r>
    </w:p>
    <w:p w14:paraId="3184739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1.磋商小组按照公平、公正、科学、择优的原则对待所有的供应商；</w:t>
      </w:r>
    </w:p>
    <w:p w14:paraId="071542F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2.磋商小组成员应当客观、公正地履行职责，遵守职业道德，对所提出的评审意见承担个人责任；磋商小组成员实行主动回避制度；磋商小组成员及工作人员对整个评标活动保密。</w:t>
      </w:r>
    </w:p>
    <w:p w14:paraId="7B3D53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3.磋商小组审查磋商响应性文件是否符合竞争性磋商文件的所有条款、条件和规定。</w:t>
      </w:r>
    </w:p>
    <w:p w14:paraId="28D094C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4.评标只对实质上响应竞争性磋商文件要求的有效磋商响应性文件进行评审，响应的依据是磋商响应性文件本身的内容，而不寻求其它证据。 </w:t>
      </w:r>
    </w:p>
    <w:p w14:paraId="51D9DB2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5.评标将依据竞争性磋商文件确定的标准和方法，结合磋商响应性文件及其补充文件进行，不得忽视磋商响应性文件的实质性内容进行评标。 </w:t>
      </w:r>
    </w:p>
    <w:p w14:paraId="1E0D5F8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6.评标活动依法进行，任何单位和个人不得非法干预、阻挠采购人采购代理机构的正常工作或者影响评标过程和结果。</w:t>
      </w:r>
    </w:p>
    <w:p w14:paraId="0309487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四、评标方法</w:t>
      </w:r>
    </w:p>
    <w:p w14:paraId="39661ED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本次采购项目定标采用“综合评分法”。“综合评分法”是指在最大限度地满足竞争性磋商文件实质性要求前提下，以投标报价、技术响应程度、售后服务、商务等综合实力多个因素作为评审指标，全面比较各磋商响应性文件质量、价格、供应商的售后服务、资信情况等因素客观地进行评审，使评审的结果能准确地反映供应商的实际情况，并将各指标量化计分，按总得分排列顺序，确定中标人的方法。总得分最高的供应商作为拟中标单位。</w:t>
      </w:r>
    </w:p>
    <w:p w14:paraId="417D762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2.采购人、招标代理机构不向供应商承诺最低价中标，不解释中标或落标原因，不退还磋商响应性文件。</w:t>
      </w:r>
    </w:p>
    <w:p w14:paraId="07F529D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3.供应商申报的关于资质、业绩等文件和材料必须真实准确，不得弄虚作假。</w:t>
      </w:r>
    </w:p>
    <w:p w14:paraId="43BBA95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4.供应商不得以任何形式搜集评标机密，不得以任何形式干扰评标或授标工作。</w:t>
      </w:r>
    </w:p>
    <w:p w14:paraId="77DCEE0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5.供应商在磋商响应性文件的评审、澄清、比较以及授予合同过程中对评标人员施加影响的任何行为，都将导致被取消投标资格。</w:t>
      </w:r>
    </w:p>
    <w:p w14:paraId="150E828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6.供应商应具备较强的技术力量及综合实力，在众多项目中业绩、信誉良好，并能确保本次招标采购的长远售后服务。</w:t>
      </w:r>
    </w:p>
    <w:p w14:paraId="6591BA8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7.磋商小组成员对需要共同认定的事项存在争议的，应当按照少数服从多数的原则作出结论。持不同意见的磋商小组成员应当在评标报告上签署不同意见及理由，否则视为同意评标报告。</w:t>
      </w:r>
    </w:p>
    <w:p w14:paraId="5513F1EA">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五、评标过程的保密性 </w:t>
      </w:r>
    </w:p>
    <w:p w14:paraId="7DD257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1.开标后，至到向中标人授予合同时止，凡与审查、澄清、评价和比较投标的有关资料以及授标意见等，均不得向供应商及与评标无关的其他人透露。 </w:t>
      </w:r>
    </w:p>
    <w:p w14:paraId="53E8D58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2.在评标过程中，如果供应商试图在磋商响应性文件审查、澄清、比较及授予合同方面向采购人施加任何影响，其投标将被拒绝。 </w:t>
      </w:r>
    </w:p>
    <w:p w14:paraId="0D61A4F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3.评标人员严格遵守国家的有关保密法律、法规的规定，严格自律，同时接受有关部门的监督、审查。</w:t>
      </w:r>
    </w:p>
    <w:p w14:paraId="69EA6A00">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六、评标过程中磋商响应性文件的澄清</w:t>
      </w:r>
    </w:p>
    <w:p w14:paraId="163ECC3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为了公平、公正的对《磋商响应性文件》进行审查、评估和比较，磋商小组可以向投标供应商质疑，请供应商对有关情况作必要说明。供应商有责任按照磋商小组提出的质疑，指派专人进行答疑。重要问题供应商应以书面形式解答。但是澄清或者说明不得超过磋商响应性文件的范围或修改磋商响应性文件的实质性内容，解答文件作为《磋商响应性文件》的组成部分。《竞争性磋商文件》、《磋商响应性文件》及其澄清文件等，均作为签订合同的依据。若供应商对磋商小组提出的质疑不予答复，其不利后果由供应商自行承担。</w:t>
      </w:r>
    </w:p>
    <w:p w14:paraId="091451D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若磋商小组发现供应商的投标报价或主要单项货物报价明显低于同标段其它供应商投标报价或者在设有参考标底时明显低于参考标底价，使得其投标报价可能低于其个别成本的，应该要求该供应商作出书面说明并提供相关证明材料。如果供应商不能提供材料证明该项报价有效，磋商小组应当认定低于成本价竞标，否决其投标。如果供应商提供了证明材料，且磋商小组无法证明其无效的，磋商小组应当接受该项投标报价。</w:t>
      </w:r>
    </w:p>
    <w:p w14:paraId="74AB7120">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磋商小组认为投标人的报价明显低于其他通过符合性审查投标人的报价，有可能影响产品质量或者不能诚信履约的，磋商小组有权要求其在评标现场合理的时间内提供书面说明，必要时提交相关证明材料；投标人如不能证明其报价合理性的，磋商小组应当将其作为无效投标处理。</w:t>
      </w:r>
    </w:p>
    <w:p w14:paraId="6ACCE9A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七、会议组成成员的职责 </w:t>
      </w:r>
    </w:p>
    <w:p w14:paraId="028F83D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1.采购人：在监督部门监督下，根据《中华人民共和国政府采购法》、《政府购买服务管理办法（暂行）》、《政府采购竞争性磋商采购方式管理暂行办法》规定构成磋商小组成员之一。</w:t>
      </w:r>
    </w:p>
    <w:p w14:paraId="5211B1B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招标代理机构：根据《中华人民共和国政府采购法》、《中华人民共和国政府采购法实施条例》、《政府购买服务管理办法（暂行）》等文件的规定，由代理机构工作人员组成，负责《竞争性磋商文件》的制作，对外联系，开标、评标的会务工作,整理并向磋商小组成员分发招标资料和《磋商响应性文件》；做好开标和评标会议记录；对评标过程中的原始文件进行归档；随时印发需要的文件资料,对各种咨询函件及档案文件的统收统发；负责对磋商小组推荐的拟中标结果进行审核。</w:t>
      </w:r>
    </w:p>
    <w:p w14:paraId="1405332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3.监督部门：根据国家有关法律、法规规定由规定部门对整个开标评标过程进行监督, 其他任何单位和个人不得参与或非法干预正常的评审工作和评审结果，保证评标的公正性,防止违法行为的产生。</w:t>
      </w:r>
    </w:p>
    <w:p w14:paraId="181BF04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4.审核小组</w:t>
      </w:r>
      <w:r>
        <w:rPr>
          <w:rFonts w:hint="eastAsia" w:ascii="仿宋" w:hAnsi="仿宋" w:eastAsia="仿宋" w:cs="仿宋"/>
          <w:spacing w:val="-27"/>
        </w:rPr>
        <w:t>：</w:t>
      </w:r>
      <w:r>
        <w:rPr>
          <w:rFonts w:hint="eastAsia" w:ascii="仿宋" w:hAnsi="仿宋" w:eastAsia="仿宋" w:cs="仿宋"/>
        </w:rPr>
        <w:t>由监督部门和代理机构项目负责人共同组</w:t>
      </w:r>
      <w:r>
        <w:rPr>
          <w:rFonts w:hint="eastAsia" w:ascii="仿宋" w:hAnsi="仿宋" w:eastAsia="仿宋" w:cs="仿宋"/>
          <w:spacing w:val="2"/>
        </w:rPr>
        <w:t>成</w:t>
      </w:r>
      <w:r>
        <w:rPr>
          <w:rFonts w:hint="eastAsia" w:ascii="仿宋" w:hAnsi="仿宋" w:eastAsia="仿宋" w:cs="仿宋"/>
          <w:spacing w:val="-27"/>
        </w:rPr>
        <w:t>，</w:t>
      </w:r>
      <w:r>
        <w:rPr>
          <w:rFonts w:hint="eastAsia" w:ascii="仿宋" w:hAnsi="仿宋" w:eastAsia="仿宋" w:cs="仿宋"/>
        </w:rPr>
        <w:t>负责对磋商小组填写的商务打分表和技术打分表最终统计结果进行审核，审核无误后由磋商小组签字确认。</w:t>
      </w:r>
    </w:p>
    <w:p w14:paraId="655CCB0E">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八、定标方法：</w:t>
      </w:r>
    </w:p>
    <w:p w14:paraId="7803543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1.磋商小组以开标、评标情况为基本依据，对符合条件的《磋商响应性文件》及供应商进行综合评审打分，总分值设定为 100 分。</w:t>
      </w:r>
    </w:p>
    <w:p w14:paraId="03EF8E9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2.投标报价得分由磋商小组按照价格分计算公式计算分值。</w:t>
      </w:r>
    </w:p>
    <w:p w14:paraId="100931C9">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3.商务部分由磋商小组共同评定唯一的得分。</w:t>
      </w:r>
    </w:p>
    <w:p w14:paraId="06AA24F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4.技术部分由磋商小组专家分别打分后，取平均分作为技术分最后得分。</w:t>
      </w:r>
    </w:p>
    <w:p w14:paraId="7F58102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5.供应商综合评分最终总分值为商务部分、技术部分和投标报价三部分得分总和。</w:t>
      </w:r>
    </w:p>
    <w:p w14:paraId="179E82B2">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九、评标程序及标准（综合评分法）</w:t>
      </w:r>
    </w:p>
    <w:p w14:paraId="570FC28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1.初步评审：</w:t>
      </w:r>
    </w:p>
    <w:p w14:paraId="6EE1C852">
      <w:pPr>
        <w:pStyle w:val="8"/>
        <w:kinsoku w:val="0"/>
        <w:overflowPunct w:val="0"/>
        <w:spacing w:before="34" w:line="357" w:lineRule="auto"/>
        <w:ind w:right="126" w:firstLine="480"/>
        <w:rPr>
          <w:rFonts w:hint="eastAsia" w:ascii="仿宋" w:hAnsi="仿宋" w:eastAsia="仿宋" w:cs="仿宋"/>
          <w:color w:val="auto"/>
        </w:rPr>
      </w:pPr>
      <w:r>
        <w:rPr>
          <w:rFonts w:hint="eastAsia" w:ascii="仿宋" w:hAnsi="仿宋" w:eastAsia="仿宋" w:cs="仿宋"/>
          <w:b/>
          <w:bCs/>
          <w:color w:val="auto"/>
        </w:rPr>
        <w:t>1.1 资格性审查：</w:t>
      </w:r>
      <w:r>
        <w:rPr>
          <w:rFonts w:hint="eastAsia" w:ascii="仿宋" w:hAnsi="仿宋" w:eastAsia="仿宋" w:cs="仿宋"/>
          <w:color w:val="auto"/>
        </w:rPr>
        <w:t>依据法律法规和《竞争性磋商文件》的规定，对《磋商响应性文件》中的资格证明、投标保证金等进行审查，以确定供应商是否具备投标资格。</w:t>
      </w:r>
    </w:p>
    <w:p w14:paraId="65723DDE">
      <w:pPr>
        <w:pStyle w:val="8"/>
        <w:kinsoku w:val="0"/>
        <w:overflowPunct w:val="0"/>
        <w:spacing w:before="34" w:line="357" w:lineRule="auto"/>
        <w:ind w:right="126" w:firstLine="480"/>
        <w:rPr>
          <w:rFonts w:hint="eastAsia" w:ascii="仿宋" w:hAnsi="仿宋" w:eastAsia="仿宋" w:cs="仿宋"/>
          <w:color w:val="auto"/>
          <w:lang w:eastAsia="zh-CN"/>
        </w:rPr>
      </w:pPr>
      <w:r>
        <w:rPr>
          <w:rFonts w:hint="eastAsia" w:ascii="仿宋" w:hAnsi="仿宋" w:eastAsia="仿宋" w:cs="仿宋"/>
          <w:color w:val="auto"/>
        </w:rPr>
        <w:t>资格性审查有一项不符合的，由磋商小组按无效投标处理，资格审查主要审查</w:t>
      </w:r>
      <w:r>
        <w:rPr>
          <w:rFonts w:hint="eastAsia" w:ascii="仿宋" w:hAnsi="仿宋" w:eastAsia="仿宋" w:cs="仿宋"/>
          <w:color w:val="auto"/>
          <w:lang w:val="en-US" w:eastAsia="zh-CN"/>
        </w:rPr>
        <w:t>内容详见附表一</w:t>
      </w:r>
      <w:r>
        <w:rPr>
          <w:rFonts w:hint="eastAsia" w:ascii="仿宋" w:hAnsi="仿宋" w:eastAsia="仿宋" w:cs="仿宋"/>
          <w:color w:val="auto"/>
          <w:lang w:eastAsia="zh-CN"/>
        </w:rPr>
        <w:t>；</w:t>
      </w:r>
    </w:p>
    <w:p w14:paraId="66A77BA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b/>
          <w:bCs/>
        </w:rPr>
        <w:t xml:space="preserve">1.2 </w:t>
      </w:r>
      <w:r>
        <w:rPr>
          <w:rFonts w:hint="eastAsia" w:ascii="仿宋" w:hAnsi="仿宋" w:eastAsia="仿宋" w:cs="仿宋"/>
          <w:b/>
          <w:bCs/>
          <w:lang w:eastAsia="zh-CN"/>
        </w:rPr>
        <w:t>响应</w:t>
      </w:r>
      <w:r>
        <w:rPr>
          <w:rFonts w:hint="eastAsia" w:ascii="仿宋" w:hAnsi="仿宋" w:eastAsia="仿宋" w:cs="仿宋"/>
          <w:b/>
          <w:bCs/>
        </w:rPr>
        <w:t>性审查：</w:t>
      </w:r>
      <w:r>
        <w:rPr>
          <w:rFonts w:hint="eastAsia" w:ascii="仿宋" w:hAnsi="仿宋" w:eastAsia="仿宋" w:cs="仿宋"/>
        </w:rPr>
        <w:t>依据《竞争性磋商文件》的规定，从《磋商响应性文件》的有效性、完整性和对《竞争性磋商文件》的响应程度进行审查，以确定是否对《竞争性磋商文件》的实质性要求做出响应。响应性审查</w:t>
      </w:r>
      <w:r>
        <w:rPr>
          <w:rFonts w:hint="eastAsia" w:ascii="仿宋" w:hAnsi="仿宋" w:eastAsia="仿宋" w:cs="仿宋"/>
          <w:color w:val="auto"/>
        </w:rPr>
        <w:t>主要审查</w:t>
      </w:r>
      <w:r>
        <w:rPr>
          <w:rFonts w:hint="eastAsia" w:ascii="仿宋" w:hAnsi="仿宋" w:eastAsia="仿宋" w:cs="仿宋"/>
          <w:color w:val="auto"/>
          <w:lang w:val="en-US" w:eastAsia="zh-CN"/>
        </w:rPr>
        <w:t>内容详见附表一；</w:t>
      </w:r>
    </w:p>
    <w:p w14:paraId="41725B6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1.3 实质上没有响应《竞争性磋商文件》要求的《磋商响应性文件》将被拒绝。</w:t>
      </w:r>
    </w:p>
    <w:p w14:paraId="053CAA21">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1.4 供应商不得通过修正或撤销不符合要求的偏离或保留从而使其《磋商响应性文件》成为实质上响应的《磋商响应性文件》。</w:t>
      </w:r>
    </w:p>
    <w:p w14:paraId="6ECE72E0">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1.5 通过资格性及响应性审查且无实质性背离采购人要求的响应文件，即可进行下一步评审。未通过资格性审查、响应性审查的响应文件按无效投标处理。</w:t>
      </w:r>
    </w:p>
    <w:p w14:paraId="28EAC318">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附表一：</w:t>
      </w:r>
    </w:p>
    <w:tbl>
      <w:tblPr>
        <w:tblStyle w:val="17"/>
        <w:tblW w:w="98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0"/>
        <w:gridCol w:w="1185"/>
        <w:gridCol w:w="2574"/>
        <w:gridCol w:w="4236"/>
        <w:gridCol w:w="570"/>
        <w:gridCol w:w="585"/>
      </w:tblGrid>
      <w:tr w14:paraId="6E945D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45096A66">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评分因素</w:t>
            </w:r>
          </w:p>
        </w:tc>
        <w:tc>
          <w:tcPr>
            <w:tcW w:w="2574" w:type="dxa"/>
            <w:vMerge w:val="restart"/>
            <w:tcBorders>
              <w:top w:val="outset" w:color="auto" w:sz="6" w:space="0"/>
              <w:left w:val="outset" w:color="auto" w:sz="6" w:space="0"/>
              <w:bottom w:val="outset" w:color="auto" w:sz="6" w:space="0"/>
              <w:right w:val="outset" w:color="auto" w:sz="6" w:space="0"/>
            </w:tcBorders>
            <w:noWrap w:val="0"/>
            <w:vAlign w:val="center"/>
          </w:tcPr>
          <w:p w14:paraId="510E12E9">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评分点</w:t>
            </w:r>
          </w:p>
        </w:tc>
        <w:tc>
          <w:tcPr>
            <w:tcW w:w="4236" w:type="dxa"/>
            <w:vMerge w:val="restart"/>
            <w:tcBorders>
              <w:top w:val="outset" w:color="auto" w:sz="6" w:space="0"/>
              <w:left w:val="outset" w:color="auto" w:sz="6" w:space="0"/>
              <w:bottom w:val="outset" w:color="auto" w:sz="6" w:space="0"/>
              <w:right w:val="outset" w:color="auto" w:sz="6" w:space="0"/>
            </w:tcBorders>
            <w:noWrap w:val="0"/>
            <w:vAlign w:val="center"/>
          </w:tcPr>
          <w:p w14:paraId="229AB6ED">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评分标准</w:t>
            </w:r>
          </w:p>
        </w:tc>
        <w:tc>
          <w:tcPr>
            <w:tcW w:w="1155" w:type="dxa"/>
            <w:gridSpan w:val="2"/>
            <w:tcBorders>
              <w:top w:val="outset" w:color="auto" w:sz="6" w:space="0"/>
              <w:left w:val="outset" w:color="auto" w:sz="6" w:space="0"/>
              <w:bottom w:val="outset" w:color="auto" w:sz="6" w:space="0"/>
              <w:right w:val="outset" w:color="auto" w:sz="6" w:space="0"/>
            </w:tcBorders>
            <w:noWrap w:val="0"/>
            <w:vAlign w:val="center"/>
          </w:tcPr>
          <w:p w14:paraId="21DD079C">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评审意见</w:t>
            </w:r>
          </w:p>
        </w:tc>
      </w:tr>
      <w:tr w14:paraId="2195FE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9DFA7F5">
            <w:pPr>
              <w:spacing w:line="400" w:lineRule="exact"/>
              <w:jc w:val="center"/>
              <w:rPr>
                <w:rFonts w:hint="eastAsia" w:ascii="仿宋" w:hAnsi="仿宋" w:eastAsia="仿宋" w:cs="仿宋"/>
                <w:sz w:val="24"/>
                <w:szCs w:val="24"/>
              </w:rPr>
            </w:pPr>
          </w:p>
        </w:tc>
        <w:tc>
          <w:tcPr>
            <w:tcW w:w="2574" w:type="dxa"/>
            <w:vMerge w:val="continue"/>
            <w:tcBorders>
              <w:top w:val="outset" w:color="auto" w:sz="6" w:space="0"/>
              <w:left w:val="outset" w:color="auto" w:sz="6" w:space="0"/>
              <w:bottom w:val="outset" w:color="auto" w:sz="6" w:space="0"/>
              <w:right w:val="outset" w:color="auto" w:sz="6" w:space="0"/>
            </w:tcBorders>
            <w:noWrap w:val="0"/>
            <w:vAlign w:val="center"/>
          </w:tcPr>
          <w:p w14:paraId="31012F74">
            <w:pPr>
              <w:spacing w:line="400" w:lineRule="exact"/>
              <w:jc w:val="center"/>
              <w:rPr>
                <w:rFonts w:hint="eastAsia" w:ascii="仿宋" w:hAnsi="仿宋" w:eastAsia="仿宋" w:cs="仿宋"/>
                <w:sz w:val="24"/>
                <w:szCs w:val="24"/>
              </w:rPr>
            </w:pPr>
          </w:p>
        </w:tc>
        <w:tc>
          <w:tcPr>
            <w:tcW w:w="4236" w:type="dxa"/>
            <w:vMerge w:val="continue"/>
            <w:tcBorders>
              <w:top w:val="outset" w:color="auto" w:sz="6" w:space="0"/>
              <w:left w:val="outset" w:color="auto" w:sz="6" w:space="0"/>
              <w:bottom w:val="outset" w:color="auto" w:sz="6" w:space="0"/>
              <w:right w:val="outset" w:color="auto" w:sz="6" w:space="0"/>
            </w:tcBorders>
            <w:noWrap w:val="0"/>
            <w:vAlign w:val="center"/>
          </w:tcPr>
          <w:p w14:paraId="66493B3B">
            <w:pPr>
              <w:spacing w:line="400" w:lineRule="exact"/>
              <w:jc w:val="center"/>
              <w:rPr>
                <w:rFonts w:hint="eastAsia" w:ascii="仿宋" w:hAnsi="仿宋" w:eastAsia="仿宋" w:cs="仿宋"/>
                <w:sz w:val="24"/>
                <w:szCs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14:paraId="44DA015A">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是</w:t>
            </w:r>
          </w:p>
        </w:tc>
        <w:tc>
          <w:tcPr>
            <w:tcW w:w="585" w:type="dxa"/>
            <w:tcBorders>
              <w:top w:val="outset" w:color="auto" w:sz="6" w:space="0"/>
              <w:left w:val="outset" w:color="auto" w:sz="6" w:space="0"/>
              <w:bottom w:val="outset" w:color="auto" w:sz="6" w:space="0"/>
              <w:right w:val="outset" w:color="auto" w:sz="6" w:space="0"/>
            </w:tcBorders>
            <w:noWrap w:val="0"/>
            <w:vAlign w:val="center"/>
          </w:tcPr>
          <w:p w14:paraId="46B96BC5">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否</w:t>
            </w:r>
          </w:p>
        </w:tc>
      </w:tr>
      <w:tr w14:paraId="592582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09" w:hRule="atLeast"/>
          <w:jc w:val="center"/>
        </w:trPr>
        <w:tc>
          <w:tcPr>
            <w:tcW w:w="660" w:type="dxa"/>
            <w:vMerge w:val="restart"/>
            <w:tcBorders>
              <w:top w:val="outset" w:color="auto" w:sz="6" w:space="0"/>
              <w:left w:val="outset" w:color="auto" w:sz="6" w:space="0"/>
              <w:bottom w:val="outset" w:color="auto" w:sz="6" w:space="0"/>
              <w:right w:val="outset" w:color="auto" w:sz="6" w:space="0"/>
            </w:tcBorders>
            <w:noWrap w:val="0"/>
            <w:vAlign w:val="center"/>
          </w:tcPr>
          <w:p w14:paraId="471039E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初步评审</w:t>
            </w:r>
          </w:p>
        </w:tc>
        <w:tc>
          <w:tcPr>
            <w:tcW w:w="1185" w:type="dxa"/>
            <w:vMerge w:val="restart"/>
            <w:tcBorders>
              <w:top w:val="outset" w:color="auto" w:sz="6" w:space="0"/>
              <w:left w:val="outset" w:color="auto" w:sz="6" w:space="0"/>
              <w:bottom w:val="outset" w:color="auto" w:sz="6" w:space="0"/>
              <w:right w:val="outset" w:color="auto" w:sz="6" w:space="0"/>
            </w:tcBorders>
            <w:noWrap w:val="0"/>
            <w:vAlign w:val="center"/>
          </w:tcPr>
          <w:p w14:paraId="0A280D8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资格检查</w:t>
            </w:r>
          </w:p>
        </w:tc>
        <w:tc>
          <w:tcPr>
            <w:tcW w:w="2574" w:type="dxa"/>
            <w:tcBorders>
              <w:top w:val="outset" w:color="auto" w:sz="6" w:space="0"/>
              <w:left w:val="outset" w:color="auto" w:sz="6" w:space="0"/>
              <w:bottom w:val="outset" w:color="auto" w:sz="6" w:space="0"/>
              <w:right w:val="outset" w:color="auto" w:sz="6" w:space="0"/>
            </w:tcBorders>
            <w:noWrap w:val="0"/>
            <w:vAlign w:val="center"/>
          </w:tcPr>
          <w:p w14:paraId="3176CD73">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1C034D92">
            <w:pPr>
              <w:spacing w:line="400" w:lineRule="exact"/>
              <w:ind w:left="69" w:leftChars="33" w:right="-84" w:rightChars="-40"/>
              <w:jc w:val="left"/>
              <w:rPr>
                <w:rFonts w:hint="eastAsia" w:ascii="仿宋" w:hAnsi="仿宋" w:eastAsia="仿宋" w:cs="仿宋"/>
                <w:sz w:val="24"/>
                <w:szCs w:val="24"/>
              </w:rPr>
            </w:pPr>
            <w:r>
              <w:rPr>
                <w:rFonts w:hint="eastAsia" w:ascii="仿宋" w:hAnsi="仿宋" w:eastAsia="仿宋" w:cs="仿宋"/>
                <w:sz w:val="24"/>
                <w:szCs w:val="24"/>
                <w:lang w:val="en-US" w:eastAsia="zh-CN"/>
              </w:rPr>
              <w:t>法人或者其他组织的营业执照等证明文件，自然人需提供身份证明；</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36F8F760">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1EFE59A">
            <w:pPr>
              <w:spacing w:line="400" w:lineRule="exact"/>
              <w:jc w:val="left"/>
              <w:rPr>
                <w:rFonts w:hint="eastAsia" w:ascii="仿宋" w:hAnsi="仿宋" w:eastAsia="仿宋" w:cs="仿宋"/>
                <w:sz w:val="24"/>
                <w:szCs w:val="24"/>
              </w:rPr>
            </w:pPr>
          </w:p>
        </w:tc>
      </w:tr>
      <w:tr w14:paraId="460467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A3A4B01">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2E080FD">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455C1A5">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符合《中华人民共和国政府采购法》第二十二条的相关规定</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7C77C342">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是否提供</w:t>
            </w:r>
            <w:r>
              <w:rPr>
                <w:rFonts w:hint="eastAsia" w:ascii="仿宋" w:hAnsi="仿宋" w:eastAsia="仿宋" w:cs="仿宋"/>
                <w:sz w:val="24"/>
                <w:szCs w:val="24"/>
                <w:lang w:eastAsia="zh-CN"/>
              </w:rPr>
              <w:t>符合《中华人民共和国政府采购法》第二十二条的</w:t>
            </w:r>
            <w:r>
              <w:rPr>
                <w:rFonts w:hint="eastAsia" w:ascii="仿宋" w:hAnsi="仿宋" w:eastAsia="仿宋" w:cs="仿宋"/>
                <w:sz w:val="24"/>
                <w:szCs w:val="24"/>
                <w:lang w:val="en-US" w:eastAsia="zh-CN"/>
              </w:rPr>
              <w:t>承诺书或证明材料</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C787AA2">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65F0B9A7">
            <w:pPr>
              <w:spacing w:line="400" w:lineRule="exact"/>
              <w:jc w:val="left"/>
              <w:rPr>
                <w:rFonts w:hint="eastAsia" w:ascii="仿宋" w:hAnsi="仿宋" w:eastAsia="仿宋" w:cs="仿宋"/>
                <w:sz w:val="24"/>
                <w:szCs w:val="24"/>
              </w:rPr>
            </w:pPr>
          </w:p>
        </w:tc>
      </w:tr>
      <w:tr w14:paraId="45FC24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77B3ED71">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716BBF58">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E17654C">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lang w:val="en-US" w:eastAsia="zh-CN"/>
              </w:rPr>
              <w:t>法人身份证明或授权委托书</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0E1D035">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法定代表人是否提供身份证明或委托代理人是否提供身份证和授权委托书；</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4D2FA0DD">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2D41B8F">
            <w:pPr>
              <w:spacing w:line="400" w:lineRule="exact"/>
              <w:jc w:val="left"/>
              <w:rPr>
                <w:rFonts w:hint="eastAsia" w:ascii="仿宋" w:hAnsi="仿宋" w:eastAsia="仿宋" w:cs="仿宋"/>
                <w:sz w:val="24"/>
                <w:szCs w:val="24"/>
              </w:rPr>
            </w:pPr>
          </w:p>
        </w:tc>
      </w:tr>
      <w:tr w14:paraId="1FF99A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734CD7C4">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C59021A">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80DBD47">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提供无重大违法记录声明书</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3C2AE861">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参加政府采购活动前3年内在经营活动中无重大违法记录的书面声明</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5D256667">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2C17159A">
            <w:pPr>
              <w:spacing w:line="400" w:lineRule="exact"/>
              <w:jc w:val="left"/>
              <w:rPr>
                <w:rFonts w:hint="eastAsia" w:ascii="仿宋" w:hAnsi="仿宋" w:eastAsia="仿宋" w:cs="仿宋"/>
                <w:sz w:val="24"/>
                <w:szCs w:val="24"/>
              </w:rPr>
            </w:pPr>
          </w:p>
        </w:tc>
      </w:tr>
      <w:tr w14:paraId="4981D2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3A41050">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2E009E1D">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680E5964">
            <w:pPr>
              <w:spacing w:line="400" w:lineRule="exact"/>
              <w:ind w:left="69" w:leftChars="33" w:right="80" w:right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信用查询记录</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E8A929A">
            <w:pPr>
              <w:spacing w:line="400" w:lineRule="exact"/>
              <w:ind w:left="69" w:leftChars="33" w:right="80" w:right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未被列入失信被执行人、重大税收违法案件当事人名单、政府采购严重违法失信行为记录名单及其他不符合规定条件</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D781D3F">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47DBFEA8">
            <w:pPr>
              <w:spacing w:line="400" w:lineRule="exact"/>
              <w:jc w:val="left"/>
              <w:rPr>
                <w:rFonts w:hint="eastAsia" w:ascii="仿宋" w:hAnsi="仿宋" w:eastAsia="仿宋" w:cs="仿宋"/>
                <w:sz w:val="24"/>
                <w:szCs w:val="24"/>
              </w:rPr>
            </w:pPr>
          </w:p>
        </w:tc>
      </w:tr>
      <w:tr w14:paraId="4F7D82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60F898F">
            <w:pPr>
              <w:spacing w:line="400" w:lineRule="exact"/>
              <w:jc w:val="left"/>
              <w:rPr>
                <w:rFonts w:hint="eastAsia" w:ascii="仿宋" w:hAnsi="仿宋" w:eastAsia="仿宋" w:cs="仿宋"/>
                <w:sz w:val="24"/>
                <w:szCs w:val="24"/>
              </w:rPr>
            </w:pPr>
          </w:p>
        </w:tc>
        <w:tc>
          <w:tcPr>
            <w:tcW w:w="1185" w:type="dxa"/>
            <w:vMerge w:val="restart"/>
            <w:tcBorders>
              <w:top w:val="outset" w:color="auto" w:sz="6" w:space="0"/>
              <w:left w:val="outset" w:color="auto" w:sz="6" w:space="0"/>
              <w:bottom w:val="outset" w:color="auto" w:sz="6" w:space="0"/>
              <w:right w:val="outset" w:color="auto" w:sz="6" w:space="0"/>
            </w:tcBorders>
            <w:noWrap w:val="0"/>
            <w:vAlign w:val="center"/>
          </w:tcPr>
          <w:p w14:paraId="562FF4D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符合性检查</w:t>
            </w:r>
          </w:p>
          <w:p w14:paraId="426E14B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（实质性响应一览表）</w:t>
            </w:r>
          </w:p>
        </w:tc>
        <w:tc>
          <w:tcPr>
            <w:tcW w:w="2574" w:type="dxa"/>
            <w:tcBorders>
              <w:top w:val="outset" w:color="auto" w:sz="6" w:space="0"/>
              <w:left w:val="outset" w:color="auto" w:sz="6" w:space="0"/>
              <w:right w:val="outset" w:color="auto" w:sz="6" w:space="0"/>
            </w:tcBorders>
            <w:noWrap w:val="0"/>
            <w:vAlign w:val="center"/>
          </w:tcPr>
          <w:p w14:paraId="0A94A7A8">
            <w:pPr>
              <w:spacing w:line="400" w:lineRule="exact"/>
              <w:ind w:right="80" w:rightChars="38"/>
              <w:rPr>
                <w:rFonts w:hint="eastAsia" w:ascii="仿宋" w:hAnsi="仿宋" w:eastAsia="仿宋" w:cs="仿宋"/>
                <w:sz w:val="24"/>
                <w:szCs w:val="24"/>
              </w:rPr>
            </w:pPr>
            <w:r>
              <w:rPr>
                <w:rFonts w:hint="eastAsia" w:ascii="仿宋" w:hAnsi="仿宋" w:eastAsia="仿宋" w:cs="仿宋"/>
                <w:sz w:val="24"/>
                <w:szCs w:val="24"/>
              </w:rPr>
              <w:t>主要响应内容</w:t>
            </w:r>
          </w:p>
        </w:tc>
        <w:tc>
          <w:tcPr>
            <w:tcW w:w="4236" w:type="dxa"/>
            <w:tcBorders>
              <w:top w:val="outset" w:color="auto" w:sz="6" w:space="0"/>
              <w:left w:val="outset" w:color="auto" w:sz="6" w:space="0"/>
              <w:right w:val="outset" w:color="auto" w:sz="6" w:space="0"/>
            </w:tcBorders>
            <w:noWrap w:val="0"/>
            <w:vAlign w:val="center"/>
          </w:tcPr>
          <w:p w14:paraId="3439DAA8">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是否满足招标文件规定的</w:t>
            </w:r>
            <w:r>
              <w:rPr>
                <w:rFonts w:hint="eastAsia" w:ascii="仿宋" w:hAnsi="仿宋" w:eastAsia="仿宋" w:cs="仿宋"/>
                <w:sz w:val="24"/>
                <w:szCs w:val="24"/>
                <w:lang w:val="en-US" w:eastAsia="zh-CN"/>
              </w:rPr>
              <w:t>供货期及质保期</w:t>
            </w:r>
            <w:r>
              <w:rPr>
                <w:rFonts w:hint="eastAsia" w:ascii="仿宋" w:hAnsi="仿宋" w:eastAsia="仿宋" w:cs="仿宋"/>
                <w:sz w:val="24"/>
                <w:szCs w:val="24"/>
                <w:lang w:eastAsia="zh-CN"/>
              </w:rPr>
              <w:t>；</w:t>
            </w:r>
          </w:p>
        </w:tc>
        <w:tc>
          <w:tcPr>
            <w:tcW w:w="570" w:type="dxa"/>
            <w:tcBorders>
              <w:top w:val="outset" w:color="auto" w:sz="6" w:space="0"/>
              <w:left w:val="outset" w:color="auto" w:sz="6" w:space="0"/>
              <w:right w:val="outset" w:color="auto" w:sz="6" w:space="0"/>
            </w:tcBorders>
            <w:noWrap w:val="0"/>
            <w:vAlign w:val="center"/>
          </w:tcPr>
          <w:p w14:paraId="7D390C67">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right w:val="outset" w:color="auto" w:sz="6" w:space="0"/>
            </w:tcBorders>
            <w:noWrap w:val="0"/>
            <w:vAlign w:val="center"/>
          </w:tcPr>
          <w:p w14:paraId="45545D6F">
            <w:pPr>
              <w:spacing w:line="400" w:lineRule="exact"/>
              <w:jc w:val="left"/>
              <w:rPr>
                <w:rFonts w:hint="eastAsia" w:ascii="仿宋" w:hAnsi="仿宋" w:eastAsia="仿宋" w:cs="仿宋"/>
                <w:sz w:val="24"/>
                <w:szCs w:val="24"/>
              </w:rPr>
            </w:pPr>
          </w:p>
        </w:tc>
      </w:tr>
      <w:tr w14:paraId="096CE2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4BCE9EF">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4F69369E">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9054693">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响应文件签署</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B836D4C">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响应文件上法定代表人或其授权代理人的签字、供应商的盖章齐全（授权代理人的签字或盖章）</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184F0308">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42DBB7CA">
            <w:pPr>
              <w:spacing w:line="400" w:lineRule="exact"/>
              <w:jc w:val="left"/>
              <w:rPr>
                <w:rFonts w:hint="eastAsia" w:ascii="仿宋" w:hAnsi="仿宋" w:eastAsia="仿宋" w:cs="仿宋"/>
                <w:sz w:val="24"/>
                <w:szCs w:val="24"/>
              </w:rPr>
            </w:pPr>
          </w:p>
        </w:tc>
      </w:tr>
      <w:tr w14:paraId="532555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161DD1D">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59644CA">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2D3E374D">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响应文件内容</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758C010B">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提供的投标函、</w:t>
            </w:r>
            <w:r>
              <w:rPr>
                <w:rFonts w:hint="eastAsia" w:ascii="仿宋" w:hAnsi="仿宋" w:eastAsia="仿宋" w:cs="仿宋"/>
                <w:sz w:val="24"/>
                <w:szCs w:val="24"/>
                <w:lang w:val="en-US" w:eastAsia="zh-CN"/>
              </w:rPr>
              <w:t>开标</w:t>
            </w:r>
            <w:r>
              <w:rPr>
                <w:rFonts w:hint="eastAsia" w:ascii="仿宋" w:hAnsi="仿宋" w:eastAsia="仿宋" w:cs="仿宋"/>
                <w:sz w:val="24"/>
                <w:szCs w:val="24"/>
              </w:rPr>
              <w:t>一览表</w:t>
            </w:r>
            <w:r>
              <w:rPr>
                <w:rFonts w:hint="eastAsia" w:ascii="仿宋" w:hAnsi="仿宋" w:eastAsia="仿宋" w:cs="仿宋"/>
                <w:sz w:val="24"/>
                <w:szCs w:val="24"/>
                <w:lang w:eastAsia="zh-CN"/>
              </w:rPr>
              <w:t>、明细报价表</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招标</w:t>
            </w:r>
            <w:r>
              <w:rPr>
                <w:rFonts w:hint="eastAsia" w:ascii="仿宋" w:hAnsi="仿宋" w:eastAsia="仿宋" w:cs="仿宋"/>
                <w:sz w:val="24"/>
                <w:szCs w:val="24"/>
              </w:rPr>
              <w:t>文件中规定的所有内容</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36AEE1E6">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21DDD527">
            <w:pPr>
              <w:spacing w:line="400" w:lineRule="exact"/>
              <w:jc w:val="left"/>
              <w:rPr>
                <w:rFonts w:hint="eastAsia" w:ascii="仿宋" w:hAnsi="仿宋" w:eastAsia="仿宋" w:cs="仿宋"/>
                <w:sz w:val="24"/>
                <w:szCs w:val="24"/>
              </w:rPr>
            </w:pPr>
          </w:p>
        </w:tc>
      </w:tr>
      <w:tr w14:paraId="36EFF5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23E0EBD">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117C525">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17AAD81D">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响应报价</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652543B6">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报价符合</w:t>
            </w:r>
            <w:r>
              <w:rPr>
                <w:rFonts w:hint="eastAsia" w:ascii="仿宋" w:hAnsi="仿宋" w:eastAsia="仿宋" w:cs="仿宋"/>
                <w:sz w:val="24"/>
                <w:szCs w:val="24"/>
                <w:lang w:eastAsia="zh-CN"/>
              </w:rPr>
              <w:t>招标</w:t>
            </w:r>
            <w:r>
              <w:rPr>
                <w:rFonts w:hint="eastAsia" w:ascii="仿宋" w:hAnsi="仿宋" w:eastAsia="仿宋" w:cs="仿宋"/>
                <w:sz w:val="24"/>
                <w:szCs w:val="24"/>
              </w:rPr>
              <w:t>文件要求具有唯一性，未提交选择性报价，最终报价未超过项目采购预算</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7F8EF8D8">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366CC467">
            <w:pPr>
              <w:spacing w:line="400" w:lineRule="exact"/>
              <w:jc w:val="left"/>
              <w:rPr>
                <w:rFonts w:hint="eastAsia" w:ascii="仿宋" w:hAnsi="仿宋" w:eastAsia="仿宋" w:cs="仿宋"/>
                <w:sz w:val="24"/>
                <w:szCs w:val="24"/>
              </w:rPr>
            </w:pPr>
          </w:p>
        </w:tc>
      </w:tr>
      <w:tr w14:paraId="6408E7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41BAF39B">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0227B79">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B35CC51">
            <w:pPr>
              <w:spacing w:line="400" w:lineRule="exact"/>
              <w:ind w:left="69" w:leftChars="33" w:right="80" w:rightChars="38"/>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rPr>
              <w:t>保证金</w:t>
            </w:r>
            <w:r>
              <w:rPr>
                <w:rFonts w:hint="eastAsia" w:ascii="仿宋" w:hAnsi="仿宋" w:eastAsia="仿宋" w:cs="仿宋"/>
                <w:sz w:val="24"/>
                <w:szCs w:val="24"/>
                <w:lang w:eastAsia="zh-CN"/>
              </w:rPr>
              <w:t>或保函</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461EC47E">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按</w:t>
            </w:r>
            <w:r>
              <w:rPr>
                <w:rFonts w:hint="eastAsia" w:ascii="仿宋" w:hAnsi="仿宋" w:eastAsia="仿宋" w:cs="仿宋"/>
                <w:sz w:val="24"/>
                <w:szCs w:val="24"/>
                <w:lang w:eastAsia="zh-CN"/>
              </w:rPr>
              <w:t>招标</w:t>
            </w:r>
            <w:r>
              <w:rPr>
                <w:rFonts w:hint="eastAsia" w:ascii="仿宋" w:hAnsi="仿宋" w:eastAsia="仿宋" w:cs="仿宋"/>
                <w:sz w:val="24"/>
                <w:szCs w:val="24"/>
              </w:rPr>
              <w:t>文件规定提交保证金</w:t>
            </w:r>
            <w:r>
              <w:rPr>
                <w:rFonts w:hint="eastAsia" w:ascii="仿宋" w:hAnsi="仿宋" w:eastAsia="仿宋" w:cs="仿宋"/>
                <w:sz w:val="24"/>
                <w:szCs w:val="24"/>
                <w:lang w:eastAsia="zh-CN"/>
              </w:rPr>
              <w:t>或保函；</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24E7D67C">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3B8A5DB4">
            <w:pPr>
              <w:spacing w:line="400" w:lineRule="exact"/>
              <w:jc w:val="left"/>
              <w:rPr>
                <w:rFonts w:hint="eastAsia" w:ascii="仿宋" w:hAnsi="仿宋" w:eastAsia="仿宋" w:cs="仿宋"/>
                <w:sz w:val="24"/>
                <w:szCs w:val="24"/>
              </w:rPr>
            </w:pPr>
          </w:p>
        </w:tc>
      </w:tr>
      <w:tr w14:paraId="3E8CA4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AE6B352">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9CD8674">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631EC7F2">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的有效期</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6CBA3DA5">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rPr>
              <w:t>有效期满足</w:t>
            </w:r>
            <w:r>
              <w:rPr>
                <w:rFonts w:hint="eastAsia" w:ascii="仿宋" w:hAnsi="仿宋" w:eastAsia="仿宋" w:cs="仿宋"/>
                <w:sz w:val="24"/>
                <w:szCs w:val="24"/>
                <w:lang w:eastAsia="zh-CN"/>
              </w:rPr>
              <w:t>招标</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220A3AD0">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65B7E1E3">
            <w:pPr>
              <w:spacing w:line="400" w:lineRule="exact"/>
              <w:jc w:val="left"/>
              <w:rPr>
                <w:rFonts w:hint="eastAsia" w:ascii="仿宋" w:hAnsi="仿宋" w:eastAsia="仿宋" w:cs="仿宋"/>
                <w:sz w:val="24"/>
                <w:szCs w:val="24"/>
              </w:rPr>
            </w:pPr>
          </w:p>
        </w:tc>
      </w:tr>
      <w:tr w14:paraId="592AFC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3ED526B">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45CD93B0">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3E5CAD8B">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其他</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429B19EA">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1、响应文件未附有采购人不能接受的条件或不符合</w:t>
            </w:r>
            <w:r>
              <w:rPr>
                <w:rFonts w:hint="eastAsia" w:ascii="仿宋" w:hAnsi="仿宋" w:eastAsia="仿宋" w:cs="仿宋"/>
                <w:sz w:val="24"/>
                <w:szCs w:val="24"/>
                <w:lang w:eastAsia="zh-CN"/>
              </w:rPr>
              <w:t>招标</w:t>
            </w:r>
            <w:r>
              <w:rPr>
                <w:rFonts w:hint="eastAsia" w:ascii="仿宋" w:hAnsi="仿宋" w:eastAsia="仿宋" w:cs="仿宋"/>
                <w:sz w:val="24"/>
                <w:szCs w:val="24"/>
              </w:rPr>
              <w:t>文件的其他要求</w:t>
            </w:r>
            <w:r>
              <w:rPr>
                <w:rFonts w:hint="eastAsia" w:ascii="仿宋" w:hAnsi="仿宋" w:eastAsia="仿宋" w:cs="仿宋"/>
                <w:sz w:val="24"/>
                <w:szCs w:val="24"/>
                <w:lang w:eastAsia="zh-CN"/>
              </w:rPr>
              <w:t>；</w:t>
            </w:r>
          </w:p>
          <w:p w14:paraId="656356EF">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2、不属于法律、法规、规章规定无效响应的其他情形。</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1F7D1F2">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AA37317">
            <w:pPr>
              <w:spacing w:line="400" w:lineRule="exact"/>
              <w:jc w:val="left"/>
              <w:rPr>
                <w:rFonts w:hint="eastAsia" w:ascii="仿宋" w:hAnsi="仿宋" w:eastAsia="仿宋" w:cs="仿宋"/>
                <w:sz w:val="24"/>
                <w:szCs w:val="24"/>
              </w:rPr>
            </w:pPr>
          </w:p>
        </w:tc>
      </w:tr>
    </w:tbl>
    <w:p w14:paraId="272CD632">
      <w:pPr>
        <w:pStyle w:val="8"/>
        <w:kinsoku w:val="0"/>
        <w:overflowPunct w:val="0"/>
        <w:spacing w:before="34"/>
        <w:jc w:val="both"/>
        <w:rPr>
          <w:rFonts w:hint="eastAsia" w:ascii="仿宋" w:hAnsi="仿宋" w:eastAsia="仿宋" w:cs="仿宋"/>
          <w:b/>
          <w:bCs/>
        </w:rPr>
      </w:pPr>
    </w:p>
    <w:p w14:paraId="65758770">
      <w:pPr>
        <w:pStyle w:val="8"/>
        <w:kinsoku w:val="0"/>
        <w:overflowPunct w:val="0"/>
        <w:spacing w:before="34"/>
        <w:jc w:val="both"/>
        <w:rPr>
          <w:rFonts w:hint="eastAsia" w:ascii="仿宋" w:hAnsi="仿宋" w:eastAsia="仿宋" w:cs="仿宋"/>
          <w:b/>
          <w:bCs/>
        </w:rPr>
      </w:pPr>
      <w:r>
        <w:rPr>
          <w:rFonts w:hint="eastAsia" w:ascii="仿宋" w:hAnsi="仿宋" w:eastAsia="仿宋" w:cs="仿宋"/>
          <w:b/>
          <w:bCs/>
        </w:rPr>
        <w:t>2.磋商及详细评审：</w:t>
      </w:r>
    </w:p>
    <w:p w14:paraId="79103C4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2.1 磋商小组审阅响应文件： 以确定是否对磋商文件的要求做出实质性响应。未对磋商文件做实质性响应的供应商，不得进入具体磋商程序。</w:t>
      </w:r>
    </w:p>
    <w:p w14:paraId="1BAFC33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2.2 开始磋商，磋商小组所有成员集中与单一供应商分别进行磋商。磋商小组可根据供应商的报价，响应内容及磋商的情况，给予每个正在参加磋商的供应商相同的机会。先依据供应商制定的方案进行审查，经过磋商小组所有成员集中讨论及磋商讨论，再给予每个合格的供应商二次报价资格。</w:t>
      </w:r>
    </w:p>
    <w:p w14:paraId="3AE59D4E">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在磋商过程中，磋商小组可以根据磋商文件和磋商情况实质性变动采购需求中的技术、服务要求以及合同草案条款，但不得变动磋商文件中的其他内容。实质性变动的内容，须经采购人代表确认。</w:t>
      </w:r>
    </w:p>
    <w:p w14:paraId="3D136B4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对磋商文件作出的实质性变动是磋商文件的有效组成部分，磋商小组应当及时以书面形式同时通知所有参加磋商的供应商。</w:t>
      </w:r>
    </w:p>
    <w:p w14:paraId="4126FAB3">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供应商应当按照磋商文件的变动情况和磋商小组的要求重新提交响应文件，并由其全权代表签章。</w:t>
      </w:r>
    </w:p>
    <w:p w14:paraId="215887A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2.3 磋商结束后，参加磋商的供应商应当对磋商的承诺和最后报价以书面形式确认， 并由授权委托人签章。各供应商对本项目进行二次（最终）报价。</w:t>
      </w:r>
    </w:p>
    <w:p w14:paraId="54FEC09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2.4 由磋商小组采用综合评分法对提交最终报价的供应商的响应文件和最终报价进 行打分；</w:t>
      </w:r>
    </w:p>
    <w:p w14:paraId="1C2A75E1">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2.5 磋商小组可以对确定为实质上响应竞争性磋商文件要求的磋商响应性文件进行校对、审核，对出现的算术错误，由磋商小组予以改正，并让供应商澄清确认。修正计算错误按如下原则进行：</w:t>
      </w:r>
    </w:p>
    <w:p w14:paraId="723FFCAC">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2.6《磋商响应性文件》的大写金额和小写金额不一致的，以大写金额为准；总价金额与单项单价汇总金额不一致的，以单价金额计算结果为准；单价金额小数点有明显错位的，应以总价为准，并修改单价；对不同文字文本《磋商响应性文件》的解释发生异议的，以中文文本为准。</w:t>
      </w:r>
    </w:p>
    <w:p w14:paraId="5EEC8EDA">
      <w:pPr>
        <w:pStyle w:val="8"/>
        <w:kinsoku w:val="0"/>
        <w:overflowPunct w:val="0"/>
        <w:spacing w:before="34" w:line="357" w:lineRule="auto"/>
        <w:ind w:right="126" w:firstLine="480"/>
        <w:rPr>
          <w:rFonts w:hint="eastAsia" w:ascii="仿宋" w:hAnsi="仿宋" w:eastAsia="仿宋" w:cs="仿宋"/>
          <w:spacing w:val="-2"/>
          <w:sz w:val="30"/>
          <w:szCs w:val="30"/>
        </w:rPr>
      </w:pPr>
      <w:r>
        <w:rPr>
          <w:rFonts w:hint="eastAsia" w:ascii="仿宋" w:hAnsi="仿宋" w:eastAsia="仿宋" w:cs="仿宋"/>
        </w:rPr>
        <w:t>2.7 若供应商不接受对其错误的更正，其投标将被视为无效投标。</w:t>
      </w:r>
    </w:p>
    <w:p w14:paraId="3323AFE7">
      <w:pPr>
        <w:pStyle w:val="6"/>
        <w:rPr>
          <w:rFonts w:hint="eastAsia" w:ascii="仿宋" w:hAnsi="仿宋" w:eastAsia="仿宋" w:cs="仿宋"/>
          <w:spacing w:val="-2"/>
          <w:sz w:val="30"/>
          <w:szCs w:val="30"/>
        </w:rPr>
      </w:pPr>
    </w:p>
    <w:p w14:paraId="26946518">
      <w:pPr>
        <w:pStyle w:val="8"/>
        <w:numPr>
          <w:ilvl w:val="0"/>
          <w:numId w:val="1"/>
        </w:numPr>
        <w:kinsoku w:val="0"/>
        <w:overflowPunct w:val="0"/>
        <w:spacing w:before="34"/>
        <w:jc w:val="both"/>
        <w:rPr>
          <w:rFonts w:hint="eastAsia" w:ascii="仿宋" w:hAnsi="仿宋" w:eastAsia="仿宋" w:cs="仿宋"/>
          <w:b/>
          <w:bCs/>
          <w:sz w:val="24"/>
          <w:szCs w:val="24"/>
        </w:rPr>
      </w:pPr>
      <w:r>
        <w:rPr>
          <w:rFonts w:hint="eastAsia" w:ascii="仿宋" w:hAnsi="仿宋" w:eastAsia="仿宋" w:cs="仿宋"/>
          <w:b/>
          <w:bCs/>
          <w:sz w:val="24"/>
          <w:szCs w:val="24"/>
        </w:rPr>
        <w:t>综合评分表</w:t>
      </w:r>
    </w:p>
    <w:p w14:paraId="7FD7DC6B">
      <w:pPr>
        <w:pStyle w:val="8"/>
        <w:numPr>
          <w:ilvl w:val="0"/>
          <w:numId w:val="0"/>
        </w:numPr>
        <w:kinsoku w:val="0"/>
        <w:overflowPunct w:val="0"/>
        <w:spacing w:before="34"/>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商务技术部分（</w:t>
      </w:r>
      <w:r>
        <w:rPr>
          <w:rFonts w:hint="eastAsia" w:ascii="仿宋" w:hAnsi="仿宋" w:eastAsia="仿宋" w:cs="仿宋"/>
          <w:b/>
          <w:sz w:val="24"/>
          <w:szCs w:val="24"/>
          <w:lang w:val="en-US" w:eastAsia="zh-CN"/>
        </w:rPr>
        <w:t>70分</w:t>
      </w:r>
      <w:r>
        <w:rPr>
          <w:rFonts w:hint="eastAsia" w:ascii="仿宋" w:hAnsi="仿宋" w:eastAsia="仿宋" w:cs="仿宋"/>
          <w:b/>
          <w:sz w:val="24"/>
          <w:szCs w:val="24"/>
          <w:lang w:eastAsia="zh-CN"/>
        </w:rPr>
        <w:t>）</w:t>
      </w:r>
    </w:p>
    <w:tbl>
      <w:tblPr>
        <w:tblStyle w:val="17"/>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620"/>
        <w:gridCol w:w="855"/>
        <w:gridCol w:w="6915"/>
      </w:tblGrid>
      <w:tr w14:paraId="2C02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170" w:type="dxa"/>
            <w:noWrap w:val="0"/>
            <w:vAlign w:val="center"/>
          </w:tcPr>
          <w:p w14:paraId="37DFE5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类别</w:t>
            </w:r>
          </w:p>
        </w:tc>
        <w:tc>
          <w:tcPr>
            <w:tcW w:w="1620" w:type="dxa"/>
            <w:noWrap w:val="0"/>
            <w:vAlign w:val="center"/>
          </w:tcPr>
          <w:p w14:paraId="019870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w:t>
            </w:r>
          </w:p>
        </w:tc>
        <w:tc>
          <w:tcPr>
            <w:tcW w:w="855" w:type="dxa"/>
            <w:noWrap w:val="0"/>
            <w:vAlign w:val="center"/>
          </w:tcPr>
          <w:p w14:paraId="004E7B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满分分值</w:t>
            </w:r>
          </w:p>
        </w:tc>
        <w:tc>
          <w:tcPr>
            <w:tcW w:w="6915" w:type="dxa"/>
            <w:noWrap w:val="0"/>
            <w:vAlign w:val="center"/>
          </w:tcPr>
          <w:p w14:paraId="6C01A3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评审标准</w:t>
            </w:r>
          </w:p>
        </w:tc>
      </w:tr>
      <w:tr w14:paraId="4A00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0" w:type="dxa"/>
            <w:vMerge w:val="restart"/>
            <w:noWrap w:val="0"/>
            <w:vAlign w:val="center"/>
          </w:tcPr>
          <w:p w14:paraId="795A17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技术及商务评审</w:t>
            </w:r>
          </w:p>
          <w:p w14:paraId="6B5B00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70</w:t>
            </w:r>
            <w:r>
              <w:rPr>
                <w:rFonts w:hint="eastAsia" w:ascii="仿宋" w:hAnsi="仿宋" w:eastAsia="仿宋" w:cs="仿宋"/>
                <w:kern w:val="0"/>
                <w:sz w:val="24"/>
                <w:szCs w:val="24"/>
              </w:rPr>
              <w:t>分）</w:t>
            </w:r>
          </w:p>
        </w:tc>
        <w:tc>
          <w:tcPr>
            <w:tcW w:w="1620" w:type="dxa"/>
            <w:noWrap w:val="0"/>
            <w:vAlign w:val="center"/>
          </w:tcPr>
          <w:p w14:paraId="559ED0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类似业绩</w:t>
            </w:r>
          </w:p>
        </w:tc>
        <w:tc>
          <w:tcPr>
            <w:tcW w:w="855" w:type="dxa"/>
            <w:noWrap w:val="0"/>
            <w:vAlign w:val="center"/>
          </w:tcPr>
          <w:p w14:paraId="2C9201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6915" w:type="dxa"/>
            <w:noWrap w:val="0"/>
            <w:vAlign w:val="center"/>
          </w:tcPr>
          <w:p w14:paraId="3195FDF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投标人提供近三年（20</w:t>
            </w: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lang w:val="zh-CN"/>
              </w:rPr>
              <w:t>年1月1日至今）</w:t>
            </w:r>
            <w:r>
              <w:rPr>
                <w:rFonts w:hint="eastAsia" w:ascii="仿宋" w:hAnsi="仿宋" w:eastAsia="仿宋" w:cs="仿宋"/>
                <w:kern w:val="0"/>
                <w:sz w:val="24"/>
                <w:szCs w:val="24"/>
              </w:rPr>
              <w:t>已完成</w:t>
            </w:r>
            <w:r>
              <w:rPr>
                <w:rFonts w:hint="eastAsia" w:ascii="仿宋" w:hAnsi="仿宋" w:eastAsia="仿宋" w:cs="仿宋"/>
                <w:kern w:val="0"/>
                <w:sz w:val="24"/>
                <w:szCs w:val="24"/>
                <w:lang w:val="zh-CN"/>
              </w:rPr>
              <w:t>的</w:t>
            </w:r>
            <w:r>
              <w:rPr>
                <w:rFonts w:hint="eastAsia" w:ascii="仿宋" w:hAnsi="仿宋" w:eastAsia="仿宋" w:cs="仿宋"/>
                <w:kern w:val="0"/>
                <w:sz w:val="24"/>
                <w:szCs w:val="24"/>
              </w:rPr>
              <w:t>相关类似</w:t>
            </w:r>
            <w:r>
              <w:rPr>
                <w:rFonts w:hint="eastAsia" w:ascii="仿宋" w:hAnsi="仿宋" w:eastAsia="仿宋" w:cs="仿宋"/>
                <w:kern w:val="0"/>
                <w:sz w:val="24"/>
                <w:szCs w:val="24"/>
                <w:lang w:val="zh-CN"/>
              </w:rPr>
              <w:t>业绩，每提供</w:t>
            </w:r>
            <w:r>
              <w:rPr>
                <w:rFonts w:hint="eastAsia" w:ascii="仿宋" w:hAnsi="仿宋" w:eastAsia="仿宋" w:cs="仿宋"/>
                <w:kern w:val="0"/>
                <w:sz w:val="24"/>
                <w:szCs w:val="24"/>
              </w:rPr>
              <w:t>1个</w:t>
            </w:r>
            <w:r>
              <w:rPr>
                <w:rFonts w:hint="eastAsia" w:ascii="仿宋" w:hAnsi="仿宋" w:eastAsia="仿宋" w:cs="仿宋"/>
                <w:kern w:val="0"/>
                <w:sz w:val="24"/>
                <w:szCs w:val="24"/>
                <w:lang w:val="zh-CN"/>
              </w:rPr>
              <w:t>得</w:t>
            </w:r>
            <w:r>
              <w:rPr>
                <w:rFonts w:hint="eastAsia" w:ascii="仿宋" w:hAnsi="仿宋" w:eastAsia="仿宋" w:cs="仿宋"/>
                <w:kern w:val="0"/>
                <w:sz w:val="24"/>
                <w:szCs w:val="24"/>
                <w:lang w:val="en-US" w:eastAsia="zh-CN"/>
              </w:rPr>
              <w:t xml:space="preserve"> 1 </w:t>
            </w:r>
            <w:r>
              <w:rPr>
                <w:rFonts w:hint="eastAsia" w:ascii="仿宋" w:hAnsi="仿宋" w:eastAsia="仿宋" w:cs="仿宋"/>
                <w:kern w:val="0"/>
                <w:sz w:val="24"/>
                <w:szCs w:val="24"/>
              </w:rPr>
              <w:t>分，满分</w:t>
            </w:r>
            <w:r>
              <w:rPr>
                <w:rFonts w:hint="eastAsia" w:ascii="仿宋" w:hAnsi="仿宋" w:eastAsia="仿宋" w:cs="仿宋"/>
                <w:kern w:val="0"/>
                <w:sz w:val="24"/>
                <w:szCs w:val="24"/>
                <w:lang w:val="en-US" w:eastAsia="zh-CN"/>
              </w:rPr>
              <w:t xml:space="preserve"> 2 </w:t>
            </w:r>
            <w:r>
              <w:rPr>
                <w:rFonts w:hint="eastAsia" w:ascii="仿宋" w:hAnsi="仿宋" w:eastAsia="仿宋" w:cs="仿宋"/>
                <w:kern w:val="0"/>
                <w:sz w:val="24"/>
                <w:szCs w:val="24"/>
              </w:rPr>
              <w:t>分。（以提供有效的中标通知书</w:t>
            </w:r>
            <w:r>
              <w:rPr>
                <w:rFonts w:hint="eastAsia" w:ascii="仿宋" w:hAnsi="仿宋" w:eastAsia="仿宋" w:cs="仿宋"/>
                <w:kern w:val="0"/>
                <w:sz w:val="24"/>
                <w:szCs w:val="24"/>
                <w:lang w:val="en-US" w:eastAsia="zh-CN"/>
              </w:rPr>
              <w:t>或</w:t>
            </w:r>
            <w:bookmarkStart w:id="87" w:name="_GoBack"/>
            <w:bookmarkEnd w:id="87"/>
            <w:r>
              <w:rPr>
                <w:rFonts w:hint="eastAsia" w:ascii="仿宋" w:hAnsi="仿宋" w:eastAsia="仿宋" w:cs="仿宋"/>
                <w:kern w:val="0"/>
                <w:sz w:val="24"/>
                <w:szCs w:val="24"/>
              </w:rPr>
              <w:t>有效合同协议书为准，业绩材料必须清晰可见，时间以签订时间为准。)不提供不得分。</w:t>
            </w:r>
          </w:p>
        </w:tc>
      </w:tr>
      <w:tr w14:paraId="1056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0" w:type="dxa"/>
            <w:vMerge w:val="continue"/>
            <w:noWrap w:val="0"/>
            <w:vAlign w:val="center"/>
          </w:tcPr>
          <w:p w14:paraId="5778DAF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318F8F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投标文件技术</w:t>
            </w:r>
            <w:r>
              <w:rPr>
                <w:rFonts w:hint="eastAsia" w:ascii="仿宋" w:hAnsi="仿宋" w:eastAsia="仿宋" w:cs="仿宋"/>
                <w:kern w:val="0"/>
                <w:sz w:val="24"/>
                <w:szCs w:val="24"/>
                <w:lang w:val="en-US" w:eastAsia="zh-CN"/>
              </w:rPr>
              <w:t>参数</w:t>
            </w:r>
          </w:p>
        </w:tc>
        <w:tc>
          <w:tcPr>
            <w:tcW w:w="855" w:type="dxa"/>
            <w:noWrap w:val="0"/>
            <w:vAlign w:val="center"/>
          </w:tcPr>
          <w:p w14:paraId="3B3684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10分</w:t>
            </w:r>
          </w:p>
        </w:tc>
        <w:tc>
          <w:tcPr>
            <w:tcW w:w="6915" w:type="dxa"/>
            <w:noWrap w:val="0"/>
            <w:vAlign w:val="center"/>
          </w:tcPr>
          <w:p w14:paraId="4875EBAB">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技术参数完全满足招标文件要求得 10 分，每负偏离一条扣 2 分，扣完为止。</w:t>
            </w:r>
          </w:p>
        </w:tc>
      </w:tr>
      <w:tr w14:paraId="173F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0" w:type="dxa"/>
            <w:vMerge w:val="continue"/>
            <w:noWrap w:val="0"/>
            <w:vAlign w:val="center"/>
          </w:tcPr>
          <w:p w14:paraId="20827AC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5AB636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供货实施方案</w:t>
            </w:r>
          </w:p>
        </w:tc>
        <w:tc>
          <w:tcPr>
            <w:tcW w:w="855" w:type="dxa"/>
            <w:noWrap w:val="0"/>
            <w:vAlign w:val="center"/>
          </w:tcPr>
          <w:p w14:paraId="394D4EA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20分</w:t>
            </w:r>
          </w:p>
        </w:tc>
        <w:tc>
          <w:tcPr>
            <w:tcW w:w="6915" w:type="dxa"/>
            <w:noWrap w:val="0"/>
            <w:vAlign w:val="top"/>
          </w:tcPr>
          <w:p w14:paraId="5150ED47">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包括但不限于：</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采购</w:t>
            </w:r>
            <w:r>
              <w:rPr>
                <w:rFonts w:hint="eastAsia" w:ascii="仿宋" w:hAnsi="仿宋" w:eastAsia="仿宋" w:cs="仿宋"/>
                <w:kern w:val="0"/>
                <w:sz w:val="24"/>
                <w:lang w:val="en-US" w:eastAsia="zh-CN" w:bidi="ar"/>
              </w:rPr>
              <w:t>备货</w:t>
            </w:r>
            <w:r>
              <w:rPr>
                <w:rFonts w:hint="eastAsia" w:ascii="仿宋" w:hAnsi="仿宋" w:eastAsia="仿宋" w:cs="仿宋"/>
                <w:kern w:val="0"/>
                <w:sz w:val="24"/>
                <w:lang w:bidi="ar"/>
              </w:rPr>
              <w:t>方案</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2.人员配置</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3.配送方式、</w:t>
            </w:r>
            <w:r>
              <w:rPr>
                <w:rFonts w:hint="eastAsia" w:ascii="仿宋" w:hAnsi="仿宋" w:eastAsia="仿宋" w:cs="仿宋"/>
                <w:kern w:val="0"/>
                <w:sz w:val="24"/>
                <w:lang w:bidi="ar"/>
              </w:rPr>
              <w:t>配送安全保障措施</w:t>
            </w:r>
            <w:r>
              <w:rPr>
                <w:rFonts w:hint="eastAsia" w:ascii="仿宋" w:hAnsi="仿宋" w:eastAsia="仿宋" w:cs="仿宋"/>
                <w:kern w:val="0"/>
                <w:sz w:val="24"/>
                <w:lang w:val="en-US" w:eastAsia="zh-CN" w:bidi="ar"/>
              </w:rPr>
              <w:t>；4.安装及调试方案</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5.验收方案</w:t>
            </w:r>
            <w:r>
              <w:rPr>
                <w:rFonts w:hint="eastAsia" w:ascii="仿宋" w:hAnsi="仿宋" w:eastAsia="仿宋" w:cs="仿宋"/>
                <w:kern w:val="0"/>
                <w:sz w:val="24"/>
                <w:lang w:bidi="ar"/>
              </w:rPr>
              <w:t>等</w:t>
            </w:r>
            <w:r>
              <w:rPr>
                <w:rFonts w:hint="eastAsia" w:ascii="仿宋" w:hAnsi="仿宋" w:eastAsia="仿宋" w:cs="仿宋"/>
                <w:kern w:val="0"/>
                <w:sz w:val="24"/>
                <w:lang w:eastAsia="zh-CN" w:bidi="ar"/>
              </w:rPr>
              <w:t>。</w:t>
            </w:r>
            <w:r>
              <w:rPr>
                <w:rFonts w:hint="eastAsia" w:ascii="仿宋" w:hAnsi="仿宋" w:eastAsia="仿宋" w:cs="仿宋"/>
                <w:kern w:val="0"/>
                <w:sz w:val="24"/>
                <w:lang w:bidi="ar"/>
              </w:rPr>
              <w:t xml:space="preserve">经评审上述 </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 xml:space="preserve"> 项内容全面、可实施、合理性，完全符合本次招标需求得 </w:t>
            </w:r>
            <w:r>
              <w:rPr>
                <w:rFonts w:hint="eastAsia" w:ascii="仿宋" w:hAnsi="仿宋" w:eastAsia="仿宋" w:cs="仿宋"/>
                <w:kern w:val="0"/>
                <w:sz w:val="24"/>
                <w:lang w:val="en-US" w:eastAsia="zh-CN" w:bidi="ar"/>
              </w:rPr>
              <w:t>20</w:t>
            </w:r>
            <w:r>
              <w:rPr>
                <w:rFonts w:hint="eastAsia" w:ascii="仿宋" w:hAnsi="仿宋" w:eastAsia="仿宋" w:cs="仿宋"/>
                <w:kern w:val="0"/>
                <w:sz w:val="24"/>
                <w:lang w:bidi="ar"/>
              </w:rPr>
              <w:t xml:space="preserve"> 分。每提供一项内容得 </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 xml:space="preserve"> 分，每有一条内容未进行详细说明或内容存在不足或不适用本项目或内容错误的扣 1 分。</w:t>
            </w:r>
          </w:p>
        </w:tc>
      </w:tr>
      <w:tr w14:paraId="5B0B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0" w:type="dxa"/>
            <w:vMerge w:val="continue"/>
            <w:noWrap w:val="0"/>
            <w:vAlign w:val="center"/>
          </w:tcPr>
          <w:p w14:paraId="759CF23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31C66E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施工实施方案</w:t>
            </w:r>
          </w:p>
        </w:tc>
        <w:tc>
          <w:tcPr>
            <w:tcW w:w="855" w:type="dxa"/>
            <w:noWrap w:val="0"/>
            <w:vAlign w:val="center"/>
          </w:tcPr>
          <w:p w14:paraId="775EDAF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12分</w:t>
            </w:r>
          </w:p>
        </w:tc>
        <w:tc>
          <w:tcPr>
            <w:tcW w:w="6915" w:type="dxa"/>
            <w:noWrap w:val="0"/>
            <w:vAlign w:val="top"/>
          </w:tcPr>
          <w:p w14:paraId="23A44466">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根据施工实施方案合理符合工程实际情况，施工部署全面、针对性强，对工程施工具有较强的指导性，提高生产率、缩短工期、提高质量、降低消耗等，内容包括但不限于以下因素：</w:t>
            </w:r>
          </w:p>
          <w:p w14:paraId="4740A6FE">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1.有完整的施工组织设计方案；</w:t>
            </w:r>
          </w:p>
          <w:p w14:paraId="68C6C999">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2.施工工艺方案和施工方法；</w:t>
            </w:r>
          </w:p>
          <w:p w14:paraId="730CA379">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3.劳动力组织均衡，工序衔接紧凑科学，注重效率；</w:t>
            </w:r>
          </w:p>
          <w:p w14:paraId="72117A93">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eastAsia="zh-CN" w:bidi="ar"/>
              </w:rPr>
            </w:pPr>
            <w:r>
              <w:rPr>
                <w:rFonts w:hint="eastAsia" w:ascii="仿宋" w:hAnsi="仿宋" w:eastAsia="仿宋" w:cs="仿宋"/>
                <w:kern w:val="0"/>
                <w:sz w:val="24"/>
                <w:lang w:bidi="ar"/>
              </w:rPr>
              <w:t>4.施工安排，有针对性地对施工用电、用水、交通进行部署</w:t>
            </w:r>
            <w:r>
              <w:rPr>
                <w:rFonts w:hint="eastAsia" w:ascii="仿宋" w:hAnsi="仿宋" w:eastAsia="仿宋" w:cs="仿宋"/>
                <w:kern w:val="0"/>
                <w:sz w:val="24"/>
                <w:lang w:eastAsia="zh-CN" w:bidi="ar"/>
              </w:rPr>
              <w:t>。</w:t>
            </w:r>
          </w:p>
          <w:p w14:paraId="194CAFF7">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方案内容完整清晰明确且科学合理、可行性高具有针对性的得 1</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 分，每缺少一项内容扣 3 分；每有一处不具有针对性或逻辑性错误且不完整的扣 1分，扣完为止。未提供相关内容不得分。</w:t>
            </w:r>
          </w:p>
        </w:tc>
      </w:tr>
      <w:tr w14:paraId="2EC7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03B374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60E11CC4">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质量保证措施及承诺</w:t>
            </w:r>
          </w:p>
        </w:tc>
        <w:tc>
          <w:tcPr>
            <w:tcW w:w="855" w:type="dxa"/>
            <w:noWrap w:val="0"/>
            <w:vAlign w:val="center"/>
          </w:tcPr>
          <w:p w14:paraId="530B5FE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12分</w:t>
            </w:r>
          </w:p>
        </w:tc>
        <w:tc>
          <w:tcPr>
            <w:tcW w:w="6915" w:type="dxa"/>
            <w:noWrap w:val="0"/>
            <w:vAlign w:val="center"/>
          </w:tcPr>
          <w:p w14:paraId="2C24B5F1">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包括但不限于：</w:t>
            </w:r>
            <w:r>
              <w:rPr>
                <w:rFonts w:hint="eastAsia" w:ascii="仿宋" w:hAnsi="仿宋" w:eastAsia="仿宋" w:cs="仿宋"/>
                <w:kern w:val="0"/>
                <w:sz w:val="24"/>
                <w:szCs w:val="24"/>
                <w:lang w:val="en-US" w:eastAsia="zh-CN" w:bidi="ar-SA"/>
              </w:rPr>
              <w:t>1.制定定期维护检查方案（注明时间）；2.提供完善的后期管理思路和措施方案；3.制定质量通病的防治措施方案；4.进度计划及保障措施等。上述 4 项内容全面、可实施、合理性，完全符合本次招标需求得 12 分。每提供一项内容得 3 分，每有一条内容未进行详细说明或内容存在不足或不适用本项目或内容错误的扣 1 分。</w:t>
            </w:r>
          </w:p>
        </w:tc>
      </w:tr>
      <w:tr w14:paraId="4DCE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1AC9BDC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shd w:val="clear"/>
            <w:noWrap w:val="0"/>
            <w:vAlign w:val="center"/>
          </w:tcPr>
          <w:p w14:paraId="1567589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售后服务体系</w:t>
            </w:r>
          </w:p>
        </w:tc>
        <w:tc>
          <w:tcPr>
            <w:tcW w:w="855" w:type="dxa"/>
            <w:shd w:val="clear"/>
            <w:noWrap w:val="0"/>
            <w:vAlign w:val="center"/>
          </w:tcPr>
          <w:p w14:paraId="2C9C1AF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8分</w:t>
            </w:r>
          </w:p>
        </w:tc>
        <w:tc>
          <w:tcPr>
            <w:tcW w:w="6915" w:type="dxa"/>
            <w:shd w:val="clear"/>
            <w:noWrap w:val="0"/>
            <w:vAlign w:val="center"/>
          </w:tcPr>
          <w:p w14:paraId="1BF6B0AE">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1.质量保证期过后，供应商能够同样提供免费电话咨询服务，并应承诺提供产品上门维护服务得2分；</w:t>
            </w:r>
          </w:p>
          <w:p w14:paraId="6663D424">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2..承诺售后服务中维修使用的零部件及易损件应为原厂配件且有固定的备品备件及易损零部件的配备得2分；</w:t>
            </w:r>
          </w:p>
          <w:p w14:paraId="4B3582CF">
            <w:pPr>
              <w:keepNext w:val="0"/>
              <w:keepLines w:val="0"/>
              <w:pageBreakBefore w:val="0"/>
              <w:widowControl/>
              <w:numPr>
                <w:ilvl w:val="0"/>
                <w:numId w:val="0"/>
              </w:numPr>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3.应急响应时间：能派专人到现场提供服务技术的得4分（须提供承诺书，承诺书中包含响应时间、现场技术服务人员的身份证复印件及联系方式等信息）；只提供远程技术指导服务的得2分。</w:t>
            </w:r>
          </w:p>
        </w:tc>
      </w:tr>
      <w:tr w14:paraId="0FD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6937A9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shd w:val="clear"/>
            <w:noWrap w:val="0"/>
            <w:vAlign w:val="center"/>
          </w:tcPr>
          <w:p w14:paraId="5B6264D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培训方案</w:t>
            </w:r>
          </w:p>
        </w:tc>
        <w:tc>
          <w:tcPr>
            <w:tcW w:w="855" w:type="dxa"/>
            <w:shd w:val="clear"/>
            <w:noWrap w:val="0"/>
            <w:vAlign w:val="center"/>
          </w:tcPr>
          <w:p w14:paraId="3ABF15C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6分</w:t>
            </w:r>
          </w:p>
        </w:tc>
        <w:tc>
          <w:tcPr>
            <w:tcW w:w="6915" w:type="dxa"/>
            <w:shd w:val="clear"/>
            <w:noWrap w:val="0"/>
            <w:vAlign w:val="center"/>
          </w:tcPr>
          <w:p w14:paraId="2CDFE9A9">
            <w:pPr>
              <w:keepNext w:val="0"/>
              <w:keepLines w:val="0"/>
              <w:pageBreakBefore w:val="0"/>
              <w:widowControl/>
              <w:numPr>
                <w:ilvl w:val="0"/>
                <w:numId w:val="0"/>
              </w:numPr>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投标人应有完善的培训体系，针对本项目后期使用人员制定科学合理可行的培训方案(培训计划、培训人员、培训内容等)。方案完全满足招标要求得6分，每缺少1方面内容或每有1处内容存在不足扣1分，扣完为止。</w:t>
            </w:r>
          </w:p>
        </w:tc>
      </w:tr>
    </w:tbl>
    <w:p w14:paraId="311AC52D">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br w:type="page"/>
      </w:r>
    </w:p>
    <w:p w14:paraId="3DD3ACED">
      <w:pPr>
        <w:pStyle w:val="24"/>
        <w:spacing w:after="60" w:line="320" w:lineRule="exact"/>
        <w:ind w:firstLine="0"/>
        <w:jc w:val="both"/>
        <w:rPr>
          <w:rFonts w:hint="eastAsia" w:ascii="仿宋" w:hAnsi="仿宋" w:eastAsia="仿宋" w:cs="仿宋"/>
          <w:kern w:val="0"/>
          <w:sz w:val="24"/>
          <w:szCs w:val="24"/>
          <w:lang w:val="en-US" w:eastAsia="zh-CN" w:bidi="ar-SA"/>
        </w:rPr>
      </w:pPr>
    </w:p>
    <w:tbl>
      <w:tblPr>
        <w:tblStyle w:val="17"/>
        <w:tblpPr w:leftFromText="180" w:rightFromText="180" w:vertAnchor="text" w:horzAnchor="page" w:tblpX="646" w:tblpY="793"/>
        <w:tblOverlap w:val="never"/>
        <w:tblW w:w="10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45"/>
        <w:gridCol w:w="6867"/>
        <w:gridCol w:w="1121"/>
      </w:tblGrid>
      <w:tr w14:paraId="489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085" w:type="dxa"/>
            <w:noWrap w:val="0"/>
            <w:vAlign w:val="center"/>
          </w:tcPr>
          <w:p w14:paraId="3E7B5AAA">
            <w:pPr>
              <w:pStyle w:val="24"/>
              <w:spacing w:after="6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序号</w:t>
            </w:r>
          </w:p>
        </w:tc>
        <w:tc>
          <w:tcPr>
            <w:tcW w:w="1345" w:type="dxa"/>
            <w:noWrap w:val="0"/>
            <w:vAlign w:val="center"/>
          </w:tcPr>
          <w:p w14:paraId="45227DB3">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评审项目</w:t>
            </w:r>
          </w:p>
        </w:tc>
        <w:tc>
          <w:tcPr>
            <w:tcW w:w="6867" w:type="dxa"/>
            <w:noWrap w:val="0"/>
            <w:vAlign w:val="center"/>
          </w:tcPr>
          <w:p w14:paraId="4A80C1FF">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评分标准</w:t>
            </w:r>
          </w:p>
        </w:tc>
        <w:tc>
          <w:tcPr>
            <w:tcW w:w="1121" w:type="dxa"/>
            <w:noWrap w:val="0"/>
            <w:vAlign w:val="center"/>
          </w:tcPr>
          <w:p w14:paraId="0B6EFE90">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分值</w:t>
            </w:r>
          </w:p>
        </w:tc>
      </w:tr>
      <w:tr w14:paraId="3076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1085" w:type="dxa"/>
            <w:noWrap w:val="0"/>
            <w:vAlign w:val="center"/>
          </w:tcPr>
          <w:p w14:paraId="1B5C2E2B">
            <w:pPr>
              <w:widowControl/>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w:t>
            </w:r>
          </w:p>
        </w:tc>
        <w:tc>
          <w:tcPr>
            <w:tcW w:w="1345" w:type="dxa"/>
            <w:noWrap w:val="0"/>
            <w:vAlign w:val="center"/>
          </w:tcPr>
          <w:p w14:paraId="0C301B14">
            <w:pPr>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价格部分</w:t>
            </w:r>
          </w:p>
          <w:p w14:paraId="3B91E0BF">
            <w:pPr>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（30%）</w:t>
            </w:r>
          </w:p>
        </w:tc>
        <w:tc>
          <w:tcPr>
            <w:tcW w:w="6867" w:type="dxa"/>
            <w:noWrap w:val="0"/>
            <w:vAlign w:val="center"/>
          </w:tcPr>
          <w:p w14:paraId="37798E1C">
            <w:pPr>
              <w:adjustRightInd w:val="0"/>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符合招标文件要求且投标价格最低的投标报价为评标基准价，其价格为满分。其它投标人的投标报价得分=（评标基准价/投标报价）×报价权重×100%。</w:t>
            </w:r>
          </w:p>
          <w:p w14:paraId="6DB4FAB5">
            <w:pPr>
              <w:adjustRightInd w:val="0"/>
              <w:snapToGrid w:val="0"/>
              <w:ind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zh-CN"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特别是对于投入人员及系统成本合理性的说明），评标委员会有权对其投标作为无效投标处理。</w:t>
            </w:r>
          </w:p>
        </w:tc>
        <w:tc>
          <w:tcPr>
            <w:tcW w:w="1121" w:type="dxa"/>
            <w:noWrap w:val="0"/>
            <w:vAlign w:val="center"/>
          </w:tcPr>
          <w:p w14:paraId="64CA5992">
            <w:pPr>
              <w:snapToGrid w:val="0"/>
              <w:spacing w:line="36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0-30分</w:t>
            </w:r>
          </w:p>
        </w:tc>
      </w:tr>
    </w:tbl>
    <w:p w14:paraId="13F5F418">
      <w:pPr>
        <w:pStyle w:val="5"/>
        <w:ind w:firstLine="0"/>
        <w:jc w:val="center"/>
        <w:rPr>
          <w:rFonts w:hint="eastAsia" w:ascii="仿宋" w:hAnsi="仿宋" w:eastAsia="仿宋" w:cs="仿宋"/>
          <w:b/>
          <w:sz w:val="24"/>
          <w:szCs w:val="24"/>
          <w:lang w:eastAsia="zh-CN"/>
        </w:rPr>
      </w:pPr>
      <w:r>
        <w:rPr>
          <w:rFonts w:hint="eastAsia" w:ascii="仿宋" w:hAnsi="仿宋" w:eastAsia="仿宋" w:cs="仿宋"/>
          <w:b/>
          <w:sz w:val="24"/>
          <w:szCs w:val="24"/>
        </w:rPr>
        <w:t>价格评分标准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30分</w:t>
      </w:r>
      <w:r>
        <w:rPr>
          <w:rFonts w:hint="eastAsia" w:ascii="仿宋" w:hAnsi="仿宋" w:eastAsia="仿宋" w:cs="仿宋"/>
          <w:b/>
          <w:sz w:val="24"/>
          <w:szCs w:val="24"/>
          <w:lang w:eastAsia="zh-CN"/>
        </w:rPr>
        <w:t>）</w:t>
      </w:r>
    </w:p>
    <w:p w14:paraId="45D00475">
      <w:pPr>
        <w:pStyle w:val="8"/>
        <w:kinsoku w:val="0"/>
        <w:overflowPunct w:val="0"/>
        <w:spacing w:before="34" w:line="357" w:lineRule="auto"/>
        <w:ind w:left="0" w:leftChars="0" w:right="126" w:firstLine="0" w:firstLineChars="0"/>
        <w:rPr>
          <w:rFonts w:hint="eastAsia" w:ascii="仿宋" w:hAnsi="仿宋" w:eastAsia="仿宋" w:cs="仿宋"/>
          <w:b/>
          <w:bCs/>
          <w:color w:val="auto"/>
        </w:rPr>
      </w:pPr>
    </w:p>
    <w:p w14:paraId="33040411">
      <w:pPr>
        <w:pStyle w:val="8"/>
        <w:kinsoku w:val="0"/>
        <w:overflowPunct w:val="0"/>
        <w:spacing w:before="34" w:line="357" w:lineRule="auto"/>
        <w:ind w:left="0" w:leftChars="0" w:right="126" w:firstLine="0" w:firstLineChars="0"/>
        <w:rPr>
          <w:rFonts w:hint="eastAsia" w:ascii="仿宋" w:hAnsi="仿宋" w:eastAsia="仿宋" w:cs="仿宋"/>
          <w:color w:val="auto"/>
        </w:rPr>
      </w:pPr>
      <w:r>
        <w:rPr>
          <w:rFonts w:hint="eastAsia" w:ascii="仿宋" w:hAnsi="仿宋" w:eastAsia="仿宋" w:cs="仿宋"/>
          <w:b/>
          <w:bCs/>
          <w:color w:val="auto"/>
        </w:rPr>
        <w:t>计分原则：</w:t>
      </w:r>
      <w:r>
        <w:rPr>
          <w:rFonts w:hint="eastAsia" w:ascii="仿宋" w:hAnsi="仿宋" w:eastAsia="仿宋" w:cs="仿宋"/>
          <w:color w:val="auto"/>
        </w:rPr>
        <w:t>1、投标报价得分由磋商小组按照价格分计算公式计算分值。</w:t>
      </w:r>
    </w:p>
    <w:p w14:paraId="3A8458DB">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2、商务部分由磋商小组共同评定唯一的得分。</w:t>
      </w:r>
    </w:p>
    <w:p w14:paraId="268B2CB7">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3、技术部分由磋商小组专家分别打分后，取平均分作为技术分最后得分。</w:t>
      </w:r>
    </w:p>
    <w:p w14:paraId="32726441">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4、供应商综合评分最终总分值为投标报价、商务部分和技术部分三部分得分总和。评分计算保留 2 位小数，第三位小数四舍五入。</w:t>
      </w:r>
    </w:p>
    <w:p w14:paraId="08668B72">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5、得分相同的，按投标报价由低到高顺序排列。得分且投标报价相同的，按技术指标优劣顺序排列。</w:t>
      </w:r>
    </w:p>
    <w:p w14:paraId="2B42EE2B">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6、磋商小组按评分排序确定中标人，同时提交评标报告，由磋商小组成员集体签名。第一中标候选人放弃中标后，由第二名作为中标候选人，依次类推。</w:t>
      </w:r>
    </w:p>
    <w:p w14:paraId="3E8B70CC">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7、评标中如遇未考虑到的问题，由磋商小组成员集体研究处理决定。</w:t>
      </w:r>
    </w:p>
    <w:p w14:paraId="4943AB9F">
      <w:pPr>
        <w:pStyle w:val="8"/>
        <w:kinsoku w:val="0"/>
        <w:overflowPunct w:val="0"/>
        <w:spacing w:before="34"/>
        <w:jc w:val="both"/>
        <w:rPr>
          <w:rFonts w:hint="eastAsia" w:ascii="仿宋" w:hAnsi="仿宋" w:eastAsia="仿宋" w:cs="仿宋"/>
          <w:b/>
          <w:bCs/>
        </w:rPr>
      </w:pPr>
      <w:r>
        <w:rPr>
          <w:rFonts w:hint="eastAsia" w:ascii="仿宋" w:hAnsi="仿宋" w:eastAsia="仿宋" w:cs="仿宋"/>
          <w:b/>
          <w:bCs/>
        </w:rPr>
        <w:t xml:space="preserve"> 其他注意事项：</w:t>
      </w:r>
    </w:p>
    <w:p w14:paraId="0FFDAA7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（1）评审工作在磋商小组内独立进行。</w:t>
      </w:r>
    </w:p>
    <w:p w14:paraId="566448A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为了有助于对投标进行审查、评估和比较，磋商小组有权向供应商质疑、查看有关资质原件、供应商解释投标内容。供应商有责任按照磋商小组通知的时间、地点指派专人进行答疑、澄清、提供有关资质原件。</w:t>
      </w:r>
    </w:p>
    <w:p w14:paraId="30CB489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（3）在开标、评标期间，供应商不得向磋商小组成员询问情况，不得进行影响评标结果的活动。</w:t>
      </w:r>
    </w:p>
    <w:p w14:paraId="59BFB42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（4）采购人、招标机构及磋商小组不向落标方解释原因，不保证最低价中标，不退还磋商响应性文件。</w:t>
      </w:r>
    </w:p>
    <w:p w14:paraId="6F313F3D">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（5）在招标过程中如供应商有不正当行为时，磋商小组有权中止其投标资格。</w:t>
      </w:r>
    </w:p>
    <w:p w14:paraId="0287E7B3">
      <w:pPr>
        <w:pStyle w:val="8"/>
        <w:kinsoku w:val="0"/>
        <w:overflowPunct w:val="0"/>
        <w:spacing w:before="34" w:line="357" w:lineRule="auto"/>
        <w:ind w:left="598"/>
        <w:rPr>
          <w:rFonts w:hint="eastAsia" w:ascii="仿宋" w:hAnsi="仿宋" w:eastAsia="仿宋" w:cs="仿宋"/>
          <w:b/>
          <w:bCs/>
        </w:rPr>
        <w:sectPr>
          <w:footerReference r:id="rId10" w:type="first"/>
          <w:footerReference r:id="rId9" w:type="default"/>
          <w:pgSz w:w="11910" w:h="16840"/>
          <w:pgMar w:top="1040" w:right="1137" w:bottom="960" w:left="1080" w:header="763" w:footer="766"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仿宋" w:hAnsi="仿宋" w:eastAsia="仿宋" w:cs="仿宋"/>
          <w:b/>
          <w:bCs/>
        </w:rPr>
        <w:t>本评标办法解释权归采购人</w:t>
      </w:r>
    </w:p>
    <w:p w14:paraId="788E7279">
      <w:pPr>
        <w:pStyle w:val="3"/>
        <w:rPr>
          <w:rFonts w:hint="eastAsia" w:ascii="仿宋" w:hAnsi="仿宋" w:eastAsia="仿宋" w:cs="仿宋"/>
          <w:w w:val="95"/>
          <w:sz w:val="32"/>
          <w:szCs w:val="44"/>
          <w:lang w:val="en-US" w:eastAsia="zh-CN"/>
        </w:rPr>
      </w:pPr>
      <w:bookmarkStart w:id="33" w:name="_Toc5164"/>
      <w:r>
        <w:rPr>
          <w:rFonts w:hint="eastAsia" w:ascii="仿宋" w:hAnsi="仿宋" w:eastAsia="仿宋" w:cs="仿宋"/>
          <w:w w:val="95"/>
          <w:sz w:val="32"/>
          <w:szCs w:val="44"/>
          <w:lang w:val="en-US" w:eastAsia="zh-CN"/>
        </w:rPr>
        <w:t>第四章  磋商内容</w:t>
      </w:r>
      <w:bookmarkEnd w:id="33"/>
    </w:p>
    <w:p w14:paraId="535353A7">
      <w:pPr>
        <w:numPr>
          <w:ilvl w:val="0"/>
          <w:numId w:val="2"/>
        </w:numPr>
        <w:spacing w:before="42" w:line="386" w:lineRule="auto"/>
        <w:ind w:right="235"/>
        <w:rPr>
          <w:rFonts w:hint="eastAsia" w:ascii="仿宋" w:hAnsi="仿宋" w:eastAsia="仿宋" w:cs="仿宋"/>
          <w:b/>
          <w:sz w:val="24"/>
          <w:szCs w:val="24"/>
        </w:rPr>
      </w:pPr>
      <w:r>
        <w:rPr>
          <w:rFonts w:hint="eastAsia" w:ascii="仿宋" w:hAnsi="仿宋" w:eastAsia="仿宋" w:cs="仿宋"/>
          <w:b/>
          <w:spacing w:val="-2"/>
          <w:sz w:val="24"/>
          <w:szCs w:val="24"/>
        </w:rPr>
        <w:t>为防止厂商虚假应标，到货后甲方进行现场测试，如发现与投标参数不符，则按照虚假应标处理，废除中标方中标资格，并将相关事宜报财政局采购管理办公室。</w:t>
      </w:r>
    </w:p>
    <w:p w14:paraId="7C4CB8EA">
      <w:pPr>
        <w:numPr>
          <w:ilvl w:val="0"/>
          <w:numId w:val="3"/>
        </w:numPr>
        <w:rPr>
          <w:rFonts w:hint="eastAsia" w:ascii="仿宋" w:hAnsi="仿宋" w:eastAsia="仿宋" w:cs="仿宋"/>
          <w:b/>
          <w:sz w:val="24"/>
          <w:szCs w:val="24"/>
        </w:rPr>
      </w:pPr>
      <w:r>
        <w:rPr>
          <w:rFonts w:hint="eastAsia" w:ascii="仿宋" w:hAnsi="仿宋" w:eastAsia="仿宋" w:cs="仿宋"/>
          <w:b/>
          <w:sz w:val="24"/>
          <w:szCs w:val="24"/>
        </w:rPr>
        <w:t>项目需求</w:t>
      </w:r>
    </w:p>
    <w:p w14:paraId="5FA755A7">
      <w:pPr>
        <w:widowControl/>
        <w:spacing w:line="336" w:lineRule="auto"/>
        <w:ind w:firstLine="420" w:firstLineChars="200"/>
        <w:jc w:val="left"/>
        <w:rPr>
          <w:rFonts w:hint="eastAsia" w:ascii="仿宋" w:hAnsi="仿宋" w:eastAsia="仿宋" w:cs="仿宋"/>
          <w:b/>
          <w:bCs/>
          <w:sz w:val="24"/>
          <w:szCs w:val="22"/>
        </w:rPr>
      </w:pPr>
      <w:r>
        <w:rPr>
          <w:rFonts w:hint="eastAsia" w:ascii="仿宋" w:hAnsi="仿宋" w:eastAsia="仿宋" w:cs="仿宋"/>
        </w:rPr>
        <w:t xml:space="preserve"> </w:t>
      </w:r>
      <w:r>
        <w:rPr>
          <w:rFonts w:hint="eastAsia" w:ascii="仿宋" w:hAnsi="仿宋" w:eastAsia="仿宋" w:cs="仿宋"/>
          <w:b/>
          <w:bCs/>
          <w:sz w:val="24"/>
          <w:szCs w:val="22"/>
        </w:rPr>
        <w:t xml:space="preserve">1、采购清单凡有品牌描述或指向某品牌的指标描述均为参考指标，同时作为衡定同类产品的依据，供应商可投同档次产品或更优产品。 </w:t>
      </w:r>
    </w:p>
    <w:p w14:paraId="14F5BABC">
      <w:pPr>
        <w:spacing w:line="336" w:lineRule="auto"/>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2、本采购文件涉及的所有采购内容均采购国内产品。</w:t>
      </w:r>
    </w:p>
    <w:p w14:paraId="2C217D64">
      <w:pPr>
        <w:spacing w:line="336" w:lineRule="auto"/>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3、投标人所投产品的技术参数为所投产品的真实技术参数，但必须保证所投产品参数要求不低于招标文件要求，并提供技术偏离表，否则作废标处理。</w:t>
      </w:r>
    </w:p>
    <w:p w14:paraId="4F246FA4">
      <w:pPr>
        <w:rPr>
          <w:rFonts w:hint="eastAsia" w:ascii="仿宋" w:hAnsi="仿宋" w:eastAsia="仿宋" w:cs="仿宋"/>
          <w:lang w:eastAsia="zh-CN"/>
        </w:rPr>
      </w:pPr>
    </w:p>
    <w:p w14:paraId="1A40CD7E">
      <w:pPr>
        <w:pStyle w:val="5"/>
        <w:rPr>
          <w:rFonts w:hint="eastAsia" w:ascii="仿宋" w:hAnsi="仿宋" w:eastAsia="仿宋" w:cs="仿宋"/>
          <w:lang w:eastAsia="zh-CN"/>
        </w:rPr>
      </w:pPr>
    </w:p>
    <w:p w14:paraId="74EB1DA3">
      <w:pPr>
        <w:widowControl/>
        <w:spacing w:line="336" w:lineRule="auto"/>
        <w:jc w:val="left"/>
        <w:rPr>
          <w:rFonts w:hint="eastAsia" w:ascii="仿宋" w:hAnsi="仿宋" w:eastAsia="仿宋" w:cs="仿宋"/>
          <w:color w:val="000000"/>
          <w:spacing w:val="0"/>
          <w:w w:val="100"/>
          <w:position w:val="0"/>
          <w:sz w:val="24"/>
          <w:szCs w:val="24"/>
        </w:rPr>
      </w:pPr>
      <w:r>
        <w:rPr>
          <w:rFonts w:hint="eastAsia" w:ascii="仿宋" w:hAnsi="仿宋" w:eastAsia="仿宋" w:cs="仿宋"/>
          <w:b/>
          <w:bCs/>
          <w:sz w:val="24"/>
          <w:szCs w:val="22"/>
          <w:lang w:eastAsia="zh-CN"/>
        </w:rPr>
        <w:t>二、项目概况</w:t>
      </w:r>
    </w:p>
    <w:tbl>
      <w:tblPr>
        <w:tblStyle w:val="17"/>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616"/>
        <w:gridCol w:w="3781"/>
        <w:gridCol w:w="658"/>
        <w:gridCol w:w="766"/>
        <w:gridCol w:w="682"/>
        <w:gridCol w:w="682"/>
        <w:gridCol w:w="879"/>
        <w:gridCol w:w="879"/>
        <w:gridCol w:w="1099"/>
      </w:tblGrid>
      <w:tr w14:paraId="0F2B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4700" w:type="dxa"/>
            <w:gridSpan w:val="10"/>
            <w:tcBorders>
              <w:top w:val="nil"/>
              <w:left w:val="nil"/>
              <w:bottom w:val="nil"/>
              <w:right w:val="single" w:color="000000" w:sz="4" w:space="0"/>
            </w:tcBorders>
            <w:shd w:val="clear" w:color="auto" w:fill="auto"/>
            <w:noWrap/>
            <w:vAlign w:val="center"/>
          </w:tcPr>
          <w:p w14:paraId="640D760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轨道吊剔分割区域设备清单</w:t>
            </w:r>
          </w:p>
        </w:tc>
      </w:tr>
      <w:tr w14:paraId="2A8F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BA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13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AD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7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C3D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C4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品牌</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2C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型号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6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（元）</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0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总价</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347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715D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82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白条库轨道区域设备</w:t>
            </w:r>
          </w:p>
        </w:tc>
      </w:tr>
      <w:tr w14:paraId="6146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DE8">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0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轨道(双角钢直轨、双轨吊架、吊架安装材料等)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1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23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E2E5E97">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5C931CB5">
            <w:pPr>
              <w:jc w:val="center"/>
              <w:rPr>
                <w:rFonts w:hint="eastAsia" w:ascii="仿宋" w:hAnsi="仿宋" w:eastAsia="仿宋" w:cs="仿宋"/>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9B6D">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3AB5">
            <w:pPr>
              <w:jc w:val="center"/>
              <w:rPr>
                <w:rFonts w:hint="eastAsia" w:ascii="仿宋" w:hAnsi="仿宋" w:eastAsia="仿宋" w:cs="仿宋"/>
                <w:i w:val="0"/>
                <w:iCs w:val="0"/>
                <w:color w:val="000000"/>
                <w:sz w:val="22"/>
                <w:szCs w:val="22"/>
                <w:u w:val="none"/>
              </w:rPr>
            </w:pPr>
          </w:p>
        </w:tc>
      </w:tr>
      <w:tr w14:paraId="14C0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E846">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4D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钢梁立柱（主钢梁、轨道梁、立柱，铁板等）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9DF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A58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13F356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EE8F248">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77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E0A">
            <w:pPr>
              <w:jc w:val="center"/>
              <w:rPr>
                <w:rFonts w:hint="eastAsia" w:ascii="仿宋" w:hAnsi="仿宋" w:eastAsia="仿宋" w:cs="仿宋"/>
                <w:i w:val="0"/>
                <w:iCs w:val="0"/>
                <w:color w:val="000000"/>
                <w:sz w:val="22"/>
                <w:szCs w:val="22"/>
                <w:u w:val="none"/>
              </w:rPr>
            </w:pPr>
          </w:p>
        </w:tc>
      </w:tr>
      <w:tr w14:paraId="5367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E45">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B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 °弯轨及道岔（双角钢弯轨、弯轨连接等）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C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BF2B359">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969C2BB">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25B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C3CF">
            <w:pPr>
              <w:jc w:val="center"/>
              <w:rPr>
                <w:rFonts w:hint="eastAsia" w:ascii="仿宋" w:hAnsi="仿宋" w:eastAsia="仿宋" w:cs="仿宋"/>
                <w:i w:val="0"/>
                <w:iCs w:val="0"/>
                <w:color w:val="000000"/>
                <w:sz w:val="22"/>
                <w:szCs w:val="22"/>
                <w:u w:val="none"/>
              </w:rPr>
            </w:pPr>
          </w:p>
        </w:tc>
      </w:tr>
      <w:tr w14:paraId="038A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084">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2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三向道岔（道岔连接件等）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2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652013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C9B9C1D">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B62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4181">
            <w:pPr>
              <w:jc w:val="center"/>
              <w:rPr>
                <w:rFonts w:hint="eastAsia" w:ascii="仿宋" w:hAnsi="仿宋" w:eastAsia="仿宋" w:cs="仿宋"/>
                <w:i w:val="0"/>
                <w:iCs w:val="0"/>
                <w:color w:val="000000"/>
                <w:sz w:val="22"/>
                <w:szCs w:val="22"/>
                <w:u w:val="none"/>
              </w:rPr>
            </w:pPr>
          </w:p>
        </w:tc>
      </w:tr>
      <w:tr w14:paraId="1630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AB8">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73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断轨器（轨道连接件等）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B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B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41BEF0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B7D6651">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C5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35CF">
            <w:pPr>
              <w:jc w:val="center"/>
              <w:rPr>
                <w:rFonts w:hint="eastAsia" w:ascii="仿宋" w:hAnsi="仿宋" w:eastAsia="仿宋" w:cs="仿宋"/>
                <w:i w:val="0"/>
                <w:iCs w:val="0"/>
                <w:color w:val="000000"/>
                <w:sz w:val="22"/>
                <w:szCs w:val="22"/>
                <w:u w:val="none"/>
              </w:rPr>
            </w:pPr>
          </w:p>
        </w:tc>
      </w:tr>
      <w:tr w14:paraId="3192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94D3">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9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安装材料（立柱安装材料、钢梁连接件等）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19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658607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31FB3C94">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75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7BA6">
            <w:pPr>
              <w:jc w:val="center"/>
              <w:rPr>
                <w:rFonts w:hint="eastAsia" w:ascii="仿宋" w:hAnsi="仿宋" w:eastAsia="仿宋" w:cs="仿宋"/>
                <w:i w:val="0"/>
                <w:iCs w:val="0"/>
                <w:color w:val="000000"/>
                <w:sz w:val="22"/>
                <w:szCs w:val="22"/>
                <w:u w:val="none"/>
              </w:rPr>
            </w:pPr>
          </w:p>
        </w:tc>
      </w:tr>
      <w:tr w14:paraId="51D9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94B9">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F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双规镀锌滑轮+不锈钢挂钩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1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C5DA9B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F5D1776">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B32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971">
            <w:pPr>
              <w:jc w:val="center"/>
              <w:rPr>
                <w:rFonts w:hint="eastAsia" w:ascii="仿宋" w:hAnsi="仿宋" w:eastAsia="仿宋" w:cs="仿宋"/>
                <w:i w:val="0"/>
                <w:iCs w:val="0"/>
                <w:color w:val="000000"/>
                <w:sz w:val="22"/>
                <w:szCs w:val="22"/>
                <w:u w:val="none"/>
              </w:rPr>
            </w:pPr>
          </w:p>
        </w:tc>
      </w:tr>
      <w:tr w14:paraId="05CC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28B">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535F">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auto"/>
                <w:kern w:val="0"/>
                <w:sz w:val="22"/>
                <w:szCs w:val="22"/>
                <w:u w:val="none"/>
                <w:lang w:val="en-US" w:eastAsia="zh-CN" w:bidi="ar"/>
              </w:rPr>
              <w:t>轨道称（含</w:t>
            </w:r>
            <w:r>
              <w:rPr>
                <w:rFonts w:hint="eastAsia" w:ascii="仿宋" w:hAnsi="仿宋" w:eastAsia="仿宋" w:cs="仿宋"/>
                <w:i w:val="0"/>
                <w:iCs w:val="0"/>
                <w:color w:val="000000"/>
                <w:kern w:val="0"/>
                <w:sz w:val="22"/>
                <w:szCs w:val="22"/>
                <w:u w:val="none"/>
                <w:lang w:val="en-US" w:eastAsia="zh-CN" w:bidi="ar"/>
              </w:rPr>
              <w:t>显示器，数据连接口）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B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0B7593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5556A47">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759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408">
            <w:pPr>
              <w:jc w:val="center"/>
              <w:rPr>
                <w:rFonts w:hint="eastAsia" w:ascii="仿宋" w:hAnsi="仿宋" w:eastAsia="仿宋" w:cs="仿宋"/>
                <w:i w:val="0"/>
                <w:iCs w:val="0"/>
                <w:color w:val="000000"/>
                <w:sz w:val="22"/>
                <w:szCs w:val="22"/>
                <w:u w:val="none"/>
              </w:rPr>
            </w:pPr>
          </w:p>
        </w:tc>
      </w:tr>
      <w:tr w14:paraId="25B4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D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B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剔骨/分割台</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4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1.规格：约1000*800*800mm；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台面：304不锈钢拉丝板面1.5mm，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不锈钢方管：38*38*1.5 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F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E0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24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5E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C21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CF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E74">
            <w:pPr>
              <w:rPr>
                <w:rFonts w:hint="eastAsia" w:ascii="仿宋" w:hAnsi="仿宋" w:eastAsia="仿宋" w:cs="仿宋"/>
                <w:i w:val="0"/>
                <w:iCs w:val="0"/>
                <w:color w:val="000000"/>
                <w:sz w:val="22"/>
                <w:szCs w:val="22"/>
                <w:u w:val="none"/>
              </w:rPr>
            </w:pPr>
          </w:p>
        </w:tc>
      </w:tr>
      <w:tr w14:paraId="0DA8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A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真空包装机</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5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1.尺寸：约L1510*W685*H960mm；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2.真空室尺寸：约L720*W560*H170mm；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3.封口尺寸：610mm；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4.电压：380V  3PH  50Hz；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5.功率：2.7KW。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31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07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E0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0DA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FE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2486">
            <w:pPr>
              <w:rPr>
                <w:rFonts w:hint="eastAsia" w:ascii="仿宋" w:hAnsi="仿宋" w:eastAsia="仿宋" w:cs="仿宋"/>
                <w:i w:val="0"/>
                <w:iCs w:val="0"/>
                <w:color w:val="000000"/>
                <w:sz w:val="22"/>
                <w:szCs w:val="22"/>
                <w:u w:val="none"/>
              </w:rPr>
            </w:pPr>
          </w:p>
        </w:tc>
      </w:tr>
      <w:tr w14:paraId="2BB2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7D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1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锯骨机</w:t>
            </w:r>
          </w:p>
        </w:tc>
        <w:tc>
          <w:tcPr>
            <w:tcW w:w="3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41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1.总功耗：2.2kW；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2.供电：400V，50Hz  三相；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3.占地面积：宽 980*厚 1305mm；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4.台面尺寸：宽 946*厚 854mm；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5.锯条尺寸：3150*16*0.45mm；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6.大切割宽度：375mm，大切割高度：410mm；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7.机器尺寸：约宽 980*深 908*高 1800mm；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8.带轮直径：420mm。</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7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B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7715">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9C9B">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BD2">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5AB1">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0EEF">
            <w:pPr>
              <w:jc w:val="center"/>
              <w:rPr>
                <w:rFonts w:hint="eastAsia" w:ascii="仿宋" w:hAnsi="仿宋" w:eastAsia="仿宋" w:cs="仿宋"/>
                <w:i w:val="0"/>
                <w:iCs w:val="0"/>
                <w:color w:val="000000"/>
                <w:sz w:val="22"/>
                <w:szCs w:val="22"/>
                <w:u w:val="none"/>
              </w:rPr>
            </w:pPr>
          </w:p>
        </w:tc>
      </w:tr>
      <w:tr w14:paraId="4CF6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63E6">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037F">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7DDF">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C48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65F3">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7D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55D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E96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00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6C68">
            <w:pPr>
              <w:jc w:val="center"/>
              <w:rPr>
                <w:rFonts w:hint="eastAsia" w:ascii="仿宋" w:hAnsi="仿宋" w:eastAsia="仿宋" w:cs="仿宋"/>
                <w:i w:val="0"/>
                <w:iCs w:val="0"/>
                <w:color w:val="000000"/>
                <w:sz w:val="22"/>
                <w:szCs w:val="22"/>
                <w:u w:val="none"/>
              </w:rPr>
            </w:pPr>
          </w:p>
        </w:tc>
      </w:tr>
      <w:tr w14:paraId="318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FEE1">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3E3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B4AE">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5AE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CA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07D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15B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7EA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6B8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0F50">
            <w:pPr>
              <w:jc w:val="center"/>
              <w:rPr>
                <w:rFonts w:hint="eastAsia" w:ascii="仿宋" w:hAnsi="仿宋" w:eastAsia="仿宋" w:cs="仿宋"/>
                <w:i w:val="0"/>
                <w:iCs w:val="0"/>
                <w:color w:val="000000"/>
                <w:sz w:val="22"/>
                <w:szCs w:val="22"/>
                <w:u w:val="none"/>
              </w:rPr>
            </w:pPr>
          </w:p>
        </w:tc>
      </w:tr>
      <w:tr w14:paraId="615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4309">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A203">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B104">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149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DA57">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A58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9BB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928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34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594">
            <w:pPr>
              <w:jc w:val="center"/>
              <w:rPr>
                <w:rFonts w:hint="eastAsia" w:ascii="仿宋" w:hAnsi="仿宋" w:eastAsia="仿宋" w:cs="仿宋"/>
                <w:i w:val="0"/>
                <w:iCs w:val="0"/>
                <w:color w:val="000000"/>
                <w:sz w:val="22"/>
                <w:szCs w:val="22"/>
                <w:u w:val="none"/>
              </w:rPr>
            </w:pPr>
          </w:p>
        </w:tc>
      </w:tr>
      <w:tr w14:paraId="137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C4AA">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8866">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3FC1">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C0A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74E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0A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56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329">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CF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8232">
            <w:pPr>
              <w:jc w:val="center"/>
              <w:rPr>
                <w:rFonts w:hint="eastAsia" w:ascii="仿宋" w:hAnsi="仿宋" w:eastAsia="仿宋" w:cs="仿宋"/>
                <w:i w:val="0"/>
                <w:iCs w:val="0"/>
                <w:color w:val="000000"/>
                <w:sz w:val="22"/>
                <w:szCs w:val="22"/>
                <w:u w:val="none"/>
              </w:rPr>
            </w:pPr>
          </w:p>
        </w:tc>
      </w:tr>
      <w:tr w14:paraId="501B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4AF3">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A48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F8CF">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65D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070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F0C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A5E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49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2CB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4F6">
            <w:pPr>
              <w:jc w:val="center"/>
              <w:rPr>
                <w:rFonts w:hint="eastAsia" w:ascii="仿宋" w:hAnsi="仿宋" w:eastAsia="仿宋" w:cs="仿宋"/>
                <w:i w:val="0"/>
                <w:iCs w:val="0"/>
                <w:color w:val="000000"/>
                <w:sz w:val="22"/>
                <w:szCs w:val="22"/>
                <w:u w:val="none"/>
              </w:rPr>
            </w:pPr>
          </w:p>
        </w:tc>
      </w:tr>
      <w:tr w14:paraId="39E2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130">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F67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96DD">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0FC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02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5D7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6B7">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C481">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68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1CF3">
            <w:pPr>
              <w:jc w:val="center"/>
              <w:rPr>
                <w:rFonts w:hint="eastAsia" w:ascii="仿宋" w:hAnsi="仿宋" w:eastAsia="仿宋" w:cs="仿宋"/>
                <w:i w:val="0"/>
                <w:iCs w:val="0"/>
                <w:color w:val="000000"/>
                <w:sz w:val="22"/>
                <w:szCs w:val="22"/>
                <w:u w:val="none"/>
              </w:rPr>
            </w:pPr>
          </w:p>
        </w:tc>
      </w:tr>
      <w:tr w14:paraId="60A5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C775">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1137">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9441">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626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9B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D30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C83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A0D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E7C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EE2">
            <w:pPr>
              <w:jc w:val="center"/>
              <w:rPr>
                <w:rFonts w:hint="eastAsia" w:ascii="仿宋" w:hAnsi="仿宋" w:eastAsia="仿宋" w:cs="仿宋"/>
                <w:i w:val="0"/>
                <w:iCs w:val="0"/>
                <w:color w:val="000000"/>
                <w:sz w:val="22"/>
                <w:szCs w:val="22"/>
                <w:u w:val="none"/>
              </w:rPr>
            </w:pPr>
          </w:p>
        </w:tc>
      </w:tr>
      <w:tr w14:paraId="4537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96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1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羊酮体剔骨分割输送机</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0C8FE1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1.规格：15000*600*800mm；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2.传送带材料：pu带，带宽：500mm；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3.材料：主料：不锈钢方管:38*38*2mm、45*75*2mm；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3.轴承安装板：6mm 不锈钢板。</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50472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C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577788">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DDA19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03A8F5">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A576A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F3D519">
            <w:pPr>
              <w:jc w:val="center"/>
              <w:rPr>
                <w:rFonts w:hint="eastAsia" w:ascii="仿宋" w:hAnsi="仿宋" w:eastAsia="仿宋" w:cs="仿宋"/>
                <w:i w:val="0"/>
                <w:iCs w:val="0"/>
                <w:color w:val="000000"/>
                <w:sz w:val="22"/>
                <w:szCs w:val="22"/>
                <w:u w:val="none"/>
              </w:rPr>
            </w:pPr>
          </w:p>
        </w:tc>
      </w:tr>
      <w:tr w14:paraId="482B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F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3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隧道热缩机</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1C6A86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1.规格：1500*900*1750；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2.烟道外直径：200mm；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3.噪声水平：≤71db；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4.重量：100kg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5.框架材质：SUS  304不锈钢；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6.电压：AC380W；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7.等级：3相；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8.频率：50Hz；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9.装机功率：64kw。</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774472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CB3F01">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E6745E">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365E2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2BC783">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C030F0">
            <w:pPr>
              <w:jc w:val="center"/>
              <w:rPr>
                <w:rFonts w:hint="eastAsia" w:ascii="仿宋" w:hAnsi="仿宋" w:eastAsia="仿宋" w:cs="仿宋"/>
                <w:i w:val="0"/>
                <w:iCs w:val="0"/>
                <w:color w:val="000000"/>
                <w:sz w:val="22"/>
                <w:szCs w:val="22"/>
                <w:u w:val="none"/>
              </w:rPr>
            </w:pPr>
          </w:p>
        </w:tc>
      </w:tr>
      <w:tr w14:paraId="5A58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4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4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风干机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ADD6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1600*10000*1600</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35FCEC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D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15D56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CFD457">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4E7F8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E5DCD">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052F68">
            <w:pPr>
              <w:jc w:val="center"/>
              <w:rPr>
                <w:rFonts w:hint="eastAsia" w:ascii="仿宋" w:hAnsi="仿宋" w:eastAsia="仿宋" w:cs="仿宋"/>
                <w:i w:val="0"/>
                <w:iCs w:val="0"/>
                <w:color w:val="000000"/>
                <w:sz w:val="22"/>
                <w:szCs w:val="22"/>
                <w:u w:val="none"/>
              </w:rPr>
            </w:pPr>
          </w:p>
        </w:tc>
      </w:tr>
      <w:tr w14:paraId="7245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1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12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分割系统的控制柜</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009E6EE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尺寸：600*400*200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41B30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EE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ABE9B5">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F7CB74">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1B8173">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5932D4">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36E7DB">
            <w:pPr>
              <w:jc w:val="center"/>
              <w:rPr>
                <w:rFonts w:hint="eastAsia" w:ascii="仿宋" w:hAnsi="仿宋" w:eastAsia="仿宋" w:cs="仿宋"/>
                <w:i w:val="0"/>
                <w:iCs w:val="0"/>
                <w:color w:val="000000"/>
                <w:sz w:val="22"/>
                <w:szCs w:val="22"/>
                <w:u w:val="none"/>
              </w:rPr>
            </w:pPr>
          </w:p>
        </w:tc>
      </w:tr>
      <w:tr w14:paraId="7423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8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586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电器安装材料（电线、电缆、线管、桥架等）</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632ABB">
            <w:pPr>
              <w:rPr>
                <w:rFonts w:hint="eastAsia" w:ascii="仿宋" w:hAnsi="仿宋" w:eastAsia="仿宋" w:cs="仿宋"/>
                <w:i w:val="0"/>
                <w:iCs w:val="0"/>
                <w:color w:val="auto"/>
                <w:sz w:val="22"/>
                <w:szCs w:val="22"/>
                <w:u w:val="none"/>
              </w:rPr>
            </w:pPr>
          </w:p>
        </w:tc>
        <w:tc>
          <w:tcPr>
            <w:tcW w:w="621" w:type="dxa"/>
            <w:tcBorders>
              <w:top w:val="nil"/>
              <w:left w:val="single" w:color="000000" w:sz="4" w:space="0"/>
              <w:bottom w:val="single" w:color="000000" w:sz="4" w:space="0"/>
              <w:right w:val="single" w:color="000000" w:sz="4" w:space="0"/>
            </w:tcBorders>
            <w:shd w:val="clear" w:color="auto" w:fill="auto"/>
            <w:vAlign w:val="center"/>
          </w:tcPr>
          <w:p w14:paraId="3AB356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9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BC931B">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DFAAD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56382A">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B52E68">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1536A3">
            <w:pPr>
              <w:jc w:val="center"/>
              <w:rPr>
                <w:rFonts w:hint="eastAsia" w:ascii="仿宋" w:hAnsi="仿宋" w:eastAsia="仿宋" w:cs="仿宋"/>
                <w:i w:val="0"/>
                <w:iCs w:val="0"/>
                <w:color w:val="000000"/>
                <w:sz w:val="22"/>
                <w:szCs w:val="22"/>
                <w:u w:val="none"/>
              </w:rPr>
            </w:pPr>
          </w:p>
        </w:tc>
      </w:tr>
      <w:tr w14:paraId="2818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7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52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不锈钢洗手池</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D3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尺寸：1500*520*800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E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A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FCA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232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436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7D2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F39">
            <w:pPr>
              <w:rPr>
                <w:rFonts w:hint="eastAsia" w:ascii="仿宋" w:hAnsi="仿宋" w:eastAsia="仿宋" w:cs="仿宋"/>
                <w:i w:val="0"/>
                <w:iCs w:val="0"/>
                <w:color w:val="000000"/>
                <w:sz w:val="22"/>
                <w:szCs w:val="22"/>
                <w:u w:val="none"/>
              </w:rPr>
            </w:pPr>
          </w:p>
        </w:tc>
      </w:tr>
      <w:tr w14:paraId="3B06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F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17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排酸冷藏库（-4度）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E6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15匹中温压缩机组、风机dl140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1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3B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96D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1D3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B16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20C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3516">
            <w:pPr>
              <w:rPr>
                <w:rFonts w:hint="eastAsia" w:ascii="仿宋" w:hAnsi="仿宋" w:eastAsia="仿宋" w:cs="仿宋"/>
                <w:i w:val="0"/>
                <w:iCs w:val="0"/>
                <w:color w:val="000000"/>
                <w:sz w:val="22"/>
                <w:szCs w:val="22"/>
                <w:u w:val="none"/>
              </w:rPr>
            </w:pPr>
          </w:p>
        </w:tc>
      </w:tr>
      <w:tr w14:paraId="4281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6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02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冷冻库（-35度）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37E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15匹低温机组、风机dd160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3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D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67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1B2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C3F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9BA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E4C">
            <w:pPr>
              <w:rPr>
                <w:rFonts w:hint="eastAsia" w:ascii="仿宋" w:hAnsi="仿宋" w:eastAsia="仿宋" w:cs="仿宋"/>
                <w:i w:val="0"/>
                <w:iCs w:val="0"/>
                <w:color w:val="000000"/>
                <w:sz w:val="22"/>
                <w:szCs w:val="22"/>
                <w:u w:val="none"/>
              </w:rPr>
            </w:pPr>
          </w:p>
        </w:tc>
      </w:tr>
      <w:tr w14:paraId="7CB0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008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冷藏库（-18度）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00C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10匹低温机组、风机dd100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7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CF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2E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74E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262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33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3554">
            <w:pPr>
              <w:rPr>
                <w:rFonts w:hint="eastAsia" w:ascii="仿宋" w:hAnsi="仿宋" w:eastAsia="仿宋" w:cs="仿宋"/>
                <w:i w:val="0"/>
                <w:iCs w:val="0"/>
                <w:color w:val="000000"/>
                <w:sz w:val="22"/>
                <w:szCs w:val="22"/>
                <w:u w:val="none"/>
              </w:rPr>
            </w:pPr>
          </w:p>
        </w:tc>
      </w:tr>
      <w:tr w14:paraId="796A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7E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6E0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聚氨酯防火保温板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3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厚度10cm彩钢面，（厚度 0.5mm，库板总厚度 100mm，发泡：40kg±2）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A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AC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16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7ED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708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95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23B3">
            <w:pPr>
              <w:rPr>
                <w:rFonts w:hint="eastAsia" w:ascii="仿宋" w:hAnsi="仿宋" w:eastAsia="仿宋" w:cs="仿宋"/>
                <w:i w:val="0"/>
                <w:iCs w:val="0"/>
                <w:color w:val="000000"/>
                <w:sz w:val="22"/>
                <w:szCs w:val="22"/>
                <w:u w:val="none"/>
              </w:rPr>
            </w:pPr>
          </w:p>
        </w:tc>
      </w:tr>
      <w:tr w14:paraId="6980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13A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5F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1.5宽x2.2高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F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E76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39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C45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FA6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1443">
            <w:pPr>
              <w:rPr>
                <w:rFonts w:hint="eastAsia" w:ascii="仿宋" w:hAnsi="仿宋" w:eastAsia="仿宋" w:cs="仿宋"/>
                <w:i w:val="0"/>
                <w:iCs w:val="0"/>
                <w:color w:val="000000"/>
                <w:sz w:val="22"/>
                <w:szCs w:val="22"/>
                <w:u w:val="none"/>
              </w:rPr>
            </w:pPr>
          </w:p>
        </w:tc>
      </w:tr>
      <w:tr w14:paraId="6295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F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辅材铜管，弯头保温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28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电线五金件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7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4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A98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C4E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BDE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B41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D67">
            <w:pPr>
              <w:rPr>
                <w:rFonts w:hint="eastAsia" w:ascii="仿宋" w:hAnsi="仿宋" w:eastAsia="仿宋" w:cs="仿宋"/>
                <w:i w:val="0"/>
                <w:iCs w:val="0"/>
                <w:color w:val="000000"/>
                <w:sz w:val="22"/>
                <w:szCs w:val="22"/>
                <w:u w:val="none"/>
              </w:rPr>
            </w:pPr>
          </w:p>
        </w:tc>
      </w:tr>
      <w:tr w14:paraId="1564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电视</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D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1.屏幕对角线 ：85英寸；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2.屏幕比例 ：16:9（主流标准）；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3.屏幕尺寸：尺寸是848*540*320mm。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B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0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1A8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C55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5F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783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0186">
            <w:pPr>
              <w:rPr>
                <w:rFonts w:hint="eastAsia" w:ascii="仿宋" w:hAnsi="仿宋" w:eastAsia="仿宋" w:cs="仿宋"/>
                <w:i w:val="0"/>
                <w:iCs w:val="0"/>
                <w:color w:val="000000"/>
                <w:sz w:val="22"/>
                <w:szCs w:val="22"/>
                <w:u w:val="none"/>
              </w:rPr>
            </w:pPr>
          </w:p>
        </w:tc>
      </w:tr>
      <w:tr w14:paraId="340D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A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5匹空调</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B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1.立式空调；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3.制冷功率约1800W。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4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48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22E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2FB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ED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7022">
            <w:pPr>
              <w:rPr>
                <w:rFonts w:hint="eastAsia" w:ascii="仿宋" w:hAnsi="仿宋" w:eastAsia="仿宋" w:cs="仿宋"/>
                <w:i w:val="0"/>
                <w:iCs w:val="0"/>
                <w:color w:val="000000"/>
                <w:sz w:val="22"/>
                <w:szCs w:val="22"/>
                <w:u w:val="none"/>
              </w:rPr>
            </w:pPr>
          </w:p>
        </w:tc>
      </w:tr>
      <w:tr w14:paraId="450A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F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D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1.5匹空调</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B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1.柜式空调；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3.制冷量3500W（200-5100W），制热量5100W（200-6400W）。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2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1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816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C65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5F6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FBD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A0FE">
            <w:pPr>
              <w:rPr>
                <w:rFonts w:hint="eastAsia" w:ascii="仿宋" w:hAnsi="仿宋" w:eastAsia="仿宋" w:cs="仿宋"/>
                <w:i w:val="0"/>
                <w:iCs w:val="0"/>
                <w:color w:val="000000"/>
                <w:sz w:val="22"/>
                <w:szCs w:val="22"/>
                <w:u w:val="none"/>
              </w:rPr>
            </w:pPr>
          </w:p>
        </w:tc>
      </w:tr>
      <w:tr w14:paraId="58ED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E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ADF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不锈钢下水道护板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BF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尺寸：1000*244*25</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9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E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2B2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77B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45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BBF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CBE7">
            <w:pPr>
              <w:rPr>
                <w:rFonts w:hint="eastAsia" w:ascii="仿宋" w:hAnsi="仿宋" w:eastAsia="仿宋" w:cs="仿宋"/>
                <w:i w:val="0"/>
                <w:iCs w:val="0"/>
                <w:color w:val="000000"/>
                <w:sz w:val="22"/>
                <w:szCs w:val="22"/>
                <w:u w:val="none"/>
              </w:rPr>
            </w:pPr>
          </w:p>
        </w:tc>
      </w:tr>
      <w:tr w14:paraId="0A4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3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AF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防火防盗门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ADD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F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A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6B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0F6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163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60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5531">
            <w:pPr>
              <w:rPr>
                <w:rFonts w:hint="eastAsia" w:ascii="仿宋" w:hAnsi="仿宋" w:eastAsia="仿宋" w:cs="仿宋"/>
                <w:i w:val="0"/>
                <w:iCs w:val="0"/>
                <w:color w:val="000000"/>
                <w:sz w:val="22"/>
                <w:szCs w:val="22"/>
                <w:u w:val="none"/>
              </w:rPr>
            </w:pPr>
          </w:p>
        </w:tc>
      </w:tr>
      <w:tr w14:paraId="0882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4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4F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红外枪式摄像机200W</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1D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红外摄像头/支持：H265/264视频编码/1080P高清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D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780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16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505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258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6CF7">
            <w:pPr>
              <w:rPr>
                <w:rFonts w:hint="eastAsia" w:ascii="仿宋" w:hAnsi="仿宋" w:eastAsia="仿宋" w:cs="仿宋"/>
                <w:i w:val="0"/>
                <w:iCs w:val="0"/>
                <w:color w:val="000000"/>
                <w:sz w:val="22"/>
                <w:szCs w:val="22"/>
                <w:u w:val="none"/>
              </w:rPr>
            </w:pPr>
          </w:p>
        </w:tc>
      </w:tr>
      <w:tr w14:paraId="73E9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B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网络存储硬盘录像机</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04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支持1080P分辨率网络视频接入带宽200Mbps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95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B3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B56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F43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B50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D30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A596">
            <w:pPr>
              <w:rPr>
                <w:rFonts w:hint="eastAsia" w:ascii="仿宋" w:hAnsi="仿宋" w:eastAsia="仿宋" w:cs="仿宋"/>
                <w:i w:val="0"/>
                <w:iCs w:val="0"/>
                <w:color w:val="000000"/>
                <w:sz w:val="22"/>
                <w:szCs w:val="22"/>
                <w:u w:val="none"/>
              </w:rPr>
            </w:pPr>
          </w:p>
        </w:tc>
      </w:tr>
      <w:tr w14:paraId="21D7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7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8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   6T/VX003/监控专用</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4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3.5英寸监控硬盘支持7*24小时全天运行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3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91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29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FA6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B55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11F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0094">
            <w:pPr>
              <w:rPr>
                <w:rFonts w:hint="eastAsia" w:ascii="仿宋" w:hAnsi="仿宋" w:eastAsia="仿宋" w:cs="仿宋"/>
                <w:i w:val="0"/>
                <w:iCs w:val="0"/>
                <w:color w:val="000000"/>
                <w:sz w:val="22"/>
                <w:szCs w:val="22"/>
                <w:u w:val="none"/>
              </w:rPr>
            </w:pPr>
          </w:p>
        </w:tc>
      </w:tr>
      <w:tr w14:paraId="61C0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23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监控配电箱   300mmX300mmX250mm</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B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防锈防腐防水通风散热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F9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1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E4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69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0F5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D5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6EE">
            <w:pPr>
              <w:rPr>
                <w:rFonts w:hint="eastAsia" w:ascii="仿宋" w:hAnsi="仿宋" w:eastAsia="仿宋" w:cs="仿宋"/>
                <w:i w:val="0"/>
                <w:iCs w:val="0"/>
                <w:color w:val="000000"/>
                <w:sz w:val="22"/>
                <w:szCs w:val="22"/>
                <w:u w:val="none"/>
              </w:rPr>
            </w:pPr>
          </w:p>
        </w:tc>
      </w:tr>
      <w:tr w14:paraId="3C54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7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2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交换机   TL-SG1005+百兆</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4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10M/100M/自适应端口支持自动协议功能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4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D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C4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CE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2C5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53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450C">
            <w:pPr>
              <w:rPr>
                <w:rFonts w:hint="eastAsia" w:ascii="仿宋" w:hAnsi="仿宋" w:eastAsia="仿宋" w:cs="仿宋"/>
                <w:i w:val="0"/>
                <w:iCs w:val="0"/>
                <w:color w:val="000000"/>
                <w:sz w:val="22"/>
                <w:szCs w:val="22"/>
                <w:u w:val="none"/>
              </w:rPr>
            </w:pPr>
          </w:p>
        </w:tc>
      </w:tr>
      <w:tr w14:paraId="1840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8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8A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网线   超五类无氧铜+0.75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E9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环保PVC材料/无氧铜导体无氧铜芯线8芯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C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A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3E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B2B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46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9A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20A4">
            <w:pPr>
              <w:rPr>
                <w:rFonts w:hint="eastAsia" w:ascii="仿宋" w:hAnsi="仿宋" w:eastAsia="仿宋" w:cs="仿宋"/>
                <w:i w:val="0"/>
                <w:iCs w:val="0"/>
                <w:color w:val="000000"/>
                <w:sz w:val="22"/>
                <w:szCs w:val="22"/>
                <w:u w:val="none"/>
              </w:rPr>
            </w:pPr>
          </w:p>
        </w:tc>
      </w:tr>
      <w:tr w14:paraId="5AC5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9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监视器</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6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24英寸监视器，LED显示16:9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3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6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C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C1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30E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E4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0B09">
            <w:pPr>
              <w:rPr>
                <w:rFonts w:hint="eastAsia" w:ascii="仿宋" w:hAnsi="仿宋" w:eastAsia="仿宋" w:cs="仿宋"/>
                <w:i w:val="0"/>
                <w:iCs w:val="0"/>
                <w:color w:val="000000"/>
                <w:sz w:val="22"/>
                <w:szCs w:val="22"/>
                <w:u w:val="none"/>
              </w:rPr>
            </w:pPr>
          </w:p>
        </w:tc>
      </w:tr>
      <w:tr w14:paraId="2253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3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支架</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31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鸭嘴支架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F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2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8B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C64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09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3F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1BA9">
            <w:pPr>
              <w:rPr>
                <w:rFonts w:hint="eastAsia" w:ascii="仿宋" w:hAnsi="仿宋" w:eastAsia="仿宋" w:cs="仿宋"/>
                <w:i w:val="0"/>
                <w:iCs w:val="0"/>
                <w:color w:val="000000"/>
                <w:sz w:val="22"/>
                <w:szCs w:val="22"/>
                <w:u w:val="none"/>
              </w:rPr>
            </w:pPr>
          </w:p>
        </w:tc>
      </w:tr>
      <w:tr w14:paraId="53E6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D9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A6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无线8孔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D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CE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1C8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85B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7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18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8785">
            <w:pPr>
              <w:rPr>
                <w:rFonts w:hint="eastAsia" w:ascii="仿宋" w:hAnsi="仿宋" w:eastAsia="仿宋" w:cs="仿宋"/>
                <w:i w:val="0"/>
                <w:iCs w:val="0"/>
                <w:color w:val="000000"/>
                <w:sz w:val="22"/>
                <w:szCs w:val="22"/>
                <w:u w:val="none"/>
              </w:rPr>
            </w:pPr>
          </w:p>
        </w:tc>
      </w:tr>
      <w:tr w14:paraId="0385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E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5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56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496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E1E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23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E939">
            <w:pPr>
              <w:rPr>
                <w:rFonts w:hint="eastAsia" w:ascii="仿宋" w:hAnsi="仿宋" w:eastAsia="仿宋" w:cs="仿宋"/>
                <w:i w:val="0"/>
                <w:iCs w:val="0"/>
                <w:color w:val="000000"/>
                <w:sz w:val="22"/>
                <w:szCs w:val="22"/>
                <w:u w:val="none"/>
              </w:rPr>
            </w:pPr>
          </w:p>
        </w:tc>
      </w:tr>
      <w:tr w14:paraId="55CD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3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EF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机柜</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FD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弱电机柜，H6.6622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9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1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30E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681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EB3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76B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5289">
            <w:pPr>
              <w:rPr>
                <w:rFonts w:hint="eastAsia" w:ascii="仿宋" w:hAnsi="仿宋" w:eastAsia="仿宋" w:cs="仿宋"/>
                <w:i w:val="0"/>
                <w:iCs w:val="0"/>
                <w:color w:val="000000"/>
                <w:sz w:val="22"/>
                <w:szCs w:val="22"/>
                <w:u w:val="none"/>
              </w:rPr>
            </w:pPr>
          </w:p>
        </w:tc>
      </w:tr>
      <w:tr w14:paraId="6009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0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8D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辅材</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A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HDMI线/水晶头/绝缘胶布/线卡/穿线管等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9C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0E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13E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415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FEB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4BFC">
            <w:pPr>
              <w:rPr>
                <w:rFonts w:hint="eastAsia" w:ascii="仿宋" w:hAnsi="仿宋" w:eastAsia="仿宋" w:cs="仿宋"/>
                <w:i w:val="0"/>
                <w:iCs w:val="0"/>
                <w:color w:val="000000"/>
                <w:sz w:val="22"/>
                <w:szCs w:val="22"/>
                <w:u w:val="none"/>
              </w:rPr>
            </w:pPr>
          </w:p>
        </w:tc>
      </w:tr>
      <w:tr w14:paraId="1A26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B6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包装盒</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A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常规尺寸保证单盒标准装载重量2.5kg、5kg、10kg，纸质箱子，包含真空包装袋等，所有材料均符合食品安全标准。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9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5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62CE">
            <w:pPr>
              <w:rPr>
                <w:rFonts w:hint="eastAsia" w:ascii="仿宋" w:hAnsi="仿宋" w:eastAsia="仿宋" w:cs="仿宋"/>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0A8">
            <w:pPr>
              <w:rPr>
                <w:rFonts w:hint="eastAsia" w:ascii="仿宋" w:hAnsi="仿宋" w:eastAsia="仿宋" w:cs="仿宋"/>
                <w:i w:val="0"/>
                <w:iCs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0C3D">
            <w:pPr>
              <w:rPr>
                <w:rFonts w:hint="eastAsia" w:ascii="仿宋" w:hAnsi="仿宋" w:eastAsia="仿宋" w:cs="仿宋"/>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F63">
            <w:pPr>
              <w:rPr>
                <w:rFonts w:hint="eastAsia" w:ascii="仿宋" w:hAnsi="仿宋" w:eastAsia="仿宋" w:cs="仿宋"/>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D5F">
            <w:pPr>
              <w:rPr>
                <w:rFonts w:hint="eastAsia" w:ascii="仿宋" w:hAnsi="仿宋" w:eastAsia="仿宋" w:cs="仿宋"/>
                <w:i w:val="0"/>
                <w:iCs w:val="0"/>
                <w:color w:val="000000"/>
                <w:sz w:val="22"/>
                <w:szCs w:val="22"/>
                <w:u w:val="none"/>
              </w:rPr>
            </w:pPr>
          </w:p>
        </w:tc>
      </w:tr>
      <w:tr w14:paraId="26B1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147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012D8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合计（元）：小写：           大写：</w:t>
            </w:r>
          </w:p>
        </w:tc>
      </w:tr>
    </w:tbl>
    <w:p w14:paraId="4599F65B">
      <w:pPr>
        <w:tabs>
          <w:tab w:val="left" w:pos="376"/>
        </w:tabs>
        <w:bidi w:val="0"/>
        <w:jc w:val="left"/>
        <w:rPr>
          <w:rFonts w:hint="eastAsia" w:ascii="仿宋" w:hAnsi="仿宋" w:eastAsia="仿宋" w:cs="仿宋"/>
          <w:b/>
          <w:bCs/>
          <w:highlight w:val="none"/>
          <w:lang w:val="en-US" w:eastAsia="zh-CN"/>
        </w:rPr>
      </w:pPr>
    </w:p>
    <w:p w14:paraId="5ACC8A5A">
      <w:pPr>
        <w:rPr>
          <w:rFonts w:hint="eastAsia" w:ascii="仿宋" w:hAnsi="仿宋" w:eastAsia="仿宋" w:cs="仿宋"/>
          <w:b/>
          <w:bCs/>
          <w:highlight w:val="none"/>
          <w:lang w:val="en-US" w:eastAsia="zh-CN"/>
        </w:rPr>
      </w:pPr>
    </w:p>
    <w:p w14:paraId="7363735A">
      <w:pPr>
        <w:bidi w:val="0"/>
        <w:rPr>
          <w:rFonts w:hint="eastAsia" w:ascii="仿宋" w:hAnsi="仿宋" w:eastAsia="仿宋" w:cs="仿宋"/>
          <w:lang w:val="en-US" w:eastAsia="zh-CN"/>
        </w:rPr>
      </w:pPr>
    </w:p>
    <w:p w14:paraId="56F917EB">
      <w:pPr>
        <w:pStyle w:val="2"/>
        <w:ind w:left="0" w:leftChars="0" w:firstLine="0" w:firstLineChars="0"/>
        <w:jc w:val="center"/>
        <w:rPr>
          <w:rFonts w:hint="eastAsia" w:ascii="仿宋" w:hAnsi="仿宋" w:eastAsia="仿宋" w:cs="仿宋"/>
          <w:lang w:val="en-US" w:eastAsia="zh-CN"/>
        </w:rPr>
      </w:pPr>
      <w:r>
        <w:rPr>
          <w:rFonts w:hint="eastAsia" w:ascii="仿宋" w:hAnsi="仿宋" w:eastAsia="仿宋" w:cs="仿宋"/>
          <w:b/>
          <w:bCs/>
          <w:i w:val="0"/>
          <w:iCs w:val="0"/>
          <w:color w:val="000000"/>
          <w:kern w:val="0"/>
          <w:sz w:val="32"/>
          <w:szCs w:val="32"/>
          <w:u w:val="none"/>
          <w:lang w:val="en-US" w:eastAsia="zh-CN" w:bidi="ar"/>
        </w:rPr>
        <w:t>第二部分  装修部分工程量清单（详见附件）</w:t>
      </w:r>
    </w:p>
    <w:p w14:paraId="11E93400">
      <w:pPr>
        <w:rPr>
          <w:rFonts w:hint="eastAsia" w:ascii="仿宋" w:hAnsi="仿宋" w:eastAsia="仿宋" w:cs="仿宋"/>
          <w:lang w:val="en-US" w:eastAsia="zh-CN"/>
        </w:rPr>
      </w:pPr>
    </w:p>
    <w:p w14:paraId="56D12DA7">
      <w:pPr>
        <w:pStyle w:val="2"/>
        <w:rPr>
          <w:rFonts w:hint="eastAsia" w:ascii="仿宋" w:hAnsi="仿宋" w:eastAsia="仿宋" w:cs="仿宋"/>
          <w:lang w:val="en-US" w:eastAsia="zh-CN"/>
        </w:rPr>
      </w:pPr>
    </w:p>
    <w:p w14:paraId="5ED61E52">
      <w:pPr>
        <w:pStyle w:val="2"/>
        <w:rPr>
          <w:rFonts w:hint="eastAsia" w:ascii="仿宋" w:hAnsi="仿宋" w:eastAsia="仿宋" w:cs="仿宋"/>
          <w:lang w:val="en-US" w:eastAsia="zh-CN"/>
        </w:rPr>
      </w:pPr>
    </w:p>
    <w:p w14:paraId="517A5EC5">
      <w:pPr>
        <w:rPr>
          <w:rFonts w:hint="eastAsia" w:ascii="仿宋" w:hAnsi="仿宋" w:eastAsia="仿宋" w:cs="仿宋"/>
          <w:lang w:val="en-US" w:eastAsia="zh-CN"/>
        </w:rPr>
      </w:pPr>
    </w:p>
    <w:p w14:paraId="7CFE04A1">
      <w:pPr>
        <w:pStyle w:val="2"/>
        <w:rPr>
          <w:rFonts w:hint="eastAsia" w:ascii="仿宋" w:hAnsi="仿宋" w:eastAsia="仿宋" w:cs="仿宋"/>
          <w:lang w:val="en-US" w:eastAsia="zh-CN"/>
        </w:rPr>
        <w:sectPr>
          <w:footerReference r:id="rId11" w:type="default"/>
          <w:footerReference r:id="rId12" w:type="even"/>
          <w:footnotePr>
            <w:numFmt w:val="decimal"/>
          </w:footnotePr>
          <w:pgSz w:w="16840" w:h="11900" w:orient="landscape"/>
          <w:pgMar w:top="1187" w:right="1357" w:bottom="1378" w:left="1167" w:header="850" w:footer="850" w:gutter="0"/>
          <w:pgBorders>
            <w:top w:val="none" w:sz="0" w:space="0"/>
            <w:left w:val="none" w:sz="0" w:space="0"/>
            <w:bottom w:val="none" w:sz="0" w:space="0"/>
            <w:right w:val="none" w:sz="0" w:space="0"/>
          </w:pgBorders>
          <w:pgNumType w:fmt="decimal"/>
          <w:cols w:space="720" w:num="1"/>
          <w:rtlGutter w:val="0"/>
          <w:docGrid w:linePitch="360" w:charSpace="0"/>
        </w:sectPr>
      </w:pPr>
    </w:p>
    <w:p w14:paraId="444295AB">
      <w:pPr>
        <w:pStyle w:val="3"/>
        <w:jc w:val="center"/>
        <w:rPr>
          <w:rFonts w:hint="eastAsia" w:ascii="仿宋" w:hAnsi="仿宋" w:eastAsia="仿宋" w:cs="仿宋"/>
        </w:rPr>
      </w:pPr>
      <w:bookmarkStart w:id="34" w:name="_Toc4536"/>
      <w:r>
        <w:rPr>
          <w:rFonts w:hint="eastAsia" w:ascii="仿宋" w:hAnsi="仿宋" w:eastAsia="仿宋" w:cs="仿宋"/>
        </w:rPr>
        <w:t>第五章</w:t>
      </w:r>
      <w:r>
        <w:rPr>
          <w:rFonts w:hint="eastAsia" w:ascii="仿宋" w:hAnsi="仿宋" w:eastAsia="仿宋" w:cs="仿宋"/>
          <w:lang w:val="en-US" w:eastAsia="zh-CN"/>
        </w:rPr>
        <w:t xml:space="preserve">  </w:t>
      </w:r>
      <w:r>
        <w:rPr>
          <w:rFonts w:hint="eastAsia" w:ascii="仿宋" w:hAnsi="仿宋" w:eastAsia="仿宋" w:cs="仿宋"/>
        </w:rPr>
        <w:t>合同条款及合同格式（仅供参考）</w:t>
      </w:r>
      <w:bookmarkEnd w:id="34"/>
    </w:p>
    <w:p w14:paraId="12C33137">
      <w:pPr>
        <w:rPr>
          <w:rFonts w:hint="eastAsia" w:ascii="仿宋" w:hAnsi="仿宋" w:eastAsia="仿宋" w:cs="仿宋"/>
        </w:rPr>
      </w:pPr>
    </w:p>
    <w:p w14:paraId="4A2D6EBA">
      <w:pPr>
        <w:pStyle w:val="8"/>
        <w:kinsoku w:val="0"/>
        <w:overflowPunct w:val="0"/>
        <w:spacing w:before="1"/>
        <w:ind w:left="0"/>
        <w:rPr>
          <w:rFonts w:hint="eastAsia" w:ascii="仿宋" w:hAnsi="仿宋" w:eastAsia="仿宋" w:cs="仿宋"/>
          <w:b/>
          <w:bCs/>
          <w:sz w:val="59"/>
          <w:szCs w:val="59"/>
        </w:rPr>
      </w:pPr>
    </w:p>
    <w:p w14:paraId="73ECD59C">
      <w:pPr>
        <w:pStyle w:val="8"/>
        <w:kinsoku w:val="0"/>
        <w:overflowPunct w:val="0"/>
        <w:spacing w:before="1"/>
        <w:ind w:left="0"/>
        <w:rPr>
          <w:rFonts w:hint="eastAsia" w:ascii="仿宋" w:hAnsi="仿宋" w:eastAsia="仿宋" w:cs="仿宋"/>
          <w:b/>
          <w:bCs/>
          <w:sz w:val="59"/>
          <w:szCs w:val="59"/>
        </w:rPr>
      </w:pPr>
    </w:p>
    <w:p w14:paraId="0BB317D4">
      <w:pPr>
        <w:pStyle w:val="8"/>
        <w:kinsoku w:val="0"/>
        <w:overflowPunct w:val="0"/>
        <w:spacing w:before="0"/>
        <w:ind w:left="0"/>
        <w:jc w:val="center"/>
        <w:rPr>
          <w:rFonts w:hint="eastAsia" w:ascii="仿宋" w:hAnsi="仿宋" w:eastAsia="仿宋" w:cs="仿宋"/>
          <w:sz w:val="72"/>
          <w:szCs w:val="72"/>
        </w:rPr>
      </w:pPr>
      <w:r>
        <w:rPr>
          <w:rFonts w:hint="eastAsia" w:ascii="仿宋" w:hAnsi="仿宋" w:eastAsia="仿宋" w:cs="仿宋"/>
          <w:b/>
          <w:bCs/>
          <w:sz w:val="72"/>
          <w:szCs w:val="72"/>
        </w:rPr>
        <w:t>采</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购</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合</w:t>
      </w:r>
      <w:r>
        <w:rPr>
          <w:rFonts w:hint="eastAsia" w:ascii="仿宋" w:hAnsi="仿宋" w:eastAsia="仿宋" w:cs="仿宋"/>
          <w:b/>
          <w:bCs/>
          <w:spacing w:val="-10"/>
          <w:sz w:val="72"/>
          <w:szCs w:val="72"/>
        </w:rPr>
        <w:t xml:space="preserve"> </w:t>
      </w:r>
      <w:r>
        <w:rPr>
          <w:rFonts w:hint="eastAsia" w:ascii="仿宋" w:hAnsi="仿宋" w:eastAsia="仿宋" w:cs="仿宋"/>
          <w:b/>
          <w:bCs/>
          <w:sz w:val="72"/>
          <w:szCs w:val="72"/>
        </w:rPr>
        <w:t>同</w:t>
      </w:r>
    </w:p>
    <w:p w14:paraId="042F784F">
      <w:pPr>
        <w:pStyle w:val="8"/>
        <w:kinsoku w:val="0"/>
        <w:overflowPunct w:val="0"/>
        <w:spacing w:before="0"/>
        <w:ind w:left="0"/>
        <w:rPr>
          <w:rFonts w:hint="eastAsia" w:ascii="仿宋" w:hAnsi="仿宋" w:eastAsia="仿宋" w:cs="仿宋"/>
          <w:b/>
          <w:bCs/>
          <w:sz w:val="72"/>
          <w:szCs w:val="72"/>
        </w:rPr>
      </w:pPr>
    </w:p>
    <w:p w14:paraId="62E54102">
      <w:pPr>
        <w:pStyle w:val="8"/>
        <w:kinsoku w:val="0"/>
        <w:overflowPunct w:val="0"/>
        <w:spacing w:before="0"/>
        <w:ind w:left="0"/>
        <w:rPr>
          <w:rFonts w:hint="eastAsia" w:ascii="仿宋" w:hAnsi="仿宋" w:eastAsia="仿宋" w:cs="仿宋"/>
          <w:b/>
          <w:bCs/>
          <w:sz w:val="63"/>
          <w:szCs w:val="63"/>
        </w:rPr>
      </w:pPr>
    </w:p>
    <w:p w14:paraId="685C074B">
      <w:pPr>
        <w:pStyle w:val="8"/>
        <w:kinsoku w:val="0"/>
        <w:overflowPunct w:val="0"/>
        <w:spacing w:before="0"/>
        <w:jc w:val="center"/>
        <w:rPr>
          <w:rFonts w:hint="eastAsia" w:ascii="仿宋" w:hAnsi="仿宋" w:eastAsia="仿宋" w:cs="仿宋"/>
          <w:sz w:val="28"/>
          <w:szCs w:val="28"/>
        </w:rPr>
      </w:pPr>
      <w:r>
        <w:rPr>
          <w:rFonts w:hint="eastAsia" w:ascii="仿宋" w:hAnsi="仿宋" w:eastAsia="仿宋" w:cs="仿宋"/>
          <w:b/>
          <w:bCs/>
          <w:sz w:val="32"/>
          <w:szCs w:val="32"/>
        </w:rPr>
        <w:t>项目编号：</w:t>
      </w:r>
    </w:p>
    <w:p w14:paraId="6F8E24A1">
      <w:pPr>
        <w:pStyle w:val="8"/>
        <w:kinsoku w:val="0"/>
        <w:overflowPunct w:val="0"/>
        <w:spacing w:before="0"/>
        <w:ind w:left="0"/>
        <w:rPr>
          <w:rFonts w:hint="eastAsia" w:ascii="仿宋" w:hAnsi="仿宋" w:eastAsia="仿宋" w:cs="仿宋"/>
          <w:b/>
          <w:bCs/>
          <w:sz w:val="32"/>
          <w:szCs w:val="32"/>
        </w:rPr>
      </w:pPr>
    </w:p>
    <w:p w14:paraId="1697E135">
      <w:pPr>
        <w:pStyle w:val="8"/>
        <w:kinsoku w:val="0"/>
        <w:overflowPunct w:val="0"/>
        <w:spacing w:before="0"/>
        <w:ind w:left="0"/>
        <w:rPr>
          <w:rFonts w:hint="eastAsia" w:ascii="仿宋" w:hAnsi="仿宋" w:eastAsia="仿宋" w:cs="仿宋"/>
          <w:b/>
          <w:bCs/>
          <w:sz w:val="32"/>
          <w:szCs w:val="32"/>
        </w:rPr>
      </w:pPr>
    </w:p>
    <w:p w14:paraId="1B7048BA">
      <w:pPr>
        <w:pStyle w:val="8"/>
        <w:kinsoku w:val="0"/>
        <w:overflowPunct w:val="0"/>
        <w:spacing w:before="0"/>
        <w:ind w:left="0"/>
        <w:rPr>
          <w:rFonts w:hint="eastAsia" w:ascii="仿宋" w:hAnsi="仿宋" w:eastAsia="仿宋" w:cs="仿宋"/>
          <w:b/>
          <w:bCs/>
          <w:sz w:val="32"/>
          <w:szCs w:val="32"/>
        </w:rPr>
      </w:pPr>
    </w:p>
    <w:p w14:paraId="00F49897">
      <w:pPr>
        <w:pStyle w:val="8"/>
        <w:kinsoku w:val="0"/>
        <w:overflowPunct w:val="0"/>
        <w:spacing w:before="0"/>
        <w:ind w:left="0"/>
        <w:rPr>
          <w:rFonts w:hint="eastAsia" w:ascii="仿宋" w:hAnsi="仿宋" w:eastAsia="仿宋" w:cs="仿宋"/>
          <w:b/>
          <w:bCs/>
          <w:sz w:val="32"/>
          <w:szCs w:val="32"/>
        </w:rPr>
      </w:pPr>
    </w:p>
    <w:p w14:paraId="6D705E64">
      <w:pPr>
        <w:pStyle w:val="8"/>
        <w:kinsoku w:val="0"/>
        <w:overflowPunct w:val="0"/>
        <w:spacing w:before="0"/>
        <w:ind w:left="0"/>
        <w:rPr>
          <w:rFonts w:hint="eastAsia" w:ascii="仿宋" w:hAnsi="仿宋" w:eastAsia="仿宋" w:cs="仿宋"/>
          <w:b/>
          <w:bCs/>
          <w:sz w:val="32"/>
          <w:szCs w:val="32"/>
        </w:rPr>
      </w:pPr>
    </w:p>
    <w:p w14:paraId="4707944B">
      <w:pPr>
        <w:pStyle w:val="8"/>
        <w:kinsoku w:val="0"/>
        <w:overflowPunct w:val="0"/>
        <w:spacing w:before="0"/>
        <w:ind w:left="0"/>
        <w:rPr>
          <w:rFonts w:hint="eastAsia" w:ascii="仿宋" w:hAnsi="仿宋" w:eastAsia="仿宋" w:cs="仿宋"/>
          <w:b/>
          <w:bCs/>
          <w:sz w:val="32"/>
          <w:szCs w:val="32"/>
        </w:rPr>
      </w:pPr>
    </w:p>
    <w:p w14:paraId="1793ECD7">
      <w:pPr>
        <w:pStyle w:val="8"/>
        <w:kinsoku w:val="0"/>
        <w:overflowPunct w:val="0"/>
        <w:spacing w:before="0"/>
        <w:ind w:left="0"/>
        <w:rPr>
          <w:rFonts w:hint="eastAsia" w:ascii="仿宋" w:hAnsi="仿宋" w:eastAsia="仿宋" w:cs="仿宋"/>
          <w:b/>
          <w:bCs/>
          <w:sz w:val="32"/>
          <w:szCs w:val="32"/>
        </w:rPr>
      </w:pPr>
    </w:p>
    <w:p w14:paraId="7FD7C07F">
      <w:pPr>
        <w:pStyle w:val="8"/>
        <w:kinsoku w:val="0"/>
        <w:overflowPunct w:val="0"/>
        <w:spacing w:before="0"/>
        <w:ind w:left="0"/>
        <w:rPr>
          <w:rFonts w:hint="eastAsia" w:ascii="仿宋" w:hAnsi="仿宋" w:eastAsia="仿宋" w:cs="仿宋"/>
          <w:b/>
          <w:bCs/>
          <w:sz w:val="32"/>
          <w:szCs w:val="32"/>
        </w:rPr>
      </w:pPr>
    </w:p>
    <w:p w14:paraId="61AC8D54">
      <w:pPr>
        <w:pStyle w:val="8"/>
        <w:kinsoku w:val="0"/>
        <w:overflowPunct w:val="0"/>
        <w:spacing w:before="0"/>
        <w:ind w:left="0"/>
        <w:rPr>
          <w:rFonts w:hint="eastAsia" w:ascii="仿宋" w:hAnsi="仿宋" w:eastAsia="仿宋" w:cs="仿宋"/>
          <w:b/>
          <w:bCs/>
          <w:sz w:val="32"/>
          <w:szCs w:val="32"/>
        </w:rPr>
      </w:pPr>
    </w:p>
    <w:p w14:paraId="0FEC5E4E">
      <w:pPr>
        <w:pStyle w:val="8"/>
        <w:kinsoku w:val="0"/>
        <w:overflowPunct w:val="0"/>
        <w:spacing w:before="4"/>
        <w:ind w:left="0"/>
        <w:rPr>
          <w:rFonts w:hint="eastAsia" w:ascii="仿宋" w:hAnsi="仿宋" w:eastAsia="仿宋" w:cs="仿宋"/>
          <w:b/>
          <w:bCs/>
          <w:sz w:val="31"/>
          <w:szCs w:val="31"/>
        </w:rPr>
      </w:pPr>
    </w:p>
    <w:p w14:paraId="4DE3038B">
      <w:pPr>
        <w:pStyle w:val="27"/>
        <w:kinsoku w:val="0"/>
        <w:overflowPunct w:val="0"/>
        <w:spacing w:line="356" w:lineRule="auto"/>
        <w:ind w:left="1397" w:right="6304"/>
        <w:jc w:val="both"/>
        <w:outlineLvl w:val="9"/>
        <w:rPr>
          <w:rFonts w:hint="eastAsia" w:ascii="仿宋" w:hAnsi="仿宋" w:eastAsia="仿宋" w:cs="仿宋"/>
          <w:w w:val="99"/>
        </w:rPr>
      </w:pPr>
      <w:r>
        <w:rPr>
          <w:rFonts w:hint="eastAsia" w:ascii="仿宋" w:hAnsi="仿宋" w:eastAsia="仿宋" w:cs="仿宋"/>
        </w:rPr>
        <w:t>采</w:t>
      </w:r>
      <w:r>
        <w:rPr>
          <w:rFonts w:hint="eastAsia" w:ascii="仿宋" w:hAnsi="仿宋" w:eastAsia="仿宋" w:cs="仿宋"/>
          <w:spacing w:val="-5"/>
        </w:rPr>
        <w:t xml:space="preserve"> </w:t>
      </w:r>
      <w:r>
        <w:rPr>
          <w:rFonts w:hint="eastAsia" w:ascii="仿宋" w:hAnsi="仿宋" w:eastAsia="仿宋" w:cs="仿宋"/>
        </w:rPr>
        <w:t>购</w:t>
      </w:r>
      <w:r>
        <w:rPr>
          <w:rFonts w:hint="eastAsia" w:ascii="仿宋" w:hAnsi="仿宋" w:eastAsia="仿宋" w:cs="仿宋"/>
          <w:spacing w:val="-7"/>
        </w:rPr>
        <w:t xml:space="preserve"> </w:t>
      </w:r>
      <w:r>
        <w:rPr>
          <w:rFonts w:hint="eastAsia" w:ascii="仿宋" w:hAnsi="仿宋" w:eastAsia="仿宋" w:cs="仿宋"/>
          <w:spacing w:val="2"/>
        </w:rPr>
        <w:t>人</w:t>
      </w:r>
      <w:r>
        <w:rPr>
          <w:rFonts w:hint="eastAsia" w:ascii="仿宋" w:hAnsi="仿宋" w:eastAsia="仿宋" w:cs="仿宋"/>
        </w:rPr>
        <w:t>：</w:t>
      </w:r>
      <w:r>
        <w:rPr>
          <w:rFonts w:hint="eastAsia" w:ascii="仿宋" w:hAnsi="仿宋" w:eastAsia="仿宋" w:cs="仿宋"/>
          <w:w w:val="99"/>
        </w:rPr>
        <w:t xml:space="preserve"> </w:t>
      </w:r>
    </w:p>
    <w:p w14:paraId="22B121B0">
      <w:pPr>
        <w:pStyle w:val="27"/>
        <w:kinsoku w:val="0"/>
        <w:overflowPunct w:val="0"/>
        <w:spacing w:line="356" w:lineRule="auto"/>
        <w:ind w:left="1397" w:right="6304"/>
        <w:jc w:val="both"/>
        <w:outlineLvl w:val="9"/>
        <w:rPr>
          <w:rFonts w:hint="eastAsia" w:ascii="仿宋" w:hAnsi="仿宋" w:eastAsia="仿宋" w:cs="仿宋"/>
          <w:w w:val="99"/>
        </w:rPr>
      </w:pPr>
      <w:r>
        <w:rPr>
          <w:rFonts w:hint="eastAsia" w:ascii="仿宋" w:hAnsi="仿宋" w:eastAsia="仿宋" w:cs="仿宋"/>
        </w:rPr>
        <w:t>供</w:t>
      </w:r>
      <w:r>
        <w:rPr>
          <w:rFonts w:hint="eastAsia" w:ascii="仿宋" w:hAnsi="仿宋" w:eastAsia="仿宋" w:cs="仿宋"/>
          <w:spacing w:val="-5"/>
        </w:rPr>
        <w:t xml:space="preserve"> </w:t>
      </w:r>
      <w:r>
        <w:rPr>
          <w:rFonts w:hint="eastAsia" w:ascii="仿宋" w:hAnsi="仿宋" w:eastAsia="仿宋" w:cs="仿宋"/>
        </w:rPr>
        <w:t>应</w:t>
      </w:r>
      <w:r>
        <w:rPr>
          <w:rFonts w:hint="eastAsia" w:ascii="仿宋" w:hAnsi="仿宋" w:eastAsia="仿宋" w:cs="仿宋"/>
          <w:spacing w:val="-7"/>
        </w:rPr>
        <w:t xml:space="preserve"> </w:t>
      </w:r>
      <w:r>
        <w:rPr>
          <w:rFonts w:hint="eastAsia" w:ascii="仿宋" w:hAnsi="仿宋" w:eastAsia="仿宋" w:cs="仿宋"/>
          <w:spacing w:val="2"/>
        </w:rPr>
        <w:t>商</w:t>
      </w:r>
      <w:r>
        <w:rPr>
          <w:rFonts w:hint="eastAsia" w:ascii="仿宋" w:hAnsi="仿宋" w:eastAsia="仿宋" w:cs="仿宋"/>
        </w:rPr>
        <w:t>：</w:t>
      </w:r>
      <w:r>
        <w:rPr>
          <w:rFonts w:hint="eastAsia" w:ascii="仿宋" w:hAnsi="仿宋" w:eastAsia="仿宋" w:cs="仿宋"/>
          <w:w w:val="99"/>
        </w:rPr>
        <w:t xml:space="preserve"> </w:t>
      </w:r>
    </w:p>
    <w:p w14:paraId="4EBA32D8">
      <w:pPr>
        <w:pStyle w:val="8"/>
        <w:kinsoku w:val="0"/>
        <w:overflowPunct w:val="0"/>
        <w:spacing w:before="47"/>
        <w:ind w:left="1397"/>
        <w:jc w:val="both"/>
        <w:rPr>
          <w:rFonts w:hint="eastAsia" w:ascii="仿宋" w:hAnsi="仿宋" w:eastAsia="仿宋" w:cs="仿宋"/>
          <w:sz w:val="32"/>
          <w:szCs w:val="32"/>
        </w:rPr>
      </w:pPr>
      <w:r>
        <w:rPr>
          <w:rFonts w:hint="eastAsia" w:ascii="仿宋" w:hAnsi="仿宋" w:eastAsia="仿宋" w:cs="仿宋"/>
          <w:b/>
          <w:bCs/>
          <w:spacing w:val="1"/>
          <w:sz w:val="32"/>
          <w:szCs w:val="32"/>
        </w:rPr>
        <w:t>签订日期：×年×月×日</w:t>
      </w:r>
    </w:p>
    <w:p w14:paraId="48F5DBAD">
      <w:pPr>
        <w:rPr>
          <w:rFonts w:hint="eastAsia" w:ascii="仿宋" w:hAnsi="仿宋" w:eastAsia="仿宋" w:cs="仿宋"/>
        </w:rPr>
      </w:pPr>
    </w:p>
    <w:p w14:paraId="7AE894BC">
      <w:pPr>
        <w:spacing w:line="420" w:lineRule="exact"/>
        <w:ind w:firstLine="480" w:firstLineChars="200"/>
        <w:rPr>
          <w:rFonts w:hint="eastAsia" w:ascii="仿宋" w:hAnsi="仿宋" w:eastAsia="仿宋" w:cs="仿宋"/>
          <w:kern w:val="0"/>
          <w:sz w:val="24"/>
          <w:szCs w:val="24"/>
        </w:rPr>
      </w:pPr>
    </w:p>
    <w:p w14:paraId="292F32C8">
      <w:pPr>
        <w:spacing w:line="420" w:lineRule="exact"/>
        <w:ind w:firstLine="480" w:firstLineChars="200"/>
        <w:rPr>
          <w:rFonts w:hint="eastAsia" w:ascii="仿宋" w:hAnsi="仿宋" w:eastAsia="仿宋" w:cs="仿宋"/>
          <w:kern w:val="0"/>
          <w:sz w:val="24"/>
          <w:szCs w:val="24"/>
        </w:rPr>
      </w:pPr>
    </w:p>
    <w:p w14:paraId="2B65E79F">
      <w:pPr>
        <w:pStyle w:val="8"/>
        <w:kinsoku w:val="0"/>
        <w:overflowPunct w:val="0"/>
        <w:spacing w:before="34" w:line="357" w:lineRule="auto"/>
        <w:ind w:right="126" w:firstLine="480"/>
        <w:rPr>
          <w:rFonts w:hint="eastAsia" w:ascii="仿宋" w:hAnsi="仿宋" w:eastAsia="仿宋" w:cs="仿宋"/>
        </w:rPr>
      </w:pPr>
    </w:p>
    <w:p w14:paraId="18957BC4">
      <w:pPr>
        <w:pStyle w:val="8"/>
        <w:kinsoku w:val="0"/>
        <w:overflowPunct w:val="0"/>
        <w:spacing w:before="34" w:line="357" w:lineRule="auto"/>
        <w:ind w:right="126" w:firstLine="480"/>
        <w:rPr>
          <w:rFonts w:hint="eastAsia" w:ascii="仿宋" w:hAnsi="仿宋" w:eastAsia="仿宋" w:cs="仿宋"/>
        </w:rPr>
      </w:pPr>
    </w:p>
    <w:p w14:paraId="6E7CBDE0">
      <w:pPr>
        <w:pStyle w:val="8"/>
        <w:kinsoku w:val="0"/>
        <w:overflowPunct w:val="0"/>
        <w:spacing w:before="34" w:line="357" w:lineRule="auto"/>
        <w:ind w:right="126" w:firstLine="480"/>
        <w:rPr>
          <w:rFonts w:hint="eastAsia" w:ascii="仿宋" w:hAnsi="仿宋" w:eastAsia="仿宋" w:cs="仿宋"/>
        </w:rPr>
      </w:pPr>
    </w:p>
    <w:p w14:paraId="6DC09B34">
      <w:pPr>
        <w:pStyle w:val="8"/>
        <w:kinsoku w:val="0"/>
        <w:overflowPunct w:val="0"/>
        <w:spacing w:before="34" w:line="357" w:lineRule="auto"/>
        <w:ind w:right="126" w:firstLine="480"/>
        <w:rPr>
          <w:rFonts w:hint="eastAsia" w:ascii="仿宋" w:hAnsi="仿宋" w:eastAsia="仿宋" w:cs="仿宋"/>
        </w:rPr>
      </w:pPr>
    </w:p>
    <w:p w14:paraId="6A93CBB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（根据《政府采购法》和《合同法》。采购人和供应商之间的权利和义务，应当按照平等的原则以合同方式约定。此合同书仅作为签订正式合同时的参考，正式合同书应包括本参考格式之内容。）</w:t>
      </w:r>
    </w:p>
    <w:p w14:paraId="5CF98C8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 合同文件</w:t>
      </w:r>
    </w:p>
    <w:p w14:paraId="2249D90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本合同所附下列文件是构成本合同不可分割的部分：</w:t>
      </w:r>
    </w:p>
    <w:p w14:paraId="26F052B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(1)采购文件</w:t>
      </w:r>
    </w:p>
    <w:p w14:paraId="23FE635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(2)合同条款</w:t>
      </w:r>
    </w:p>
    <w:p w14:paraId="75A5E9E0">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(3)中标人提交的响应文件</w:t>
      </w:r>
    </w:p>
    <w:p w14:paraId="4303BD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(4)技术规格（包括图纸，如果有的话）</w:t>
      </w:r>
    </w:p>
    <w:p w14:paraId="0738972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(5)中标/成交通知书</w:t>
      </w:r>
    </w:p>
    <w:p w14:paraId="51EA71F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2．合同范围和条件</w:t>
      </w:r>
    </w:p>
    <w:p w14:paraId="7C1DD550">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本合同的范围和条件与上述文件的规定相一致。</w:t>
      </w:r>
    </w:p>
    <w:p w14:paraId="2ACF919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3．货物及数量</w:t>
      </w:r>
    </w:p>
    <w:p w14:paraId="1A9BF62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本合同所提供的货物数量/服务详见磋商文件“第三章采购项目技术规格、参数及要求”。</w:t>
      </w:r>
    </w:p>
    <w:p w14:paraId="7836207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4．合同金额</w:t>
      </w:r>
    </w:p>
    <w:p w14:paraId="2FF0EAA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合同总金额为元人民币，分项价格见响应文件按报价明细表。</w:t>
      </w:r>
    </w:p>
    <w:p w14:paraId="7D184B3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5．合同生效及支付条件和方式</w:t>
      </w:r>
    </w:p>
    <w:p w14:paraId="2296CC2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6．交货时间和交货地点</w:t>
      </w:r>
    </w:p>
    <w:p w14:paraId="0758782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本合同货物的交货时间和交货地点按磋商文件“第三章 采购需求”执行。</w:t>
      </w:r>
    </w:p>
    <w:p w14:paraId="694A4EB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采购人（盖章）：</w:t>
      </w:r>
      <w:r>
        <w:rPr>
          <w:rFonts w:hint="eastAsia" w:ascii="仿宋" w:hAnsi="仿宋" w:eastAsia="仿宋" w:cs="仿宋"/>
          <w:kern w:val="0"/>
          <w:sz w:val="24"/>
          <w:szCs w:val="24"/>
        </w:rPr>
        <w:tab/>
      </w:r>
      <w:r>
        <w:rPr>
          <w:rFonts w:hint="eastAsia" w:ascii="仿宋" w:hAnsi="仿宋" w:eastAsia="仿宋" w:cs="仿宋"/>
          <w:kern w:val="0"/>
          <w:sz w:val="24"/>
          <w:szCs w:val="24"/>
        </w:rPr>
        <w:t>供　　方（盖章）：</w:t>
      </w:r>
    </w:p>
    <w:p w14:paraId="457F72C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单位地址：</w:t>
      </w:r>
    </w:p>
    <w:p w14:paraId="4703519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法人代表授权人(签字)：</w:t>
      </w:r>
    </w:p>
    <w:p w14:paraId="0E421CE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联 系 人：</w:t>
      </w:r>
    </w:p>
    <w:p w14:paraId="178CC0C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电　　话：</w:t>
      </w:r>
    </w:p>
    <w:p w14:paraId="344A43E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传　　真：</w:t>
      </w:r>
    </w:p>
    <w:p w14:paraId="5D0C0B5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邮政编码：</w:t>
      </w:r>
    </w:p>
    <w:p w14:paraId="1977C5F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开户银行：</w:t>
      </w:r>
    </w:p>
    <w:p w14:paraId="7A2259E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帐　　号：</w:t>
      </w:r>
    </w:p>
    <w:p w14:paraId="71BA35C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合同条款</w:t>
      </w:r>
    </w:p>
    <w:p w14:paraId="48088C9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1．有关概念</w:t>
      </w:r>
    </w:p>
    <w:p w14:paraId="1003D74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本合同下列术语应解释为：</w:t>
      </w:r>
    </w:p>
    <w:p w14:paraId="538E249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1.1“合同”，系指买供双方签署的、合同格式中载明的买供双方所达成的协议，包括所有的附件、附录和上述文件所提到的构成合同的所有文件。</w:t>
      </w:r>
    </w:p>
    <w:p w14:paraId="133CF84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1.2“合同价”，系指根据合同规定供方在正确地履行合同义务后采购人应支付给供方的价格。</w:t>
      </w:r>
    </w:p>
    <w:p w14:paraId="031A374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1.3“货物”，系指供方根据合同规定须向采购人提供的各种形态和种类的物品，包括产品、设备、配件等。</w:t>
      </w:r>
    </w:p>
    <w:p w14:paraId="10868A2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1.4“服务”，系指伴随本项目产生的，根据合同规定由供方承担的与供货有关的辅助服务，例如安装、调试、技术援助、培训、售后服务等以及合同中规定供方应承担的所有其它类似义务。</w:t>
      </w:r>
    </w:p>
    <w:p w14:paraId="0FE12D3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1.5“采购人”，系指磋商文件中所述购买货物和服务的单位。</w:t>
      </w:r>
    </w:p>
    <w:p w14:paraId="6AF7188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1.6“供方”，系指磋商文件中所述提供货物和服务的公司或实体，亦即中标人。</w:t>
      </w:r>
    </w:p>
    <w:p w14:paraId="7ED3F6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1.7“天”，系日历天数。</w:t>
      </w:r>
    </w:p>
    <w:p w14:paraId="624C720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2．技术规格</w:t>
      </w:r>
    </w:p>
    <w:p w14:paraId="44D0D65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2.1交付货物的技术规格应与响应文件规定的技术规格以及所附的技术规格响应表相一致。</w:t>
      </w:r>
    </w:p>
    <w:p w14:paraId="7EA4107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2.2除技术规格另有规定外，计量单位均使用中华人民共和国法定计量单位。</w:t>
      </w:r>
    </w:p>
    <w:p w14:paraId="6BD2957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3．专利权</w:t>
      </w:r>
    </w:p>
    <w:p w14:paraId="3F10AF6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3.1供方应保证采购人在使用该货物或其任何一部分时免受第三方提出侵犯其专利权、商标权或工业设计权的起诉。若由此出现侵权诉讼，由供方承担全部责任。</w:t>
      </w:r>
    </w:p>
    <w:p w14:paraId="29CF3F0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3.2供方按合同要求为采购人提交的设计方案，其所有权、使用权等所有权力均转为采购人所拥有，供方放弃拥有关于设计方案的所有权力。</w:t>
      </w:r>
    </w:p>
    <w:p w14:paraId="1018705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4.包装要求</w:t>
      </w:r>
    </w:p>
    <w:p w14:paraId="2FD597F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4.1除合同另有规定外，供方提供的所有单独包装的货物都应具有原始的、完好的标准包装。如遇交付前已拆封货物，采购人有权拒绝接受或要求更换。</w:t>
      </w:r>
    </w:p>
    <w:p w14:paraId="27746D2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4.2每个包装箱内的装箱清单、使用说明书、质量证书、保修卡及软件使用说明等所有资料均须齐全。</w:t>
      </w:r>
    </w:p>
    <w:p w14:paraId="6C91C51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 装运条件</w:t>
      </w:r>
    </w:p>
    <w:p w14:paraId="458A373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5.1供方负责安排运输，运输费由供方承担。</w:t>
      </w:r>
    </w:p>
    <w:p w14:paraId="4687C51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5.2提单日期应视为实际交货日期。</w:t>
      </w:r>
    </w:p>
    <w:p w14:paraId="349BE36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5.3供方装运的货物不得超过合同规定的数量或重量。否则，供方应对超运数量或重量而产生的一切后果负责。</w:t>
      </w:r>
    </w:p>
    <w:p w14:paraId="6542BE8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 付款</w:t>
      </w:r>
    </w:p>
    <w:p w14:paraId="088DFB9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6.1本合同以人民币支付。</w:t>
      </w:r>
    </w:p>
    <w:p w14:paraId="0B2B16B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6.2供方按照合同规定交货。交货后供方把下列单据提交给采购人,采购人按合同规定审核后办理付款手续：</w:t>
      </w:r>
    </w:p>
    <w:p w14:paraId="1EF156F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（1）发票</w:t>
      </w:r>
    </w:p>
    <w:p w14:paraId="54D79D0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（2）质量证书</w:t>
      </w:r>
    </w:p>
    <w:p w14:paraId="7771336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（3）详细配置、数量清单</w:t>
      </w:r>
    </w:p>
    <w:p w14:paraId="5A7A192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（4）检验报告</w:t>
      </w:r>
    </w:p>
    <w:p w14:paraId="0160077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6.3采购人按合同规定的合同生效及支付条件和方式安排付款。</w:t>
      </w:r>
    </w:p>
    <w:p w14:paraId="0CB5343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7．伴随服务</w:t>
      </w:r>
    </w:p>
    <w:p w14:paraId="6AD6FCA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7.1供方随同货物提交所供货物的技术资料。包括相应每套货物的中文技术文件，如：产品目录、操作手册、使用说明、维护手册或服务指南等。</w:t>
      </w:r>
    </w:p>
    <w:p w14:paraId="7504893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7.2供方应提供下列服务：</w:t>
      </w:r>
    </w:p>
    <w:p w14:paraId="13B5D24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（1）货物的现场安装和启动监督；</w:t>
      </w:r>
    </w:p>
    <w:p w14:paraId="2B4E406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（2）提供货物组装和维修所必须的工具；</w:t>
      </w:r>
    </w:p>
    <w:p w14:paraId="7982115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（3）在项目现场就货物的安装、启动、运行和维护，按采购人的要求提供技术培训。</w:t>
      </w:r>
    </w:p>
    <w:p w14:paraId="4A79D86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7.3伴随服务的费用含在合同价中，不另行支付。</w:t>
      </w:r>
    </w:p>
    <w:p w14:paraId="03D456B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8.备品备件</w:t>
      </w:r>
    </w:p>
    <w:p w14:paraId="3201CC6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8.1供方可能被要求提供下列与备件有关的材料、通知和资料：</w:t>
      </w:r>
    </w:p>
    <w:p w14:paraId="3050373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（1）采购方从供方选购备件，但前提条件是该选购并不能免除供方在合同保证期内所承担的义务；</w:t>
      </w:r>
    </w:p>
    <w:p w14:paraId="59FCC75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（2）在备件停止生产的情况下，供方应事先将要停止生产的计划通知买方有足够的时间采购所需的备件；</w:t>
      </w:r>
    </w:p>
    <w:p w14:paraId="0218A68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（3）在备件停止生产后，如果采购方要求，供方应免费向采购方提供备件的蓝图、图纸和规格。</w:t>
      </w:r>
    </w:p>
    <w:p w14:paraId="48DED2F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9、质量保证及售后服务</w:t>
      </w:r>
    </w:p>
    <w:p w14:paraId="470A5BD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（一）质量保证</w:t>
      </w:r>
    </w:p>
    <w:p w14:paraId="4C402D8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499079B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9.2在质保期内或货物无质保期的则在两年内，如果货物的数量、质量或规格与合同不符，或证实货物有缺陷的，采购人可尽快以书面形式向供方提出本保证下的索赔。</w:t>
      </w:r>
    </w:p>
    <w:p w14:paraId="4771BB1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9.3供方在收到索赔通知后十日内须免费更换有缺陷的货物或部件。</w:t>
      </w:r>
    </w:p>
    <w:p w14:paraId="40DF647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9.4供方在收到索赔通知后十日内没有弥补缺陷，采购人可采取必要的补救措施，其风险和费用将由供方承担，采购人根据合同规定向供方行使的其它权利不受影响。</w:t>
      </w:r>
    </w:p>
    <w:p w14:paraId="20225A2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(二)质量保证期后服务</w:t>
      </w:r>
    </w:p>
    <w:p w14:paraId="0076573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9.5 质保期满后，若有零部件出现故障，经权威部门鉴定属于寿命异常问题（明显短于该零部件正常寿命时），则由供方负责免费更换及维修。</w:t>
      </w:r>
    </w:p>
    <w:p w14:paraId="4E974F6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1B14561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9.7 乙方交货后，若设备发生故障，乙方应在甲方报修后24小时内到达。</w:t>
      </w:r>
    </w:p>
    <w:p w14:paraId="6FDEA9E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10．检验</w:t>
      </w:r>
    </w:p>
    <w:p w14:paraId="7A28072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46A01E2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10.2货物交付后，采购人申请有关部门对货物的质量、数量等进行检验并出具检验证书。</w:t>
      </w:r>
    </w:p>
    <w:p w14:paraId="2E6184F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11．索赔</w:t>
      </w:r>
    </w:p>
    <w:p w14:paraId="0468589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11.1采购人有权根据有关部门出具的检验证书向供方提出索赔。</w:t>
      </w:r>
    </w:p>
    <w:p w14:paraId="065E37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11.2在合同条款第8条规定的质保期内，如果供方对差异负有责任而采购人提出索赔，供方应按照采购人的损失程度进行赔偿。</w:t>
      </w:r>
    </w:p>
    <w:p w14:paraId="478F9D9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12．供方履约延误</w:t>
      </w:r>
    </w:p>
    <w:p w14:paraId="6E8C08D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12.1供方应按规定的时间交货和提供服务。</w:t>
      </w:r>
    </w:p>
    <w:p w14:paraId="5FBB53F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028F32C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1E37C7D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13．不可抗力</w:t>
      </w:r>
    </w:p>
    <w:p w14:paraId="259446F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6FD67D9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2F3A956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14．税费</w:t>
      </w:r>
    </w:p>
    <w:p w14:paraId="155BD71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14.1政府根据现行税法对供方征收的与本合同有关的一切税费均由供方负担。</w:t>
      </w:r>
    </w:p>
    <w:p w14:paraId="266C7D1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15．违约终止合同</w:t>
      </w:r>
    </w:p>
    <w:p w14:paraId="0BCFFFB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15.1出现下列情况之一，采购人在对供方违约而采取的任何补救措施不受影响的情况下，可向供方发出终止部分或全部合同的书面通知书。</w:t>
      </w:r>
    </w:p>
    <w:p w14:paraId="56F6283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（1）如果供方未能按合同规定的期限或采购人同意延长的限期内提供部分或全部货物（服务）、完成工程施工；</w:t>
      </w:r>
    </w:p>
    <w:p w14:paraId="586A580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（2）供方在收到采购人发出的违约通知后20天内，或经采购人书面认可延长的时间内未能纠正其过失；</w:t>
      </w:r>
    </w:p>
    <w:p w14:paraId="15C7EC0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（3）如果供方未能履行合同规定的其它任何义务。</w:t>
      </w:r>
    </w:p>
    <w:p w14:paraId="485C87A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040A651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16．破产终止合同</w:t>
      </w:r>
    </w:p>
    <w:p w14:paraId="7689485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16.1如果供方破产或无清偿能力时，采购人可在任何时候以书面形式通知供方终止合同而无须给供方补偿。终止该合同将不损害或影响采购人已经采取或将要采取的补救措施的权利。</w:t>
      </w:r>
    </w:p>
    <w:p w14:paraId="36C7CAE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17．转让</w:t>
      </w:r>
    </w:p>
    <w:p w14:paraId="1F5256E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17.1除采购人事先书面同意外，供方不得部分转让或全部转让其应履行的合同义务。</w:t>
      </w:r>
    </w:p>
    <w:p w14:paraId="1CE3F90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18．适用法律</w:t>
      </w:r>
    </w:p>
    <w:p w14:paraId="2203CA8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18.1本合同应按中华人民共和国的法律进行解释。</w:t>
      </w:r>
    </w:p>
    <w:p w14:paraId="2536B61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19．合同生效</w:t>
      </w:r>
    </w:p>
    <w:p w14:paraId="64B430F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19.1合同在双方授权代表签字并盖章后生效。</w:t>
      </w:r>
    </w:p>
    <w:p w14:paraId="2D3EDBF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19.2本合同一式四份，以中文书写，采购人、供方、采购中心、政府采购监管部门各执一份。</w:t>
      </w:r>
    </w:p>
    <w:p w14:paraId="2570ED2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20.  争议解决方式</w:t>
      </w:r>
    </w:p>
    <w:p w14:paraId="7625FCE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20.1 合同实施或与合同有关的一切争议应通过双方协商解决。若协商不成，则向采购人所在地法院提起诉讼。</w:t>
      </w:r>
    </w:p>
    <w:p w14:paraId="5619766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21．合同修改</w:t>
      </w:r>
    </w:p>
    <w:p w14:paraId="28D279E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21.1除双方签署书面修改协议，并成为本合同不可分割的一部分的情况之外，本合同不得有任何变化或修改。</w:t>
      </w:r>
    </w:p>
    <w:p w14:paraId="69A2F439">
      <w:pPr>
        <w:spacing w:line="420" w:lineRule="exact"/>
        <w:rPr>
          <w:rFonts w:hint="eastAsia" w:ascii="仿宋" w:hAnsi="仿宋" w:eastAsia="仿宋" w:cs="仿宋"/>
          <w:kern w:val="0"/>
          <w:sz w:val="24"/>
          <w:szCs w:val="24"/>
        </w:rPr>
      </w:pPr>
    </w:p>
    <w:p w14:paraId="655BFD6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270CD73E">
      <w:pPr>
        <w:spacing w:line="420" w:lineRule="exact"/>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注：本合同仅作为参考文本，合同签订双方可根据项目的具体要求进行签订。</w:t>
      </w:r>
    </w:p>
    <w:p w14:paraId="3737D7C9">
      <w:pPr>
        <w:spacing w:line="420" w:lineRule="exact"/>
        <w:ind w:firstLine="480" w:firstLineChars="200"/>
        <w:rPr>
          <w:rFonts w:hint="eastAsia" w:ascii="仿宋" w:hAnsi="仿宋" w:eastAsia="仿宋" w:cs="仿宋"/>
          <w:kern w:val="0"/>
          <w:sz w:val="24"/>
          <w:szCs w:val="24"/>
        </w:rPr>
      </w:pPr>
    </w:p>
    <w:p w14:paraId="0EF1EC93">
      <w:pPr>
        <w:outlineLvl w:val="9"/>
        <w:rPr>
          <w:rFonts w:hint="eastAsia" w:ascii="仿宋" w:hAnsi="仿宋" w:eastAsia="仿宋" w:cs="仿宋"/>
          <w:w w:val="95"/>
        </w:rPr>
      </w:pPr>
    </w:p>
    <w:p w14:paraId="4B9B6FB7">
      <w:pPr>
        <w:jc w:val="both"/>
        <w:outlineLvl w:val="9"/>
        <w:rPr>
          <w:rFonts w:hint="eastAsia" w:ascii="仿宋" w:hAnsi="仿宋" w:eastAsia="仿宋" w:cs="仿宋"/>
          <w:w w:val="95"/>
        </w:rPr>
      </w:pPr>
    </w:p>
    <w:p w14:paraId="2FAB0EB7">
      <w:pPr>
        <w:rPr>
          <w:rFonts w:hint="eastAsia" w:ascii="仿宋" w:hAnsi="仿宋" w:eastAsia="仿宋" w:cs="仿宋"/>
          <w:w w:val="95"/>
        </w:rPr>
      </w:pPr>
    </w:p>
    <w:p w14:paraId="1EB82B29">
      <w:pPr>
        <w:pStyle w:val="6"/>
        <w:rPr>
          <w:rFonts w:hint="eastAsia" w:ascii="仿宋" w:hAnsi="仿宋" w:eastAsia="仿宋" w:cs="仿宋"/>
          <w:w w:val="95"/>
        </w:rPr>
      </w:pPr>
    </w:p>
    <w:p w14:paraId="6DCB144E">
      <w:pPr>
        <w:jc w:val="both"/>
        <w:outlineLvl w:val="9"/>
        <w:rPr>
          <w:rFonts w:hint="eastAsia" w:ascii="仿宋" w:hAnsi="仿宋" w:eastAsia="仿宋" w:cs="仿宋"/>
          <w:w w:val="95"/>
        </w:rPr>
      </w:pPr>
    </w:p>
    <w:p w14:paraId="3F1C9313">
      <w:pPr>
        <w:rPr>
          <w:rFonts w:hint="eastAsia" w:ascii="仿宋" w:hAnsi="仿宋" w:eastAsia="仿宋" w:cs="仿宋"/>
        </w:rPr>
      </w:pPr>
    </w:p>
    <w:p w14:paraId="0676B616">
      <w:pPr>
        <w:rPr>
          <w:rFonts w:hint="eastAsia" w:ascii="仿宋" w:hAnsi="仿宋" w:eastAsia="仿宋" w:cs="仿宋"/>
          <w:w w:val="95"/>
        </w:rPr>
      </w:pPr>
      <w:r>
        <w:rPr>
          <w:rFonts w:hint="eastAsia" w:ascii="仿宋" w:hAnsi="仿宋" w:eastAsia="仿宋" w:cs="仿宋"/>
          <w:w w:val="95"/>
        </w:rPr>
        <w:br w:type="page"/>
      </w:r>
    </w:p>
    <w:p w14:paraId="10509413">
      <w:pPr>
        <w:pStyle w:val="3"/>
        <w:jc w:val="center"/>
        <w:rPr>
          <w:rFonts w:hint="eastAsia" w:ascii="仿宋" w:hAnsi="仿宋" w:eastAsia="仿宋" w:cs="仿宋"/>
        </w:rPr>
      </w:pPr>
      <w:bookmarkStart w:id="35" w:name="_Toc16315"/>
      <w:r>
        <w:rPr>
          <w:rFonts w:hint="eastAsia" w:ascii="仿宋" w:hAnsi="仿宋" w:eastAsia="仿宋" w:cs="仿宋"/>
          <w:w w:val="95"/>
        </w:rPr>
        <w:t>第六章</w:t>
      </w:r>
      <w:r>
        <w:rPr>
          <w:rFonts w:hint="eastAsia" w:ascii="仿宋" w:hAnsi="仿宋" w:eastAsia="仿宋" w:cs="仿宋"/>
          <w:w w:val="95"/>
          <w:lang w:val="en-US" w:eastAsia="zh-CN"/>
        </w:rPr>
        <w:t xml:space="preserve">  </w:t>
      </w:r>
      <w:r>
        <w:rPr>
          <w:rFonts w:hint="eastAsia" w:ascii="仿宋" w:hAnsi="仿宋" w:eastAsia="仿宋" w:cs="仿宋"/>
        </w:rPr>
        <w:t>磋商响应性文件格式</w:t>
      </w:r>
      <w:bookmarkEnd w:id="35"/>
    </w:p>
    <w:p w14:paraId="2574BB68">
      <w:pPr>
        <w:pStyle w:val="8"/>
        <w:spacing w:before="0" w:line="360" w:lineRule="auto"/>
        <w:ind w:left="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一、响应文件组成：商务文件部分（包括资格证明文件）、投标报价部分、技术文件部分（包括技术参数、实施方案等）、其它部分组成；</w:t>
      </w:r>
    </w:p>
    <w:p w14:paraId="1F4B0BF1">
      <w:pPr>
        <w:pStyle w:val="8"/>
        <w:spacing w:before="0" w:line="360" w:lineRule="auto"/>
        <w:ind w:left="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二、投标文件编制内容：</w:t>
      </w:r>
    </w:p>
    <w:p w14:paraId="2F6A22CC">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投标人的资格证明文件</w:t>
      </w:r>
      <w:r>
        <w:rPr>
          <w:rFonts w:hint="eastAsia" w:ascii="仿宋" w:hAnsi="仿宋" w:eastAsia="仿宋" w:cs="仿宋"/>
          <w:lang w:eastAsia="zh-CN"/>
        </w:rPr>
        <w:t>：</w:t>
      </w:r>
    </w:p>
    <w:p w14:paraId="500BDA6A">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（1）具有独立承担民事责任的能力；</w:t>
      </w:r>
    </w:p>
    <w:p w14:paraId="5DBFCCB4">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（2）符合《中华人民共和国政府采购法》第二十二条的相关规定；</w:t>
      </w:r>
    </w:p>
    <w:p w14:paraId="4F723D19">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（3）法人身份证明或授权委托书；</w:t>
      </w:r>
    </w:p>
    <w:p w14:paraId="244480D7">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（4）提供无重大违法记录声明书；</w:t>
      </w:r>
    </w:p>
    <w:p w14:paraId="71BB8F4D">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（5）信用查询记录；</w:t>
      </w:r>
    </w:p>
    <w:p w14:paraId="6D7C457A">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（6）不参与围标串标承诺书。</w:t>
      </w:r>
    </w:p>
    <w:p w14:paraId="179C0953">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投标函； </w:t>
      </w:r>
    </w:p>
    <w:p w14:paraId="3620923A">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3.开标一览表</w:t>
      </w:r>
      <w:r>
        <w:rPr>
          <w:rFonts w:hint="eastAsia" w:ascii="仿宋" w:hAnsi="仿宋" w:eastAsia="仿宋" w:cs="仿宋"/>
          <w:lang w:eastAsia="zh-CN"/>
        </w:rPr>
        <w:t>：</w:t>
      </w:r>
    </w:p>
    <w:p w14:paraId="7A410F4C">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（1）设备采购明细报价表；</w:t>
      </w:r>
    </w:p>
    <w:p w14:paraId="592AEC8D">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（2）装修部分明细报价表。</w:t>
      </w:r>
    </w:p>
    <w:p w14:paraId="1C044325">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4.</w:t>
      </w:r>
      <w:r>
        <w:rPr>
          <w:rFonts w:hint="eastAsia" w:ascii="仿宋" w:hAnsi="仿宋" w:eastAsia="仿宋" w:cs="仿宋"/>
        </w:rPr>
        <w:t>投标保证金缴纳凭证</w:t>
      </w:r>
      <w:r>
        <w:rPr>
          <w:rFonts w:hint="eastAsia" w:ascii="仿宋" w:hAnsi="仿宋" w:eastAsia="仿宋" w:cs="仿宋"/>
          <w:lang w:eastAsia="zh-CN"/>
        </w:rPr>
        <w:t>；</w:t>
      </w:r>
    </w:p>
    <w:p w14:paraId="4CCE0B48">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商务条款偏离表；</w:t>
      </w:r>
    </w:p>
    <w:p w14:paraId="4776F10F">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6.类似业绩</w:t>
      </w:r>
      <w:r>
        <w:rPr>
          <w:rFonts w:hint="eastAsia" w:ascii="仿宋" w:hAnsi="仿宋" w:eastAsia="仿宋" w:cs="仿宋"/>
        </w:rPr>
        <w:t>；</w:t>
      </w:r>
    </w:p>
    <w:p w14:paraId="5DE14482">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中小企业声明函；</w:t>
      </w:r>
    </w:p>
    <w:p w14:paraId="3ABF9C67">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其他商务资格证明资料。</w:t>
      </w:r>
    </w:p>
    <w:p w14:paraId="66008DF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9.投标文件技术参数（</w:t>
      </w:r>
      <w:r>
        <w:rPr>
          <w:rFonts w:hint="eastAsia" w:ascii="仿宋" w:hAnsi="仿宋" w:eastAsia="仿宋" w:cs="仿宋"/>
          <w:lang w:eastAsia="zh-CN"/>
        </w:rPr>
        <w:t>技术条款偏离表</w:t>
      </w:r>
      <w:r>
        <w:rPr>
          <w:rFonts w:hint="eastAsia" w:ascii="仿宋" w:hAnsi="仿宋" w:eastAsia="仿宋" w:cs="仿宋"/>
          <w:lang w:val="en-US" w:eastAsia="zh-CN"/>
        </w:rPr>
        <w:t>）</w:t>
      </w:r>
      <w:r>
        <w:rPr>
          <w:rFonts w:hint="eastAsia" w:ascii="仿宋" w:hAnsi="仿宋" w:eastAsia="仿宋" w:cs="仿宋"/>
          <w:lang w:eastAsia="zh-CN"/>
        </w:rPr>
        <w:t>；</w:t>
      </w:r>
    </w:p>
    <w:p w14:paraId="4DA80AFE">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10.供货实施方案</w:t>
      </w:r>
      <w:r>
        <w:rPr>
          <w:rFonts w:hint="eastAsia" w:ascii="仿宋" w:hAnsi="仿宋" w:eastAsia="仿宋" w:cs="仿宋"/>
          <w:lang w:eastAsia="zh-CN"/>
        </w:rPr>
        <w:t>；</w:t>
      </w:r>
    </w:p>
    <w:p w14:paraId="166073EF">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11.施工实施方案</w:t>
      </w:r>
      <w:r>
        <w:rPr>
          <w:rFonts w:hint="eastAsia" w:ascii="仿宋" w:hAnsi="仿宋" w:eastAsia="仿宋" w:cs="仿宋"/>
          <w:lang w:eastAsia="zh-CN"/>
        </w:rPr>
        <w:t>；</w:t>
      </w:r>
    </w:p>
    <w:p w14:paraId="51557649">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12.质量保证措施及承诺；</w:t>
      </w:r>
    </w:p>
    <w:p w14:paraId="0F1F570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13.售后服务体系</w:t>
      </w:r>
      <w:r>
        <w:rPr>
          <w:rFonts w:hint="eastAsia" w:ascii="仿宋" w:hAnsi="仿宋" w:eastAsia="仿宋" w:cs="仿宋"/>
          <w:lang w:eastAsia="zh-CN"/>
        </w:rPr>
        <w:t>；</w:t>
      </w:r>
    </w:p>
    <w:p w14:paraId="780A28D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14.培训方案；</w:t>
      </w:r>
    </w:p>
    <w:p w14:paraId="4DB69EA4">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15.</w:t>
      </w:r>
      <w:r>
        <w:rPr>
          <w:rFonts w:hint="eastAsia" w:ascii="仿宋" w:hAnsi="仿宋" w:eastAsia="仿宋" w:cs="仿宋"/>
          <w:lang w:eastAsia="zh-CN"/>
        </w:rPr>
        <w:t>供应商认为需要提交的技术资料。</w:t>
      </w:r>
    </w:p>
    <w:p w14:paraId="03422F4D">
      <w:pPr>
        <w:pStyle w:val="8"/>
        <w:spacing w:before="0" w:line="360" w:lineRule="auto"/>
        <w:ind w:left="0" w:firstLine="480" w:firstLineChars="200"/>
        <w:rPr>
          <w:rFonts w:hint="eastAsia" w:ascii="仿宋" w:hAnsi="仿宋" w:eastAsia="仿宋" w:cs="仿宋"/>
        </w:rPr>
      </w:pPr>
      <w:r>
        <w:rPr>
          <w:rFonts w:hint="eastAsia" w:ascii="仿宋" w:hAnsi="仿宋" w:eastAsia="仿宋" w:cs="仿宋"/>
        </w:rPr>
        <w:t>注：请投标供应商按照以下文件的要求格式、内容制作投标文件</w:t>
      </w:r>
      <w:r>
        <w:rPr>
          <w:rFonts w:hint="eastAsia" w:ascii="仿宋" w:hAnsi="仿宋" w:eastAsia="仿宋" w:cs="仿宋"/>
          <w:lang w:eastAsia="zh-CN"/>
        </w:rPr>
        <w:t>（无格式</w:t>
      </w:r>
      <w:r>
        <w:rPr>
          <w:rFonts w:hint="eastAsia" w:ascii="仿宋" w:hAnsi="仿宋" w:eastAsia="仿宋" w:cs="仿宋"/>
          <w:lang w:val="en-US" w:eastAsia="zh-CN"/>
        </w:rPr>
        <w:t>要求</w:t>
      </w: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r>
        <w:rPr>
          <w:rFonts w:hint="eastAsia" w:ascii="仿宋" w:hAnsi="仿宋" w:eastAsia="仿宋" w:cs="仿宋"/>
        </w:rPr>
        <w:t>，并请编制目录及页码，否则可能将影响对投标文件的评价。</w:t>
      </w:r>
    </w:p>
    <w:p w14:paraId="6EAEC107">
      <w:pPr>
        <w:pStyle w:val="8"/>
        <w:kinsoku w:val="0"/>
        <w:overflowPunct w:val="0"/>
        <w:spacing w:before="130" w:line="360" w:lineRule="exact"/>
        <w:ind w:left="119" w:right="6" w:firstLine="480"/>
        <w:rPr>
          <w:rFonts w:hint="eastAsia" w:ascii="仿宋" w:hAnsi="仿宋" w:eastAsia="仿宋" w:cs="仿宋"/>
          <w:spacing w:val="4"/>
        </w:rPr>
      </w:pPr>
    </w:p>
    <w:p w14:paraId="15EF3C5D">
      <w:pPr>
        <w:rPr>
          <w:rFonts w:hint="eastAsia" w:ascii="仿宋" w:hAnsi="仿宋" w:eastAsia="仿宋" w:cs="仿宋"/>
          <w:b/>
          <w:sz w:val="52"/>
          <w:szCs w:val="52"/>
        </w:rPr>
      </w:pPr>
      <w:r>
        <w:rPr>
          <w:rFonts w:hint="eastAsia" w:ascii="仿宋" w:hAnsi="仿宋" w:eastAsia="仿宋" w:cs="仿宋"/>
          <w:b/>
          <w:sz w:val="52"/>
          <w:szCs w:val="52"/>
        </w:rPr>
        <w:br w:type="page"/>
      </w:r>
    </w:p>
    <w:p w14:paraId="07F8DE63">
      <w:pPr>
        <w:pStyle w:val="51"/>
        <w:outlineLvl w:val="1"/>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响应文件封面格式：</w:t>
      </w:r>
    </w:p>
    <w:p w14:paraId="6419C2B4">
      <w:pPr>
        <w:pStyle w:val="52"/>
        <w:ind w:firstLine="3855" w:firstLineChars="1200"/>
        <w:outlineLvl w:val="2"/>
        <w:rPr>
          <w:rFonts w:hint="eastAsia" w:ascii="仿宋" w:hAnsi="仿宋" w:eastAsia="仿宋" w:cs="仿宋"/>
        </w:rPr>
      </w:pPr>
    </w:p>
    <w:p w14:paraId="3EEE4FE8">
      <w:pPr>
        <w:pStyle w:val="53"/>
        <w:spacing w:line="360" w:lineRule="auto"/>
        <w:rPr>
          <w:rFonts w:hint="eastAsia" w:ascii="仿宋" w:hAnsi="仿宋" w:eastAsia="仿宋" w:cs="仿宋"/>
          <w:b/>
          <w:sz w:val="24"/>
        </w:rPr>
      </w:pPr>
    </w:p>
    <w:p w14:paraId="34A13D9A">
      <w:pPr>
        <w:pStyle w:val="53"/>
        <w:spacing w:line="360" w:lineRule="auto"/>
        <w:rPr>
          <w:rFonts w:hint="eastAsia" w:ascii="仿宋" w:hAnsi="仿宋" w:eastAsia="仿宋" w:cs="仿宋"/>
          <w:b/>
          <w:sz w:val="24"/>
        </w:rPr>
      </w:pPr>
    </w:p>
    <w:p w14:paraId="78E68151">
      <w:pPr>
        <w:pStyle w:val="53"/>
        <w:spacing w:line="360" w:lineRule="auto"/>
        <w:jc w:val="center"/>
        <w:rPr>
          <w:rFonts w:hint="eastAsia" w:ascii="仿宋" w:hAnsi="仿宋" w:eastAsia="仿宋" w:cs="仿宋"/>
          <w:sz w:val="24"/>
        </w:rPr>
      </w:pPr>
    </w:p>
    <w:p w14:paraId="4F43DD09">
      <w:pPr>
        <w:pStyle w:val="53"/>
        <w:spacing w:line="360" w:lineRule="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（项目名称）</w:t>
      </w:r>
    </w:p>
    <w:p w14:paraId="77D770FA">
      <w:pPr>
        <w:pStyle w:val="53"/>
        <w:spacing w:line="360" w:lineRule="auto"/>
        <w:jc w:val="center"/>
        <w:rPr>
          <w:rFonts w:hint="eastAsia" w:ascii="仿宋" w:hAnsi="仿宋" w:eastAsia="仿宋" w:cs="仿宋"/>
          <w:b/>
          <w:bCs/>
          <w:sz w:val="28"/>
          <w:szCs w:val="28"/>
        </w:rPr>
      </w:pPr>
    </w:p>
    <w:p w14:paraId="3A357703">
      <w:pPr>
        <w:pStyle w:val="53"/>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5327187F">
      <w:pPr>
        <w:pStyle w:val="53"/>
        <w:spacing w:line="360" w:lineRule="auto"/>
        <w:jc w:val="both"/>
        <w:rPr>
          <w:rFonts w:hint="eastAsia" w:ascii="仿宋" w:hAnsi="仿宋" w:eastAsia="仿宋" w:cs="仿宋"/>
          <w:sz w:val="24"/>
        </w:rPr>
      </w:pPr>
    </w:p>
    <w:p w14:paraId="21F79C0E">
      <w:pPr>
        <w:pStyle w:val="53"/>
        <w:spacing w:line="360" w:lineRule="auto"/>
        <w:jc w:val="center"/>
        <w:rPr>
          <w:rFonts w:hint="eastAsia" w:ascii="仿宋" w:hAnsi="仿宋" w:eastAsia="仿宋" w:cs="仿宋"/>
          <w:sz w:val="24"/>
        </w:rPr>
      </w:pPr>
    </w:p>
    <w:p w14:paraId="5ED2EAEC">
      <w:pPr>
        <w:pStyle w:val="53"/>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响应文件</w:t>
      </w:r>
    </w:p>
    <w:p w14:paraId="073EDDD1">
      <w:pPr>
        <w:pStyle w:val="53"/>
        <w:spacing w:line="360" w:lineRule="auto"/>
        <w:ind w:firstLine="2570" w:firstLineChars="800"/>
        <w:jc w:val="both"/>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项目编号：</w:t>
      </w:r>
    </w:p>
    <w:p w14:paraId="5B724E48">
      <w:pPr>
        <w:pStyle w:val="53"/>
        <w:spacing w:line="360" w:lineRule="auto"/>
        <w:jc w:val="center"/>
        <w:rPr>
          <w:rFonts w:hint="eastAsia" w:ascii="仿宋" w:hAnsi="仿宋" w:eastAsia="仿宋" w:cs="仿宋"/>
          <w:sz w:val="24"/>
        </w:rPr>
      </w:pPr>
    </w:p>
    <w:p w14:paraId="4BA2B5EF">
      <w:pPr>
        <w:pStyle w:val="53"/>
        <w:spacing w:line="360" w:lineRule="auto"/>
        <w:jc w:val="center"/>
        <w:rPr>
          <w:rFonts w:hint="eastAsia" w:ascii="仿宋" w:hAnsi="仿宋" w:eastAsia="仿宋" w:cs="仿宋"/>
          <w:b/>
          <w:sz w:val="24"/>
        </w:rPr>
      </w:pPr>
    </w:p>
    <w:p w14:paraId="0EC1DD5C">
      <w:pPr>
        <w:pStyle w:val="53"/>
        <w:spacing w:line="360" w:lineRule="auto"/>
        <w:jc w:val="center"/>
        <w:rPr>
          <w:rFonts w:hint="eastAsia" w:ascii="仿宋" w:hAnsi="仿宋" w:eastAsia="仿宋" w:cs="仿宋"/>
          <w:b/>
          <w:sz w:val="24"/>
        </w:rPr>
      </w:pPr>
    </w:p>
    <w:p w14:paraId="73B43EE2">
      <w:pPr>
        <w:pStyle w:val="53"/>
        <w:spacing w:line="360" w:lineRule="auto"/>
        <w:jc w:val="both"/>
        <w:rPr>
          <w:rFonts w:hint="eastAsia" w:ascii="仿宋" w:hAnsi="仿宋" w:eastAsia="仿宋" w:cs="仿宋"/>
          <w:b/>
          <w:sz w:val="24"/>
        </w:rPr>
      </w:pPr>
    </w:p>
    <w:p w14:paraId="18200F6F">
      <w:pPr>
        <w:pStyle w:val="53"/>
        <w:spacing w:line="480" w:lineRule="auto"/>
        <w:jc w:val="center"/>
        <w:rPr>
          <w:rFonts w:hint="eastAsia" w:ascii="仿宋" w:hAnsi="仿宋" w:eastAsia="仿宋" w:cs="仿宋"/>
          <w:b/>
          <w:bCs w:val="0"/>
          <w:sz w:val="24"/>
        </w:rPr>
      </w:pPr>
    </w:p>
    <w:p w14:paraId="43E13DAA">
      <w:pPr>
        <w:pStyle w:val="53"/>
        <w:spacing w:line="480" w:lineRule="auto"/>
        <w:jc w:val="center"/>
        <w:rPr>
          <w:rFonts w:hint="eastAsia" w:ascii="仿宋" w:hAnsi="仿宋" w:eastAsia="仿宋" w:cs="仿宋"/>
          <w:b/>
          <w:bCs w:val="0"/>
          <w:sz w:val="28"/>
          <w:szCs w:val="28"/>
        </w:rPr>
      </w:pPr>
      <w:r>
        <w:rPr>
          <w:rFonts w:hint="eastAsia" w:ascii="仿宋" w:hAnsi="仿宋" w:eastAsia="仿宋" w:cs="仿宋"/>
          <w:b/>
          <w:bCs w:val="0"/>
          <w:sz w:val="28"/>
          <w:szCs w:val="28"/>
          <w:lang w:eastAsia="zh-CN"/>
        </w:rPr>
        <w:t>供应商名称：</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r>
        <w:rPr>
          <w:rFonts w:hint="eastAsia" w:ascii="仿宋" w:hAnsi="仿宋" w:eastAsia="仿宋" w:cs="仿宋"/>
          <w:b/>
          <w:bCs w:val="0"/>
          <w:sz w:val="28"/>
          <w:szCs w:val="28"/>
          <w:lang w:eastAsia="zh-CN"/>
        </w:rPr>
        <w:t>盖章</w:t>
      </w:r>
      <w:r>
        <w:rPr>
          <w:rFonts w:hint="eastAsia" w:ascii="仿宋" w:hAnsi="仿宋" w:eastAsia="仿宋" w:cs="仿宋"/>
          <w:b/>
          <w:bCs w:val="0"/>
          <w:sz w:val="28"/>
          <w:szCs w:val="28"/>
        </w:rPr>
        <w:t>）</w:t>
      </w:r>
    </w:p>
    <w:p w14:paraId="39B52DDE">
      <w:pPr>
        <w:pStyle w:val="53"/>
        <w:spacing w:line="480" w:lineRule="auto"/>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法定代表人</w:t>
      </w:r>
      <w:r>
        <w:rPr>
          <w:rFonts w:hint="eastAsia" w:ascii="仿宋" w:hAnsi="仿宋" w:eastAsia="仿宋" w:cs="仿宋"/>
          <w:b/>
          <w:bCs w:val="0"/>
          <w:sz w:val="28"/>
          <w:szCs w:val="28"/>
          <w:lang w:val="en-US" w:eastAsia="zh-CN"/>
        </w:rPr>
        <w:t>或委托代理人；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（签</w:t>
      </w:r>
      <w:r>
        <w:rPr>
          <w:rFonts w:hint="eastAsia" w:ascii="仿宋" w:hAnsi="仿宋" w:eastAsia="仿宋" w:cs="仿宋"/>
          <w:b/>
          <w:bCs w:val="0"/>
          <w:sz w:val="28"/>
          <w:szCs w:val="28"/>
          <w:lang w:val="en-US" w:eastAsia="zh-CN"/>
        </w:rPr>
        <w:t>字或盖</w:t>
      </w:r>
      <w:r>
        <w:rPr>
          <w:rFonts w:hint="eastAsia" w:ascii="仿宋" w:hAnsi="仿宋" w:eastAsia="仿宋" w:cs="仿宋"/>
          <w:b/>
          <w:bCs w:val="0"/>
          <w:sz w:val="28"/>
          <w:szCs w:val="28"/>
        </w:rPr>
        <w:t>章）</w:t>
      </w:r>
    </w:p>
    <w:p w14:paraId="07E64D8F">
      <w:pPr>
        <w:pStyle w:val="53"/>
        <w:spacing w:line="480" w:lineRule="auto"/>
        <w:ind w:firstLine="1687" w:firstLineChars="600"/>
        <w:jc w:val="both"/>
        <w:rPr>
          <w:rFonts w:hint="eastAsia" w:ascii="仿宋" w:hAnsi="仿宋" w:eastAsia="仿宋" w:cs="仿宋"/>
          <w:b/>
          <w:bCs w:val="0"/>
          <w:sz w:val="28"/>
          <w:szCs w:val="28"/>
        </w:rPr>
      </w:pPr>
      <w:r>
        <w:rPr>
          <w:rFonts w:hint="eastAsia" w:ascii="仿宋" w:hAnsi="仿宋" w:eastAsia="仿宋" w:cs="仿宋"/>
          <w:b/>
          <w:bCs w:val="0"/>
          <w:sz w:val="28"/>
          <w:szCs w:val="28"/>
        </w:rPr>
        <w:t xml:space="preserve">单位地址：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 xml:space="preserve">                                </w:t>
      </w:r>
    </w:p>
    <w:p w14:paraId="2C9C1299">
      <w:pPr>
        <w:pStyle w:val="53"/>
        <w:spacing w:line="480" w:lineRule="auto"/>
        <w:ind w:firstLine="1687" w:firstLineChars="600"/>
        <w:jc w:val="both"/>
        <w:rPr>
          <w:rFonts w:hint="eastAsia" w:ascii="仿宋" w:hAnsi="仿宋" w:eastAsia="仿宋" w:cs="仿宋"/>
          <w:b/>
          <w:bCs w:val="0"/>
          <w:sz w:val="28"/>
          <w:szCs w:val="28"/>
        </w:rPr>
      </w:pPr>
      <w:r>
        <w:rPr>
          <w:rFonts w:hint="eastAsia" w:ascii="仿宋" w:hAnsi="仿宋" w:eastAsia="仿宋" w:cs="仿宋"/>
          <w:b/>
          <w:bCs w:val="0"/>
          <w:sz w:val="28"/>
          <w:szCs w:val="28"/>
        </w:rPr>
        <w:t>联系人及电话：</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 xml:space="preserve">                                   </w:t>
      </w:r>
    </w:p>
    <w:p w14:paraId="70CD61CA">
      <w:pPr>
        <w:pStyle w:val="53"/>
        <w:spacing w:line="480" w:lineRule="auto"/>
        <w:jc w:val="center"/>
        <w:rPr>
          <w:rFonts w:hint="eastAsia" w:ascii="仿宋" w:hAnsi="仿宋" w:eastAsia="仿宋" w:cs="仿宋"/>
          <w:b w:val="0"/>
          <w:bCs/>
          <w:sz w:val="28"/>
          <w:szCs w:val="28"/>
          <w:u w:val="single"/>
        </w:rPr>
      </w:pPr>
      <w:r>
        <w:rPr>
          <w:rFonts w:hint="eastAsia" w:ascii="仿宋" w:hAnsi="仿宋" w:eastAsia="仿宋" w:cs="仿宋"/>
          <w:b/>
          <w:bCs w:val="0"/>
          <w:sz w:val="28"/>
          <w:szCs w:val="28"/>
        </w:rPr>
        <w:t>日期</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年</w:t>
      </w:r>
      <w:r>
        <w:rPr>
          <w:rFonts w:hint="eastAsia" w:ascii="仿宋" w:hAnsi="仿宋" w:eastAsia="仿宋" w:cs="仿宋"/>
          <w:b/>
          <w:bCs w:val="0"/>
          <w:sz w:val="28"/>
          <w:szCs w:val="28"/>
          <w:u w:val="none"/>
        </w:rPr>
        <w:t xml:space="preserve">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月</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日</w:t>
      </w:r>
    </w:p>
    <w:p w14:paraId="589E8D8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2A104069">
      <w:pPr>
        <w:pStyle w:val="51"/>
        <w:outlineLvl w:val="1"/>
        <w:rPr>
          <w:rFonts w:hint="eastAsia" w:ascii="仿宋" w:hAnsi="仿宋" w:eastAsia="仿宋" w:cs="仿宋"/>
          <w:lang w:val="en-US" w:eastAsia="zh-CN"/>
        </w:rPr>
      </w:pPr>
      <w:bookmarkStart w:id="36" w:name="_Toc25035"/>
      <w:bookmarkStart w:id="37" w:name="_Toc76479620"/>
      <w:bookmarkStart w:id="38" w:name="_Toc89860143"/>
      <w:bookmarkStart w:id="39" w:name="_Toc76680625"/>
      <w:bookmarkStart w:id="40" w:name="_Toc76665146"/>
      <w:r>
        <w:rPr>
          <w:rFonts w:hint="eastAsia" w:ascii="仿宋" w:hAnsi="仿宋" w:eastAsia="仿宋" w:cs="仿宋"/>
          <w:lang w:val="en-US" w:eastAsia="zh-CN"/>
        </w:rPr>
        <w:t>2.法人身份证明或授权委托书</w:t>
      </w:r>
      <w:bookmarkEnd w:id="36"/>
      <w:bookmarkEnd w:id="37"/>
      <w:bookmarkEnd w:id="38"/>
      <w:bookmarkEnd w:id="39"/>
      <w:bookmarkEnd w:id="40"/>
      <w:r>
        <w:rPr>
          <w:rFonts w:hint="eastAsia" w:ascii="仿宋" w:hAnsi="仿宋" w:eastAsia="仿宋" w:cs="仿宋"/>
        </w:rPr>
        <w:t>格式</w:t>
      </w:r>
      <w:r>
        <w:rPr>
          <w:rFonts w:hint="eastAsia" w:ascii="仿宋" w:hAnsi="仿宋" w:eastAsia="仿宋" w:cs="仿宋"/>
          <w:lang w:val="en-US" w:eastAsia="zh-CN"/>
        </w:rPr>
        <w:t>：</w:t>
      </w:r>
    </w:p>
    <w:p w14:paraId="60EC06AB">
      <w:pPr>
        <w:pStyle w:val="8"/>
        <w:kinsoku w:val="0"/>
        <w:overflowPunct w:val="0"/>
        <w:spacing w:before="34" w:line="357" w:lineRule="auto"/>
        <w:ind w:right="126" w:firstLine="480"/>
        <w:jc w:val="center"/>
        <w:rPr>
          <w:rFonts w:hint="eastAsia" w:ascii="仿宋" w:hAnsi="仿宋" w:eastAsia="仿宋" w:cs="仿宋"/>
          <w:b/>
          <w:bCs/>
          <w:sz w:val="32"/>
          <w:szCs w:val="32"/>
          <w:lang w:val="en-US" w:eastAsia="zh-CN"/>
        </w:rPr>
      </w:pPr>
    </w:p>
    <w:p w14:paraId="77F2D814">
      <w:pPr>
        <w:pStyle w:val="8"/>
        <w:kinsoku w:val="0"/>
        <w:overflowPunct w:val="0"/>
        <w:spacing w:before="34" w:line="357" w:lineRule="auto"/>
        <w:ind w:right="126" w:firstLine="480"/>
        <w:jc w:val="center"/>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法定代表人身份证明</w:t>
      </w:r>
    </w:p>
    <w:p w14:paraId="56021721">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投标单位名称：</w:t>
      </w:r>
      <w:r>
        <w:rPr>
          <w:rFonts w:hint="eastAsia" w:ascii="仿宋" w:hAnsi="仿宋" w:eastAsia="仿宋" w:cs="仿宋"/>
          <w:kern w:val="0"/>
          <w:sz w:val="24"/>
          <w:szCs w:val="24"/>
          <w:u w:val="single"/>
        </w:rPr>
        <w:t xml:space="preserve">                       </w:t>
      </w:r>
    </w:p>
    <w:p w14:paraId="1B59BD0E">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64B9F0A5">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 xml:space="preserve">                               </w:t>
      </w:r>
    </w:p>
    <w:p w14:paraId="2668CBCB">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33FE1211">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79E9B464">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160594A">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身份证号码：</w:t>
      </w:r>
      <w:r>
        <w:rPr>
          <w:rFonts w:hint="eastAsia" w:ascii="仿宋" w:hAnsi="仿宋" w:eastAsia="仿宋" w:cs="仿宋"/>
          <w:kern w:val="0"/>
          <w:sz w:val="24"/>
          <w:szCs w:val="24"/>
          <w:u w:val="single"/>
        </w:rPr>
        <w:t xml:space="preserve">                                  </w:t>
      </w:r>
    </w:p>
    <w:p w14:paraId="6F0814DE">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（投标单位名称）的法定代表人。</w:t>
      </w:r>
    </w:p>
    <w:p w14:paraId="5CEEF8F9">
      <w:pPr>
        <w:spacing w:line="420" w:lineRule="exact"/>
        <w:ind w:firstLine="960" w:firstLineChars="400"/>
        <w:rPr>
          <w:rFonts w:hint="eastAsia" w:ascii="仿宋" w:hAnsi="仿宋" w:eastAsia="仿宋" w:cs="仿宋"/>
          <w:kern w:val="0"/>
          <w:sz w:val="24"/>
          <w:szCs w:val="24"/>
        </w:rPr>
      </w:pPr>
      <w:r>
        <w:rPr>
          <w:rFonts w:hint="eastAsia" w:ascii="仿宋" w:hAnsi="仿宋" w:eastAsia="仿宋" w:cs="仿宋"/>
          <w:kern w:val="0"/>
          <w:sz w:val="24"/>
          <w:szCs w:val="24"/>
        </w:rPr>
        <w:t>特此证明。</w:t>
      </w:r>
    </w:p>
    <w:p w14:paraId="08EBC9F1">
      <w:pPr>
        <w:pStyle w:val="8"/>
        <w:kinsoku w:val="0"/>
        <w:overflowPunct w:val="0"/>
        <w:spacing w:before="0"/>
        <w:ind w:left="0"/>
        <w:rPr>
          <w:rFonts w:hint="eastAsia" w:ascii="仿宋" w:hAnsi="仿宋" w:eastAsia="仿宋" w:cs="仿宋"/>
          <w:sz w:val="20"/>
          <w:szCs w:val="20"/>
        </w:rPr>
      </w:pPr>
    </w:p>
    <w:p w14:paraId="1BFACAAB">
      <w:pPr>
        <w:pStyle w:val="8"/>
        <w:kinsoku w:val="0"/>
        <w:overflowPunct w:val="0"/>
        <w:spacing w:before="7"/>
        <w:ind w:left="0"/>
        <w:rPr>
          <w:rFonts w:hint="eastAsia" w:ascii="仿宋" w:hAnsi="仿宋" w:eastAsia="仿宋" w:cs="仿宋"/>
          <w:sz w:val="25"/>
          <w:szCs w:val="25"/>
        </w:rPr>
      </w:pPr>
    </w:p>
    <w:p w14:paraId="75B2FF0E">
      <w:pPr>
        <w:pStyle w:val="8"/>
        <w:kinsoku w:val="0"/>
        <w:overflowPunct w:val="0"/>
        <w:spacing w:before="0" w:line="200" w:lineRule="atLeast"/>
        <w:ind w:left="60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6" name="任意多边形 6"/>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1" name="任意多边形 11"/>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2" name="任意多边形 12"/>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3" name="任意多边形 13"/>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4" name="任意多边形 14"/>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6" name="文本框 16"/>
                        <wps:cNvSpPr txBox="1"/>
                        <wps:spPr>
                          <a:xfrm>
                            <a:off x="19" y="19"/>
                            <a:ext cx="4025" cy="2258"/>
                          </a:xfrm>
                          <a:prstGeom prst="rect">
                            <a:avLst/>
                          </a:prstGeom>
                          <a:noFill/>
                          <a:ln>
                            <a:noFill/>
                          </a:ln>
                        </wps:spPr>
                        <wps:txbx>
                          <w:txbxContent>
                            <w:p w14:paraId="49664DE9">
                              <w:pPr>
                                <w:pStyle w:val="8"/>
                                <w:kinsoku w:val="0"/>
                                <w:overflowPunct w:val="0"/>
                                <w:spacing w:before="0"/>
                                <w:ind w:left="0"/>
                              </w:pPr>
                            </w:p>
                            <w:p w14:paraId="1A233E9A">
                              <w:pPr>
                                <w:pStyle w:val="8"/>
                                <w:kinsoku w:val="0"/>
                                <w:overflowPunct w:val="0"/>
                                <w:spacing w:before="0"/>
                                <w:ind w:left="0"/>
                              </w:pPr>
                            </w:p>
                            <w:p w14:paraId="3C5F9785">
                              <w:pPr>
                                <w:pStyle w:val="8"/>
                                <w:kinsoku w:val="0"/>
                                <w:overflowPunct w:val="0"/>
                                <w:spacing w:before="13"/>
                                <w:ind w:left="0"/>
                                <w:rPr>
                                  <w:sz w:val="28"/>
                                  <w:szCs w:val="28"/>
                                </w:rPr>
                              </w:pPr>
                            </w:p>
                            <w:p w14:paraId="133E5122">
                              <w:pPr>
                                <w:pStyle w:val="8"/>
                                <w:kinsoku w:val="0"/>
                                <w:overflowPunct w:val="0"/>
                                <w:spacing w:before="0"/>
                                <w:ind w:left="107"/>
                              </w:pPr>
                              <w:r>
                                <w:rPr>
                                  <w:rFonts w:hint="eastAsia"/>
                                </w:rPr>
                                <w:t>法定代表人身份证复印件（正面）</w:t>
                              </w:r>
                            </w:p>
                          </w:txbxContent>
                        </wps:txbx>
                        <wps:bodyPr lIns="0" tIns="0" rIns="0" bIns="0" upright="1"/>
                      </wps:wsp>
                      <wps:wsp>
                        <wps:cNvPr id="17" name="文本框 17"/>
                        <wps:cNvSpPr txBox="1"/>
                        <wps:spPr>
                          <a:xfrm>
                            <a:off x="4044" y="19"/>
                            <a:ext cx="4025" cy="2258"/>
                          </a:xfrm>
                          <a:prstGeom prst="rect">
                            <a:avLst/>
                          </a:prstGeom>
                          <a:noFill/>
                          <a:ln>
                            <a:noFill/>
                          </a:ln>
                        </wps:spPr>
                        <wps:txbx>
                          <w:txbxContent>
                            <w:p w14:paraId="04616A34">
                              <w:pPr>
                                <w:pStyle w:val="8"/>
                                <w:kinsoku w:val="0"/>
                                <w:overflowPunct w:val="0"/>
                                <w:spacing w:before="0"/>
                                <w:ind w:left="0"/>
                              </w:pPr>
                            </w:p>
                            <w:p w14:paraId="0FAAF088">
                              <w:pPr>
                                <w:pStyle w:val="8"/>
                                <w:kinsoku w:val="0"/>
                                <w:overflowPunct w:val="0"/>
                                <w:spacing w:before="0"/>
                                <w:ind w:left="0"/>
                              </w:pPr>
                            </w:p>
                            <w:p w14:paraId="7BD80F06">
                              <w:pPr>
                                <w:pStyle w:val="8"/>
                                <w:kinsoku w:val="0"/>
                                <w:overflowPunct w:val="0"/>
                                <w:spacing w:before="13"/>
                                <w:ind w:left="0"/>
                                <w:rPr>
                                  <w:sz w:val="28"/>
                                  <w:szCs w:val="28"/>
                                </w:rPr>
                              </w:pPr>
                            </w:p>
                            <w:p w14:paraId="7F99E1A4">
                              <w:pPr>
                                <w:pStyle w:val="8"/>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Jf5fc/WAAAABQEAAA8AAAAAAAAAAQAgAAAAIgAAAGRycy9kb3du&#10;cmV2LnhtbFBLAQIUABQAAAAIAIdO4kBHD53QrQQAABshAAAOAAAAAAAAAAEAIAAAACUBAABkcnMv&#10;ZTJvRG9jLnhtbFBLBQYAAAAABgAGAFkBAABECAAAAAA=&#10;">
                <o:lock v:ext="edit" rotation="t" aspectratio="f"/>
                <v:shape id="_x0000_s1026" o:spid="_x0000_s1026" o:spt="100" style="position:absolute;left:4;top:9;height:20;width:8079;" filled="f" stroked="t" coordsize="8079,20" o:gfxdata="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yIab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FqxpXbwAAADa&#10;AAAADwAAAGRycy9kb3ducmV2LnhtbEWPQWsCMRSE7wX/Q3iCt5qsYKur0YMiSEsPXf0Bj81zd9nN&#10;y5JEXf31TaHQ4zAz3zDr7WA7cSMfGscasqkCQVw603Cl4Xw6vC5AhIhssHNMGh4UYLsZvawxN+7O&#10;33QrYiUShEOOGuoY+1zKUNZkMUxdT5y8i/MWY5K+ksbjPcFtJ2dKvUmLDaeFGnva1VS2xdVq2Ht/&#10;+pL9pXh+fO5dVql2vhxarSfjTK1ARBrif/ivfTQa3u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aV2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ZzP9L7kAAADa&#10;AAAADwAAAGRycy9kb3ducmV2LnhtbEVPS2rDMBDdB3oHMYHuYsmFhsaJkkVMobRkUTsHGKyJbWyN&#10;jKQ6bk9fLQpdPt7/cFrsKGbyoXesIc8UCOLGmZ5bDdf6dfMCIkRkg6Nj0vBNAU7Hh9UBC+Pu/Elz&#10;FVuRQjgUqKGLcSqkDE1HFkPmJuLE3Zy3GBP0rTQe7yncjvJJqa202HNq6HCic0fNUH1ZDaX39UVO&#10;t+rn/aN0eauG590yaP24ztUeRKQl/ov/3G9GQ9qarqQb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z/S+5AAAA2g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kkMcG7wAAADa&#10;AAAADwAAAGRycy9kb3ducmV2LnhtbEWPT2sCMRTE74V+h/AK3mrigqVujR6k/qE9VT14fGzebhY3&#10;L0sSdf32plDocZiZ3zDz5eA6caUQW88aJmMFgrjypuVGw/Gwfn0HEROywc4zabhThOXi+WmOpfE3&#10;/qHrPjUiQziWqMGm1JdSxsqSwzj2PXH2ah8cpixDI03AW4a7ThZKvUmHLecFiz2tLFXn/cVp+K7r&#10;4hxU8TXdbD8Rh2nbnOxK69HLRH2ASDSk//Bfe2c0zOD3Sr4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DHBu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gyv2VL0AAADb&#10;AAAADwAAAGRycy9kb3ducmV2LnhtbEWPQWsCMRCF7wX/Qxihl1ITCy3r1uhBLAg9dav3YTNuFjeT&#10;NUnV9td3DoXeZnhv3vtmub6FQV0o5T6yhfnMgCJuo+u5s7D/fHusQOWC7HCITBa+KcN6NblbYu3i&#10;lT/o0pROSQjnGi34UsZa69x6CphncSQW7RhTwCJr6rRLeJXwMOgnY150wJ6lweNIG0/tqfkKFn6O&#10;D7vnrcdt01YH814tNmdMjbX307l5BVXoVv7Nf9c7J/hCL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K/ZU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exR7Fb0AAADb&#10;AAAADwAAAGRycy9kb3ducmV2LnhtbEVPTWvCQBC9C/6HZYReRDcppdToKmIp5FComhz0NmTHJJqd&#10;DdltYv99Vyj0No/3OavN3TSip87VlhXE8wgEcWF1zaWCPPuYvYFwHlljY5kU/JCDzXo8WmGi7cAH&#10;6o++FCGEXYIKKu/bREpXVGTQzW1LHLiL7Qz6ALtS6g6HEG4a+RxFr9JgzaGhwpZ2FRW347dRMKTv&#10;ss79VzEtD5/Zy+K0ba/nvVJPkzhagvB09//iP3eqw/wYHr+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FHsVvQAA&#10;ANsAAAAPAAAAAAAAAAEAIAAAACIAAABkcnMvZG93bnJldi54bWxQSwECFAAUAAAACACHTuJAMy8F&#10;njsAAAA5AAAAEAAAAAAAAAABACAAAAAMAQAAZHJzL3NoYXBleG1sLnhtbFBLBQYAAAAABgAGAFsB&#10;AAC2Aw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CnC2Z7kAAADb&#10;AAAADwAAAGRycy9kb3ducmV2LnhtbEVPTWvDMAy9F/YfjAa7tU5bVkpWN5TAYKfBuvUubC0OjeXE&#10;9pLs38+Fwm56vE8dqtl1YqQQW88K1qsCBLH2puVGwdfn63IPIiZkg51nUvBLEarjw+KApfETf9B4&#10;To3IIRxLVGBT6kspo7bkMK58T5y5bx8cpgxDI03AKYe7Tm6KYicdtpwbLPZUW9LX849TEHSszbAd&#10;7KUe3i98wt7vts9KPT2uixcQieb0L76730yev4HbL/kAe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wtm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ZTwT/LgAAADb&#10;AAAADwAAAGRycy9kb3ducmV2LnhtbEVP32vCMBB+H/g/hBN8m6krk1GNIoXBngTdfD+SW1NsLm0S&#10;bfffm8Fgb/fx/bztfnKduFOIrWcFq2UBglh703Kj4Ovz/fkNREzIBjvPpOCHIux3s6ctVsaPfKL7&#10;OTUih3CsUIFNqa+kjNqSw7j0PXHmvn1wmDIMjTQBxxzuOvlSFGvpsOXcYLGn2pK+nm9OQdCxNkM5&#10;2Es9HC98wN6vy1elFvNVsQGRaEr/4j/3h8nzS/j9JR8gd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TwT/L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6tWLiLcAAADb&#10;AAAADwAAAGRycy9kb3ducmV2LnhtbEVPS4vCMBC+L/gfwgje1tQnUo0iBcHTgq/70IxNsZm0SXzs&#10;v98sCN7m43vOavOyjXiQD7VjBaNhBoK4dLrmSsH5tPtegAgRWWPjmBT8UoDNuve1wly7Jx/ocYyV&#10;SCEcclRgYmxzKUNpyGIYupY4cVfnLcYEfSW1x2cKt40cZ9lcWqw5NRhsqTBU3o53q8CXodDdpDOX&#10;ovu58BZbN5/MlBr0R9kSRKRX/Ijf7r1O86fw/0s6QK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1YuI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ECeDHbwAAADb&#10;AAAADwAAAGRycy9kb3ducmV2LnhtbEVPTWvCQBC9C/0PyxR60422FU1dhYptvZRiFLyO2TEbzM6G&#10;7DZJ/71bELzN433OYtXbSrTU+NKxgvEoAUGcO11yoeCw/xjOQPiArLFyTAr+yMNq+TBYYKpdxztq&#10;s1CIGMI+RQUmhDqV0ueGLPqRq4kjd3aNxRBhU0jdYBfDbSUnSTKVFkuODQZrWhvKL9mvVXDxrXk/&#10;vXx+/Tzz/HuWnTb18bxR6ulxnLyBCNSHu/jm3uo4/xX+f4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ngx2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664DE9">
                        <w:pPr>
                          <w:pStyle w:val="8"/>
                          <w:kinsoku w:val="0"/>
                          <w:overflowPunct w:val="0"/>
                          <w:spacing w:before="0"/>
                          <w:ind w:left="0"/>
                        </w:pPr>
                      </w:p>
                      <w:p w14:paraId="1A233E9A">
                        <w:pPr>
                          <w:pStyle w:val="8"/>
                          <w:kinsoku w:val="0"/>
                          <w:overflowPunct w:val="0"/>
                          <w:spacing w:before="0"/>
                          <w:ind w:left="0"/>
                        </w:pPr>
                      </w:p>
                      <w:p w14:paraId="3C5F9785">
                        <w:pPr>
                          <w:pStyle w:val="8"/>
                          <w:kinsoku w:val="0"/>
                          <w:overflowPunct w:val="0"/>
                          <w:spacing w:before="13"/>
                          <w:ind w:left="0"/>
                          <w:rPr>
                            <w:sz w:val="28"/>
                            <w:szCs w:val="28"/>
                          </w:rPr>
                        </w:pPr>
                      </w:p>
                      <w:p w14:paraId="133E5122">
                        <w:pPr>
                          <w:pStyle w:val="8"/>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616A34">
                        <w:pPr>
                          <w:pStyle w:val="8"/>
                          <w:kinsoku w:val="0"/>
                          <w:overflowPunct w:val="0"/>
                          <w:spacing w:before="0"/>
                          <w:ind w:left="0"/>
                        </w:pPr>
                      </w:p>
                      <w:p w14:paraId="0FAAF088">
                        <w:pPr>
                          <w:pStyle w:val="8"/>
                          <w:kinsoku w:val="0"/>
                          <w:overflowPunct w:val="0"/>
                          <w:spacing w:before="0"/>
                          <w:ind w:left="0"/>
                        </w:pPr>
                      </w:p>
                      <w:p w14:paraId="7BD80F06">
                        <w:pPr>
                          <w:pStyle w:val="8"/>
                          <w:kinsoku w:val="0"/>
                          <w:overflowPunct w:val="0"/>
                          <w:spacing w:before="13"/>
                          <w:ind w:left="0"/>
                          <w:rPr>
                            <w:sz w:val="28"/>
                            <w:szCs w:val="28"/>
                          </w:rPr>
                        </w:pPr>
                      </w:p>
                      <w:p w14:paraId="7F99E1A4">
                        <w:pPr>
                          <w:pStyle w:val="8"/>
                          <w:kinsoku w:val="0"/>
                          <w:overflowPunct w:val="0"/>
                          <w:spacing w:before="0"/>
                          <w:ind w:left="107"/>
                        </w:pPr>
                        <w:r>
                          <w:rPr>
                            <w:rFonts w:hint="eastAsia"/>
                          </w:rPr>
                          <w:t>法定代表人身份证复印件（反面）</w:t>
                        </w:r>
                      </w:p>
                    </w:txbxContent>
                  </v:textbox>
                </v:shape>
                <w10:wrap type="none"/>
                <w10:anchorlock/>
              </v:group>
            </w:pict>
          </mc:Fallback>
        </mc:AlternateContent>
      </w:r>
    </w:p>
    <w:p w14:paraId="74F346FF">
      <w:pPr>
        <w:pStyle w:val="8"/>
        <w:kinsoku w:val="0"/>
        <w:overflowPunct w:val="0"/>
        <w:spacing w:before="0"/>
        <w:ind w:left="0"/>
        <w:rPr>
          <w:rFonts w:hint="eastAsia" w:ascii="仿宋" w:hAnsi="仿宋" w:eastAsia="仿宋" w:cs="仿宋"/>
          <w:sz w:val="20"/>
          <w:szCs w:val="20"/>
        </w:rPr>
      </w:pPr>
    </w:p>
    <w:p w14:paraId="354952FB">
      <w:pPr>
        <w:wordWrap w:val="0"/>
        <w:spacing w:line="420" w:lineRule="exact"/>
        <w:ind w:firstLine="480" w:firstLineChars="200"/>
        <w:jc w:val="right"/>
        <w:rPr>
          <w:rFonts w:hint="eastAsia" w:ascii="仿宋" w:hAnsi="仿宋" w:eastAsia="仿宋" w:cs="仿宋"/>
          <w:kern w:val="0"/>
          <w:sz w:val="24"/>
          <w:szCs w:val="24"/>
        </w:rPr>
      </w:pPr>
    </w:p>
    <w:p w14:paraId="7D9F7FE7">
      <w:pPr>
        <w:spacing w:line="420" w:lineRule="exact"/>
        <w:ind w:firstLine="480" w:firstLineChars="200"/>
        <w:jc w:val="right"/>
        <w:rPr>
          <w:rFonts w:hint="eastAsia" w:ascii="仿宋" w:hAnsi="仿宋" w:eastAsia="仿宋" w:cs="仿宋"/>
          <w:kern w:val="0"/>
          <w:sz w:val="24"/>
          <w:szCs w:val="24"/>
        </w:rPr>
      </w:pPr>
    </w:p>
    <w:p w14:paraId="1A45B188">
      <w:pPr>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（公章）</w:t>
      </w:r>
    </w:p>
    <w:p w14:paraId="69EC8A56">
      <w:pPr>
        <w:spacing w:line="420" w:lineRule="exact"/>
        <w:ind w:firstLine="480" w:firstLineChars="20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none"/>
          <w:lang w:val="en-US" w:eastAsia="zh-CN"/>
        </w:rPr>
        <w:t>（签章）</w:t>
      </w:r>
    </w:p>
    <w:p w14:paraId="0CEC1922">
      <w:pPr>
        <w:wordWrap/>
        <w:spacing w:line="420" w:lineRule="exact"/>
        <w:ind w:right="480"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日期：</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2CAEBE16">
      <w:pPr>
        <w:pStyle w:val="8"/>
        <w:kinsoku w:val="0"/>
        <w:overflowPunct w:val="0"/>
        <w:spacing w:before="34" w:line="357" w:lineRule="auto"/>
        <w:ind w:left="0" w:leftChars="0" w:right="126" w:firstLine="0" w:firstLineChars="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授权委托书</w:t>
      </w:r>
    </w:p>
    <w:p w14:paraId="3F34EB5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72A1F02">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本授权书声明：注册于</w:t>
      </w:r>
      <w:r>
        <w:rPr>
          <w:rFonts w:hint="eastAsia" w:ascii="仿宋" w:hAnsi="仿宋" w:eastAsia="仿宋" w:cs="仿宋"/>
          <w:kern w:val="0"/>
          <w:sz w:val="24"/>
          <w:szCs w:val="24"/>
          <w:u w:val="single"/>
        </w:rPr>
        <w:t>（投标人地址）</w:t>
      </w:r>
      <w:r>
        <w:rPr>
          <w:rFonts w:hint="eastAsia" w:ascii="仿宋" w:hAnsi="仿宋" w:eastAsia="仿宋" w:cs="仿宋"/>
          <w:kern w:val="0"/>
          <w:sz w:val="24"/>
          <w:szCs w:val="24"/>
        </w:rPr>
        <w:t>的</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法定代表人（负责人）</w:t>
      </w:r>
      <w:r>
        <w:rPr>
          <w:rFonts w:hint="eastAsia" w:ascii="仿宋" w:hAnsi="仿宋" w:eastAsia="仿宋" w:cs="仿宋"/>
          <w:kern w:val="0"/>
          <w:sz w:val="24"/>
          <w:szCs w:val="24"/>
          <w:u w:val="single"/>
        </w:rPr>
        <w:t>姓名、职务或职称）</w:t>
      </w:r>
      <w:r>
        <w:rPr>
          <w:rFonts w:hint="eastAsia" w:ascii="仿宋" w:hAnsi="仿宋" w:eastAsia="仿宋" w:cs="仿宋"/>
          <w:kern w:val="0"/>
          <w:sz w:val="24"/>
          <w:szCs w:val="24"/>
        </w:rPr>
        <w:t>代表本公司授权</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为本单位的合法代理人，参与贵方组织的</w:t>
      </w:r>
      <w:r>
        <w:rPr>
          <w:rFonts w:hint="eastAsia" w:ascii="仿宋" w:hAnsi="仿宋" w:eastAsia="仿宋" w:cs="仿宋"/>
          <w:kern w:val="0"/>
          <w:sz w:val="24"/>
          <w:szCs w:val="24"/>
          <w:u w:val="single"/>
        </w:rPr>
        <w:t>（项目名称及项目编号）</w:t>
      </w:r>
      <w:r>
        <w:rPr>
          <w:rFonts w:hint="eastAsia" w:ascii="仿宋" w:hAnsi="仿宋" w:eastAsia="仿宋" w:cs="仿宋"/>
          <w:kern w:val="0"/>
          <w:sz w:val="24"/>
          <w:szCs w:val="24"/>
        </w:rPr>
        <w:t>的投标、</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、签约等具体工作，并签署全部有关文件、协议及合同。</w:t>
      </w:r>
    </w:p>
    <w:p w14:paraId="64E0B753">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14:paraId="1BF27203">
      <w:pPr>
        <w:pStyle w:val="8"/>
        <w:kinsoku w:val="0"/>
        <w:overflowPunct w:val="0"/>
        <w:spacing w:before="12"/>
        <w:ind w:left="0"/>
        <w:rPr>
          <w:rFonts w:hint="eastAsia" w:ascii="仿宋" w:hAnsi="仿宋" w:eastAsia="仿宋" w:cs="仿宋"/>
          <w:sz w:val="4"/>
          <w:szCs w:val="4"/>
        </w:rPr>
      </w:pPr>
    </w:p>
    <w:p w14:paraId="5FB9C7D5">
      <w:pPr>
        <w:pStyle w:val="8"/>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2" name="组合 2"/>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9" name="任意多边形 19"/>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9" name="文本框 29"/>
                        <wps:cNvSpPr txBox="1"/>
                        <wps:spPr>
                          <a:xfrm>
                            <a:off x="19" y="19"/>
                            <a:ext cx="4025" cy="2258"/>
                          </a:xfrm>
                          <a:prstGeom prst="rect">
                            <a:avLst/>
                          </a:prstGeom>
                          <a:noFill/>
                          <a:ln>
                            <a:noFill/>
                          </a:ln>
                        </wps:spPr>
                        <wps:txbx>
                          <w:txbxContent>
                            <w:p w14:paraId="463BF971">
                              <w:pPr>
                                <w:pStyle w:val="8"/>
                                <w:kinsoku w:val="0"/>
                                <w:overflowPunct w:val="0"/>
                                <w:spacing w:before="0"/>
                                <w:ind w:left="0"/>
                              </w:pPr>
                            </w:p>
                            <w:p w14:paraId="6E68B4CC">
                              <w:pPr>
                                <w:pStyle w:val="8"/>
                                <w:kinsoku w:val="0"/>
                                <w:overflowPunct w:val="0"/>
                                <w:spacing w:before="0"/>
                                <w:ind w:left="0"/>
                              </w:pPr>
                            </w:p>
                            <w:p w14:paraId="66F0F903">
                              <w:pPr>
                                <w:pStyle w:val="8"/>
                                <w:kinsoku w:val="0"/>
                                <w:overflowPunct w:val="0"/>
                                <w:spacing w:before="12"/>
                                <w:ind w:left="0"/>
                                <w:rPr>
                                  <w:sz w:val="28"/>
                                  <w:szCs w:val="28"/>
                                </w:rPr>
                              </w:pPr>
                            </w:p>
                            <w:p w14:paraId="190C054B">
                              <w:pPr>
                                <w:pStyle w:val="8"/>
                                <w:kinsoku w:val="0"/>
                                <w:overflowPunct w:val="0"/>
                                <w:spacing w:before="0"/>
                                <w:ind w:left="107"/>
                              </w:pPr>
                              <w:r>
                                <w:rPr>
                                  <w:rFonts w:hint="eastAsia"/>
                                </w:rPr>
                                <w:t>法定代表人身份证复印件（正面）</w:t>
                              </w:r>
                            </w:p>
                          </w:txbxContent>
                        </wps:txbx>
                        <wps:bodyPr lIns="0" tIns="0" rIns="0" bIns="0" upright="1"/>
                      </wps:wsp>
                      <wps:wsp>
                        <wps:cNvPr id="30" name="文本框 30"/>
                        <wps:cNvSpPr txBox="1"/>
                        <wps:spPr>
                          <a:xfrm>
                            <a:off x="4044" y="19"/>
                            <a:ext cx="4025" cy="2258"/>
                          </a:xfrm>
                          <a:prstGeom prst="rect">
                            <a:avLst/>
                          </a:prstGeom>
                          <a:noFill/>
                          <a:ln>
                            <a:noFill/>
                          </a:ln>
                        </wps:spPr>
                        <wps:txbx>
                          <w:txbxContent>
                            <w:p w14:paraId="171A33DA">
                              <w:pPr>
                                <w:pStyle w:val="8"/>
                                <w:kinsoku w:val="0"/>
                                <w:overflowPunct w:val="0"/>
                                <w:spacing w:before="0"/>
                                <w:ind w:left="0"/>
                              </w:pPr>
                            </w:p>
                            <w:p w14:paraId="360C76E3">
                              <w:pPr>
                                <w:pStyle w:val="8"/>
                                <w:kinsoku w:val="0"/>
                                <w:overflowPunct w:val="0"/>
                                <w:spacing w:before="0"/>
                                <w:ind w:left="0"/>
                              </w:pPr>
                            </w:p>
                            <w:p w14:paraId="5761F06A">
                              <w:pPr>
                                <w:pStyle w:val="8"/>
                                <w:kinsoku w:val="0"/>
                                <w:overflowPunct w:val="0"/>
                                <w:spacing w:before="12"/>
                                <w:ind w:left="0"/>
                                <w:rPr>
                                  <w:sz w:val="28"/>
                                  <w:szCs w:val="28"/>
                                </w:rPr>
                              </w:pPr>
                            </w:p>
                            <w:p w14:paraId="03886912">
                              <w:pPr>
                                <w:pStyle w:val="8"/>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l/l9z9YAAAAFAQAADwAAAAAAAAABACAAAAAi&#10;AAAAZHJzL2Rvd25yZXYueG1sUEsBAhQAFAAAAAgAh07iQLw7GHW4BAAAIyEAAA4AAAAAAAAAAQAg&#10;AAAAJQEAAGRycy9lMm9Eb2MueG1sUEsFBgAAAAAGAAYAWQEAAE8IAAAAAA==&#10;">
                <o:lock v:ext="edit" rotation="t" aspectratio="f"/>
                <v:shape id="_x0000_s1026" o:spid="_x0000_s1026" o:spt="100" style="position:absolute;left:4;top:9;height:20;width:8079;" filled="f" stroked="t" coordsize="8079,20" o:gfxdata="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n4tb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Xfeda7kAAADb&#10;AAAADwAAAGRycy9kb3ducmV2LnhtbEVPzYrCMBC+C75DGGFvmlRYcavRg7IgKx6s+wBDM7alzaQk&#10;Wa379OYgePz4/tfbwXbiRj40jjVkMwWCuHSm4UrD7+V7ugQRIrLBzjFpeFCA7WY8WmNu3J3PdCti&#10;JVIIhxw11DH2uZShrMlimLmeOHFX5y3GBH0ljcd7CrednCu1kBYbTg019rSrqWyLP6th7/3lJPtr&#10;8f9z3LusUu3n19Bq/THJ1ApEpCG+xS/3wWiYp/X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3nWu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Mrs48LwAAADb&#10;AAAADwAAAGRycy9kb3ducmV2LnhtbEWPQYvCMBSE7wv+h/AEb2tSwWWtRg+KIC572OoPeDTPtrR5&#10;KUnU6q83Cwt7HGbmG2a1GWwnbuRD41hDNlUgiEtnGq40nE/7908QISIb7ByThgcF2KxHbyvMjbvz&#10;D92KWIkE4ZCjhjrGPpcylDVZDFPXEyfv4rzFmKSvpPF4T3DbyZlSH9Jiw2mhxp62NZVtcbUadt6f&#10;vmV/KZ7Hr53LKtXOF0Or9WScqSWISEP8D/+1D0bDLIPfL+kHy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7OPC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pFfTl7wAAADb&#10;AAAADwAAAGRycy9kb3ducmV2LnhtbEWPT2sCMRTE7wW/Q3hCbzUxoMhq9CD2D/Wk9tDjY/N2s7h5&#10;WZJUt9++KRR6HGbmN8xmN/pe3CimLrCB+UyBIK6D7bg18HF5flqBSBnZYh+YDHxTgt128rDByoY7&#10;n+h2zq0oEE4VGnA5D5WUqXbkMc3CQFy8JkSPucjYShvxXuC+l1qppfTYcVlwONDeUX09f3kDx6bR&#10;16j0++Ll9YA4Lrr20+2NeZzO1RpEpjH/h//ab9aA1vD7pfw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X05e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vZWinr0AAADb&#10;AAAADwAAAGRycy9kb3ducmV2LnhtbEWPzWrDMBCE74W+g9hCL6WWktLiulFyCCkEcoqT3hdrY5la&#10;K0dSfp8+KgR6HGbmG2YyO7teHCnEzrOGUaFAEDfedNxq2G6+X0sQMSEb7D2ThgtFmE0fHyZYGX/i&#10;NR3r1IoM4VihBpvSUEkZG0sOY+EH4uztfHCYsgytNAFPGe56OVbqQzrsOC9YHGhuqfmtD07Ddfey&#10;fF9YXNRN+aNW5ed8j6HW+vlppL5AJDqn//C9vTQaxm/w9yX/AD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laKe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pQ8SML8AAADb&#10;AAAADwAAAGRycy9kb3ducmV2LnhtbEWPT2vCQBTE74LfYXlCL1I3iohNXYMoQg5C/Xdob4/sa5I2&#10;+zZkt0n89l1B8DjMzG+YVdKbSrTUuNKygukkAkGcWV1yruB62b8uQTiPrLGyTApu5CBZDwcrjLXt&#10;+ETt2eciQNjFqKDwvo6ldFlBBt3E1sTB+7aNQR9kk0vdYBfgppKzKFpIgyWHhQJr2haU/Z7/jIIu&#10;3cny6j+ycX46XOZvn5v65+uo1MtoGr2D8NT7Z/jRTrWC2RzuX8IPk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PEjC/&#10;AAAA2w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uyd62bsAAADb&#10;AAAADwAAAGRycy9kb3ducmV2LnhtbEWPwWrDMBBE74X+g9hCbo3smJjgRjHBUMgp0LS5L9bWMrFW&#10;tqQmzt9XhUKOw8y8Ybb1bAdxJR96xwryZQaCuHW6507B1+f76wZEiMgaB8ek4E4B6t3z0xYr7W78&#10;QddT7ESCcKhQgYlxrKQMrSGLYelG4uR9O28xJuk7qT3eEtwOcpVlpbTYc1owOFJjqL2cfqwC34ZG&#10;T8Vkzs10PPMeR1cWa6UWL3n2BiLSHB/h//ZBK1iV8Pcl/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d62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MErmProAAADb&#10;AAAADwAAAGRycy9kb3ducmV2LnhtbEVPy4rCMBTdD/gP4QruxlQdBq1GQfG1GcQquL0216bY3JQm&#10;VufvzWJglofzni1ethItNb50rGDQT0AQ506XXCg4nzafYxA+IGusHJOCX/KwmHc+Zphq9+QjtVko&#10;RAxhn6ICE0KdSulzQxZ939XEkbu5xmKIsCmkbvAZw20lh0nyLS2WHBsM1rQylN+zh1Vw961ZXr+2&#10;u8OIJz/j7LquL7e1Ur3uIJmCCPQK/+I/914rGMax8Uv8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uY+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3BF971">
                        <w:pPr>
                          <w:pStyle w:val="8"/>
                          <w:kinsoku w:val="0"/>
                          <w:overflowPunct w:val="0"/>
                          <w:spacing w:before="0"/>
                          <w:ind w:left="0"/>
                        </w:pPr>
                      </w:p>
                      <w:p w14:paraId="6E68B4CC">
                        <w:pPr>
                          <w:pStyle w:val="8"/>
                          <w:kinsoku w:val="0"/>
                          <w:overflowPunct w:val="0"/>
                          <w:spacing w:before="0"/>
                          <w:ind w:left="0"/>
                        </w:pPr>
                      </w:p>
                      <w:p w14:paraId="66F0F903">
                        <w:pPr>
                          <w:pStyle w:val="8"/>
                          <w:kinsoku w:val="0"/>
                          <w:overflowPunct w:val="0"/>
                          <w:spacing w:before="12"/>
                          <w:ind w:left="0"/>
                          <w:rPr>
                            <w:sz w:val="28"/>
                            <w:szCs w:val="28"/>
                          </w:rPr>
                        </w:pPr>
                      </w:p>
                      <w:p w14:paraId="190C054B">
                        <w:pPr>
                          <w:pStyle w:val="8"/>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71A33DA">
                        <w:pPr>
                          <w:pStyle w:val="8"/>
                          <w:kinsoku w:val="0"/>
                          <w:overflowPunct w:val="0"/>
                          <w:spacing w:before="0"/>
                          <w:ind w:left="0"/>
                        </w:pPr>
                      </w:p>
                      <w:p w14:paraId="360C76E3">
                        <w:pPr>
                          <w:pStyle w:val="8"/>
                          <w:kinsoku w:val="0"/>
                          <w:overflowPunct w:val="0"/>
                          <w:spacing w:before="0"/>
                          <w:ind w:left="0"/>
                        </w:pPr>
                      </w:p>
                      <w:p w14:paraId="5761F06A">
                        <w:pPr>
                          <w:pStyle w:val="8"/>
                          <w:kinsoku w:val="0"/>
                          <w:overflowPunct w:val="0"/>
                          <w:spacing w:before="12"/>
                          <w:ind w:left="0"/>
                          <w:rPr>
                            <w:sz w:val="28"/>
                            <w:szCs w:val="28"/>
                          </w:rPr>
                        </w:pPr>
                      </w:p>
                      <w:p w14:paraId="03886912">
                        <w:pPr>
                          <w:pStyle w:val="8"/>
                          <w:kinsoku w:val="0"/>
                          <w:overflowPunct w:val="0"/>
                          <w:spacing w:before="0"/>
                          <w:ind w:left="107"/>
                        </w:pPr>
                        <w:r>
                          <w:rPr>
                            <w:rFonts w:hint="eastAsia"/>
                          </w:rPr>
                          <w:t>法定代表人身份证复印件（反面）</w:t>
                        </w:r>
                      </w:p>
                    </w:txbxContent>
                  </v:textbox>
                </v:shape>
                <w10:wrap type="none"/>
                <w10:anchorlock/>
              </v:group>
            </w:pict>
          </mc:Fallback>
        </mc:AlternateContent>
      </w:r>
    </w:p>
    <w:p w14:paraId="37DDC45F">
      <w:pPr>
        <w:pStyle w:val="8"/>
        <w:kinsoku w:val="0"/>
        <w:overflowPunct w:val="0"/>
        <w:spacing w:before="0"/>
        <w:ind w:left="0"/>
        <w:rPr>
          <w:rFonts w:hint="eastAsia" w:ascii="仿宋" w:hAnsi="仿宋" w:eastAsia="仿宋" w:cs="仿宋"/>
          <w:sz w:val="20"/>
          <w:szCs w:val="20"/>
        </w:rPr>
      </w:pPr>
    </w:p>
    <w:p w14:paraId="6B2CB230">
      <w:pPr>
        <w:pStyle w:val="8"/>
        <w:kinsoku w:val="0"/>
        <w:overflowPunct w:val="0"/>
        <w:spacing w:before="1"/>
        <w:ind w:left="0"/>
        <w:rPr>
          <w:rFonts w:hint="eastAsia" w:ascii="仿宋" w:hAnsi="仿宋" w:eastAsia="仿宋" w:cs="仿宋"/>
          <w:sz w:val="19"/>
          <w:szCs w:val="19"/>
        </w:rPr>
      </w:pPr>
    </w:p>
    <w:p w14:paraId="100DA2E5">
      <w:pPr>
        <w:pStyle w:val="8"/>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384935"/>
                <wp:effectExtent l="0" t="0" r="7620" b="6985"/>
                <wp:docPr id="3" name="组合 3"/>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2" name="任意多边形 32"/>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4" name="任意多边形 34"/>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5" name="任意多边形 35"/>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6" name="任意多边形 36"/>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37" name="任意多边形 37"/>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2" name="文本框 42"/>
                        <wps:cNvSpPr txBox="1"/>
                        <wps:spPr>
                          <a:xfrm>
                            <a:off x="19" y="19"/>
                            <a:ext cx="4025" cy="2142"/>
                          </a:xfrm>
                          <a:prstGeom prst="rect">
                            <a:avLst/>
                          </a:prstGeom>
                          <a:noFill/>
                          <a:ln>
                            <a:noFill/>
                          </a:ln>
                        </wps:spPr>
                        <wps:txbx>
                          <w:txbxContent>
                            <w:p w14:paraId="06CC65EA">
                              <w:pPr>
                                <w:pStyle w:val="8"/>
                                <w:kinsoku w:val="0"/>
                                <w:overflowPunct w:val="0"/>
                                <w:spacing w:before="0"/>
                                <w:ind w:left="0"/>
                              </w:pPr>
                            </w:p>
                            <w:p w14:paraId="63AFBA99">
                              <w:pPr>
                                <w:pStyle w:val="8"/>
                                <w:kinsoku w:val="0"/>
                                <w:overflowPunct w:val="0"/>
                                <w:spacing w:before="0"/>
                                <w:ind w:left="0"/>
                              </w:pPr>
                            </w:p>
                            <w:p w14:paraId="30AC731E">
                              <w:pPr>
                                <w:pStyle w:val="8"/>
                                <w:kinsoku w:val="0"/>
                                <w:overflowPunct w:val="0"/>
                                <w:spacing w:before="7"/>
                                <w:ind w:left="0"/>
                              </w:pPr>
                            </w:p>
                            <w:p w14:paraId="297207C1">
                              <w:pPr>
                                <w:pStyle w:val="8"/>
                                <w:kinsoku w:val="0"/>
                                <w:overflowPunct w:val="0"/>
                                <w:spacing w:before="0"/>
                                <w:ind w:left="107"/>
                              </w:pPr>
                              <w:r>
                                <w:rPr>
                                  <w:rFonts w:hint="eastAsia"/>
                                </w:rPr>
                                <w:t>被授权代表身份证复印件（正面）</w:t>
                              </w:r>
                            </w:p>
                          </w:txbxContent>
                        </wps:txbx>
                        <wps:bodyPr lIns="0" tIns="0" rIns="0" bIns="0" upright="1"/>
                      </wps:wsp>
                      <wps:wsp>
                        <wps:cNvPr id="43" name="文本框 43"/>
                        <wps:cNvSpPr txBox="1"/>
                        <wps:spPr>
                          <a:xfrm>
                            <a:off x="4044" y="19"/>
                            <a:ext cx="4025" cy="2142"/>
                          </a:xfrm>
                          <a:prstGeom prst="rect">
                            <a:avLst/>
                          </a:prstGeom>
                          <a:noFill/>
                          <a:ln>
                            <a:noFill/>
                          </a:ln>
                        </wps:spPr>
                        <wps:txbx>
                          <w:txbxContent>
                            <w:p w14:paraId="3FBFE478">
                              <w:pPr>
                                <w:pStyle w:val="8"/>
                                <w:kinsoku w:val="0"/>
                                <w:overflowPunct w:val="0"/>
                                <w:spacing w:before="0"/>
                                <w:ind w:left="0"/>
                              </w:pPr>
                            </w:p>
                            <w:p w14:paraId="43237856">
                              <w:pPr>
                                <w:pStyle w:val="8"/>
                                <w:kinsoku w:val="0"/>
                                <w:overflowPunct w:val="0"/>
                                <w:spacing w:before="0"/>
                                <w:ind w:left="0"/>
                              </w:pPr>
                            </w:p>
                            <w:p w14:paraId="0602ED7B">
                              <w:pPr>
                                <w:pStyle w:val="8"/>
                                <w:kinsoku w:val="0"/>
                                <w:overflowPunct w:val="0"/>
                                <w:spacing w:before="7"/>
                                <w:ind w:left="0"/>
                              </w:pPr>
                            </w:p>
                            <w:p w14:paraId="50C35CFB">
                              <w:pPr>
                                <w:pStyle w:val="8"/>
                                <w:kinsoku w:val="0"/>
                                <w:overflowPunct w:val="0"/>
                                <w:spacing w:before="0"/>
                                <w:ind w:left="107"/>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AhS9hM1gAAAAUBAAAPAAAAAAAAAAEAIAAAACIAAABkcnMv&#10;ZG93bnJldi54bWxQSwECFAAUAAAACACHTuJAColHtLEEAAAjIQAADgAAAAAAAAABACAAAAAlAQAA&#10;ZHJzL2Uyb0RvYy54bWxQSwUGAAAAAAYABgBZAQAASAgAAAAA&#10;">
                <o:lock v:ext="edit" rotation="t" aspectratio="f"/>
                <v:shape id="_x0000_s1026" o:spid="_x0000_s1026" o:spt="100" style="position:absolute;left:4;top:9;height:20;width:8079;" filled="f" stroked="t" coordsize="8079,20" o:gfxdata="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ORUq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KPyVwb0AAADb&#10;AAAADwAAAGRycy9kb3ducmV2LnhtbEWPQWsCMRSE7wX/Q3iCt5qs0qKr0YMiSEsPXf0Bj81zd9nN&#10;y5JEXf31TaHQ4zAz3zDr7WA7cSMfGscasqkCQVw603Cl4Xw6vC5AhIhssHNMGh4UYLsZvawxN+7O&#10;33QrYiUShEOOGuoY+1zKUNZkMUxdT5y8i/MWY5K+ksbjPcFtJ2dKvUuLDaeFGnva1VS2xdVq2Ht/&#10;+pL9pXh+fO5dVqn2bTm0Wk/GmVqBiDTE//Bf+2g0zO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XB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pxUNtb0AAADb&#10;AAAADwAAAGRycy9kb3ducmV2LnhtbEWPQWsCMRSE7wX/Q3hCbzVZ24quRg+KUFp6cPUHPDbP3WU3&#10;L0sSddtf3xQEj8PMfMOsNoPtxJV8aBxryCYKBHHpTMOVhtNx/zIHESKywc4xafihAJv16GmFuXE3&#10;PtC1iJVIEA45aqhj7HMpQ1mTxTBxPXHyzs5bjEn6ShqPtwS3nZwqNZMWG04LNfa0ralsi4vVsPP+&#10;+C37c/H7+bVzWaXa98XQav08ztQSRKQhPsL39ofR8PoG/1/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Q21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rmfdPr0AAADb&#10;AAAADwAAAGRycy9kb3ducmV2LnhtbEWPQWsCMRSE74X+h/AEbzVxZaWsRg9S21JP2h56fGzebhY3&#10;L0sSdfvvm0LB4zAz3zDr7eh6caUQO88a5jMFgrj2puNWw9fn/ukZREzIBnvPpOGHImw3jw9rrIy/&#10;8ZGup9SKDOFYoQab0lBJGWtLDuPMD8TZa3xwmLIMrTQBbxnuelkotZQOO84LFgfaWarPp4vTcGia&#10;4hxU8VG+vr0gjmXXftud1tPJXK1AJBrTPfzffjcaFiX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90+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l4UzRroAAADb&#10;AAAADwAAAGRycy9kb3ducmV2LnhtbEWPQYvCMBSE7wv+h/AEb9tUBVmraVFZwdOCVTw/m2dbbF5K&#10;k7X135sFYY/DzHzDrLPBNOJBnastK5hGMQjiwuqaSwXn0/7zC4TzyBoby6TgSQ6ydPSxxkTbno/0&#10;yH0pAoRdggoq79tESldUZNBFtiUO3s12Bn2QXSl1h32Am0bO4nghDdYcFipsaVdRcc9/jYK9pVu/&#10;7a+UG/75tpuLfu6GpVKT8TRegfA0+P/wu33QCuYL+PsSfoB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hTNGugAAANs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FaVDWb4AAADb&#10;AAAADwAAAGRycy9kb3ducmV2LnhtbEWPT4vCMBTE7wt+h/AEb2uqLirVKCK4eFgE47LU26N5tsXm&#10;pTRZ/316IyzscZiZ3zDz5c3W4kKtrxwrGPQTEMS5MxUXCr4Pm/cpCB+QDdaOScGdPCwXnbc5psZd&#10;eU8XHQoRIexTVFCG0KRS+rwki77vGuLonVxrMUTZFtK0eI1wW8thkoylxYrjQokNrUvKz/rXKngc&#10;hrufTNNEf7nsqD9XWfHYfSjV6w6SGYhAt/Af/mtvjYLRBF5f4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VDWb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kJf8uLkAAADb&#10;AAAADwAAAGRycy9kb3ducmV2LnhtbEVPS2sCMRC+C/0PYQreNKsFtVujVMuKJ1Fbeh42083Szcyy&#10;ia9/bw6Cx4/vPV9efaPO1IVa2MBomIEiLsXWXBn4+S4GM1AhIltshMnAjQIsFy+9OeZWLnyg8zFW&#10;KoVwyNGAi7HNtQ6lI49hKC1x4v6k8xgT7CptO7ykcN/ocZZNtMeaU4PDltaOyv/jyRuQ3XY/ncjm&#10;61fce8CVL2bxszCm/zrKPkBFusan+OHeWgNvaWz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X/Li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9tZI7wAAADb&#10;AAAADwAAAGRycy9kb3ducmV2LnhtbEWPQWvCQBSE7wX/w/KE3upGCzZGV1FLiqeitnh+ZF+zodn3&#10;Qnar9t+7QqHHYWa+YRarq2/VmfrQCBsYjzJQxJXYhmsDnx/lUw4qRGSLrTAZ+KUAq+XgYYGFlQsf&#10;6HyMtUoQDgUacDF2hdahcuQxjKQjTt6X9B5jkn2tbY+XBPetnmTZVHtsOC047GjrqPo+/ngD8r7b&#10;v0zl7fUkbhZw48s8rktjHofjbA4q0jX+h//aO2vgeQb3L+k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WSO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NueDw7kAAADb&#10;AAAADwAAAGRycy9kb3ducmV2LnhtbEVPS2sCMRC+C/0PYQreNKsUtVujVMuKJ1Fbeh42083Szcyy&#10;ia9/bw6Cx4/vPV9efaPO1IVa2MBomIEiLsXWXBn4+S4GM1AhIltshMnAjQIsFy+9OeZWLnyg8zFW&#10;KoVwyNGAi7HNtQ6lI49hKC1x4v6k8xgT7CptO7ykcN/ocZZNtMeaU4PDltaOyv/jyRuQ3XY/ncjm&#10;61fce8CVL2bxszCm/zrKPkBFusan+OHeWgNvaX3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ng8O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OZv1R7cAAADb&#10;AAAADwAAAGRycy9kb3ducmV2LnhtbEWPzQrCMBCE74LvEFbwpmn9Q6rRgyCKJ60+wNqsbbHZlCZW&#10;fXsjCB6HmfmGWa5fphItNa60rCAeRiCIM6tLzhVcztvBHITzyBory6TgTQ7Wq25niYm2Tz5Rm/pc&#10;BAi7BBUU3teJlC4ryKAb2po4eDfbGPRBNrnUDT4D3FRyFEUzabDksFBgTZuCsnv6MArmmzHi9P6g&#10;3fFwwuP+WhpsU6X6vThagPD08v/wr73XCiYxfL+EHyB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m/VH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6CC65EA">
                        <w:pPr>
                          <w:pStyle w:val="8"/>
                          <w:kinsoku w:val="0"/>
                          <w:overflowPunct w:val="0"/>
                          <w:spacing w:before="0"/>
                          <w:ind w:left="0"/>
                        </w:pPr>
                      </w:p>
                      <w:p w14:paraId="63AFBA99">
                        <w:pPr>
                          <w:pStyle w:val="8"/>
                          <w:kinsoku w:val="0"/>
                          <w:overflowPunct w:val="0"/>
                          <w:spacing w:before="0"/>
                          <w:ind w:left="0"/>
                        </w:pPr>
                      </w:p>
                      <w:p w14:paraId="30AC731E">
                        <w:pPr>
                          <w:pStyle w:val="8"/>
                          <w:kinsoku w:val="0"/>
                          <w:overflowPunct w:val="0"/>
                          <w:spacing w:before="7"/>
                          <w:ind w:left="0"/>
                        </w:pPr>
                      </w:p>
                      <w:p w14:paraId="297207C1">
                        <w:pPr>
                          <w:pStyle w:val="8"/>
                          <w:kinsoku w:val="0"/>
                          <w:overflowPunct w:val="0"/>
                          <w:spacing w:before="0"/>
                          <w:ind w:left="107"/>
                        </w:pPr>
                        <w:r>
                          <w:rPr>
                            <w:rFonts w:hint="eastAsia"/>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FBFE478">
                        <w:pPr>
                          <w:pStyle w:val="8"/>
                          <w:kinsoku w:val="0"/>
                          <w:overflowPunct w:val="0"/>
                          <w:spacing w:before="0"/>
                          <w:ind w:left="0"/>
                        </w:pPr>
                      </w:p>
                      <w:p w14:paraId="43237856">
                        <w:pPr>
                          <w:pStyle w:val="8"/>
                          <w:kinsoku w:val="0"/>
                          <w:overflowPunct w:val="0"/>
                          <w:spacing w:before="0"/>
                          <w:ind w:left="0"/>
                        </w:pPr>
                      </w:p>
                      <w:p w14:paraId="0602ED7B">
                        <w:pPr>
                          <w:pStyle w:val="8"/>
                          <w:kinsoku w:val="0"/>
                          <w:overflowPunct w:val="0"/>
                          <w:spacing w:before="7"/>
                          <w:ind w:left="0"/>
                        </w:pPr>
                      </w:p>
                      <w:p w14:paraId="50C35CFB">
                        <w:pPr>
                          <w:pStyle w:val="8"/>
                          <w:kinsoku w:val="0"/>
                          <w:overflowPunct w:val="0"/>
                          <w:spacing w:before="0"/>
                          <w:ind w:left="107"/>
                        </w:pPr>
                        <w:r>
                          <w:rPr>
                            <w:rFonts w:hint="eastAsia"/>
                          </w:rPr>
                          <w:t>被授权代表身份证复印件（反面）</w:t>
                        </w:r>
                      </w:p>
                    </w:txbxContent>
                  </v:textbox>
                </v:shape>
                <w10:wrap type="none"/>
                <w10:anchorlock/>
              </v:group>
            </w:pict>
          </mc:Fallback>
        </mc:AlternateContent>
      </w:r>
    </w:p>
    <w:p w14:paraId="64212ACA">
      <w:pPr>
        <w:pStyle w:val="8"/>
        <w:kinsoku w:val="0"/>
        <w:overflowPunct w:val="0"/>
        <w:spacing w:before="0"/>
        <w:ind w:left="0"/>
        <w:rPr>
          <w:rFonts w:hint="eastAsia" w:ascii="仿宋" w:hAnsi="仿宋" w:eastAsia="仿宋" w:cs="仿宋"/>
          <w:sz w:val="20"/>
          <w:szCs w:val="20"/>
        </w:rPr>
      </w:pPr>
    </w:p>
    <w:p w14:paraId="2E63DB6A">
      <w:pPr>
        <w:pStyle w:val="8"/>
        <w:kinsoku w:val="0"/>
        <w:overflowPunct w:val="0"/>
        <w:spacing w:before="7"/>
        <w:ind w:left="0"/>
        <w:rPr>
          <w:rFonts w:hint="eastAsia" w:ascii="仿宋" w:hAnsi="仿宋" w:eastAsia="仿宋" w:cs="仿宋"/>
          <w:sz w:val="20"/>
          <w:szCs w:val="20"/>
        </w:rPr>
      </w:pPr>
    </w:p>
    <w:p w14:paraId="53AB58AF">
      <w:pPr>
        <w:pStyle w:val="8"/>
        <w:tabs>
          <w:tab w:val="left" w:pos="5295"/>
        </w:tabs>
        <w:kinsoku w:val="0"/>
        <w:overflowPunct w:val="0"/>
        <w:spacing w:before="26"/>
        <w:ind w:left="618"/>
        <w:rPr>
          <w:rFonts w:hint="eastAsia" w:ascii="仿宋" w:hAnsi="仿宋" w:eastAsia="仿宋" w:cs="仿宋"/>
        </w:rPr>
      </w:pPr>
      <w:r>
        <w:rPr>
          <w:rFonts w:hint="eastAsia" w:ascii="仿宋" w:hAnsi="仿宋" w:eastAsia="仿宋" w:cs="仿宋"/>
        </w:rPr>
        <w:t>被授权代表（签字）：</w:t>
      </w:r>
      <w:r>
        <w:rPr>
          <w:rFonts w:hint="eastAsia" w:ascii="仿宋" w:hAnsi="仿宋" w:eastAsia="仿宋" w:cs="仿宋"/>
        </w:rPr>
        <w:tab/>
      </w:r>
      <w:r>
        <w:rPr>
          <w:rFonts w:hint="eastAsia" w:ascii="仿宋" w:hAnsi="仿宋" w:eastAsia="仿宋" w:cs="仿宋"/>
        </w:rPr>
        <w:t>供应商法定代表人（签字）：</w:t>
      </w:r>
    </w:p>
    <w:p w14:paraId="37E20F63">
      <w:pPr>
        <w:pStyle w:val="8"/>
        <w:tabs>
          <w:tab w:val="left" w:pos="1098"/>
          <w:tab w:val="left" w:pos="5298"/>
          <w:tab w:val="left" w:pos="5778"/>
        </w:tabs>
        <w:kinsoku w:val="0"/>
        <w:overflowPunct w:val="0"/>
        <w:spacing w:before="86"/>
        <w:ind w:left="618"/>
        <w:rPr>
          <w:rFonts w:hint="eastAsia" w:ascii="仿宋" w:hAnsi="仿宋" w:eastAsia="仿宋" w:cs="仿宋"/>
        </w:rPr>
      </w:pP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r>
        <w:rPr>
          <w:rFonts w:hint="eastAsia" w:ascii="仿宋" w:hAnsi="仿宋" w:eastAsia="仿宋" w:cs="仿宋"/>
        </w:rPr>
        <w:tab/>
      </w: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p>
    <w:p w14:paraId="29790D29">
      <w:pPr>
        <w:pStyle w:val="8"/>
        <w:tabs>
          <w:tab w:val="left" w:pos="1098"/>
          <w:tab w:val="left" w:pos="5298"/>
          <w:tab w:val="left" w:pos="5778"/>
        </w:tabs>
        <w:kinsoku w:val="0"/>
        <w:overflowPunct w:val="0"/>
        <w:spacing w:before="84"/>
        <w:ind w:left="618"/>
        <w:rPr>
          <w:rFonts w:hint="eastAsia" w:ascii="仿宋" w:hAnsi="仿宋" w:eastAsia="仿宋" w:cs="仿宋"/>
        </w:rPr>
      </w:pP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r>
        <w:rPr>
          <w:rFonts w:hint="eastAsia" w:ascii="仿宋" w:hAnsi="仿宋" w:eastAsia="仿宋" w:cs="仿宋"/>
        </w:rPr>
        <w:tab/>
      </w: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p>
    <w:p w14:paraId="58B27A53">
      <w:pPr>
        <w:pStyle w:val="8"/>
        <w:tabs>
          <w:tab w:val="left" w:pos="5631"/>
          <w:tab w:val="left" w:pos="6591"/>
          <w:tab w:val="left" w:pos="7191"/>
          <w:tab w:val="left" w:pos="7791"/>
          <w:tab w:val="left" w:pos="8247"/>
        </w:tabs>
        <w:kinsoku w:val="0"/>
        <w:overflowPunct w:val="0"/>
        <w:spacing w:before="166" w:line="383" w:lineRule="auto"/>
        <w:ind w:left="4912" w:right="238" w:hanging="384"/>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（盖章）</w:t>
      </w:r>
    </w:p>
    <w:p w14:paraId="118327A5">
      <w:pPr>
        <w:spacing w:line="360" w:lineRule="auto"/>
        <w:jc w:val="center"/>
        <w:rPr>
          <w:rFonts w:hint="eastAsia" w:ascii="仿宋" w:hAnsi="仿宋" w:eastAsia="仿宋" w:cs="仿宋"/>
          <w:sz w:val="21"/>
          <w:szCs w:val="21"/>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rPr>
        <w:t xml:space="preserve">                </w:t>
      </w:r>
    </w:p>
    <w:p w14:paraId="1CC3A23D">
      <w:pPr>
        <w:pStyle w:val="51"/>
        <w:outlineLvl w:val="1"/>
        <w:rPr>
          <w:rFonts w:hint="eastAsia" w:ascii="仿宋" w:hAnsi="仿宋" w:eastAsia="仿宋" w:cs="仿宋"/>
          <w:sz w:val="24"/>
          <w:szCs w:val="24"/>
        </w:rPr>
      </w:pPr>
      <w:bookmarkStart w:id="41" w:name="_Toc76680626"/>
      <w:bookmarkStart w:id="42" w:name="_Toc89860144"/>
      <w:bookmarkStart w:id="43" w:name="_Toc76665147"/>
      <w:bookmarkStart w:id="44" w:name="_Toc24210"/>
      <w:bookmarkStart w:id="45" w:name="_Toc76479621"/>
      <w:r>
        <w:rPr>
          <w:rFonts w:hint="eastAsia" w:ascii="仿宋" w:hAnsi="仿宋" w:eastAsia="仿宋" w:cs="仿宋"/>
          <w:sz w:val="24"/>
          <w:szCs w:val="24"/>
        </w:rPr>
        <w:br w:type="page"/>
      </w:r>
      <w:r>
        <w:rPr>
          <w:rFonts w:hint="eastAsia" w:ascii="仿宋" w:hAnsi="仿宋" w:eastAsia="仿宋" w:cs="仿宋"/>
          <w:lang w:val="en-US" w:eastAsia="zh-CN"/>
        </w:rPr>
        <w:t>3.</w:t>
      </w:r>
      <w:bookmarkEnd w:id="41"/>
      <w:bookmarkEnd w:id="42"/>
      <w:bookmarkEnd w:id="43"/>
      <w:bookmarkEnd w:id="44"/>
      <w:bookmarkEnd w:id="45"/>
      <w:bookmarkStart w:id="46" w:name="_Toc76680627"/>
      <w:bookmarkStart w:id="47" w:name="_Toc76665148"/>
      <w:bookmarkStart w:id="48" w:name="_Toc76479622"/>
      <w:bookmarkStart w:id="49" w:name="_Toc12166"/>
      <w:bookmarkStart w:id="50" w:name="_Toc89860145"/>
      <w:r>
        <w:rPr>
          <w:rFonts w:hint="eastAsia" w:ascii="仿宋" w:hAnsi="仿宋" w:eastAsia="仿宋" w:cs="仿宋"/>
          <w:lang w:val="en-US" w:eastAsia="zh-CN"/>
        </w:rPr>
        <w:t>无重大违法记录</w:t>
      </w:r>
      <w:bookmarkEnd w:id="46"/>
      <w:bookmarkEnd w:id="47"/>
      <w:bookmarkEnd w:id="48"/>
      <w:bookmarkEnd w:id="49"/>
      <w:bookmarkEnd w:id="50"/>
      <w:r>
        <w:rPr>
          <w:rFonts w:hint="eastAsia" w:ascii="仿宋" w:hAnsi="仿宋" w:eastAsia="仿宋" w:cs="仿宋"/>
          <w:lang w:val="en-US" w:eastAsia="zh-CN"/>
        </w:rPr>
        <w:t>声明书</w:t>
      </w:r>
      <w:r>
        <w:rPr>
          <w:rFonts w:hint="eastAsia" w:ascii="仿宋" w:hAnsi="仿宋" w:eastAsia="仿宋" w:cs="仿宋"/>
        </w:rPr>
        <w:t>格式</w:t>
      </w:r>
      <w:r>
        <w:rPr>
          <w:rFonts w:hint="eastAsia" w:ascii="仿宋" w:hAnsi="仿宋" w:eastAsia="仿宋" w:cs="仿宋"/>
          <w:lang w:val="en-US" w:eastAsia="zh-CN"/>
        </w:rPr>
        <w:t>：</w:t>
      </w:r>
    </w:p>
    <w:p w14:paraId="3BCBC455">
      <w:pPr>
        <w:pStyle w:val="42"/>
        <w:spacing w:line="360" w:lineRule="auto"/>
        <w:outlineLvl w:val="9"/>
        <w:rPr>
          <w:rFonts w:hint="eastAsia" w:ascii="仿宋" w:hAnsi="仿宋" w:eastAsia="仿宋" w:cs="仿宋"/>
          <w:sz w:val="24"/>
          <w:szCs w:val="24"/>
        </w:rPr>
      </w:pPr>
      <w:bookmarkStart w:id="51" w:name="_Toc88084516"/>
      <w:bookmarkStart w:id="52" w:name="_Toc12478"/>
      <w:bookmarkStart w:id="53" w:name="_Toc89860146"/>
      <w:bookmarkStart w:id="54" w:name="_Toc13721"/>
      <w:bookmarkStart w:id="55" w:name="_Toc76479623"/>
      <w:bookmarkStart w:id="56" w:name="_Toc88084426"/>
      <w:bookmarkStart w:id="57" w:name="_Toc76665149"/>
      <w:bookmarkStart w:id="58" w:name="_Toc76680628"/>
    </w:p>
    <w:bookmarkEnd w:id="51"/>
    <w:bookmarkEnd w:id="52"/>
    <w:bookmarkEnd w:id="53"/>
    <w:bookmarkEnd w:id="54"/>
    <w:bookmarkEnd w:id="55"/>
    <w:bookmarkEnd w:id="56"/>
    <w:bookmarkEnd w:id="57"/>
    <w:bookmarkEnd w:id="58"/>
    <w:p w14:paraId="6A82E58C">
      <w:pPr>
        <w:pStyle w:val="42"/>
        <w:spacing w:line="360" w:lineRule="auto"/>
        <w:outlineLvl w:val="9"/>
        <w:rPr>
          <w:rFonts w:hint="eastAsia" w:ascii="仿宋" w:hAnsi="仿宋" w:eastAsia="仿宋" w:cs="仿宋"/>
          <w:sz w:val="24"/>
          <w:szCs w:val="24"/>
        </w:rPr>
      </w:pPr>
    </w:p>
    <w:p w14:paraId="56FBE23E">
      <w:pPr>
        <w:widowControl/>
        <w:adjustRightInd w:val="0"/>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无重大违法记录声明书</w:t>
      </w:r>
    </w:p>
    <w:p w14:paraId="406C899E">
      <w:pPr>
        <w:widowControl/>
        <w:adjustRightInd w:val="0"/>
        <w:snapToGrid w:val="0"/>
        <w:spacing w:line="360" w:lineRule="auto"/>
        <w:ind w:firstLine="480" w:firstLineChars="200"/>
        <w:rPr>
          <w:rFonts w:hint="eastAsia" w:ascii="仿宋" w:hAnsi="仿宋" w:eastAsia="仿宋" w:cs="仿宋"/>
          <w:sz w:val="24"/>
          <w:szCs w:val="24"/>
        </w:rPr>
      </w:pPr>
    </w:p>
    <w:p w14:paraId="5CAAF61F">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已认真阅读</w:t>
      </w:r>
      <w:r>
        <w:rPr>
          <w:rFonts w:hint="eastAsia" w:ascii="仿宋" w:hAnsi="仿宋" w:eastAsia="仿宋" w:cs="仿宋"/>
          <w:kern w:val="0"/>
          <w:sz w:val="24"/>
          <w:szCs w:val="24"/>
        </w:rPr>
        <w:t>《中华人民共和国政府采购法》、《中华人民共和国政府采购法实施条例》及</w:t>
      </w:r>
      <w:r>
        <w:rPr>
          <w:rFonts w:hint="eastAsia" w:ascii="仿宋" w:hAnsi="仿宋" w:eastAsia="仿宋" w:cs="仿宋"/>
          <w:sz w:val="24"/>
          <w:szCs w:val="24"/>
          <w:lang w:eastAsia="zh-CN"/>
        </w:rPr>
        <w:t>招标</w:t>
      </w:r>
      <w:r>
        <w:rPr>
          <w:rFonts w:hint="eastAsia" w:ascii="仿宋" w:hAnsi="仿宋" w:eastAsia="仿宋" w:cs="仿宋"/>
          <w:kern w:val="0"/>
          <w:sz w:val="24"/>
          <w:szCs w:val="24"/>
        </w:rPr>
        <w:t>文件（项目名称：</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z w:val="24"/>
          <w:szCs w:val="24"/>
        </w:rPr>
        <w:t>相关内容，知悉供应商参加政府采购活动应当具备的条件。此次按</w:t>
      </w:r>
      <w:r>
        <w:rPr>
          <w:rFonts w:hint="eastAsia" w:ascii="仿宋" w:hAnsi="仿宋" w:eastAsia="仿宋" w:cs="仿宋"/>
          <w:sz w:val="24"/>
          <w:szCs w:val="24"/>
          <w:lang w:eastAsia="zh-CN"/>
        </w:rPr>
        <w:t>招标</w:t>
      </w:r>
      <w:r>
        <w:rPr>
          <w:rFonts w:hint="eastAsia" w:ascii="仿宋" w:hAnsi="仿宋" w:eastAsia="仿宋" w:cs="仿宋"/>
          <w:sz w:val="24"/>
          <w:szCs w:val="24"/>
        </w:rPr>
        <w:t>文件要求提交的供应商资格证明材料，已经认真核对和检查，全部内容真实、合法、准确和完整，我们对此负责，并愿承担由此引起的法律责任。</w:t>
      </w:r>
    </w:p>
    <w:p w14:paraId="111320D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一、我方在此声明： </w:t>
      </w:r>
    </w:p>
    <w:p w14:paraId="71A65C1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（一）我方与采购人或代理机构不存在</w:t>
      </w:r>
      <w:r>
        <w:rPr>
          <w:rFonts w:hint="eastAsia" w:ascii="仿宋" w:hAnsi="仿宋" w:eastAsia="仿宋" w:cs="仿宋"/>
          <w:bCs/>
          <w:sz w:val="24"/>
          <w:szCs w:val="24"/>
        </w:rPr>
        <w:t>隶属关系或者其他利害关系</w:t>
      </w:r>
      <w:r>
        <w:rPr>
          <w:rFonts w:hint="eastAsia" w:ascii="仿宋" w:hAnsi="仿宋" w:eastAsia="仿宋" w:cs="仿宋"/>
          <w:sz w:val="24"/>
          <w:szCs w:val="24"/>
        </w:rPr>
        <w:t>。</w:t>
      </w:r>
    </w:p>
    <w:p w14:paraId="3BB4FCA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（二）我方与参加本项目的其他供应商不存在控股、关联关系，或者与其他供应商法定代表人（或者负责人）为同一人。</w:t>
      </w:r>
    </w:p>
    <w:p w14:paraId="338E5CF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（三）我方未为本项目前期准备提供设计或技术服务。</w:t>
      </w:r>
    </w:p>
    <w:p w14:paraId="10A5095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二、我方承诺</w:t>
      </w:r>
    </w:p>
    <w:p w14:paraId="53C51FC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参加政府采购近三年内：</w:t>
      </w:r>
    </w:p>
    <w:p w14:paraId="415B92EE">
      <w:pPr>
        <w:adjustRightInd w:val="0"/>
        <w:snapToGrid w:val="0"/>
        <w:spacing w:line="360" w:lineRule="auto"/>
        <w:ind w:left="1" w:firstLine="480" w:firstLineChars="200"/>
        <w:rPr>
          <w:rFonts w:hint="eastAsia" w:ascii="仿宋" w:hAnsi="仿宋" w:eastAsia="仿宋" w:cs="仿宋"/>
          <w:sz w:val="24"/>
          <w:szCs w:val="24"/>
        </w:rPr>
      </w:pPr>
      <w:r>
        <w:rPr>
          <w:rFonts w:hint="eastAsia" w:ascii="仿宋" w:hAnsi="仿宋" w:eastAsia="仿宋" w:cs="仿宋"/>
          <w:bCs/>
          <w:sz w:val="24"/>
          <w:szCs w:val="24"/>
        </w:rPr>
        <w:t>（一）我方</w:t>
      </w:r>
      <w:r>
        <w:rPr>
          <w:rFonts w:hint="eastAsia" w:ascii="仿宋" w:hAnsi="仿宋" w:eastAsia="仿宋" w:cs="仿宋"/>
          <w:sz w:val="24"/>
          <w:szCs w:val="24"/>
        </w:rPr>
        <w:t>依法缴纳了各项税费及各项社会保障资金，没有偷税、漏税及欠缴行为。</w:t>
      </w:r>
    </w:p>
    <w:p w14:paraId="3B2AE384">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（二）我方在经营活动中没有存在下列重大违法记录：</w:t>
      </w:r>
    </w:p>
    <w:p w14:paraId="7146B1CB">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1、受到刑事处罚；</w:t>
      </w:r>
    </w:p>
    <w:p w14:paraId="23137F45">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2、受到三万元以上的罚款、责令停产停业、在一至三年内禁止参加政府采购活动、暂扣或者吊销许可证、暂扣或者吊销执照的行政处罚。</w:t>
      </w:r>
    </w:p>
    <w:p w14:paraId="01F9E0A9">
      <w:pPr>
        <w:spacing w:line="360" w:lineRule="auto"/>
        <w:rPr>
          <w:rFonts w:hint="eastAsia" w:ascii="仿宋" w:hAnsi="仿宋" w:eastAsia="仿宋" w:cs="仿宋"/>
          <w:sz w:val="24"/>
          <w:szCs w:val="24"/>
        </w:rPr>
      </w:pPr>
    </w:p>
    <w:p w14:paraId="218B2997">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bookmarkStart w:id="59" w:name="_Toc13068"/>
      <w:bookmarkStart w:id="60" w:name="_Toc76479624"/>
      <w:bookmarkStart w:id="61" w:name="_Toc76665150"/>
      <w:bookmarkStart w:id="62" w:name="_Toc76680629"/>
      <w:bookmarkStart w:id="63" w:name="_Toc89860147"/>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45C42D6D">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5FEDD866">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64D2D24C">
      <w:pPr>
        <w:pStyle w:val="51"/>
        <w:outlineLvl w:val="1"/>
        <w:rPr>
          <w:rFonts w:hint="eastAsia" w:ascii="仿宋" w:hAnsi="仿宋" w:eastAsia="仿宋" w:cs="仿宋"/>
          <w:sz w:val="24"/>
          <w:szCs w:val="24"/>
          <w:lang w:eastAsia="zh-CN"/>
        </w:rPr>
      </w:pPr>
      <w:r>
        <w:rPr>
          <w:rFonts w:hint="eastAsia" w:ascii="仿宋" w:hAnsi="仿宋" w:eastAsia="仿宋" w:cs="仿宋"/>
          <w:sz w:val="24"/>
          <w:szCs w:val="24"/>
        </w:rPr>
        <w:br w:type="page"/>
      </w:r>
      <w:bookmarkEnd w:id="59"/>
      <w:bookmarkEnd w:id="60"/>
      <w:bookmarkEnd w:id="61"/>
      <w:bookmarkEnd w:id="62"/>
      <w:bookmarkEnd w:id="63"/>
      <w:bookmarkStart w:id="64" w:name="_Toc13227"/>
      <w:bookmarkStart w:id="65" w:name="_Toc76665151"/>
      <w:bookmarkStart w:id="66" w:name="_Toc76479625"/>
      <w:bookmarkStart w:id="67" w:name="_Toc76680630"/>
      <w:bookmarkStart w:id="68" w:name="_Toc89860148"/>
      <w:r>
        <w:rPr>
          <w:rFonts w:hint="eastAsia" w:ascii="仿宋" w:hAnsi="仿宋" w:eastAsia="仿宋" w:cs="仿宋"/>
          <w:lang w:val="en-US" w:eastAsia="zh-CN"/>
        </w:rPr>
        <w:t>4.信用查询</w:t>
      </w:r>
      <w:bookmarkEnd w:id="64"/>
      <w:bookmarkEnd w:id="65"/>
      <w:bookmarkEnd w:id="66"/>
      <w:bookmarkEnd w:id="67"/>
      <w:bookmarkEnd w:id="68"/>
      <w:r>
        <w:rPr>
          <w:rFonts w:hint="eastAsia" w:ascii="仿宋" w:hAnsi="仿宋" w:eastAsia="仿宋" w:cs="仿宋"/>
          <w:lang w:val="en-US" w:eastAsia="zh-CN"/>
        </w:rPr>
        <w:t>记录：</w:t>
      </w:r>
    </w:p>
    <w:p w14:paraId="2FEC5F7A">
      <w:pPr>
        <w:autoSpaceDE w:val="0"/>
        <w:autoSpaceDN w:val="0"/>
        <w:adjustRightInd w:val="0"/>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信用</w:t>
      </w:r>
      <w:r>
        <w:rPr>
          <w:rFonts w:hint="eastAsia" w:ascii="仿宋" w:hAnsi="仿宋" w:eastAsia="仿宋" w:cs="仿宋"/>
          <w:b/>
          <w:kern w:val="0"/>
          <w:sz w:val="30"/>
          <w:szCs w:val="30"/>
          <w:lang w:val="en-US" w:eastAsia="zh-CN"/>
        </w:rPr>
        <w:t>查询</w:t>
      </w:r>
      <w:r>
        <w:rPr>
          <w:rFonts w:hint="eastAsia" w:ascii="仿宋" w:hAnsi="仿宋" w:eastAsia="仿宋" w:cs="仿宋"/>
          <w:b/>
          <w:kern w:val="0"/>
          <w:sz w:val="30"/>
          <w:szCs w:val="30"/>
        </w:rPr>
        <w:t>记录</w:t>
      </w:r>
    </w:p>
    <w:p w14:paraId="1FB4604E">
      <w:pPr>
        <w:widowControl/>
        <w:adjustRightInd w:val="0"/>
        <w:snapToGrid w:val="0"/>
        <w:spacing w:line="360" w:lineRule="auto"/>
        <w:jc w:val="center"/>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（复印件并加盖供应商单位公章）</w:t>
      </w:r>
    </w:p>
    <w:p w14:paraId="1CF175DF">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44EEFB0F">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依据财库[2016]125号文件规定，供应商须符合《关于在政府采购活动中查询及使用信用记录有关问题的通知》的相关要求，即具有良好的信用记录。</w:t>
      </w:r>
    </w:p>
    <w:p w14:paraId="0B890582">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供应商须提供本单位近3年（采购文件发出起至递交响应文件截止日前）“信用中国”网站（www.creditchina.gov.cn）及中国政府采购网（www.ccgp.gov.cn）已公布的信用记录查询截图。</w:t>
      </w:r>
    </w:p>
    <w:p w14:paraId="26B2CD29">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截图含1）被列入失信被执行人</w:t>
      </w:r>
    </w:p>
    <w:p w14:paraId="0BE28B4E">
      <w:pPr>
        <w:widowControl/>
        <w:adjustRightInd w:val="0"/>
        <w:snapToGrid w:val="0"/>
        <w:spacing w:line="360" w:lineRule="auto"/>
        <w:ind w:firstLine="1260" w:firstLineChars="5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2）重大税收违法案件当事人名单的供应商</w:t>
      </w:r>
    </w:p>
    <w:p w14:paraId="433533E6">
      <w:pPr>
        <w:widowControl/>
        <w:adjustRightInd w:val="0"/>
        <w:snapToGrid w:val="0"/>
        <w:spacing w:line="360" w:lineRule="auto"/>
        <w:ind w:firstLine="1260" w:firstLineChars="5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3）列入政府采购严重违法失信行为记录名单</w:t>
      </w:r>
    </w:p>
    <w:p w14:paraId="054F95E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73B982C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例如：网站搜索页输入供应商名称，提供截图查询结果。</w:t>
      </w:r>
    </w:p>
    <w:p w14:paraId="1C384AE4">
      <w:pPr>
        <w:rPr>
          <w:rFonts w:hint="eastAsia" w:ascii="仿宋" w:hAnsi="仿宋" w:eastAsia="仿宋" w:cs="仿宋"/>
          <w:spacing w:val="6"/>
          <w:kern w:val="0"/>
          <w:sz w:val="24"/>
          <w:szCs w:val="24"/>
        </w:rPr>
      </w:pPr>
    </w:p>
    <w:p w14:paraId="07F18E05">
      <w:pPr>
        <w:pStyle w:val="42"/>
        <w:spacing w:line="360" w:lineRule="auto"/>
        <w:outlineLvl w:val="9"/>
        <w:rPr>
          <w:rFonts w:hint="eastAsia" w:ascii="仿宋" w:hAnsi="仿宋" w:eastAsia="仿宋" w:cs="仿宋"/>
          <w:sz w:val="24"/>
          <w:szCs w:val="24"/>
        </w:rPr>
      </w:pPr>
      <w:bookmarkStart w:id="69" w:name="_Toc3811"/>
      <w:bookmarkStart w:id="70" w:name="_Toc76479626"/>
      <w:bookmarkStart w:id="71" w:name="_Toc76665152"/>
      <w:bookmarkStart w:id="72" w:name="_Toc89860149"/>
      <w:bookmarkStart w:id="73" w:name="_Toc76680631"/>
    </w:p>
    <w:bookmarkEnd w:id="69"/>
    <w:bookmarkEnd w:id="70"/>
    <w:bookmarkEnd w:id="71"/>
    <w:bookmarkEnd w:id="72"/>
    <w:bookmarkEnd w:id="73"/>
    <w:p w14:paraId="350B7E96">
      <w:pPr>
        <w:rPr>
          <w:rFonts w:hint="eastAsia" w:ascii="仿宋" w:hAnsi="仿宋" w:eastAsia="仿宋" w:cs="仿宋"/>
          <w:sz w:val="24"/>
          <w:szCs w:val="24"/>
          <w:lang w:val="en-US" w:eastAsia="zh-CN"/>
        </w:rPr>
      </w:pPr>
      <w:bookmarkStart w:id="74" w:name="_Toc19182"/>
      <w:bookmarkStart w:id="75" w:name="_Toc76479627"/>
      <w:bookmarkStart w:id="76" w:name="_Toc76680632"/>
      <w:bookmarkStart w:id="77" w:name="_Toc76665153"/>
      <w:bookmarkStart w:id="78" w:name="_Toc89860150"/>
      <w:r>
        <w:rPr>
          <w:rFonts w:hint="eastAsia" w:ascii="仿宋" w:hAnsi="仿宋" w:eastAsia="仿宋" w:cs="仿宋"/>
          <w:sz w:val="24"/>
          <w:szCs w:val="24"/>
          <w:lang w:val="en-US" w:eastAsia="zh-CN"/>
        </w:rPr>
        <w:br w:type="page"/>
      </w:r>
    </w:p>
    <w:p w14:paraId="1813DBA4">
      <w:pPr>
        <w:pStyle w:val="46"/>
        <w:spacing w:line="360" w:lineRule="auto"/>
        <w:outlineLvl w:val="9"/>
        <w:rPr>
          <w:rFonts w:hint="eastAsia" w:ascii="仿宋" w:hAnsi="仿宋" w:eastAsia="仿宋" w:cs="仿宋"/>
          <w:b/>
          <w:sz w:val="32"/>
          <w:szCs w:val="24"/>
          <w:lang w:val="en-US" w:eastAsia="zh-CN" w:bidi="ar-SA"/>
        </w:rPr>
      </w:pPr>
      <w:r>
        <w:rPr>
          <w:rFonts w:hint="eastAsia" w:ascii="仿宋" w:hAnsi="仿宋" w:eastAsia="仿宋" w:cs="仿宋"/>
          <w:b/>
          <w:sz w:val="32"/>
          <w:szCs w:val="24"/>
          <w:lang w:val="en-US" w:eastAsia="zh-CN" w:bidi="ar-SA"/>
        </w:rPr>
        <w:t>5.不参与围标串标承诺书</w:t>
      </w:r>
      <w:bookmarkEnd w:id="74"/>
      <w:bookmarkEnd w:id="75"/>
      <w:bookmarkEnd w:id="76"/>
      <w:bookmarkEnd w:id="77"/>
      <w:bookmarkEnd w:id="78"/>
      <w:r>
        <w:rPr>
          <w:rFonts w:hint="eastAsia" w:ascii="仿宋" w:hAnsi="仿宋" w:eastAsia="仿宋" w:cs="仿宋"/>
        </w:rPr>
        <w:t>格式</w:t>
      </w:r>
      <w:r>
        <w:rPr>
          <w:rFonts w:hint="eastAsia" w:ascii="仿宋" w:hAnsi="仿宋" w:eastAsia="仿宋" w:cs="仿宋"/>
          <w:lang w:eastAsia="zh-CN"/>
        </w:rPr>
        <w:t>：</w:t>
      </w:r>
    </w:p>
    <w:p w14:paraId="07A312BD">
      <w:pPr>
        <w:pStyle w:val="47"/>
        <w:spacing w:line="360" w:lineRule="auto"/>
        <w:jc w:val="center"/>
        <w:outlineLvl w:val="9"/>
        <w:rPr>
          <w:rFonts w:hint="eastAsia" w:ascii="仿宋" w:hAnsi="仿宋" w:eastAsia="仿宋" w:cs="仿宋"/>
          <w:b/>
          <w:kern w:val="0"/>
          <w:sz w:val="30"/>
          <w:szCs w:val="30"/>
          <w:lang w:val="en-US" w:eastAsia="zh-CN" w:bidi="ar-SA"/>
        </w:rPr>
      </w:pPr>
      <w:bookmarkStart w:id="79" w:name="_Toc76479628"/>
      <w:bookmarkStart w:id="80" w:name="_Toc88084431"/>
      <w:bookmarkStart w:id="81" w:name="_Toc89860151"/>
      <w:bookmarkStart w:id="82" w:name="_Toc88084521"/>
      <w:bookmarkStart w:id="83" w:name="_Toc26745"/>
      <w:bookmarkStart w:id="84" w:name="_Toc76665154"/>
      <w:bookmarkStart w:id="85" w:name="_Toc76680633"/>
      <w:bookmarkStart w:id="86" w:name="_Toc16101"/>
    </w:p>
    <w:p w14:paraId="110C727E">
      <w:pPr>
        <w:pStyle w:val="47"/>
        <w:spacing w:line="360" w:lineRule="auto"/>
        <w:jc w:val="center"/>
        <w:outlineLvl w:val="9"/>
        <w:rPr>
          <w:rFonts w:hint="eastAsia" w:ascii="仿宋" w:hAnsi="仿宋" w:eastAsia="仿宋" w:cs="仿宋"/>
          <w:kern w:val="2"/>
          <w:sz w:val="24"/>
          <w:szCs w:val="24"/>
        </w:rPr>
      </w:pPr>
      <w:r>
        <w:rPr>
          <w:rFonts w:hint="eastAsia" w:ascii="仿宋" w:hAnsi="仿宋" w:eastAsia="仿宋" w:cs="仿宋"/>
          <w:b/>
          <w:kern w:val="0"/>
          <w:sz w:val="30"/>
          <w:szCs w:val="30"/>
          <w:lang w:val="en-US" w:eastAsia="zh-CN" w:bidi="ar-SA"/>
        </w:rPr>
        <w:t>不参与围标串标承诺书</w:t>
      </w:r>
      <w:bookmarkEnd w:id="79"/>
      <w:bookmarkEnd w:id="80"/>
      <w:bookmarkEnd w:id="81"/>
      <w:bookmarkEnd w:id="82"/>
      <w:bookmarkEnd w:id="83"/>
      <w:bookmarkEnd w:id="84"/>
      <w:bookmarkEnd w:id="85"/>
      <w:bookmarkEnd w:id="86"/>
    </w:p>
    <w:p w14:paraId="3E412976">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5E135B95">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本人作为（单位名称）的法人，清楚知晓我公司本项目采购活动，对以下事项作出承诺：</w:t>
      </w:r>
    </w:p>
    <w:p w14:paraId="666BFDD9">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一、我单位遵循公开、公平、公正、诚实守信的原则，依法依规参与本项目竞标。</w:t>
      </w:r>
    </w:p>
    <w:p w14:paraId="40709687">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二、我单位在本项目采购活动中，未参与围标串标。</w:t>
      </w:r>
    </w:p>
    <w:p w14:paraId="0DB2F74E">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三、我单位如被查实在本项目采购活动中存在围标串标的，递交响应文件行为作为实施串通投标违法行为的关键环节，本人（单位）承担直接责任人员法律责任，接受相应行政处罚和失信惩戒。</w:t>
      </w:r>
    </w:p>
    <w:p w14:paraId="3F2DB1B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项目名称：</w:t>
      </w:r>
    </w:p>
    <w:p w14:paraId="4930FDF5">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项目编号：    </w:t>
      </w:r>
    </w:p>
    <w:p w14:paraId="4D4D0A43">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供应商单位名称：</w:t>
      </w:r>
    </w:p>
    <w:p w14:paraId="1AC75E1B">
      <w:pPr>
        <w:pStyle w:val="48"/>
        <w:spacing w:line="360" w:lineRule="auto"/>
        <w:rPr>
          <w:rFonts w:hint="eastAsia" w:ascii="仿宋" w:hAnsi="仿宋" w:eastAsia="仿宋" w:cs="仿宋"/>
          <w:sz w:val="24"/>
          <w:szCs w:val="24"/>
        </w:rPr>
      </w:pPr>
    </w:p>
    <w:p w14:paraId="13467EA2">
      <w:pPr>
        <w:pStyle w:val="48"/>
        <w:spacing w:line="360" w:lineRule="auto"/>
        <w:rPr>
          <w:rFonts w:hint="eastAsia" w:ascii="仿宋" w:hAnsi="仿宋" w:eastAsia="仿宋" w:cs="仿宋"/>
          <w:sz w:val="24"/>
          <w:szCs w:val="24"/>
        </w:rPr>
      </w:pPr>
    </w:p>
    <w:p w14:paraId="70CB7AA4">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3E4C872D">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4B7DD484">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1E85C52E">
      <w:pPr>
        <w:pStyle w:val="46"/>
        <w:spacing w:line="360" w:lineRule="auto"/>
        <w:outlineLvl w:val="9"/>
        <w:rPr>
          <w:rFonts w:hint="eastAsia" w:ascii="仿宋" w:hAnsi="仿宋" w:eastAsia="仿宋" w:cs="仿宋"/>
          <w:sz w:val="24"/>
          <w:szCs w:val="24"/>
        </w:rPr>
      </w:pPr>
    </w:p>
    <w:p w14:paraId="7C0D7477">
      <w:pPr>
        <w:rPr>
          <w:rFonts w:hint="eastAsia" w:ascii="仿宋" w:hAnsi="仿宋" w:eastAsia="仿宋" w:cs="仿宋"/>
          <w:b/>
          <w:bCs/>
          <w:sz w:val="36"/>
          <w:szCs w:val="36"/>
        </w:rPr>
      </w:pPr>
      <w:r>
        <w:rPr>
          <w:rFonts w:hint="eastAsia" w:ascii="仿宋" w:hAnsi="仿宋" w:eastAsia="仿宋" w:cs="仿宋"/>
          <w:b/>
          <w:bCs/>
          <w:sz w:val="36"/>
          <w:szCs w:val="36"/>
        </w:rPr>
        <w:br w:type="page"/>
      </w:r>
    </w:p>
    <w:p w14:paraId="6B2BC5DD">
      <w:pPr>
        <w:pStyle w:val="8"/>
        <w:kinsoku w:val="0"/>
        <w:overflowPunct w:val="0"/>
        <w:spacing w:before="130" w:line="355" w:lineRule="auto"/>
        <w:ind w:left="0" w:leftChars="0" w:right="7" w:firstLine="0" w:firstLineChars="0"/>
        <w:jc w:val="both"/>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6.投标函</w:t>
      </w:r>
      <w:r>
        <w:rPr>
          <w:rFonts w:hint="eastAsia" w:ascii="仿宋" w:hAnsi="仿宋" w:eastAsia="仿宋" w:cs="仿宋"/>
          <w:b/>
          <w:bCs/>
          <w:sz w:val="36"/>
          <w:szCs w:val="36"/>
        </w:rPr>
        <w:t>格式</w:t>
      </w:r>
      <w:r>
        <w:rPr>
          <w:rFonts w:hint="eastAsia" w:ascii="仿宋" w:hAnsi="仿宋" w:eastAsia="仿宋" w:cs="仿宋"/>
          <w:b/>
          <w:bCs/>
          <w:sz w:val="36"/>
          <w:szCs w:val="36"/>
          <w:lang w:eastAsia="zh-CN"/>
        </w:rPr>
        <w:t>：</w:t>
      </w:r>
    </w:p>
    <w:p w14:paraId="6DBA64E2">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投标函</w:t>
      </w:r>
    </w:p>
    <w:p w14:paraId="1566A20E">
      <w:pPr>
        <w:spacing w:line="440" w:lineRule="exact"/>
        <w:rPr>
          <w:rFonts w:hint="eastAsia" w:ascii="仿宋" w:hAnsi="仿宋" w:eastAsia="仿宋" w:cs="仿宋"/>
          <w:sz w:val="24"/>
        </w:rPr>
      </w:pPr>
      <w:r>
        <w:rPr>
          <w:rFonts w:hint="eastAsia" w:ascii="仿宋" w:hAnsi="仿宋" w:eastAsia="仿宋" w:cs="仿宋"/>
          <w:sz w:val="24"/>
        </w:rPr>
        <w:t>致：</w:t>
      </w:r>
    </w:p>
    <w:p w14:paraId="0EAEAA37">
      <w:pPr>
        <w:spacing w:line="440" w:lineRule="exact"/>
        <w:ind w:firstLine="555"/>
        <w:rPr>
          <w:rFonts w:hint="eastAsia" w:ascii="仿宋" w:hAnsi="仿宋" w:eastAsia="仿宋" w:cs="仿宋"/>
          <w:sz w:val="24"/>
        </w:rPr>
      </w:pPr>
      <w:r>
        <w:rPr>
          <w:rFonts w:hint="eastAsia" w:ascii="仿宋" w:hAnsi="仿宋" w:eastAsia="仿宋" w:cs="仿宋"/>
          <w:sz w:val="24"/>
        </w:rPr>
        <w:t>根据贵方为项目招标的投标邀请</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（投标人名称、地址）</w:t>
      </w:r>
      <w:r>
        <w:rPr>
          <w:rFonts w:hint="eastAsia" w:ascii="仿宋" w:hAnsi="仿宋" w:eastAsia="仿宋" w:cs="仿宋"/>
          <w:sz w:val="24"/>
        </w:rPr>
        <w:t>对此项目进行投标。据此函，签字代表宣布并同意如下：</w:t>
      </w:r>
    </w:p>
    <w:p w14:paraId="21C57085">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1、所附明细报价表中规定的应提交和交付的货物和服务投标总价为</w:t>
      </w:r>
      <w:r>
        <w:rPr>
          <w:rFonts w:hint="eastAsia" w:ascii="仿宋" w:hAnsi="仿宋" w:eastAsia="仿宋" w:cs="仿宋"/>
          <w:sz w:val="24"/>
          <w:u w:val="single"/>
        </w:rPr>
        <w:t>（注明币种，并用文字和数字表示的投标总价）。</w:t>
      </w:r>
    </w:p>
    <w:p w14:paraId="182A9138">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2、我方同意在本项目</w:t>
      </w:r>
      <w:r>
        <w:rPr>
          <w:rFonts w:hint="eastAsia" w:ascii="仿宋" w:hAnsi="仿宋" w:eastAsia="仿宋" w:cs="仿宋"/>
          <w:sz w:val="24"/>
          <w:lang w:eastAsia="zh-CN"/>
        </w:rPr>
        <w:t>磋商文件</w:t>
      </w:r>
      <w:r>
        <w:rPr>
          <w:rFonts w:hint="eastAsia" w:ascii="仿宋" w:hAnsi="仿宋" w:eastAsia="仿宋" w:cs="仿宋"/>
          <w:sz w:val="24"/>
        </w:rPr>
        <w:t>中规定的开标日起</w:t>
      </w:r>
      <w:r>
        <w:rPr>
          <w:rFonts w:hint="eastAsia" w:ascii="仿宋" w:hAnsi="仿宋" w:eastAsia="仿宋" w:cs="仿宋"/>
          <w:sz w:val="24"/>
          <w:u w:val="single"/>
        </w:rPr>
        <w:t>九十日内</w:t>
      </w:r>
      <w:r>
        <w:rPr>
          <w:rFonts w:hint="eastAsia" w:ascii="仿宋" w:hAnsi="仿宋" w:eastAsia="仿宋" w:cs="仿宋"/>
          <w:sz w:val="24"/>
        </w:rPr>
        <w:t>遵守本投标文件中的承诺且在此期限期满之前均具有约束力。</w:t>
      </w:r>
    </w:p>
    <w:p w14:paraId="2E6D0137">
      <w:pPr>
        <w:pStyle w:val="28"/>
        <w:snapToGrid w:val="0"/>
        <w:spacing w:line="440" w:lineRule="exact"/>
        <w:ind w:firstLine="480" w:firstLineChars="200"/>
        <w:rPr>
          <w:rFonts w:hint="eastAsia" w:ascii="仿宋" w:hAnsi="仿宋" w:eastAsia="仿宋" w:cs="仿宋"/>
          <w:kern w:val="2"/>
          <w:sz w:val="24"/>
        </w:rPr>
      </w:pPr>
      <w:r>
        <w:rPr>
          <w:rFonts w:hint="eastAsia" w:ascii="仿宋" w:hAnsi="仿宋" w:eastAsia="仿宋" w:cs="仿宋"/>
          <w:kern w:val="2"/>
          <w:sz w:val="24"/>
        </w:rPr>
        <w:t>3、我方承诺已经具备《中华人民共和国政府采购法》中规定的参加政府采购活动的供应商应当具备的条件：</w:t>
      </w:r>
    </w:p>
    <w:p w14:paraId="13006900">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具有独立承担民事责任的能力；</w:t>
      </w:r>
    </w:p>
    <w:p w14:paraId="11498C69">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具有良好的商业信誉和健全的财务会计制度；</w:t>
      </w:r>
    </w:p>
    <w:p w14:paraId="5C4FD690">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具有履行合同所必需的设备和专业技术能力；</w:t>
      </w:r>
    </w:p>
    <w:p w14:paraId="56FBBCED">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有依法缴纳税收和社会保障资金的良好记录；</w:t>
      </w:r>
    </w:p>
    <w:p w14:paraId="1809A6BE">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参加此项采购活动前三年内，在经营活动中没有重大违法记录。</w:t>
      </w:r>
    </w:p>
    <w:p w14:paraId="47F2862C">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4、按</w:t>
      </w:r>
      <w:r>
        <w:rPr>
          <w:rFonts w:hint="eastAsia" w:ascii="仿宋" w:hAnsi="仿宋" w:eastAsia="仿宋" w:cs="仿宋"/>
          <w:sz w:val="24"/>
          <w:lang w:eastAsia="zh-CN"/>
        </w:rPr>
        <w:t>磋商文件</w:t>
      </w:r>
      <w:r>
        <w:rPr>
          <w:rFonts w:hint="eastAsia" w:ascii="仿宋" w:hAnsi="仿宋" w:eastAsia="仿宋" w:cs="仿宋"/>
          <w:sz w:val="24"/>
        </w:rPr>
        <w:t>要求提供和交付的货物和服务的投标报价详见投标报价表。</w:t>
      </w:r>
    </w:p>
    <w:p w14:paraId="62724AC1">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5、保证忠实地执行双方所签订的合同，并承担合同规定的责任和义务。</w:t>
      </w:r>
    </w:p>
    <w:p w14:paraId="34023B26">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6、保证遵守</w:t>
      </w:r>
      <w:r>
        <w:rPr>
          <w:rFonts w:hint="eastAsia" w:ascii="仿宋" w:hAnsi="仿宋" w:eastAsia="仿宋" w:cs="仿宋"/>
          <w:sz w:val="24"/>
          <w:lang w:eastAsia="zh-CN"/>
        </w:rPr>
        <w:t>磋商文件</w:t>
      </w:r>
      <w:r>
        <w:rPr>
          <w:rFonts w:hint="eastAsia" w:ascii="仿宋" w:hAnsi="仿宋" w:eastAsia="仿宋" w:cs="仿宋"/>
          <w:sz w:val="24"/>
        </w:rPr>
        <w:t>的规定。</w:t>
      </w:r>
    </w:p>
    <w:p w14:paraId="00D61BCF">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7、如果在开标后规定的投标有效期内撤回投标，我方的投标保证金可被贵方没收。</w:t>
      </w:r>
    </w:p>
    <w:p w14:paraId="0A7AF547">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8、我方完全理解贵方不一定接受最低价的投标或收到的任何投标。</w:t>
      </w:r>
    </w:p>
    <w:p w14:paraId="7A203C94">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9、我方愿意向贵方提供任何与本项投标有关的数据、情况和技术资料。若贵方需要，我方愿意提供我方作出的一切承诺的证明材料。</w:t>
      </w:r>
    </w:p>
    <w:p w14:paraId="53FB8F14">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10、我方已详细审核全部投标文件，包括“修改投标文件”（如有的话）、参考资料及有关附件，确认无误。</w:t>
      </w:r>
    </w:p>
    <w:p w14:paraId="776D96A7">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11、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E267FD9">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提供虚假材料谋取中标、成交的；</w:t>
      </w:r>
    </w:p>
    <w:p w14:paraId="2DCAE33E">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采取不正当手段诋毁、排挤其他供应商的；</w:t>
      </w:r>
    </w:p>
    <w:p w14:paraId="16F085B8">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与采购人、其它供应商或者采购代理机构恶意串通的；</w:t>
      </w:r>
    </w:p>
    <w:p w14:paraId="75C479A4">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向采购人、采购代理机构行贿或者提供其他不正当利益的；</w:t>
      </w:r>
    </w:p>
    <w:p w14:paraId="09653C44">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未经采购代理机构同意，在采购过程中与采购人进行协商谈判的；</w:t>
      </w:r>
    </w:p>
    <w:p w14:paraId="089BC552">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拒绝有关部门监督检查或提供虚假情况的。</w:t>
      </w:r>
    </w:p>
    <w:p w14:paraId="5F42173E">
      <w:pPr>
        <w:adjustRightInd w:val="0"/>
        <w:snapToGrid w:val="0"/>
        <w:spacing w:line="440" w:lineRule="exact"/>
        <w:rPr>
          <w:rFonts w:hint="eastAsia" w:ascii="仿宋" w:hAnsi="仿宋" w:eastAsia="仿宋" w:cs="仿宋"/>
          <w:sz w:val="24"/>
        </w:rPr>
      </w:pPr>
    </w:p>
    <w:p w14:paraId="6B2CC802">
      <w:pPr>
        <w:spacing w:line="440" w:lineRule="exact"/>
        <w:ind w:firstLine="240" w:firstLineChars="100"/>
        <w:rPr>
          <w:rFonts w:hint="eastAsia" w:ascii="仿宋" w:hAnsi="仿宋" w:eastAsia="仿宋" w:cs="仿宋"/>
          <w:sz w:val="24"/>
        </w:rPr>
      </w:pPr>
      <w:r>
        <w:rPr>
          <w:rFonts w:hint="eastAsia" w:ascii="仿宋" w:hAnsi="仿宋" w:eastAsia="仿宋" w:cs="仿宋"/>
          <w:sz w:val="24"/>
        </w:rPr>
        <w:t>与本投标有关的一切正式往来信函请寄：</w:t>
      </w:r>
    </w:p>
    <w:p w14:paraId="3D248235">
      <w:pPr>
        <w:spacing w:line="440" w:lineRule="exact"/>
        <w:ind w:firstLine="240" w:firstLineChars="1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w:t>
      </w:r>
      <w:r>
        <w:rPr>
          <w:rFonts w:hint="eastAsia" w:ascii="仿宋" w:hAnsi="仿宋" w:eastAsia="仿宋" w:cs="仿宋"/>
          <w:sz w:val="24"/>
        </w:rPr>
        <w:t>邮编：</w:t>
      </w:r>
      <w:r>
        <w:rPr>
          <w:rFonts w:hint="eastAsia" w:ascii="仿宋" w:hAnsi="仿宋" w:eastAsia="仿宋" w:cs="仿宋"/>
          <w:sz w:val="24"/>
          <w:u w:val="single"/>
        </w:rPr>
        <w:t>　　　　　　　　　</w:t>
      </w:r>
    </w:p>
    <w:p w14:paraId="01FDC8D7">
      <w:pPr>
        <w:spacing w:line="440" w:lineRule="exact"/>
        <w:rPr>
          <w:rFonts w:hint="eastAsia" w:ascii="仿宋" w:hAnsi="仿宋" w:eastAsia="仿宋" w:cs="仿宋"/>
          <w:sz w:val="24"/>
        </w:rPr>
      </w:pPr>
      <w:r>
        <w:rPr>
          <w:rFonts w:hint="eastAsia" w:ascii="仿宋" w:hAnsi="仿宋" w:eastAsia="仿宋" w:cs="仿宋"/>
          <w:sz w:val="24"/>
        </w:rPr>
        <w:t>　电　　　　　话：</w:t>
      </w:r>
      <w:r>
        <w:rPr>
          <w:rFonts w:hint="eastAsia" w:ascii="仿宋" w:hAnsi="仿宋" w:eastAsia="仿宋" w:cs="仿宋"/>
          <w:sz w:val="24"/>
          <w:u w:val="single"/>
        </w:rPr>
        <w:t>　　　　　　　　　　</w:t>
      </w:r>
      <w:r>
        <w:rPr>
          <w:rFonts w:hint="eastAsia" w:ascii="仿宋" w:hAnsi="仿宋" w:eastAsia="仿宋" w:cs="仿宋"/>
          <w:sz w:val="24"/>
        </w:rPr>
        <w:t>传真：</w:t>
      </w:r>
      <w:r>
        <w:rPr>
          <w:rFonts w:hint="eastAsia" w:ascii="仿宋" w:hAnsi="仿宋" w:eastAsia="仿宋" w:cs="仿宋"/>
          <w:sz w:val="24"/>
          <w:u w:val="single"/>
        </w:rPr>
        <w:t>　　　　　　　　　</w:t>
      </w:r>
    </w:p>
    <w:p w14:paraId="35D4D45D">
      <w:pPr>
        <w:spacing w:line="440" w:lineRule="exact"/>
        <w:rPr>
          <w:rFonts w:hint="eastAsia" w:ascii="仿宋" w:hAnsi="仿宋" w:eastAsia="仿宋" w:cs="仿宋"/>
          <w:sz w:val="24"/>
        </w:rPr>
      </w:pPr>
      <w:r>
        <w:rPr>
          <w:rFonts w:hint="eastAsia" w:ascii="仿宋" w:hAnsi="仿宋" w:eastAsia="仿宋" w:cs="仿宋"/>
          <w:sz w:val="24"/>
        </w:rPr>
        <w:t>　投标人代表签字：</w:t>
      </w:r>
      <w:r>
        <w:rPr>
          <w:rFonts w:hint="eastAsia" w:ascii="仿宋" w:hAnsi="仿宋" w:eastAsia="仿宋" w:cs="仿宋"/>
          <w:sz w:val="24"/>
          <w:u w:val="single"/>
        </w:rPr>
        <w:t>　　　　　　　　　　　　　</w:t>
      </w:r>
    </w:p>
    <w:p w14:paraId="7B32BF79">
      <w:pPr>
        <w:spacing w:line="440" w:lineRule="exact"/>
        <w:rPr>
          <w:rFonts w:hint="eastAsia" w:ascii="仿宋" w:hAnsi="仿宋" w:eastAsia="仿宋" w:cs="仿宋"/>
          <w:sz w:val="24"/>
        </w:rPr>
      </w:pPr>
      <w:r>
        <w:rPr>
          <w:rFonts w:hint="eastAsia" w:ascii="仿宋" w:hAnsi="仿宋" w:eastAsia="仿宋" w:cs="仿宋"/>
          <w:sz w:val="24"/>
        </w:rPr>
        <w:t>　投标人名称：</w:t>
      </w:r>
      <w:r>
        <w:rPr>
          <w:rFonts w:hint="eastAsia" w:ascii="仿宋" w:hAnsi="仿宋" w:eastAsia="仿宋" w:cs="仿宋"/>
          <w:sz w:val="24"/>
          <w:u w:val="single"/>
        </w:rPr>
        <w:t>　　　　　　　　　　</w:t>
      </w:r>
    </w:p>
    <w:p w14:paraId="7FCC58C7">
      <w:pPr>
        <w:spacing w:line="440" w:lineRule="exact"/>
        <w:ind w:firstLine="6240" w:firstLineChars="2600"/>
        <w:rPr>
          <w:rFonts w:hint="eastAsia" w:ascii="仿宋" w:hAnsi="仿宋" w:eastAsia="仿宋" w:cs="仿宋"/>
          <w:sz w:val="24"/>
        </w:rPr>
      </w:pPr>
      <w:r>
        <w:rPr>
          <w:rFonts w:hint="eastAsia" w:ascii="仿宋" w:hAnsi="仿宋" w:eastAsia="仿宋" w:cs="仿宋"/>
          <w:sz w:val="24"/>
        </w:rPr>
        <w:t>（单位公章）</w:t>
      </w:r>
    </w:p>
    <w:p w14:paraId="11EBD780">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   年   月  日</w:t>
      </w:r>
    </w:p>
    <w:p w14:paraId="08B5FB07">
      <w:pPr>
        <w:adjustRightInd w:val="0"/>
        <w:snapToGrid w:val="0"/>
        <w:spacing w:line="440" w:lineRule="exact"/>
        <w:ind w:firstLine="482" w:firstLineChars="200"/>
        <w:rPr>
          <w:rFonts w:hint="eastAsia" w:ascii="仿宋" w:hAnsi="仿宋" w:eastAsia="仿宋" w:cs="仿宋"/>
          <w:b/>
          <w:sz w:val="24"/>
          <w:szCs w:val="24"/>
          <w:em w:val="dot"/>
        </w:rPr>
      </w:pPr>
      <w:r>
        <w:rPr>
          <w:rFonts w:hint="eastAsia" w:ascii="仿宋" w:hAnsi="仿宋" w:eastAsia="仿宋" w:cs="仿宋"/>
          <w:b/>
          <w:sz w:val="24"/>
          <w:szCs w:val="24"/>
          <w:em w:val="dot"/>
        </w:rPr>
        <w:t>注：除可填报项目外，对本投标函的任何修改将被视为非实质性响应投标，从而导致该投标被拒绝。</w:t>
      </w:r>
    </w:p>
    <w:p w14:paraId="559B8DF7">
      <w:pPr>
        <w:pStyle w:val="8"/>
        <w:kinsoku w:val="0"/>
        <w:overflowPunct w:val="0"/>
        <w:spacing w:before="130" w:line="355" w:lineRule="auto"/>
        <w:ind w:left="0" w:leftChars="0" w:right="7" w:firstLine="0" w:firstLineChars="0"/>
        <w:jc w:val="both"/>
        <w:rPr>
          <w:rFonts w:hint="eastAsia" w:ascii="仿宋" w:hAnsi="仿宋" w:eastAsia="仿宋" w:cs="仿宋"/>
          <w:b/>
          <w:bCs/>
          <w:sz w:val="36"/>
          <w:szCs w:val="36"/>
          <w:lang w:eastAsia="zh-CN"/>
        </w:rPr>
      </w:pPr>
      <w:r>
        <w:rPr>
          <w:rFonts w:hint="eastAsia" w:ascii="仿宋" w:hAnsi="仿宋" w:eastAsia="仿宋" w:cs="仿宋"/>
        </w:rPr>
        <w:br w:type="page"/>
      </w:r>
      <w:r>
        <w:rPr>
          <w:rFonts w:hint="eastAsia" w:ascii="仿宋" w:hAnsi="仿宋" w:eastAsia="仿宋" w:cs="仿宋"/>
          <w:b/>
          <w:bCs/>
          <w:sz w:val="36"/>
          <w:szCs w:val="36"/>
          <w:lang w:val="en-US" w:eastAsia="zh-CN"/>
        </w:rPr>
        <w:t>7.开标一览表</w:t>
      </w:r>
      <w:r>
        <w:rPr>
          <w:rFonts w:hint="eastAsia" w:ascii="仿宋" w:hAnsi="仿宋" w:eastAsia="仿宋" w:cs="仿宋"/>
          <w:b/>
          <w:bCs/>
          <w:sz w:val="36"/>
          <w:szCs w:val="36"/>
        </w:rPr>
        <w:t>格式</w:t>
      </w:r>
      <w:r>
        <w:rPr>
          <w:rFonts w:hint="eastAsia" w:ascii="仿宋" w:hAnsi="仿宋" w:eastAsia="仿宋" w:cs="仿宋"/>
          <w:b/>
          <w:bCs/>
          <w:sz w:val="36"/>
          <w:szCs w:val="36"/>
          <w:lang w:eastAsia="zh-CN"/>
        </w:rPr>
        <w:t>：</w:t>
      </w:r>
    </w:p>
    <w:p w14:paraId="4AF07710">
      <w:pPr>
        <w:pStyle w:val="21"/>
        <w:spacing w:line="440" w:lineRule="exact"/>
        <w:ind w:left="310" w:leftChars="-86" w:hanging="491" w:hangingChars="163"/>
        <w:jc w:val="center"/>
        <w:outlineLvl w:val="9"/>
        <w:rPr>
          <w:rFonts w:hint="eastAsia" w:hAnsi="仿宋" w:cs="仿宋"/>
          <w:b/>
          <w:bCs/>
          <w:sz w:val="30"/>
          <w:szCs w:val="30"/>
          <w:lang w:val="en-US" w:eastAsia="zh-CN"/>
        </w:rPr>
      </w:pPr>
      <w:r>
        <w:rPr>
          <w:rFonts w:hint="eastAsia" w:hAnsi="仿宋" w:cs="仿宋"/>
          <w:b/>
          <w:bCs/>
          <w:sz w:val="30"/>
          <w:szCs w:val="30"/>
          <w:lang w:val="en-US" w:eastAsia="zh-CN"/>
        </w:rPr>
        <w:t>（1）开标一览表</w:t>
      </w:r>
    </w:p>
    <w:p w14:paraId="52EB55A0">
      <w:pPr>
        <w:pStyle w:val="21"/>
        <w:spacing w:line="440" w:lineRule="exact"/>
        <w:ind w:left="145" w:leftChars="-86" w:hanging="326" w:hangingChars="163"/>
        <w:jc w:val="both"/>
        <w:outlineLvl w:val="9"/>
        <w:rPr>
          <w:rFonts w:hint="eastAsia" w:ascii="仿宋" w:hAnsi="仿宋" w:eastAsia="仿宋" w:cs="仿宋"/>
          <w:color w:val="auto"/>
        </w:rPr>
      </w:pPr>
    </w:p>
    <w:p w14:paraId="023C4C96">
      <w:pPr>
        <w:pStyle w:val="21"/>
        <w:spacing w:line="440" w:lineRule="exact"/>
        <w:ind w:left="210" w:leftChars="-86" w:hanging="391" w:hangingChars="163"/>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14:paraId="1F676616">
      <w:pPr>
        <w:pStyle w:val="21"/>
        <w:spacing w:line="440" w:lineRule="exact"/>
        <w:ind w:left="210" w:leftChars="-86" w:hanging="391" w:hangingChars="163"/>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招标编号：                               </w:t>
      </w:r>
    </w:p>
    <w:p w14:paraId="252888E4">
      <w:pPr>
        <w:pStyle w:val="21"/>
        <w:spacing w:line="440" w:lineRule="exact"/>
        <w:ind w:left="145" w:leftChars="-86" w:hanging="326" w:hangingChars="163"/>
        <w:jc w:val="both"/>
        <w:outlineLvl w:val="9"/>
        <w:rPr>
          <w:rFonts w:hint="eastAsia" w:ascii="仿宋" w:hAnsi="仿宋" w:eastAsia="仿宋" w:cs="仿宋"/>
          <w:color w:val="auto"/>
        </w:rPr>
      </w:pP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F0D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2DE9787C">
            <w:pPr>
              <w:widowControl/>
              <w:spacing w:line="440" w:lineRule="exact"/>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投标内容</w:t>
            </w:r>
          </w:p>
        </w:tc>
        <w:tc>
          <w:tcPr>
            <w:tcW w:w="6687" w:type="dxa"/>
            <w:noWrap w:val="0"/>
            <w:vAlign w:val="center"/>
          </w:tcPr>
          <w:p w14:paraId="1B7B3DBF">
            <w:pPr>
              <w:widowControl/>
              <w:spacing w:line="440" w:lineRule="exact"/>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投标总报价</w:t>
            </w:r>
          </w:p>
        </w:tc>
      </w:tr>
      <w:tr w14:paraId="18AC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14D751F2">
            <w:pPr>
              <w:widowControl/>
              <w:spacing w:line="440" w:lineRule="exact"/>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总报价</w:t>
            </w:r>
          </w:p>
        </w:tc>
        <w:tc>
          <w:tcPr>
            <w:tcW w:w="6687" w:type="dxa"/>
            <w:noWrap w:val="0"/>
            <w:vAlign w:val="center"/>
          </w:tcPr>
          <w:p w14:paraId="545B9707">
            <w:pPr>
              <w:widowControl/>
              <w:spacing w:line="440" w:lineRule="exact"/>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小写：￥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元    </w:t>
            </w:r>
          </w:p>
        </w:tc>
      </w:tr>
      <w:tr w14:paraId="0886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5DAD235E">
            <w:pPr>
              <w:widowControl/>
              <w:spacing w:line="440" w:lineRule="exact"/>
              <w:jc w:val="center"/>
              <w:outlineLvl w:val="9"/>
              <w:rPr>
                <w:rFonts w:hint="eastAsia" w:ascii="仿宋" w:hAnsi="仿宋" w:eastAsia="仿宋" w:cs="仿宋"/>
                <w:kern w:val="0"/>
                <w:sz w:val="24"/>
                <w:szCs w:val="24"/>
              </w:rPr>
            </w:pPr>
          </w:p>
        </w:tc>
        <w:tc>
          <w:tcPr>
            <w:tcW w:w="6687" w:type="dxa"/>
            <w:noWrap w:val="0"/>
            <w:vAlign w:val="center"/>
          </w:tcPr>
          <w:p w14:paraId="182B1401">
            <w:pPr>
              <w:spacing w:line="440" w:lineRule="exact"/>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元整</w:t>
            </w:r>
          </w:p>
        </w:tc>
      </w:tr>
      <w:tr w14:paraId="15A0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720FB48F">
            <w:pPr>
              <w:widowControl/>
              <w:spacing w:line="440" w:lineRule="exact"/>
              <w:jc w:val="center"/>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供货期</w:t>
            </w:r>
          </w:p>
        </w:tc>
        <w:tc>
          <w:tcPr>
            <w:tcW w:w="6687" w:type="dxa"/>
            <w:noWrap w:val="0"/>
            <w:vAlign w:val="center"/>
          </w:tcPr>
          <w:p w14:paraId="5D4797D2">
            <w:pPr>
              <w:spacing w:line="440" w:lineRule="exact"/>
              <w:jc w:val="center"/>
              <w:outlineLvl w:val="9"/>
              <w:rPr>
                <w:rFonts w:hint="eastAsia" w:ascii="仿宋" w:hAnsi="仿宋" w:eastAsia="仿宋" w:cs="仿宋"/>
                <w:kern w:val="0"/>
                <w:sz w:val="24"/>
                <w:szCs w:val="24"/>
              </w:rPr>
            </w:pPr>
          </w:p>
        </w:tc>
      </w:tr>
      <w:tr w14:paraId="6735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2296F04D">
            <w:pPr>
              <w:widowControl/>
              <w:spacing w:line="440" w:lineRule="exact"/>
              <w:jc w:val="center"/>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w:t>
            </w:r>
          </w:p>
        </w:tc>
        <w:tc>
          <w:tcPr>
            <w:tcW w:w="6687" w:type="dxa"/>
            <w:noWrap w:val="0"/>
            <w:vAlign w:val="center"/>
          </w:tcPr>
          <w:p w14:paraId="1FA1545B">
            <w:pPr>
              <w:spacing w:line="440" w:lineRule="exact"/>
              <w:jc w:val="center"/>
              <w:outlineLvl w:val="9"/>
              <w:rPr>
                <w:rFonts w:hint="eastAsia" w:ascii="仿宋" w:hAnsi="仿宋" w:eastAsia="仿宋" w:cs="仿宋"/>
                <w:kern w:val="0"/>
                <w:sz w:val="24"/>
                <w:szCs w:val="24"/>
              </w:rPr>
            </w:pPr>
          </w:p>
        </w:tc>
      </w:tr>
      <w:tr w14:paraId="2724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37DECE43">
            <w:pPr>
              <w:widowControl/>
              <w:spacing w:line="440" w:lineRule="exact"/>
              <w:jc w:val="center"/>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项目负责人</w:t>
            </w:r>
          </w:p>
        </w:tc>
        <w:tc>
          <w:tcPr>
            <w:tcW w:w="6687" w:type="dxa"/>
            <w:noWrap w:val="0"/>
            <w:vAlign w:val="center"/>
          </w:tcPr>
          <w:p w14:paraId="6424CEBA">
            <w:pPr>
              <w:spacing w:line="440" w:lineRule="exact"/>
              <w:jc w:val="center"/>
              <w:outlineLvl w:val="9"/>
              <w:rPr>
                <w:rFonts w:hint="eastAsia" w:ascii="仿宋" w:hAnsi="仿宋" w:eastAsia="仿宋" w:cs="仿宋"/>
                <w:kern w:val="0"/>
                <w:sz w:val="24"/>
                <w:szCs w:val="24"/>
              </w:rPr>
            </w:pPr>
          </w:p>
        </w:tc>
      </w:tr>
      <w:tr w14:paraId="0D3C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499BB36">
            <w:pPr>
              <w:widowControl/>
              <w:spacing w:line="440" w:lineRule="exact"/>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6687" w:type="dxa"/>
            <w:noWrap w:val="0"/>
            <w:vAlign w:val="center"/>
          </w:tcPr>
          <w:p w14:paraId="0401B5B4">
            <w:pPr>
              <w:spacing w:line="440" w:lineRule="exact"/>
              <w:jc w:val="center"/>
              <w:outlineLvl w:val="9"/>
              <w:rPr>
                <w:rFonts w:hint="eastAsia" w:ascii="仿宋" w:hAnsi="仿宋" w:eastAsia="仿宋" w:cs="仿宋"/>
                <w:kern w:val="0"/>
                <w:sz w:val="24"/>
                <w:szCs w:val="24"/>
              </w:rPr>
            </w:pPr>
          </w:p>
        </w:tc>
      </w:tr>
    </w:tbl>
    <w:p w14:paraId="41C08815">
      <w:pPr>
        <w:pStyle w:val="21"/>
        <w:spacing w:line="440" w:lineRule="exact"/>
        <w:outlineLvl w:val="9"/>
        <w:rPr>
          <w:rFonts w:hint="eastAsia" w:ascii="仿宋" w:hAnsi="仿宋" w:eastAsia="仿宋" w:cs="仿宋"/>
          <w:color w:val="auto"/>
        </w:rPr>
      </w:pPr>
    </w:p>
    <w:p w14:paraId="42459638">
      <w:pPr>
        <w:pStyle w:val="21"/>
        <w:spacing w:line="440" w:lineRule="exact"/>
        <w:outlineLvl w:val="9"/>
        <w:rPr>
          <w:rFonts w:hint="eastAsia" w:ascii="仿宋" w:hAnsi="仿宋" w:eastAsia="仿宋" w:cs="仿宋"/>
          <w:color w:val="auto"/>
        </w:rPr>
      </w:pPr>
      <w:r>
        <w:rPr>
          <w:rFonts w:hint="eastAsia" w:ascii="仿宋" w:hAnsi="仿宋" w:eastAsia="仿宋" w:cs="仿宋"/>
          <w:color w:val="auto"/>
          <w:sz w:val="24"/>
          <w:szCs w:val="24"/>
        </w:rPr>
        <w:t>兹声明：以上投标报价在投标有效期内一直有效</w:t>
      </w:r>
      <w:r>
        <w:rPr>
          <w:rFonts w:hint="eastAsia" w:ascii="仿宋" w:hAnsi="仿宋" w:eastAsia="仿宋" w:cs="仿宋"/>
          <w:color w:val="auto"/>
        </w:rPr>
        <w:t>。</w:t>
      </w:r>
    </w:p>
    <w:p w14:paraId="1E0DED6B">
      <w:pPr>
        <w:pStyle w:val="21"/>
        <w:spacing w:line="440" w:lineRule="exact"/>
        <w:outlineLvl w:val="9"/>
        <w:rPr>
          <w:rFonts w:hint="eastAsia" w:ascii="仿宋" w:hAnsi="仿宋" w:eastAsia="仿宋" w:cs="仿宋"/>
          <w:spacing w:val="23"/>
        </w:rPr>
      </w:pPr>
      <w:r>
        <w:rPr>
          <w:rFonts w:hint="eastAsia" w:ascii="仿宋" w:hAnsi="仿宋" w:eastAsia="仿宋" w:cs="仿宋"/>
          <w:color w:val="auto"/>
          <w:spacing w:val="-1"/>
          <w:kern w:val="0"/>
          <w:sz w:val="24"/>
          <w:szCs w:val="24"/>
          <w:lang w:val="en-US" w:eastAsia="zh-CN" w:bidi="ar-SA"/>
        </w:rPr>
        <w:t>供应商：</w:t>
      </w:r>
      <w:r>
        <w:rPr>
          <w:rFonts w:hint="eastAsia" w:ascii="仿宋" w:hAnsi="仿宋" w:eastAsia="仿宋" w:cs="仿宋"/>
          <w:color w:val="auto"/>
          <w:spacing w:val="-1"/>
          <w:kern w:val="0"/>
          <w:sz w:val="24"/>
          <w:szCs w:val="24"/>
          <w:u w:val="single"/>
          <w:lang w:val="en-US" w:eastAsia="zh-CN" w:bidi="ar-SA"/>
        </w:rPr>
        <w:t xml:space="preserve">               </w:t>
      </w:r>
      <w:r>
        <w:rPr>
          <w:rFonts w:hint="eastAsia" w:ascii="仿宋" w:hAnsi="仿宋" w:eastAsia="仿宋" w:cs="仿宋"/>
          <w:color w:val="auto"/>
          <w:spacing w:val="-1"/>
          <w:kern w:val="0"/>
          <w:sz w:val="24"/>
          <w:szCs w:val="24"/>
          <w:lang w:val="en-US" w:eastAsia="zh-CN" w:bidi="ar-SA"/>
        </w:rPr>
        <w:t>（公章）</w:t>
      </w:r>
      <w:r>
        <w:rPr>
          <w:rFonts w:hint="eastAsia" w:ascii="仿宋" w:hAnsi="仿宋" w:eastAsia="仿宋" w:cs="仿宋"/>
          <w:spacing w:val="23"/>
        </w:rPr>
        <w:t xml:space="preserve"> </w:t>
      </w:r>
    </w:p>
    <w:p w14:paraId="0CFF313D">
      <w:pPr>
        <w:pStyle w:val="8"/>
        <w:tabs>
          <w:tab w:val="left" w:pos="6736"/>
        </w:tabs>
        <w:kinsoku w:val="0"/>
        <w:overflowPunct w:val="0"/>
        <w:spacing w:before="26" w:line="337" w:lineRule="auto"/>
        <w:ind w:left="0" w:leftChars="0" w:right="1526" w:firstLine="0" w:firstLineChars="0"/>
        <w:jc w:val="lef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0317C650">
      <w:pPr>
        <w:pStyle w:val="8"/>
        <w:tabs>
          <w:tab w:val="left" w:pos="6736"/>
        </w:tabs>
        <w:kinsoku w:val="0"/>
        <w:overflowPunct w:val="0"/>
        <w:spacing w:before="26" w:line="337" w:lineRule="auto"/>
        <w:ind w:left="0" w:leftChars="0" w:right="1526" w:firstLine="0" w:firstLineChars="0"/>
        <w:jc w:val="lef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3BC66C37">
      <w:pPr>
        <w:pStyle w:val="8"/>
        <w:kinsoku w:val="0"/>
        <w:overflowPunct w:val="0"/>
        <w:spacing w:before="34" w:line="357" w:lineRule="auto"/>
        <w:ind w:left="0" w:leftChars="0" w:right="126" w:firstLine="0" w:firstLineChars="0"/>
        <w:jc w:val="both"/>
        <w:rPr>
          <w:rFonts w:hint="default" w:ascii="仿宋" w:hAnsi="仿宋" w:eastAsia="仿宋" w:cs="仿宋"/>
          <w:b/>
          <w:bCs/>
          <w:sz w:val="30"/>
          <w:szCs w:val="30"/>
          <w:lang w:val="en-US" w:eastAsia="zh-CN"/>
        </w:rPr>
      </w:pPr>
      <w:r>
        <w:rPr>
          <w:rFonts w:hint="eastAsia" w:ascii="仿宋" w:hAnsi="仿宋" w:eastAsia="仿宋" w:cs="仿宋"/>
          <w:bCs/>
          <w:sz w:val="24"/>
          <w:szCs w:val="24"/>
        </w:rPr>
        <w:t>注：本表格式不得更改，投标人只能按要求填报，否则将被视为无效投标。</w:t>
      </w:r>
      <w:r>
        <w:rPr>
          <w:rFonts w:hint="eastAsia" w:hAnsi="仿宋" w:cs="仿宋"/>
          <w:bCs/>
          <w:sz w:val="24"/>
          <w:szCs w:val="24"/>
          <w:lang w:val="en-US" w:eastAsia="zh-CN"/>
        </w:rPr>
        <w:t>报价包含设备、运输、安装、调试等所有费用。</w:t>
      </w:r>
    </w:p>
    <w:p w14:paraId="606322F5">
      <w:pPr>
        <w:pStyle w:val="8"/>
        <w:kinsoku w:val="0"/>
        <w:overflowPunct w:val="0"/>
        <w:spacing w:before="34" w:line="357" w:lineRule="auto"/>
        <w:ind w:left="0" w:leftChars="0" w:right="126" w:firstLine="0" w:firstLineChars="0"/>
        <w:jc w:val="center"/>
        <w:rPr>
          <w:rFonts w:hint="eastAsia" w:ascii="仿宋" w:hAnsi="仿宋" w:eastAsia="仿宋" w:cs="仿宋"/>
          <w:b/>
          <w:bCs/>
          <w:sz w:val="30"/>
          <w:szCs w:val="30"/>
          <w:lang w:val="en-US" w:eastAsia="zh-CN"/>
        </w:rPr>
      </w:pPr>
    </w:p>
    <w:p w14:paraId="550377B0">
      <w:pPr>
        <w:pStyle w:val="8"/>
        <w:kinsoku w:val="0"/>
        <w:overflowPunct w:val="0"/>
        <w:spacing w:before="34" w:line="357" w:lineRule="auto"/>
        <w:ind w:left="0" w:leftChars="0" w:right="126"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w:t>
      </w:r>
      <w:r>
        <w:rPr>
          <w:rFonts w:hint="eastAsia" w:hAnsi="仿宋" w:cs="仿宋"/>
          <w:b/>
          <w:bCs/>
          <w:sz w:val="30"/>
          <w:szCs w:val="30"/>
          <w:lang w:val="en-US" w:eastAsia="zh-CN"/>
        </w:rPr>
        <w:t>2</w:t>
      </w:r>
      <w:r>
        <w:rPr>
          <w:rFonts w:hint="eastAsia" w:ascii="仿宋" w:hAnsi="仿宋" w:eastAsia="仿宋" w:cs="仿宋"/>
          <w:b/>
          <w:bCs/>
          <w:sz w:val="30"/>
          <w:szCs w:val="30"/>
          <w:lang w:val="en-US" w:eastAsia="zh-CN"/>
        </w:rPr>
        <w:t>）设备采购明细报价表</w:t>
      </w:r>
      <w:r>
        <w:rPr>
          <w:rFonts w:hint="eastAsia" w:hAnsi="仿宋" w:cs="仿宋"/>
          <w:b/>
          <w:bCs/>
          <w:sz w:val="30"/>
          <w:szCs w:val="30"/>
          <w:lang w:val="en-US" w:eastAsia="zh-CN"/>
        </w:rPr>
        <w:t>（详见第四章 磋商内容）</w:t>
      </w:r>
    </w:p>
    <w:p w14:paraId="5D0906BE">
      <w:pPr>
        <w:jc w:val="both"/>
        <w:rPr>
          <w:rFonts w:hint="eastAsia" w:ascii="仿宋" w:hAnsi="仿宋" w:eastAsia="仿宋" w:cs="仿宋"/>
          <w:b/>
          <w:bCs/>
          <w:kern w:val="0"/>
          <w:sz w:val="30"/>
          <w:szCs w:val="30"/>
          <w:lang w:val="en-US" w:eastAsia="zh-CN" w:bidi="ar-SA"/>
        </w:rPr>
      </w:pPr>
    </w:p>
    <w:p w14:paraId="6376AEED">
      <w:pPr>
        <w:jc w:val="center"/>
        <w:rPr>
          <w:rFonts w:hint="eastAsia" w:ascii="仿宋" w:hAnsi="仿宋" w:eastAsia="仿宋" w:cs="仿宋"/>
          <w:lang w:val="en-US" w:eastAsia="zh-CN"/>
        </w:rPr>
      </w:pPr>
      <w:r>
        <w:rPr>
          <w:rFonts w:hint="eastAsia" w:ascii="仿宋" w:hAnsi="仿宋" w:eastAsia="仿宋" w:cs="仿宋"/>
          <w:b/>
          <w:bCs/>
          <w:kern w:val="0"/>
          <w:sz w:val="30"/>
          <w:szCs w:val="30"/>
          <w:lang w:val="en-US" w:eastAsia="zh-CN" w:bidi="ar-SA"/>
        </w:rPr>
        <w:t>（3）装修部分明细报价表（详见附件工程量清单）</w:t>
      </w:r>
    </w:p>
    <w:p w14:paraId="4BF2AC9B">
      <w:pPr>
        <w:rPr>
          <w:rFonts w:hint="eastAsia" w:ascii="仿宋" w:hAnsi="仿宋" w:eastAsia="仿宋" w:cs="仿宋"/>
        </w:rPr>
      </w:pPr>
      <w:r>
        <w:rPr>
          <w:rFonts w:hint="eastAsia" w:ascii="仿宋" w:hAnsi="仿宋" w:eastAsia="仿宋" w:cs="仿宋"/>
        </w:rPr>
        <w:br w:type="page"/>
      </w:r>
    </w:p>
    <w:p w14:paraId="19A44F80">
      <w:pPr>
        <w:pStyle w:val="8"/>
        <w:tabs>
          <w:tab w:val="left" w:pos="5145"/>
          <w:tab w:val="left" w:pos="6591"/>
          <w:tab w:val="left" w:pos="7191"/>
          <w:tab w:val="left" w:pos="7791"/>
          <w:tab w:val="left" w:pos="8247"/>
        </w:tabs>
        <w:kinsoku w:val="0"/>
        <w:wordWrap w:val="0"/>
        <w:overflowPunct w:val="0"/>
        <w:spacing w:before="166" w:line="383" w:lineRule="auto"/>
        <w:ind w:right="238"/>
        <w:jc w:val="both"/>
        <w:rPr>
          <w:rFonts w:hint="eastAsia" w:ascii="仿宋" w:hAnsi="仿宋" w:eastAsia="仿宋" w:cs="仿宋"/>
          <w:b/>
          <w:bCs/>
        </w:rPr>
      </w:pPr>
      <w:r>
        <w:rPr>
          <w:rFonts w:hint="eastAsia" w:ascii="仿宋" w:hAnsi="仿宋" w:eastAsia="仿宋" w:cs="仿宋"/>
          <w:b/>
          <w:bCs/>
          <w:sz w:val="36"/>
          <w:szCs w:val="36"/>
          <w:lang w:val="en-US" w:eastAsia="zh-CN"/>
        </w:rPr>
        <w:t>8.投标保证金缴纳凭证或保函：</w:t>
      </w:r>
    </w:p>
    <w:p w14:paraId="76F49D93">
      <w:pPr>
        <w:pStyle w:val="8"/>
        <w:kinsoku w:val="0"/>
        <w:overflowPunct w:val="0"/>
        <w:spacing w:before="0"/>
        <w:ind w:left="0"/>
        <w:rPr>
          <w:rFonts w:hint="eastAsia" w:ascii="仿宋" w:hAnsi="仿宋" w:eastAsia="仿宋" w:cs="仿宋"/>
          <w:b/>
          <w:bCs/>
          <w:sz w:val="20"/>
          <w:szCs w:val="20"/>
        </w:rPr>
      </w:pPr>
    </w:p>
    <w:p w14:paraId="558DA8B6">
      <w:pPr>
        <w:pStyle w:val="8"/>
        <w:kinsoku w:val="0"/>
        <w:overflowPunct w:val="0"/>
        <w:spacing w:before="4"/>
        <w:ind w:left="0"/>
        <w:rPr>
          <w:rFonts w:hint="eastAsia" w:ascii="仿宋" w:hAnsi="仿宋" w:eastAsia="仿宋" w:cs="仿宋"/>
          <w:b/>
          <w:bCs/>
          <w:sz w:val="23"/>
          <w:szCs w:val="23"/>
        </w:rPr>
      </w:pPr>
    </w:p>
    <w:p w14:paraId="4E84924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致：</w:t>
      </w:r>
    </w:p>
    <w:p w14:paraId="2D7B1309">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我方于</w:t>
      </w:r>
      <w:r>
        <w:rPr>
          <w:rFonts w:hint="eastAsia" w:ascii="仿宋" w:hAnsi="仿宋" w:eastAsia="仿宋" w:cs="仿宋"/>
          <w:kern w:val="0"/>
          <w:sz w:val="24"/>
          <w:szCs w:val="24"/>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 xml:space="preserve"> 日参加</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（项目名称）   </w:t>
      </w:r>
      <w:r>
        <w:rPr>
          <w:rFonts w:hint="eastAsia" w:ascii="仿宋" w:hAnsi="仿宋" w:eastAsia="仿宋" w:cs="仿宋"/>
          <w:kern w:val="0"/>
          <w:sz w:val="24"/>
          <w:szCs w:val="24"/>
        </w:rPr>
        <w:t>的投标，现保证：我方在规定的投标有效期内撤销或修改投标文件的，或者在收到中标通知书后无正当理由拒签合同或拒交规定履约担保的，投标保证金不予退还。</w:t>
      </w:r>
    </w:p>
    <w:p w14:paraId="51609E68">
      <w:pPr>
        <w:pStyle w:val="8"/>
        <w:kinsoku w:val="0"/>
        <w:overflowPunct w:val="0"/>
        <w:spacing w:before="0"/>
        <w:ind w:left="0"/>
        <w:rPr>
          <w:rFonts w:hint="eastAsia" w:ascii="仿宋" w:hAnsi="仿宋" w:eastAsia="仿宋" w:cs="仿宋"/>
        </w:rPr>
      </w:pPr>
    </w:p>
    <w:p w14:paraId="7143F0C8">
      <w:pPr>
        <w:pStyle w:val="8"/>
        <w:kinsoku w:val="0"/>
        <w:overflowPunct w:val="0"/>
        <w:spacing w:before="0"/>
        <w:ind w:left="0"/>
        <w:rPr>
          <w:rFonts w:hint="eastAsia" w:ascii="仿宋" w:hAnsi="仿宋" w:eastAsia="仿宋" w:cs="仿宋"/>
        </w:rPr>
      </w:pPr>
    </w:p>
    <w:p w14:paraId="38D92538">
      <w:pPr>
        <w:pStyle w:val="8"/>
        <w:kinsoku w:val="0"/>
        <w:overflowPunct w:val="0"/>
        <w:spacing w:before="4"/>
        <w:ind w:left="0"/>
        <w:rPr>
          <w:rFonts w:hint="eastAsia" w:ascii="仿宋" w:hAnsi="仿宋" w:eastAsia="仿宋" w:cs="仿宋"/>
          <w:sz w:val="34"/>
          <w:szCs w:val="34"/>
        </w:rPr>
      </w:pPr>
    </w:p>
    <w:p w14:paraId="5C35FB57">
      <w:pPr>
        <w:pStyle w:val="8"/>
        <w:tabs>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w w:val="95"/>
        </w:rPr>
        <w:t>（盖章）</w:t>
      </w:r>
      <w:r>
        <w:rPr>
          <w:rFonts w:hint="eastAsia" w:ascii="仿宋" w:hAnsi="仿宋" w:eastAsia="仿宋" w:cs="仿宋"/>
        </w:rPr>
        <w:t xml:space="preserve"> </w:t>
      </w:r>
    </w:p>
    <w:p w14:paraId="4013169E">
      <w:pPr>
        <w:pStyle w:val="8"/>
        <w:tabs>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法定代表人或委托代理人：</w:t>
      </w:r>
      <w:r>
        <w:rPr>
          <w:rFonts w:hint="eastAsia" w:ascii="仿宋" w:hAnsi="仿宋" w:eastAsia="仿宋" w:cs="仿宋"/>
          <w:u w:val="single"/>
        </w:rPr>
        <w:tab/>
      </w:r>
      <w:r>
        <w:rPr>
          <w:rFonts w:hint="eastAsia" w:ascii="仿宋" w:hAnsi="仿宋" w:eastAsia="仿宋" w:cs="仿宋"/>
          <w:w w:val="95"/>
        </w:rPr>
        <w:t>（</w:t>
      </w:r>
      <w:r>
        <w:rPr>
          <w:rFonts w:hint="eastAsia" w:hAnsi="仿宋" w:cs="仿宋"/>
          <w:w w:val="95"/>
          <w:lang w:val="en-US" w:eastAsia="zh-CN"/>
        </w:rPr>
        <w:t>签章</w:t>
      </w:r>
      <w:r>
        <w:rPr>
          <w:rFonts w:hint="eastAsia" w:ascii="仿宋" w:hAnsi="仿宋" w:eastAsia="仿宋" w:cs="仿宋"/>
          <w:w w:val="95"/>
        </w:rPr>
        <w:t>）</w:t>
      </w:r>
    </w:p>
    <w:p w14:paraId="00426B26">
      <w:pPr>
        <w:pStyle w:val="8"/>
        <w:tabs>
          <w:tab w:val="left" w:pos="5551"/>
          <w:tab w:val="left" w:pos="6511"/>
          <w:tab w:val="left" w:pos="7111"/>
          <w:tab w:val="left" w:pos="7711"/>
        </w:tabs>
        <w:kinsoku w:val="0"/>
        <w:overflowPunct w:val="0"/>
        <w:spacing w:before="46"/>
        <w:ind w:left="2583" w:firstLine="224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日</w:t>
      </w:r>
    </w:p>
    <w:p w14:paraId="62C09B6A">
      <w:pPr>
        <w:pStyle w:val="8"/>
        <w:kinsoku w:val="0"/>
        <w:overflowPunct w:val="0"/>
        <w:spacing w:before="0"/>
        <w:ind w:left="0"/>
        <w:rPr>
          <w:rFonts w:hint="eastAsia" w:ascii="仿宋" w:hAnsi="仿宋" w:eastAsia="仿宋" w:cs="仿宋"/>
        </w:rPr>
      </w:pPr>
    </w:p>
    <w:p w14:paraId="77485476">
      <w:pPr>
        <w:pStyle w:val="8"/>
        <w:kinsoku w:val="0"/>
        <w:overflowPunct w:val="0"/>
        <w:spacing w:before="5"/>
        <w:ind w:left="0"/>
        <w:rPr>
          <w:rFonts w:hint="eastAsia" w:ascii="仿宋" w:hAnsi="仿宋" w:eastAsia="仿宋" w:cs="仿宋"/>
          <w:sz w:val="25"/>
          <w:szCs w:val="25"/>
        </w:rPr>
      </w:pPr>
    </w:p>
    <w:p w14:paraId="057F4E5E">
      <w:pPr>
        <w:pStyle w:val="8"/>
        <w:kinsoku w:val="0"/>
        <w:overflowPunct w:val="0"/>
        <w:spacing w:before="0"/>
        <w:jc w:val="center"/>
        <w:rPr>
          <w:rFonts w:hint="eastAsia" w:ascii="仿宋" w:hAnsi="仿宋" w:eastAsia="仿宋" w:cs="仿宋"/>
        </w:rPr>
      </w:pPr>
      <w:r>
        <w:rPr>
          <w:rFonts w:hint="eastAsia" w:ascii="仿宋" w:hAnsi="仿宋" w:eastAsia="仿宋" w:cs="仿宋"/>
        </w:rPr>
        <w:t>缴费回单（复印件应附在投标文件中）</w:t>
      </w:r>
    </w:p>
    <w:p w14:paraId="3EF8D245">
      <w:pPr>
        <w:pStyle w:val="8"/>
        <w:kinsoku w:val="0"/>
        <w:overflowPunct w:val="0"/>
        <w:spacing w:before="0"/>
        <w:ind w:left="0"/>
        <w:rPr>
          <w:rFonts w:hint="eastAsia" w:ascii="仿宋" w:hAnsi="仿宋" w:eastAsia="仿宋" w:cs="仿宋"/>
          <w:sz w:val="20"/>
          <w:szCs w:val="20"/>
        </w:rPr>
      </w:pPr>
    </w:p>
    <w:p w14:paraId="0E007F26">
      <w:pPr>
        <w:pStyle w:val="8"/>
        <w:kinsoku w:val="0"/>
        <w:overflowPunct w:val="0"/>
        <w:spacing w:before="8"/>
        <w:ind w:left="0"/>
        <w:rPr>
          <w:rFonts w:hint="eastAsia" w:ascii="仿宋" w:hAnsi="仿宋" w:eastAsia="仿宋" w:cs="仿宋"/>
          <w:sz w:val="10"/>
          <w:szCs w:val="10"/>
        </w:rPr>
      </w:pPr>
    </w:p>
    <w:p w14:paraId="707BC4E2">
      <w:pPr>
        <w:pStyle w:val="8"/>
        <w:kinsoku w:val="0"/>
        <w:overflowPunct w:val="0"/>
        <w:spacing w:before="0" w:line="200" w:lineRule="atLeast"/>
        <w:ind w:left="822"/>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695950" cy="3213100"/>
                <wp:effectExtent l="0" t="0" r="0" b="6350"/>
                <wp:docPr id="125" name="组合 125"/>
                <wp:cNvGraphicFramePr/>
                <a:graphic xmlns:a="http://schemas.openxmlformats.org/drawingml/2006/main">
                  <a:graphicData uri="http://schemas.microsoft.com/office/word/2010/wordprocessingGroup">
                    <wpg:wgp>
                      <wpg:cNvGrpSpPr>
                        <a:grpSpLocks noRot="1"/>
                      </wpg:cNvGrpSpPr>
                      <wpg:grpSpPr>
                        <a:xfrm>
                          <a:off x="0" y="0"/>
                          <a:ext cx="5695950" cy="3213100"/>
                          <a:chOff x="0" y="0"/>
                          <a:chExt cx="7425" cy="5060"/>
                        </a:xfrm>
                      </wpg:grpSpPr>
                      <wpg:grpSp>
                        <wpg:cNvPr id="124" name="组合 124"/>
                        <wpg:cNvGrpSpPr/>
                        <wpg:grpSpPr>
                          <a:xfrm>
                            <a:off x="0" y="0"/>
                            <a:ext cx="7425" cy="5060"/>
                            <a:chOff x="0" y="0"/>
                            <a:chExt cx="7425" cy="5060"/>
                          </a:xfrm>
                        </wpg:grpSpPr>
                        <wps:wsp>
                          <wps:cNvPr id="45" name="任意多边形 45"/>
                          <wps:cNvSpPr/>
                          <wps:spPr>
                            <a:xfrm>
                              <a:off x="0" y="0"/>
                              <a:ext cx="7425" cy="5060"/>
                            </a:xfrm>
                            <a:custGeom>
                              <a:avLst/>
                              <a:gdLst/>
                              <a:ahLst/>
                              <a:cxnLst/>
                              <a:pathLst>
                                <a:path w="7425" h="5060">
                                  <a:moveTo>
                                    <a:pt x="483" y="19"/>
                                  </a:moveTo>
                                  <a:lnTo>
                                    <a:pt x="412" y="19"/>
                                  </a:lnTo>
                                  <a:lnTo>
                                    <a:pt x="426" y="0"/>
                                  </a:lnTo>
                                  <a:lnTo>
                                    <a:pt x="497" y="0"/>
                                  </a:lnTo>
                                  <a:lnTo>
                                    <a:pt x="483" y="19"/>
                                  </a:lnTo>
                                  <a:close/>
                                </a:path>
                              </a:pathLst>
                            </a:custGeom>
                            <a:solidFill>
                              <a:srgbClr val="000000"/>
                            </a:solidFill>
                            <a:ln>
                              <a:noFill/>
                            </a:ln>
                          </wps:spPr>
                          <wps:bodyPr upright="1"/>
                        </wps:wsp>
                        <wps:wsp>
                          <wps:cNvPr id="46" name="任意多边形 46"/>
                          <wps:cNvSpPr/>
                          <wps:spPr>
                            <a:xfrm>
                              <a:off x="0" y="0"/>
                              <a:ext cx="7425" cy="5060"/>
                            </a:xfrm>
                            <a:custGeom>
                              <a:avLst/>
                              <a:gdLst/>
                              <a:ahLst/>
                              <a:cxnLst/>
                              <a:pathLst>
                                <a:path w="7425" h="5060">
                                  <a:moveTo>
                                    <a:pt x="7011" y="19"/>
                                  </a:moveTo>
                                  <a:lnTo>
                                    <a:pt x="6940" y="19"/>
                                  </a:lnTo>
                                  <a:lnTo>
                                    <a:pt x="6926" y="0"/>
                                  </a:lnTo>
                                  <a:lnTo>
                                    <a:pt x="6998" y="0"/>
                                  </a:lnTo>
                                  <a:lnTo>
                                    <a:pt x="7011" y="19"/>
                                  </a:lnTo>
                                  <a:close/>
                                </a:path>
                              </a:pathLst>
                            </a:custGeom>
                            <a:solidFill>
                              <a:srgbClr val="000000"/>
                            </a:solidFill>
                            <a:ln>
                              <a:noFill/>
                            </a:ln>
                          </wps:spPr>
                          <wps:bodyPr upright="1"/>
                        </wps:wsp>
                        <wps:wsp>
                          <wps:cNvPr id="47" name="任意多边形 47"/>
                          <wps:cNvSpPr/>
                          <wps:spPr>
                            <a:xfrm>
                              <a:off x="0" y="0"/>
                              <a:ext cx="7425" cy="5060"/>
                            </a:xfrm>
                            <a:custGeom>
                              <a:avLst/>
                              <a:gdLst/>
                              <a:ahLst/>
                              <a:cxnLst/>
                              <a:pathLst>
                                <a:path w="7425" h="5060">
                                  <a:moveTo>
                                    <a:pt x="390" y="39"/>
                                  </a:moveTo>
                                  <a:lnTo>
                                    <a:pt x="346" y="39"/>
                                  </a:lnTo>
                                  <a:lnTo>
                                    <a:pt x="359" y="19"/>
                                  </a:lnTo>
                                  <a:lnTo>
                                    <a:pt x="403" y="19"/>
                                  </a:lnTo>
                                  <a:lnTo>
                                    <a:pt x="390" y="39"/>
                                  </a:lnTo>
                                  <a:close/>
                                </a:path>
                              </a:pathLst>
                            </a:custGeom>
                            <a:solidFill>
                              <a:srgbClr val="000000"/>
                            </a:solidFill>
                            <a:ln>
                              <a:noFill/>
                            </a:ln>
                          </wps:spPr>
                          <wps:bodyPr upright="1"/>
                        </wps:wsp>
                        <wps:wsp>
                          <wps:cNvPr id="48" name="任意多边形 48"/>
                          <wps:cNvSpPr/>
                          <wps:spPr>
                            <a:xfrm>
                              <a:off x="0" y="0"/>
                              <a:ext cx="7425" cy="5060"/>
                            </a:xfrm>
                            <a:custGeom>
                              <a:avLst/>
                              <a:gdLst/>
                              <a:ahLst/>
                              <a:cxnLst/>
                              <a:pathLst>
                                <a:path w="7425" h="5060">
                                  <a:moveTo>
                                    <a:pt x="7077" y="39"/>
                                  </a:moveTo>
                                  <a:lnTo>
                                    <a:pt x="7033" y="39"/>
                                  </a:lnTo>
                                  <a:lnTo>
                                    <a:pt x="7020" y="19"/>
                                  </a:lnTo>
                                  <a:lnTo>
                                    <a:pt x="7064" y="19"/>
                                  </a:lnTo>
                                  <a:lnTo>
                                    <a:pt x="7077" y="39"/>
                                  </a:lnTo>
                                  <a:close/>
                                </a:path>
                              </a:pathLst>
                            </a:custGeom>
                            <a:solidFill>
                              <a:srgbClr val="000000"/>
                            </a:solidFill>
                            <a:ln>
                              <a:noFill/>
                            </a:ln>
                          </wps:spPr>
                          <wps:bodyPr upright="1"/>
                        </wps:wsp>
                        <wps:wsp>
                          <wps:cNvPr id="49" name="任意多边形 49"/>
                          <wps:cNvSpPr/>
                          <wps:spPr>
                            <a:xfrm>
                              <a:off x="0" y="0"/>
                              <a:ext cx="7425" cy="5060"/>
                            </a:xfrm>
                            <a:custGeom>
                              <a:avLst/>
                              <a:gdLst/>
                              <a:ahLst/>
                              <a:cxnLst/>
                              <a:pathLst>
                                <a:path w="7425" h="5060">
                                  <a:moveTo>
                                    <a:pt x="340" y="59"/>
                                  </a:moveTo>
                                  <a:lnTo>
                                    <a:pt x="309" y="59"/>
                                  </a:lnTo>
                                  <a:lnTo>
                                    <a:pt x="321" y="39"/>
                                  </a:lnTo>
                                  <a:lnTo>
                                    <a:pt x="352" y="39"/>
                                  </a:lnTo>
                                  <a:lnTo>
                                    <a:pt x="340" y="59"/>
                                  </a:lnTo>
                                  <a:close/>
                                </a:path>
                              </a:pathLst>
                            </a:custGeom>
                            <a:solidFill>
                              <a:srgbClr val="000000"/>
                            </a:solidFill>
                            <a:ln>
                              <a:noFill/>
                            </a:ln>
                          </wps:spPr>
                          <wps:bodyPr upright="1"/>
                        </wps:wsp>
                        <wps:wsp>
                          <wps:cNvPr id="50" name="任意多边形 50"/>
                          <wps:cNvSpPr/>
                          <wps:spPr>
                            <a:xfrm>
                              <a:off x="0" y="0"/>
                              <a:ext cx="7425" cy="5060"/>
                            </a:xfrm>
                            <a:custGeom>
                              <a:avLst/>
                              <a:gdLst/>
                              <a:ahLst/>
                              <a:cxnLst/>
                              <a:pathLst>
                                <a:path w="7425" h="5060">
                                  <a:moveTo>
                                    <a:pt x="7115" y="59"/>
                                  </a:moveTo>
                                  <a:lnTo>
                                    <a:pt x="7084" y="59"/>
                                  </a:lnTo>
                                  <a:lnTo>
                                    <a:pt x="7071" y="39"/>
                                  </a:lnTo>
                                  <a:lnTo>
                                    <a:pt x="7102" y="39"/>
                                  </a:lnTo>
                                  <a:lnTo>
                                    <a:pt x="7115" y="59"/>
                                  </a:lnTo>
                                  <a:close/>
                                </a:path>
                              </a:pathLst>
                            </a:custGeom>
                            <a:solidFill>
                              <a:srgbClr val="000000"/>
                            </a:solidFill>
                            <a:ln>
                              <a:noFill/>
                            </a:ln>
                          </wps:spPr>
                          <wps:bodyPr upright="1"/>
                        </wps:wsp>
                        <wps:wsp>
                          <wps:cNvPr id="51" name="任意多边形 51"/>
                          <wps:cNvSpPr/>
                          <wps:spPr>
                            <a:xfrm>
                              <a:off x="0" y="0"/>
                              <a:ext cx="7425" cy="5060"/>
                            </a:xfrm>
                            <a:custGeom>
                              <a:avLst/>
                              <a:gdLst/>
                              <a:ahLst/>
                              <a:cxnLst/>
                              <a:pathLst>
                                <a:path w="7425" h="5060">
                                  <a:moveTo>
                                    <a:pt x="304" y="79"/>
                                  </a:moveTo>
                                  <a:lnTo>
                                    <a:pt x="273" y="79"/>
                                  </a:lnTo>
                                  <a:lnTo>
                                    <a:pt x="285" y="59"/>
                                  </a:lnTo>
                                  <a:lnTo>
                                    <a:pt x="316" y="59"/>
                                  </a:lnTo>
                                  <a:lnTo>
                                    <a:pt x="304" y="79"/>
                                  </a:lnTo>
                                  <a:close/>
                                </a:path>
                              </a:pathLst>
                            </a:custGeom>
                            <a:solidFill>
                              <a:srgbClr val="000000"/>
                            </a:solidFill>
                            <a:ln>
                              <a:noFill/>
                            </a:ln>
                          </wps:spPr>
                          <wps:bodyPr upright="1"/>
                        </wps:wsp>
                        <wps:wsp>
                          <wps:cNvPr id="52" name="任意多边形 52"/>
                          <wps:cNvSpPr/>
                          <wps:spPr>
                            <a:xfrm>
                              <a:off x="0" y="0"/>
                              <a:ext cx="7425" cy="5060"/>
                            </a:xfrm>
                            <a:custGeom>
                              <a:avLst/>
                              <a:gdLst/>
                              <a:ahLst/>
                              <a:cxnLst/>
                              <a:pathLst>
                                <a:path w="7425" h="5060">
                                  <a:moveTo>
                                    <a:pt x="7151" y="79"/>
                                  </a:moveTo>
                                  <a:lnTo>
                                    <a:pt x="7120" y="79"/>
                                  </a:lnTo>
                                  <a:lnTo>
                                    <a:pt x="7108" y="59"/>
                                  </a:lnTo>
                                  <a:lnTo>
                                    <a:pt x="7139" y="59"/>
                                  </a:lnTo>
                                  <a:lnTo>
                                    <a:pt x="7151" y="79"/>
                                  </a:lnTo>
                                  <a:close/>
                                </a:path>
                              </a:pathLst>
                            </a:custGeom>
                            <a:solidFill>
                              <a:srgbClr val="000000"/>
                            </a:solidFill>
                            <a:ln>
                              <a:noFill/>
                            </a:ln>
                          </wps:spPr>
                          <wps:bodyPr upright="1"/>
                        </wps:wsp>
                        <wps:wsp>
                          <wps:cNvPr id="53" name="任意多边形 53"/>
                          <wps:cNvSpPr/>
                          <wps:spPr>
                            <a:xfrm>
                              <a:off x="0" y="0"/>
                              <a:ext cx="7425" cy="5060"/>
                            </a:xfrm>
                            <a:custGeom>
                              <a:avLst/>
                              <a:gdLst/>
                              <a:ahLst/>
                              <a:cxnLst/>
                              <a:pathLst>
                                <a:path w="7425" h="5060">
                                  <a:moveTo>
                                    <a:pt x="269" y="99"/>
                                  </a:moveTo>
                                  <a:lnTo>
                                    <a:pt x="239" y="99"/>
                                  </a:lnTo>
                                  <a:lnTo>
                                    <a:pt x="250" y="79"/>
                                  </a:lnTo>
                                  <a:lnTo>
                                    <a:pt x="281" y="79"/>
                                  </a:lnTo>
                                  <a:lnTo>
                                    <a:pt x="269" y="99"/>
                                  </a:lnTo>
                                  <a:close/>
                                </a:path>
                              </a:pathLst>
                            </a:custGeom>
                            <a:solidFill>
                              <a:srgbClr val="000000"/>
                            </a:solidFill>
                            <a:ln>
                              <a:noFill/>
                            </a:ln>
                          </wps:spPr>
                          <wps:bodyPr upright="1"/>
                        </wps:wsp>
                        <wps:wsp>
                          <wps:cNvPr id="54" name="任意多边形 54"/>
                          <wps:cNvSpPr/>
                          <wps:spPr>
                            <a:xfrm>
                              <a:off x="0" y="0"/>
                              <a:ext cx="7425" cy="5060"/>
                            </a:xfrm>
                            <a:custGeom>
                              <a:avLst/>
                              <a:gdLst/>
                              <a:ahLst/>
                              <a:cxnLst/>
                              <a:pathLst>
                                <a:path w="7425" h="5060">
                                  <a:moveTo>
                                    <a:pt x="7185" y="99"/>
                                  </a:moveTo>
                                  <a:lnTo>
                                    <a:pt x="7154" y="99"/>
                                  </a:lnTo>
                                  <a:lnTo>
                                    <a:pt x="7143" y="79"/>
                                  </a:lnTo>
                                  <a:lnTo>
                                    <a:pt x="7174" y="79"/>
                                  </a:lnTo>
                                  <a:lnTo>
                                    <a:pt x="7185" y="99"/>
                                  </a:lnTo>
                                  <a:close/>
                                </a:path>
                              </a:pathLst>
                            </a:custGeom>
                            <a:solidFill>
                              <a:srgbClr val="000000"/>
                            </a:solidFill>
                            <a:ln>
                              <a:noFill/>
                            </a:ln>
                          </wps:spPr>
                          <wps:bodyPr upright="1"/>
                        </wps:wsp>
                        <wps:wsp>
                          <wps:cNvPr id="55" name="任意多边形 55"/>
                          <wps:cNvSpPr/>
                          <wps:spPr>
                            <a:xfrm>
                              <a:off x="0" y="0"/>
                              <a:ext cx="7425" cy="5060"/>
                            </a:xfrm>
                            <a:custGeom>
                              <a:avLst/>
                              <a:gdLst/>
                              <a:ahLst/>
                              <a:cxnLst/>
                              <a:pathLst>
                                <a:path w="7425" h="5060">
                                  <a:moveTo>
                                    <a:pt x="237" y="119"/>
                                  </a:moveTo>
                                  <a:lnTo>
                                    <a:pt x="217" y="119"/>
                                  </a:lnTo>
                                  <a:lnTo>
                                    <a:pt x="228" y="99"/>
                                  </a:lnTo>
                                  <a:lnTo>
                                    <a:pt x="247" y="99"/>
                                  </a:lnTo>
                                  <a:lnTo>
                                    <a:pt x="237" y="119"/>
                                  </a:lnTo>
                                  <a:close/>
                                </a:path>
                              </a:pathLst>
                            </a:custGeom>
                            <a:solidFill>
                              <a:srgbClr val="000000"/>
                            </a:solidFill>
                            <a:ln>
                              <a:noFill/>
                            </a:ln>
                          </wps:spPr>
                          <wps:bodyPr upright="1"/>
                        </wps:wsp>
                        <wps:wsp>
                          <wps:cNvPr id="56" name="任意多边形 56"/>
                          <wps:cNvSpPr/>
                          <wps:spPr>
                            <a:xfrm>
                              <a:off x="0" y="0"/>
                              <a:ext cx="7425" cy="5060"/>
                            </a:xfrm>
                            <a:custGeom>
                              <a:avLst/>
                              <a:gdLst/>
                              <a:ahLst/>
                              <a:cxnLst/>
                              <a:pathLst>
                                <a:path w="7425" h="5060">
                                  <a:moveTo>
                                    <a:pt x="7207" y="119"/>
                                  </a:moveTo>
                                  <a:lnTo>
                                    <a:pt x="7187" y="119"/>
                                  </a:lnTo>
                                  <a:lnTo>
                                    <a:pt x="7176" y="99"/>
                                  </a:lnTo>
                                  <a:lnTo>
                                    <a:pt x="7196" y="99"/>
                                  </a:lnTo>
                                  <a:lnTo>
                                    <a:pt x="7207" y="119"/>
                                  </a:lnTo>
                                  <a:close/>
                                </a:path>
                              </a:pathLst>
                            </a:custGeom>
                            <a:solidFill>
                              <a:srgbClr val="000000"/>
                            </a:solidFill>
                            <a:ln>
                              <a:noFill/>
                            </a:ln>
                          </wps:spPr>
                          <wps:bodyPr upright="1"/>
                        </wps:wsp>
                        <wps:wsp>
                          <wps:cNvPr id="57" name="任意多边形 57"/>
                          <wps:cNvSpPr/>
                          <wps:spPr>
                            <a:xfrm>
                              <a:off x="0" y="0"/>
                              <a:ext cx="7425" cy="5060"/>
                            </a:xfrm>
                            <a:custGeom>
                              <a:avLst/>
                              <a:gdLst/>
                              <a:ahLst/>
                              <a:cxnLst/>
                              <a:pathLst>
                                <a:path w="7425" h="5060">
                                  <a:moveTo>
                                    <a:pt x="216" y="139"/>
                                  </a:moveTo>
                                  <a:lnTo>
                                    <a:pt x="186" y="139"/>
                                  </a:lnTo>
                                  <a:lnTo>
                                    <a:pt x="196" y="119"/>
                                  </a:lnTo>
                                  <a:lnTo>
                                    <a:pt x="226" y="119"/>
                                  </a:lnTo>
                                  <a:lnTo>
                                    <a:pt x="216" y="139"/>
                                  </a:lnTo>
                                  <a:close/>
                                </a:path>
                              </a:pathLst>
                            </a:custGeom>
                            <a:solidFill>
                              <a:srgbClr val="000000"/>
                            </a:solidFill>
                            <a:ln>
                              <a:noFill/>
                            </a:ln>
                          </wps:spPr>
                          <wps:bodyPr upright="1"/>
                        </wps:wsp>
                        <wps:wsp>
                          <wps:cNvPr id="58" name="任意多边形 58"/>
                          <wps:cNvSpPr/>
                          <wps:spPr>
                            <a:xfrm>
                              <a:off x="0" y="0"/>
                              <a:ext cx="7425" cy="5060"/>
                            </a:xfrm>
                            <a:custGeom>
                              <a:avLst/>
                              <a:gdLst/>
                              <a:ahLst/>
                              <a:cxnLst/>
                              <a:pathLst>
                                <a:path w="7425" h="5060">
                                  <a:moveTo>
                                    <a:pt x="7238" y="139"/>
                                  </a:moveTo>
                                  <a:lnTo>
                                    <a:pt x="7208" y="139"/>
                                  </a:lnTo>
                                  <a:lnTo>
                                    <a:pt x="7197" y="119"/>
                                  </a:lnTo>
                                  <a:lnTo>
                                    <a:pt x="7228" y="119"/>
                                  </a:lnTo>
                                  <a:lnTo>
                                    <a:pt x="7238" y="139"/>
                                  </a:lnTo>
                                  <a:close/>
                                </a:path>
                              </a:pathLst>
                            </a:custGeom>
                            <a:solidFill>
                              <a:srgbClr val="000000"/>
                            </a:solidFill>
                            <a:ln>
                              <a:noFill/>
                            </a:ln>
                          </wps:spPr>
                          <wps:bodyPr upright="1"/>
                        </wps:wsp>
                        <wps:wsp>
                          <wps:cNvPr id="59" name="任意多边形 59"/>
                          <wps:cNvSpPr/>
                          <wps:spPr>
                            <a:xfrm>
                              <a:off x="0" y="0"/>
                              <a:ext cx="7425" cy="5060"/>
                            </a:xfrm>
                            <a:custGeom>
                              <a:avLst/>
                              <a:gdLst/>
                              <a:ahLst/>
                              <a:cxnLst/>
                              <a:pathLst>
                                <a:path w="7425" h="5060">
                                  <a:moveTo>
                                    <a:pt x="186" y="159"/>
                                  </a:moveTo>
                                  <a:lnTo>
                                    <a:pt x="166" y="159"/>
                                  </a:lnTo>
                                  <a:lnTo>
                                    <a:pt x="176" y="139"/>
                                  </a:lnTo>
                                  <a:lnTo>
                                    <a:pt x="196" y="139"/>
                                  </a:lnTo>
                                  <a:lnTo>
                                    <a:pt x="186" y="159"/>
                                  </a:lnTo>
                                  <a:close/>
                                </a:path>
                              </a:pathLst>
                            </a:custGeom>
                            <a:solidFill>
                              <a:srgbClr val="000000"/>
                            </a:solidFill>
                            <a:ln>
                              <a:noFill/>
                            </a:ln>
                          </wps:spPr>
                          <wps:bodyPr upright="1"/>
                        </wps:wsp>
                        <wps:wsp>
                          <wps:cNvPr id="60" name="任意多边形 60"/>
                          <wps:cNvSpPr/>
                          <wps:spPr>
                            <a:xfrm>
                              <a:off x="0" y="0"/>
                              <a:ext cx="7425" cy="5060"/>
                            </a:xfrm>
                            <a:custGeom>
                              <a:avLst/>
                              <a:gdLst/>
                              <a:ahLst/>
                              <a:cxnLst/>
                              <a:pathLst>
                                <a:path w="7425" h="5060">
                                  <a:moveTo>
                                    <a:pt x="7258" y="159"/>
                                  </a:moveTo>
                                  <a:lnTo>
                                    <a:pt x="7238" y="159"/>
                                  </a:lnTo>
                                  <a:lnTo>
                                    <a:pt x="7228" y="139"/>
                                  </a:lnTo>
                                  <a:lnTo>
                                    <a:pt x="7248" y="139"/>
                                  </a:lnTo>
                                  <a:lnTo>
                                    <a:pt x="7258" y="159"/>
                                  </a:lnTo>
                                  <a:close/>
                                </a:path>
                              </a:pathLst>
                            </a:custGeom>
                            <a:solidFill>
                              <a:srgbClr val="000000"/>
                            </a:solidFill>
                            <a:ln>
                              <a:noFill/>
                            </a:ln>
                          </wps:spPr>
                          <wps:bodyPr upright="1"/>
                        </wps:wsp>
                        <wps:wsp>
                          <wps:cNvPr id="61" name="任意多边形 61"/>
                          <wps:cNvSpPr/>
                          <wps:spPr>
                            <a:xfrm>
                              <a:off x="0" y="0"/>
                              <a:ext cx="7425" cy="5060"/>
                            </a:xfrm>
                            <a:custGeom>
                              <a:avLst/>
                              <a:gdLst/>
                              <a:ahLst/>
                              <a:cxnLst/>
                              <a:pathLst>
                                <a:path w="7425" h="5060">
                                  <a:moveTo>
                                    <a:pt x="167" y="179"/>
                                  </a:moveTo>
                                  <a:lnTo>
                                    <a:pt x="147" y="179"/>
                                  </a:lnTo>
                                  <a:lnTo>
                                    <a:pt x="156" y="159"/>
                                  </a:lnTo>
                                  <a:lnTo>
                                    <a:pt x="176" y="159"/>
                                  </a:lnTo>
                                  <a:lnTo>
                                    <a:pt x="167" y="179"/>
                                  </a:lnTo>
                                  <a:close/>
                                </a:path>
                              </a:pathLst>
                            </a:custGeom>
                            <a:solidFill>
                              <a:srgbClr val="000000"/>
                            </a:solidFill>
                            <a:ln>
                              <a:noFill/>
                            </a:ln>
                          </wps:spPr>
                          <wps:bodyPr upright="1"/>
                        </wps:wsp>
                        <wps:wsp>
                          <wps:cNvPr id="62" name="任意多边形 62"/>
                          <wps:cNvSpPr/>
                          <wps:spPr>
                            <a:xfrm>
                              <a:off x="0" y="0"/>
                              <a:ext cx="7425" cy="5060"/>
                            </a:xfrm>
                            <a:custGeom>
                              <a:avLst/>
                              <a:gdLst/>
                              <a:ahLst/>
                              <a:cxnLst/>
                              <a:pathLst>
                                <a:path w="7425" h="5060">
                                  <a:moveTo>
                                    <a:pt x="7277" y="179"/>
                                  </a:moveTo>
                                  <a:lnTo>
                                    <a:pt x="7256" y="179"/>
                                  </a:lnTo>
                                  <a:lnTo>
                                    <a:pt x="7247" y="159"/>
                                  </a:lnTo>
                                  <a:lnTo>
                                    <a:pt x="7267" y="159"/>
                                  </a:lnTo>
                                  <a:lnTo>
                                    <a:pt x="7277" y="179"/>
                                  </a:lnTo>
                                  <a:close/>
                                </a:path>
                              </a:pathLst>
                            </a:custGeom>
                            <a:solidFill>
                              <a:srgbClr val="000000"/>
                            </a:solidFill>
                            <a:ln>
                              <a:noFill/>
                            </a:ln>
                          </wps:spPr>
                          <wps:bodyPr upright="1"/>
                        </wps:wsp>
                        <wps:wsp>
                          <wps:cNvPr id="63" name="任意多边形 63"/>
                          <wps:cNvSpPr/>
                          <wps:spPr>
                            <a:xfrm>
                              <a:off x="0" y="0"/>
                              <a:ext cx="7425" cy="5060"/>
                            </a:xfrm>
                            <a:custGeom>
                              <a:avLst/>
                              <a:gdLst/>
                              <a:ahLst/>
                              <a:cxnLst/>
                              <a:pathLst>
                                <a:path w="7425" h="5060">
                                  <a:moveTo>
                                    <a:pt x="149" y="199"/>
                                  </a:moveTo>
                                  <a:lnTo>
                                    <a:pt x="129" y="199"/>
                                  </a:lnTo>
                                  <a:lnTo>
                                    <a:pt x="138" y="179"/>
                                  </a:lnTo>
                                  <a:lnTo>
                                    <a:pt x="158" y="179"/>
                                  </a:lnTo>
                                  <a:lnTo>
                                    <a:pt x="149" y="199"/>
                                  </a:lnTo>
                                  <a:close/>
                                </a:path>
                              </a:pathLst>
                            </a:custGeom>
                            <a:solidFill>
                              <a:srgbClr val="000000"/>
                            </a:solidFill>
                            <a:ln>
                              <a:noFill/>
                            </a:ln>
                          </wps:spPr>
                          <wps:bodyPr upright="1"/>
                        </wps:wsp>
                        <wps:wsp>
                          <wps:cNvPr id="64" name="任意多边形 64"/>
                          <wps:cNvSpPr/>
                          <wps:spPr>
                            <a:xfrm>
                              <a:off x="0" y="0"/>
                              <a:ext cx="7425" cy="5060"/>
                            </a:xfrm>
                            <a:custGeom>
                              <a:avLst/>
                              <a:gdLst/>
                              <a:ahLst/>
                              <a:cxnLst/>
                              <a:pathLst>
                                <a:path w="7425" h="5060">
                                  <a:moveTo>
                                    <a:pt x="7294" y="199"/>
                                  </a:moveTo>
                                  <a:lnTo>
                                    <a:pt x="7274" y="199"/>
                                  </a:lnTo>
                                  <a:lnTo>
                                    <a:pt x="7265" y="179"/>
                                  </a:lnTo>
                                  <a:lnTo>
                                    <a:pt x="7286" y="179"/>
                                  </a:lnTo>
                                  <a:lnTo>
                                    <a:pt x="7294" y="199"/>
                                  </a:lnTo>
                                  <a:close/>
                                </a:path>
                              </a:pathLst>
                            </a:custGeom>
                            <a:solidFill>
                              <a:srgbClr val="000000"/>
                            </a:solidFill>
                            <a:ln>
                              <a:noFill/>
                            </a:ln>
                          </wps:spPr>
                          <wps:bodyPr upright="1"/>
                        </wps:wsp>
                        <wps:wsp>
                          <wps:cNvPr id="65" name="任意多边形 65"/>
                          <wps:cNvSpPr/>
                          <wps:spPr>
                            <a:xfrm>
                              <a:off x="0" y="0"/>
                              <a:ext cx="7425" cy="5060"/>
                            </a:xfrm>
                            <a:custGeom>
                              <a:avLst/>
                              <a:gdLst/>
                              <a:ahLst/>
                              <a:cxnLst/>
                              <a:pathLst>
                                <a:path w="7425" h="5060">
                                  <a:moveTo>
                                    <a:pt x="132" y="219"/>
                                  </a:moveTo>
                                  <a:lnTo>
                                    <a:pt x="112" y="219"/>
                                  </a:lnTo>
                                  <a:lnTo>
                                    <a:pt x="121" y="199"/>
                                  </a:lnTo>
                                  <a:lnTo>
                                    <a:pt x="141" y="199"/>
                                  </a:lnTo>
                                  <a:lnTo>
                                    <a:pt x="132" y="219"/>
                                  </a:lnTo>
                                  <a:close/>
                                </a:path>
                              </a:pathLst>
                            </a:custGeom>
                            <a:solidFill>
                              <a:srgbClr val="000000"/>
                            </a:solidFill>
                            <a:ln>
                              <a:noFill/>
                            </a:ln>
                          </wps:spPr>
                          <wps:bodyPr upright="1"/>
                        </wps:wsp>
                        <wps:wsp>
                          <wps:cNvPr id="66" name="任意多边形 66"/>
                          <wps:cNvSpPr/>
                          <wps:spPr>
                            <a:xfrm>
                              <a:off x="0" y="0"/>
                              <a:ext cx="7425" cy="5060"/>
                            </a:xfrm>
                            <a:custGeom>
                              <a:avLst/>
                              <a:gdLst/>
                              <a:ahLst/>
                              <a:cxnLst/>
                              <a:pathLst>
                                <a:path w="7425" h="5060">
                                  <a:moveTo>
                                    <a:pt x="7311" y="219"/>
                                  </a:moveTo>
                                  <a:lnTo>
                                    <a:pt x="7291" y="219"/>
                                  </a:lnTo>
                                  <a:lnTo>
                                    <a:pt x="7283" y="199"/>
                                  </a:lnTo>
                                  <a:lnTo>
                                    <a:pt x="7303" y="199"/>
                                  </a:lnTo>
                                  <a:lnTo>
                                    <a:pt x="7311" y="219"/>
                                  </a:lnTo>
                                  <a:close/>
                                </a:path>
                              </a:pathLst>
                            </a:custGeom>
                            <a:solidFill>
                              <a:srgbClr val="000000"/>
                            </a:solidFill>
                            <a:ln>
                              <a:noFill/>
                            </a:ln>
                          </wps:spPr>
                          <wps:bodyPr upright="1"/>
                        </wps:wsp>
                        <wps:wsp>
                          <wps:cNvPr id="67" name="任意多边形 67"/>
                          <wps:cNvSpPr/>
                          <wps:spPr>
                            <a:xfrm>
                              <a:off x="0" y="0"/>
                              <a:ext cx="7425" cy="5060"/>
                            </a:xfrm>
                            <a:custGeom>
                              <a:avLst/>
                              <a:gdLst/>
                              <a:ahLst/>
                              <a:cxnLst/>
                              <a:pathLst>
                                <a:path w="7425" h="5060">
                                  <a:moveTo>
                                    <a:pt x="101" y="259"/>
                                  </a:moveTo>
                                  <a:lnTo>
                                    <a:pt x="89" y="259"/>
                                  </a:lnTo>
                                  <a:lnTo>
                                    <a:pt x="96" y="239"/>
                                  </a:lnTo>
                                  <a:lnTo>
                                    <a:pt x="104" y="219"/>
                                  </a:lnTo>
                                  <a:lnTo>
                                    <a:pt x="124" y="219"/>
                                  </a:lnTo>
                                  <a:lnTo>
                                    <a:pt x="116" y="239"/>
                                  </a:lnTo>
                                  <a:lnTo>
                                    <a:pt x="109" y="239"/>
                                  </a:lnTo>
                                  <a:lnTo>
                                    <a:pt x="101" y="259"/>
                                  </a:lnTo>
                                  <a:close/>
                                </a:path>
                              </a:pathLst>
                            </a:custGeom>
                            <a:solidFill>
                              <a:srgbClr val="000000"/>
                            </a:solidFill>
                            <a:ln>
                              <a:noFill/>
                            </a:ln>
                          </wps:spPr>
                          <wps:bodyPr upright="1"/>
                        </wps:wsp>
                        <wps:wsp>
                          <wps:cNvPr id="68" name="任意多边形 68"/>
                          <wps:cNvSpPr/>
                          <wps:spPr>
                            <a:xfrm>
                              <a:off x="0" y="0"/>
                              <a:ext cx="7425" cy="5060"/>
                            </a:xfrm>
                            <a:custGeom>
                              <a:avLst/>
                              <a:gdLst/>
                              <a:ahLst/>
                              <a:cxnLst/>
                              <a:pathLst>
                                <a:path w="7425" h="5060">
                                  <a:moveTo>
                                    <a:pt x="7335" y="259"/>
                                  </a:moveTo>
                                  <a:lnTo>
                                    <a:pt x="7322" y="259"/>
                                  </a:lnTo>
                                  <a:lnTo>
                                    <a:pt x="7315" y="239"/>
                                  </a:lnTo>
                                  <a:lnTo>
                                    <a:pt x="7307" y="239"/>
                                  </a:lnTo>
                                  <a:lnTo>
                                    <a:pt x="7299" y="219"/>
                                  </a:lnTo>
                                  <a:lnTo>
                                    <a:pt x="7319" y="219"/>
                                  </a:lnTo>
                                  <a:lnTo>
                                    <a:pt x="7327" y="239"/>
                                  </a:lnTo>
                                  <a:lnTo>
                                    <a:pt x="7335" y="259"/>
                                  </a:lnTo>
                                  <a:close/>
                                </a:path>
                              </a:pathLst>
                            </a:custGeom>
                            <a:solidFill>
                              <a:srgbClr val="000000"/>
                            </a:solidFill>
                            <a:ln>
                              <a:noFill/>
                            </a:ln>
                          </wps:spPr>
                          <wps:bodyPr upright="1"/>
                        </wps:wsp>
                        <wps:wsp>
                          <wps:cNvPr id="69" name="任意多边形 69"/>
                          <wps:cNvSpPr/>
                          <wps:spPr>
                            <a:xfrm>
                              <a:off x="0" y="0"/>
                              <a:ext cx="7425" cy="5060"/>
                            </a:xfrm>
                            <a:custGeom>
                              <a:avLst/>
                              <a:gdLst/>
                              <a:ahLst/>
                              <a:cxnLst/>
                              <a:pathLst>
                                <a:path w="7425" h="5060">
                                  <a:moveTo>
                                    <a:pt x="94" y="279"/>
                                  </a:moveTo>
                                  <a:lnTo>
                                    <a:pt x="75" y="279"/>
                                  </a:lnTo>
                                  <a:lnTo>
                                    <a:pt x="82" y="259"/>
                                  </a:lnTo>
                                  <a:lnTo>
                                    <a:pt x="102" y="259"/>
                                  </a:lnTo>
                                  <a:lnTo>
                                    <a:pt x="94" y="279"/>
                                  </a:lnTo>
                                  <a:close/>
                                </a:path>
                              </a:pathLst>
                            </a:custGeom>
                            <a:solidFill>
                              <a:srgbClr val="000000"/>
                            </a:solidFill>
                            <a:ln>
                              <a:noFill/>
                            </a:ln>
                          </wps:spPr>
                          <wps:bodyPr upright="1"/>
                        </wps:wsp>
                        <wps:wsp>
                          <wps:cNvPr id="70" name="任意多边形 70"/>
                          <wps:cNvSpPr/>
                          <wps:spPr>
                            <a:xfrm>
                              <a:off x="0" y="0"/>
                              <a:ext cx="7425" cy="5060"/>
                            </a:xfrm>
                            <a:custGeom>
                              <a:avLst/>
                              <a:gdLst/>
                              <a:ahLst/>
                              <a:cxnLst/>
                              <a:pathLst>
                                <a:path w="7425" h="5060">
                                  <a:moveTo>
                                    <a:pt x="7349" y="279"/>
                                  </a:moveTo>
                                  <a:lnTo>
                                    <a:pt x="7329" y="279"/>
                                  </a:lnTo>
                                  <a:lnTo>
                                    <a:pt x="7322" y="259"/>
                                  </a:lnTo>
                                  <a:lnTo>
                                    <a:pt x="7342" y="259"/>
                                  </a:lnTo>
                                  <a:lnTo>
                                    <a:pt x="7349" y="279"/>
                                  </a:lnTo>
                                  <a:close/>
                                </a:path>
                              </a:pathLst>
                            </a:custGeom>
                            <a:solidFill>
                              <a:srgbClr val="000000"/>
                            </a:solidFill>
                            <a:ln>
                              <a:noFill/>
                            </a:ln>
                          </wps:spPr>
                          <wps:bodyPr upright="1"/>
                        </wps:wsp>
                        <wps:wsp>
                          <wps:cNvPr id="71" name="任意多边形 71"/>
                          <wps:cNvSpPr/>
                          <wps:spPr>
                            <a:xfrm>
                              <a:off x="0" y="0"/>
                              <a:ext cx="7425" cy="5060"/>
                            </a:xfrm>
                            <a:custGeom>
                              <a:avLst/>
                              <a:gdLst/>
                              <a:ahLst/>
                              <a:cxnLst/>
                              <a:pathLst>
                                <a:path w="7425" h="5060">
                                  <a:moveTo>
                                    <a:pt x="69" y="319"/>
                                  </a:moveTo>
                                  <a:lnTo>
                                    <a:pt x="55" y="319"/>
                                  </a:lnTo>
                                  <a:lnTo>
                                    <a:pt x="62" y="299"/>
                                  </a:lnTo>
                                  <a:lnTo>
                                    <a:pt x="68" y="279"/>
                                  </a:lnTo>
                                  <a:lnTo>
                                    <a:pt x="88" y="279"/>
                                  </a:lnTo>
                                  <a:lnTo>
                                    <a:pt x="81" y="299"/>
                                  </a:lnTo>
                                  <a:lnTo>
                                    <a:pt x="75" y="299"/>
                                  </a:lnTo>
                                  <a:lnTo>
                                    <a:pt x="69" y="319"/>
                                  </a:lnTo>
                                  <a:close/>
                                </a:path>
                              </a:pathLst>
                            </a:custGeom>
                            <a:solidFill>
                              <a:srgbClr val="000000"/>
                            </a:solidFill>
                            <a:ln>
                              <a:noFill/>
                            </a:ln>
                          </wps:spPr>
                          <wps:bodyPr upright="1"/>
                        </wps:wsp>
                        <wps:wsp>
                          <wps:cNvPr id="72" name="任意多边形 72"/>
                          <wps:cNvSpPr/>
                          <wps:spPr>
                            <a:xfrm>
                              <a:off x="0" y="0"/>
                              <a:ext cx="7425" cy="5060"/>
                            </a:xfrm>
                            <a:custGeom>
                              <a:avLst/>
                              <a:gdLst/>
                              <a:ahLst/>
                              <a:cxnLst/>
                              <a:pathLst>
                                <a:path w="7425" h="5060">
                                  <a:moveTo>
                                    <a:pt x="7368" y="319"/>
                                  </a:moveTo>
                                  <a:lnTo>
                                    <a:pt x="7355" y="319"/>
                                  </a:lnTo>
                                  <a:lnTo>
                                    <a:pt x="7349" y="299"/>
                                  </a:lnTo>
                                  <a:lnTo>
                                    <a:pt x="7342" y="299"/>
                                  </a:lnTo>
                                  <a:lnTo>
                                    <a:pt x="7336" y="279"/>
                                  </a:lnTo>
                                  <a:lnTo>
                                    <a:pt x="7356" y="279"/>
                                  </a:lnTo>
                                  <a:lnTo>
                                    <a:pt x="7362" y="299"/>
                                  </a:lnTo>
                                  <a:lnTo>
                                    <a:pt x="7368" y="319"/>
                                  </a:lnTo>
                                  <a:close/>
                                </a:path>
                              </a:pathLst>
                            </a:custGeom>
                            <a:solidFill>
                              <a:srgbClr val="000000"/>
                            </a:solidFill>
                            <a:ln>
                              <a:noFill/>
                            </a:ln>
                          </wps:spPr>
                          <wps:bodyPr upright="1"/>
                        </wps:wsp>
                        <wps:wsp>
                          <wps:cNvPr id="73" name="任意多边形 73"/>
                          <wps:cNvSpPr/>
                          <wps:spPr>
                            <a:xfrm>
                              <a:off x="0" y="0"/>
                              <a:ext cx="7425" cy="5060"/>
                            </a:xfrm>
                            <a:custGeom>
                              <a:avLst/>
                              <a:gdLst/>
                              <a:ahLst/>
                              <a:cxnLst/>
                              <a:pathLst>
                                <a:path w="7425" h="5060">
                                  <a:moveTo>
                                    <a:pt x="63" y="339"/>
                                  </a:moveTo>
                                  <a:lnTo>
                                    <a:pt x="44" y="339"/>
                                  </a:lnTo>
                                  <a:lnTo>
                                    <a:pt x="50" y="319"/>
                                  </a:lnTo>
                                  <a:lnTo>
                                    <a:pt x="69" y="319"/>
                                  </a:lnTo>
                                  <a:lnTo>
                                    <a:pt x="63" y="339"/>
                                  </a:lnTo>
                                  <a:close/>
                                </a:path>
                              </a:pathLst>
                            </a:custGeom>
                            <a:solidFill>
                              <a:srgbClr val="000000"/>
                            </a:solidFill>
                            <a:ln>
                              <a:noFill/>
                            </a:ln>
                          </wps:spPr>
                          <wps:bodyPr upright="1"/>
                        </wps:wsp>
                        <wps:wsp>
                          <wps:cNvPr id="74" name="任意多边形 74"/>
                          <wps:cNvSpPr/>
                          <wps:spPr>
                            <a:xfrm>
                              <a:off x="0" y="0"/>
                              <a:ext cx="7425" cy="5060"/>
                            </a:xfrm>
                            <a:custGeom>
                              <a:avLst/>
                              <a:gdLst/>
                              <a:ahLst/>
                              <a:cxnLst/>
                              <a:pathLst>
                                <a:path w="7425" h="5060">
                                  <a:moveTo>
                                    <a:pt x="7380" y="339"/>
                                  </a:moveTo>
                                  <a:lnTo>
                                    <a:pt x="7360" y="339"/>
                                  </a:lnTo>
                                  <a:lnTo>
                                    <a:pt x="7355" y="319"/>
                                  </a:lnTo>
                                  <a:lnTo>
                                    <a:pt x="7374" y="319"/>
                                  </a:lnTo>
                                  <a:lnTo>
                                    <a:pt x="7380" y="339"/>
                                  </a:lnTo>
                                  <a:close/>
                                </a:path>
                              </a:pathLst>
                            </a:custGeom>
                            <a:solidFill>
                              <a:srgbClr val="000000"/>
                            </a:solidFill>
                            <a:ln>
                              <a:noFill/>
                            </a:ln>
                          </wps:spPr>
                          <wps:bodyPr upright="1"/>
                        </wps:wsp>
                        <wps:wsp>
                          <wps:cNvPr id="75" name="任意多边形 75"/>
                          <wps:cNvSpPr/>
                          <wps:spPr>
                            <a:xfrm>
                              <a:off x="0" y="0"/>
                              <a:ext cx="7425" cy="5060"/>
                            </a:xfrm>
                            <a:custGeom>
                              <a:avLst/>
                              <a:gdLst/>
                              <a:ahLst/>
                              <a:cxnLst/>
                              <a:pathLst>
                                <a:path w="7425" h="5060">
                                  <a:moveTo>
                                    <a:pt x="43" y="379"/>
                                  </a:moveTo>
                                  <a:lnTo>
                                    <a:pt x="29" y="379"/>
                                  </a:lnTo>
                                  <a:lnTo>
                                    <a:pt x="34" y="359"/>
                                  </a:lnTo>
                                  <a:lnTo>
                                    <a:pt x="39" y="339"/>
                                  </a:lnTo>
                                  <a:lnTo>
                                    <a:pt x="58" y="339"/>
                                  </a:lnTo>
                                  <a:lnTo>
                                    <a:pt x="53" y="359"/>
                                  </a:lnTo>
                                  <a:lnTo>
                                    <a:pt x="48" y="359"/>
                                  </a:lnTo>
                                  <a:lnTo>
                                    <a:pt x="43" y="379"/>
                                  </a:lnTo>
                                  <a:close/>
                                </a:path>
                              </a:pathLst>
                            </a:custGeom>
                            <a:solidFill>
                              <a:srgbClr val="000000"/>
                            </a:solidFill>
                            <a:ln>
                              <a:noFill/>
                            </a:ln>
                          </wps:spPr>
                          <wps:bodyPr upright="1"/>
                        </wps:wsp>
                        <wps:wsp>
                          <wps:cNvPr id="76" name="任意多边形 76"/>
                          <wps:cNvSpPr/>
                          <wps:spPr>
                            <a:xfrm>
                              <a:off x="0" y="0"/>
                              <a:ext cx="7425" cy="5060"/>
                            </a:xfrm>
                            <a:custGeom>
                              <a:avLst/>
                              <a:gdLst/>
                              <a:ahLst/>
                              <a:cxnLst/>
                              <a:pathLst>
                                <a:path w="7425" h="5060">
                                  <a:moveTo>
                                    <a:pt x="7394" y="379"/>
                                  </a:moveTo>
                                  <a:lnTo>
                                    <a:pt x="7380" y="379"/>
                                  </a:lnTo>
                                  <a:lnTo>
                                    <a:pt x="7376" y="359"/>
                                  </a:lnTo>
                                  <a:lnTo>
                                    <a:pt x="7371" y="359"/>
                                  </a:lnTo>
                                  <a:lnTo>
                                    <a:pt x="7366" y="339"/>
                                  </a:lnTo>
                                  <a:lnTo>
                                    <a:pt x="7385" y="339"/>
                                  </a:lnTo>
                                  <a:lnTo>
                                    <a:pt x="7390" y="359"/>
                                  </a:lnTo>
                                  <a:lnTo>
                                    <a:pt x="7394" y="379"/>
                                  </a:lnTo>
                                  <a:close/>
                                </a:path>
                              </a:pathLst>
                            </a:custGeom>
                            <a:solidFill>
                              <a:srgbClr val="000000"/>
                            </a:solidFill>
                            <a:ln>
                              <a:noFill/>
                            </a:ln>
                          </wps:spPr>
                          <wps:bodyPr upright="1"/>
                        </wps:wsp>
                        <wps:wsp>
                          <wps:cNvPr id="77" name="任意多边形 77"/>
                          <wps:cNvSpPr/>
                          <wps:spPr>
                            <a:xfrm>
                              <a:off x="0" y="0"/>
                              <a:ext cx="7425" cy="5060"/>
                            </a:xfrm>
                            <a:custGeom>
                              <a:avLst/>
                              <a:gdLst/>
                              <a:ahLst/>
                              <a:cxnLst/>
                              <a:pathLst>
                                <a:path w="7425" h="5060">
                                  <a:moveTo>
                                    <a:pt x="32" y="419"/>
                                  </a:moveTo>
                                  <a:lnTo>
                                    <a:pt x="17" y="419"/>
                                  </a:lnTo>
                                  <a:lnTo>
                                    <a:pt x="21" y="399"/>
                                  </a:lnTo>
                                  <a:lnTo>
                                    <a:pt x="25" y="379"/>
                                  </a:lnTo>
                                  <a:lnTo>
                                    <a:pt x="43" y="379"/>
                                  </a:lnTo>
                                  <a:lnTo>
                                    <a:pt x="39" y="399"/>
                                  </a:lnTo>
                                  <a:lnTo>
                                    <a:pt x="35" y="399"/>
                                  </a:lnTo>
                                  <a:lnTo>
                                    <a:pt x="32" y="419"/>
                                  </a:lnTo>
                                  <a:close/>
                                </a:path>
                              </a:pathLst>
                            </a:custGeom>
                            <a:solidFill>
                              <a:srgbClr val="000000"/>
                            </a:solidFill>
                            <a:ln>
                              <a:noFill/>
                            </a:ln>
                          </wps:spPr>
                          <wps:bodyPr upright="1"/>
                        </wps:wsp>
                        <wps:wsp>
                          <wps:cNvPr id="78" name="任意多边形 78"/>
                          <wps:cNvSpPr/>
                          <wps:spPr>
                            <a:xfrm>
                              <a:off x="0" y="0"/>
                              <a:ext cx="7425" cy="5060"/>
                            </a:xfrm>
                            <a:custGeom>
                              <a:avLst/>
                              <a:gdLst/>
                              <a:ahLst/>
                              <a:cxnLst/>
                              <a:pathLst>
                                <a:path w="7425" h="5060">
                                  <a:moveTo>
                                    <a:pt x="7406" y="419"/>
                                  </a:moveTo>
                                  <a:lnTo>
                                    <a:pt x="7392" y="419"/>
                                  </a:lnTo>
                                  <a:lnTo>
                                    <a:pt x="7388" y="399"/>
                                  </a:lnTo>
                                  <a:lnTo>
                                    <a:pt x="7384" y="399"/>
                                  </a:lnTo>
                                  <a:lnTo>
                                    <a:pt x="7380" y="379"/>
                                  </a:lnTo>
                                  <a:lnTo>
                                    <a:pt x="7399" y="379"/>
                                  </a:lnTo>
                                  <a:lnTo>
                                    <a:pt x="7403" y="399"/>
                                  </a:lnTo>
                                  <a:lnTo>
                                    <a:pt x="7406" y="419"/>
                                  </a:lnTo>
                                  <a:close/>
                                </a:path>
                              </a:pathLst>
                            </a:custGeom>
                            <a:solidFill>
                              <a:srgbClr val="000000"/>
                            </a:solidFill>
                            <a:ln>
                              <a:noFill/>
                            </a:ln>
                          </wps:spPr>
                          <wps:bodyPr upright="1"/>
                        </wps:wsp>
                        <wps:wsp>
                          <wps:cNvPr id="79" name="任意多边形 79"/>
                          <wps:cNvSpPr/>
                          <wps:spPr>
                            <a:xfrm>
                              <a:off x="0" y="0"/>
                              <a:ext cx="7425" cy="5060"/>
                            </a:xfrm>
                            <a:custGeom>
                              <a:avLst/>
                              <a:gdLst/>
                              <a:ahLst/>
                              <a:cxnLst/>
                              <a:pathLst>
                                <a:path w="7425" h="5060">
                                  <a:moveTo>
                                    <a:pt x="21" y="479"/>
                                  </a:moveTo>
                                  <a:lnTo>
                                    <a:pt x="6" y="479"/>
                                  </a:lnTo>
                                  <a:lnTo>
                                    <a:pt x="8" y="459"/>
                                  </a:lnTo>
                                  <a:lnTo>
                                    <a:pt x="11" y="439"/>
                                  </a:lnTo>
                                  <a:lnTo>
                                    <a:pt x="14" y="419"/>
                                  </a:lnTo>
                                  <a:lnTo>
                                    <a:pt x="32" y="419"/>
                                  </a:lnTo>
                                  <a:lnTo>
                                    <a:pt x="28" y="439"/>
                                  </a:lnTo>
                                  <a:lnTo>
                                    <a:pt x="26" y="439"/>
                                  </a:lnTo>
                                  <a:lnTo>
                                    <a:pt x="23" y="459"/>
                                  </a:lnTo>
                                  <a:lnTo>
                                    <a:pt x="23" y="459"/>
                                  </a:lnTo>
                                  <a:lnTo>
                                    <a:pt x="21" y="479"/>
                                  </a:lnTo>
                                  <a:close/>
                                </a:path>
                              </a:pathLst>
                            </a:custGeom>
                            <a:solidFill>
                              <a:srgbClr val="000000"/>
                            </a:solidFill>
                            <a:ln>
                              <a:noFill/>
                            </a:ln>
                          </wps:spPr>
                          <wps:bodyPr upright="1"/>
                        </wps:wsp>
                        <wps:wsp>
                          <wps:cNvPr id="80" name="任意多边形 80"/>
                          <wps:cNvSpPr/>
                          <wps:spPr>
                            <a:xfrm>
                              <a:off x="0" y="0"/>
                              <a:ext cx="7425" cy="5060"/>
                            </a:xfrm>
                            <a:custGeom>
                              <a:avLst/>
                              <a:gdLst/>
                              <a:ahLst/>
                              <a:cxnLst/>
                              <a:pathLst>
                                <a:path w="7425" h="5060">
                                  <a:moveTo>
                                    <a:pt x="7418" y="479"/>
                                  </a:moveTo>
                                  <a:lnTo>
                                    <a:pt x="7403" y="479"/>
                                  </a:lnTo>
                                  <a:lnTo>
                                    <a:pt x="7401" y="459"/>
                                  </a:lnTo>
                                  <a:lnTo>
                                    <a:pt x="7401" y="459"/>
                                  </a:lnTo>
                                  <a:lnTo>
                                    <a:pt x="7398" y="439"/>
                                  </a:lnTo>
                                  <a:lnTo>
                                    <a:pt x="7395" y="439"/>
                                  </a:lnTo>
                                  <a:lnTo>
                                    <a:pt x="7392" y="419"/>
                                  </a:lnTo>
                                  <a:lnTo>
                                    <a:pt x="7410" y="419"/>
                                  </a:lnTo>
                                  <a:lnTo>
                                    <a:pt x="7413" y="439"/>
                                  </a:lnTo>
                                  <a:lnTo>
                                    <a:pt x="7415" y="459"/>
                                  </a:lnTo>
                                  <a:lnTo>
                                    <a:pt x="7418" y="479"/>
                                  </a:lnTo>
                                  <a:close/>
                                </a:path>
                              </a:pathLst>
                            </a:custGeom>
                            <a:solidFill>
                              <a:srgbClr val="000000"/>
                            </a:solidFill>
                            <a:ln>
                              <a:noFill/>
                            </a:ln>
                          </wps:spPr>
                          <wps:bodyPr upright="1"/>
                        </wps:wsp>
                        <wps:wsp>
                          <wps:cNvPr id="81" name="任意多边形 81"/>
                          <wps:cNvSpPr/>
                          <wps:spPr>
                            <a:xfrm>
                              <a:off x="0" y="0"/>
                              <a:ext cx="7425" cy="5060"/>
                            </a:xfrm>
                            <a:custGeom>
                              <a:avLst/>
                              <a:gdLst/>
                              <a:ahLst/>
                              <a:cxnLst/>
                              <a:pathLst>
                                <a:path w="7425" h="5060">
                                  <a:moveTo>
                                    <a:pt x="16" y="519"/>
                                  </a:moveTo>
                                  <a:lnTo>
                                    <a:pt x="1" y="519"/>
                                  </a:lnTo>
                                  <a:lnTo>
                                    <a:pt x="2" y="499"/>
                                  </a:lnTo>
                                  <a:lnTo>
                                    <a:pt x="4" y="479"/>
                                  </a:lnTo>
                                  <a:lnTo>
                                    <a:pt x="19" y="479"/>
                                  </a:lnTo>
                                  <a:lnTo>
                                    <a:pt x="17" y="499"/>
                                  </a:lnTo>
                                  <a:lnTo>
                                    <a:pt x="17" y="499"/>
                                  </a:lnTo>
                                  <a:lnTo>
                                    <a:pt x="16" y="519"/>
                                  </a:lnTo>
                                  <a:close/>
                                </a:path>
                              </a:pathLst>
                            </a:custGeom>
                            <a:solidFill>
                              <a:srgbClr val="000000"/>
                            </a:solidFill>
                            <a:ln>
                              <a:noFill/>
                            </a:ln>
                          </wps:spPr>
                          <wps:bodyPr upright="1"/>
                        </wps:wsp>
                        <wps:wsp>
                          <wps:cNvPr id="82" name="任意多边形 82"/>
                          <wps:cNvSpPr/>
                          <wps:spPr>
                            <a:xfrm>
                              <a:off x="0" y="0"/>
                              <a:ext cx="7425" cy="5060"/>
                            </a:xfrm>
                            <a:custGeom>
                              <a:avLst/>
                              <a:gdLst/>
                              <a:ahLst/>
                              <a:cxnLst/>
                              <a:pathLst>
                                <a:path w="7425" h="5060">
                                  <a:moveTo>
                                    <a:pt x="7423" y="519"/>
                                  </a:moveTo>
                                  <a:lnTo>
                                    <a:pt x="7408" y="519"/>
                                  </a:lnTo>
                                  <a:lnTo>
                                    <a:pt x="7406" y="499"/>
                                  </a:lnTo>
                                  <a:lnTo>
                                    <a:pt x="7406" y="499"/>
                                  </a:lnTo>
                                  <a:lnTo>
                                    <a:pt x="7405" y="479"/>
                                  </a:lnTo>
                                  <a:lnTo>
                                    <a:pt x="7420" y="479"/>
                                  </a:lnTo>
                                  <a:lnTo>
                                    <a:pt x="7421" y="499"/>
                                  </a:lnTo>
                                  <a:lnTo>
                                    <a:pt x="7423" y="519"/>
                                  </a:lnTo>
                                  <a:close/>
                                </a:path>
                              </a:pathLst>
                            </a:custGeom>
                            <a:solidFill>
                              <a:srgbClr val="000000"/>
                            </a:solidFill>
                            <a:ln>
                              <a:noFill/>
                            </a:ln>
                          </wps:spPr>
                          <wps:bodyPr upright="1"/>
                        </wps:wsp>
                        <wps:wsp>
                          <wps:cNvPr id="83" name="任意多边形 83"/>
                          <wps:cNvSpPr/>
                          <wps:spPr>
                            <a:xfrm>
                              <a:off x="0" y="0"/>
                              <a:ext cx="7425" cy="5060"/>
                            </a:xfrm>
                            <a:custGeom>
                              <a:avLst/>
                              <a:gdLst/>
                              <a:ahLst/>
                              <a:cxnLst/>
                              <a:pathLst>
                                <a:path w="7425" h="5060">
                                  <a:moveTo>
                                    <a:pt x="19" y="4559"/>
                                  </a:moveTo>
                                  <a:lnTo>
                                    <a:pt x="2" y="4559"/>
                                  </a:lnTo>
                                  <a:lnTo>
                                    <a:pt x="1" y="4539"/>
                                  </a:lnTo>
                                  <a:lnTo>
                                    <a:pt x="0" y="4519"/>
                                  </a:lnTo>
                                  <a:lnTo>
                                    <a:pt x="0" y="4499"/>
                                  </a:lnTo>
                                  <a:lnTo>
                                    <a:pt x="0" y="539"/>
                                  </a:lnTo>
                                  <a:lnTo>
                                    <a:pt x="0" y="519"/>
                                  </a:lnTo>
                                  <a:lnTo>
                                    <a:pt x="15" y="519"/>
                                  </a:lnTo>
                                  <a:lnTo>
                                    <a:pt x="15" y="539"/>
                                  </a:lnTo>
                                  <a:lnTo>
                                    <a:pt x="15" y="4499"/>
                                  </a:lnTo>
                                  <a:lnTo>
                                    <a:pt x="15" y="4519"/>
                                  </a:lnTo>
                                  <a:lnTo>
                                    <a:pt x="16" y="4539"/>
                                  </a:lnTo>
                                  <a:lnTo>
                                    <a:pt x="17" y="4539"/>
                                  </a:lnTo>
                                  <a:lnTo>
                                    <a:pt x="19" y="4559"/>
                                  </a:lnTo>
                                  <a:close/>
                                </a:path>
                              </a:pathLst>
                            </a:custGeom>
                            <a:solidFill>
                              <a:srgbClr val="000000"/>
                            </a:solidFill>
                            <a:ln>
                              <a:noFill/>
                            </a:ln>
                          </wps:spPr>
                          <wps:bodyPr upright="1"/>
                        </wps:wsp>
                        <wps:wsp>
                          <wps:cNvPr id="84" name="任意多边形 84"/>
                          <wps:cNvSpPr/>
                          <wps:spPr>
                            <a:xfrm>
                              <a:off x="0" y="0"/>
                              <a:ext cx="7425" cy="5060"/>
                            </a:xfrm>
                            <a:custGeom>
                              <a:avLst/>
                              <a:gdLst/>
                              <a:ahLst/>
                              <a:cxnLst/>
                              <a:pathLst>
                                <a:path w="7425" h="5060">
                                  <a:moveTo>
                                    <a:pt x="7421" y="4559"/>
                                  </a:moveTo>
                                  <a:lnTo>
                                    <a:pt x="7405" y="4559"/>
                                  </a:lnTo>
                                  <a:lnTo>
                                    <a:pt x="7406" y="4539"/>
                                  </a:lnTo>
                                  <a:lnTo>
                                    <a:pt x="7408" y="4539"/>
                                  </a:lnTo>
                                  <a:lnTo>
                                    <a:pt x="7408" y="4519"/>
                                  </a:lnTo>
                                  <a:lnTo>
                                    <a:pt x="7408" y="4519"/>
                                  </a:lnTo>
                                  <a:lnTo>
                                    <a:pt x="7409" y="4499"/>
                                  </a:lnTo>
                                  <a:lnTo>
                                    <a:pt x="7409" y="539"/>
                                  </a:lnTo>
                                  <a:lnTo>
                                    <a:pt x="7408" y="519"/>
                                  </a:lnTo>
                                  <a:lnTo>
                                    <a:pt x="7423" y="519"/>
                                  </a:lnTo>
                                  <a:lnTo>
                                    <a:pt x="7424" y="539"/>
                                  </a:lnTo>
                                  <a:lnTo>
                                    <a:pt x="7424" y="4499"/>
                                  </a:lnTo>
                                  <a:lnTo>
                                    <a:pt x="7423" y="4519"/>
                                  </a:lnTo>
                                  <a:lnTo>
                                    <a:pt x="7423" y="4539"/>
                                  </a:lnTo>
                                  <a:lnTo>
                                    <a:pt x="7421" y="4559"/>
                                  </a:lnTo>
                                  <a:close/>
                                </a:path>
                              </a:pathLst>
                            </a:custGeom>
                            <a:solidFill>
                              <a:srgbClr val="000000"/>
                            </a:solidFill>
                            <a:ln>
                              <a:noFill/>
                            </a:ln>
                          </wps:spPr>
                          <wps:bodyPr upright="1"/>
                        </wps:wsp>
                        <wps:wsp>
                          <wps:cNvPr id="85" name="任意多边形 85"/>
                          <wps:cNvSpPr/>
                          <wps:spPr>
                            <a:xfrm>
                              <a:off x="0" y="0"/>
                              <a:ext cx="7425" cy="5060"/>
                            </a:xfrm>
                            <a:custGeom>
                              <a:avLst/>
                              <a:gdLst/>
                              <a:ahLst/>
                              <a:cxnLst/>
                              <a:pathLst>
                                <a:path w="7425" h="5060">
                                  <a:moveTo>
                                    <a:pt x="23" y="4599"/>
                                  </a:moveTo>
                                  <a:lnTo>
                                    <a:pt x="8" y="4599"/>
                                  </a:lnTo>
                                  <a:lnTo>
                                    <a:pt x="6" y="4579"/>
                                  </a:lnTo>
                                  <a:lnTo>
                                    <a:pt x="4" y="4559"/>
                                  </a:lnTo>
                                  <a:lnTo>
                                    <a:pt x="19" y="4559"/>
                                  </a:lnTo>
                                  <a:lnTo>
                                    <a:pt x="21" y="4579"/>
                                  </a:lnTo>
                                  <a:lnTo>
                                    <a:pt x="21" y="4579"/>
                                  </a:lnTo>
                                  <a:lnTo>
                                    <a:pt x="23" y="4599"/>
                                  </a:lnTo>
                                  <a:close/>
                                </a:path>
                              </a:pathLst>
                            </a:custGeom>
                            <a:solidFill>
                              <a:srgbClr val="000000"/>
                            </a:solidFill>
                            <a:ln>
                              <a:noFill/>
                            </a:ln>
                          </wps:spPr>
                          <wps:bodyPr upright="1"/>
                        </wps:wsp>
                        <wps:wsp>
                          <wps:cNvPr id="86" name="任意多边形 86"/>
                          <wps:cNvSpPr/>
                          <wps:spPr>
                            <a:xfrm>
                              <a:off x="0" y="0"/>
                              <a:ext cx="7425" cy="5060"/>
                            </a:xfrm>
                            <a:custGeom>
                              <a:avLst/>
                              <a:gdLst/>
                              <a:ahLst/>
                              <a:cxnLst/>
                              <a:pathLst>
                                <a:path w="7425" h="5060">
                                  <a:moveTo>
                                    <a:pt x="7415" y="4599"/>
                                  </a:moveTo>
                                  <a:lnTo>
                                    <a:pt x="7401" y="4599"/>
                                  </a:lnTo>
                                  <a:lnTo>
                                    <a:pt x="7403" y="4579"/>
                                  </a:lnTo>
                                  <a:lnTo>
                                    <a:pt x="7403" y="4579"/>
                                  </a:lnTo>
                                  <a:lnTo>
                                    <a:pt x="7405" y="4559"/>
                                  </a:lnTo>
                                  <a:lnTo>
                                    <a:pt x="7420" y="4559"/>
                                  </a:lnTo>
                                  <a:lnTo>
                                    <a:pt x="7418" y="4579"/>
                                  </a:lnTo>
                                  <a:lnTo>
                                    <a:pt x="7415" y="4599"/>
                                  </a:lnTo>
                                  <a:close/>
                                </a:path>
                              </a:pathLst>
                            </a:custGeom>
                            <a:solidFill>
                              <a:srgbClr val="000000"/>
                            </a:solidFill>
                            <a:ln>
                              <a:noFill/>
                            </a:ln>
                          </wps:spPr>
                          <wps:bodyPr upright="1"/>
                        </wps:wsp>
                        <wps:wsp>
                          <wps:cNvPr id="87" name="任意多边形 87"/>
                          <wps:cNvSpPr/>
                          <wps:spPr>
                            <a:xfrm>
                              <a:off x="0" y="0"/>
                              <a:ext cx="7425" cy="5060"/>
                            </a:xfrm>
                            <a:custGeom>
                              <a:avLst/>
                              <a:gdLst/>
                              <a:ahLst/>
                              <a:cxnLst/>
                              <a:pathLst>
                                <a:path w="7425" h="5060">
                                  <a:moveTo>
                                    <a:pt x="32" y="4639"/>
                                  </a:moveTo>
                                  <a:lnTo>
                                    <a:pt x="17" y="4639"/>
                                  </a:lnTo>
                                  <a:lnTo>
                                    <a:pt x="14" y="4619"/>
                                  </a:lnTo>
                                  <a:lnTo>
                                    <a:pt x="11" y="4599"/>
                                  </a:lnTo>
                                  <a:lnTo>
                                    <a:pt x="26" y="4599"/>
                                  </a:lnTo>
                                  <a:lnTo>
                                    <a:pt x="29" y="4619"/>
                                  </a:lnTo>
                                  <a:lnTo>
                                    <a:pt x="28" y="4619"/>
                                  </a:lnTo>
                                  <a:lnTo>
                                    <a:pt x="32" y="4639"/>
                                  </a:lnTo>
                                  <a:close/>
                                </a:path>
                              </a:pathLst>
                            </a:custGeom>
                            <a:solidFill>
                              <a:srgbClr val="000000"/>
                            </a:solidFill>
                            <a:ln>
                              <a:noFill/>
                            </a:ln>
                          </wps:spPr>
                          <wps:bodyPr upright="1"/>
                        </wps:wsp>
                        <wps:wsp>
                          <wps:cNvPr id="88" name="任意多边形 88"/>
                          <wps:cNvSpPr/>
                          <wps:spPr>
                            <a:xfrm>
                              <a:off x="0" y="0"/>
                              <a:ext cx="7425" cy="5060"/>
                            </a:xfrm>
                            <a:custGeom>
                              <a:avLst/>
                              <a:gdLst/>
                              <a:ahLst/>
                              <a:cxnLst/>
                              <a:pathLst>
                                <a:path w="7425" h="5060">
                                  <a:moveTo>
                                    <a:pt x="7406" y="4639"/>
                                  </a:moveTo>
                                  <a:lnTo>
                                    <a:pt x="7392" y="4639"/>
                                  </a:lnTo>
                                  <a:lnTo>
                                    <a:pt x="7395" y="4619"/>
                                  </a:lnTo>
                                  <a:lnTo>
                                    <a:pt x="7395" y="4619"/>
                                  </a:lnTo>
                                  <a:lnTo>
                                    <a:pt x="7398" y="4599"/>
                                  </a:lnTo>
                                  <a:lnTo>
                                    <a:pt x="7413" y="4599"/>
                                  </a:lnTo>
                                  <a:lnTo>
                                    <a:pt x="7410" y="4619"/>
                                  </a:lnTo>
                                  <a:lnTo>
                                    <a:pt x="7406" y="4639"/>
                                  </a:lnTo>
                                  <a:close/>
                                </a:path>
                              </a:pathLst>
                            </a:custGeom>
                            <a:solidFill>
                              <a:srgbClr val="000000"/>
                            </a:solidFill>
                            <a:ln>
                              <a:noFill/>
                            </a:ln>
                          </wps:spPr>
                          <wps:bodyPr upright="1"/>
                        </wps:wsp>
                        <wps:wsp>
                          <wps:cNvPr id="89" name="任意多边形 89"/>
                          <wps:cNvSpPr/>
                          <wps:spPr>
                            <a:xfrm>
                              <a:off x="0" y="0"/>
                              <a:ext cx="7425" cy="5060"/>
                            </a:xfrm>
                            <a:custGeom>
                              <a:avLst/>
                              <a:gdLst/>
                              <a:ahLst/>
                              <a:cxnLst/>
                              <a:pathLst>
                                <a:path w="7425" h="5060">
                                  <a:moveTo>
                                    <a:pt x="43" y="4679"/>
                                  </a:moveTo>
                                  <a:lnTo>
                                    <a:pt x="29" y="4679"/>
                                  </a:lnTo>
                                  <a:lnTo>
                                    <a:pt x="25" y="4659"/>
                                  </a:lnTo>
                                  <a:lnTo>
                                    <a:pt x="21" y="4639"/>
                                  </a:lnTo>
                                  <a:lnTo>
                                    <a:pt x="35" y="4639"/>
                                  </a:lnTo>
                                  <a:lnTo>
                                    <a:pt x="39" y="4659"/>
                                  </a:lnTo>
                                  <a:lnTo>
                                    <a:pt x="39" y="4659"/>
                                  </a:lnTo>
                                  <a:lnTo>
                                    <a:pt x="43" y="4679"/>
                                  </a:lnTo>
                                  <a:close/>
                                </a:path>
                              </a:pathLst>
                            </a:custGeom>
                            <a:solidFill>
                              <a:srgbClr val="000000"/>
                            </a:solidFill>
                            <a:ln>
                              <a:noFill/>
                            </a:ln>
                          </wps:spPr>
                          <wps:bodyPr upright="1"/>
                        </wps:wsp>
                        <wps:wsp>
                          <wps:cNvPr id="90" name="任意多边形 90"/>
                          <wps:cNvSpPr/>
                          <wps:spPr>
                            <a:xfrm>
                              <a:off x="0" y="0"/>
                              <a:ext cx="7425" cy="5060"/>
                            </a:xfrm>
                            <a:custGeom>
                              <a:avLst/>
                              <a:gdLst/>
                              <a:ahLst/>
                              <a:cxnLst/>
                              <a:pathLst>
                                <a:path w="7425" h="5060">
                                  <a:moveTo>
                                    <a:pt x="7394" y="4679"/>
                                  </a:moveTo>
                                  <a:lnTo>
                                    <a:pt x="7380" y="4679"/>
                                  </a:lnTo>
                                  <a:lnTo>
                                    <a:pt x="7384" y="4659"/>
                                  </a:lnTo>
                                  <a:lnTo>
                                    <a:pt x="7384" y="4659"/>
                                  </a:lnTo>
                                  <a:lnTo>
                                    <a:pt x="7388" y="4639"/>
                                  </a:lnTo>
                                  <a:lnTo>
                                    <a:pt x="7403" y="4639"/>
                                  </a:lnTo>
                                  <a:lnTo>
                                    <a:pt x="7399" y="4659"/>
                                  </a:lnTo>
                                  <a:lnTo>
                                    <a:pt x="7394" y="4679"/>
                                  </a:lnTo>
                                  <a:close/>
                                </a:path>
                              </a:pathLst>
                            </a:custGeom>
                            <a:solidFill>
                              <a:srgbClr val="000000"/>
                            </a:solidFill>
                            <a:ln>
                              <a:noFill/>
                            </a:ln>
                          </wps:spPr>
                          <wps:bodyPr upright="1"/>
                        </wps:wsp>
                        <wps:wsp>
                          <wps:cNvPr id="91" name="任意多边形 91"/>
                          <wps:cNvSpPr/>
                          <wps:spPr>
                            <a:xfrm>
                              <a:off x="0" y="0"/>
                              <a:ext cx="7425" cy="5060"/>
                            </a:xfrm>
                            <a:custGeom>
                              <a:avLst/>
                              <a:gdLst/>
                              <a:ahLst/>
                              <a:cxnLst/>
                              <a:pathLst>
                                <a:path w="7425" h="5060">
                                  <a:moveTo>
                                    <a:pt x="48" y="4679"/>
                                  </a:moveTo>
                                  <a:lnTo>
                                    <a:pt x="43" y="4679"/>
                                  </a:lnTo>
                                  <a:lnTo>
                                    <a:pt x="43" y="4659"/>
                                  </a:lnTo>
                                  <a:lnTo>
                                    <a:pt x="48" y="4679"/>
                                  </a:lnTo>
                                  <a:close/>
                                </a:path>
                              </a:pathLst>
                            </a:custGeom>
                            <a:solidFill>
                              <a:srgbClr val="000000"/>
                            </a:solidFill>
                            <a:ln>
                              <a:noFill/>
                            </a:ln>
                          </wps:spPr>
                          <wps:bodyPr upright="1"/>
                        </wps:wsp>
                        <wps:wsp>
                          <wps:cNvPr id="92" name="任意多边形 92"/>
                          <wps:cNvSpPr/>
                          <wps:spPr>
                            <a:xfrm>
                              <a:off x="0" y="0"/>
                              <a:ext cx="7425" cy="5060"/>
                            </a:xfrm>
                            <a:custGeom>
                              <a:avLst/>
                              <a:gdLst/>
                              <a:ahLst/>
                              <a:cxnLst/>
                              <a:pathLst>
                                <a:path w="7425" h="5060">
                                  <a:moveTo>
                                    <a:pt x="7380" y="4679"/>
                                  </a:moveTo>
                                  <a:lnTo>
                                    <a:pt x="7376" y="4679"/>
                                  </a:lnTo>
                                  <a:lnTo>
                                    <a:pt x="7380" y="4659"/>
                                  </a:lnTo>
                                  <a:lnTo>
                                    <a:pt x="7380" y="4679"/>
                                  </a:lnTo>
                                  <a:close/>
                                </a:path>
                              </a:pathLst>
                            </a:custGeom>
                            <a:solidFill>
                              <a:srgbClr val="000000"/>
                            </a:solidFill>
                            <a:ln>
                              <a:noFill/>
                            </a:ln>
                          </wps:spPr>
                          <wps:bodyPr upright="1"/>
                        </wps:wsp>
                        <wps:wsp>
                          <wps:cNvPr id="93" name="任意多边形 93"/>
                          <wps:cNvSpPr/>
                          <wps:spPr>
                            <a:xfrm>
                              <a:off x="0" y="0"/>
                              <a:ext cx="7425" cy="5060"/>
                            </a:xfrm>
                            <a:custGeom>
                              <a:avLst/>
                              <a:gdLst/>
                              <a:ahLst/>
                              <a:cxnLst/>
                              <a:pathLst>
                                <a:path w="7425" h="5060">
                                  <a:moveTo>
                                    <a:pt x="63" y="4719"/>
                                  </a:moveTo>
                                  <a:lnTo>
                                    <a:pt x="44" y="4719"/>
                                  </a:lnTo>
                                  <a:lnTo>
                                    <a:pt x="39" y="4699"/>
                                  </a:lnTo>
                                  <a:lnTo>
                                    <a:pt x="34" y="4679"/>
                                  </a:lnTo>
                                  <a:lnTo>
                                    <a:pt x="48" y="4679"/>
                                  </a:lnTo>
                                  <a:lnTo>
                                    <a:pt x="53" y="4699"/>
                                  </a:lnTo>
                                  <a:lnTo>
                                    <a:pt x="58" y="4699"/>
                                  </a:lnTo>
                                  <a:lnTo>
                                    <a:pt x="63" y="4719"/>
                                  </a:lnTo>
                                  <a:close/>
                                </a:path>
                              </a:pathLst>
                            </a:custGeom>
                            <a:solidFill>
                              <a:srgbClr val="000000"/>
                            </a:solidFill>
                            <a:ln>
                              <a:noFill/>
                            </a:ln>
                          </wps:spPr>
                          <wps:bodyPr upright="1"/>
                        </wps:wsp>
                        <wps:wsp>
                          <wps:cNvPr id="94" name="任意多边形 94"/>
                          <wps:cNvSpPr/>
                          <wps:spPr>
                            <a:xfrm>
                              <a:off x="0" y="0"/>
                              <a:ext cx="7425" cy="5060"/>
                            </a:xfrm>
                            <a:custGeom>
                              <a:avLst/>
                              <a:gdLst/>
                              <a:ahLst/>
                              <a:cxnLst/>
                              <a:pathLst>
                                <a:path w="7425" h="5060">
                                  <a:moveTo>
                                    <a:pt x="7380" y="4719"/>
                                  </a:moveTo>
                                  <a:lnTo>
                                    <a:pt x="7360" y="4719"/>
                                  </a:lnTo>
                                  <a:lnTo>
                                    <a:pt x="7366" y="4699"/>
                                  </a:lnTo>
                                  <a:lnTo>
                                    <a:pt x="7371" y="4699"/>
                                  </a:lnTo>
                                  <a:lnTo>
                                    <a:pt x="7376" y="4679"/>
                                  </a:lnTo>
                                  <a:lnTo>
                                    <a:pt x="7390" y="4679"/>
                                  </a:lnTo>
                                  <a:lnTo>
                                    <a:pt x="7385" y="4699"/>
                                  </a:lnTo>
                                  <a:lnTo>
                                    <a:pt x="7380" y="4719"/>
                                  </a:lnTo>
                                  <a:close/>
                                </a:path>
                              </a:pathLst>
                            </a:custGeom>
                            <a:solidFill>
                              <a:srgbClr val="000000"/>
                            </a:solidFill>
                            <a:ln>
                              <a:noFill/>
                            </a:ln>
                          </wps:spPr>
                          <wps:bodyPr upright="1"/>
                        </wps:wsp>
                        <wps:wsp>
                          <wps:cNvPr id="95" name="任意多边形 95"/>
                          <wps:cNvSpPr/>
                          <wps:spPr>
                            <a:xfrm>
                              <a:off x="0" y="0"/>
                              <a:ext cx="7425" cy="5060"/>
                            </a:xfrm>
                            <a:custGeom>
                              <a:avLst/>
                              <a:gdLst/>
                              <a:ahLst/>
                              <a:cxnLst/>
                              <a:pathLst>
                                <a:path w="7425" h="5060">
                                  <a:moveTo>
                                    <a:pt x="81" y="4759"/>
                                  </a:moveTo>
                                  <a:lnTo>
                                    <a:pt x="62" y="4759"/>
                                  </a:lnTo>
                                  <a:lnTo>
                                    <a:pt x="55" y="4739"/>
                                  </a:lnTo>
                                  <a:lnTo>
                                    <a:pt x="50" y="4719"/>
                                  </a:lnTo>
                                  <a:lnTo>
                                    <a:pt x="63" y="4719"/>
                                  </a:lnTo>
                                  <a:lnTo>
                                    <a:pt x="69" y="4739"/>
                                  </a:lnTo>
                                  <a:lnTo>
                                    <a:pt x="75" y="4739"/>
                                  </a:lnTo>
                                  <a:lnTo>
                                    <a:pt x="81" y="4759"/>
                                  </a:lnTo>
                                  <a:close/>
                                </a:path>
                              </a:pathLst>
                            </a:custGeom>
                            <a:solidFill>
                              <a:srgbClr val="000000"/>
                            </a:solidFill>
                            <a:ln>
                              <a:noFill/>
                            </a:ln>
                          </wps:spPr>
                          <wps:bodyPr upright="1"/>
                        </wps:wsp>
                        <wps:wsp>
                          <wps:cNvPr id="96" name="任意多边形 96"/>
                          <wps:cNvSpPr/>
                          <wps:spPr>
                            <a:xfrm>
                              <a:off x="0" y="0"/>
                              <a:ext cx="7425" cy="5060"/>
                            </a:xfrm>
                            <a:custGeom>
                              <a:avLst/>
                              <a:gdLst/>
                              <a:ahLst/>
                              <a:cxnLst/>
                              <a:pathLst>
                                <a:path w="7425" h="5060">
                                  <a:moveTo>
                                    <a:pt x="7362" y="4759"/>
                                  </a:moveTo>
                                  <a:lnTo>
                                    <a:pt x="7342" y="4759"/>
                                  </a:lnTo>
                                  <a:lnTo>
                                    <a:pt x="7349" y="4739"/>
                                  </a:lnTo>
                                  <a:lnTo>
                                    <a:pt x="7355" y="4739"/>
                                  </a:lnTo>
                                  <a:lnTo>
                                    <a:pt x="7360" y="4719"/>
                                  </a:lnTo>
                                  <a:lnTo>
                                    <a:pt x="7374" y="4719"/>
                                  </a:lnTo>
                                  <a:lnTo>
                                    <a:pt x="7368" y="4739"/>
                                  </a:lnTo>
                                  <a:lnTo>
                                    <a:pt x="7362" y="4759"/>
                                  </a:lnTo>
                                  <a:close/>
                                </a:path>
                              </a:pathLst>
                            </a:custGeom>
                            <a:solidFill>
                              <a:srgbClr val="000000"/>
                            </a:solidFill>
                            <a:ln>
                              <a:noFill/>
                            </a:ln>
                          </wps:spPr>
                          <wps:bodyPr upright="1"/>
                        </wps:wsp>
                        <wps:wsp>
                          <wps:cNvPr id="97" name="任意多边形 97"/>
                          <wps:cNvSpPr/>
                          <wps:spPr>
                            <a:xfrm>
                              <a:off x="0" y="0"/>
                              <a:ext cx="7425" cy="5060"/>
                            </a:xfrm>
                            <a:custGeom>
                              <a:avLst/>
                              <a:gdLst/>
                              <a:ahLst/>
                              <a:cxnLst/>
                              <a:pathLst>
                                <a:path w="7425" h="5060">
                                  <a:moveTo>
                                    <a:pt x="94" y="4779"/>
                                  </a:moveTo>
                                  <a:lnTo>
                                    <a:pt x="75" y="4779"/>
                                  </a:lnTo>
                                  <a:lnTo>
                                    <a:pt x="68" y="4759"/>
                                  </a:lnTo>
                                  <a:lnTo>
                                    <a:pt x="88" y="4759"/>
                                  </a:lnTo>
                                  <a:lnTo>
                                    <a:pt x="94" y="4779"/>
                                  </a:lnTo>
                                  <a:close/>
                                </a:path>
                              </a:pathLst>
                            </a:custGeom>
                            <a:solidFill>
                              <a:srgbClr val="000000"/>
                            </a:solidFill>
                            <a:ln>
                              <a:noFill/>
                            </a:ln>
                          </wps:spPr>
                          <wps:bodyPr upright="1"/>
                        </wps:wsp>
                        <wps:wsp>
                          <wps:cNvPr id="98" name="任意多边形 98"/>
                          <wps:cNvSpPr/>
                          <wps:spPr>
                            <a:xfrm>
                              <a:off x="0" y="0"/>
                              <a:ext cx="7425" cy="5060"/>
                            </a:xfrm>
                            <a:custGeom>
                              <a:avLst/>
                              <a:gdLst/>
                              <a:ahLst/>
                              <a:cxnLst/>
                              <a:pathLst>
                                <a:path w="7425" h="5060">
                                  <a:moveTo>
                                    <a:pt x="7349" y="4779"/>
                                  </a:moveTo>
                                  <a:lnTo>
                                    <a:pt x="7329" y="4779"/>
                                  </a:lnTo>
                                  <a:lnTo>
                                    <a:pt x="7336" y="4759"/>
                                  </a:lnTo>
                                  <a:lnTo>
                                    <a:pt x="7356" y="4759"/>
                                  </a:lnTo>
                                  <a:lnTo>
                                    <a:pt x="7349" y="4779"/>
                                  </a:lnTo>
                                  <a:close/>
                                </a:path>
                              </a:pathLst>
                            </a:custGeom>
                            <a:solidFill>
                              <a:srgbClr val="000000"/>
                            </a:solidFill>
                            <a:ln>
                              <a:noFill/>
                            </a:ln>
                          </wps:spPr>
                          <wps:bodyPr upright="1"/>
                        </wps:wsp>
                        <wps:wsp>
                          <wps:cNvPr id="99" name="任意多边形 99"/>
                          <wps:cNvSpPr/>
                          <wps:spPr>
                            <a:xfrm>
                              <a:off x="0" y="0"/>
                              <a:ext cx="7425" cy="5060"/>
                            </a:xfrm>
                            <a:custGeom>
                              <a:avLst/>
                              <a:gdLst/>
                              <a:ahLst/>
                              <a:cxnLst/>
                              <a:pathLst>
                                <a:path w="7425" h="5060">
                                  <a:moveTo>
                                    <a:pt x="116" y="4819"/>
                                  </a:moveTo>
                                  <a:lnTo>
                                    <a:pt x="96" y="4819"/>
                                  </a:lnTo>
                                  <a:lnTo>
                                    <a:pt x="89" y="4799"/>
                                  </a:lnTo>
                                  <a:lnTo>
                                    <a:pt x="82" y="4779"/>
                                  </a:lnTo>
                                  <a:lnTo>
                                    <a:pt x="94" y="4779"/>
                                  </a:lnTo>
                                  <a:lnTo>
                                    <a:pt x="102" y="4799"/>
                                  </a:lnTo>
                                  <a:lnTo>
                                    <a:pt x="109" y="4799"/>
                                  </a:lnTo>
                                  <a:lnTo>
                                    <a:pt x="116" y="4819"/>
                                  </a:lnTo>
                                  <a:close/>
                                </a:path>
                              </a:pathLst>
                            </a:custGeom>
                            <a:solidFill>
                              <a:srgbClr val="000000"/>
                            </a:solidFill>
                            <a:ln>
                              <a:noFill/>
                            </a:ln>
                          </wps:spPr>
                          <wps:bodyPr upright="1"/>
                        </wps:wsp>
                        <wps:wsp>
                          <wps:cNvPr id="100" name="任意多边形 100"/>
                          <wps:cNvSpPr/>
                          <wps:spPr>
                            <a:xfrm>
                              <a:off x="0" y="0"/>
                              <a:ext cx="7425" cy="5060"/>
                            </a:xfrm>
                            <a:custGeom>
                              <a:avLst/>
                              <a:gdLst/>
                              <a:ahLst/>
                              <a:cxnLst/>
                              <a:pathLst>
                                <a:path w="7425" h="5060">
                                  <a:moveTo>
                                    <a:pt x="7327" y="4819"/>
                                  </a:moveTo>
                                  <a:lnTo>
                                    <a:pt x="7307" y="4819"/>
                                  </a:lnTo>
                                  <a:lnTo>
                                    <a:pt x="7315" y="4799"/>
                                  </a:lnTo>
                                  <a:lnTo>
                                    <a:pt x="7322" y="4799"/>
                                  </a:lnTo>
                                  <a:lnTo>
                                    <a:pt x="7329" y="4779"/>
                                  </a:lnTo>
                                  <a:lnTo>
                                    <a:pt x="7342" y="4779"/>
                                  </a:lnTo>
                                  <a:lnTo>
                                    <a:pt x="7335" y="4799"/>
                                  </a:lnTo>
                                  <a:lnTo>
                                    <a:pt x="7327" y="4819"/>
                                  </a:lnTo>
                                  <a:close/>
                                </a:path>
                              </a:pathLst>
                            </a:custGeom>
                            <a:solidFill>
                              <a:srgbClr val="000000"/>
                            </a:solidFill>
                            <a:ln>
                              <a:noFill/>
                            </a:ln>
                          </wps:spPr>
                          <wps:bodyPr upright="1"/>
                        </wps:wsp>
                        <wps:wsp>
                          <wps:cNvPr id="101" name="任意多边形 101"/>
                          <wps:cNvSpPr/>
                          <wps:spPr>
                            <a:xfrm>
                              <a:off x="0" y="0"/>
                              <a:ext cx="7425" cy="5060"/>
                            </a:xfrm>
                            <a:custGeom>
                              <a:avLst/>
                              <a:gdLst/>
                              <a:ahLst/>
                              <a:cxnLst/>
                              <a:pathLst>
                                <a:path w="7425" h="5060">
                                  <a:moveTo>
                                    <a:pt x="132" y="4839"/>
                                  </a:moveTo>
                                  <a:lnTo>
                                    <a:pt x="112" y="4839"/>
                                  </a:lnTo>
                                  <a:lnTo>
                                    <a:pt x="104" y="4819"/>
                                  </a:lnTo>
                                  <a:lnTo>
                                    <a:pt x="124" y="4819"/>
                                  </a:lnTo>
                                  <a:lnTo>
                                    <a:pt x="132" y="4839"/>
                                  </a:lnTo>
                                  <a:close/>
                                </a:path>
                              </a:pathLst>
                            </a:custGeom>
                            <a:solidFill>
                              <a:srgbClr val="000000"/>
                            </a:solidFill>
                            <a:ln>
                              <a:noFill/>
                            </a:ln>
                          </wps:spPr>
                          <wps:bodyPr upright="1"/>
                        </wps:wsp>
                        <wps:wsp>
                          <wps:cNvPr id="102" name="任意多边形 102"/>
                          <wps:cNvSpPr/>
                          <wps:spPr>
                            <a:xfrm>
                              <a:off x="0" y="0"/>
                              <a:ext cx="7425" cy="5060"/>
                            </a:xfrm>
                            <a:custGeom>
                              <a:avLst/>
                              <a:gdLst/>
                              <a:ahLst/>
                              <a:cxnLst/>
                              <a:pathLst>
                                <a:path w="7425" h="5060">
                                  <a:moveTo>
                                    <a:pt x="7311" y="4839"/>
                                  </a:moveTo>
                                  <a:lnTo>
                                    <a:pt x="7291" y="4839"/>
                                  </a:lnTo>
                                  <a:lnTo>
                                    <a:pt x="7299" y="4819"/>
                                  </a:lnTo>
                                  <a:lnTo>
                                    <a:pt x="7319" y="4819"/>
                                  </a:lnTo>
                                  <a:lnTo>
                                    <a:pt x="7311" y="4839"/>
                                  </a:lnTo>
                                  <a:close/>
                                </a:path>
                              </a:pathLst>
                            </a:custGeom>
                            <a:solidFill>
                              <a:srgbClr val="000000"/>
                            </a:solidFill>
                            <a:ln>
                              <a:noFill/>
                            </a:ln>
                          </wps:spPr>
                          <wps:bodyPr upright="1"/>
                        </wps:wsp>
                        <wps:wsp>
                          <wps:cNvPr id="103" name="任意多边形 103"/>
                          <wps:cNvSpPr/>
                          <wps:spPr>
                            <a:xfrm>
                              <a:off x="0" y="0"/>
                              <a:ext cx="7425" cy="5060"/>
                            </a:xfrm>
                            <a:custGeom>
                              <a:avLst/>
                              <a:gdLst/>
                              <a:ahLst/>
                              <a:cxnLst/>
                              <a:pathLst>
                                <a:path w="7425" h="5060">
                                  <a:moveTo>
                                    <a:pt x="149" y="4859"/>
                                  </a:moveTo>
                                  <a:lnTo>
                                    <a:pt x="129" y="4859"/>
                                  </a:lnTo>
                                  <a:lnTo>
                                    <a:pt x="121" y="4839"/>
                                  </a:lnTo>
                                  <a:lnTo>
                                    <a:pt x="141" y="4839"/>
                                  </a:lnTo>
                                  <a:lnTo>
                                    <a:pt x="149" y="4859"/>
                                  </a:lnTo>
                                  <a:close/>
                                </a:path>
                              </a:pathLst>
                            </a:custGeom>
                            <a:solidFill>
                              <a:srgbClr val="000000"/>
                            </a:solidFill>
                            <a:ln>
                              <a:noFill/>
                            </a:ln>
                          </wps:spPr>
                          <wps:bodyPr upright="1"/>
                        </wps:wsp>
                        <wps:wsp>
                          <wps:cNvPr id="104" name="任意多边形 104"/>
                          <wps:cNvSpPr/>
                          <wps:spPr>
                            <a:xfrm>
                              <a:off x="0" y="0"/>
                              <a:ext cx="7425" cy="5060"/>
                            </a:xfrm>
                            <a:custGeom>
                              <a:avLst/>
                              <a:gdLst/>
                              <a:ahLst/>
                              <a:cxnLst/>
                              <a:pathLst>
                                <a:path w="7425" h="5060">
                                  <a:moveTo>
                                    <a:pt x="7294" y="4859"/>
                                  </a:moveTo>
                                  <a:lnTo>
                                    <a:pt x="7274" y="4859"/>
                                  </a:lnTo>
                                  <a:lnTo>
                                    <a:pt x="7283" y="4839"/>
                                  </a:lnTo>
                                  <a:lnTo>
                                    <a:pt x="7303" y="4839"/>
                                  </a:lnTo>
                                  <a:lnTo>
                                    <a:pt x="7294" y="4859"/>
                                  </a:lnTo>
                                  <a:close/>
                                </a:path>
                              </a:pathLst>
                            </a:custGeom>
                            <a:solidFill>
                              <a:srgbClr val="000000"/>
                            </a:solidFill>
                            <a:ln>
                              <a:noFill/>
                            </a:ln>
                          </wps:spPr>
                          <wps:bodyPr upright="1"/>
                        </wps:wsp>
                        <wps:wsp>
                          <wps:cNvPr id="105" name="任意多边形 105"/>
                          <wps:cNvSpPr/>
                          <wps:spPr>
                            <a:xfrm>
                              <a:off x="0" y="0"/>
                              <a:ext cx="7425" cy="5060"/>
                            </a:xfrm>
                            <a:custGeom>
                              <a:avLst/>
                              <a:gdLst/>
                              <a:ahLst/>
                              <a:cxnLst/>
                              <a:pathLst>
                                <a:path w="7425" h="5060">
                                  <a:moveTo>
                                    <a:pt x="167" y="4879"/>
                                  </a:moveTo>
                                  <a:lnTo>
                                    <a:pt x="147" y="4879"/>
                                  </a:lnTo>
                                  <a:lnTo>
                                    <a:pt x="138" y="4859"/>
                                  </a:lnTo>
                                  <a:lnTo>
                                    <a:pt x="158" y="4859"/>
                                  </a:lnTo>
                                  <a:lnTo>
                                    <a:pt x="167" y="4879"/>
                                  </a:lnTo>
                                  <a:close/>
                                </a:path>
                              </a:pathLst>
                            </a:custGeom>
                            <a:solidFill>
                              <a:srgbClr val="000000"/>
                            </a:solidFill>
                            <a:ln>
                              <a:noFill/>
                            </a:ln>
                          </wps:spPr>
                          <wps:bodyPr upright="1"/>
                        </wps:wsp>
                        <wps:wsp>
                          <wps:cNvPr id="106" name="任意多边形 106"/>
                          <wps:cNvSpPr/>
                          <wps:spPr>
                            <a:xfrm>
                              <a:off x="0" y="0"/>
                              <a:ext cx="7425" cy="5060"/>
                            </a:xfrm>
                            <a:custGeom>
                              <a:avLst/>
                              <a:gdLst/>
                              <a:ahLst/>
                              <a:cxnLst/>
                              <a:pathLst>
                                <a:path w="7425" h="5060">
                                  <a:moveTo>
                                    <a:pt x="7277" y="4879"/>
                                  </a:moveTo>
                                  <a:lnTo>
                                    <a:pt x="7256" y="4879"/>
                                  </a:lnTo>
                                  <a:lnTo>
                                    <a:pt x="7265" y="4859"/>
                                  </a:lnTo>
                                  <a:lnTo>
                                    <a:pt x="7286" y="4859"/>
                                  </a:lnTo>
                                  <a:lnTo>
                                    <a:pt x="7277" y="4879"/>
                                  </a:lnTo>
                                  <a:close/>
                                </a:path>
                              </a:pathLst>
                            </a:custGeom>
                            <a:solidFill>
                              <a:srgbClr val="000000"/>
                            </a:solidFill>
                            <a:ln>
                              <a:noFill/>
                            </a:ln>
                          </wps:spPr>
                          <wps:bodyPr upright="1"/>
                        </wps:wsp>
                        <wps:wsp>
                          <wps:cNvPr id="107" name="任意多边形 107"/>
                          <wps:cNvSpPr/>
                          <wps:spPr>
                            <a:xfrm>
                              <a:off x="0" y="0"/>
                              <a:ext cx="7425" cy="5060"/>
                            </a:xfrm>
                            <a:custGeom>
                              <a:avLst/>
                              <a:gdLst/>
                              <a:ahLst/>
                              <a:cxnLst/>
                              <a:pathLst>
                                <a:path w="7425" h="5060">
                                  <a:moveTo>
                                    <a:pt x="186" y="4899"/>
                                  </a:moveTo>
                                  <a:lnTo>
                                    <a:pt x="166" y="4899"/>
                                  </a:lnTo>
                                  <a:lnTo>
                                    <a:pt x="156" y="4879"/>
                                  </a:lnTo>
                                  <a:lnTo>
                                    <a:pt x="176" y="4879"/>
                                  </a:lnTo>
                                  <a:lnTo>
                                    <a:pt x="186" y="4899"/>
                                  </a:lnTo>
                                  <a:close/>
                                </a:path>
                              </a:pathLst>
                            </a:custGeom>
                            <a:solidFill>
                              <a:srgbClr val="000000"/>
                            </a:solidFill>
                            <a:ln>
                              <a:noFill/>
                            </a:ln>
                          </wps:spPr>
                          <wps:bodyPr upright="1"/>
                        </wps:wsp>
                        <wps:wsp>
                          <wps:cNvPr id="108" name="任意多边形 108"/>
                          <wps:cNvSpPr/>
                          <wps:spPr>
                            <a:xfrm>
                              <a:off x="0" y="0"/>
                              <a:ext cx="7425" cy="5060"/>
                            </a:xfrm>
                            <a:custGeom>
                              <a:avLst/>
                              <a:gdLst/>
                              <a:ahLst/>
                              <a:cxnLst/>
                              <a:pathLst>
                                <a:path w="7425" h="5060">
                                  <a:moveTo>
                                    <a:pt x="7258" y="4899"/>
                                  </a:moveTo>
                                  <a:lnTo>
                                    <a:pt x="7238" y="4899"/>
                                  </a:lnTo>
                                  <a:lnTo>
                                    <a:pt x="7247" y="4879"/>
                                  </a:lnTo>
                                  <a:lnTo>
                                    <a:pt x="7267" y="4879"/>
                                  </a:lnTo>
                                  <a:lnTo>
                                    <a:pt x="7258" y="4899"/>
                                  </a:lnTo>
                                  <a:close/>
                                </a:path>
                              </a:pathLst>
                            </a:custGeom>
                            <a:solidFill>
                              <a:srgbClr val="000000"/>
                            </a:solidFill>
                            <a:ln>
                              <a:noFill/>
                            </a:ln>
                          </wps:spPr>
                          <wps:bodyPr upright="1"/>
                        </wps:wsp>
                        <wps:wsp>
                          <wps:cNvPr id="109" name="任意多边形 109"/>
                          <wps:cNvSpPr/>
                          <wps:spPr>
                            <a:xfrm>
                              <a:off x="0" y="0"/>
                              <a:ext cx="7425" cy="5060"/>
                            </a:xfrm>
                            <a:custGeom>
                              <a:avLst/>
                              <a:gdLst/>
                              <a:ahLst/>
                              <a:cxnLst/>
                              <a:pathLst>
                                <a:path w="7425" h="5060">
                                  <a:moveTo>
                                    <a:pt x="206" y="4919"/>
                                  </a:moveTo>
                                  <a:lnTo>
                                    <a:pt x="186" y="4919"/>
                                  </a:lnTo>
                                  <a:lnTo>
                                    <a:pt x="176" y="4899"/>
                                  </a:lnTo>
                                  <a:lnTo>
                                    <a:pt x="196" y="4899"/>
                                  </a:lnTo>
                                  <a:lnTo>
                                    <a:pt x="206" y="4919"/>
                                  </a:lnTo>
                                  <a:close/>
                                </a:path>
                              </a:pathLst>
                            </a:custGeom>
                            <a:solidFill>
                              <a:srgbClr val="000000"/>
                            </a:solidFill>
                            <a:ln>
                              <a:noFill/>
                            </a:ln>
                          </wps:spPr>
                          <wps:bodyPr upright="1"/>
                        </wps:wsp>
                        <wps:wsp>
                          <wps:cNvPr id="110" name="任意多边形 110"/>
                          <wps:cNvSpPr/>
                          <wps:spPr>
                            <a:xfrm>
                              <a:off x="0" y="0"/>
                              <a:ext cx="7425" cy="5060"/>
                            </a:xfrm>
                            <a:custGeom>
                              <a:avLst/>
                              <a:gdLst/>
                              <a:ahLst/>
                              <a:cxnLst/>
                              <a:pathLst>
                                <a:path w="7425" h="5060">
                                  <a:moveTo>
                                    <a:pt x="7238" y="4919"/>
                                  </a:moveTo>
                                  <a:lnTo>
                                    <a:pt x="7218" y="4919"/>
                                  </a:lnTo>
                                  <a:lnTo>
                                    <a:pt x="7228" y="4899"/>
                                  </a:lnTo>
                                  <a:lnTo>
                                    <a:pt x="7248" y="4899"/>
                                  </a:lnTo>
                                  <a:lnTo>
                                    <a:pt x="7238" y="4919"/>
                                  </a:lnTo>
                                  <a:close/>
                                </a:path>
                              </a:pathLst>
                            </a:custGeom>
                            <a:solidFill>
                              <a:srgbClr val="000000"/>
                            </a:solidFill>
                            <a:ln>
                              <a:noFill/>
                            </a:ln>
                          </wps:spPr>
                          <wps:bodyPr upright="1"/>
                        </wps:wsp>
                        <wps:wsp>
                          <wps:cNvPr id="111" name="任意多边形 111"/>
                          <wps:cNvSpPr/>
                          <wps:spPr>
                            <a:xfrm>
                              <a:off x="0" y="0"/>
                              <a:ext cx="7425" cy="5060"/>
                            </a:xfrm>
                            <a:custGeom>
                              <a:avLst/>
                              <a:gdLst/>
                              <a:ahLst/>
                              <a:cxnLst/>
                              <a:pathLst>
                                <a:path w="7425" h="5060">
                                  <a:moveTo>
                                    <a:pt x="237" y="4939"/>
                                  </a:moveTo>
                                  <a:lnTo>
                                    <a:pt x="206" y="4939"/>
                                  </a:lnTo>
                                  <a:lnTo>
                                    <a:pt x="196" y="4919"/>
                                  </a:lnTo>
                                  <a:lnTo>
                                    <a:pt x="226" y="4919"/>
                                  </a:lnTo>
                                  <a:lnTo>
                                    <a:pt x="237" y="4939"/>
                                  </a:lnTo>
                                  <a:close/>
                                </a:path>
                              </a:pathLst>
                            </a:custGeom>
                            <a:solidFill>
                              <a:srgbClr val="000000"/>
                            </a:solidFill>
                            <a:ln>
                              <a:noFill/>
                            </a:ln>
                          </wps:spPr>
                          <wps:bodyPr upright="1"/>
                        </wps:wsp>
                        <wps:wsp>
                          <wps:cNvPr id="112" name="任意多边形 112"/>
                          <wps:cNvSpPr/>
                          <wps:spPr>
                            <a:xfrm>
                              <a:off x="0" y="0"/>
                              <a:ext cx="7425" cy="5060"/>
                            </a:xfrm>
                            <a:custGeom>
                              <a:avLst/>
                              <a:gdLst/>
                              <a:ahLst/>
                              <a:cxnLst/>
                              <a:pathLst>
                                <a:path w="7425" h="5060">
                                  <a:moveTo>
                                    <a:pt x="7217" y="4939"/>
                                  </a:moveTo>
                                  <a:lnTo>
                                    <a:pt x="7187" y="4939"/>
                                  </a:lnTo>
                                  <a:lnTo>
                                    <a:pt x="7198" y="4919"/>
                                  </a:lnTo>
                                  <a:lnTo>
                                    <a:pt x="7228" y="4919"/>
                                  </a:lnTo>
                                  <a:lnTo>
                                    <a:pt x="7217" y="4939"/>
                                  </a:lnTo>
                                  <a:close/>
                                </a:path>
                              </a:pathLst>
                            </a:custGeom>
                            <a:solidFill>
                              <a:srgbClr val="000000"/>
                            </a:solidFill>
                            <a:ln>
                              <a:noFill/>
                            </a:ln>
                          </wps:spPr>
                          <wps:bodyPr upright="1"/>
                        </wps:wsp>
                        <wps:wsp>
                          <wps:cNvPr id="113" name="任意多边形 113"/>
                          <wps:cNvSpPr/>
                          <wps:spPr>
                            <a:xfrm>
                              <a:off x="0" y="0"/>
                              <a:ext cx="7425" cy="5060"/>
                            </a:xfrm>
                            <a:custGeom>
                              <a:avLst/>
                              <a:gdLst/>
                              <a:ahLst/>
                              <a:cxnLst/>
                              <a:pathLst>
                                <a:path w="7425" h="5060">
                                  <a:moveTo>
                                    <a:pt x="258" y="4959"/>
                                  </a:moveTo>
                                  <a:lnTo>
                                    <a:pt x="239" y="4959"/>
                                  </a:lnTo>
                                  <a:lnTo>
                                    <a:pt x="228" y="4939"/>
                                  </a:lnTo>
                                  <a:lnTo>
                                    <a:pt x="247" y="4939"/>
                                  </a:lnTo>
                                  <a:lnTo>
                                    <a:pt x="258" y="4959"/>
                                  </a:lnTo>
                                  <a:close/>
                                </a:path>
                              </a:pathLst>
                            </a:custGeom>
                            <a:solidFill>
                              <a:srgbClr val="000000"/>
                            </a:solidFill>
                            <a:ln>
                              <a:noFill/>
                            </a:ln>
                          </wps:spPr>
                          <wps:bodyPr upright="1"/>
                        </wps:wsp>
                        <wps:wsp>
                          <wps:cNvPr id="114" name="任意多边形 114"/>
                          <wps:cNvSpPr/>
                          <wps:spPr>
                            <a:xfrm>
                              <a:off x="0" y="0"/>
                              <a:ext cx="7425" cy="5060"/>
                            </a:xfrm>
                            <a:custGeom>
                              <a:avLst/>
                              <a:gdLst/>
                              <a:ahLst/>
                              <a:cxnLst/>
                              <a:pathLst>
                                <a:path w="7425" h="5060">
                                  <a:moveTo>
                                    <a:pt x="7185" y="4959"/>
                                  </a:moveTo>
                                  <a:lnTo>
                                    <a:pt x="7165" y="4959"/>
                                  </a:lnTo>
                                  <a:lnTo>
                                    <a:pt x="7176" y="4939"/>
                                  </a:lnTo>
                                  <a:lnTo>
                                    <a:pt x="7196" y="4939"/>
                                  </a:lnTo>
                                  <a:lnTo>
                                    <a:pt x="7185" y="4959"/>
                                  </a:lnTo>
                                  <a:close/>
                                </a:path>
                              </a:pathLst>
                            </a:custGeom>
                            <a:solidFill>
                              <a:srgbClr val="000000"/>
                            </a:solidFill>
                            <a:ln>
                              <a:noFill/>
                            </a:ln>
                          </wps:spPr>
                          <wps:bodyPr upright="1"/>
                        </wps:wsp>
                        <wps:wsp>
                          <wps:cNvPr id="115" name="任意多边形 115"/>
                          <wps:cNvSpPr/>
                          <wps:spPr>
                            <a:xfrm>
                              <a:off x="0" y="0"/>
                              <a:ext cx="7425" cy="5060"/>
                            </a:xfrm>
                            <a:custGeom>
                              <a:avLst/>
                              <a:gdLst/>
                              <a:ahLst/>
                              <a:cxnLst/>
                              <a:pathLst>
                                <a:path w="7425" h="5060">
                                  <a:moveTo>
                                    <a:pt x="292" y="4979"/>
                                  </a:moveTo>
                                  <a:lnTo>
                                    <a:pt x="261" y="4979"/>
                                  </a:lnTo>
                                  <a:lnTo>
                                    <a:pt x="250" y="4959"/>
                                  </a:lnTo>
                                  <a:lnTo>
                                    <a:pt x="281" y="4959"/>
                                  </a:lnTo>
                                  <a:lnTo>
                                    <a:pt x="292" y="4979"/>
                                  </a:lnTo>
                                  <a:close/>
                                </a:path>
                              </a:pathLst>
                            </a:custGeom>
                            <a:solidFill>
                              <a:srgbClr val="000000"/>
                            </a:solidFill>
                            <a:ln>
                              <a:noFill/>
                            </a:ln>
                          </wps:spPr>
                          <wps:bodyPr upright="1"/>
                        </wps:wsp>
                        <wps:wsp>
                          <wps:cNvPr id="116" name="任意多边形 116"/>
                          <wps:cNvSpPr/>
                          <wps:spPr>
                            <a:xfrm>
                              <a:off x="0" y="0"/>
                              <a:ext cx="7425" cy="5060"/>
                            </a:xfrm>
                            <a:custGeom>
                              <a:avLst/>
                              <a:gdLst/>
                              <a:ahLst/>
                              <a:cxnLst/>
                              <a:pathLst>
                                <a:path w="7425" h="5060">
                                  <a:moveTo>
                                    <a:pt x="7162" y="4979"/>
                                  </a:moveTo>
                                  <a:lnTo>
                                    <a:pt x="7131" y="4979"/>
                                  </a:lnTo>
                                  <a:lnTo>
                                    <a:pt x="7143" y="4959"/>
                                  </a:lnTo>
                                  <a:lnTo>
                                    <a:pt x="7174" y="4959"/>
                                  </a:lnTo>
                                  <a:lnTo>
                                    <a:pt x="7162" y="4979"/>
                                  </a:lnTo>
                                  <a:close/>
                                </a:path>
                              </a:pathLst>
                            </a:custGeom>
                            <a:solidFill>
                              <a:srgbClr val="000000"/>
                            </a:solidFill>
                            <a:ln>
                              <a:noFill/>
                            </a:ln>
                          </wps:spPr>
                          <wps:bodyPr upright="1"/>
                        </wps:wsp>
                        <wps:wsp>
                          <wps:cNvPr id="117" name="任意多边形 117"/>
                          <wps:cNvSpPr/>
                          <wps:spPr>
                            <a:xfrm>
                              <a:off x="0" y="0"/>
                              <a:ext cx="7425" cy="5060"/>
                            </a:xfrm>
                            <a:custGeom>
                              <a:avLst/>
                              <a:gdLst/>
                              <a:ahLst/>
                              <a:cxnLst/>
                              <a:pathLst>
                                <a:path w="7425" h="5060">
                                  <a:moveTo>
                                    <a:pt x="328" y="4999"/>
                                  </a:moveTo>
                                  <a:lnTo>
                                    <a:pt x="297" y="4999"/>
                                  </a:lnTo>
                                  <a:lnTo>
                                    <a:pt x="285" y="4979"/>
                                  </a:lnTo>
                                  <a:lnTo>
                                    <a:pt x="316" y="4979"/>
                                  </a:lnTo>
                                  <a:lnTo>
                                    <a:pt x="328" y="4999"/>
                                  </a:lnTo>
                                  <a:close/>
                                </a:path>
                              </a:pathLst>
                            </a:custGeom>
                            <a:solidFill>
                              <a:srgbClr val="000000"/>
                            </a:solidFill>
                            <a:ln>
                              <a:noFill/>
                            </a:ln>
                          </wps:spPr>
                          <wps:bodyPr upright="1"/>
                        </wps:wsp>
                        <wps:wsp>
                          <wps:cNvPr id="118" name="任意多边形 118"/>
                          <wps:cNvSpPr/>
                          <wps:spPr>
                            <a:xfrm>
                              <a:off x="0" y="0"/>
                              <a:ext cx="7425" cy="5060"/>
                            </a:xfrm>
                            <a:custGeom>
                              <a:avLst/>
                              <a:gdLst/>
                              <a:ahLst/>
                              <a:cxnLst/>
                              <a:pathLst>
                                <a:path w="7425" h="5060">
                                  <a:moveTo>
                                    <a:pt x="7127" y="4999"/>
                                  </a:moveTo>
                                  <a:lnTo>
                                    <a:pt x="7096" y="4999"/>
                                  </a:lnTo>
                                  <a:lnTo>
                                    <a:pt x="7108" y="4979"/>
                                  </a:lnTo>
                                  <a:lnTo>
                                    <a:pt x="7139" y="4979"/>
                                  </a:lnTo>
                                  <a:lnTo>
                                    <a:pt x="7127" y="4999"/>
                                  </a:lnTo>
                                  <a:close/>
                                </a:path>
                              </a:pathLst>
                            </a:custGeom>
                            <a:solidFill>
                              <a:srgbClr val="000000"/>
                            </a:solidFill>
                            <a:ln>
                              <a:noFill/>
                            </a:ln>
                          </wps:spPr>
                          <wps:bodyPr upright="1"/>
                        </wps:wsp>
                        <wps:wsp>
                          <wps:cNvPr id="119" name="任意多边形 119"/>
                          <wps:cNvSpPr/>
                          <wps:spPr>
                            <a:xfrm>
                              <a:off x="0" y="0"/>
                              <a:ext cx="7425" cy="5060"/>
                            </a:xfrm>
                            <a:custGeom>
                              <a:avLst/>
                              <a:gdLst/>
                              <a:ahLst/>
                              <a:cxnLst/>
                              <a:pathLst>
                                <a:path w="7425" h="5060">
                                  <a:moveTo>
                                    <a:pt x="378" y="5019"/>
                                  </a:moveTo>
                                  <a:lnTo>
                                    <a:pt x="334" y="5019"/>
                                  </a:lnTo>
                                  <a:lnTo>
                                    <a:pt x="321" y="4999"/>
                                  </a:lnTo>
                                  <a:lnTo>
                                    <a:pt x="365" y="4999"/>
                                  </a:lnTo>
                                  <a:lnTo>
                                    <a:pt x="378" y="5019"/>
                                  </a:lnTo>
                                  <a:close/>
                                </a:path>
                              </a:pathLst>
                            </a:custGeom>
                            <a:solidFill>
                              <a:srgbClr val="000000"/>
                            </a:solidFill>
                            <a:ln>
                              <a:noFill/>
                            </a:ln>
                          </wps:spPr>
                          <wps:bodyPr upright="1"/>
                        </wps:wsp>
                        <wps:wsp>
                          <wps:cNvPr id="120" name="任意多边形 120"/>
                          <wps:cNvSpPr/>
                          <wps:spPr>
                            <a:xfrm>
                              <a:off x="0" y="0"/>
                              <a:ext cx="7425" cy="5060"/>
                            </a:xfrm>
                            <a:custGeom>
                              <a:avLst/>
                              <a:gdLst/>
                              <a:ahLst/>
                              <a:cxnLst/>
                              <a:pathLst>
                                <a:path w="7425" h="5060">
                                  <a:moveTo>
                                    <a:pt x="7090" y="5019"/>
                                  </a:moveTo>
                                  <a:lnTo>
                                    <a:pt x="7046" y="5019"/>
                                  </a:lnTo>
                                  <a:lnTo>
                                    <a:pt x="7059" y="4999"/>
                                  </a:lnTo>
                                  <a:lnTo>
                                    <a:pt x="7102" y="4999"/>
                                  </a:lnTo>
                                  <a:lnTo>
                                    <a:pt x="7090" y="5019"/>
                                  </a:lnTo>
                                  <a:close/>
                                </a:path>
                              </a:pathLst>
                            </a:custGeom>
                            <a:solidFill>
                              <a:srgbClr val="000000"/>
                            </a:solidFill>
                            <a:ln>
                              <a:noFill/>
                            </a:ln>
                          </wps:spPr>
                          <wps:bodyPr upright="1"/>
                        </wps:wsp>
                        <wps:wsp>
                          <wps:cNvPr id="121" name="任意多边形 121"/>
                          <wps:cNvSpPr/>
                          <wps:spPr>
                            <a:xfrm>
                              <a:off x="0" y="0"/>
                              <a:ext cx="7425" cy="5060"/>
                            </a:xfrm>
                            <a:custGeom>
                              <a:avLst/>
                              <a:gdLst/>
                              <a:ahLst/>
                              <a:cxnLst/>
                              <a:pathLst>
                                <a:path w="7425" h="5060">
                                  <a:moveTo>
                                    <a:pt x="443" y="5039"/>
                                  </a:moveTo>
                                  <a:lnTo>
                                    <a:pt x="385" y="5039"/>
                                  </a:lnTo>
                                  <a:lnTo>
                                    <a:pt x="372" y="5019"/>
                                  </a:lnTo>
                                  <a:lnTo>
                                    <a:pt x="429" y="5019"/>
                                  </a:lnTo>
                                  <a:lnTo>
                                    <a:pt x="443" y="5039"/>
                                  </a:lnTo>
                                  <a:close/>
                                </a:path>
                              </a:pathLst>
                            </a:custGeom>
                            <a:solidFill>
                              <a:srgbClr val="000000"/>
                            </a:solidFill>
                            <a:ln>
                              <a:noFill/>
                            </a:ln>
                          </wps:spPr>
                          <wps:bodyPr upright="1"/>
                        </wps:wsp>
                        <wps:wsp>
                          <wps:cNvPr id="122" name="任意多边形 122"/>
                          <wps:cNvSpPr/>
                          <wps:spPr>
                            <a:xfrm>
                              <a:off x="0" y="0"/>
                              <a:ext cx="7425" cy="5060"/>
                            </a:xfrm>
                            <a:custGeom>
                              <a:avLst/>
                              <a:gdLst/>
                              <a:ahLst/>
                              <a:cxnLst/>
                              <a:pathLst>
                                <a:path w="7425" h="5060">
                                  <a:moveTo>
                                    <a:pt x="7038" y="5039"/>
                                  </a:moveTo>
                                  <a:lnTo>
                                    <a:pt x="6981" y="5039"/>
                                  </a:lnTo>
                                  <a:lnTo>
                                    <a:pt x="6994" y="5019"/>
                                  </a:lnTo>
                                  <a:lnTo>
                                    <a:pt x="7051" y="5019"/>
                                  </a:lnTo>
                                  <a:lnTo>
                                    <a:pt x="7038" y="5039"/>
                                  </a:lnTo>
                                  <a:close/>
                                </a:path>
                              </a:pathLst>
                            </a:custGeom>
                            <a:solidFill>
                              <a:srgbClr val="000000"/>
                            </a:solidFill>
                            <a:ln>
                              <a:noFill/>
                            </a:ln>
                          </wps:spPr>
                          <wps:bodyPr upright="1"/>
                        </wps:wsp>
                        <wps:wsp>
                          <wps:cNvPr id="123" name="任意多边形 123"/>
                          <wps:cNvSpPr/>
                          <wps:spPr>
                            <a:xfrm>
                              <a:off x="0" y="0"/>
                              <a:ext cx="7425" cy="5060"/>
                            </a:xfrm>
                            <a:custGeom>
                              <a:avLst/>
                              <a:gdLst/>
                              <a:ahLst/>
                              <a:cxnLst/>
                              <a:pathLst>
                                <a:path w="7425" h="5060">
                                  <a:moveTo>
                                    <a:pt x="6956" y="5059"/>
                                  </a:moveTo>
                                  <a:lnTo>
                                    <a:pt x="467" y="5059"/>
                                  </a:lnTo>
                                  <a:lnTo>
                                    <a:pt x="453" y="5039"/>
                                  </a:lnTo>
                                  <a:lnTo>
                                    <a:pt x="6970" y="5039"/>
                                  </a:lnTo>
                                  <a:lnTo>
                                    <a:pt x="6956" y="5059"/>
                                  </a:lnTo>
                                  <a:close/>
                                </a:path>
                              </a:pathLst>
                            </a:custGeom>
                            <a:solidFill>
                              <a:srgbClr val="000000"/>
                            </a:solidFill>
                            <a:ln>
                              <a:noFill/>
                            </a:ln>
                          </wps:spPr>
                          <wps:bodyPr upright="1"/>
                        </wps:wsp>
                      </wpg:grpSp>
                    </wpg:wgp>
                  </a:graphicData>
                </a:graphic>
              </wp:inline>
            </w:drawing>
          </mc:Choice>
          <mc:Fallback>
            <w:pict>
              <v:group id="_x0000_s1026" o:spid="_x0000_s1026" o:spt="203" style="height:253pt;width:448.5pt;" coordsize="7425,5060" o:gfxdata="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">
                <o:lock v:ext="edit" rotation="t" aspectratio="f"/>
                <v:group id="_x0000_s1026" o:spid="_x0000_s1026" o:spt="203" style="position:absolute;left:0;top:0;height:5060;width:7425;" coordsize="7425,5060"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_x0000_s1026" o:spid="_x0000_s1026" o:spt="100" style="position:absolute;left:0;top:0;height:5060;width:7425;" fillcolor="#000000" filled="t" stroked="f" coordsize="7425,5060" o:gfxdata="UEsDBAoAAAAAAIdO4kAAAAAAAAAAAAAAAAAEAAAAZHJzL1BLAwQUAAAACACHTuJA4qdU/LwAAADb&#10;AAAADwAAAGRycy9kb3ducmV2LnhtbEWPT4vCMBTE78J+h/AWvIimi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nVPy8AAAA&#10;2wAAAA8AAAAAAAAAAQAgAAAAIgAAAGRycy9kb3ducmV2LnhtbFBLAQIUABQAAAAIAIdO4kAzLwWe&#10;OwAAADkAAAAQAAAAAAAAAAEAIAAAAAsBAABkcnMvc2hhcGV4bWwueG1sUEsFBgAAAAAGAAYAWwEA&#10;ALUDAAAAAA==&#10;" path="m483,19l412,19,426,0,497,0,4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nXKi7wAAADb&#10;AAAADwAAAGRycy9kb3ducmV2LnhtbEWPT4vCMBTE7wt+h/AEL4umi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you8AAAA&#10;2wAAAA8AAAAAAAAAAQAgAAAAIgAAAGRycy9kb3ducmV2LnhtbFBLAQIUABQAAAAIAIdO4kAzLwWe&#10;OwAAADkAAAAQAAAAAAAAAAEAIAAAAAsBAABkcnMvc2hhcGV4bWwueG1sUEsFBgAAAAAGAAYAWwEA&#10;ALUDAAAAAA==&#10;" path="m7011,19l6940,19,6926,0,6998,0,701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TlvELwAAADb&#10;AAAADwAAAGRycy9kb3ducmV2LnhtbEWPT4vCMBTE78J+h/AWvIimi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5bxC8AAAA&#10;2wAAAA8AAAAAAAAAAQAgAAAAIgAAAGRycy9kb3ducmV2LnhtbFBLAQIUABQAAAAIAIdO4kAzLwWe&#10;OwAAADkAAAAQAAAAAAAAAAEAIAAAAAsBAABkcnMvc2hhcGV4bWwueG1sUEsFBgAAAAAGAAYAWwEA&#10;ALUDAAAAAA==&#10;" path="m390,39l346,39,359,19,403,19,39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Kb7YrkAAADb&#10;AAAADwAAAGRycy9kb3ducmV2LnhtbEVPy4rCMBTdC/MP4Q64kTFVVI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m+2K5AAAA2wAA&#10;AA8AAAAAAAAAAQAgAAAAIgAAAGRycy9kb3ducmV2LnhtbFBLAQIUABQAAAAIAIdO4kAzLwWeOwAA&#10;ADkAAAAQAAAAAAAAAAEAIAAAAAgBAABkcnMvc2hhcGV4bWwueG1sUEsFBgAAAAAGAAYAWwEAALID&#10;AAAAAA==&#10;" path="m7077,39l7033,39,7020,19,7064,19,7077,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Y+pe+bwAAADb&#10;AAAADwAAAGRycy9kb3ducmV2LnhtbEWPT4vCMBTE78J+h/AWvIimi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Xvm8AAAA&#10;2wAAAA8AAAAAAAAAAQAgAAAAIgAAAGRycy9kb3ducmV2LnhtbFBLAQIUABQAAAAIAIdO4kAzLwWe&#10;OwAAADkAAAAQAAAAAAAAAAEAIAAAAAsBAABkcnMvc2hhcGV4bWwueG1sUEsFBgAAAAAGAAYAWwEA&#10;ALUDAAAAAA==&#10;" path="m340,59l309,59,321,39,352,39,340,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wlhubkAAADb&#10;AAAADwAAAGRycy9kb3ducmV2LnhtbEVPy4rCMBTdC/5DuIIbmaYKinRMRQTBRQexOvtLc6ctNjeh&#10;ic+vnywEl4fzXq0fphM36n1rWcE0SUEQV1a3XCs4n3ZfSxA+IGvsLJOCJ3lY58PBCjNt73ykWxlq&#10;EUPYZ6igCcFlUvqqIYM+sY44cn+2Nxgi7Gupe7zHcNPJWZoupMGWY0ODjrYNVZfyahT8lkXxcruJ&#10;2/8cZj74YrOY00ap8WiafoMI9Ag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JYbm5AAAA2wAA&#10;AA8AAAAAAAAAAQAgAAAAIgAAAGRycy9kb3ducmV2LnhtbFBLAQIUABQAAAAIAIdO4kAzLwWeOwAA&#10;ADkAAAAQAAAAAAAAAAEAIAAAAAgBAABkcnMvc2hhcGV4bWwueG1sUEsFBgAAAAAGAAYAWwEAALID&#10;AAAAAA==&#10;" path="m7115,59l7084,59,7071,39,7102,39,711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EXEIr0AAADb&#10;AAAADwAAAGRycy9kb3ducmV2LnhtbEWPzWrDMBCE74W8g9hALiWRbUgIjpUQAgYfXErd5r5YW9vU&#10;WglL+evTV4VCj8PMfMMUh7sZxZUmP1hWkK4SEMSt1QN3Cj7ey+UWhA/IGkfLpOBBHg772VOBubY3&#10;fqNrEzoRIexzVNCH4HIpfduTQb+yjjh6n3YyGKKcOqknvEW4GWWWJBtpcOC40KOjU0/tV3MxCs5N&#10;XX+78tlVL6+ZD74+btZ0VGoxT5MdiED38B/+a1dawTqF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cQivQAA&#10;ANsAAAAPAAAAAAAAAAEAIAAAACIAAABkcnMvZG93bnJldi54bWxQSwECFAAUAAAACACHTuJAMy8F&#10;njsAAAA5AAAAEAAAAAAAAAABACAAAAAMAQAAZHJzL3NoYXBleG1sLnhtbFBLBQYAAAAABgAGAFsB&#10;AAC2AwAAAAA=&#10;" path="m304,79l273,79,285,59,316,59,30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JdaVbwAAADb&#10;AAAADwAAAGRycy9kb3ducmV2LnhtbEWPQYvCMBSE78L+h/AW9iKaWlCWahRZEHqoiNW9P5pnW2xe&#10;QpNV119vBMHjMDPfMIvVzXTiQr1vLSuYjBMQxJXVLdcKjofN6BuED8gaO8uk4J88rJYfgwVm2l55&#10;T5cy1CJC2GeooAnBZVL6qiGDfmwdcfROtjcYouxrqXu8RrjpZJokM2mw5bjQoKOfhqpz+WcU/JZF&#10;cXebocu3u9QHX6xnU1or9fU5SeYgAt3CO/xq51rB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WlW8AAAA&#10;2wAAAA8AAAAAAAAAAQAgAAAAIgAAAGRycy9kb3ducmV2LnhtbFBLAQIUABQAAAAIAIdO4kAzLwWe&#10;OwAAADkAAAAQAAAAAAAAAAEAIAAAAAsBAABkcnMvc2hhcGV4bWwueG1sUEsFBgAAAAAGAAYAWwEA&#10;ALUDAAAAAA==&#10;" path="m7151,79l7120,79,7108,59,7139,59,715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9v/zrwAAADb&#10;AAAADwAAAGRycy9kb3ducmV2LnhtbEWPT4vCMBTE78J+h/AWvIimK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68AAAA&#10;2wAAAA8AAAAAAAAAAQAgAAAAIgAAAGRycy9kb3ducmV2LnhtbFBLAQIUABQAAAAIAIdO4kAzLwWe&#10;OwAAADkAAAAQAAAAAAAAAAEAIAAAAAsBAABkcnMvc2hhcGV4bWwueG1sUEsFBgAAAAAGAAYAWwEA&#10;ALUDAAAAAA==&#10;" path="m269,99l239,99,250,79,281,79,26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DJnurwAAADb&#10;AAAADwAAAGRycy9kb3ducmV2LnhtbEWPT4vCMBTE78J+h/AWvIimi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Z7q8AAAA&#10;2wAAAA8AAAAAAAAAAQAgAAAAIgAAAGRycy9kb3ducmV2LnhtbFBLAQIUABQAAAAIAIdO4kAzLwWe&#10;OwAAADkAAAAQAAAAAAAAAAEAIAAAAAsBAABkcnMvc2hhcGV4bWwueG1sUEsFBgAAAAAGAAYAWwEA&#10;ALUDAAAAAA==&#10;" path="m7185,99l7154,99,7143,79,7174,79,718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37CIbwAAADb&#10;AAAADwAAAGRycy9kb3ducmV2LnhtbEWPT4vCMBTE78J+h/AWvIimCpWlGkUWBA8Vsbt7fzTPtti8&#10;hCZb/3x6Iwgeh5n5DbNcX00reup8Y1nBdJKAIC6tbrhS8PuzHX+B8AFZY2uZFNzIw3r1MVhipu2F&#10;j9QXoRIRwj5DBXUILpPSlzUZ9BPriKN3sp3BEGVXSd3hJcJNK2dJMpcGG44LNTr6rqk8F/9GwV+R&#10;53e3Hbnd/jDzweebeUobpYaf02QBItA1vMOv9k4rSF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iG8AAAA&#10;2wAAAA8AAAAAAAAAAQAgAAAAIgAAAGRycy9kb3ducmV2LnhtbFBLAQIUABQAAAAIAIdO4kAzLwWe&#10;OwAAADkAAAAQAAAAAAAAAAEAIAAAAAsBAABkcnMvc2hhcGV4bWwueG1sUEsFBgAAAAAGAAYAWwEA&#10;ALUDAAAAAA==&#10;" path="m237,119l217,119,228,99,247,99,23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6xcVr4AAADb&#10;AAAADwAAAGRycy9kb3ducmV2LnhtbEWPwWrDMBBE74H+g9hCLiGRHYgpjpUQCgYfXErd9r5YW9vU&#10;WglLdZJ+fRUI9DjMzBumOF7MKGaa/GBZQbpJQBC3Vg/cKfh4L9dPIHxA1jhaJgVX8nA8PCwKzLU9&#10;8xvNTehEhLDPUUEfgsul9G1PBv3GOuLofdnJYIhy6qSe8BzhZpTbJMmkwYHjQo+Onntqv5sfo+Cz&#10;qetfV65c9fK69cHXp2xHJ6WWj2myBxHoEv7D93alFewy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xcVr4A&#10;AADbAAAADwAAAAAAAAABACAAAAAiAAAAZHJzL2Rvd25yZXYueG1sUEsBAhQAFAAAAAgAh07iQDMv&#10;BZ47AAAAOQAAABAAAAAAAAAAAQAgAAAADQEAAGRycy9zaGFwZXhtbC54bWxQSwUGAAAAAAYABgBb&#10;AQAAtwMAAAAA&#10;" path="m7207,119l7187,119,7176,99,7196,99,720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D5zb4AAADb&#10;AAAADwAAAGRycy9kb3ducmV2LnhtbEWPQWvCQBSE70L/w/IKvYhuDGhLdBUpBHJIEWN7f2Rfk9Ds&#10;2yW7TWx/fbcgeBxm5htmd7iaXow0+M6ygtUyAUFcW91xo+D9ki9eQPiArLG3TAp+yMNh/zDbYabt&#10;xGcaq9CICGGfoYI2BJdJ6euWDPqldcTR+7SDwRDl0Eg94BThppdpkmykwY7jQouOXluqv6pvo+Cj&#10;Kstfl89d8XZKffDlcbOmo1JPj6tkCyLQNdzDt3ahFay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5zb4A&#10;AADbAAAADwAAAAAAAAABACAAAAAiAAAAZHJzL2Rvd25yZXYueG1sUEsBAhQAFAAAAAgAh07iQDMv&#10;BZ47AAAAOQAAABAAAAAAAAAAAQAgAAAADQEAAGRycy9zaGFwZXhtbC54bWxQSwUGAAAAAAYABgBb&#10;AQAAtwMAAAAA&#10;" path="m216,139l186,139,196,119,226,119,216,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iX9tv7kAAADb&#10;AAAADwAAAGRycy9kb3ducmV2LnhtbEVPy4rCMBTdC/5DuIIbmaYKinRMRQTBRQexOvtLc6ctNjeh&#10;ic+vnywEl4fzXq0fphM36n1rWcE0SUEQV1a3XCs4n3ZfSxA+IGvsLJOCJ3lY58PBCjNt73ykWxlq&#10;EUPYZ6igCcFlUvqqIYM+sY44cn+2Nxgi7Gupe7zHcNPJWZoupMGWY0ODjrYNVZfyahT8lkXxcruJ&#10;2/8cZj74YrOY00ap8WiafoMI9Ag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bb+5AAAA2wAA&#10;AA8AAAAAAAAAAQAgAAAAIgAAAGRycy9kb3ducmV2LnhtbFBLAQIUABQAAAAIAIdO4kAzLwWeOwAA&#10;ADkAAAAQAAAAAAAAAAEAIAAAAAgBAABkcnMvc2hhcGV4bWwueG1sUEsFBgAAAAAGAAYAWwEAALID&#10;AAAAAA==&#10;" path="m7238,139l7208,139,7197,119,7228,119,7238,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5jPIJL4AAADb&#10;AAAADwAAAGRycy9kb3ducmV2LnhtbEWPQWvCQBSE70L/w/IKvYhuDChtdBUpBHJIEWN7f2Rfk9Ds&#10;2yW7TWx/fbcgeBxm5htmd7iaXow0+M6ygtUyAUFcW91xo+D9ki+eQfiArLG3TAp+yMNh/zDbYabt&#10;xGcaq9CICGGfoYI2BJdJ6euWDPqldcTR+7SDwRDl0Eg94BThppdpkmykwY7jQouOXluqv6pvo+Cj&#10;Kstfl89d8XZKffDlcbOmo1JPj6tkCyLQNdzDt3ahFaxf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IJL4A&#10;AADbAAAADwAAAAAAAAABACAAAAAiAAAAZHJzL2Rvd25yZXYueG1sUEsBAhQAFAAAAAgAh07iQDMv&#10;BZ47AAAAOQAAABAAAAAAAAAAAQAgAAAADQEAAGRycy9zaGFwZXhtbC54bWxQSwUGAAAAAAYABgBb&#10;AQAAtwMAAAAA&#10;" path="m186,159l166,159,176,139,196,139,186,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WWrBLgAAADb&#10;AAAADwAAAGRycy9kb3ducmV2LnhtbEVPy4rCMBTdC/5DuIIbGVMFi3SMIoLgoiJW3V+aO22Z5iY0&#10;8fn1ZiG4PJz3YvUwrbhR5xvLCibjBARxaXXDlYLzafszB+EDssbWMil4kofVst9bYKbtnY90K0Il&#10;Ygj7DBXUIbhMSl/WZNCPrSOO3J/tDIYIu0rqDu8x3LRymiSpNNhwbKjR0aam8r+4GgWXIs9fbjty&#10;u/1h6oPP1+mM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WrBLgAAADbAAAA&#10;DwAAAAAAAAABACAAAAAiAAAAZHJzL2Rvd25yZXYueG1sUEsBAhQAFAAAAAgAh07iQDMvBZ47AAAA&#10;OQAAABAAAAAAAAAAAQAgAAAABwEAAGRycy9zaGFwZXhtbC54bWxQSwUGAAAAAAYABgBbAQAAsQMA&#10;AAAA&#10;" path="m7258,159l7238,159,7228,139,7248,139,7258,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ikOn70AAADb&#10;AAAADwAAAGRycy9kb3ducmV2LnhtbEWPwWrDMBBE74X8g9hALyWRbagJrpUQAgEfXEqd5L5YW9vE&#10;WglLjdN+fVUo9DjMzBum3N3NKG40+cGygnSdgCBurR64U3A+HVcbED4gaxwtk4Iv8rDbLh5KLLSd&#10;+Z1uTehEhLAvUEEfgiuk9G1PBv3aOuLofdjJYIhy6qSecI5wM8osSXJpcOC40KOjQ0/ttfk0Ci5N&#10;XX+745OrXt8yH3y9z59pr9TjMk1eQAS6h//wX7vSCv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Q6fvQAA&#10;ANsAAAAPAAAAAAAAAAEAIAAAACIAAABkcnMvZG93bnJldi54bWxQSwECFAAUAAAACACHTuJAMy8F&#10;njsAAAA5AAAAEAAAAAAAAAABACAAAAAMAQAAZHJzL3NoYXBleG1sLnhtbFBLBQYAAAAABgAGAFsB&#10;AAC2AwAAAAA=&#10;" path="m167,179l147,179,156,159,176,159,16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vuQ6LwAAADb&#10;AAAADwAAAGRycy9kb3ducmV2LnhtbEWPT4vCMBTE7wt+h/CEvSyaWrBI1ygiCB66iFXvj+ZtW2xe&#10;QpP136ffCILHYWZ+w8yXN9OJC/W+taxgMk5AEFdWt1wrOB42oxkIH5A1dpZJwZ08LBeDjznm2l55&#10;T5cy1CJC2OeooAnB5VL6qiGDfmwdcfR+bW8wRNnXUvd4jXDTyTRJMmmw5bjQoKN1Q9W5/DMKTmVR&#10;PNzmy21/dqkPvlhlU1op9TmcJN8gAt3CO/xqb7WCLI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7kOi8AAAA&#10;2wAAAA8AAAAAAAAAAQAgAAAAIgAAAGRycy9kb3ducmV2LnhtbFBLAQIUABQAAAAIAIdO4kAzLwWe&#10;OwAAADkAAAAQAAAAAAAAAAEAIAAAAAsBAABkcnMvc2hhcGV4bWwueG1sUEsFBgAAAAAGAAYAWwEA&#10;ALUDAAAAAA==&#10;" path="m7277,179l7256,179,7247,159,7267,159,727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bc1c7wAAADb&#10;AAAADwAAAGRycy9kb3ducmV2LnhtbEWPT4vCMBTE7wt+h/AEL4umK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NXO8AAAA&#10;2wAAAA8AAAAAAAAAAQAgAAAAIgAAAGRycy9kb3ducmV2LnhtbFBLAQIUABQAAAAIAIdO4kAzLwWe&#10;OwAAADkAAAAQAAAAAAAAAAEAIAAAAAsBAABkcnMvc2hhcGV4bWwueG1sUEsFBgAAAAAGAAYAWwEA&#10;ALUDAAAAAA==&#10;" path="m149,199l129,199,138,179,158,179,149,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l6tB7wAAADb&#10;AAAADwAAAGRycy9kb3ducmV2LnhtbEWPT4vCMBTE7wt+h/AEL4umi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rQe8AAAA&#10;2wAAAA8AAAAAAAAAAQAgAAAAIgAAAGRycy9kb3ducmV2LnhtbFBLAQIUABQAAAAIAIdO4kAzLwWe&#10;OwAAADkAAAAQAAAAAAAAAAEAIAAAAAsBAABkcnMvc2hhcGV4bWwueG1sUEsFBgAAAAAGAAYAWwEA&#10;ALUDAAAAAA==&#10;" path="m7294,199l7274,199,7265,179,7286,179,7294,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RIInL4AAADb&#10;AAAADwAAAGRycy9kb3ducmV2LnhtbEWPwWrDMBBE74H+g9hCLiGRHYgpjpUQCgYfXErd9r5YW9vU&#10;WglLdZJ+fRUI9DjMzBumOF7MKGaa/GBZQbpJQBC3Vg/cKfh4L9dPIHxA1jhaJgVX8nA8PCwKzLU9&#10;8xvNTehEhLDPUUEfgsul9G1PBv3GOuLofdnJYIhy6qSe8BzhZpTbJMmkwYHjQo+Onntqv5sfo+Cz&#10;qetfV65c9fK69cHXp2xHJ6WWj2myBxHoEv7D93alFWQ7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IInL4A&#10;AADbAAAADwAAAAAAAAABACAAAAAiAAAAZHJzL2Rvd25yZXYueG1sUEsBAhQAFAAAAAgAh07iQDMv&#10;BZ47AAAAOQAAABAAAAAAAAAAAQAgAAAADQEAAGRycy9zaGFwZXhtbC54bWxQSwUGAAAAAAYABgBb&#10;AQAAtwMAAAAA&#10;" path="m132,219l112,219,121,199,141,199,132,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cCW670AAADb&#10;AAAADwAAAGRycy9kb3ducmV2LnhtbEWPwWrDMBBE74X+g9hCL6WRbYgpTpRgCgEfHEKd9r5YG9vU&#10;WglLjdN+fRQI9DjMzBtmvb2YUZxp8oNlBekiAUHcWj1wp+DzuHt9A+EDssbRMin4JQ/bzePDGgtt&#10;Z/6gcxM6ESHsC1TQh+AKKX3bk0G/sI44eic7GQxRTp3UE84RbkaZJUkuDQ4cF3p09N5T+938GAVf&#10;TV3/ud2Lq/aHzAdfl/mSSqWen9JkBSLQJfyH7+1KK8hz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brvQAA&#10;ANsAAAAPAAAAAAAAAAEAIAAAACIAAABkcnMvZG93bnJldi54bWxQSwECFAAUAAAACACHTuJAMy8F&#10;njsAAAA5AAAAEAAAAAAAAAABACAAAAAMAQAAZHJzL3NoYXBleG1sLnhtbFBLBQYAAAAABgAGAFsB&#10;AAC2AwAAAAA=&#10;" path="m7311,219l7291,219,7283,199,7303,199,7311,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owzcL4AAADb&#10;AAAADwAAAGRycy9kb3ducmV2LnhtbEWPzWrDMBCE74W8g9hCLyWWbagT3CghBAw5uJQ6yX2xtrap&#10;tRKWmr+nrwqFHoeZ+YZZba5mFGea/GBZQZakIIhbqwfuFBwP1XwJwgdkjaNlUnAjD5v17GGFpbYX&#10;/qBzEzoRIexLVNCH4EopfduTQZ9YRxy9TzsZDFFOndQTXiLcjDJP00IaHDgu9Oho11P71XwbBaem&#10;ru+uenb7t/fcB19vixfaKvX0mKWvIAJdw3/4r73XCoo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zcL4A&#10;AADbAAAADwAAAAAAAAABACAAAAAiAAAAZHJzL2Rvd25yZXYueG1sUEsBAhQAFAAAAAgAh07iQDMv&#10;BZ47AAAAOQAAABAAAAAAAAAAAQAgAAAADQEAAGRycy9zaGFwZXhtbC54bWxQSwUGAAAAAAYABgBb&#10;AQAAtwMAAAAA&#10;" path="m101,259l89,259,96,239,104,219,124,219,116,239,109,239,101,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xOnArgAAADb&#10;AAAADwAAAGRycy9kb3ducmV2LnhtbEVPy4rCMBTdC/5DuIIbGVMFi3SMIoLgoiJW3V+aO22Z5iY0&#10;8fn1ZiG4PJz3YvUwrbhR5xvLCibjBARxaXXDlYLzafszB+EDssbWMil4kofVst9bYKbtnY90K0Il&#10;Ygj7DBXUIbhMSl/WZNCPrSOO3J/tDIYIu0rqDu8x3LRymiSpNNhwbKjR0aam8r+4GgWXIs9fbjty&#10;u/1h6oPP1+mM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OnArgAAADbAAAA&#10;DwAAAAAAAAABACAAAAAiAAAAZHJzL2Rvd25yZXYueG1sUEsBAhQAFAAAAAgAh07iQDMvBZ47AAAA&#10;OQAAABAAAAAAAAAAAQAgAAAABwEAAGRycy9zaGFwZXhtbC54bWxQSwUGAAAAAAYABgBbAQAAsQMA&#10;AAAA&#10;" path="m7335,259l7322,259,7315,239,7307,239,7299,219,7319,219,7327,239,7335,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F8Cmb4AAADb&#10;AAAADwAAAGRycy9kb3ducmV2LnhtbEWPzWrDMBCE74W8g9hCLyWWbahJ3CghBAw5uJQ6yX2xtrap&#10;tRKWmr+nrwqFHoeZ+YZZba5mFGea/GBZQZakIIhbqwfuFBwP1XwBwgdkjaNlUnAjD5v17GGFpbYX&#10;/qBzEzoRIexLVNCH4EopfduTQZ9YRxy9TzsZDFFOndQTXiLcjDJP00IaHDgu9Oho11P71XwbBaem&#10;ru+uenb7t/fcB19vixfaKvX0mKWvIAJdw3/4r73XCool/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Cmb4A&#10;AADbAAAADwAAAAAAAAABACAAAAAiAAAAZHJzL2Rvd25yZXYueG1sUEsBAhQAFAAAAAgAh07iQDMv&#10;BZ47AAAAOQAAABAAAAAAAAAAAQAgAAAADQEAAGRycy9zaGFwZXhtbC54bWxQSwUGAAAAAAYABgBb&#10;AQAAtwMAAAAA&#10;" path="m94,279l75,279,82,259,102,259,94,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Lw92bsAAADb&#10;AAAADwAAAGRycy9kb3ducmV2LnhtbEVPz2vCMBS+C/4P4Qm7yJoqzI2uqcig0EPHsG73R/PWljUv&#10;ocm08683h4HHj+93vp/NKM40+cGygk2SgiBurR64U/B5Kh9fQPiArHG0TAr+yMO+WC5yzLS98JHO&#10;TehEDGGfoYI+BJdJ6dueDPrEOuLIfdvJYIhw6qSe8BLDzSi3abqTBgeODT06euup/Wl+jYKvpq6v&#10;rly76v1j64OvD7snOij1sNqkryACzeEu/ndXWsFz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w92bsAAADb&#10;AAAADwAAAAAAAAABACAAAAAiAAAAZHJzL2Rvd25yZXYueG1sUEsBAhQAFAAAAAgAh07iQDMvBZ47&#10;AAAAOQAAABAAAAAAAAAAAQAgAAAACgEAAGRycy9zaGFwZXhtbC54bWxQSwUGAAAAAAYABgBbAQAA&#10;tAMAAAAA&#10;" path="m7349,279l7329,279,7322,259,7342,259,7349,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CYQr4AAADb&#10;AAAADwAAAGRycy9kb3ducmV2LnhtbEWPQWvCQBSE70L/w/IKvYjZRGiU1FWkEPAQKcb2/si+JqHZ&#10;t0t2q2l/vVsoeBxm5htms5vMIC40+t6ygixJQRA3VvfcKng/l4s1CB+QNQ6WScEPedhtH2YbLLS9&#10;8okudWhFhLAvUEEXgiuk9E1HBn1iHXH0Pu1oMEQ5tlKPeI1wM8hlmubSYM9xoUNHrx01X/W3UfBR&#10;V9WvK+fucHxb+uCrff5Me6WeHrP0BUSgKdzD/+2DVrDK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YQr4A&#10;AADbAAAADwAAAAAAAAABACAAAAAiAAAAZHJzL2Rvd25yZXYueG1sUEsBAhQAFAAAAAgAh07iQDMv&#10;BZ47AAAAOQAAABAAAAAAAAAAAQAgAAAADQEAAGRycy9zaGFwZXhtbC54bWxQSwUGAAAAAAYABgBb&#10;AQAAtwMAAAAA&#10;" path="m69,319l55,319,62,299,68,279,88,279,81,299,75,299,69,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yIGNb4AAADb&#10;AAAADwAAAGRycy9kb3ducmV2LnhtbEWPQWvCQBSE7wX/w/IKvRTdGDCV1FVECHhIKU31/si+JqHZ&#10;t0t2G6O/visUehxm5htms5tML0YafGdZwXKRgCCure64UXD6LOZrED4ga+wtk4IredhtZw8bzLW9&#10;8AeNVWhEhLDPUUEbgsul9HVLBv3COuLofdnBYIhyaKQe8BLhppdpkmTSYMdxoUVHh5bq7+rHKDhX&#10;ZXlzxbM7vr2nPvhyn61or9TT4zJ5BRFoCv/hv/ZRK3hJ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IGNb4A&#10;AADbAAAADwAAAAAAAAABACAAAAAiAAAAZHJzL2Rvd25yZXYueG1sUEsBAhQAFAAAAAgAh07iQDMv&#10;BZ47AAAAOQAAABAAAAAAAAAAAQAgAAAADQEAAGRycy9zaGFwZXhtbC54bWxQSwUGAAAAAAYABgBb&#10;AQAAtwMAAAAA&#10;" path="m7368,319l7355,319,7349,299,7342,299,7336,279,7356,279,7362,299,736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G6jrrwAAADb&#10;AAAADwAAAGRycy9kb3ducmV2LnhtbEWPT4vCMBTE78J+h/AWvIimK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668AAAA&#10;2wAAAA8AAAAAAAAAAQAgAAAAIgAAAGRycy9kb3ducmV2LnhtbFBLAQIUABQAAAAIAIdO4kAzLwWe&#10;OwAAADkAAAAQAAAAAAAAAAEAIAAAAAsBAABkcnMvc2hhcGV4bWwueG1sUEsFBgAAAAAGAAYAWwEA&#10;ALUDAAAAAA==&#10;" path="m63,339l44,339,50,319,69,319,63,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4c72rwAAADb&#10;AAAADwAAAGRycy9kb3ducmV2LnhtbEWPT4vCMBTE78J+h/AWvIimi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9q8AAAA&#10;2wAAAA8AAAAAAAAAAQAgAAAAIgAAAGRycy9kb3ducmV2LnhtbFBLAQIUABQAAAAIAIdO4kAzLwWe&#10;OwAAADkAAAAQAAAAAAAAAAEAIAAAAAsBAABkcnMvc2hhcGV4bWwueG1sUEsFBgAAAAAGAAYAWwEA&#10;ALUDAAAAAA==&#10;" path="m7380,339l7360,339,7355,319,7374,319,7380,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MueQb4AAADb&#10;AAAADwAAAGRycy9kb3ducmV2LnhtbEWPQWvCQBSE70L/w/IKvYhuDGhLdBUpBHJIEWN7f2Rfk9Ds&#10;2yW7TWx/fbcgeBxm5htmd7iaXow0+M6ygtUyAUFcW91xo+D9ki9eQPiArLG3TAp+yMNh/zDbYabt&#10;xGcaq9CICGGfoYI2BJdJ6euWDPqldcTR+7SDwRDl0Eg94BThppdpkmykwY7jQouOXluqv6pvo+Cj&#10;Kstfl89d8XZKffDlcbOmo1JPj6tkCyLQNdzDt3ahFTyv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ueQb4A&#10;AADbAAAADwAAAAAAAAABACAAAAAiAAAAZHJzL2Rvd25yZXYueG1sUEsBAhQAFAAAAAgAh07iQDMv&#10;BZ47AAAAOQAAABAAAAAAAAAAAQAgAAAADQEAAGRycy9zaGFwZXhtbC54bWxQSwUGAAAAAAYABgBb&#10;AQAAtwMAAAAA&#10;" path="m43,379l29,379,34,359,39,339,58,339,53,359,48,359,43,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BkANr4AAADb&#10;AAAADwAAAGRycy9kb3ducmV2LnhtbEWPzWrDMBCE74W8g9hCLyWWbagT3CghBAw5uJQ6yX2xtrap&#10;tRKWmr+nrwqFHoeZ+YZZba5mFGea/GBZQZakIIhbqwfuFBwP1XwJwgdkjaNlUnAjD5v17GGFpbYX&#10;/qBzEzoRIexLVNCH4EopfduTQZ9YRxy9TzsZDFFOndQTXiLcjDJP00IaHDgu9Oho11P71XwbBaem&#10;ru+uenb7t/fcB19vixfaKvX0mKWvIAJdw3/4r73XCh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kANr4A&#10;AADbAAAADwAAAAAAAAABACAAAAAiAAAAZHJzL2Rvd25yZXYueG1sUEsBAhQAFAAAAAgAh07iQDMv&#10;BZ47AAAAOQAAABAAAAAAAAAAAQAgAAAADQEAAGRycy9zaGFwZXhtbC54bWxQSwUGAAAAAAYABgBb&#10;AQAAtwMAAAAA&#10;" path="m7394,379l7380,379,7376,359,7371,359,7366,339,7385,339,7390,359,7394,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1WlrbwAAADb&#10;AAAADwAAAGRycy9kb3ducmV2LnhtbEWPT4vCMBTE78J+h/AWvIimClrpGkUWBA8Vse7eH83btmzz&#10;Epr499MbQfA4zMxvmMXqalpxps43lhWMRwkI4tLqhisFP8fNcA7CB2SNrWVScCMPq+VHb4GZthc+&#10;0LkIlYgQ9hkqqENwmZS+rMmgH1lHHL0/2xkMUXaV1B1eIty0cpIkM2mw4bhQo6Pvmsr/4mQU/BZ5&#10;fnebgdvu9hMffL6eTWmtVP9znHyBCHQN7/CrvdU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pa28AAAA&#10;2wAAAA8AAAAAAAAAAQAgAAAAIgAAAGRycy9kb3ducmV2LnhtbFBLAQIUABQAAAAIAIdO4kAzLwWe&#10;OwAAADkAAAAQAAAAAAAAAAEAIAAAAAsBAABkcnMvc2hhcGV4bWwueG1sUEsFBgAAAAAGAAYAWwEA&#10;ALUDAAAAAA==&#10;" path="m32,419l17,419,21,399,25,379,43,379,39,399,35,399,32,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sox37sAAADb&#10;AAAADwAAAGRycy9kb3ducmV2LnhtbEVPz2vCMBS+C/4P4Qm7yJoqzI2uqcig0EPHsG73R/PWljUv&#10;ocm08683h4HHj+93vp/NKM40+cGygk2SgiBurR64U/B5Kh9fQPiArHG0TAr+yMO+WC5yzLS98JHO&#10;TehEDGGfoYI+BJdJ6dueDPrEOuLIfdvJYIhw6qSe8BLDzSi3abqTBgeODT06euup/Wl+jYKvpq6v&#10;rly76v1j64OvD7snOij1sNqkryACzeEu/ndXWsFz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ox37sAAADb&#10;AAAADwAAAAAAAAABACAAAAAiAAAAZHJzL2Rvd25yZXYueG1sUEsBAhQAFAAAAAgAh07iQDMvBZ47&#10;AAAAOQAAABAAAAAAAAAAAQAgAAAACgEAAGRycy9zaGFwZXhtbC54bWxQSwUGAAAAAAYABgBbAQAA&#10;tAMAAAAA&#10;" path="m7406,419l7392,419,7388,399,7384,399,7380,379,7399,379,7403,399,7406,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YaURLwAAADb&#10;AAAADwAAAGRycy9kb3ducmV2LnhtbEWPT4vCMBTE78J+h/AWvIimCuraNYoIgocuYl3vj+bZlm1e&#10;QhP/fvqNIHgcZuY3zHx5M424UOtrywqGgwQEcWF1zaWC38Om/wXCB2SNjWVScCcPy8VHZ46ptlfe&#10;0yUPpYgQ9ikqqEJwqZS+qMigH1hHHL2TbQ2GKNtS6havEW4aOUqSiTRYc1yo0NG6ouIvPxsFxzzL&#10;Hm7Tc9uf3cgHn60mY1op1f0cJt8gAt3CO/xqb7WC6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GlES8AAAA&#10;2wAAAA8AAAAAAAAAAQAgAAAAIgAAAGRycy9kb3ducmV2LnhtbFBLAQIUABQAAAAIAIdO4kAzLwWe&#10;OwAAADkAAAAQAAAAAAAAAAEAIAAAAAsBAABkcnMvc2hhcGV4bWwueG1sUEsFBgAAAAAGAAYAWwEA&#10;ALUDAAAAAA==&#10;" path="m21,479l6,479,8,459,11,439,14,419,32,419,28,439,26,439,23,459,23,459,21,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WlN/rgAAADb&#10;AAAADwAAAGRycy9kb3ducmV2LnhtbEVPy4rCMBTdC/5DuIIb0VRBKdUoIgguOoh1Zn9prm2xuQlN&#10;fM3Xm4Xg8nDeq83TtOJOnW8sK5hOEhDEpdUNVwp+z/txCsIHZI2tZVLwIg+bdb+3wkzbB5/oXoRK&#10;xBD2GSqoQ3CZlL6syaCfWEccuYvtDIYIu0rqDh8x3LRyliQLabDh2FCjo11N5bW4GQV/RZ7/u/3I&#10;HX6OMx98vl3MaavUcDBNliACPcNX/HEftII0ro9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lN/rgAAADbAAAA&#10;DwAAAAAAAAABACAAAAAiAAAAZHJzL2Rvd25yZXYueG1sUEsBAhQAFAAAAAgAh07iQDMvBZ47AAAA&#10;OQAAABAAAAAAAAAAAQAgAAAABwEAAGRycy9zaGFwZXhtbC54bWxQSwUGAAAAAAYABgBbAQAAsQMA&#10;AAAA&#10;" path="m7418,479l7403,479,7401,459,7401,459,7398,439,7395,439,7392,419,7410,419,7413,439,7415,459,7418,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iXoZb4AAADb&#10;AAAADwAAAGRycy9kb3ducmV2LnhtbEWPwWrDMBBE74X+g9hCLqWRHUgwTpRgCgYfXELc9r5YG9vU&#10;WglLcdJ+fVUo5DjMzBtmd7iZUcw0+cGygnSZgCBurR64U/DxXr5kIHxA1jhaJgXf5OGwf3zYYa7t&#10;lU80N6ETEcI+RwV9CC6X0rc9GfRL64ijd7aTwRDl1Ek94TXCzShXSbKRBgeOCz06eu2p/WouRsFn&#10;U9c/rnx21dtx5YOvi82aCqUWT2myBRHoFu7h/3alFW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XoZb4A&#10;AADbAAAADwAAAAAAAAABACAAAAAiAAAAZHJzL2Rvd25yZXYueG1sUEsBAhQAFAAAAAgAh07iQDMv&#10;BZ47AAAAOQAAABAAAAAAAAAAAQAgAAAADQEAAGRycy9zaGFwZXhtbC54bWxQSwUGAAAAAAYABgBb&#10;AQAAtwMAAAAA&#10;" path="m16,519l1,519,2,499,4,479,19,479,17,499,17,499,16,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vd2ErwAAADb&#10;AAAADwAAAGRycy9kb3ducmV2LnhtbEWPT4vCMBTE78J+h/AWvMiaWlBKNYosCB4qYnXvj+bZlm1e&#10;QhP/7H56Iwgeh5n5DbNY3U0nrtT71rKCyTgBQVxZ3XKt4HTcfGUgfEDW2FkmBX/kYbX8GCww1/bG&#10;B7qWoRYRwj5HBU0ILpfSVw0Z9GPriKN3tr3BEGVfS93jLcJNJ9MkmUmDLceFBh19N1T9lhej4Kcs&#10;in+3Gbntbp/64Iv1bEprpYafk2QOItA9vMOv9lYryF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3dhK8AAAA&#10;2wAAAA8AAAAAAAAAAQAgAAAAIgAAAGRycy9kb3ducmV2LnhtbFBLAQIUABQAAAAIAIdO4kAzLwWe&#10;OwAAADkAAAAQAAAAAAAAAAEAIAAAAAsBAABkcnMvc2hhcGV4bWwueG1sUEsFBgAAAAAGAAYAWwEA&#10;ALUDAAAAAA==&#10;" path="m7423,519l7408,519,7406,499,7406,499,7405,479,7420,479,7421,499,7423,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vTib4AAADb&#10;AAAADwAAAGRycy9kb3ducmV2LnhtbEWPQWvCQBSE7wX/w/IEL6VuYql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Tib4A&#10;AADbAAAADwAAAAAAAAABACAAAAAiAAAAZHJzL2Rvd25yZXYueG1sUEsBAhQAFAAAAAgAh07iQDMv&#10;BZ47AAAAOQAAABAAAAAAAAAAAQAgAAAADQEAAGRycy9zaGFwZXhtbC54bWxQSwUGAAAAAAYABgBb&#10;AQAAtwMAAAAA&#10;" path="m19,4559l2,4559,1,4539,0,4519,0,4499,0,539,0,519,15,519,15,539,15,4499,15,4519,16,4539,17,4539,19,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lJL/b4AAADb&#10;AAAADwAAAGRycy9kb3ducmV2LnhtbEWPQWvCQBSE7wX/w/IEL6VuIq1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JL/b4A&#10;AADbAAAADwAAAAAAAAABACAAAAAiAAAAZHJzL2Rvd25yZXYueG1sUEsBAhQAFAAAAAgAh07iQDMv&#10;BZ47AAAAOQAAABAAAAAAAAAAAQAgAAAADQEAAGRycy9zaGFwZXhtbC54bWxQSwUGAAAAAAYABgBb&#10;AQAAtwMAAAAA&#10;" path="m7421,4559l7405,4559,7406,4539,7408,4539,7408,4519,7408,4519,7409,4499,7409,539,7408,519,7423,519,7424,539,7424,4499,7423,4519,7423,4539,7421,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R7uZrsAAADb&#10;AAAADwAAAGRycy9kb3ducmV2LnhtbEWPzarCMBSE9xd8h3AENxdNFRSpRhFBcFGRW3V/aI5tsTkJ&#10;Tfx9eiMIdznMzDfMfPkwjbhR62vLCoaDBARxYXXNpYLjYdOfgvABWWNjmRQ8ycNy0fmZY6rtnf/o&#10;lodSRAj7FBVUIbhUSl9UZNAPrCOO3tm2BkOUbSl1i/cIN40cJclEGqw5LlToaF1RccmvRsEpz7KX&#10;2/y67W4/8sFnq8mYVkr1usNkBiLQI/yHv+2tVjAdw+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7uZrsAAADb&#10;AAAADwAAAAAAAAABACAAAAAiAAAAZHJzL2Rvd25yZXYueG1sUEsBAhQAFAAAAAgAh07iQDMvBZ47&#10;AAAAOQAAABAAAAAAAAAAAQAgAAAACgEAAGRycy9zaGFwZXhtbC54bWxQSwUGAAAAAAYABgBbAQAA&#10;tAMAAAAA&#10;" path="m23,4599l8,4599,6,4579,4,4559,19,4559,21,4579,21,4579,23,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cxwEbwAAADb&#10;AAAADwAAAGRycy9kb3ducmV2LnhtbEWPT4vCMBTE78J+h/AEL7KmCpZSjSILgoeK2N29P5pnW2xe&#10;QhP/7H56Iwgeh5n5DbNc300nrtT71rKC6SQBQVxZ3XKt4Od7+5mB8AFZY2eZFPyRh/XqY7DEXNsb&#10;H+lahlpECPscFTQhuFxKXzVk0E+sI47eyfYGQ5R9LXWPtwg3nZwlSSoNthwXGnT01VB1Li9GwW9Z&#10;FP9uO3a7/WHmgy826Zw2So2G02QBItA9vMOv9k4ryFJ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McBG8AAAA&#10;2wAAAA8AAAAAAAAAAQAgAAAAIgAAAGRycy9kb3ducmV2LnhtbFBLAQIUABQAAAAIAIdO4kAzLwWe&#10;OwAAADkAAAAQAAAAAAAAAAEAIAAAAAsBAABkcnMvc2hhcGV4bWwueG1sUEsFBgAAAAAGAAYAWwEA&#10;ALUDAAAAAA==&#10;" path="m7415,4599l7401,4599,7403,4579,7403,4579,7405,4559,7420,4559,7418,4579,7415,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oDVirwAAADb&#10;AAAADwAAAGRycy9kb3ducmV2LnhtbEWPT4vCMBTE78J+h/AWvMiaKuhKNYosFDxUxLp7fzTPtmzz&#10;Epr499MbQfA4zMxvmMXqalpxps43lhWMhgkI4tLqhisFv4fsawbCB2SNrWVScCMPq+VHb4Gpthfe&#10;07kIlYgQ9ikqqENwqZS+rMmgH1pHHL2j7QyGKLtK6g4vEW5aOU6SqTTYcFyo0dFPTeV/cTIK/oo8&#10;v7ts4Dbb3dgHn6+nE1or1f8cJXMQga7hHX61N1rB7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1Yq8AAAA&#10;2wAAAA8AAAAAAAAAAQAgAAAAIgAAAGRycy9kb3ducmV2LnhtbFBLAQIUABQAAAAIAIdO4kAzLwWe&#10;OwAAADkAAAAQAAAAAAAAAAEAIAAAAAsBAABkcnMvc2hhcGV4bWwueG1sUEsFBgAAAAAGAAYAWwEA&#10;ALUDAAAAAA==&#10;" path="m32,4639l17,4639,14,4619,11,4599,26,4599,29,4619,28,4619,32,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9x9B+LgAAADb&#10;AAAADwAAAGRycy9kb3ducmV2LnhtbEVPy4rCMBTdC/5DuIIb0VRBKdUoIgguOoh1Zn9prm2xuQlN&#10;fM3Xm4Xg8nDeq83TtOJOnW8sK5hOEhDEpdUNVwp+z/txCsIHZI2tZVLwIg+bdb+3wkzbB5/oXoRK&#10;xBD2GSqoQ3CZlL6syaCfWEccuYvtDIYIu0rqDh8x3LRyliQLabDh2FCjo11N5bW4GQV/RZ7/u/3I&#10;HX6OMx98vl3MaavUcDBNliACPcNX/HEftII0jo1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x9B+LgAAADbAAAA&#10;DwAAAAAAAAABACAAAAAiAAAAZHJzL2Rvd25yZXYueG1sUEsBAhQAFAAAAAgAh07iQDMvBZ47AAAA&#10;OQAAABAAAAAAAAAAAQAgAAAABwEAAGRycy9zaGFwZXhtbC54bWxQSwUGAAAAAAYABgBbAQAAsQMA&#10;AAAA&#10;" path="m7406,4639l7392,4639,7395,4619,7395,4619,7398,4599,7413,4599,7410,4619,7406,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mFPkY7wAAADb&#10;AAAADwAAAGRycy9kb3ducmV2LnhtbEWPT4vCMBTE78J+h/AWvIimCkrtGkUWBA8Vse7eH83btmzz&#10;Epr499MbQfA4zMxvmMXqalpxps43lhWMRwkI4tLqhisFP8fNMAXhA7LG1jIpuJGH1fKjt8BM2wsf&#10;6FyESkQI+wwV1CG4TEpf1mTQj6wjjt6f7QyGKLtK6g4vEW5aOUmSmTTYcFyo0dF3TeV/cTIKfos8&#10;v7vNwG13+4kPPl/PprRWqv85Tr5ABLqGd/jV3moF6R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T5GO8AAAA&#10;2wAAAA8AAAAAAAAAAQAgAAAAIgAAAGRycy9kb3ducmV2LnhtbFBLAQIUABQAAAAIAIdO4kAzLwWe&#10;OwAAADkAAAAQAAAAAAAAAAEAIAAAAAsBAABkcnMvc2hhcGV4bWwueG1sUEsFBgAAAAAGAAYAWwEA&#10;ALUDAAAAAA==&#10;" path="m43,4679l29,4679,25,4659,21,4639,35,4639,39,4659,39,4659,43,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LDbI7sAAADb&#10;AAAADwAAAGRycy9kb3ducmV2LnhtbEVPz2vCMBS+C/4P4Qm7yJoqTLauqcig0EPHsG73R/PWljUv&#10;ocm08683h4HHj+93vp/NKM40+cGygk2SgiBurR64U/B5Kh+fQfiArHG0TAr+yMO+WC5yzLS98JHO&#10;TehEDGGfoYI+BJdJ6dueDPrEOuLIfdvJYIhw6qSe8BLDzSi3abqTBgeODT06euup/Wl+jYKvpq6v&#10;rly76v1j64OvD7snOij1sNqkryACzeEu/ndXWsFL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DbI7sAAADb&#10;AAAADwAAAAAAAAABACAAAAAiAAAAZHJzL2Rvd25yZXYueG1sUEsBAhQAFAAAAAgAh07iQDMvBZ47&#10;AAAAOQAAABAAAAAAAAAAAQAgAAAACgEAAGRycy9zaGFwZXhtbC54bWxQSwUGAAAAAAYABgBbAQAA&#10;tAMAAAAA&#10;" path="m7394,4679l7380,4679,7384,4659,7384,4659,7388,4639,7403,4639,7399,4659,7394,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x+uL4AAADb&#10;AAAADwAAAGRycy9kb3ducmV2LnhtbEWPQWvCQBSE70L/w/IKvYjZRGjQ1FWkEPAQKcb2/si+JqHZ&#10;t0t2q2l/vVsoeBxm5htms5vMIC40+t6ygixJQRA3VvfcKng/l4sVCB+QNQ6WScEPedhtH2YbLLS9&#10;8okudWhFhLAvUEEXgiuk9E1HBn1iHXH0Pu1oMEQ5tlKPeI1wM8hlmubSYM9xoUNHrx01X/W3UfBR&#10;V9WvK+fucHxb+uCrff5Me6WeHrP0BUSgKdzD/+2DVrD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uL4A&#10;AADbAAAADwAAAAAAAAABACAAAAAiAAAAZHJzL2Rvd25yZXYueG1sUEsBAhQAFAAAAAgAh07iQDMv&#10;BZ47AAAAOQAAABAAAAAAAAAAAQAgAAAADQEAAGRycy9zaGFwZXhtbC54bWxQSwUGAAAAAAYABgBb&#10;AQAAtwMAAAAA&#10;" path="m48,4679l43,4679,43,4659,48,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y7gz74AAADb&#10;AAAADwAAAGRycy9kb3ducmV2LnhtbEWPQWvCQBSE7wX/w/IKvRTdGDDU1FVECHhIKU31/si+JqHZ&#10;t0t2G6O/visUehxm5htms5tML0YafGdZwXKRgCCure64UXD6LOYvIHxA1thbJgVX8rDbzh42mGt7&#10;4Q8aq9CICGGfo4I2BJdL6euWDPqFdcTR+7KDwRDl0Eg94CXCTS/TJMmkwY7jQouODi3V39WPUXCu&#10;yvLmimd3fHtPffDlPlvRXqmnx2XyCiLQFP7Df+2jVrBO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7gz74A&#10;AADbAAAADwAAAAAAAAABACAAAAAiAAAAZHJzL2Rvd25yZXYueG1sUEsBAhQAFAAAAAgAh07iQDMv&#10;BZ47AAAAOQAAABAAAAAAAAAAAQAgAAAADQEAAGRycy9zaGFwZXhtbC54bWxQSwUGAAAAAAYABgBb&#10;AQAAtwMAAAAA&#10;" path="m7380,4679l7376,4679,7380,4659,7380,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GJFVLwAAADb&#10;AAAADwAAAGRycy9kb3ducmV2LnhtbEWPT4vCMBTE78J+h/AWvIimK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RVS8AAAA&#10;2wAAAA8AAAAAAAAAAQAgAAAAIgAAAGRycy9kb3ducmV2LnhtbFBLAQIUABQAAAAIAIdO4kAzLwWe&#10;OwAAADkAAAAQAAAAAAAAAAEAIAAAAAsBAABkcnMvc2hhcGV4bWwueG1sUEsFBgAAAAAGAAYAWwEA&#10;ALUDAAAAAA==&#10;" path="m63,4719l44,4719,39,4699,34,4679,48,4679,53,4699,58,4699,63,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84vdILwAAADb&#10;AAAADwAAAGRycy9kb3ducmV2LnhtbEWPT4vCMBTE78J+h/AWvIimi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L3SC8AAAA&#10;2wAAAA8AAAAAAAAAAQAgAAAAIgAAAGRycy9kb3ducmV2LnhtbFBLAQIUABQAAAAIAIdO4kAzLwWe&#10;OwAAADkAAAAQAAAAAAAAAAEAIAAAAAsBAABkcnMvc2hhcGV4bWwueG1sUEsFBgAAAAAGAAYAWwEA&#10;ALUDAAAAAA==&#10;" path="m7380,4719l7360,4719,7366,4699,7371,4699,7376,4679,7390,4679,7385,4699,7380,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Md4u74AAADb&#10;AAAADwAAAGRycy9kb3ducmV2LnhtbEWPQWvCQBSE70L/w/IKvYhuDChtdBUpBHJIEWN7f2Rfk9Ds&#10;2yW7TWx/fbcgeBxm5htmd7iaXow0+M6ygtUyAUFcW91xo+D9ki+eQfiArLG3TAp+yMNh/zDbYabt&#10;xGcaq9CICGGfoYI2BJdJ6euWDPqldcTR+7SDwRDl0Eg94BThppdpkmykwY7jQouOXluqv6pvo+Cj&#10;Kstfl89d8XZKffDlcbOmo1JPj6tkCyLQNdzDt3ahFbys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d4u74A&#10;AADbAAAADwAAAAAAAAABACAAAAAiAAAAZHJzL2Rvd25yZXYueG1sUEsBAhQAFAAAAAgAh07iQDMv&#10;BZ47AAAAOQAAABAAAAAAAAAAAQAgAAAADQEAAGRycy9zaGFwZXhtbC54bWxQSwUGAAAAAAYABgBb&#10;AQAAtwMAAAAA&#10;" path="m81,4759l62,4759,55,4739,50,4719,63,4719,69,4739,75,4739,81,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BXmzL4AAADb&#10;AAAADwAAAGRycy9kb3ducmV2LnhtbEWPzWrDMBCE74W8g9hCLyWWbahJ3CghBAw5uJQ6yX2xtrap&#10;tRKWmr+nrwqFHoeZ+YZZba5mFGea/GBZQZakIIhbqwfuFBwP1XwBwgdkjaNlUnAjD5v17GGFpbYX&#10;/qBzEzoRIexLVNCH4EopfduTQZ9YRxy9TzsZDFFOndQTXiLcjDJP00IaHDgu9Oho11P71XwbBaem&#10;ru+uenb7t/fcB19vixfaKvX0mKWvIAJdw3/4r73XCp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XmzL4A&#10;AADbAAAADwAAAAAAAAABACAAAAAiAAAAZHJzL2Rvd25yZXYueG1sUEsBAhQAFAAAAAgAh07iQDMv&#10;BZ47AAAAOQAAABAAAAAAAAAAAQAgAAAADQEAAGRycy9zaGFwZXhtbC54bWxQSwUGAAAAAAYABgBb&#10;AQAAtwMAAAAA&#10;" path="m7362,4759l7342,4759,7349,4739,7355,4739,7360,4719,7374,4719,7368,4739,7362,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1lDV7wAAADb&#10;AAAADwAAAGRycy9kb3ducmV2LnhtbEWPT4vCMBTE78J+h/AWvIimCuraNYoIgocuYl3vj+bZlm1e&#10;QhP/fvqNIHgcZuY3zHx5M424UOtrywqGgwQEcWF1zaWC38Om/wXCB2SNjWVScCcPy8VHZ46ptlfe&#10;0yUPpYgQ9ikqqEJwqZS+qMigH1hHHL2TbQ2GKNtS6havEW4aOUqSiTRYc1yo0NG6ouIvPxsFxzzL&#10;Hm7Tc9uf3cgHn60mY1op1f0cJt8gAt3CO/xqb7WC2RS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Q1e8AAAA&#10;2wAAAA8AAAAAAAAAAQAgAAAAIgAAAGRycy9kb3ducmV2LnhtbFBLAQIUABQAAAAIAIdO4kAzLwWe&#10;OwAAADkAAAAQAAAAAAAAAAEAIAAAAAsBAABkcnMvc2hhcGV4bWwueG1sUEsFBgAAAAAGAAYAWwEA&#10;ALUDAAAAAA==&#10;" path="m94,4779l75,4779,68,4759,88,4759,94,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sbXJbsAAADb&#10;AAAADwAAAGRycy9kb3ducmV2LnhtbEVPz2vCMBS+C/4P4Qm7yJoqTLauqcig0EPHsG73R/PWljUv&#10;ocm08683h4HHj+93vp/NKM40+cGygk2SgiBurR64U/B5Kh+fQfiArHG0TAr+yMO+WC5yzLS98JHO&#10;TehEDGGfoYI+BJdJ6dueDPrEOuLIfdvJYIhw6qSe8BLDzSi3abqTBgeODT06euup/Wl+jYKvpq6v&#10;rly76v1j64OvD7snOij1sNqkryACzeEu/ndXWsFL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bXJbsAAADb&#10;AAAADwAAAAAAAAABACAAAAAiAAAAZHJzL2Rvd25yZXYueG1sUEsBAhQAFAAAAAgAh07iQDMvBZ47&#10;AAAAOQAAABAAAAAAAAAAAQAgAAAACgEAAGRycy9zaGFwZXhtbC54bWxQSwUGAAAAAAYABgBbAQAA&#10;tAMAAAAA&#10;" path="m7349,4779l7329,4779,7336,4759,7356,4759,7349,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YpyvrwAAADb&#10;AAAADwAAAGRycy9kb3ducmV2LnhtbEWPT4vCMBTE78J+h/AWvMiaKihrNYosFDxUxLp7fzTPtmzz&#10;Epr499MbQfA4zMxvmMXqalpxps43lhWMhgkI4tLqhisFv4fs6xuED8gaW8uk4EYeVsuP3gJTbS+8&#10;p3MRKhEh7FNUUIfgUil9WZNBP7SOOHpH2xkMUXaV1B1eIty0cpwkU2mw4bhQo6Ofmsr/4mQU/BV5&#10;fnfZwG22u7EPPl9PJ7RWqv85SuYgAl3DO/xqb7SC2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Kcr68AAAA&#10;2wAAAA8AAAAAAAAAAQAgAAAAIgAAAGRycy9kb3ducmV2LnhtbFBLAQIUABQAAAAIAIdO4kAzLwWe&#10;OwAAADkAAAAQAAAAAAAAAAEAIAAAAAsBAABkcnMvc2hhcGV4bWwueG1sUEsFBgAAAAAGAAYAWwEA&#10;ALUDAAAAAA==&#10;" path="m116,4819l96,4819,89,4799,82,4779,94,4779,102,4799,109,4799,116,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pJPVb8AAADc&#10;AAAADwAAAGRycy9kb3ducmV2LnhtbEWPT2vDMAzF74V9B6NBL6W1W2gZad1SBoUcMsay7S5iLQmL&#10;ZRN7/bNPPx0Ku0m8p/d+2h2uflBnGlMf2MJyYUARN8H13Fr4eD/Nn0CljOxwCEwWbpTgsH+Y7LBw&#10;4cJvdK5zqySEU4EWupxjoXVqOvKYFiESi/YVRo9Z1rHVbsSLhPtBr4zZaI89S0OHkZ47ar7rH2/h&#10;s66q33iaxfLldZVyqo6bNR2tnT4uzRZUpmv+N9+vSyf4RvD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ST1W/&#10;AAAA3AAAAA8AAAAAAAAAAQAgAAAAIgAAAGRycy9kb3ducmV2LnhtbFBLAQIUABQAAAAIAIdO4kAz&#10;LwWeOwAAADkAAAAQAAAAAAAAAAEAIAAAAA4BAABkcnMvc2hhcGV4bWwueG1sUEsFBgAAAAAGAAYA&#10;WwEAALgDAAAAAA==&#10;" path="m7327,4819l7307,4819,7315,4799,7322,4799,7329,4779,7342,4779,7335,4799,7327,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d7qzrsAAADc&#10;AAAADwAAAGRycy9kb3ducmV2LnhtbEVP32vCMBB+F/wfwg32ImtSYSLVVEQQfKiMVfd+NGdb1lxC&#10;k6nbX28Gg73dx/fz1pu7HcSVxtA71pBnCgRx40zPrYbzaf+yBBEissHBMWn4pgCbcjpZY2Hcjd/p&#10;WsdWpBAOBWroYvSFlKHpyGLInCdO3MWNFmOCYyvNiLcUbgc5V2ohLfacGjr0tOuo+ay/rIaPuqp+&#10;/H7mD8e3eYih2i5eaav181OuViAi3eO/+M99MGm+yuH3mXSBL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7qzrsAAADc&#10;AAAADwAAAAAAAAABACAAAAAiAAAAZHJzL2Rvd25yZXYueG1sUEsBAhQAFAAAAAgAh07iQDMvBZ47&#10;AAAAOQAAABAAAAAAAAAAAQAgAAAACgEAAGRycy9zaGFwZXhtbC54bWxQSwUGAAAAAAYABgBbAQAA&#10;tAMAAAAA&#10;" path="m132,4839l112,4839,104,4819,124,4819,132,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Qx0ubsAAADc&#10;AAAADwAAAGRycy9kb3ducmV2LnhtbEVP32vCMBB+F/wfwg32IjOxMJFqWkQQfKiMVfd+NGdb1lxC&#10;k6nbX28Gg73dx/fzNuXdDuJKY+gda1jMFQjixpmeWw3n0/5lBSJEZIODY9LwTQHKYjrZYG7cjd/p&#10;WsdWpBAOOWroYvS5lKHpyGKYO0+cuIsbLcYEx1aaEW8p3A4yU2opLfacGjr0tOuo+ay/rIaPuqp+&#10;/H7mD8e3LMRQbZevtNX6+Wmh1iAi3eO/+M99MGm+yuD3mXSB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x0ubsAAADc&#10;AAAADwAAAAAAAAABACAAAAAiAAAAZHJzL2Rvd25yZXYueG1sUEsBAhQAFAAAAAgAh07iQDMvBZ47&#10;AAAAOQAAABAAAAAAAAAAAQAgAAAACgEAAGRycy9zaGFwZXhtbC54bWxQSwUGAAAAAAYABgBbAQAA&#10;tAMAAAAA&#10;" path="m7311,4839l7291,4839,7299,4819,7319,4819,7311,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kDRIrwAAADc&#10;AAAADwAAAGRycy9kb3ducmV2LnhtbEVPS2sCMRC+C/0PYQq9iCZalL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A0SK8AAAA&#10;3AAAAA8AAAAAAAAAAQAgAAAAIgAAAGRycy9kb3ducmV2LnhtbFBLAQIUABQAAAAIAIdO4kAzLwWe&#10;OwAAADkAAAAQAAAAAAAAAAEAIAAAAAsBAABkcnMvc2hhcGV4bWwueG1sUEsFBgAAAAAGAAYAWwEA&#10;ALUDAAAAAA==&#10;" path="m149,4859l129,4859,121,4839,141,4839,149,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alJVrwAAADc&#10;AAAADwAAAGRycy9kb3ducmV2LnhtbEVPS2sCMRC+C/0PYQq9iCZKlb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pSVa8AAAA&#10;3AAAAA8AAAAAAAAAAQAgAAAAIgAAAGRycy9kb3ducmV2LnhtbFBLAQIUABQAAAAIAIdO4kAzLwWe&#10;OwAAADkAAAAQAAAAAAAAAAEAIAAAAAsBAABkcnMvc2hhcGV4bWwueG1sUEsFBgAAAAAGAAYAWwEA&#10;ALUDAAAAAA==&#10;" path="m7294,4859l7274,4859,7283,4839,7303,4839,7294,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uXszboAAADc&#10;AAAADwAAAGRycy9kb3ducmV2LnhtbEVPS4vCMBC+C/6HMIIXWRMFRbpGEUHwUJHtrvehmW3LNpPQ&#10;xOevN4Kwt/n4nrNc32wrLtSFxrGGyViBIC6dabjS8PO9+1iACBHZYOuYNNwpwHrV7y0xM+7KX3Qp&#10;YiVSCIcMNdQx+kzKUNZkMYydJ07cr+ssxgS7SpoOrynctnKq1FxabDg11OhpW1P5V5ythlOR5w+/&#10;G/n94TgNMeSb+Yw2Wg8HE/UJItIt/ovf7r1J89UMXs+k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ezNugAAANwA&#10;AAAPAAAAAAAAAAEAIAAAACIAAABkcnMvZG93bnJldi54bWxQSwECFAAUAAAACACHTuJAMy8FnjsA&#10;AAA5AAAAEAAAAAAAAAABACAAAAAJAQAAZHJzL3NoYXBleG1sLnhtbFBLBQYAAAAABgAGAFsBAACz&#10;AwAAAAA=&#10;" path="m167,4879l147,4879,138,4859,158,4859,16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jdyursAAADc&#10;AAAADwAAAGRycy9kb3ducmV2LnhtbEVPS2sCMRC+C/0PYQq9SE0UushqFCkIe1gprvY+bMbdpZtJ&#10;2KS+fr0pFLzNx/ec5fpqe3GmIXSONUwnCgRx7UzHjYbjYfs+BxEissHeMWm4UYD16mW0xNy4C+/p&#10;XMVGpBAOOWpoY/S5lKFuyWKYOE+cuJMbLMYEh0aaAS8p3PZyplQmLXacGlr09NlS/VP9Wg3fVVne&#10;/Xbsi93XLMRQbrIP2mj99jpVCxCRrvEp/ncXJs1XGfw9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dyursAAADc&#10;AAAADwAAAAAAAAABACAAAAAiAAAAZHJzL2Rvd25yZXYueG1sUEsBAhQAFAAAAAgAh07iQDMvBZ47&#10;AAAAOQAAABAAAAAAAAAAAQAgAAAACgEAAGRycy9zaGFwZXhtbC54bWxQSwUGAAAAAAYABgBbAQAA&#10;tAMAAAAA&#10;" path="m7277,4879l7256,4879,7265,4859,7286,4859,727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XvXIbwAAADc&#10;AAAADwAAAGRycy9kb3ducmV2LnhtbEVPS2sCMRC+C/6HMAUvUhOF2rKaXUQQPGwp3ep92Iy7SzeT&#10;sInPX98UCr3Nx/ecdXGzvbjQEDrHGuYzBYK4dqbjRsPha/f8BiJEZIO9Y9JwpwBFPh6tMTPuyp90&#10;qWIjUgiHDDW0MfpMylC3ZDHMnCdO3MkNFmOCQyPNgNcUbnu5UGopLXacGlr0tG2p/q7OVsOxKsuH&#10;3039/v1jEWIoN8sX2mg9eZqrFYhIt/gv/nPvTZqvXuH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71yG8AAAA&#10;3AAAAA8AAAAAAAAAAQAgAAAAIgAAAGRycy9kb3ducmV2LnhtbFBLAQIUABQAAAAIAIdO4kAzLwWe&#10;OwAAADkAAAAQAAAAAAAAAAEAIAAAAAsBAABkcnMvc2hhcGV4bWwueG1sUEsFBgAAAAAGAAYAWwEA&#10;ALUDAAAAAA==&#10;" path="m186,4899l166,4899,156,4879,176,4879,186,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ORDU78AAADc&#10;AAAADwAAAGRycy9kb3ducmV2LnhtbEWPT2vDMAzF74V9B6NBL6W1W2gZad1SBoUcMsay7S5iLQmL&#10;ZRN7/bNPPx0Ku0m8p/d+2h2uflBnGlMf2MJyYUARN8H13Fr4eD/Nn0CljOxwCEwWbpTgsH+Y7LBw&#10;4cJvdK5zqySEU4EWupxjoXVqOvKYFiESi/YVRo9Z1rHVbsSLhPtBr4zZaI89S0OHkZ47ar7rH2/h&#10;s66q33iaxfLldZVyqo6bNR2tnT4uzRZUpmv+N9+vSyf4Rmj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kQ1O/&#10;AAAA3AAAAA8AAAAAAAAAAQAgAAAAIgAAAGRycy9kb3ducmV2LnhtbFBLAQIUABQAAAAIAIdO4kAz&#10;LwWeOwAAADkAAAAQAAAAAAAAAAEAIAAAAA4BAABkcnMvc2hhcGV4bWwueG1sUEsFBgAAAAAGAAYA&#10;WwEAALgDAAAAAA==&#10;" path="m7258,4899l7238,4899,7247,4879,7267,4879,7258,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6jmyLwAAADc&#10;AAAADwAAAGRycy9kb3ducmV2LnhtbEVPS2sCMRC+C/6HMAUvUhOFSruaXUQQPGwp3ep92Iy7SzeT&#10;sInPX98UCr3Nx/ecdXGzvbjQEDrHGuYzBYK4dqbjRsPha/f8CiJEZIO9Y9JwpwBFPh6tMTPuyp90&#10;qWIjUgiHDDW0MfpMylC3ZDHMnCdO3MkNFmOCQyPNgNcUbnu5UGopLXacGlr0tG2p/q7OVsOxKsuH&#10;3039/v1jEWIoN8sX2mg9eZqrFYhIt/gv/nPvTZqv3uD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5si8AAAA&#10;3AAAAA8AAAAAAAAAAQAgAAAAIgAAAGRycy9kb3ducmV2LnhtbFBLAQIUABQAAAAIAIdO4kAzLwWe&#10;OwAAADkAAAAQAAAAAAAAAAEAIAAAAAsBAABkcnMvc2hhcGV4bWwueG1sUEsFBgAAAAAGAAYAWwEA&#10;ALUDAAAAAA==&#10;" path="m206,4919l186,4919,176,4899,196,4899,206,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0vZiL4AAADc&#10;AAAADwAAAGRycy9kb3ducmV2LnhtbEWPT2vCQBDF70K/wzKFXqRuIigldRURBA8RMW3vQ3aahGZn&#10;l+z6p3565yB4m+G9ee83i9XV9epMQ+w8G8gnGSji2tuOGwPfX9v3D1AxIVvsPZOBf4qwWr6MFlhY&#10;f+EjnavUKAnhWKCBNqVQaB3rlhzGiQ/Eov36wWGSdWi0HfAi4a7X0yyba4cdS0OLgTYt1X/VyRn4&#10;qcryFrbjsNsfpjHFcj2f0dqYt9c8+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vZiL4A&#10;AADcAAAADwAAAAAAAAABACAAAAAiAAAAZHJzL2Rvd25yZXYueG1sUEsBAhQAFAAAAAgAh07iQDMv&#10;BZ47AAAAOQAAABAAAAAAAAAAAQAgAAAADQEAAGRycy9zaGFwZXhtbC54bWxQSwUGAAAAAAYABgBb&#10;AQAAtwMAAAAA&#10;" path="m7238,4919l7218,4919,7228,4899,7248,4899,7238,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Ad8E7wAAADc&#10;AAAADwAAAGRycy9kb3ducmV2LnhtbEVPTWvCQBC9F/wPywi9FN0kUJGYVUQI5JBSGvU+ZMckmJ1d&#10;slu1/fXdQqG3ebzPKXYPM4obTX6wrCBdJiCIW6sH7hScjuViDcIHZI2jZVLwRR5229lTgbm2d/6g&#10;WxM6EUPY56igD8HlUvq2J4N+aR1x5C52MhginDqpJ7zHcDPKLElW0uDAsaFHR4ee2mvzaRScm7r+&#10;duWLq97eMx98vV+90l6p53mabEAEeoR/8Z+70nF+msL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HfBO8AAAA&#10;3AAAAA8AAAAAAAAAAQAgAAAAIgAAAGRycy9kb3ducmV2LnhtbFBLAQIUABQAAAAIAIdO4kAzLwWe&#10;OwAAADkAAAAQAAAAAAAAAAEAIAAAAAsBAABkcnMvc2hhcGV4bWwueG1sUEsFBgAAAAAGAAYAWwEA&#10;ALUDAAAAAA==&#10;" path="m237,4939l206,4939,196,4919,226,4919,23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NXiZLsAAADc&#10;AAAADwAAAGRycy9kb3ducmV2LnhtbEVPS4vCMBC+C/sfwix4EU1bUJZqFFkQPFTEut6HZmzLNpPQ&#10;xMfurzeC4G0+vucsVnfTiSv1vrWsIJ0kIIgrq1uuFfwcN+MvED4ga+wsk4I/8rBafgwWmGt74wNd&#10;y1CLGMI+RwVNCC6X0lcNGfQT64gjd7a9wRBhX0vd4y2Gm05mSTKTBluODQ06+m6o+i0vRsGpLIp/&#10;txm57W6f+eCL9WxKa6WGn2kyBxHoHt7il3ur4/w0g+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iZLsAAADc&#10;AAAADwAAAAAAAAABACAAAAAiAAAAZHJzL2Rvd25yZXYueG1sUEsBAhQAFAAAAAgAh07iQDMvBZ47&#10;AAAAOQAAABAAAAAAAAAAAQAgAAAACgEAAGRycy9zaGFwZXhtbC54bWxQSwUGAAAAAAYABgBbAQAA&#10;tAMAAAAA&#10;" path="m7217,4939l7187,4939,7198,4919,7228,4919,721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5lH/7sAAADc&#10;AAAADwAAAGRycy9kb3ducmV2LnhtbEVPS4vCMBC+C/sfwix4EU2rKE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lH/7sAAADc&#10;AAAADwAAAAAAAAABACAAAAAiAAAAZHJzL2Rvd25yZXYueG1sUEsBAhQAFAAAAAgAh07iQDMvBZ47&#10;AAAAOQAAABAAAAAAAAAAAQAgAAAACgEAAGRycy9zaGFwZXhtbC54bWxQSwUGAAAAAAYABgBbAQAA&#10;tAMAAAAA&#10;" path="m258,4959l239,4959,228,4939,247,4939,258,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HDfi7sAAADc&#10;AAAADwAAAGRycy9kb3ducmV2LnhtbEVPS4vCMBC+C/sfwix4EU0rKk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Dfi7sAAADc&#10;AAAADwAAAAAAAAABACAAAAAiAAAAZHJzL2Rvd25yZXYueG1sUEsBAhQAFAAAAAgAh07iQDMvBZ47&#10;AAAAOQAAABAAAAAAAAAAAQAgAAAACgEAAGRycy9zaGFwZXhtbC54bWxQSwUGAAAAAAYABgBbAQAA&#10;tAMAAAAA&#10;" path="m7185,4959l7165,4959,7176,4939,7196,4939,7185,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zx6ELwAAADc&#10;AAAADwAAAGRycy9kb3ducmV2LnhtbEVPyWrDMBC9F/IPYgK5lES2ISE4VkIIGHxwKXWb+2BNbVNr&#10;JCxl69dXhUJv83jrFIe7GcWVJj9YVpCuEhDErdUDdwo+3svlFoQPyBpHy6TgQR4O+9lTgbm2N36j&#10;axM6EUPY56igD8HlUvq2J4N+ZR1x5D7tZDBEOHVST3iL4WaUWZJspMGBY0OPjk49tV/NxSg4N3X9&#10;7cpnV728Zj74+rhZ01GpxTxNdiAC3cO/+M9d6T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8ehC8AAAA&#10;3AAAAA8AAAAAAAAAAQAgAAAAIgAAAGRycy9kb3ducmV2LnhtbFBLAQIUABQAAAAIAIdO4kAzLwWe&#10;OwAAADkAAAAQAAAAAAAAAAEAIAAAAAsBAABkcnMvc2hhcGV4bWwueG1sUEsFBgAAAAAGAAYAWwEA&#10;ALUDAAAAAA==&#10;" path="m292,4979l261,4979,250,4959,281,4959,29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7kZ7oAAADc&#10;AAAADwAAAGRycy9kb3ducmV2LnhtbEVPS4vCMBC+C/sfwix4kTWtYFmqUWRB8FAR6+59aMa2bDMJ&#10;TXz+eiMI3ubje858eTWdOFPvW8sK0nECgriyuuVawe9h/fUNwgdkjZ1lUnAjD8vFx2COubYX3tO5&#10;DLWIIexzVNCE4HIpfdWQQT+2jjhyR9sbDBH2tdQ9XmK46eQkSTJpsOXY0KCjn4aq//JkFPyVRXF3&#10;65HbbHcTH3yxyqa0Umr4mSYzEIGu4S1+uTc6zk8z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uRnugAAANwA&#10;AAAPAAAAAAAAAAEAIAAAACIAAABkcnMvZG93bnJldi54bWxQSwECFAAUAAAACACHTuJAMy8FnjsA&#10;AAA5AAAAEAAAAAAAAAABACAAAAAJAQAAZHJzL3NoYXBleG1sLnhtbFBLBQYAAAAABgAGAFsBAACz&#10;AwAAAAA=&#10;" path="m7162,4979l7131,4979,7143,4959,7174,4959,716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KJB/LwAAADc&#10;AAAADwAAAGRycy9kb3ducmV2LnhtbEVPTWvCQBC9F/oflhG8FLOJ0FSiq0gh4CFFmrb3ITsmwezs&#10;kl017a/vFoTe5vE+Z7ObzCCuNPresoIsSUEQN1b33Cr4/CgXKxA+IGscLJOCb/Kw2z4+bLDQ9sbv&#10;dK1DK2II+wIVdCG4QkrfdGTQJ9YRR+5kR4MhwrGVesRbDDeDXKZpLg32HBs6dPTaUXOuL0bBV11V&#10;P658coe349IHX+3zZ9orNZ9l6RpEoCn8i+/ug47zsxf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iQfy8AAAA&#10;3AAAAA8AAAAAAAAAAQAgAAAAIgAAAGRycy9kb3ducmV2LnhtbFBLAQIUABQAAAAIAIdO4kAzLwWe&#10;OwAAADkAAAAQAAAAAAAAAAEAIAAAAAsBAABkcnMvc2hhcGV4bWwueG1sUEsFBgAAAAAGAAYAWwEA&#10;ALUDAAAAAA==&#10;" path="m328,4999l297,4999,285,4979,316,4979,328,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T3Vjr4AAADc&#10;AAAADwAAAGRycy9kb3ducmV2LnhtbEWPT2vCQBDF70K/wzKFXqRuIigldRURBA8RMW3vQ3aahGZn&#10;l+z6p3565yB4m+G9ee83i9XV9epMQ+w8G8gnGSji2tuOGwPfX9v3D1AxIVvsPZOBf4qwWr6MFlhY&#10;f+EjnavUKAnhWKCBNqVQaB3rlhzGiQ/Eov36wWGSdWi0HfAi4a7X0yyba4cdS0OLgTYt1X/VyRn4&#10;qcryFrbjsNsfpjHFcj2f0dqYt9c8+wSV6Jqe5sf1zgp+LrT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3Vjr4A&#10;AADcAAAADwAAAAAAAAABACAAAAAiAAAAZHJzL2Rvd25yZXYueG1sUEsBAhQAFAAAAAgAh07iQDMv&#10;BZ47AAAAOQAAABAAAAAAAAAAAQAgAAAADQEAAGRycy9zaGFwZXhtbC54bWxQSwUGAAAAAAYABgBb&#10;AQAAtwMAAAAA&#10;" path="m7127,4999l7096,4999,7108,4979,7139,4979,7127,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nFwFbwAAADc&#10;AAAADwAAAGRycy9kb3ducmV2LnhtbEVPTWvCQBC9F/oflhG8FLOJ0FCjq0gh4CFFmrb3ITsmwezs&#10;kl017a/vFoTe5vE+Z7ObzCCuNPresoIsSUEQN1b33Cr4/CgXLyB8QNY4WCYF3+Rht3182GCh7Y3f&#10;6VqHVsQQ9gUq6EJwhZS+6cigT6wjjtzJjgZDhGMr9Yi3GG4GuUzTXBrsOTZ06Oi1o+ZcX4yCr7qq&#10;flz55A5vx6UPvtrnz7RXaj7L0jWIQFP4F9/dBx3nZyv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xcBW8AAAA&#10;3AAAAA8AAAAAAAAAAQAgAAAAIgAAAGRycy9kb3ducmV2LnhtbFBLAQIUABQAAAAIAIdO4kAzLwWe&#10;OwAAADkAAAAQAAAAAAAAAAEAIAAAAAsBAABkcnMvc2hhcGV4bWwueG1sUEsFBgAAAAAGAAYAWwEA&#10;ALUDAAAAAA==&#10;" path="m378,5019l334,5019,321,4999,365,4999,378,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ScTNb4AAADc&#10;AAAADwAAAGRycy9kb3ducmV2LnhtbEWPT2vCQBDF70K/wzKFXqRuDCgldRURBA8RMW3vQ3aahGZn&#10;l+z6p3565yB4m+G9ee83i9XV9epMQ+w8G5hOMlDEtbcdNwa+v7bvH6BiQrbYeyYD/xRhtXwZLbCw&#10;/sJHOlepURLCsUADbUqh0DrWLTmMEx+IRfv1g8Mk69BoO+BFwl2v8yyba4cdS0OLgTYt1X/VyRn4&#10;qcryFrbjsNsf8phiuZ7PaG3M2+s0+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cTNb4A&#10;AADcAAAADwAAAAAAAAABACAAAAAiAAAAZHJzL2Rvd25yZXYueG1sUEsBAhQAFAAAAAgAh07iQDMv&#10;BZ47AAAAOQAAABAAAAAAAAAAAQAgAAAADQEAAGRycy9zaGFwZXhtbC54bWxQSwUGAAAAAAYABgBb&#10;AQAAtwMAAAAA&#10;" path="m7090,5019l7046,5019,7059,4999,7102,4999,7090,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mu2rrsAAADc&#10;AAAADwAAAGRycy9kb3ducmV2LnhtbEVPS4vCMBC+C/sfwix4EU1bUJZqFFkQPFTEut6HZmzLNpPQ&#10;xMfurzeC4G0+vucsVnfTiSv1vrWsIJ0kIIgrq1uuFfwcN+MvED4ga+wsk4I/8rBafgwWmGt74wNd&#10;y1CLGMI+RwVNCC6X0lcNGfQT64gjd7a9wRBhX0vd4y2Gm05mSTKTBluODQ06+m6o+i0vRsGpLIp/&#10;txm57W6f+eCL9WxKa6WGn2kyBxHoHt7il3ur4/wshe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u2rrsAAADc&#10;AAAADwAAAAAAAAABACAAAAAiAAAAZHJzL2Rvd25yZXYueG1sUEsBAhQAFAAAAAgAh07iQDMvBZ47&#10;AAAAOQAAABAAAAAAAAAAAQAgAAAACgEAAGRycy9zaGFwZXhtbC54bWxQSwUGAAAAAAYABgBbAQAA&#10;tAMAAAAA&#10;" path="m443,5039l385,5039,372,5019,429,5019,443,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rko2bwAAADc&#10;AAAADwAAAGRycy9kb3ducmV2LnhtbEVPTWvDMAy9F/YfjAa9lNVpYGWkdUsZBHJIGUu3u4jVJCyW&#10;Tewm2X59PRjspsf71P44m16MNPjOsoLNOgFBXFvdcaPg45I/vYDwAVljb5kUfJOH4+FhscdM24nf&#10;aaxCI2II+wwVtCG4TEpft2TQr60jjtzVDgZDhEMj9YBTDDe9TJNkKw12HBtadPTaUv1V3YyCz6os&#10;f1y+csX5LfXBl6ftM52UWj5ukh2IQHP4F/+5Cx3npyn8PhMvkIc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5KNm8AAAA&#10;3AAAAA8AAAAAAAAAAQAgAAAAIgAAAGRycy9kb3ducmV2LnhtbFBLAQIUABQAAAAIAIdO4kAzLwWe&#10;OwAAADkAAAAQAAAAAAAAAAEAIAAAAAsBAABkcnMvc2hhcGV4bWwueG1sUEsFBgAAAAAGAAYAWwEA&#10;ALUDAAAAAA==&#10;" path="m7038,5039l6981,5039,6994,5019,7051,5019,7038,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fWNQrwAAADc&#10;AAAADwAAAGRycy9kb3ducmV2LnhtbEVPTWvCQBC9C/0PyxR6Ed2YopSYjUhB8JAipu19yE6T0Ozs&#10;kt0mtr++Kwje5vE+J99dTC9GGnxnWcFqmYAgrq3uuFHw8X5YvIDwAVljb5kU/JKHXfEwyzHTduIz&#10;jVVoRAxhn6GCNgSXSenrlgz6pXXEkfuyg8EQ4dBIPeAUw00v0yTZSIMdx4YWHb22VH9XP0bBZ1WW&#10;f+4wd8e3U+qDL/ebNe2VenpcJVsQgS7hLr65jzrOT5/h+ky8QB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1jUK8AAAA&#10;3AAAAA8AAAAAAAAAAQAgAAAAIgAAAGRycy9kb3ducmV2LnhtbFBLAQIUABQAAAAIAIdO4kAzLwWe&#10;OwAAADkAAAAQAAAAAAAAAAEAIAAAAAsBAABkcnMvc2hhcGV4bWwueG1sUEsFBgAAAAAGAAYAWwEA&#10;ALUDAAAAAA==&#10;" path="m6956,5059l467,5059,453,5039,6970,5039,6956,5059xe">
                    <v:fill on="t" focussize="0,0"/>
                    <v:stroke on="f"/>
                    <v:imagedata o:title=""/>
                    <o:lock v:ext="edit" aspectratio="f"/>
                  </v:shape>
                </v:group>
                <w10:wrap type="none"/>
                <w10:anchorlock/>
              </v:group>
            </w:pict>
          </mc:Fallback>
        </mc:AlternateContent>
      </w:r>
    </w:p>
    <w:p w14:paraId="17C4DCB1">
      <w:pPr>
        <w:pStyle w:val="8"/>
        <w:kinsoku w:val="0"/>
        <w:overflowPunct w:val="0"/>
        <w:spacing w:before="174"/>
        <w:rPr>
          <w:rFonts w:hint="eastAsia" w:ascii="仿宋" w:hAnsi="仿宋" w:eastAsia="仿宋" w:cs="仿宋"/>
          <w:b/>
          <w:bCs/>
          <w:spacing w:val="1"/>
          <w:sz w:val="21"/>
          <w:szCs w:val="21"/>
        </w:rPr>
      </w:pPr>
    </w:p>
    <w:p w14:paraId="706D7D08">
      <w:pPr>
        <w:pStyle w:val="8"/>
        <w:kinsoku w:val="0"/>
        <w:overflowPunct w:val="0"/>
        <w:spacing w:before="174"/>
        <w:rPr>
          <w:rFonts w:hint="eastAsia" w:ascii="仿宋" w:hAnsi="仿宋" w:eastAsia="仿宋" w:cs="仿宋"/>
          <w:sz w:val="21"/>
          <w:szCs w:val="21"/>
        </w:rPr>
      </w:pPr>
      <w:r>
        <w:rPr>
          <w:rFonts w:hint="eastAsia" w:ascii="仿宋" w:hAnsi="仿宋" w:eastAsia="仿宋" w:cs="仿宋"/>
          <w:b/>
          <w:bCs/>
          <w:spacing w:val="1"/>
          <w:sz w:val="21"/>
          <w:szCs w:val="21"/>
        </w:rPr>
        <w:t>★备注：投标保证金缴费回单复印件加盖公章</w:t>
      </w:r>
    </w:p>
    <w:p w14:paraId="158FB98B">
      <w:pPr>
        <w:pStyle w:val="8"/>
        <w:tabs>
          <w:tab w:val="left" w:pos="5145"/>
          <w:tab w:val="left" w:pos="6591"/>
          <w:tab w:val="left" w:pos="7191"/>
          <w:tab w:val="left" w:pos="7791"/>
          <w:tab w:val="left" w:pos="8247"/>
        </w:tabs>
        <w:kinsoku w:val="0"/>
        <w:wordWrap w:val="0"/>
        <w:overflowPunct w:val="0"/>
        <w:spacing w:before="166" w:line="383" w:lineRule="auto"/>
        <w:ind w:right="238"/>
        <w:jc w:val="both"/>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lang w:val="en-US" w:eastAsia="zh-CN"/>
        </w:rPr>
        <w:t>9.商务条款偏离表格式：</w:t>
      </w:r>
    </w:p>
    <w:p w14:paraId="7E6F7F34">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商务条款偏离表</w:t>
      </w:r>
    </w:p>
    <w:p w14:paraId="5D617FF0">
      <w:pPr>
        <w:rPr>
          <w:rFonts w:hint="eastAsia" w:ascii="仿宋" w:hAnsi="仿宋" w:eastAsia="仿宋" w:cs="仿宋"/>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18"/>
        <w:gridCol w:w="1570"/>
        <w:gridCol w:w="2222"/>
      </w:tblGrid>
      <w:tr w14:paraId="01FD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6EB2E37">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3218" w:type="dxa"/>
            <w:noWrap w:val="0"/>
            <w:vAlign w:val="center"/>
          </w:tcPr>
          <w:p w14:paraId="23113666">
            <w:pPr>
              <w:jc w:val="center"/>
              <w:rPr>
                <w:rFonts w:hint="eastAsia" w:ascii="仿宋" w:hAnsi="仿宋" w:eastAsia="仿宋" w:cs="仿宋"/>
                <w:spacing w:val="-1"/>
                <w:kern w:val="0"/>
                <w:sz w:val="24"/>
                <w:szCs w:val="24"/>
              </w:rPr>
            </w:pPr>
            <w:r>
              <w:rPr>
                <w:rFonts w:hint="eastAsia" w:ascii="仿宋" w:hAnsi="仿宋" w:eastAsia="仿宋" w:cs="仿宋"/>
                <w:sz w:val="24"/>
              </w:rPr>
              <w:t>招标文件的商务条款</w:t>
            </w:r>
          </w:p>
        </w:tc>
        <w:tc>
          <w:tcPr>
            <w:tcW w:w="1570" w:type="dxa"/>
            <w:noWrap w:val="0"/>
            <w:vAlign w:val="center"/>
          </w:tcPr>
          <w:p w14:paraId="0958A417">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是否响应</w:t>
            </w:r>
          </w:p>
        </w:tc>
        <w:tc>
          <w:tcPr>
            <w:tcW w:w="2222" w:type="dxa"/>
            <w:noWrap w:val="0"/>
            <w:vAlign w:val="center"/>
          </w:tcPr>
          <w:p w14:paraId="751AC842">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偏离说明</w:t>
            </w:r>
          </w:p>
        </w:tc>
      </w:tr>
      <w:tr w14:paraId="046F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053FC20C">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3218" w:type="dxa"/>
            <w:noWrap w:val="0"/>
            <w:vAlign w:val="center"/>
          </w:tcPr>
          <w:p w14:paraId="630DB82D">
            <w:pPr>
              <w:rPr>
                <w:rFonts w:hint="eastAsia" w:ascii="仿宋" w:hAnsi="仿宋" w:eastAsia="仿宋" w:cs="仿宋"/>
                <w:spacing w:val="-1"/>
                <w:kern w:val="0"/>
                <w:sz w:val="24"/>
                <w:szCs w:val="24"/>
                <w:highlight w:val="none"/>
                <w:lang w:val="en-US"/>
              </w:rPr>
            </w:pPr>
            <w:r>
              <w:rPr>
                <w:rFonts w:hint="eastAsia" w:ascii="仿宋" w:hAnsi="仿宋" w:eastAsia="仿宋" w:cs="仿宋"/>
                <w:sz w:val="24"/>
                <w:highlight w:val="none"/>
                <w:lang w:val="en-US" w:eastAsia="zh-CN"/>
              </w:rPr>
              <w:t>供货期:</w:t>
            </w:r>
          </w:p>
        </w:tc>
        <w:tc>
          <w:tcPr>
            <w:tcW w:w="1570" w:type="dxa"/>
            <w:noWrap w:val="0"/>
            <w:vAlign w:val="center"/>
          </w:tcPr>
          <w:p w14:paraId="656C7D8D">
            <w:pPr>
              <w:rPr>
                <w:rFonts w:hint="eastAsia" w:ascii="仿宋" w:hAnsi="仿宋" w:eastAsia="仿宋" w:cs="仿宋"/>
                <w:spacing w:val="-1"/>
                <w:kern w:val="0"/>
                <w:sz w:val="24"/>
                <w:szCs w:val="24"/>
              </w:rPr>
            </w:pPr>
          </w:p>
        </w:tc>
        <w:tc>
          <w:tcPr>
            <w:tcW w:w="2222" w:type="dxa"/>
            <w:noWrap w:val="0"/>
            <w:vAlign w:val="center"/>
          </w:tcPr>
          <w:p w14:paraId="430DF39B">
            <w:pPr>
              <w:rPr>
                <w:rFonts w:hint="eastAsia" w:ascii="仿宋" w:hAnsi="仿宋" w:eastAsia="仿宋" w:cs="仿宋"/>
                <w:spacing w:val="-1"/>
                <w:kern w:val="0"/>
                <w:sz w:val="24"/>
                <w:szCs w:val="24"/>
              </w:rPr>
            </w:pPr>
          </w:p>
        </w:tc>
      </w:tr>
      <w:tr w14:paraId="5482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6B15960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3218" w:type="dxa"/>
            <w:noWrap w:val="0"/>
            <w:vAlign w:val="center"/>
          </w:tcPr>
          <w:p w14:paraId="26BB7F59">
            <w:pPr>
              <w:rPr>
                <w:rFonts w:hint="eastAsia" w:ascii="仿宋" w:hAnsi="仿宋" w:eastAsia="仿宋" w:cs="仿宋"/>
                <w:spacing w:val="-1"/>
                <w:kern w:val="0"/>
                <w:sz w:val="24"/>
                <w:szCs w:val="24"/>
                <w:highlight w:val="none"/>
                <w:lang w:val="en-US" w:eastAsia="zh-CN"/>
              </w:rPr>
            </w:pPr>
            <w:r>
              <w:rPr>
                <w:rFonts w:hint="eastAsia" w:ascii="仿宋" w:hAnsi="仿宋" w:eastAsia="仿宋" w:cs="仿宋"/>
                <w:spacing w:val="-1"/>
                <w:kern w:val="0"/>
                <w:sz w:val="24"/>
                <w:szCs w:val="24"/>
                <w:highlight w:val="none"/>
                <w:lang w:val="en-US" w:eastAsia="zh-CN"/>
              </w:rPr>
              <w:t>质保期：</w:t>
            </w:r>
          </w:p>
        </w:tc>
        <w:tc>
          <w:tcPr>
            <w:tcW w:w="1570" w:type="dxa"/>
            <w:noWrap w:val="0"/>
            <w:vAlign w:val="center"/>
          </w:tcPr>
          <w:p w14:paraId="74E10AA6">
            <w:pPr>
              <w:rPr>
                <w:rFonts w:hint="eastAsia" w:ascii="仿宋" w:hAnsi="仿宋" w:eastAsia="仿宋" w:cs="仿宋"/>
                <w:spacing w:val="-1"/>
                <w:kern w:val="0"/>
                <w:sz w:val="24"/>
                <w:szCs w:val="24"/>
              </w:rPr>
            </w:pPr>
          </w:p>
        </w:tc>
        <w:tc>
          <w:tcPr>
            <w:tcW w:w="2222" w:type="dxa"/>
            <w:noWrap w:val="0"/>
            <w:vAlign w:val="center"/>
          </w:tcPr>
          <w:p w14:paraId="0552C7CA">
            <w:pPr>
              <w:rPr>
                <w:rFonts w:hint="eastAsia" w:ascii="仿宋" w:hAnsi="仿宋" w:eastAsia="仿宋" w:cs="仿宋"/>
                <w:spacing w:val="-1"/>
                <w:kern w:val="0"/>
                <w:sz w:val="24"/>
                <w:szCs w:val="24"/>
              </w:rPr>
            </w:pPr>
          </w:p>
        </w:tc>
      </w:tr>
      <w:tr w14:paraId="097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6F9CDD6E">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3218" w:type="dxa"/>
            <w:noWrap w:val="0"/>
            <w:vAlign w:val="center"/>
          </w:tcPr>
          <w:p w14:paraId="0D50C5A7">
            <w:pPr>
              <w:rPr>
                <w:rFonts w:hint="eastAsia" w:ascii="仿宋" w:hAnsi="仿宋" w:eastAsia="仿宋" w:cs="仿宋"/>
                <w:spacing w:val="-1"/>
                <w:kern w:val="0"/>
                <w:sz w:val="24"/>
                <w:szCs w:val="24"/>
                <w:highlight w:val="none"/>
              </w:rPr>
            </w:pPr>
            <w:r>
              <w:rPr>
                <w:rFonts w:hint="eastAsia" w:ascii="仿宋" w:hAnsi="仿宋" w:eastAsia="仿宋" w:cs="仿宋"/>
                <w:sz w:val="24"/>
                <w:highlight w:val="none"/>
                <w:lang w:val="en-US" w:eastAsia="zh-CN"/>
              </w:rPr>
              <w:t>投标有效期:90天</w:t>
            </w:r>
          </w:p>
        </w:tc>
        <w:tc>
          <w:tcPr>
            <w:tcW w:w="1570" w:type="dxa"/>
            <w:noWrap w:val="0"/>
            <w:vAlign w:val="center"/>
          </w:tcPr>
          <w:p w14:paraId="0FE4FF59">
            <w:pPr>
              <w:rPr>
                <w:rFonts w:hint="eastAsia" w:ascii="仿宋" w:hAnsi="仿宋" w:eastAsia="仿宋" w:cs="仿宋"/>
                <w:spacing w:val="-1"/>
                <w:kern w:val="0"/>
                <w:sz w:val="24"/>
                <w:szCs w:val="24"/>
              </w:rPr>
            </w:pPr>
          </w:p>
        </w:tc>
        <w:tc>
          <w:tcPr>
            <w:tcW w:w="2222" w:type="dxa"/>
            <w:noWrap w:val="0"/>
            <w:vAlign w:val="center"/>
          </w:tcPr>
          <w:p w14:paraId="33BAEC82">
            <w:pPr>
              <w:rPr>
                <w:rFonts w:hint="eastAsia" w:ascii="仿宋" w:hAnsi="仿宋" w:eastAsia="仿宋" w:cs="仿宋"/>
                <w:spacing w:val="-1"/>
                <w:kern w:val="0"/>
                <w:sz w:val="24"/>
                <w:szCs w:val="24"/>
              </w:rPr>
            </w:pPr>
          </w:p>
        </w:tc>
      </w:tr>
      <w:tr w14:paraId="7D80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35B66CA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w:t>
            </w:r>
          </w:p>
        </w:tc>
        <w:tc>
          <w:tcPr>
            <w:tcW w:w="3218" w:type="dxa"/>
            <w:noWrap w:val="0"/>
            <w:vAlign w:val="center"/>
          </w:tcPr>
          <w:p w14:paraId="6AC9E7C3">
            <w:pPr>
              <w:rPr>
                <w:rFonts w:hint="eastAsia" w:ascii="仿宋" w:hAnsi="仿宋" w:eastAsia="仿宋" w:cs="仿宋"/>
                <w:spacing w:val="-1"/>
                <w:kern w:val="0"/>
                <w:sz w:val="24"/>
                <w:szCs w:val="24"/>
                <w:lang w:val="en-US" w:eastAsia="zh-CN"/>
              </w:rPr>
            </w:pPr>
            <w:r>
              <w:rPr>
                <w:rFonts w:hint="eastAsia" w:ascii="仿宋" w:hAnsi="仿宋" w:eastAsia="仿宋" w:cs="仿宋"/>
                <w:spacing w:val="-1"/>
                <w:kern w:val="0"/>
                <w:sz w:val="24"/>
                <w:szCs w:val="24"/>
                <w:lang w:val="en-US" w:eastAsia="zh-CN"/>
              </w:rPr>
              <w:t>保证金：</w:t>
            </w:r>
          </w:p>
        </w:tc>
        <w:tc>
          <w:tcPr>
            <w:tcW w:w="1570" w:type="dxa"/>
            <w:noWrap w:val="0"/>
            <w:vAlign w:val="center"/>
          </w:tcPr>
          <w:p w14:paraId="3B717D59">
            <w:pPr>
              <w:rPr>
                <w:rFonts w:hint="eastAsia" w:ascii="仿宋" w:hAnsi="仿宋" w:eastAsia="仿宋" w:cs="仿宋"/>
                <w:spacing w:val="-1"/>
                <w:kern w:val="0"/>
                <w:sz w:val="24"/>
                <w:szCs w:val="24"/>
              </w:rPr>
            </w:pPr>
          </w:p>
        </w:tc>
        <w:tc>
          <w:tcPr>
            <w:tcW w:w="2222" w:type="dxa"/>
            <w:noWrap w:val="0"/>
            <w:vAlign w:val="center"/>
          </w:tcPr>
          <w:p w14:paraId="48861AF2">
            <w:pPr>
              <w:rPr>
                <w:rFonts w:hint="eastAsia" w:ascii="仿宋" w:hAnsi="仿宋" w:eastAsia="仿宋" w:cs="仿宋"/>
                <w:spacing w:val="-1"/>
                <w:kern w:val="0"/>
                <w:sz w:val="24"/>
                <w:szCs w:val="24"/>
              </w:rPr>
            </w:pPr>
          </w:p>
        </w:tc>
      </w:tr>
      <w:tr w14:paraId="3BB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735E22E6">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5</w:t>
            </w:r>
          </w:p>
        </w:tc>
        <w:tc>
          <w:tcPr>
            <w:tcW w:w="3218" w:type="dxa"/>
            <w:noWrap w:val="0"/>
            <w:vAlign w:val="center"/>
          </w:tcPr>
          <w:p w14:paraId="7FA0B5FF">
            <w:pPr>
              <w:rPr>
                <w:rFonts w:hint="eastAsia" w:ascii="仿宋" w:hAnsi="仿宋" w:eastAsia="仿宋" w:cs="仿宋"/>
                <w:spacing w:val="-1"/>
                <w:kern w:val="0"/>
                <w:sz w:val="24"/>
                <w:szCs w:val="24"/>
              </w:rPr>
            </w:pPr>
          </w:p>
        </w:tc>
        <w:tc>
          <w:tcPr>
            <w:tcW w:w="1570" w:type="dxa"/>
            <w:noWrap w:val="0"/>
            <w:vAlign w:val="center"/>
          </w:tcPr>
          <w:p w14:paraId="5F0E5103">
            <w:pPr>
              <w:rPr>
                <w:rFonts w:hint="eastAsia" w:ascii="仿宋" w:hAnsi="仿宋" w:eastAsia="仿宋" w:cs="仿宋"/>
                <w:spacing w:val="-1"/>
                <w:kern w:val="0"/>
                <w:sz w:val="24"/>
                <w:szCs w:val="24"/>
              </w:rPr>
            </w:pPr>
          </w:p>
        </w:tc>
        <w:tc>
          <w:tcPr>
            <w:tcW w:w="2222" w:type="dxa"/>
            <w:noWrap w:val="0"/>
            <w:vAlign w:val="center"/>
          </w:tcPr>
          <w:p w14:paraId="315D1CD9">
            <w:pPr>
              <w:rPr>
                <w:rFonts w:hint="eastAsia" w:ascii="仿宋" w:hAnsi="仿宋" w:eastAsia="仿宋" w:cs="仿宋"/>
                <w:spacing w:val="-1"/>
                <w:kern w:val="0"/>
                <w:sz w:val="24"/>
                <w:szCs w:val="24"/>
              </w:rPr>
            </w:pPr>
          </w:p>
        </w:tc>
      </w:tr>
      <w:tr w14:paraId="4ABE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7A5FF96">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6</w:t>
            </w:r>
          </w:p>
        </w:tc>
        <w:tc>
          <w:tcPr>
            <w:tcW w:w="3218" w:type="dxa"/>
            <w:noWrap w:val="0"/>
            <w:vAlign w:val="center"/>
          </w:tcPr>
          <w:p w14:paraId="7D742DAB">
            <w:pPr>
              <w:rPr>
                <w:rFonts w:hint="eastAsia" w:ascii="仿宋" w:hAnsi="仿宋" w:eastAsia="仿宋" w:cs="仿宋"/>
                <w:spacing w:val="-1"/>
                <w:kern w:val="0"/>
                <w:sz w:val="24"/>
                <w:szCs w:val="24"/>
              </w:rPr>
            </w:pPr>
          </w:p>
        </w:tc>
        <w:tc>
          <w:tcPr>
            <w:tcW w:w="1570" w:type="dxa"/>
            <w:noWrap w:val="0"/>
            <w:vAlign w:val="center"/>
          </w:tcPr>
          <w:p w14:paraId="7B65651D">
            <w:pPr>
              <w:rPr>
                <w:rFonts w:hint="eastAsia" w:ascii="仿宋" w:hAnsi="仿宋" w:eastAsia="仿宋" w:cs="仿宋"/>
                <w:spacing w:val="-1"/>
                <w:kern w:val="0"/>
                <w:sz w:val="24"/>
                <w:szCs w:val="24"/>
              </w:rPr>
            </w:pPr>
          </w:p>
        </w:tc>
        <w:tc>
          <w:tcPr>
            <w:tcW w:w="2222" w:type="dxa"/>
            <w:noWrap w:val="0"/>
            <w:vAlign w:val="center"/>
          </w:tcPr>
          <w:p w14:paraId="3BD6CD49">
            <w:pPr>
              <w:rPr>
                <w:rFonts w:hint="eastAsia" w:ascii="仿宋" w:hAnsi="仿宋" w:eastAsia="仿宋" w:cs="仿宋"/>
                <w:spacing w:val="-1"/>
                <w:kern w:val="0"/>
                <w:sz w:val="24"/>
                <w:szCs w:val="24"/>
              </w:rPr>
            </w:pPr>
          </w:p>
        </w:tc>
      </w:tr>
      <w:tr w14:paraId="148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6A87C91">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7</w:t>
            </w:r>
          </w:p>
        </w:tc>
        <w:tc>
          <w:tcPr>
            <w:tcW w:w="3218" w:type="dxa"/>
            <w:noWrap w:val="0"/>
            <w:vAlign w:val="center"/>
          </w:tcPr>
          <w:p w14:paraId="36C888D8">
            <w:pPr>
              <w:rPr>
                <w:rFonts w:hint="eastAsia" w:ascii="仿宋" w:hAnsi="仿宋" w:eastAsia="仿宋" w:cs="仿宋"/>
                <w:spacing w:val="-1"/>
                <w:kern w:val="0"/>
                <w:sz w:val="24"/>
                <w:szCs w:val="24"/>
              </w:rPr>
            </w:pPr>
          </w:p>
        </w:tc>
        <w:tc>
          <w:tcPr>
            <w:tcW w:w="1570" w:type="dxa"/>
            <w:noWrap w:val="0"/>
            <w:vAlign w:val="center"/>
          </w:tcPr>
          <w:p w14:paraId="23953E0A">
            <w:pPr>
              <w:rPr>
                <w:rFonts w:hint="eastAsia" w:ascii="仿宋" w:hAnsi="仿宋" w:eastAsia="仿宋" w:cs="仿宋"/>
                <w:spacing w:val="-1"/>
                <w:kern w:val="0"/>
                <w:sz w:val="24"/>
                <w:szCs w:val="24"/>
              </w:rPr>
            </w:pPr>
          </w:p>
        </w:tc>
        <w:tc>
          <w:tcPr>
            <w:tcW w:w="2222" w:type="dxa"/>
            <w:noWrap w:val="0"/>
            <w:vAlign w:val="center"/>
          </w:tcPr>
          <w:p w14:paraId="4B229BE2">
            <w:pPr>
              <w:rPr>
                <w:rFonts w:hint="eastAsia" w:ascii="仿宋" w:hAnsi="仿宋" w:eastAsia="仿宋" w:cs="仿宋"/>
                <w:spacing w:val="-1"/>
                <w:kern w:val="0"/>
                <w:sz w:val="24"/>
                <w:szCs w:val="24"/>
              </w:rPr>
            </w:pPr>
          </w:p>
        </w:tc>
      </w:tr>
      <w:tr w14:paraId="7116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521AFE79">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8</w:t>
            </w:r>
          </w:p>
        </w:tc>
        <w:tc>
          <w:tcPr>
            <w:tcW w:w="3218" w:type="dxa"/>
            <w:noWrap w:val="0"/>
            <w:vAlign w:val="center"/>
          </w:tcPr>
          <w:p w14:paraId="201FBBF1">
            <w:pPr>
              <w:rPr>
                <w:rFonts w:hint="eastAsia" w:ascii="仿宋" w:hAnsi="仿宋" w:eastAsia="仿宋" w:cs="仿宋"/>
                <w:spacing w:val="-1"/>
                <w:kern w:val="0"/>
                <w:sz w:val="24"/>
                <w:szCs w:val="24"/>
              </w:rPr>
            </w:pPr>
          </w:p>
        </w:tc>
        <w:tc>
          <w:tcPr>
            <w:tcW w:w="1570" w:type="dxa"/>
            <w:noWrap w:val="0"/>
            <w:vAlign w:val="center"/>
          </w:tcPr>
          <w:p w14:paraId="449E9BBB">
            <w:pPr>
              <w:rPr>
                <w:rFonts w:hint="eastAsia" w:ascii="仿宋" w:hAnsi="仿宋" w:eastAsia="仿宋" w:cs="仿宋"/>
                <w:spacing w:val="-1"/>
                <w:kern w:val="0"/>
                <w:sz w:val="24"/>
                <w:szCs w:val="24"/>
              </w:rPr>
            </w:pPr>
          </w:p>
        </w:tc>
        <w:tc>
          <w:tcPr>
            <w:tcW w:w="2222" w:type="dxa"/>
            <w:noWrap w:val="0"/>
            <w:vAlign w:val="center"/>
          </w:tcPr>
          <w:p w14:paraId="09A427EF">
            <w:pPr>
              <w:rPr>
                <w:rFonts w:hint="eastAsia" w:ascii="仿宋" w:hAnsi="仿宋" w:eastAsia="仿宋" w:cs="仿宋"/>
                <w:spacing w:val="-1"/>
                <w:kern w:val="0"/>
                <w:sz w:val="24"/>
                <w:szCs w:val="24"/>
              </w:rPr>
            </w:pPr>
          </w:p>
        </w:tc>
      </w:tr>
    </w:tbl>
    <w:p w14:paraId="78A9A353">
      <w:pPr>
        <w:rPr>
          <w:rFonts w:hint="eastAsia" w:ascii="仿宋" w:hAnsi="仿宋" w:eastAsia="仿宋" w:cs="仿宋"/>
          <w:spacing w:val="-1"/>
          <w:kern w:val="0"/>
          <w:sz w:val="24"/>
          <w:szCs w:val="24"/>
        </w:rPr>
      </w:pPr>
    </w:p>
    <w:p w14:paraId="286308CD">
      <w:pPr>
        <w:rPr>
          <w:rFonts w:hint="eastAsia" w:ascii="仿宋" w:hAnsi="仿宋" w:eastAsia="仿宋" w:cs="仿宋"/>
          <w:spacing w:val="-1"/>
          <w:kern w:val="0"/>
          <w:sz w:val="24"/>
          <w:szCs w:val="24"/>
        </w:rPr>
      </w:pPr>
    </w:p>
    <w:p w14:paraId="66FE5AD9">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注：请在“偏离说明”栏内扼要说明偏离情况，如无偏离则不需列明。</w:t>
      </w:r>
    </w:p>
    <w:p w14:paraId="68D891A1">
      <w:pPr>
        <w:rPr>
          <w:rFonts w:hint="eastAsia" w:ascii="仿宋" w:hAnsi="仿宋" w:eastAsia="仿宋" w:cs="仿宋"/>
          <w:szCs w:val="21"/>
        </w:rPr>
      </w:pPr>
    </w:p>
    <w:p w14:paraId="179D34F2">
      <w:pPr>
        <w:pStyle w:val="8"/>
        <w:kinsoku w:val="0"/>
        <w:overflowPunct w:val="0"/>
        <w:spacing w:before="34" w:line="357" w:lineRule="auto"/>
        <w:ind w:right="126" w:firstLine="480"/>
        <w:jc w:val="center"/>
        <w:rPr>
          <w:rFonts w:hint="eastAsia" w:ascii="仿宋" w:hAnsi="仿宋" w:eastAsia="仿宋" w:cs="仿宋"/>
          <w:sz w:val="18"/>
          <w:szCs w:val="18"/>
        </w:rPr>
      </w:pPr>
    </w:p>
    <w:p w14:paraId="630165D9">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5D7B64C7">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26EE51A7">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739B6F51">
      <w:pPr>
        <w:pStyle w:val="8"/>
        <w:kinsoku w:val="0"/>
        <w:overflowPunct w:val="0"/>
        <w:spacing w:before="34" w:line="357" w:lineRule="auto"/>
        <w:ind w:right="126"/>
        <w:jc w:val="both"/>
        <w:rPr>
          <w:rFonts w:hint="eastAsia" w:ascii="仿宋" w:hAnsi="仿宋" w:eastAsia="仿宋" w:cs="仿宋"/>
          <w:b/>
          <w:bCs/>
          <w:sz w:val="36"/>
          <w:szCs w:val="36"/>
          <w:lang w:val="en-US" w:eastAsia="zh-CN"/>
        </w:rPr>
      </w:pPr>
      <w:r>
        <w:rPr>
          <w:rFonts w:hint="eastAsia" w:ascii="仿宋" w:hAnsi="仿宋" w:eastAsia="仿宋" w:cs="仿宋"/>
        </w:rPr>
        <w:br w:type="page"/>
      </w:r>
      <w:r>
        <w:rPr>
          <w:rFonts w:hint="eastAsia" w:ascii="仿宋" w:hAnsi="仿宋" w:eastAsia="仿宋" w:cs="仿宋"/>
          <w:b/>
          <w:bCs/>
          <w:sz w:val="36"/>
          <w:szCs w:val="36"/>
          <w:lang w:val="en-US" w:eastAsia="zh-CN"/>
        </w:rPr>
        <w:t>10.类似业绩格式：</w:t>
      </w:r>
    </w:p>
    <w:p w14:paraId="6B7C06C8">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类似业绩</w:t>
      </w:r>
    </w:p>
    <w:p w14:paraId="283EF5DA">
      <w:pPr>
        <w:pStyle w:val="8"/>
        <w:kinsoku w:val="0"/>
        <w:overflowPunct w:val="0"/>
        <w:spacing w:before="0"/>
        <w:ind w:left="0"/>
        <w:rPr>
          <w:rFonts w:hint="eastAsia" w:ascii="仿宋" w:hAnsi="仿宋" w:eastAsia="仿宋" w:cs="仿宋"/>
          <w:b/>
          <w:bCs/>
          <w:sz w:val="20"/>
          <w:szCs w:val="2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73"/>
        <w:gridCol w:w="3375"/>
        <w:gridCol w:w="1315"/>
        <w:gridCol w:w="1808"/>
      </w:tblGrid>
      <w:tr w14:paraId="6352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32677163">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1673" w:type="dxa"/>
            <w:noWrap w:val="0"/>
            <w:vAlign w:val="center"/>
          </w:tcPr>
          <w:p w14:paraId="64A4CA3B">
            <w:pPr>
              <w:jc w:val="center"/>
              <w:rPr>
                <w:rFonts w:hint="eastAsia" w:ascii="仿宋" w:hAnsi="仿宋" w:eastAsia="仿宋" w:cs="仿宋"/>
                <w:spacing w:val="-1"/>
                <w:kern w:val="0"/>
                <w:sz w:val="24"/>
                <w:szCs w:val="24"/>
                <w:lang w:eastAsia="zh-CN"/>
              </w:rPr>
            </w:pPr>
            <w:r>
              <w:rPr>
                <w:rFonts w:hint="eastAsia" w:ascii="仿宋" w:hAnsi="仿宋" w:eastAsia="仿宋" w:cs="仿宋"/>
                <w:spacing w:val="-1"/>
                <w:kern w:val="0"/>
                <w:sz w:val="24"/>
                <w:szCs w:val="24"/>
                <w:lang w:val="en-US" w:eastAsia="zh-CN"/>
              </w:rPr>
              <w:t>采购人</w:t>
            </w:r>
          </w:p>
        </w:tc>
        <w:tc>
          <w:tcPr>
            <w:tcW w:w="3375" w:type="dxa"/>
            <w:noWrap w:val="0"/>
            <w:vAlign w:val="center"/>
          </w:tcPr>
          <w:p w14:paraId="52E1DB01">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项目名称</w:t>
            </w:r>
          </w:p>
        </w:tc>
        <w:tc>
          <w:tcPr>
            <w:tcW w:w="1315" w:type="dxa"/>
            <w:noWrap w:val="0"/>
            <w:vAlign w:val="center"/>
          </w:tcPr>
          <w:p w14:paraId="4C3856E9">
            <w:pPr>
              <w:jc w:val="center"/>
              <w:rPr>
                <w:rFonts w:hint="eastAsia" w:ascii="仿宋" w:hAnsi="仿宋" w:eastAsia="仿宋" w:cs="仿宋"/>
                <w:spacing w:val="-1"/>
                <w:kern w:val="0"/>
                <w:sz w:val="24"/>
                <w:szCs w:val="24"/>
                <w:lang w:val="en-US" w:eastAsia="zh-CN"/>
              </w:rPr>
            </w:pPr>
            <w:r>
              <w:rPr>
                <w:rFonts w:hint="eastAsia" w:ascii="仿宋" w:hAnsi="仿宋" w:eastAsia="仿宋" w:cs="仿宋"/>
                <w:spacing w:val="-1"/>
                <w:kern w:val="0"/>
                <w:sz w:val="24"/>
                <w:szCs w:val="24"/>
                <w:lang w:val="en-US" w:eastAsia="zh-CN"/>
              </w:rPr>
              <w:t>合同金额</w:t>
            </w:r>
            <w:r>
              <w:rPr>
                <w:rFonts w:hint="eastAsia" w:ascii="仿宋" w:hAnsi="仿宋" w:eastAsia="仿宋" w:cs="仿宋"/>
                <w:spacing w:val="-1"/>
                <w:kern w:val="0"/>
                <w:sz w:val="24"/>
                <w:szCs w:val="24"/>
              </w:rPr>
              <w:t>（万元）</w:t>
            </w:r>
          </w:p>
        </w:tc>
        <w:tc>
          <w:tcPr>
            <w:tcW w:w="1808" w:type="dxa"/>
            <w:noWrap w:val="0"/>
            <w:vAlign w:val="center"/>
          </w:tcPr>
          <w:p w14:paraId="02E71A8D">
            <w:pPr>
              <w:jc w:val="center"/>
              <w:rPr>
                <w:rFonts w:hint="eastAsia" w:ascii="仿宋" w:hAnsi="仿宋" w:eastAsia="仿宋" w:cs="仿宋"/>
                <w:spacing w:val="-1"/>
                <w:kern w:val="0"/>
                <w:sz w:val="24"/>
                <w:szCs w:val="24"/>
                <w:lang w:eastAsia="zh-CN"/>
              </w:rPr>
            </w:pPr>
            <w:r>
              <w:rPr>
                <w:rFonts w:hint="eastAsia" w:ascii="仿宋" w:hAnsi="仿宋" w:eastAsia="仿宋" w:cs="仿宋"/>
                <w:spacing w:val="-1"/>
                <w:kern w:val="0"/>
                <w:sz w:val="24"/>
                <w:szCs w:val="24"/>
                <w:lang w:val="en-US" w:eastAsia="zh-CN"/>
              </w:rPr>
              <w:t>合同签订日期</w:t>
            </w:r>
          </w:p>
        </w:tc>
      </w:tr>
      <w:tr w14:paraId="37B1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4D50A535">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1673" w:type="dxa"/>
            <w:noWrap w:val="0"/>
            <w:vAlign w:val="center"/>
          </w:tcPr>
          <w:p w14:paraId="330406C3">
            <w:pPr>
              <w:jc w:val="center"/>
              <w:rPr>
                <w:rFonts w:hint="eastAsia" w:ascii="仿宋" w:hAnsi="仿宋" w:eastAsia="仿宋" w:cs="仿宋"/>
                <w:spacing w:val="-1"/>
                <w:kern w:val="0"/>
                <w:sz w:val="24"/>
                <w:szCs w:val="24"/>
              </w:rPr>
            </w:pPr>
          </w:p>
        </w:tc>
        <w:tc>
          <w:tcPr>
            <w:tcW w:w="3375" w:type="dxa"/>
            <w:noWrap w:val="0"/>
            <w:vAlign w:val="center"/>
          </w:tcPr>
          <w:p w14:paraId="34684A23">
            <w:pPr>
              <w:jc w:val="center"/>
              <w:rPr>
                <w:rFonts w:hint="eastAsia" w:ascii="仿宋" w:hAnsi="仿宋" w:eastAsia="仿宋" w:cs="仿宋"/>
                <w:spacing w:val="-1"/>
                <w:kern w:val="0"/>
                <w:sz w:val="24"/>
                <w:szCs w:val="24"/>
              </w:rPr>
            </w:pPr>
          </w:p>
        </w:tc>
        <w:tc>
          <w:tcPr>
            <w:tcW w:w="1315" w:type="dxa"/>
            <w:noWrap w:val="0"/>
            <w:vAlign w:val="center"/>
          </w:tcPr>
          <w:p w14:paraId="730912B2">
            <w:pPr>
              <w:jc w:val="center"/>
              <w:rPr>
                <w:rFonts w:hint="eastAsia" w:ascii="仿宋" w:hAnsi="仿宋" w:eastAsia="仿宋" w:cs="仿宋"/>
                <w:spacing w:val="-1"/>
                <w:kern w:val="0"/>
                <w:sz w:val="24"/>
                <w:szCs w:val="24"/>
              </w:rPr>
            </w:pPr>
          </w:p>
        </w:tc>
        <w:tc>
          <w:tcPr>
            <w:tcW w:w="1808" w:type="dxa"/>
            <w:noWrap w:val="0"/>
            <w:vAlign w:val="center"/>
          </w:tcPr>
          <w:p w14:paraId="52196A54">
            <w:pPr>
              <w:jc w:val="center"/>
              <w:rPr>
                <w:rFonts w:hint="eastAsia" w:ascii="仿宋" w:hAnsi="仿宋" w:eastAsia="仿宋" w:cs="仿宋"/>
                <w:spacing w:val="-1"/>
                <w:kern w:val="0"/>
                <w:sz w:val="24"/>
                <w:szCs w:val="24"/>
              </w:rPr>
            </w:pPr>
          </w:p>
        </w:tc>
      </w:tr>
      <w:tr w14:paraId="1945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63070E8D">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1673" w:type="dxa"/>
            <w:noWrap w:val="0"/>
            <w:vAlign w:val="center"/>
          </w:tcPr>
          <w:p w14:paraId="10E7D8E0">
            <w:pPr>
              <w:jc w:val="center"/>
              <w:rPr>
                <w:rFonts w:hint="eastAsia" w:ascii="仿宋" w:hAnsi="仿宋" w:eastAsia="仿宋" w:cs="仿宋"/>
                <w:spacing w:val="-1"/>
                <w:kern w:val="0"/>
                <w:sz w:val="24"/>
                <w:szCs w:val="24"/>
              </w:rPr>
            </w:pPr>
          </w:p>
        </w:tc>
        <w:tc>
          <w:tcPr>
            <w:tcW w:w="3375" w:type="dxa"/>
            <w:noWrap w:val="0"/>
            <w:vAlign w:val="center"/>
          </w:tcPr>
          <w:p w14:paraId="6B40B844">
            <w:pPr>
              <w:jc w:val="center"/>
              <w:rPr>
                <w:rFonts w:hint="eastAsia" w:ascii="仿宋" w:hAnsi="仿宋" w:eastAsia="仿宋" w:cs="仿宋"/>
                <w:spacing w:val="-1"/>
                <w:kern w:val="0"/>
                <w:sz w:val="24"/>
                <w:szCs w:val="24"/>
              </w:rPr>
            </w:pPr>
          </w:p>
        </w:tc>
        <w:tc>
          <w:tcPr>
            <w:tcW w:w="1315" w:type="dxa"/>
            <w:noWrap w:val="0"/>
            <w:vAlign w:val="center"/>
          </w:tcPr>
          <w:p w14:paraId="5F8D15E0">
            <w:pPr>
              <w:jc w:val="center"/>
              <w:rPr>
                <w:rFonts w:hint="eastAsia" w:ascii="仿宋" w:hAnsi="仿宋" w:eastAsia="仿宋" w:cs="仿宋"/>
                <w:spacing w:val="-1"/>
                <w:kern w:val="0"/>
                <w:sz w:val="24"/>
                <w:szCs w:val="24"/>
              </w:rPr>
            </w:pPr>
          </w:p>
        </w:tc>
        <w:tc>
          <w:tcPr>
            <w:tcW w:w="1808" w:type="dxa"/>
            <w:noWrap w:val="0"/>
            <w:vAlign w:val="center"/>
          </w:tcPr>
          <w:p w14:paraId="2C9C4074">
            <w:pPr>
              <w:jc w:val="center"/>
              <w:rPr>
                <w:rFonts w:hint="eastAsia" w:ascii="仿宋" w:hAnsi="仿宋" w:eastAsia="仿宋" w:cs="仿宋"/>
                <w:spacing w:val="-1"/>
                <w:kern w:val="0"/>
                <w:sz w:val="24"/>
                <w:szCs w:val="24"/>
              </w:rPr>
            </w:pPr>
          </w:p>
        </w:tc>
      </w:tr>
      <w:tr w14:paraId="28DF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0D91143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1673" w:type="dxa"/>
            <w:noWrap w:val="0"/>
            <w:vAlign w:val="center"/>
          </w:tcPr>
          <w:p w14:paraId="4638CF02">
            <w:pPr>
              <w:jc w:val="center"/>
              <w:rPr>
                <w:rFonts w:hint="eastAsia" w:ascii="仿宋" w:hAnsi="仿宋" w:eastAsia="仿宋" w:cs="仿宋"/>
                <w:spacing w:val="-1"/>
                <w:kern w:val="0"/>
                <w:sz w:val="24"/>
                <w:szCs w:val="24"/>
              </w:rPr>
            </w:pPr>
          </w:p>
        </w:tc>
        <w:tc>
          <w:tcPr>
            <w:tcW w:w="3375" w:type="dxa"/>
            <w:noWrap w:val="0"/>
            <w:vAlign w:val="center"/>
          </w:tcPr>
          <w:p w14:paraId="0CD4958A">
            <w:pPr>
              <w:jc w:val="center"/>
              <w:rPr>
                <w:rFonts w:hint="eastAsia" w:ascii="仿宋" w:hAnsi="仿宋" w:eastAsia="仿宋" w:cs="仿宋"/>
                <w:spacing w:val="-1"/>
                <w:kern w:val="0"/>
                <w:sz w:val="24"/>
                <w:szCs w:val="24"/>
              </w:rPr>
            </w:pPr>
          </w:p>
        </w:tc>
        <w:tc>
          <w:tcPr>
            <w:tcW w:w="1315" w:type="dxa"/>
            <w:noWrap w:val="0"/>
            <w:vAlign w:val="center"/>
          </w:tcPr>
          <w:p w14:paraId="421EA7BE">
            <w:pPr>
              <w:jc w:val="center"/>
              <w:rPr>
                <w:rFonts w:hint="eastAsia" w:ascii="仿宋" w:hAnsi="仿宋" w:eastAsia="仿宋" w:cs="仿宋"/>
                <w:spacing w:val="-1"/>
                <w:kern w:val="0"/>
                <w:sz w:val="24"/>
                <w:szCs w:val="24"/>
              </w:rPr>
            </w:pPr>
          </w:p>
        </w:tc>
        <w:tc>
          <w:tcPr>
            <w:tcW w:w="1808" w:type="dxa"/>
            <w:noWrap w:val="0"/>
            <w:vAlign w:val="center"/>
          </w:tcPr>
          <w:p w14:paraId="64785B7F">
            <w:pPr>
              <w:jc w:val="center"/>
              <w:rPr>
                <w:rFonts w:hint="eastAsia" w:ascii="仿宋" w:hAnsi="仿宋" w:eastAsia="仿宋" w:cs="仿宋"/>
                <w:spacing w:val="-1"/>
                <w:kern w:val="0"/>
                <w:sz w:val="24"/>
                <w:szCs w:val="24"/>
              </w:rPr>
            </w:pPr>
          </w:p>
        </w:tc>
      </w:tr>
      <w:tr w14:paraId="312C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4B253B24">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w:t>
            </w:r>
          </w:p>
        </w:tc>
        <w:tc>
          <w:tcPr>
            <w:tcW w:w="1673" w:type="dxa"/>
            <w:noWrap w:val="0"/>
            <w:vAlign w:val="center"/>
          </w:tcPr>
          <w:p w14:paraId="0A7A7C64">
            <w:pPr>
              <w:jc w:val="center"/>
              <w:rPr>
                <w:rFonts w:hint="eastAsia" w:ascii="仿宋" w:hAnsi="仿宋" w:eastAsia="仿宋" w:cs="仿宋"/>
                <w:spacing w:val="-1"/>
                <w:kern w:val="0"/>
                <w:sz w:val="24"/>
                <w:szCs w:val="24"/>
              </w:rPr>
            </w:pPr>
          </w:p>
        </w:tc>
        <w:tc>
          <w:tcPr>
            <w:tcW w:w="3375" w:type="dxa"/>
            <w:noWrap w:val="0"/>
            <w:vAlign w:val="center"/>
          </w:tcPr>
          <w:p w14:paraId="4BA09E25">
            <w:pPr>
              <w:jc w:val="center"/>
              <w:rPr>
                <w:rFonts w:hint="eastAsia" w:ascii="仿宋" w:hAnsi="仿宋" w:eastAsia="仿宋" w:cs="仿宋"/>
                <w:spacing w:val="-1"/>
                <w:kern w:val="0"/>
                <w:sz w:val="24"/>
                <w:szCs w:val="24"/>
              </w:rPr>
            </w:pPr>
          </w:p>
        </w:tc>
        <w:tc>
          <w:tcPr>
            <w:tcW w:w="1315" w:type="dxa"/>
            <w:noWrap w:val="0"/>
            <w:vAlign w:val="center"/>
          </w:tcPr>
          <w:p w14:paraId="5A05ED5C">
            <w:pPr>
              <w:jc w:val="center"/>
              <w:rPr>
                <w:rFonts w:hint="eastAsia" w:ascii="仿宋" w:hAnsi="仿宋" w:eastAsia="仿宋" w:cs="仿宋"/>
                <w:spacing w:val="-1"/>
                <w:kern w:val="0"/>
                <w:sz w:val="24"/>
                <w:szCs w:val="24"/>
              </w:rPr>
            </w:pPr>
          </w:p>
        </w:tc>
        <w:tc>
          <w:tcPr>
            <w:tcW w:w="1808" w:type="dxa"/>
            <w:noWrap w:val="0"/>
            <w:vAlign w:val="center"/>
          </w:tcPr>
          <w:p w14:paraId="108D45BB">
            <w:pPr>
              <w:jc w:val="center"/>
              <w:rPr>
                <w:rFonts w:hint="eastAsia" w:ascii="仿宋" w:hAnsi="仿宋" w:eastAsia="仿宋" w:cs="仿宋"/>
                <w:spacing w:val="-1"/>
                <w:kern w:val="0"/>
                <w:sz w:val="24"/>
                <w:szCs w:val="24"/>
              </w:rPr>
            </w:pPr>
          </w:p>
        </w:tc>
      </w:tr>
    </w:tbl>
    <w:p w14:paraId="032EFC0F">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注：根据评审表的要求提交相应资料。</w:t>
      </w:r>
    </w:p>
    <w:p w14:paraId="2C375D2D">
      <w:pPr>
        <w:pStyle w:val="8"/>
        <w:kinsoku w:val="0"/>
        <w:overflowPunct w:val="0"/>
        <w:spacing w:before="0"/>
        <w:ind w:left="0"/>
        <w:rPr>
          <w:rFonts w:hint="eastAsia" w:ascii="仿宋" w:hAnsi="仿宋" w:eastAsia="仿宋" w:cs="仿宋"/>
        </w:rPr>
      </w:pPr>
    </w:p>
    <w:p w14:paraId="134A5B1D">
      <w:pPr>
        <w:pStyle w:val="8"/>
        <w:kinsoku w:val="0"/>
        <w:overflowPunct w:val="0"/>
        <w:spacing w:before="10"/>
        <w:ind w:left="0"/>
        <w:rPr>
          <w:rFonts w:hint="eastAsia" w:ascii="仿宋" w:hAnsi="仿宋" w:eastAsia="仿宋" w:cs="仿宋"/>
          <w:sz w:val="29"/>
          <w:szCs w:val="29"/>
        </w:rPr>
      </w:pPr>
    </w:p>
    <w:p w14:paraId="39A06BAC">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74271A2E">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71CD7BD9">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3014EBBE">
      <w:pPr>
        <w:pStyle w:val="8"/>
        <w:kinsoku w:val="0"/>
        <w:overflowPunct w:val="0"/>
        <w:spacing w:before="34" w:line="357" w:lineRule="auto"/>
        <w:ind w:right="126"/>
        <w:jc w:val="both"/>
        <w:rPr>
          <w:rFonts w:hint="eastAsia" w:ascii="仿宋" w:hAnsi="仿宋" w:eastAsia="仿宋" w:cs="仿宋"/>
          <w:b/>
          <w:bCs/>
          <w:lang w:val="en-US"/>
        </w:rPr>
      </w:pPr>
      <w:r>
        <w:rPr>
          <w:rFonts w:hint="eastAsia" w:ascii="仿宋" w:hAnsi="仿宋" w:eastAsia="仿宋" w:cs="仿宋"/>
        </w:rPr>
        <w:br w:type="page"/>
      </w:r>
      <w:r>
        <w:rPr>
          <w:rFonts w:hint="eastAsia" w:ascii="仿宋" w:hAnsi="仿宋" w:eastAsia="仿宋" w:cs="仿宋"/>
          <w:b/>
          <w:bCs/>
          <w:sz w:val="36"/>
          <w:szCs w:val="36"/>
          <w:lang w:val="en-US" w:eastAsia="zh-CN"/>
        </w:rPr>
        <w:t>11.中小企业声明函格式：</w:t>
      </w:r>
    </w:p>
    <w:p w14:paraId="3C556F10">
      <w:pPr>
        <w:pStyle w:val="8"/>
        <w:kinsoku w:val="0"/>
        <w:overflowPunct w:val="0"/>
        <w:spacing w:before="0"/>
        <w:ind w:left="0"/>
        <w:rPr>
          <w:rFonts w:hint="eastAsia" w:ascii="仿宋" w:hAnsi="仿宋" w:eastAsia="仿宋" w:cs="仿宋"/>
          <w:b/>
          <w:bCs/>
          <w:sz w:val="32"/>
          <w:szCs w:val="32"/>
        </w:rPr>
      </w:pPr>
    </w:p>
    <w:p w14:paraId="12EA9844">
      <w:pPr>
        <w:spacing w:line="360" w:lineRule="auto"/>
        <w:jc w:val="center"/>
        <w:rPr>
          <w:rFonts w:hint="eastAsia" w:ascii="仿宋" w:hAnsi="仿宋" w:eastAsia="仿宋" w:cs="仿宋"/>
          <w:kern w:val="0"/>
          <w:sz w:val="24"/>
        </w:rPr>
      </w:pPr>
      <w:r>
        <w:rPr>
          <w:rFonts w:hint="eastAsia" w:ascii="仿宋" w:hAnsi="仿宋" w:eastAsia="仿宋" w:cs="仿宋"/>
          <w:b/>
          <w:kern w:val="0"/>
          <w:sz w:val="32"/>
          <w:szCs w:val="32"/>
          <w:lang w:val="en-US" w:eastAsia="zh-CN"/>
        </w:rPr>
        <w:t>中小企业声明函（货物）</w:t>
      </w:r>
    </w:p>
    <w:p w14:paraId="69DA14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rPr>
        <w:t>采购活动，</w:t>
      </w:r>
      <w:r>
        <w:rPr>
          <w:rFonts w:hint="eastAsia" w:ascii="仿宋" w:hAnsi="仿宋" w:eastAsia="仿宋" w:cs="仿宋"/>
          <w:b/>
          <w:bCs/>
          <w:sz w:val="24"/>
          <w:szCs w:val="24"/>
        </w:rPr>
        <w:t>提供的货物全部由符合政策要求的中小企业制造</w:t>
      </w:r>
      <w:r>
        <w:rPr>
          <w:rFonts w:hint="eastAsia" w:ascii="仿宋" w:hAnsi="仿宋" w:eastAsia="仿宋" w:cs="仿宋"/>
          <w:sz w:val="24"/>
          <w:szCs w:val="24"/>
        </w:rPr>
        <w:t xml:space="preserve">。相关企业（含联合体中的中小企业、签订分包意向协议的中小企业）的具体情况如下： </w:t>
      </w:r>
    </w:p>
    <w:p w14:paraId="432BBFD8">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工业</w:t>
      </w:r>
      <w:r>
        <w:rPr>
          <w:rFonts w:hint="eastAsia" w:ascii="仿宋" w:hAnsi="仿宋" w:eastAsia="仿宋" w:cs="仿宋"/>
          <w:sz w:val="24"/>
          <w:szCs w:val="24"/>
          <w:u w:val="single"/>
        </w:rPr>
        <w:t xml:space="preserve">） </w:t>
      </w:r>
      <w:r>
        <w:rPr>
          <w:rFonts w:hint="eastAsia" w:ascii="仿宋" w:hAnsi="仿宋" w:eastAsia="仿宋" w:cs="仿宋"/>
          <w:sz w:val="24"/>
          <w:szCs w:val="24"/>
        </w:rPr>
        <w:t>行业；</w:t>
      </w:r>
      <w:r>
        <w:rPr>
          <w:rFonts w:hint="eastAsia" w:ascii="仿宋" w:hAnsi="仿宋" w:eastAsia="仿宋" w:cs="仿宋"/>
          <w:b/>
          <w:bCs/>
          <w:sz w:val="24"/>
          <w:szCs w:val="24"/>
        </w:rPr>
        <w:t>制造商</w:t>
      </w:r>
      <w:r>
        <w:rPr>
          <w:rFonts w:hint="eastAsia" w:ascii="仿宋" w:hAnsi="仿宋" w:eastAsia="仿宋" w:cs="仿宋"/>
          <w:sz w:val="24"/>
          <w:szCs w:val="24"/>
        </w:rPr>
        <w:t>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 型企业、微型企业）</w:t>
      </w:r>
      <w:r>
        <w:rPr>
          <w:rFonts w:hint="eastAsia" w:ascii="仿宋" w:hAnsi="仿宋" w:eastAsia="仿宋" w:cs="仿宋"/>
          <w:sz w:val="24"/>
          <w:szCs w:val="24"/>
        </w:rPr>
        <w:t>；</w:t>
      </w:r>
    </w:p>
    <w:p w14:paraId="76B95702">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工业</w:t>
      </w:r>
      <w:r>
        <w:rPr>
          <w:rFonts w:hint="eastAsia" w:ascii="仿宋" w:hAnsi="仿宋" w:eastAsia="仿宋" w:cs="仿宋"/>
          <w:sz w:val="24"/>
          <w:szCs w:val="24"/>
          <w:u w:val="single"/>
        </w:rPr>
        <w:t>）</w:t>
      </w:r>
      <w:r>
        <w:rPr>
          <w:rFonts w:hint="eastAsia" w:ascii="仿宋" w:hAnsi="仿宋" w:eastAsia="仿宋" w:cs="仿宋"/>
          <w:sz w:val="24"/>
          <w:szCs w:val="24"/>
        </w:rPr>
        <w:t xml:space="preserve"> 行业；</w:t>
      </w:r>
      <w:r>
        <w:rPr>
          <w:rFonts w:hint="eastAsia" w:ascii="仿宋" w:hAnsi="仿宋" w:eastAsia="仿宋" w:cs="仿宋"/>
          <w:b/>
          <w:bCs/>
          <w:sz w:val="24"/>
          <w:szCs w:val="24"/>
        </w:rPr>
        <w:t>制造商</w:t>
      </w:r>
      <w:r>
        <w:rPr>
          <w:rFonts w:hint="eastAsia" w:ascii="仿宋" w:hAnsi="仿宋" w:eastAsia="仿宋" w:cs="仿宋"/>
          <w:sz w:val="24"/>
          <w:szCs w:val="24"/>
        </w:rPr>
        <w:t>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 型企业、微型企业）</w:t>
      </w:r>
      <w:r>
        <w:rPr>
          <w:rFonts w:hint="eastAsia" w:ascii="仿宋" w:hAnsi="仿宋" w:eastAsia="仿宋" w:cs="仿宋"/>
          <w:sz w:val="24"/>
          <w:szCs w:val="24"/>
        </w:rPr>
        <w:t>；</w:t>
      </w:r>
    </w:p>
    <w:p w14:paraId="51DED4F7">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4198D089">
      <w:pPr>
        <w:numPr>
          <w:ilvl w:val="0"/>
          <w:numId w:val="0"/>
        </w:numPr>
        <w:spacing w:line="360" w:lineRule="auto"/>
        <w:ind w:leftChars="225"/>
        <w:rPr>
          <w:rFonts w:hint="eastAsia" w:ascii="仿宋" w:hAnsi="仿宋" w:eastAsia="仿宋" w:cs="仿宋"/>
          <w:kern w:val="0"/>
          <w:sz w:val="24"/>
        </w:rPr>
      </w:pPr>
      <w:r>
        <w:rPr>
          <w:rFonts w:hint="eastAsia" w:ascii="仿宋" w:hAnsi="仿宋" w:eastAsia="仿宋" w:cs="仿宋"/>
          <w:kern w:val="0"/>
          <w:sz w:val="24"/>
        </w:rPr>
        <w:t>......</w:t>
      </w:r>
    </w:p>
    <w:p w14:paraId="432096DE">
      <w:pPr>
        <w:numPr>
          <w:ilvl w:val="0"/>
          <w:numId w:val="0"/>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2572065B">
      <w:pPr>
        <w:numPr>
          <w:ilvl w:val="0"/>
          <w:numId w:val="0"/>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1DD0A029">
      <w:pPr>
        <w:numPr>
          <w:ilvl w:val="0"/>
          <w:numId w:val="0"/>
        </w:numPr>
        <w:wordWrap w:val="0"/>
        <w:spacing w:line="360" w:lineRule="auto"/>
        <w:ind w:firstLine="480" w:firstLineChars="200"/>
        <w:jc w:val="right"/>
        <w:rPr>
          <w:rFonts w:hint="eastAsia" w:ascii="仿宋" w:hAnsi="仿宋" w:eastAsia="仿宋" w:cs="仿宋"/>
          <w:kern w:val="0"/>
          <w:sz w:val="24"/>
          <w:lang w:eastAsia="zh-CN"/>
        </w:rPr>
      </w:pPr>
    </w:p>
    <w:p w14:paraId="05AB4255">
      <w:pPr>
        <w:numPr>
          <w:ilvl w:val="0"/>
          <w:numId w:val="0"/>
        </w:numPr>
        <w:wordWrap w:val="0"/>
        <w:spacing w:line="360" w:lineRule="auto"/>
        <w:ind w:firstLine="480" w:firstLineChars="20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企业名称（盖章）：</w:t>
      </w:r>
      <w:r>
        <w:rPr>
          <w:rFonts w:hint="eastAsia" w:ascii="仿宋" w:hAnsi="仿宋" w:eastAsia="仿宋" w:cs="仿宋"/>
          <w:kern w:val="0"/>
          <w:sz w:val="24"/>
          <w:lang w:val="en-US" w:eastAsia="zh-CN"/>
        </w:rPr>
        <w:t xml:space="preserve">               </w:t>
      </w:r>
    </w:p>
    <w:p w14:paraId="71146199">
      <w:pPr>
        <w:numPr>
          <w:ilvl w:val="0"/>
          <w:numId w:val="0"/>
        </w:numPr>
        <w:wordWrap w:val="0"/>
        <w:spacing w:line="360" w:lineRule="auto"/>
        <w:ind w:firstLine="480" w:firstLineChars="200"/>
        <w:jc w:val="center"/>
        <w:rPr>
          <w:rFonts w:hint="eastAsia" w:ascii="仿宋" w:hAnsi="仿宋" w:eastAsia="仿宋" w:cs="仿宋"/>
          <w:b/>
          <w:kern w:val="0"/>
          <w:sz w:val="32"/>
          <w:szCs w:val="32"/>
          <w:lang w:val="en-US" w:eastAsia="zh-CN"/>
        </w:rPr>
      </w:pPr>
      <w:r>
        <w:rPr>
          <w:rFonts w:hint="eastAsia" w:ascii="仿宋" w:hAnsi="仿宋" w:eastAsia="仿宋" w:cs="仿宋"/>
          <w:kern w:val="0"/>
          <w:sz w:val="24"/>
          <w:lang w:val="en-US" w:eastAsia="zh-CN"/>
        </w:rPr>
        <w:t xml:space="preserve">                      日期：      年    月    日</w:t>
      </w:r>
    </w:p>
    <w:p w14:paraId="1B8C8BA0">
      <w:pPr>
        <w:jc w:val="center"/>
        <w:rPr>
          <w:rFonts w:hint="eastAsia" w:ascii="仿宋" w:hAnsi="仿宋" w:eastAsia="仿宋" w:cs="仿宋"/>
          <w:b/>
          <w:bCs/>
        </w:rPr>
      </w:pPr>
      <w:r>
        <w:rPr>
          <w:rFonts w:hint="eastAsia" w:ascii="仿宋" w:hAnsi="仿宋" w:eastAsia="仿宋" w:cs="仿宋"/>
          <w:w w:val="95"/>
          <w:sz w:val="21"/>
          <w:szCs w:val="21"/>
        </w:rPr>
        <w:br w:type="page"/>
      </w:r>
      <w:r>
        <w:rPr>
          <w:rFonts w:hint="eastAsia" w:ascii="仿宋" w:hAnsi="仿宋" w:eastAsia="仿宋" w:cs="仿宋"/>
          <w:b/>
          <w:bCs/>
          <w:kern w:val="0"/>
          <w:sz w:val="30"/>
          <w:szCs w:val="30"/>
          <w:lang w:val="en-US" w:eastAsia="zh-CN" w:bidi="ar-SA"/>
        </w:rPr>
        <w:t>（1）残疾人福利性单位声明函（符合本声明函填写）</w:t>
      </w:r>
    </w:p>
    <w:p w14:paraId="235A5191">
      <w:pPr>
        <w:pStyle w:val="8"/>
        <w:kinsoku w:val="0"/>
        <w:overflowPunct w:val="0"/>
        <w:spacing w:before="0"/>
        <w:ind w:left="0"/>
        <w:rPr>
          <w:rFonts w:hint="eastAsia" w:ascii="仿宋" w:hAnsi="仿宋" w:eastAsia="仿宋" w:cs="仿宋"/>
          <w:b/>
          <w:bCs/>
          <w:sz w:val="32"/>
          <w:szCs w:val="32"/>
        </w:rPr>
      </w:pPr>
    </w:p>
    <w:p w14:paraId="527B776D">
      <w:pPr>
        <w:pStyle w:val="8"/>
        <w:tabs>
          <w:tab w:val="left" w:pos="3211"/>
          <w:tab w:val="left" w:pos="4651"/>
        </w:tabs>
        <w:kinsoku w:val="0"/>
        <w:overflowPunct w:val="0"/>
        <w:spacing w:before="264" w:line="356" w:lineRule="auto"/>
        <w:ind w:right="118" w:firstLine="480"/>
        <w:rPr>
          <w:rFonts w:hint="eastAsia" w:ascii="仿宋" w:hAnsi="仿宋" w:eastAsia="仿宋" w:cs="仿宋"/>
        </w:rPr>
      </w:pPr>
      <w:r>
        <w:rPr>
          <w:rFonts w:hint="eastAsia" w:ascii="仿宋" w:hAnsi="仿宋" w:eastAsia="仿宋" w:cs="仿宋"/>
        </w:rPr>
        <w:t>本单位郑重声明</w:t>
      </w:r>
      <w:r>
        <w:rPr>
          <w:rFonts w:hint="eastAsia" w:ascii="仿宋" w:hAnsi="仿宋" w:eastAsia="仿宋" w:cs="仿宋"/>
          <w:spacing w:val="-27"/>
        </w:rPr>
        <w:t>，</w:t>
      </w:r>
      <w:r>
        <w:rPr>
          <w:rFonts w:hint="eastAsia" w:ascii="仿宋" w:hAnsi="仿宋" w:eastAsia="仿宋" w:cs="仿宋"/>
        </w:rPr>
        <w:t>根</w:t>
      </w:r>
      <w:r>
        <w:rPr>
          <w:rFonts w:hint="eastAsia" w:ascii="仿宋" w:hAnsi="仿宋" w:eastAsia="仿宋" w:cs="仿宋"/>
          <w:spacing w:val="-24"/>
        </w:rPr>
        <w:t>据</w:t>
      </w:r>
      <w:r>
        <w:rPr>
          <w:rFonts w:hint="eastAsia" w:ascii="仿宋" w:hAnsi="仿宋" w:eastAsia="仿宋" w:cs="仿宋"/>
        </w:rPr>
        <w:t>《财政部 民政部 中国残疾人联合会关于促进残疾人就业政府采购政策的通知》（财库〔2017〕141</w:t>
      </w:r>
      <w:r>
        <w:rPr>
          <w:rFonts w:hint="eastAsia" w:ascii="仿宋" w:hAnsi="仿宋" w:eastAsia="仿宋" w:cs="仿宋"/>
          <w:spacing w:val="-58"/>
        </w:rPr>
        <w:t xml:space="preserve"> </w:t>
      </w:r>
      <w:r>
        <w:rPr>
          <w:rFonts w:hint="eastAsia" w:ascii="仿宋" w:hAnsi="仿宋" w:eastAsia="仿宋" w:cs="仿宋"/>
        </w:rPr>
        <w:t>号）的规定，本单位为符合条件的残疾人福利性单位</w:t>
      </w:r>
      <w:r>
        <w:rPr>
          <w:rFonts w:hint="eastAsia" w:ascii="仿宋" w:hAnsi="仿宋" w:eastAsia="仿宋" w:cs="仿宋"/>
          <w:spacing w:val="-27"/>
        </w:rPr>
        <w:t>，</w:t>
      </w:r>
      <w:r>
        <w:rPr>
          <w:rFonts w:hint="eastAsia" w:ascii="仿宋" w:hAnsi="仿宋" w:eastAsia="仿宋" w:cs="仿宋"/>
        </w:rPr>
        <w:t>且本单位参加</w:t>
      </w:r>
      <w:r>
        <w:rPr>
          <w:rFonts w:hint="eastAsia" w:ascii="仿宋" w:hAnsi="仿宋" w:eastAsia="仿宋" w:cs="仿宋"/>
          <w:u w:val="single"/>
        </w:rPr>
        <w:tab/>
      </w:r>
      <w:r>
        <w:rPr>
          <w:rFonts w:hint="eastAsia" w:ascii="仿宋" w:hAnsi="仿宋" w:eastAsia="仿宋" w:cs="仿宋"/>
        </w:rPr>
        <w:t>单位的</w:t>
      </w:r>
      <w:r>
        <w:rPr>
          <w:rFonts w:hint="eastAsia" w:ascii="仿宋" w:hAnsi="仿宋" w:eastAsia="仿宋" w:cs="仿宋"/>
          <w:u w:val="single"/>
        </w:rPr>
        <w:tab/>
      </w:r>
      <w:r>
        <w:rPr>
          <w:rFonts w:hint="eastAsia" w:ascii="仿宋" w:hAnsi="仿宋" w:eastAsia="仿宋" w:cs="仿宋"/>
        </w:rPr>
        <w:t>项目采购活动提供本单位制造的货</w:t>
      </w:r>
      <w:r>
        <w:rPr>
          <w:rFonts w:hint="eastAsia" w:ascii="仿宋" w:hAnsi="仿宋" w:eastAsia="仿宋" w:cs="仿宋"/>
          <w:spacing w:val="-22"/>
        </w:rPr>
        <w:t>物</w:t>
      </w:r>
      <w:r>
        <w:rPr>
          <w:rFonts w:hint="eastAsia" w:ascii="仿宋" w:hAnsi="仿宋" w:eastAsia="仿宋" w:cs="仿宋"/>
          <w:spacing w:val="-3"/>
        </w:rPr>
        <w:t>（</w:t>
      </w:r>
      <w:r>
        <w:rPr>
          <w:rFonts w:hint="eastAsia" w:ascii="仿宋" w:hAnsi="仿宋" w:eastAsia="仿宋" w:cs="仿宋"/>
        </w:rPr>
        <w:t>由本</w:t>
      </w:r>
      <w:r>
        <w:rPr>
          <w:rFonts w:hint="eastAsia" w:ascii="仿宋" w:hAnsi="仿宋" w:eastAsia="仿宋" w:cs="仿宋"/>
          <w:spacing w:val="1"/>
        </w:rPr>
        <w:t>单位承担工程/提供服务），或者提供其他残疾人福利性单位制造的货物（不包括使用</w:t>
      </w:r>
      <w:r>
        <w:rPr>
          <w:rFonts w:hint="eastAsia" w:ascii="仿宋" w:hAnsi="仿宋" w:eastAsia="仿宋" w:cs="仿宋"/>
        </w:rPr>
        <w:t>非残疾人福利性单位注册商标的货物）。 本单位对上述声明的真实性负责，如有虚假，将依法承担相应责任。</w:t>
      </w:r>
    </w:p>
    <w:p w14:paraId="0DB61BDD">
      <w:pPr>
        <w:pStyle w:val="8"/>
        <w:kinsoku w:val="0"/>
        <w:overflowPunct w:val="0"/>
        <w:spacing w:before="0"/>
        <w:ind w:left="0"/>
        <w:rPr>
          <w:rFonts w:hint="eastAsia" w:ascii="仿宋" w:hAnsi="仿宋" w:eastAsia="仿宋" w:cs="仿宋"/>
        </w:rPr>
      </w:pPr>
    </w:p>
    <w:p w14:paraId="4CE055A2">
      <w:pPr>
        <w:pStyle w:val="8"/>
        <w:kinsoku w:val="0"/>
        <w:overflowPunct w:val="0"/>
        <w:spacing w:before="0"/>
        <w:ind w:left="0"/>
        <w:rPr>
          <w:rFonts w:hint="eastAsia" w:ascii="仿宋" w:hAnsi="仿宋" w:eastAsia="仿宋" w:cs="仿宋"/>
        </w:rPr>
      </w:pPr>
    </w:p>
    <w:p w14:paraId="20CA4FF1">
      <w:pPr>
        <w:pStyle w:val="8"/>
        <w:kinsoku w:val="0"/>
        <w:overflowPunct w:val="0"/>
        <w:spacing w:before="3"/>
        <w:ind w:left="0"/>
        <w:rPr>
          <w:rFonts w:hint="eastAsia" w:ascii="仿宋" w:hAnsi="仿宋" w:eastAsia="仿宋" w:cs="仿宋"/>
          <w:sz w:val="26"/>
          <w:szCs w:val="26"/>
        </w:rPr>
      </w:pPr>
    </w:p>
    <w:p w14:paraId="73B52E7F">
      <w:pPr>
        <w:pStyle w:val="8"/>
        <w:tabs>
          <w:tab w:val="left" w:pos="8107"/>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投标单位：</w:t>
      </w:r>
      <w:r>
        <w:rPr>
          <w:rFonts w:hint="eastAsia" w:ascii="仿宋" w:hAnsi="仿宋" w:eastAsia="仿宋" w:cs="仿宋"/>
          <w:u w:val="single"/>
        </w:rPr>
        <w:tab/>
      </w:r>
      <w:r>
        <w:rPr>
          <w:rFonts w:hint="eastAsia" w:ascii="仿宋" w:hAnsi="仿宋" w:eastAsia="仿宋" w:cs="仿宋"/>
        </w:rPr>
        <w:t xml:space="preserve">（盖章） </w:t>
      </w:r>
    </w:p>
    <w:p w14:paraId="0143CEF4">
      <w:pPr>
        <w:pStyle w:val="8"/>
        <w:tabs>
          <w:tab w:val="left" w:pos="8107"/>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w w:val="95"/>
        </w:rPr>
        <w:t>（签字）</w:t>
      </w:r>
    </w:p>
    <w:p w14:paraId="651609FB">
      <w:pPr>
        <w:pStyle w:val="8"/>
        <w:tabs>
          <w:tab w:val="left" w:pos="6187"/>
          <w:tab w:val="left" w:pos="7147"/>
          <w:tab w:val="left" w:pos="7747"/>
          <w:tab w:val="left" w:pos="8347"/>
        </w:tabs>
        <w:kinsoku w:val="0"/>
        <w:overflowPunct w:val="0"/>
        <w:spacing w:before="46"/>
        <w:ind w:left="546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14:paraId="1047BDED">
      <w:pPr>
        <w:pStyle w:val="8"/>
        <w:kinsoku w:val="0"/>
        <w:overflowPunct w:val="0"/>
        <w:spacing w:before="0"/>
        <w:ind w:left="0"/>
        <w:rPr>
          <w:rFonts w:hint="eastAsia" w:ascii="仿宋" w:hAnsi="仿宋" w:eastAsia="仿宋" w:cs="仿宋"/>
        </w:rPr>
      </w:pPr>
    </w:p>
    <w:p w14:paraId="16B5934A">
      <w:pPr>
        <w:pStyle w:val="8"/>
        <w:kinsoku w:val="0"/>
        <w:overflowPunct w:val="0"/>
        <w:spacing w:before="0"/>
        <w:ind w:left="0"/>
        <w:rPr>
          <w:rFonts w:hint="eastAsia" w:ascii="仿宋" w:hAnsi="仿宋" w:eastAsia="仿宋" w:cs="仿宋"/>
        </w:rPr>
      </w:pPr>
    </w:p>
    <w:p w14:paraId="49A276AC">
      <w:pPr>
        <w:pStyle w:val="8"/>
        <w:kinsoku w:val="0"/>
        <w:overflowPunct w:val="0"/>
        <w:spacing w:before="3"/>
        <w:ind w:left="0"/>
        <w:rPr>
          <w:rFonts w:hint="eastAsia" w:ascii="仿宋" w:hAnsi="仿宋" w:eastAsia="仿宋" w:cs="仿宋"/>
          <w:sz w:val="26"/>
          <w:szCs w:val="26"/>
        </w:rPr>
      </w:pPr>
    </w:p>
    <w:p w14:paraId="345CB7D3">
      <w:pPr>
        <w:pStyle w:val="8"/>
        <w:kinsoku w:val="0"/>
        <w:overflowPunct w:val="0"/>
        <w:spacing w:before="0" w:line="313" w:lineRule="exact"/>
        <w:rPr>
          <w:rFonts w:hint="eastAsia" w:ascii="仿宋" w:hAnsi="仿宋" w:eastAsia="仿宋" w:cs="仿宋"/>
        </w:rPr>
      </w:pPr>
      <w:r>
        <w:rPr>
          <w:rFonts w:hint="eastAsia" w:ascii="仿宋" w:hAnsi="仿宋" w:eastAsia="仿宋" w:cs="仿宋"/>
        </w:rPr>
        <w:t>说明：</w:t>
      </w:r>
    </w:p>
    <w:p w14:paraId="23BA92D5">
      <w:pPr>
        <w:pStyle w:val="8"/>
        <w:numPr>
          <w:ilvl w:val="0"/>
          <w:numId w:val="0"/>
        </w:numPr>
        <w:kinsoku w:val="0"/>
        <w:overflowPunct w:val="0"/>
        <w:spacing w:before="1" w:line="237" w:lineRule="auto"/>
        <w:ind w:leftChars="100" w:right="118" w:rightChars="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填写前请认真阅</w:t>
      </w:r>
      <w:r>
        <w:rPr>
          <w:rFonts w:hint="eastAsia" w:ascii="仿宋" w:hAnsi="仿宋" w:eastAsia="仿宋" w:cs="仿宋"/>
          <w:spacing w:val="-51"/>
        </w:rPr>
        <w:t>读</w:t>
      </w:r>
      <w:r>
        <w:rPr>
          <w:rFonts w:hint="eastAsia" w:ascii="仿宋" w:hAnsi="仿宋" w:eastAsia="仿宋" w:cs="仿宋"/>
        </w:rPr>
        <w:t>《财政部 民政部中国残疾人联合会关于促进残疾人就业政府采购政策的通知》（财库〔2017〕141</w:t>
      </w:r>
      <w:r>
        <w:rPr>
          <w:rFonts w:hint="eastAsia" w:ascii="仿宋" w:hAnsi="仿宋" w:eastAsia="仿宋" w:cs="仿宋"/>
          <w:spacing w:val="-60"/>
        </w:rPr>
        <w:t xml:space="preserve"> </w:t>
      </w:r>
      <w:r>
        <w:rPr>
          <w:rFonts w:hint="eastAsia" w:ascii="仿宋" w:hAnsi="仿宋" w:eastAsia="仿宋" w:cs="仿宋"/>
        </w:rPr>
        <w:t xml:space="preserve">号）相关规定。 </w:t>
      </w:r>
    </w:p>
    <w:p w14:paraId="4550356E">
      <w:pPr>
        <w:pStyle w:val="8"/>
        <w:numPr>
          <w:ilvl w:val="0"/>
          <w:numId w:val="0"/>
        </w:numPr>
        <w:kinsoku w:val="0"/>
        <w:overflowPunct w:val="0"/>
        <w:spacing w:before="1" w:line="237" w:lineRule="auto"/>
        <w:ind w:right="118" w:rightChars="0" w:firstLine="240" w:firstLineChars="100"/>
        <w:rPr>
          <w:rFonts w:hint="eastAsia" w:ascii="仿宋" w:hAnsi="仿宋" w:eastAsia="仿宋" w:cs="仿宋"/>
        </w:rPr>
      </w:pPr>
      <w:r>
        <w:rPr>
          <w:rFonts w:hint="eastAsia" w:ascii="仿宋" w:hAnsi="仿宋" w:eastAsia="仿宋" w:cs="仿宋"/>
        </w:rPr>
        <w:t>2.残疾人福利性单位应在本声明函后提供相关证明材料。</w:t>
      </w:r>
    </w:p>
    <w:p w14:paraId="28576298">
      <w:pPr>
        <w:pStyle w:val="8"/>
        <w:kinsoku w:val="0"/>
        <w:overflowPunct w:val="0"/>
        <w:spacing w:before="0" w:line="240" w:lineRule="auto"/>
        <w:ind w:left="0" w:firstLine="240" w:firstLineChars="100"/>
        <w:rPr>
          <w:rFonts w:hint="eastAsia" w:ascii="仿宋" w:hAnsi="仿宋" w:eastAsia="仿宋" w:cs="仿宋"/>
        </w:rPr>
      </w:pPr>
      <w:r>
        <w:rPr>
          <w:rFonts w:hint="eastAsia" w:ascii="仿宋" w:hAnsi="仿宋" w:eastAsia="仿宋" w:cs="仿宋"/>
        </w:rPr>
        <w:t>3.未按上述要求提供、填写的，评审时不予以考虑。</w:t>
      </w:r>
    </w:p>
    <w:p w14:paraId="7ED0B0FD">
      <w:pPr>
        <w:pStyle w:val="8"/>
        <w:kinsoku w:val="0"/>
        <w:overflowPunct w:val="0"/>
        <w:spacing w:before="34" w:line="358" w:lineRule="auto"/>
        <w:ind w:left="0" w:leftChars="0" w:right="125" w:firstLine="0" w:firstLineChars="0"/>
        <w:jc w:val="both"/>
        <w:rPr>
          <w:rFonts w:hint="eastAsia" w:ascii="仿宋" w:hAnsi="仿宋" w:eastAsia="仿宋" w:cs="仿宋"/>
          <w:b/>
          <w:bCs/>
          <w:sz w:val="36"/>
          <w:szCs w:val="36"/>
        </w:rPr>
      </w:pPr>
      <w:r>
        <w:rPr>
          <w:rFonts w:hint="eastAsia" w:ascii="仿宋" w:hAnsi="仿宋" w:eastAsia="仿宋" w:cs="仿宋"/>
        </w:rPr>
        <w:t xml:space="preserve">        </w:t>
      </w:r>
    </w:p>
    <w:p w14:paraId="28B6D5A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6EAAD5F3">
      <w:pPr>
        <w:pStyle w:val="8"/>
        <w:numPr>
          <w:ilvl w:val="0"/>
          <w:numId w:val="0"/>
        </w:numPr>
        <w:kinsoku w:val="0"/>
        <w:overflowPunct w:val="0"/>
        <w:spacing w:before="0" w:line="940" w:lineRule="exact"/>
        <w:ind w:left="0" w:leftChars="0"/>
        <w:jc w:val="both"/>
        <w:rPr>
          <w:rFonts w:hint="eastAsia" w:ascii="仿宋" w:hAnsi="仿宋" w:eastAsia="仿宋" w:cs="仿宋"/>
          <w:b/>
          <w:bCs/>
          <w:sz w:val="36"/>
          <w:szCs w:val="36"/>
          <w:lang w:val="en-US" w:eastAsia="zh-CN"/>
        </w:rPr>
      </w:pPr>
      <w:r>
        <w:rPr>
          <w:rFonts w:hint="eastAsia" w:ascii="仿宋" w:hAnsi="仿宋" w:eastAsia="仿宋" w:cs="仿宋"/>
          <w:b/>
          <w:bCs/>
          <w:kern w:val="0"/>
          <w:sz w:val="36"/>
          <w:szCs w:val="36"/>
          <w:lang w:val="en-US" w:eastAsia="zh-CN" w:bidi="ar-SA"/>
        </w:rPr>
        <w:t>12.</w:t>
      </w:r>
      <w:r>
        <w:rPr>
          <w:rFonts w:hint="eastAsia" w:ascii="仿宋" w:hAnsi="仿宋" w:eastAsia="仿宋" w:cs="仿宋"/>
          <w:b/>
          <w:bCs/>
          <w:sz w:val="36"/>
          <w:szCs w:val="36"/>
          <w:lang w:val="en-US" w:eastAsia="zh-CN"/>
        </w:rPr>
        <w:t>技术条款偏离表格式：</w:t>
      </w:r>
    </w:p>
    <w:p w14:paraId="5A419E3E">
      <w:pPr>
        <w:widowControl w:val="0"/>
        <w:numPr>
          <w:ilvl w:val="0"/>
          <w:numId w:val="0"/>
        </w:numPr>
        <w:jc w:val="both"/>
        <w:rPr>
          <w:rFonts w:hint="eastAsia" w:ascii="仿宋" w:hAnsi="仿宋" w:eastAsia="仿宋" w:cs="仿宋"/>
          <w:lang w:val="en-US" w:eastAsia="zh-CN"/>
        </w:rPr>
      </w:pPr>
    </w:p>
    <w:p w14:paraId="79F242E4">
      <w:pPr>
        <w:pStyle w:val="2"/>
        <w:ind w:left="0" w:leftChars="0"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技术条款偏离表</w:t>
      </w:r>
    </w:p>
    <w:p w14:paraId="7317A1DB">
      <w:pPr>
        <w:rPr>
          <w:rFonts w:hint="eastAsia" w:ascii="仿宋" w:hAnsi="仿宋" w:eastAsia="仿宋" w:cs="仿宋"/>
          <w:lang w:val="en-US" w:eastAsia="zh-CN"/>
        </w:rPr>
      </w:pPr>
    </w:p>
    <w:tbl>
      <w:tblPr>
        <w:tblStyle w:val="17"/>
        <w:tblW w:w="1030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92"/>
        <w:gridCol w:w="885"/>
        <w:gridCol w:w="975"/>
        <w:gridCol w:w="2355"/>
        <w:gridCol w:w="2311"/>
        <w:gridCol w:w="1129"/>
        <w:gridCol w:w="800"/>
      </w:tblGrid>
      <w:tr w14:paraId="4C43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553" w:type="dxa"/>
            <w:noWrap w:val="0"/>
            <w:vAlign w:val="center"/>
          </w:tcPr>
          <w:p w14:paraId="2200907E">
            <w:pPr>
              <w:spacing w:line="440" w:lineRule="exact"/>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1292" w:type="dxa"/>
            <w:noWrap w:val="0"/>
            <w:vAlign w:val="center"/>
          </w:tcPr>
          <w:p w14:paraId="7A8DCE3B">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设备名称</w:t>
            </w:r>
          </w:p>
        </w:tc>
        <w:tc>
          <w:tcPr>
            <w:tcW w:w="885" w:type="dxa"/>
            <w:noWrap w:val="0"/>
            <w:vAlign w:val="center"/>
          </w:tcPr>
          <w:p w14:paraId="570E559B">
            <w:pPr>
              <w:spacing w:line="440" w:lineRule="exact"/>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975" w:type="dxa"/>
            <w:noWrap w:val="0"/>
            <w:vAlign w:val="center"/>
          </w:tcPr>
          <w:p w14:paraId="11116FA8">
            <w:pPr>
              <w:spacing w:line="440" w:lineRule="exact"/>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型号</w:t>
            </w:r>
          </w:p>
        </w:tc>
        <w:tc>
          <w:tcPr>
            <w:tcW w:w="2355" w:type="dxa"/>
            <w:noWrap w:val="0"/>
            <w:vAlign w:val="center"/>
          </w:tcPr>
          <w:p w14:paraId="1D1D0131">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参数</w:t>
            </w:r>
          </w:p>
        </w:tc>
        <w:tc>
          <w:tcPr>
            <w:tcW w:w="2311" w:type="dxa"/>
            <w:noWrap w:val="0"/>
            <w:vAlign w:val="center"/>
          </w:tcPr>
          <w:p w14:paraId="7978C4CA">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lang w:val="en-US" w:eastAsia="zh-CN"/>
              </w:rPr>
              <w:t>参数</w:t>
            </w:r>
          </w:p>
        </w:tc>
        <w:tc>
          <w:tcPr>
            <w:tcW w:w="1129" w:type="dxa"/>
            <w:noWrap w:val="0"/>
            <w:vAlign w:val="center"/>
          </w:tcPr>
          <w:p w14:paraId="54F42954">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偏离</w:t>
            </w:r>
          </w:p>
        </w:tc>
        <w:tc>
          <w:tcPr>
            <w:tcW w:w="800" w:type="dxa"/>
            <w:noWrap w:val="0"/>
            <w:vAlign w:val="center"/>
          </w:tcPr>
          <w:p w14:paraId="6F5A2FB6">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tc>
      </w:tr>
      <w:tr w14:paraId="2912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03896CB6">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w:t>
            </w:r>
          </w:p>
        </w:tc>
        <w:tc>
          <w:tcPr>
            <w:tcW w:w="1292" w:type="dxa"/>
            <w:noWrap w:val="0"/>
            <w:vAlign w:val="top"/>
          </w:tcPr>
          <w:p w14:paraId="0F7DE08D">
            <w:pPr>
              <w:spacing w:line="440" w:lineRule="exact"/>
              <w:jc w:val="center"/>
              <w:outlineLvl w:val="9"/>
              <w:rPr>
                <w:rFonts w:hint="eastAsia" w:ascii="仿宋" w:hAnsi="仿宋" w:eastAsia="仿宋" w:cs="仿宋"/>
                <w:sz w:val="24"/>
                <w:szCs w:val="24"/>
              </w:rPr>
            </w:pPr>
          </w:p>
        </w:tc>
        <w:tc>
          <w:tcPr>
            <w:tcW w:w="885" w:type="dxa"/>
            <w:noWrap w:val="0"/>
            <w:vAlign w:val="top"/>
          </w:tcPr>
          <w:p w14:paraId="068B4994">
            <w:pPr>
              <w:spacing w:line="440" w:lineRule="exact"/>
              <w:jc w:val="center"/>
              <w:outlineLvl w:val="9"/>
              <w:rPr>
                <w:rFonts w:hint="eastAsia" w:ascii="仿宋" w:hAnsi="仿宋" w:eastAsia="仿宋" w:cs="仿宋"/>
                <w:sz w:val="24"/>
                <w:szCs w:val="24"/>
              </w:rPr>
            </w:pPr>
          </w:p>
        </w:tc>
        <w:tc>
          <w:tcPr>
            <w:tcW w:w="975" w:type="dxa"/>
            <w:noWrap w:val="0"/>
            <w:vAlign w:val="top"/>
          </w:tcPr>
          <w:p w14:paraId="5E2E8B5A">
            <w:pPr>
              <w:spacing w:line="440" w:lineRule="exact"/>
              <w:jc w:val="center"/>
              <w:outlineLvl w:val="9"/>
              <w:rPr>
                <w:rFonts w:hint="eastAsia" w:ascii="仿宋" w:hAnsi="仿宋" w:eastAsia="仿宋" w:cs="仿宋"/>
                <w:sz w:val="24"/>
                <w:szCs w:val="24"/>
              </w:rPr>
            </w:pPr>
          </w:p>
        </w:tc>
        <w:tc>
          <w:tcPr>
            <w:tcW w:w="2355" w:type="dxa"/>
            <w:noWrap w:val="0"/>
            <w:vAlign w:val="top"/>
          </w:tcPr>
          <w:p w14:paraId="50FA97E9">
            <w:pPr>
              <w:spacing w:line="440" w:lineRule="exact"/>
              <w:jc w:val="center"/>
              <w:outlineLvl w:val="9"/>
              <w:rPr>
                <w:rFonts w:hint="eastAsia" w:ascii="仿宋" w:hAnsi="仿宋" w:eastAsia="仿宋" w:cs="仿宋"/>
                <w:sz w:val="24"/>
                <w:szCs w:val="24"/>
              </w:rPr>
            </w:pPr>
          </w:p>
        </w:tc>
        <w:tc>
          <w:tcPr>
            <w:tcW w:w="2311" w:type="dxa"/>
            <w:noWrap w:val="0"/>
            <w:vAlign w:val="top"/>
          </w:tcPr>
          <w:p w14:paraId="63592DD2">
            <w:pPr>
              <w:spacing w:line="440" w:lineRule="exact"/>
              <w:jc w:val="center"/>
              <w:outlineLvl w:val="9"/>
              <w:rPr>
                <w:rFonts w:hint="eastAsia" w:ascii="仿宋" w:hAnsi="仿宋" w:eastAsia="仿宋" w:cs="仿宋"/>
                <w:sz w:val="24"/>
                <w:szCs w:val="24"/>
              </w:rPr>
            </w:pPr>
          </w:p>
        </w:tc>
        <w:tc>
          <w:tcPr>
            <w:tcW w:w="1129" w:type="dxa"/>
            <w:noWrap w:val="0"/>
            <w:vAlign w:val="top"/>
          </w:tcPr>
          <w:p w14:paraId="19B97430">
            <w:pPr>
              <w:spacing w:line="440" w:lineRule="exact"/>
              <w:jc w:val="center"/>
              <w:outlineLvl w:val="9"/>
              <w:rPr>
                <w:rFonts w:hint="eastAsia" w:ascii="仿宋" w:hAnsi="仿宋" w:eastAsia="仿宋" w:cs="仿宋"/>
                <w:sz w:val="24"/>
                <w:szCs w:val="24"/>
              </w:rPr>
            </w:pPr>
          </w:p>
        </w:tc>
        <w:tc>
          <w:tcPr>
            <w:tcW w:w="800" w:type="dxa"/>
            <w:noWrap w:val="0"/>
            <w:vAlign w:val="top"/>
          </w:tcPr>
          <w:p w14:paraId="53244409">
            <w:pPr>
              <w:spacing w:line="440" w:lineRule="exact"/>
              <w:jc w:val="center"/>
              <w:outlineLvl w:val="9"/>
              <w:rPr>
                <w:rFonts w:hint="eastAsia" w:ascii="仿宋" w:hAnsi="仿宋" w:eastAsia="仿宋" w:cs="仿宋"/>
                <w:sz w:val="24"/>
                <w:szCs w:val="24"/>
              </w:rPr>
            </w:pPr>
          </w:p>
        </w:tc>
      </w:tr>
      <w:tr w14:paraId="7DDE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6A2A95E5">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p>
        </w:tc>
        <w:tc>
          <w:tcPr>
            <w:tcW w:w="1292" w:type="dxa"/>
            <w:noWrap w:val="0"/>
            <w:vAlign w:val="top"/>
          </w:tcPr>
          <w:p w14:paraId="62C9CFD2">
            <w:pPr>
              <w:spacing w:line="440" w:lineRule="exact"/>
              <w:jc w:val="center"/>
              <w:outlineLvl w:val="9"/>
              <w:rPr>
                <w:rFonts w:hint="eastAsia" w:ascii="仿宋" w:hAnsi="仿宋" w:eastAsia="仿宋" w:cs="仿宋"/>
                <w:sz w:val="24"/>
                <w:szCs w:val="24"/>
              </w:rPr>
            </w:pPr>
          </w:p>
        </w:tc>
        <w:tc>
          <w:tcPr>
            <w:tcW w:w="885" w:type="dxa"/>
            <w:noWrap w:val="0"/>
            <w:vAlign w:val="top"/>
          </w:tcPr>
          <w:p w14:paraId="33F08A2A">
            <w:pPr>
              <w:spacing w:line="440" w:lineRule="exact"/>
              <w:jc w:val="center"/>
              <w:outlineLvl w:val="9"/>
              <w:rPr>
                <w:rFonts w:hint="eastAsia" w:ascii="仿宋" w:hAnsi="仿宋" w:eastAsia="仿宋" w:cs="仿宋"/>
                <w:sz w:val="24"/>
                <w:szCs w:val="24"/>
              </w:rPr>
            </w:pPr>
          </w:p>
        </w:tc>
        <w:tc>
          <w:tcPr>
            <w:tcW w:w="975" w:type="dxa"/>
            <w:noWrap w:val="0"/>
            <w:vAlign w:val="top"/>
          </w:tcPr>
          <w:p w14:paraId="3D8CC572">
            <w:pPr>
              <w:spacing w:line="440" w:lineRule="exact"/>
              <w:jc w:val="center"/>
              <w:outlineLvl w:val="9"/>
              <w:rPr>
                <w:rFonts w:hint="eastAsia" w:ascii="仿宋" w:hAnsi="仿宋" w:eastAsia="仿宋" w:cs="仿宋"/>
                <w:sz w:val="24"/>
                <w:szCs w:val="24"/>
              </w:rPr>
            </w:pPr>
          </w:p>
        </w:tc>
        <w:tc>
          <w:tcPr>
            <w:tcW w:w="2355" w:type="dxa"/>
            <w:noWrap w:val="0"/>
            <w:vAlign w:val="top"/>
          </w:tcPr>
          <w:p w14:paraId="1955181A">
            <w:pPr>
              <w:spacing w:line="440" w:lineRule="exact"/>
              <w:jc w:val="center"/>
              <w:outlineLvl w:val="9"/>
              <w:rPr>
                <w:rFonts w:hint="eastAsia" w:ascii="仿宋" w:hAnsi="仿宋" w:eastAsia="仿宋" w:cs="仿宋"/>
                <w:sz w:val="24"/>
                <w:szCs w:val="24"/>
              </w:rPr>
            </w:pPr>
          </w:p>
        </w:tc>
        <w:tc>
          <w:tcPr>
            <w:tcW w:w="2311" w:type="dxa"/>
            <w:noWrap w:val="0"/>
            <w:vAlign w:val="top"/>
          </w:tcPr>
          <w:p w14:paraId="46E2DC12">
            <w:pPr>
              <w:spacing w:line="440" w:lineRule="exact"/>
              <w:jc w:val="center"/>
              <w:outlineLvl w:val="9"/>
              <w:rPr>
                <w:rFonts w:hint="eastAsia" w:ascii="仿宋" w:hAnsi="仿宋" w:eastAsia="仿宋" w:cs="仿宋"/>
                <w:sz w:val="24"/>
                <w:szCs w:val="24"/>
              </w:rPr>
            </w:pPr>
          </w:p>
        </w:tc>
        <w:tc>
          <w:tcPr>
            <w:tcW w:w="1129" w:type="dxa"/>
            <w:noWrap w:val="0"/>
            <w:vAlign w:val="top"/>
          </w:tcPr>
          <w:p w14:paraId="3FAC8A34">
            <w:pPr>
              <w:spacing w:line="440" w:lineRule="exact"/>
              <w:jc w:val="center"/>
              <w:outlineLvl w:val="9"/>
              <w:rPr>
                <w:rFonts w:hint="eastAsia" w:ascii="仿宋" w:hAnsi="仿宋" w:eastAsia="仿宋" w:cs="仿宋"/>
                <w:sz w:val="24"/>
                <w:szCs w:val="24"/>
              </w:rPr>
            </w:pPr>
          </w:p>
        </w:tc>
        <w:tc>
          <w:tcPr>
            <w:tcW w:w="800" w:type="dxa"/>
            <w:noWrap w:val="0"/>
            <w:vAlign w:val="top"/>
          </w:tcPr>
          <w:p w14:paraId="045DE949">
            <w:pPr>
              <w:spacing w:line="440" w:lineRule="exact"/>
              <w:jc w:val="center"/>
              <w:outlineLvl w:val="9"/>
              <w:rPr>
                <w:rFonts w:hint="eastAsia" w:ascii="仿宋" w:hAnsi="仿宋" w:eastAsia="仿宋" w:cs="仿宋"/>
                <w:sz w:val="24"/>
                <w:szCs w:val="24"/>
              </w:rPr>
            </w:pPr>
          </w:p>
        </w:tc>
      </w:tr>
      <w:tr w14:paraId="71C7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4E00EA9E">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3</w:t>
            </w:r>
          </w:p>
        </w:tc>
        <w:tc>
          <w:tcPr>
            <w:tcW w:w="1292" w:type="dxa"/>
            <w:noWrap w:val="0"/>
            <w:vAlign w:val="top"/>
          </w:tcPr>
          <w:p w14:paraId="2D054E36">
            <w:pPr>
              <w:spacing w:line="440" w:lineRule="exact"/>
              <w:jc w:val="center"/>
              <w:outlineLvl w:val="9"/>
              <w:rPr>
                <w:rFonts w:hint="eastAsia" w:ascii="仿宋" w:hAnsi="仿宋" w:eastAsia="仿宋" w:cs="仿宋"/>
                <w:sz w:val="24"/>
                <w:szCs w:val="24"/>
              </w:rPr>
            </w:pPr>
          </w:p>
        </w:tc>
        <w:tc>
          <w:tcPr>
            <w:tcW w:w="885" w:type="dxa"/>
            <w:noWrap w:val="0"/>
            <w:vAlign w:val="top"/>
          </w:tcPr>
          <w:p w14:paraId="1DBEF419">
            <w:pPr>
              <w:spacing w:line="440" w:lineRule="exact"/>
              <w:jc w:val="center"/>
              <w:outlineLvl w:val="9"/>
              <w:rPr>
                <w:rFonts w:hint="eastAsia" w:ascii="仿宋" w:hAnsi="仿宋" w:eastAsia="仿宋" w:cs="仿宋"/>
                <w:sz w:val="24"/>
                <w:szCs w:val="24"/>
              </w:rPr>
            </w:pPr>
          </w:p>
        </w:tc>
        <w:tc>
          <w:tcPr>
            <w:tcW w:w="975" w:type="dxa"/>
            <w:noWrap w:val="0"/>
            <w:vAlign w:val="top"/>
          </w:tcPr>
          <w:p w14:paraId="57B5B2FE">
            <w:pPr>
              <w:spacing w:line="440" w:lineRule="exact"/>
              <w:jc w:val="center"/>
              <w:outlineLvl w:val="9"/>
              <w:rPr>
                <w:rFonts w:hint="eastAsia" w:ascii="仿宋" w:hAnsi="仿宋" w:eastAsia="仿宋" w:cs="仿宋"/>
                <w:sz w:val="24"/>
                <w:szCs w:val="24"/>
              </w:rPr>
            </w:pPr>
          </w:p>
        </w:tc>
        <w:tc>
          <w:tcPr>
            <w:tcW w:w="2355" w:type="dxa"/>
            <w:noWrap w:val="0"/>
            <w:vAlign w:val="top"/>
          </w:tcPr>
          <w:p w14:paraId="301E4277">
            <w:pPr>
              <w:spacing w:line="440" w:lineRule="exact"/>
              <w:jc w:val="center"/>
              <w:outlineLvl w:val="9"/>
              <w:rPr>
                <w:rFonts w:hint="eastAsia" w:ascii="仿宋" w:hAnsi="仿宋" w:eastAsia="仿宋" w:cs="仿宋"/>
                <w:sz w:val="24"/>
                <w:szCs w:val="24"/>
              </w:rPr>
            </w:pPr>
          </w:p>
        </w:tc>
        <w:tc>
          <w:tcPr>
            <w:tcW w:w="2311" w:type="dxa"/>
            <w:noWrap w:val="0"/>
            <w:vAlign w:val="top"/>
          </w:tcPr>
          <w:p w14:paraId="44607320">
            <w:pPr>
              <w:spacing w:line="440" w:lineRule="exact"/>
              <w:jc w:val="center"/>
              <w:outlineLvl w:val="9"/>
              <w:rPr>
                <w:rFonts w:hint="eastAsia" w:ascii="仿宋" w:hAnsi="仿宋" w:eastAsia="仿宋" w:cs="仿宋"/>
                <w:sz w:val="24"/>
                <w:szCs w:val="24"/>
              </w:rPr>
            </w:pPr>
          </w:p>
        </w:tc>
        <w:tc>
          <w:tcPr>
            <w:tcW w:w="1129" w:type="dxa"/>
            <w:noWrap w:val="0"/>
            <w:vAlign w:val="top"/>
          </w:tcPr>
          <w:p w14:paraId="417E65AF">
            <w:pPr>
              <w:spacing w:line="440" w:lineRule="exact"/>
              <w:jc w:val="center"/>
              <w:outlineLvl w:val="9"/>
              <w:rPr>
                <w:rFonts w:hint="eastAsia" w:ascii="仿宋" w:hAnsi="仿宋" w:eastAsia="仿宋" w:cs="仿宋"/>
                <w:sz w:val="24"/>
                <w:szCs w:val="24"/>
              </w:rPr>
            </w:pPr>
          </w:p>
        </w:tc>
        <w:tc>
          <w:tcPr>
            <w:tcW w:w="800" w:type="dxa"/>
            <w:noWrap w:val="0"/>
            <w:vAlign w:val="top"/>
          </w:tcPr>
          <w:p w14:paraId="309A3F41">
            <w:pPr>
              <w:spacing w:line="440" w:lineRule="exact"/>
              <w:jc w:val="center"/>
              <w:outlineLvl w:val="9"/>
              <w:rPr>
                <w:rFonts w:hint="eastAsia" w:ascii="仿宋" w:hAnsi="仿宋" w:eastAsia="仿宋" w:cs="仿宋"/>
                <w:sz w:val="24"/>
                <w:szCs w:val="24"/>
              </w:rPr>
            </w:pPr>
          </w:p>
        </w:tc>
      </w:tr>
      <w:tr w14:paraId="58D0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1F17527B">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p>
        </w:tc>
        <w:tc>
          <w:tcPr>
            <w:tcW w:w="1292" w:type="dxa"/>
            <w:noWrap w:val="0"/>
            <w:vAlign w:val="top"/>
          </w:tcPr>
          <w:p w14:paraId="4ECAF0FB">
            <w:pPr>
              <w:spacing w:line="440" w:lineRule="exact"/>
              <w:jc w:val="center"/>
              <w:outlineLvl w:val="9"/>
              <w:rPr>
                <w:rFonts w:hint="eastAsia" w:ascii="仿宋" w:hAnsi="仿宋" w:eastAsia="仿宋" w:cs="仿宋"/>
                <w:sz w:val="24"/>
                <w:szCs w:val="24"/>
              </w:rPr>
            </w:pPr>
          </w:p>
        </w:tc>
        <w:tc>
          <w:tcPr>
            <w:tcW w:w="885" w:type="dxa"/>
            <w:noWrap w:val="0"/>
            <w:vAlign w:val="top"/>
          </w:tcPr>
          <w:p w14:paraId="2972B35B">
            <w:pPr>
              <w:spacing w:line="440" w:lineRule="exact"/>
              <w:jc w:val="center"/>
              <w:outlineLvl w:val="9"/>
              <w:rPr>
                <w:rFonts w:hint="eastAsia" w:ascii="仿宋" w:hAnsi="仿宋" w:eastAsia="仿宋" w:cs="仿宋"/>
                <w:sz w:val="24"/>
                <w:szCs w:val="24"/>
              </w:rPr>
            </w:pPr>
          </w:p>
        </w:tc>
        <w:tc>
          <w:tcPr>
            <w:tcW w:w="975" w:type="dxa"/>
            <w:noWrap w:val="0"/>
            <w:vAlign w:val="top"/>
          </w:tcPr>
          <w:p w14:paraId="57D0B4AF">
            <w:pPr>
              <w:spacing w:line="440" w:lineRule="exact"/>
              <w:jc w:val="center"/>
              <w:outlineLvl w:val="9"/>
              <w:rPr>
                <w:rFonts w:hint="eastAsia" w:ascii="仿宋" w:hAnsi="仿宋" w:eastAsia="仿宋" w:cs="仿宋"/>
                <w:sz w:val="24"/>
                <w:szCs w:val="24"/>
              </w:rPr>
            </w:pPr>
          </w:p>
        </w:tc>
        <w:tc>
          <w:tcPr>
            <w:tcW w:w="2355" w:type="dxa"/>
            <w:noWrap w:val="0"/>
            <w:vAlign w:val="top"/>
          </w:tcPr>
          <w:p w14:paraId="4D9F3F03">
            <w:pPr>
              <w:spacing w:line="440" w:lineRule="exact"/>
              <w:jc w:val="center"/>
              <w:outlineLvl w:val="9"/>
              <w:rPr>
                <w:rFonts w:hint="eastAsia" w:ascii="仿宋" w:hAnsi="仿宋" w:eastAsia="仿宋" w:cs="仿宋"/>
                <w:sz w:val="24"/>
                <w:szCs w:val="24"/>
              </w:rPr>
            </w:pPr>
          </w:p>
        </w:tc>
        <w:tc>
          <w:tcPr>
            <w:tcW w:w="2311" w:type="dxa"/>
            <w:noWrap w:val="0"/>
            <w:vAlign w:val="top"/>
          </w:tcPr>
          <w:p w14:paraId="5A60F7D7">
            <w:pPr>
              <w:spacing w:line="440" w:lineRule="exact"/>
              <w:jc w:val="center"/>
              <w:outlineLvl w:val="9"/>
              <w:rPr>
                <w:rFonts w:hint="eastAsia" w:ascii="仿宋" w:hAnsi="仿宋" w:eastAsia="仿宋" w:cs="仿宋"/>
                <w:sz w:val="24"/>
                <w:szCs w:val="24"/>
              </w:rPr>
            </w:pPr>
          </w:p>
        </w:tc>
        <w:tc>
          <w:tcPr>
            <w:tcW w:w="1129" w:type="dxa"/>
            <w:noWrap w:val="0"/>
            <w:vAlign w:val="top"/>
          </w:tcPr>
          <w:p w14:paraId="3B048651">
            <w:pPr>
              <w:spacing w:line="440" w:lineRule="exact"/>
              <w:jc w:val="center"/>
              <w:outlineLvl w:val="9"/>
              <w:rPr>
                <w:rFonts w:hint="eastAsia" w:ascii="仿宋" w:hAnsi="仿宋" w:eastAsia="仿宋" w:cs="仿宋"/>
                <w:sz w:val="24"/>
                <w:szCs w:val="24"/>
              </w:rPr>
            </w:pPr>
          </w:p>
        </w:tc>
        <w:tc>
          <w:tcPr>
            <w:tcW w:w="800" w:type="dxa"/>
            <w:noWrap w:val="0"/>
            <w:vAlign w:val="top"/>
          </w:tcPr>
          <w:p w14:paraId="122D21FF">
            <w:pPr>
              <w:spacing w:line="440" w:lineRule="exact"/>
              <w:jc w:val="center"/>
              <w:outlineLvl w:val="9"/>
              <w:rPr>
                <w:rFonts w:hint="eastAsia" w:ascii="仿宋" w:hAnsi="仿宋" w:eastAsia="仿宋" w:cs="仿宋"/>
                <w:sz w:val="24"/>
                <w:szCs w:val="24"/>
              </w:rPr>
            </w:pPr>
          </w:p>
        </w:tc>
      </w:tr>
      <w:tr w14:paraId="0C0B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4F2734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5</w:t>
            </w:r>
          </w:p>
        </w:tc>
        <w:tc>
          <w:tcPr>
            <w:tcW w:w="1292" w:type="dxa"/>
            <w:noWrap w:val="0"/>
            <w:vAlign w:val="top"/>
          </w:tcPr>
          <w:p w14:paraId="1473FB80">
            <w:pPr>
              <w:spacing w:line="440" w:lineRule="exact"/>
              <w:jc w:val="center"/>
              <w:outlineLvl w:val="9"/>
              <w:rPr>
                <w:rFonts w:hint="eastAsia" w:ascii="仿宋" w:hAnsi="仿宋" w:eastAsia="仿宋" w:cs="仿宋"/>
                <w:sz w:val="24"/>
                <w:szCs w:val="24"/>
              </w:rPr>
            </w:pPr>
          </w:p>
        </w:tc>
        <w:tc>
          <w:tcPr>
            <w:tcW w:w="885" w:type="dxa"/>
            <w:noWrap w:val="0"/>
            <w:vAlign w:val="top"/>
          </w:tcPr>
          <w:p w14:paraId="6E39FD83">
            <w:pPr>
              <w:spacing w:line="440" w:lineRule="exact"/>
              <w:jc w:val="center"/>
              <w:outlineLvl w:val="9"/>
              <w:rPr>
                <w:rFonts w:hint="eastAsia" w:ascii="仿宋" w:hAnsi="仿宋" w:eastAsia="仿宋" w:cs="仿宋"/>
                <w:sz w:val="24"/>
                <w:szCs w:val="24"/>
              </w:rPr>
            </w:pPr>
          </w:p>
        </w:tc>
        <w:tc>
          <w:tcPr>
            <w:tcW w:w="975" w:type="dxa"/>
            <w:noWrap w:val="0"/>
            <w:vAlign w:val="top"/>
          </w:tcPr>
          <w:p w14:paraId="152BE22B">
            <w:pPr>
              <w:spacing w:line="440" w:lineRule="exact"/>
              <w:jc w:val="center"/>
              <w:outlineLvl w:val="9"/>
              <w:rPr>
                <w:rFonts w:hint="eastAsia" w:ascii="仿宋" w:hAnsi="仿宋" w:eastAsia="仿宋" w:cs="仿宋"/>
                <w:sz w:val="24"/>
                <w:szCs w:val="24"/>
              </w:rPr>
            </w:pPr>
          </w:p>
        </w:tc>
        <w:tc>
          <w:tcPr>
            <w:tcW w:w="2355" w:type="dxa"/>
            <w:noWrap w:val="0"/>
            <w:vAlign w:val="top"/>
          </w:tcPr>
          <w:p w14:paraId="2E61C18C">
            <w:pPr>
              <w:spacing w:line="440" w:lineRule="exact"/>
              <w:jc w:val="center"/>
              <w:outlineLvl w:val="9"/>
              <w:rPr>
                <w:rFonts w:hint="eastAsia" w:ascii="仿宋" w:hAnsi="仿宋" w:eastAsia="仿宋" w:cs="仿宋"/>
                <w:sz w:val="24"/>
                <w:szCs w:val="24"/>
              </w:rPr>
            </w:pPr>
          </w:p>
        </w:tc>
        <w:tc>
          <w:tcPr>
            <w:tcW w:w="2311" w:type="dxa"/>
            <w:noWrap w:val="0"/>
            <w:vAlign w:val="top"/>
          </w:tcPr>
          <w:p w14:paraId="15A34588">
            <w:pPr>
              <w:spacing w:line="440" w:lineRule="exact"/>
              <w:jc w:val="center"/>
              <w:outlineLvl w:val="9"/>
              <w:rPr>
                <w:rFonts w:hint="eastAsia" w:ascii="仿宋" w:hAnsi="仿宋" w:eastAsia="仿宋" w:cs="仿宋"/>
                <w:sz w:val="24"/>
                <w:szCs w:val="24"/>
              </w:rPr>
            </w:pPr>
          </w:p>
        </w:tc>
        <w:tc>
          <w:tcPr>
            <w:tcW w:w="1129" w:type="dxa"/>
            <w:noWrap w:val="0"/>
            <w:vAlign w:val="top"/>
          </w:tcPr>
          <w:p w14:paraId="5990C7D9">
            <w:pPr>
              <w:spacing w:line="440" w:lineRule="exact"/>
              <w:jc w:val="center"/>
              <w:outlineLvl w:val="9"/>
              <w:rPr>
                <w:rFonts w:hint="eastAsia" w:ascii="仿宋" w:hAnsi="仿宋" w:eastAsia="仿宋" w:cs="仿宋"/>
                <w:sz w:val="24"/>
                <w:szCs w:val="24"/>
              </w:rPr>
            </w:pPr>
          </w:p>
        </w:tc>
        <w:tc>
          <w:tcPr>
            <w:tcW w:w="800" w:type="dxa"/>
            <w:noWrap w:val="0"/>
            <w:vAlign w:val="top"/>
          </w:tcPr>
          <w:p w14:paraId="4CB852EE">
            <w:pPr>
              <w:spacing w:line="440" w:lineRule="exact"/>
              <w:jc w:val="center"/>
              <w:outlineLvl w:val="9"/>
              <w:rPr>
                <w:rFonts w:hint="eastAsia" w:ascii="仿宋" w:hAnsi="仿宋" w:eastAsia="仿宋" w:cs="仿宋"/>
                <w:sz w:val="24"/>
                <w:szCs w:val="24"/>
              </w:rPr>
            </w:pPr>
          </w:p>
        </w:tc>
      </w:tr>
      <w:tr w14:paraId="097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7AD2745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6</w:t>
            </w:r>
          </w:p>
        </w:tc>
        <w:tc>
          <w:tcPr>
            <w:tcW w:w="1292" w:type="dxa"/>
            <w:noWrap w:val="0"/>
            <w:vAlign w:val="top"/>
          </w:tcPr>
          <w:p w14:paraId="7C363584">
            <w:pPr>
              <w:spacing w:line="440" w:lineRule="exact"/>
              <w:jc w:val="center"/>
              <w:outlineLvl w:val="9"/>
              <w:rPr>
                <w:rFonts w:hint="eastAsia" w:ascii="仿宋" w:hAnsi="仿宋" w:eastAsia="仿宋" w:cs="仿宋"/>
                <w:sz w:val="24"/>
                <w:szCs w:val="24"/>
              </w:rPr>
            </w:pPr>
          </w:p>
        </w:tc>
        <w:tc>
          <w:tcPr>
            <w:tcW w:w="885" w:type="dxa"/>
            <w:noWrap w:val="0"/>
            <w:vAlign w:val="top"/>
          </w:tcPr>
          <w:p w14:paraId="638FF860">
            <w:pPr>
              <w:spacing w:line="440" w:lineRule="exact"/>
              <w:jc w:val="center"/>
              <w:outlineLvl w:val="9"/>
              <w:rPr>
                <w:rFonts w:hint="eastAsia" w:ascii="仿宋" w:hAnsi="仿宋" w:eastAsia="仿宋" w:cs="仿宋"/>
                <w:sz w:val="24"/>
                <w:szCs w:val="24"/>
              </w:rPr>
            </w:pPr>
          </w:p>
        </w:tc>
        <w:tc>
          <w:tcPr>
            <w:tcW w:w="975" w:type="dxa"/>
            <w:noWrap w:val="0"/>
            <w:vAlign w:val="top"/>
          </w:tcPr>
          <w:p w14:paraId="3E949792">
            <w:pPr>
              <w:spacing w:line="440" w:lineRule="exact"/>
              <w:jc w:val="center"/>
              <w:outlineLvl w:val="9"/>
              <w:rPr>
                <w:rFonts w:hint="eastAsia" w:ascii="仿宋" w:hAnsi="仿宋" w:eastAsia="仿宋" w:cs="仿宋"/>
                <w:sz w:val="24"/>
                <w:szCs w:val="24"/>
              </w:rPr>
            </w:pPr>
          </w:p>
        </w:tc>
        <w:tc>
          <w:tcPr>
            <w:tcW w:w="2355" w:type="dxa"/>
            <w:noWrap w:val="0"/>
            <w:vAlign w:val="top"/>
          </w:tcPr>
          <w:p w14:paraId="3EE78695">
            <w:pPr>
              <w:spacing w:line="440" w:lineRule="exact"/>
              <w:jc w:val="center"/>
              <w:outlineLvl w:val="9"/>
              <w:rPr>
                <w:rFonts w:hint="eastAsia" w:ascii="仿宋" w:hAnsi="仿宋" w:eastAsia="仿宋" w:cs="仿宋"/>
                <w:sz w:val="24"/>
                <w:szCs w:val="24"/>
              </w:rPr>
            </w:pPr>
          </w:p>
        </w:tc>
        <w:tc>
          <w:tcPr>
            <w:tcW w:w="2311" w:type="dxa"/>
            <w:noWrap w:val="0"/>
            <w:vAlign w:val="top"/>
          </w:tcPr>
          <w:p w14:paraId="58A0C44F">
            <w:pPr>
              <w:spacing w:line="440" w:lineRule="exact"/>
              <w:jc w:val="center"/>
              <w:outlineLvl w:val="9"/>
              <w:rPr>
                <w:rFonts w:hint="eastAsia" w:ascii="仿宋" w:hAnsi="仿宋" w:eastAsia="仿宋" w:cs="仿宋"/>
                <w:sz w:val="24"/>
                <w:szCs w:val="24"/>
              </w:rPr>
            </w:pPr>
          </w:p>
        </w:tc>
        <w:tc>
          <w:tcPr>
            <w:tcW w:w="1129" w:type="dxa"/>
            <w:noWrap w:val="0"/>
            <w:vAlign w:val="top"/>
          </w:tcPr>
          <w:p w14:paraId="65645070">
            <w:pPr>
              <w:spacing w:line="440" w:lineRule="exact"/>
              <w:jc w:val="center"/>
              <w:outlineLvl w:val="9"/>
              <w:rPr>
                <w:rFonts w:hint="eastAsia" w:ascii="仿宋" w:hAnsi="仿宋" w:eastAsia="仿宋" w:cs="仿宋"/>
                <w:sz w:val="24"/>
                <w:szCs w:val="24"/>
              </w:rPr>
            </w:pPr>
          </w:p>
        </w:tc>
        <w:tc>
          <w:tcPr>
            <w:tcW w:w="800" w:type="dxa"/>
            <w:noWrap w:val="0"/>
            <w:vAlign w:val="top"/>
          </w:tcPr>
          <w:p w14:paraId="40A8E319">
            <w:pPr>
              <w:spacing w:line="440" w:lineRule="exact"/>
              <w:jc w:val="center"/>
              <w:outlineLvl w:val="9"/>
              <w:rPr>
                <w:rFonts w:hint="eastAsia" w:ascii="仿宋" w:hAnsi="仿宋" w:eastAsia="仿宋" w:cs="仿宋"/>
                <w:sz w:val="24"/>
                <w:szCs w:val="24"/>
              </w:rPr>
            </w:pPr>
          </w:p>
        </w:tc>
      </w:tr>
      <w:tr w14:paraId="684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6A035C31">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7</w:t>
            </w:r>
          </w:p>
        </w:tc>
        <w:tc>
          <w:tcPr>
            <w:tcW w:w="1292" w:type="dxa"/>
            <w:noWrap w:val="0"/>
            <w:vAlign w:val="top"/>
          </w:tcPr>
          <w:p w14:paraId="0778859F">
            <w:pPr>
              <w:spacing w:line="440" w:lineRule="exact"/>
              <w:jc w:val="center"/>
              <w:outlineLvl w:val="9"/>
              <w:rPr>
                <w:rFonts w:hint="eastAsia" w:ascii="仿宋" w:hAnsi="仿宋" w:eastAsia="仿宋" w:cs="仿宋"/>
                <w:sz w:val="24"/>
                <w:szCs w:val="24"/>
              </w:rPr>
            </w:pPr>
          </w:p>
        </w:tc>
        <w:tc>
          <w:tcPr>
            <w:tcW w:w="885" w:type="dxa"/>
            <w:noWrap w:val="0"/>
            <w:vAlign w:val="top"/>
          </w:tcPr>
          <w:p w14:paraId="327BFA0C">
            <w:pPr>
              <w:spacing w:line="440" w:lineRule="exact"/>
              <w:jc w:val="center"/>
              <w:outlineLvl w:val="9"/>
              <w:rPr>
                <w:rFonts w:hint="eastAsia" w:ascii="仿宋" w:hAnsi="仿宋" w:eastAsia="仿宋" w:cs="仿宋"/>
                <w:sz w:val="24"/>
                <w:szCs w:val="24"/>
              </w:rPr>
            </w:pPr>
          </w:p>
        </w:tc>
        <w:tc>
          <w:tcPr>
            <w:tcW w:w="975" w:type="dxa"/>
            <w:noWrap w:val="0"/>
            <w:vAlign w:val="top"/>
          </w:tcPr>
          <w:p w14:paraId="18E90811">
            <w:pPr>
              <w:spacing w:line="440" w:lineRule="exact"/>
              <w:jc w:val="center"/>
              <w:outlineLvl w:val="9"/>
              <w:rPr>
                <w:rFonts w:hint="eastAsia" w:ascii="仿宋" w:hAnsi="仿宋" w:eastAsia="仿宋" w:cs="仿宋"/>
                <w:sz w:val="24"/>
                <w:szCs w:val="24"/>
              </w:rPr>
            </w:pPr>
          </w:p>
        </w:tc>
        <w:tc>
          <w:tcPr>
            <w:tcW w:w="2355" w:type="dxa"/>
            <w:noWrap w:val="0"/>
            <w:vAlign w:val="top"/>
          </w:tcPr>
          <w:p w14:paraId="547EDA98">
            <w:pPr>
              <w:spacing w:line="440" w:lineRule="exact"/>
              <w:jc w:val="center"/>
              <w:outlineLvl w:val="9"/>
              <w:rPr>
                <w:rFonts w:hint="eastAsia" w:ascii="仿宋" w:hAnsi="仿宋" w:eastAsia="仿宋" w:cs="仿宋"/>
                <w:sz w:val="24"/>
                <w:szCs w:val="24"/>
              </w:rPr>
            </w:pPr>
          </w:p>
        </w:tc>
        <w:tc>
          <w:tcPr>
            <w:tcW w:w="2311" w:type="dxa"/>
            <w:noWrap w:val="0"/>
            <w:vAlign w:val="top"/>
          </w:tcPr>
          <w:p w14:paraId="010B10D1">
            <w:pPr>
              <w:spacing w:line="440" w:lineRule="exact"/>
              <w:jc w:val="center"/>
              <w:outlineLvl w:val="9"/>
              <w:rPr>
                <w:rFonts w:hint="eastAsia" w:ascii="仿宋" w:hAnsi="仿宋" w:eastAsia="仿宋" w:cs="仿宋"/>
                <w:sz w:val="24"/>
                <w:szCs w:val="24"/>
              </w:rPr>
            </w:pPr>
          </w:p>
        </w:tc>
        <w:tc>
          <w:tcPr>
            <w:tcW w:w="1129" w:type="dxa"/>
            <w:noWrap w:val="0"/>
            <w:vAlign w:val="top"/>
          </w:tcPr>
          <w:p w14:paraId="3DA723F8">
            <w:pPr>
              <w:spacing w:line="440" w:lineRule="exact"/>
              <w:jc w:val="center"/>
              <w:outlineLvl w:val="9"/>
              <w:rPr>
                <w:rFonts w:hint="eastAsia" w:ascii="仿宋" w:hAnsi="仿宋" w:eastAsia="仿宋" w:cs="仿宋"/>
                <w:sz w:val="24"/>
                <w:szCs w:val="24"/>
              </w:rPr>
            </w:pPr>
          </w:p>
        </w:tc>
        <w:tc>
          <w:tcPr>
            <w:tcW w:w="800" w:type="dxa"/>
            <w:noWrap w:val="0"/>
            <w:vAlign w:val="top"/>
          </w:tcPr>
          <w:p w14:paraId="30D623AC">
            <w:pPr>
              <w:spacing w:line="440" w:lineRule="exact"/>
              <w:jc w:val="center"/>
              <w:outlineLvl w:val="9"/>
              <w:rPr>
                <w:rFonts w:hint="eastAsia" w:ascii="仿宋" w:hAnsi="仿宋" w:eastAsia="仿宋" w:cs="仿宋"/>
                <w:sz w:val="24"/>
                <w:szCs w:val="24"/>
              </w:rPr>
            </w:pPr>
          </w:p>
        </w:tc>
      </w:tr>
      <w:tr w14:paraId="542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7156F1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w:t>
            </w:r>
          </w:p>
        </w:tc>
        <w:tc>
          <w:tcPr>
            <w:tcW w:w="1292" w:type="dxa"/>
            <w:noWrap w:val="0"/>
            <w:vAlign w:val="top"/>
          </w:tcPr>
          <w:p w14:paraId="62FECC5B">
            <w:pPr>
              <w:spacing w:line="440" w:lineRule="exact"/>
              <w:jc w:val="center"/>
              <w:outlineLvl w:val="9"/>
              <w:rPr>
                <w:rFonts w:hint="eastAsia" w:ascii="仿宋" w:hAnsi="仿宋" w:eastAsia="仿宋" w:cs="仿宋"/>
                <w:sz w:val="24"/>
                <w:szCs w:val="24"/>
              </w:rPr>
            </w:pPr>
          </w:p>
        </w:tc>
        <w:tc>
          <w:tcPr>
            <w:tcW w:w="885" w:type="dxa"/>
            <w:noWrap w:val="0"/>
            <w:vAlign w:val="top"/>
          </w:tcPr>
          <w:p w14:paraId="76D68B52">
            <w:pPr>
              <w:spacing w:line="440" w:lineRule="exact"/>
              <w:jc w:val="center"/>
              <w:outlineLvl w:val="9"/>
              <w:rPr>
                <w:rFonts w:hint="eastAsia" w:ascii="仿宋" w:hAnsi="仿宋" w:eastAsia="仿宋" w:cs="仿宋"/>
                <w:sz w:val="24"/>
                <w:szCs w:val="24"/>
              </w:rPr>
            </w:pPr>
          </w:p>
        </w:tc>
        <w:tc>
          <w:tcPr>
            <w:tcW w:w="975" w:type="dxa"/>
            <w:noWrap w:val="0"/>
            <w:vAlign w:val="top"/>
          </w:tcPr>
          <w:p w14:paraId="043B14F2">
            <w:pPr>
              <w:spacing w:line="440" w:lineRule="exact"/>
              <w:jc w:val="center"/>
              <w:outlineLvl w:val="9"/>
              <w:rPr>
                <w:rFonts w:hint="eastAsia" w:ascii="仿宋" w:hAnsi="仿宋" w:eastAsia="仿宋" w:cs="仿宋"/>
                <w:sz w:val="24"/>
                <w:szCs w:val="24"/>
              </w:rPr>
            </w:pPr>
          </w:p>
        </w:tc>
        <w:tc>
          <w:tcPr>
            <w:tcW w:w="2355" w:type="dxa"/>
            <w:noWrap w:val="0"/>
            <w:vAlign w:val="top"/>
          </w:tcPr>
          <w:p w14:paraId="5EC9C22C">
            <w:pPr>
              <w:spacing w:line="440" w:lineRule="exact"/>
              <w:jc w:val="center"/>
              <w:outlineLvl w:val="9"/>
              <w:rPr>
                <w:rFonts w:hint="eastAsia" w:ascii="仿宋" w:hAnsi="仿宋" w:eastAsia="仿宋" w:cs="仿宋"/>
                <w:sz w:val="24"/>
                <w:szCs w:val="24"/>
              </w:rPr>
            </w:pPr>
          </w:p>
        </w:tc>
        <w:tc>
          <w:tcPr>
            <w:tcW w:w="2311" w:type="dxa"/>
            <w:noWrap w:val="0"/>
            <w:vAlign w:val="top"/>
          </w:tcPr>
          <w:p w14:paraId="0414D550">
            <w:pPr>
              <w:spacing w:line="440" w:lineRule="exact"/>
              <w:jc w:val="center"/>
              <w:outlineLvl w:val="9"/>
              <w:rPr>
                <w:rFonts w:hint="eastAsia" w:ascii="仿宋" w:hAnsi="仿宋" w:eastAsia="仿宋" w:cs="仿宋"/>
                <w:sz w:val="24"/>
                <w:szCs w:val="24"/>
              </w:rPr>
            </w:pPr>
          </w:p>
        </w:tc>
        <w:tc>
          <w:tcPr>
            <w:tcW w:w="1129" w:type="dxa"/>
            <w:noWrap w:val="0"/>
            <w:vAlign w:val="top"/>
          </w:tcPr>
          <w:p w14:paraId="323712AE">
            <w:pPr>
              <w:spacing w:line="440" w:lineRule="exact"/>
              <w:jc w:val="center"/>
              <w:outlineLvl w:val="9"/>
              <w:rPr>
                <w:rFonts w:hint="eastAsia" w:ascii="仿宋" w:hAnsi="仿宋" w:eastAsia="仿宋" w:cs="仿宋"/>
                <w:sz w:val="24"/>
                <w:szCs w:val="24"/>
              </w:rPr>
            </w:pPr>
          </w:p>
        </w:tc>
        <w:tc>
          <w:tcPr>
            <w:tcW w:w="800" w:type="dxa"/>
            <w:noWrap w:val="0"/>
            <w:vAlign w:val="top"/>
          </w:tcPr>
          <w:p w14:paraId="5F41AF55">
            <w:pPr>
              <w:spacing w:line="440" w:lineRule="exact"/>
              <w:jc w:val="center"/>
              <w:outlineLvl w:val="9"/>
              <w:rPr>
                <w:rFonts w:hint="eastAsia" w:ascii="仿宋" w:hAnsi="仿宋" w:eastAsia="仿宋" w:cs="仿宋"/>
                <w:sz w:val="24"/>
                <w:szCs w:val="24"/>
              </w:rPr>
            </w:pPr>
          </w:p>
        </w:tc>
      </w:tr>
      <w:tr w14:paraId="441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26A832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9</w:t>
            </w:r>
          </w:p>
        </w:tc>
        <w:tc>
          <w:tcPr>
            <w:tcW w:w="1292" w:type="dxa"/>
            <w:noWrap w:val="0"/>
            <w:vAlign w:val="top"/>
          </w:tcPr>
          <w:p w14:paraId="5C69473A">
            <w:pPr>
              <w:spacing w:line="440" w:lineRule="exact"/>
              <w:jc w:val="center"/>
              <w:outlineLvl w:val="9"/>
              <w:rPr>
                <w:rFonts w:hint="eastAsia" w:ascii="仿宋" w:hAnsi="仿宋" w:eastAsia="仿宋" w:cs="仿宋"/>
                <w:sz w:val="24"/>
                <w:szCs w:val="24"/>
              </w:rPr>
            </w:pPr>
          </w:p>
        </w:tc>
        <w:tc>
          <w:tcPr>
            <w:tcW w:w="885" w:type="dxa"/>
            <w:noWrap w:val="0"/>
            <w:vAlign w:val="top"/>
          </w:tcPr>
          <w:p w14:paraId="1C2B18FA">
            <w:pPr>
              <w:spacing w:line="440" w:lineRule="exact"/>
              <w:jc w:val="center"/>
              <w:outlineLvl w:val="9"/>
              <w:rPr>
                <w:rFonts w:hint="eastAsia" w:ascii="仿宋" w:hAnsi="仿宋" w:eastAsia="仿宋" w:cs="仿宋"/>
                <w:sz w:val="24"/>
                <w:szCs w:val="24"/>
              </w:rPr>
            </w:pPr>
          </w:p>
        </w:tc>
        <w:tc>
          <w:tcPr>
            <w:tcW w:w="975" w:type="dxa"/>
            <w:noWrap w:val="0"/>
            <w:vAlign w:val="top"/>
          </w:tcPr>
          <w:p w14:paraId="14295908">
            <w:pPr>
              <w:spacing w:line="440" w:lineRule="exact"/>
              <w:jc w:val="center"/>
              <w:outlineLvl w:val="9"/>
              <w:rPr>
                <w:rFonts w:hint="eastAsia" w:ascii="仿宋" w:hAnsi="仿宋" w:eastAsia="仿宋" w:cs="仿宋"/>
                <w:sz w:val="24"/>
                <w:szCs w:val="24"/>
              </w:rPr>
            </w:pPr>
          </w:p>
        </w:tc>
        <w:tc>
          <w:tcPr>
            <w:tcW w:w="2355" w:type="dxa"/>
            <w:noWrap w:val="0"/>
            <w:vAlign w:val="top"/>
          </w:tcPr>
          <w:p w14:paraId="18D88546">
            <w:pPr>
              <w:spacing w:line="440" w:lineRule="exact"/>
              <w:jc w:val="center"/>
              <w:outlineLvl w:val="9"/>
              <w:rPr>
                <w:rFonts w:hint="eastAsia" w:ascii="仿宋" w:hAnsi="仿宋" w:eastAsia="仿宋" w:cs="仿宋"/>
                <w:sz w:val="24"/>
                <w:szCs w:val="24"/>
              </w:rPr>
            </w:pPr>
          </w:p>
        </w:tc>
        <w:tc>
          <w:tcPr>
            <w:tcW w:w="2311" w:type="dxa"/>
            <w:noWrap w:val="0"/>
            <w:vAlign w:val="top"/>
          </w:tcPr>
          <w:p w14:paraId="54ECC403">
            <w:pPr>
              <w:spacing w:line="440" w:lineRule="exact"/>
              <w:jc w:val="center"/>
              <w:outlineLvl w:val="9"/>
              <w:rPr>
                <w:rFonts w:hint="eastAsia" w:ascii="仿宋" w:hAnsi="仿宋" w:eastAsia="仿宋" w:cs="仿宋"/>
                <w:sz w:val="24"/>
                <w:szCs w:val="24"/>
              </w:rPr>
            </w:pPr>
          </w:p>
        </w:tc>
        <w:tc>
          <w:tcPr>
            <w:tcW w:w="1129" w:type="dxa"/>
            <w:noWrap w:val="0"/>
            <w:vAlign w:val="top"/>
          </w:tcPr>
          <w:p w14:paraId="04F22F11">
            <w:pPr>
              <w:spacing w:line="440" w:lineRule="exact"/>
              <w:jc w:val="center"/>
              <w:outlineLvl w:val="9"/>
              <w:rPr>
                <w:rFonts w:hint="eastAsia" w:ascii="仿宋" w:hAnsi="仿宋" w:eastAsia="仿宋" w:cs="仿宋"/>
                <w:sz w:val="24"/>
                <w:szCs w:val="24"/>
              </w:rPr>
            </w:pPr>
          </w:p>
        </w:tc>
        <w:tc>
          <w:tcPr>
            <w:tcW w:w="800" w:type="dxa"/>
            <w:noWrap w:val="0"/>
            <w:vAlign w:val="top"/>
          </w:tcPr>
          <w:p w14:paraId="4F956322">
            <w:pPr>
              <w:spacing w:line="440" w:lineRule="exact"/>
              <w:jc w:val="center"/>
              <w:outlineLvl w:val="9"/>
              <w:rPr>
                <w:rFonts w:hint="eastAsia" w:ascii="仿宋" w:hAnsi="仿宋" w:eastAsia="仿宋" w:cs="仿宋"/>
                <w:sz w:val="24"/>
                <w:szCs w:val="24"/>
              </w:rPr>
            </w:pPr>
          </w:p>
        </w:tc>
      </w:tr>
      <w:tr w14:paraId="78CB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FC9886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10</w:t>
            </w:r>
          </w:p>
        </w:tc>
        <w:tc>
          <w:tcPr>
            <w:tcW w:w="1292" w:type="dxa"/>
            <w:noWrap w:val="0"/>
            <w:vAlign w:val="top"/>
          </w:tcPr>
          <w:p w14:paraId="2D227C88">
            <w:pPr>
              <w:spacing w:line="440" w:lineRule="exact"/>
              <w:jc w:val="center"/>
              <w:outlineLvl w:val="9"/>
              <w:rPr>
                <w:rFonts w:hint="eastAsia" w:ascii="仿宋" w:hAnsi="仿宋" w:eastAsia="仿宋" w:cs="仿宋"/>
                <w:sz w:val="24"/>
                <w:szCs w:val="24"/>
              </w:rPr>
            </w:pPr>
          </w:p>
        </w:tc>
        <w:tc>
          <w:tcPr>
            <w:tcW w:w="885" w:type="dxa"/>
            <w:noWrap w:val="0"/>
            <w:vAlign w:val="top"/>
          </w:tcPr>
          <w:p w14:paraId="7012FF09">
            <w:pPr>
              <w:spacing w:line="440" w:lineRule="exact"/>
              <w:jc w:val="center"/>
              <w:outlineLvl w:val="9"/>
              <w:rPr>
                <w:rFonts w:hint="eastAsia" w:ascii="仿宋" w:hAnsi="仿宋" w:eastAsia="仿宋" w:cs="仿宋"/>
                <w:sz w:val="24"/>
                <w:szCs w:val="24"/>
              </w:rPr>
            </w:pPr>
          </w:p>
        </w:tc>
        <w:tc>
          <w:tcPr>
            <w:tcW w:w="975" w:type="dxa"/>
            <w:noWrap w:val="0"/>
            <w:vAlign w:val="top"/>
          </w:tcPr>
          <w:p w14:paraId="334C567E">
            <w:pPr>
              <w:spacing w:line="440" w:lineRule="exact"/>
              <w:jc w:val="center"/>
              <w:outlineLvl w:val="9"/>
              <w:rPr>
                <w:rFonts w:hint="eastAsia" w:ascii="仿宋" w:hAnsi="仿宋" w:eastAsia="仿宋" w:cs="仿宋"/>
                <w:sz w:val="24"/>
                <w:szCs w:val="24"/>
              </w:rPr>
            </w:pPr>
          </w:p>
        </w:tc>
        <w:tc>
          <w:tcPr>
            <w:tcW w:w="2355" w:type="dxa"/>
            <w:noWrap w:val="0"/>
            <w:vAlign w:val="top"/>
          </w:tcPr>
          <w:p w14:paraId="22B8A48F">
            <w:pPr>
              <w:spacing w:line="440" w:lineRule="exact"/>
              <w:jc w:val="center"/>
              <w:outlineLvl w:val="9"/>
              <w:rPr>
                <w:rFonts w:hint="eastAsia" w:ascii="仿宋" w:hAnsi="仿宋" w:eastAsia="仿宋" w:cs="仿宋"/>
                <w:sz w:val="24"/>
                <w:szCs w:val="24"/>
              </w:rPr>
            </w:pPr>
          </w:p>
        </w:tc>
        <w:tc>
          <w:tcPr>
            <w:tcW w:w="2311" w:type="dxa"/>
            <w:noWrap w:val="0"/>
            <w:vAlign w:val="top"/>
          </w:tcPr>
          <w:p w14:paraId="12E806D8">
            <w:pPr>
              <w:spacing w:line="440" w:lineRule="exact"/>
              <w:jc w:val="center"/>
              <w:outlineLvl w:val="9"/>
              <w:rPr>
                <w:rFonts w:hint="eastAsia" w:ascii="仿宋" w:hAnsi="仿宋" w:eastAsia="仿宋" w:cs="仿宋"/>
                <w:sz w:val="24"/>
                <w:szCs w:val="24"/>
              </w:rPr>
            </w:pPr>
          </w:p>
        </w:tc>
        <w:tc>
          <w:tcPr>
            <w:tcW w:w="1129" w:type="dxa"/>
            <w:noWrap w:val="0"/>
            <w:vAlign w:val="top"/>
          </w:tcPr>
          <w:p w14:paraId="63811C58">
            <w:pPr>
              <w:spacing w:line="440" w:lineRule="exact"/>
              <w:jc w:val="center"/>
              <w:outlineLvl w:val="9"/>
              <w:rPr>
                <w:rFonts w:hint="eastAsia" w:ascii="仿宋" w:hAnsi="仿宋" w:eastAsia="仿宋" w:cs="仿宋"/>
                <w:sz w:val="24"/>
                <w:szCs w:val="24"/>
              </w:rPr>
            </w:pPr>
          </w:p>
        </w:tc>
        <w:tc>
          <w:tcPr>
            <w:tcW w:w="800" w:type="dxa"/>
            <w:noWrap w:val="0"/>
            <w:vAlign w:val="top"/>
          </w:tcPr>
          <w:p w14:paraId="7BE19365">
            <w:pPr>
              <w:spacing w:line="440" w:lineRule="exact"/>
              <w:jc w:val="center"/>
              <w:outlineLvl w:val="9"/>
              <w:rPr>
                <w:rFonts w:hint="eastAsia" w:ascii="仿宋" w:hAnsi="仿宋" w:eastAsia="仿宋" w:cs="仿宋"/>
                <w:sz w:val="24"/>
                <w:szCs w:val="24"/>
              </w:rPr>
            </w:pPr>
          </w:p>
        </w:tc>
      </w:tr>
      <w:tr w14:paraId="3D1D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56CAC1A">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11</w:t>
            </w:r>
          </w:p>
        </w:tc>
        <w:tc>
          <w:tcPr>
            <w:tcW w:w="1292" w:type="dxa"/>
            <w:noWrap w:val="0"/>
            <w:vAlign w:val="top"/>
          </w:tcPr>
          <w:p w14:paraId="1207BEFA">
            <w:pPr>
              <w:spacing w:line="440" w:lineRule="exact"/>
              <w:jc w:val="center"/>
              <w:outlineLvl w:val="9"/>
              <w:rPr>
                <w:rFonts w:hint="eastAsia" w:ascii="仿宋" w:hAnsi="仿宋" w:eastAsia="仿宋" w:cs="仿宋"/>
                <w:sz w:val="24"/>
                <w:szCs w:val="24"/>
              </w:rPr>
            </w:pPr>
          </w:p>
        </w:tc>
        <w:tc>
          <w:tcPr>
            <w:tcW w:w="885" w:type="dxa"/>
            <w:noWrap w:val="0"/>
            <w:vAlign w:val="top"/>
          </w:tcPr>
          <w:p w14:paraId="2083645A">
            <w:pPr>
              <w:spacing w:line="440" w:lineRule="exact"/>
              <w:jc w:val="center"/>
              <w:outlineLvl w:val="9"/>
              <w:rPr>
                <w:rFonts w:hint="eastAsia" w:ascii="仿宋" w:hAnsi="仿宋" w:eastAsia="仿宋" w:cs="仿宋"/>
                <w:sz w:val="24"/>
                <w:szCs w:val="24"/>
              </w:rPr>
            </w:pPr>
          </w:p>
        </w:tc>
        <w:tc>
          <w:tcPr>
            <w:tcW w:w="975" w:type="dxa"/>
            <w:noWrap w:val="0"/>
            <w:vAlign w:val="top"/>
          </w:tcPr>
          <w:p w14:paraId="46E35576">
            <w:pPr>
              <w:spacing w:line="440" w:lineRule="exact"/>
              <w:jc w:val="center"/>
              <w:outlineLvl w:val="9"/>
              <w:rPr>
                <w:rFonts w:hint="eastAsia" w:ascii="仿宋" w:hAnsi="仿宋" w:eastAsia="仿宋" w:cs="仿宋"/>
                <w:sz w:val="24"/>
                <w:szCs w:val="24"/>
              </w:rPr>
            </w:pPr>
          </w:p>
        </w:tc>
        <w:tc>
          <w:tcPr>
            <w:tcW w:w="2355" w:type="dxa"/>
            <w:noWrap w:val="0"/>
            <w:vAlign w:val="top"/>
          </w:tcPr>
          <w:p w14:paraId="47FB285E">
            <w:pPr>
              <w:spacing w:line="440" w:lineRule="exact"/>
              <w:jc w:val="center"/>
              <w:outlineLvl w:val="9"/>
              <w:rPr>
                <w:rFonts w:hint="eastAsia" w:ascii="仿宋" w:hAnsi="仿宋" w:eastAsia="仿宋" w:cs="仿宋"/>
                <w:sz w:val="24"/>
                <w:szCs w:val="24"/>
              </w:rPr>
            </w:pPr>
          </w:p>
        </w:tc>
        <w:tc>
          <w:tcPr>
            <w:tcW w:w="2311" w:type="dxa"/>
            <w:noWrap w:val="0"/>
            <w:vAlign w:val="top"/>
          </w:tcPr>
          <w:p w14:paraId="24090F9B">
            <w:pPr>
              <w:spacing w:line="440" w:lineRule="exact"/>
              <w:jc w:val="center"/>
              <w:outlineLvl w:val="9"/>
              <w:rPr>
                <w:rFonts w:hint="eastAsia" w:ascii="仿宋" w:hAnsi="仿宋" w:eastAsia="仿宋" w:cs="仿宋"/>
                <w:sz w:val="24"/>
                <w:szCs w:val="24"/>
              </w:rPr>
            </w:pPr>
          </w:p>
        </w:tc>
        <w:tc>
          <w:tcPr>
            <w:tcW w:w="1129" w:type="dxa"/>
            <w:noWrap w:val="0"/>
            <w:vAlign w:val="top"/>
          </w:tcPr>
          <w:p w14:paraId="64D3E384">
            <w:pPr>
              <w:spacing w:line="440" w:lineRule="exact"/>
              <w:jc w:val="center"/>
              <w:outlineLvl w:val="9"/>
              <w:rPr>
                <w:rFonts w:hint="eastAsia" w:ascii="仿宋" w:hAnsi="仿宋" w:eastAsia="仿宋" w:cs="仿宋"/>
                <w:sz w:val="24"/>
                <w:szCs w:val="24"/>
              </w:rPr>
            </w:pPr>
          </w:p>
        </w:tc>
        <w:tc>
          <w:tcPr>
            <w:tcW w:w="800" w:type="dxa"/>
            <w:noWrap w:val="0"/>
            <w:vAlign w:val="top"/>
          </w:tcPr>
          <w:p w14:paraId="67F80744">
            <w:pPr>
              <w:spacing w:line="440" w:lineRule="exact"/>
              <w:jc w:val="center"/>
              <w:outlineLvl w:val="9"/>
              <w:rPr>
                <w:rFonts w:hint="eastAsia" w:ascii="仿宋" w:hAnsi="仿宋" w:eastAsia="仿宋" w:cs="仿宋"/>
                <w:sz w:val="24"/>
                <w:szCs w:val="24"/>
              </w:rPr>
            </w:pPr>
          </w:p>
        </w:tc>
      </w:tr>
      <w:tr w14:paraId="70E8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666CB87">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12</w:t>
            </w:r>
          </w:p>
        </w:tc>
        <w:tc>
          <w:tcPr>
            <w:tcW w:w="1292" w:type="dxa"/>
            <w:noWrap w:val="0"/>
            <w:vAlign w:val="top"/>
          </w:tcPr>
          <w:p w14:paraId="1D34B40A">
            <w:pPr>
              <w:spacing w:line="440" w:lineRule="exact"/>
              <w:jc w:val="center"/>
              <w:outlineLvl w:val="9"/>
              <w:rPr>
                <w:rFonts w:hint="eastAsia" w:ascii="仿宋" w:hAnsi="仿宋" w:eastAsia="仿宋" w:cs="仿宋"/>
                <w:sz w:val="24"/>
                <w:szCs w:val="24"/>
              </w:rPr>
            </w:pPr>
          </w:p>
        </w:tc>
        <w:tc>
          <w:tcPr>
            <w:tcW w:w="885" w:type="dxa"/>
            <w:noWrap w:val="0"/>
            <w:vAlign w:val="top"/>
          </w:tcPr>
          <w:p w14:paraId="48585291">
            <w:pPr>
              <w:spacing w:line="440" w:lineRule="exact"/>
              <w:jc w:val="center"/>
              <w:outlineLvl w:val="9"/>
              <w:rPr>
                <w:rFonts w:hint="eastAsia" w:ascii="仿宋" w:hAnsi="仿宋" w:eastAsia="仿宋" w:cs="仿宋"/>
                <w:sz w:val="24"/>
                <w:szCs w:val="24"/>
              </w:rPr>
            </w:pPr>
          </w:p>
        </w:tc>
        <w:tc>
          <w:tcPr>
            <w:tcW w:w="975" w:type="dxa"/>
            <w:noWrap w:val="0"/>
            <w:vAlign w:val="top"/>
          </w:tcPr>
          <w:p w14:paraId="2351F375">
            <w:pPr>
              <w:spacing w:line="440" w:lineRule="exact"/>
              <w:jc w:val="center"/>
              <w:outlineLvl w:val="9"/>
              <w:rPr>
                <w:rFonts w:hint="eastAsia" w:ascii="仿宋" w:hAnsi="仿宋" w:eastAsia="仿宋" w:cs="仿宋"/>
                <w:sz w:val="24"/>
                <w:szCs w:val="24"/>
              </w:rPr>
            </w:pPr>
          </w:p>
        </w:tc>
        <w:tc>
          <w:tcPr>
            <w:tcW w:w="2355" w:type="dxa"/>
            <w:noWrap w:val="0"/>
            <w:vAlign w:val="top"/>
          </w:tcPr>
          <w:p w14:paraId="710FDC9D">
            <w:pPr>
              <w:spacing w:line="440" w:lineRule="exact"/>
              <w:jc w:val="center"/>
              <w:outlineLvl w:val="9"/>
              <w:rPr>
                <w:rFonts w:hint="eastAsia" w:ascii="仿宋" w:hAnsi="仿宋" w:eastAsia="仿宋" w:cs="仿宋"/>
                <w:sz w:val="24"/>
                <w:szCs w:val="24"/>
              </w:rPr>
            </w:pPr>
          </w:p>
        </w:tc>
        <w:tc>
          <w:tcPr>
            <w:tcW w:w="2311" w:type="dxa"/>
            <w:noWrap w:val="0"/>
            <w:vAlign w:val="top"/>
          </w:tcPr>
          <w:p w14:paraId="22EAE959">
            <w:pPr>
              <w:spacing w:line="440" w:lineRule="exact"/>
              <w:jc w:val="center"/>
              <w:outlineLvl w:val="9"/>
              <w:rPr>
                <w:rFonts w:hint="eastAsia" w:ascii="仿宋" w:hAnsi="仿宋" w:eastAsia="仿宋" w:cs="仿宋"/>
                <w:sz w:val="24"/>
                <w:szCs w:val="24"/>
              </w:rPr>
            </w:pPr>
          </w:p>
        </w:tc>
        <w:tc>
          <w:tcPr>
            <w:tcW w:w="1129" w:type="dxa"/>
            <w:noWrap w:val="0"/>
            <w:vAlign w:val="top"/>
          </w:tcPr>
          <w:p w14:paraId="56B76441">
            <w:pPr>
              <w:spacing w:line="440" w:lineRule="exact"/>
              <w:jc w:val="center"/>
              <w:outlineLvl w:val="9"/>
              <w:rPr>
                <w:rFonts w:hint="eastAsia" w:ascii="仿宋" w:hAnsi="仿宋" w:eastAsia="仿宋" w:cs="仿宋"/>
                <w:sz w:val="24"/>
                <w:szCs w:val="24"/>
              </w:rPr>
            </w:pPr>
          </w:p>
        </w:tc>
        <w:tc>
          <w:tcPr>
            <w:tcW w:w="800" w:type="dxa"/>
            <w:noWrap w:val="0"/>
            <w:vAlign w:val="top"/>
          </w:tcPr>
          <w:p w14:paraId="7B4C7729">
            <w:pPr>
              <w:spacing w:line="440" w:lineRule="exact"/>
              <w:jc w:val="center"/>
              <w:outlineLvl w:val="9"/>
              <w:rPr>
                <w:rFonts w:hint="eastAsia" w:ascii="仿宋" w:hAnsi="仿宋" w:eastAsia="仿宋" w:cs="仿宋"/>
                <w:sz w:val="24"/>
                <w:szCs w:val="24"/>
              </w:rPr>
            </w:pPr>
          </w:p>
        </w:tc>
      </w:tr>
      <w:tr w14:paraId="56C4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33A49CE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13</w:t>
            </w:r>
          </w:p>
        </w:tc>
        <w:tc>
          <w:tcPr>
            <w:tcW w:w="1292" w:type="dxa"/>
            <w:noWrap w:val="0"/>
            <w:vAlign w:val="top"/>
          </w:tcPr>
          <w:p w14:paraId="2D29996B">
            <w:pPr>
              <w:spacing w:line="440" w:lineRule="exact"/>
              <w:jc w:val="center"/>
              <w:outlineLvl w:val="9"/>
              <w:rPr>
                <w:rFonts w:hint="eastAsia" w:ascii="仿宋" w:hAnsi="仿宋" w:eastAsia="仿宋" w:cs="仿宋"/>
                <w:sz w:val="24"/>
                <w:szCs w:val="24"/>
              </w:rPr>
            </w:pPr>
          </w:p>
        </w:tc>
        <w:tc>
          <w:tcPr>
            <w:tcW w:w="885" w:type="dxa"/>
            <w:noWrap w:val="0"/>
            <w:vAlign w:val="top"/>
          </w:tcPr>
          <w:p w14:paraId="6697C29D">
            <w:pPr>
              <w:spacing w:line="440" w:lineRule="exact"/>
              <w:jc w:val="center"/>
              <w:outlineLvl w:val="9"/>
              <w:rPr>
                <w:rFonts w:hint="eastAsia" w:ascii="仿宋" w:hAnsi="仿宋" w:eastAsia="仿宋" w:cs="仿宋"/>
                <w:sz w:val="24"/>
                <w:szCs w:val="24"/>
              </w:rPr>
            </w:pPr>
          </w:p>
        </w:tc>
        <w:tc>
          <w:tcPr>
            <w:tcW w:w="975" w:type="dxa"/>
            <w:noWrap w:val="0"/>
            <w:vAlign w:val="top"/>
          </w:tcPr>
          <w:p w14:paraId="04327962">
            <w:pPr>
              <w:spacing w:line="440" w:lineRule="exact"/>
              <w:jc w:val="center"/>
              <w:outlineLvl w:val="9"/>
              <w:rPr>
                <w:rFonts w:hint="eastAsia" w:ascii="仿宋" w:hAnsi="仿宋" w:eastAsia="仿宋" w:cs="仿宋"/>
                <w:sz w:val="24"/>
                <w:szCs w:val="24"/>
              </w:rPr>
            </w:pPr>
          </w:p>
        </w:tc>
        <w:tc>
          <w:tcPr>
            <w:tcW w:w="2355" w:type="dxa"/>
            <w:noWrap w:val="0"/>
            <w:vAlign w:val="top"/>
          </w:tcPr>
          <w:p w14:paraId="6772D945">
            <w:pPr>
              <w:spacing w:line="440" w:lineRule="exact"/>
              <w:jc w:val="center"/>
              <w:outlineLvl w:val="9"/>
              <w:rPr>
                <w:rFonts w:hint="eastAsia" w:ascii="仿宋" w:hAnsi="仿宋" w:eastAsia="仿宋" w:cs="仿宋"/>
                <w:sz w:val="24"/>
                <w:szCs w:val="24"/>
              </w:rPr>
            </w:pPr>
          </w:p>
        </w:tc>
        <w:tc>
          <w:tcPr>
            <w:tcW w:w="2311" w:type="dxa"/>
            <w:noWrap w:val="0"/>
            <w:vAlign w:val="top"/>
          </w:tcPr>
          <w:p w14:paraId="3C1F5F67">
            <w:pPr>
              <w:spacing w:line="440" w:lineRule="exact"/>
              <w:jc w:val="center"/>
              <w:outlineLvl w:val="9"/>
              <w:rPr>
                <w:rFonts w:hint="eastAsia" w:ascii="仿宋" w:hAnsi="仿宋" w:eastAsia="仿宋" w:cs="仿宋"/>
                <w:sz w:val="24"/>
                <w:szCs w:val="24"/>
              </w:rPr>
            </w:pPr>
          </w:p>
        </w:tc>
        <w:tc>
          <w:tcPr>
            <w:tcW w:w="1129" w:type="dxa"/>
            <w:noWrap w:val="0"/>
            <w:vAlign w:val="top"/>
          </w:tcPr>
          <w:p w14:paraId="634BAFB0">
            <w:pPr>
              <w:spacing w:line="440" w:lineRule="exact"/>
              <w:jc w:val="center"/>
              <w:outlineLvl w:val="9"/>
              <w:rPr>
                <w:rFonts w:hint="eastAsia" w:ascii="仿宋" w:hAnsi="仿宋" w:eastAsia="仿宋" w:cs="仿宋"/>
                <w:sz w:val="24"/>
                <w:szCs w:val="24"/>
              </w:rPr>
            </w:pPr>
          </w:p>
        </w:tc>
        <w:tc>
          <w:tcPr>
            <w:tcW w:w="800" w:type="dxa"/>
            <w:noWrap w:val="0"/>
            <w:vAlign w:val="top"/>
          </w:tcPr>
          <w:p w14:paraId="41A59FA5">
            <w:pPr>
              <w:spacing w:line="440" w:lineRule="exact"/>
              <w:jc w:val="center"/>
              <w:outlineLvl w:val="9"/>
              <w:rPr>
                <w:rFonts w:hint="eastAsia" w:ascii="仿宋" w:hAnsi="仿宋" w:eastAsia="仿宋" w:cs="仿宋"/>
                <w:sz w:val="24"/>
                <w:szCs w:val="24"/>
              </w:rPr>
            </w:pPr>
          </w:p>
        </w:tc>
      </w:tr>
      <w:tr w14:paraId="335D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6830A59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14</w:t>
            </w:r>
          </w:p>
        </w:tc>
        <w:tc>
          <w:tcPr>
            <w:tcW w:w="1292" w:type="dxa"/>
            <w:noWrap w:val="0"/>
            <w:vAlign w:val="top"/>
          </w:tcPr>
          <w:p w14:paraId="054D193D">
            <w:pPr>
              <w:spacing w:line="440" w:lineRule="exact"/>
              <w:jc w:val="center"/>
              <w:outlineLvl w:val="9"/>
              <w:rPr>
                <w:rFonts w:hint="eastAsia" w:ascii="仿宋" w:hAnsi="仿宋" w:eastAsia="仿宋" w:cs="仿宋"/>
                <w:sz w:val="24"/>
                <w:szCs w:val="24"/>
              </w:rPr>
            </w:pPr>
          </w:p>
        </w:tc>
        <w:tc>
          <w:tcPr>
            <w:tcW w:w="885" w:type="dxa"/>
            <w:noWrap w:val="0"/>
            <w:vAlign w:val="top"/>
          </w:tcPr>
          <w:p w14:paraId="527DDDD7">
            <w:pPr>
              <w:spacing w:line="440" w:lineRule="exact"/>
              <w:jc w:val="center"/>
              <w:outlineLvl w:val="9"/>
              <w:rPr>
                <w:rFonts w:hint="eastAsia" w:ascii="仿宋" w:hAnsi="仿宋" w:eastAsia="仿宋" w:cs="仿宋"/>
                <w:sz w:val="24"/>
                <w:szCs w:val="24"/>
              </w:rPr>
            </w:pPr>
          </w:p>
        </w:tc>
        <w:tc>
          <w:tcPr>
            <w:tcW w:w="975" w:type="dxa"/>
            <w:noWrap w:val="0"/>
            <w:vAlign w:val="top"/>
          </w:tcPr>
          <w:p w14:paraId="578CDDC2">
            <w:pPr>
              <w:spacing w:line="440" w:lineRule="exact"/>
              <w:jc w:val="center"/>
              <w:outlineLvl w:val="9"/>
              <w:rPr>
                <w:rFonts w:hint="eastAsia" w:ascii="仿宋" w:hAnsi="仿宋" w:eastAsia="仿宋" w:cs="仿宋"/>
                <w:sz w:val="24"/>
                <w:szCs w:val="24"/>
              </w:rPr>
            </w:pPr>
          </w:p>
        </w:tc>
        <w:tc>
          <w:tcPr>
            <w:tcW w:w="2355" w:type="dxa"/>
            <w:noWrap w:val="0"/>
            <w:vAlign w:val="top"/>
          </w:tcPr>
          <w:p w14:paraId="667D8AA2">
            <w:pPr>
              <w:spacing w:line="440" w:lineRule="exact"/>
              <w:jc w:val="center"/>
              <w:outlineLvl w:val="9"/>
              <w:rPr>
                <w:rFonts w:hint="eastAsia" w:ascii="仿宋" w:hAnsi="仿宋" w:eastAsia="仿宋" w:cs="仿宋"/>
                <w:sz w:val="24"/>
                <w:szCs w:val="24"/>
              </w:rPr>
            </w:pPr>
          </w:p>
        </w:tc>
        <w:tc>
          <w:tcPr>
            <w:tcW w:w="2311" w:type="dxa"/>
            <w:noWrap w:val="0"/>
            <w:vAlign w:val="top"/>
          </w:tcPr>
          <w:p w14:paraId="17831576">
            <w:pPr>
              <w:spacing w:line="440" w:lineRule="exact"/>
              <w:jc w:val="center"/>
              <w:outlineLvl w:val="9"/>
              <w:rPr>
                <w:rFonts w:hint="eastAsia" w:ascii="仿宋" w:hAnsi="仿宋" w:eastAsia="仿宋" w:cs="仿宋"/>
                <w:sz w:val="24"/>
                <w:szCs w:val="24"/>
              </w:rPr>
            </w:pPr>
          </w:p>
        </w:tc>
        <w:tc>
          <w:tcPr>
            <w:tcW w:w="1129" w:type="dxa"/>
            <w:noWrap w:val="0"/>
            <w:vAlign w:val="top"/>
          </w:tcPr>
          <w:p w14:paraId="3957D469">
            <w:pPr>
              <w:spacing w:line="440" w:lineRule="exact"/>
              <w:jc w:val="center"/>
              <w:outlineLvl w:val="9"/>
              <w:rPr>
                <w:rFonts w:hint="eastAsia" w:ascii="仿宋" w:hAnsi="仿宋" w:eastAsia="仿宋" w:cs="仿宋"/>
                <w:sz w:val="24"/>
                <w:szCs w:val="24"/>
              </w:rPr>
            </w:pPr>
          </w:p>
        </w:tc>
        <w:tc>
          <w:tcPr>
            <w:tcW w:w="800" w:type="dxa"/>
            <w:noWrap w:val="0"/>
            <w:vAlign w:val="top"/>
          </w:tcPr>
          <w:p w14:paraId="23650A2B">
            <w:pPr>
              <w:spacing w:line="440" w:lineRule="exact"/>
              <w:jc w:val="center"/>
              <w:outlineLvl w:val="9"/>
              <w:rPr>
                <w:rFonts w:hint="eastAsia" w:ascii="仿宋" w:hAnsi="仿宋" w:eastAsia="仿宋" w:cs="仿宋"/>
                <w:sz w:val="24"/>
                <w:szCs w:val="24"/>
              </w:rPr>
            </w:pPr>
          </w:p>
        </w:tc>
      </w:tr>
      <w:tr w14:paraId="3B5A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0A7EC6B1">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15</w:t>
            </w:r>
          </w:p>
        </w:tc>
        <w:tc>
          <w:tcPr>
            <w:tcW w:w="1292" w:type="dxa"/>
            <w:noWrap w:val="0"/>
            <w:vAlign w:val="top"/>
          </w:tcPr>
          <w:p w14:paraId="7835429D">
            <w:pPr>
              <w:spacing w:line="440" w:lineRule="exact"/>
              <w:jc w:val="center"/>
              <w:outlineLvl w:val="9"/>
              <w:rPr>
                <w:rFonts w:hint="eastAsia" w:ascii="仿宋" w:hAnsi="仿宋" w:eastAsia="仿宋" w:cs="仿宋"/>
                <w:sz w:val="24"/>
                <w:szCs w:val="24"/>
              </w:rPr>
            </w:pPr>
          </w:p>
        </w:tc>
        <w:tc>
          <w:tcPr>
            <w:tcW w:w="885" w:type="dxa"/>
            <w:noWrap w:val="0"/>
            <w:vAlign w:val="top"/>
          </w:tcPr>
          <w:p w14:paraId="56C98A5F">
            <w:pPr>
              <w:spacing w:line="440" w:lineRule="exact"/>
              <w:jc w:val="center"/>
              <w:outlineLvl w:val="9"/>
              <w:rPr>
                <w:rFonts w:hint="eastAsia" w:ascii="仿宋" w:hAnsi="仿宋" w:eastAsia="仿宋" w:cs="仿宋"/>
                <w:sz w:val="24"/>
                <w:szCs w:val="24"/>
              </w:rPr>
            </w:pPr>
          </w:p>
        </w:tc>
        <w:tc>
          <w:tcPr>
            <w:tcW w:w="975" w:type="dxa"/>
            <w:noWrap w:val="0"/>
            <w:vAlign w:val="top"/>
          </w:tcPr>
          <w:p w14:paraId="77EAEE57">
            <w:pPr>
              <w:spacing w:line="440" w:lineRule="exact"/>
              <w:jc w:val="center"/>
              <w:outlineLvl w:val="9"/>
              <w:rPr>
                <w:rFonts w:hint="eastAsia" w:ascii="仿宋" w:hAnsi="仿宋" w:eastAsia="仿宋" w:cs="仿宋"/>
                <w:sz w:val="24"/>
                <w:szCs w:val="24"/>
              </w:rPr>
            </w:pPr>
          </w:p>
        </w:tc>
        <w:tc>
          <w:tcPr>
            <w:tcW w:w="2355" w:type="dxa"/>
            <w:noWrap w:val="0"/>
            <w:vAlign w:val="top"/>
          </w:tcPr>
          <w:p w14:paraId="2446E2AD">
            <w:pPr>
              <w:spacing w:line="440" w:lineRule="exact"/>
              <w:jc w:val="center"/>
              <w:outlineLvl w:val="9"/>
              <w:rPr>
                <w:rFonts w:hint="eastAsia" w:ascii="仿宋" w:hAnsi="仿宋" w:eastAsia="仿宋" w:cs="仿宋"/>
                <w:sz w:val="24"/>
                <w:szCs w:val="24"/>
              </w:rPr>
            </w:pPr>
          </w:p>
        </w:tc>
        <w:tc>
          <w:tcPr>
            <w:tcW w:w="2311" w:type="dxa"/>
            <w:noWrap w:val="0"/>
            <w:vAlign w:val="top"/>
          </w:tcPr>
          <w:p w14:paraId="3223061D">
            <w:pPr>
              <w:spacing w:line="440" w:lineRule="exact"/>
              <w:jc w:val="center"/>
              <w:outlineLvl w:val="9"/>
              <w:rPr>
                <w:rFonts w:hint="eastAsia" w:ascii="仿宋" w:hAnsi="仿宋" w:eastAsia="仿宋" w:cs="仿宋"/>
                <w:sz w:val="24"/>
                <w:szCs w:val="24"/>
              </w:rPr>
            </w:pPr>
          </w:p>
        </w:tc>
        <w:tc>
          <w:tcPr>
            <w:tcW w:w="1129" w:type="dxa"/>
            <w:noWrap w:val="0"/>
            <w:vAlign w:val="top"/>
          </w:tcPr>
          <w:p w14:paraId="385D9558">
            <w:pPr>
              <w:spacing w:line="440" w:lineRule="exact"/>
              <w:jc w:val="center"/>
              <w:outlineLvl w:val="9"/>
              <w:rPr>
                <w:rFonts w:hint="eastAsia" w:ascii="仿宋" w:hAnsi="仿宋" w:eastAsia="仿宋" w:cs="仿宋"/>
                <w:sz w:val="24"/>
                <w:szCs w:val="24"/>
              </w:rPr>
            </w:pPr>
          </w:p>
        </w:tc>
        <w:tc>
          <w:tcPr>
            <w:tcW w:w="800" w:type="dxa"/>
            <w:noWrap w:val="0"/>
            <w:vAlign w:val="top"/>
          </w:tcPr>
          <w:p w14:paraId="5DF419D6">
            <w:pPr>
              <w:spacing w:line="440" w:lineRule="exact"/>
              <w:jc w:val="center"/>
              <w:outlineLvl w:val="9"/>
              <w:rPr>
                <w:rFonts w:hint="eastAsia" w:ascii="仿宋" w:hAnsi="仿宋" w:eastAsia="仿宋" w:cs="仿宋"/>
                <w:sz w:val="24"/>
                <w:szCs w:val="24"/>
              </w:rPr>
            </w:pPr>
          </w:p>
        </w:tc>
      </w:tr>
      <w:tr w14:paraId="6622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777B8AB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16</w:t>
            </w:r>
          </w:p>
        </w:tc>
        <w:tc>
          <w:tcPr>
            <w:tcW w:w="1292" w:type="dxa"/>
            <w:noWrap w:val="0"/>
            <w:vAlign w:val="top"/>
          </w:tcPr>
          <w:p w14:paraId="0EB57A3D">
            <w:pPr>
              <w:spacing w:line="440" w:lineRule="exact"/>
              <w:jc w:val="center"/>
              <w:outlineLvl w:val="9"/>
              <w:rPr>
                <w:rFonts w:hint="eastAsia" w:ascii="仿宋" w:hAnsi="仿宋" w:eastAsia="仿宋" w:cs="仿宋"/>
                <w:sz w:val="24"/>
                <w:szCs w:val="24"/>
              </w:rPr>
            </w:pPr>
          </w:p>
        </w:tc>
        <w:tc>
          <w:tcPr>
            <w:tcW w:w="885" w:type="dxa"/>
            <w:noWrap w:val="0"/>
            <w:vAlign w:val="top"/>
          </w:tcPr>
          <w:p w14:paraId="10066FEB">
            <w:pPr>
              <w:spacing w:line="440" w:lineRule="exact"/>
              <w:jc w:val="center"/>
              <w:outlineLvl w:val="9"/>
              <w:rPr>
                <w:rFonts w:hint="eastAsia" w:ascii="仿宋" w:hAnsi="仿宋" w:eastAsia="仿宋" w:cs="仿宋"/>
                <w:sz w:val="24"/>
                <w:szCs w:val="24"/>
              </w:rPr>
            </w:pPr>
          </w:p>
        </w:tc>
        <w:tc>
          <w:tcPr>
            <w:tcW w:w="975" w:type="dxa"/>
            <w:noWrap w:val="0"/>
            <w:vAlign w:val="top"/>
          </w:tcPr>
          <w:p w14:paraId="4830E7BA">
            <w:pPr>
              <w:spacing w:line="440" w:lineRule="exact"/>
              <w:jc w:val="center"/>
              <w:outlineLvl w:val="9"/>
              <w:rPr>
                <w:rFonts w:hint="eastAsia" w:ascii="仿宋" w:hAnsi="仿宋" w:eastAsia="仿宋" w:cs="仿宋"/>
                <w:sz w:val="24"/>
                <w:szCs w:val="24"/>
              </w:rPr>
            </w:pPr>
          </w:p>
        </w:tc>
        <w:tc>
          <w:tcPr>
            <w:tcW w:w="2355" w:type="dxa"/>
            <w:noWrap w:val="0"/>
            <w:vAlign w:val="top"/>
          </w:tcPr>
          <w:p w14:paraId="6F9B85A4">
            <w:pPr>
              <w:spacing w:line="440" w:lineRule="exact"/>
              <w:jc w:val="center"/>
              <w:outlineLvl w:val="9"/>
              <w:rPr>
                <w:rFonts w:hint="eastAsia" w:ascii="仿宋" w:hAnsi="仿宋" w:eastAsia="仿宋" w:cs="仿宋"/>
                <w:sz w:val="24"/>
                <w:szCs w:val="24"/>
              </w:rPr>
            </w:pPr>
          </w:p>
        </w:tc>
        <w:tc>
          <w:tcPr>
            <w:tcW w:w="2311" w:type="dxa"/>
            <w:noWrap w:val="0"/>
            <w:vAlign w:val="top"/>
          </w:tcPr>
          <w:p w14:paraId="4D6F98A5">
            <w:pPr>
              <w:spacing w:line="440" w:lineRule="exact"/>
              <w:jc w:val="center"/>
              <w:outlineLvl w:val="9"/>
              <w:rPr>
                <w:rFonts w:hint="eastAsia" w:ascii="仿宋" w:hAnsi="仿宋" w:eastAsia="仿宋" w:cs="仿宋"/>
                <w:sz w:val="24"/>
                <w:szCs w:val="24"/>
              </w:rPr>
            </w:pPr>
          </w:p>
        </w:tc>
        <w:tc>
          <w:tcPr>
            <w:tcW w:w="1129" w:type="dxa"/>
            <w:noWrap w:val="0"/>
            <w:vAlign w:val="top"/>
          </w:tcPr>
          <w:p w14:paraId="0609C2FA">
            <w:pPr>
              <w:spacing w:line="440" w:lineRule="exact"/>
              <w:jc w:val="center"/>
              <w:outlineLvl w:val="9"/>
              <w:rPr>
                <w:rFonts w:hint="eastAsia" w:ascii="仿宋" w:hAnsi="仿宋" w:eastAsia="仿宋" w:cs="仿宋"/>
                <w:sz w:val="24"/>
                <w:szCs w:val="24"/>
              </w:rPr>
            </w:pPr>
          </w:p>
        </w:tc>
        <w:tc>
          <w:tcPr>
            <w:tcW w:w="800" w:type="dxa"/>
            <w:noWrap w:val="0"/>
            <w:vAlign w:val="top"/>
          </w:tcPr>
          <w:p w14:paraId="1B879820">
            <w:pPr>
              <w:spacing w:line="440" w:lineRule="exact"/>
              <w:jc w:val="center"/>
              <w:outlineLvl w:val="9"/>
              <w:rPr>
                <w:rFonts w:hint="eastAsia" w:ascii="仿宋" w:hAnsi="仿宋" w:eastAsia="仿宋" w:cs="仿宋"/>
                <w:sz w:val="24"/>
                <w:szCs w:val="24"/>
              </w:rPr>
            </w:pPr>
          </w:p>
        </w:tc>
      </w:tr>
      <w:tr w14:paraId="6D83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5C6A00A">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17</w:t>
            </w:r>
          </w:p>
        </w:tc>
        <w:tc>
          <w:tcPr>
            <w:tcW w:w="1292" w:type="dxa"/>
            <w:noWrap w:val="0"/>
            <w:vAlign w:val="top"/>
          </w:tcPr>
          <w:p w14:paraId="3B6B4BB5">
            <w:pPr>
              <w:spacing w:line="440" w:lineRule="exact"/>
              <w:jc w:val="center"/>
              <w:outlineLvl w:val="9"/>
              <w:rPr>
                <w:rFonts w:hint="eastAsia" w:ascii="仿宋" w:hAnsi="仿宋" w:eastAsia="仿宋" w:cs="仿宋"/>
                <w:sz w:val="24"/>
                <w:szCs w:val="24"/>
              </w:rPr>
            </w:pPr>
          </w:p>
        </w:tc>
        <w:tc>
          <w:tcPr>
            <w:tcW w:w="885" w:type="dxa"/>
            <w:noWrap w:val="0"/>
            <w:vAlign w:val="top"/>
          </w:tcPr>
          <w:p w14:paraId="1730EDFA">
            <w:pPr>
              <w:spacing w:line="440" w:lineRule="exact"/>
              <w:jc w:val="center"/>
              <w:outlineLvl w:val="9"/>
              <w:rPr>
                <w:rFonts w:hint="eastAsia" w:ascii="仿宋" w:hAnsi="仿宋" w:eastAsia="仿宋" w:cs="仿宋"/>
                <w:sz w:val="24"/>
                <w:szCs w:val="24"/>
              </w:rPr>
            </w:pPr>
          </w:p>
        </w:tc>
        <w:tc>
          <w:tcPr>
            <w:tcW w:w="975" w:type="dxa"/>
            <w:noWrap w:val="0"/>
            <w:vAlign w:val="top"/>
          </w:tcPr>
          <w:p w14:paraId="61C01E32">
            <w:pPr>
              <w:spacing w:line="440" w:lineRule="exact"/>
              <w:jc w:val="center"/>
              <w:outlineLvl w:val="9"/>
              <w:rPr>
                <w:rFonts w:hint="eastAsia" w:ascii="仿宋" w:hAnsi="仿宋" w:eastAsia="仿宋" w:cs="仿宋"/>
                <w:sz w:val="24"/>
                <w:szCs w:val="24"/>
              </w:rPr>
            </w:pPr>
          </w:p>
        </w:tc>
        <w:tc>
          <w:tcPr>
            <w:tcW w:w="2355" w:type="dxa"/>
            <w:noWrap w:val="0"/>
            <w:vAlign w:val="top"/>
          </w:tcPr>
          <w:p w14:paraId="20CF557F">
            <w:pPr>
              <w:spacing w:line="440" w:lineRule="exact"/>
              <w:jc w:val="center"/>
              <w:outlineLvl w:val="9"/>
              <w:rPr>
                <w:rFonts w:hint="eastAsia" w:ascii="仿宋" w:hAnsi="仿宋" w:eastAsia="仿宋" w:cs="仿宋"/>
                <w:sz w:val="24"/>
                <w:szCs w:val="24"/>
              </w:rPr>
            </w:pPr>
          </w:p>
        </w:tc>
        <w:tc>
          <w:tcPr>
            <w:tcW w:w="2311" w:type="dxa"/>
            <w:noWrap w:val="0"/>
            <w:vAlign w:val="top"/>
          </w:tcPr>
          <w:p w14:paraId="3B637455">
            <w:pPr>
              <w:spacing w:line="440" w:lineRule="exact"/>
              <w:jc w:val="center"/>
              <w:outlineLvl w:val="9"/>
              <w:rPr>
                <w:rFonts w:hint="eastAsia" w:ascii="仿宋" w:hAnsi="仿宋" w:eastAsia="仿宋" w:cs="仿宋"/>
                <w:sz w:val="24"/>
                <w:szCs w:val="24"/>
              </w:rPr>
            </w:pPr>
          </w:p>
        </w:tc>
        <w:tc>
          <w:tcPr>
            <w:tcW w:w="1129" w:type="dxa"/>
            <w:noWrap w:val="0"/>
            <w:vAlign w:val="top"/>
          </w:tcPr>
          <w:p w14:paraId="1ED1F34B">
            <w:pPr>
              <w:spacing w:line="440" w:lineRule="exact"/>
              <w:jc w:val="center"/>
              <w:outlineLvl w:val="9"/>
              <w:rPr>
                <w:rFonts w:hint="eastAsia" w:ascii="仿宋" w:hAnsi="仿宋" w:eastAsia="仿宋" w:cs="仿宋"/>
                <w:sz w:val="24"/>
                <w:szCs w:val="24"/>
              </w:rPr>
            </w:pPr>
          </w:p>
        </w:tc>
        <w:tc>
          <w:tcPr>
            <w:tcW w:w="800" w:type="dxa"/>
            <w:noWrap w:val="0"/>
            <w:vAlign w:val="top"/>
          </w:tcPr>
          <w:p w14:paraId="026806F3">
            <w:pPr>
              <w:spacing w:line="440" w:lineRule="exact"/>
              <w:jc w:val="center"/>
              <w:outlineLvl w:val="9"/>
              <w:rPr>
                <w:rFonts w:hint="eastAsia" w:ascii="仿宋" w:hAnsi="仿宋" w:eastAsia="仿宋" w:cs="仿宋"/>
                <w:sz w:val="24"/>
                <w:szCs w:val="24"/>
              </w:rPr>
            </w:pPr>
          </w:p>
        </w:tc>
      </w:tr>
    </w:tbl>
    <w:p w14:paraId="5E016929">
      <w:pPr>
        <w:pStyle w:val="8"/>
        <w:kinsoku w:val="0"/>
        <w:overflowPunct w:val="0"/>
        <w:spacing w:before="0" w:line="940" w:lineRule="exact"/>
        <w:ind w:left="0"/>
        <w:jc w:val="both"/>
        <w:rPr>
          <w:rFonts w:hint="eastAsia" w:ascii="仿宋" w:hAnsi="仿宋" w:eastAsia="仿宋" w:cs="仿宋"/>
          <w:lang w:val="en-US" w:eastAsia="zh-CN"/>
        </w:rPr>
      </w:pPr>
    </w:p>
    <w:p w14:paraId="1F0CB756">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279E04C2">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43E3D5FA">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5582BED8">
      <w:pPr>
        <w:rPr>
          <w:rFonts w:hint="eastAsia" w:ascii="仿宋" w:hAnsi="仿宋" w:eastAsia="仿宋" w:cs="仿宋"/>
          <w:lang w:val="en-US" w:eastAsia="zh-CN"/>
        </w:rPr>
      </w:pPr>
    </w:p>
    <w:sectPr>
      <w:headerReference r:id="rId13" w:type="default"/>
      <w:pgSz w:w="11910" w:h="16840"/>
      <w:pgMar w:top="1040" w:right="1137" w:bottom="960" w:left="1080" w:header="763" w:footer="766"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B035">
    <w:pPr>
      <w:pStyle w:val="10"/>
      <w:jc w:val="center"/>
      <w:rPr>
        <w:sz w:val="24"/>
        <w:szCs w:val="24"/>
      </w:rPr>
    </w:pPr>
  </w:p>
  <w:p w14:paraId="2CDFA68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1EC9">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3386">
    <w:pPr>
      <w:pStyle w:val="10"/>
      <w:tabs>
        <w:tab w:val="left" w:pos="2371"/>
        <w:tab w:val="clear" w:pos="4153"/>
      </w:tabs>
      <w:jc w:val="both"/>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8762">
    <w:pPr>
      <w:pStyle w:val="10"/>
      <w:jc w:val="center"/>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B8E2">
    <w:pPr>
      <w:pStyle w:val="10"/>
      <w:tabs>
        <w:tab w:val="left" w:pos="2371"/>
        <w:tab w:val="clear" w:pos="4153"/>
      </w:tabs>
      <w:jc w:val="both"/>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428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a:noFill/>
                      </a:ln>
                    </wps:spPr>
                    <wps:txbx>
                      <w:txbxContent>
                        <w:p w14:paraId="2AC4ECA6">
                          <w:pPr>
                            <w:pStyle w:val="10"/>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0pt;height:11.25pt;width:144pt;mso-position-horizontal:center;mso-position-horizontal-relative:margin;mso-wrap-style:none;z-index:251661312;mso-width-relative:page;mso-height-relative:page;" filled="f" stroked="f" coordsize="21600,21600" o:gfxdata="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qzh9EAAAAEAQAADwAAAAAAAAABACAAAAAiAAAAZHJzL2Rvd25yZXYueG1sUEsB&#10;AhQAFAAAAAgAh07iQOs2qgvDAQAAfgMAAA4AAAAAAAAAAQAgAAAAIAEAAGRycy9lMm9Eb2MueG1s&#10;UEsFBgAAAAAGAAYAWQEAAFUFAAAAAA==&#10;">
              <v:fill on="f" focussize="0,0"/>
              <v:stroke on="f"/>
              <v:imagedata o:title=""/>
              <o:lock v:ext="edit" aspectratio="f"/>
              <v:textbox inset="0mm,0mm,0mm,0mm">
                <w:txbxContent>
                  <w:p w14:paraId="2AC4ECA6">
                    <w:pPr>
                      <w:pStyle w:val="10"/>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D79D">
    <w:pPr>
      <w:pStyle w:val="10"/>
      <w:jc w:val="center"/>
    </w:pPr>
    <w:r>
      <mc:AlternateContent>
        <mc:Choice Requires="wps">
          <w:drawing>
            <wp:anchor distT="0" distB="0" distL="114300" distR="114300" simplePos="0" relativeHeight="251662336" behindDoc="0" locked="0" layoutInCell="1" allowOverlap="1">
              <wp:simplePos x="0" y="0"/>
              <wp:positionH relativeFrom="margin">
                <wp:posOffset>2992120</wp:posOffset>
              </wp:positionH>
              <wp:positionV relativeFrom="paragraph">
                <wp:posOffset>-19050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EBD1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5.6pt;margin-top:-1.5pt;height:144pt;width:144pt;mso-position-horizontal-relative:margin;mso-wrap-style:none;z-index:251662336;mso-width-relative:page;mso-height-relative:page;" filled="f" stroked="f" coordsize="21600,21600" o:gfxdata="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zZbeNcAAAAKAQAADwAAAAAAAAABACAAAAAiAAAAZHJzL2Rv&#10;d25yZXYueG1sUEsBAhQAFAAAAAgAh07iQNRflCbJAQAAmQMAAA4AAAAAAAAAAQAgAAAAJgEAAGRy&#10;cy9lMm9Eb2MueG1sUEsFBgAAAAAGAAYAWQEAAGEFAAAAAA==&#10;">
              <v:fill on="f" focussize="0,0"/>
              <v:stroke on="f"/>
              <v:imagedata o:title=""/>
              <o:lock v:ext="edit" aspectratio="f"/>
              <v:textbox inset="0mm,0mm,0mm,0mm" style="mso-fit-shape-to-text:t;">
                <w:txbxContent>
                  <w:p w14:paraId="30DEBD1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84A2">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5885" cy="75565"/>
              <wp:effectExtent l="0" t="0" r="0" b="0"/>
              <wp:wrapNone/>
              <wp:docPr id="130" name="Shape 66"/>
              <wp:cNvGraphicFramePr/>
              <a:graphic xmlns:a="http://schemas.openxmlformats.org/drawingml/2006/main">
                <a:graphicData uri="http://schemas.microsoft.com/office/word/2010/wordprocessingShape">
                  <wps:wsp>
                    <wps:cNvSpPr txBox="1"/>
                    <wps:spPr>
                      <a:xfrm>
                        <a:off x="0" y="0"/>
                        <a:ext cx="95885" cy="75565"/>
                      </a:xfrm>
                      <a:prstGeom prst="rect">
                        <a:avLst/>
                      </a:prstGeom>
                      <a:noFill/>
                    </wps:spPr>
                    <wps:txbx>
                      <w:txbxContent>
                        <w:p w14:paraId="512B044A">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66" o:spid="_x0000_s1026" o:spt="202" type="#_x0000_t202" style="position:absolute;left:0pt;margin-top:0pt;height:5.95pt;width:7.55pt;mso-position-horizontal:center;mso-position-horizontal-relative:margin;mso-wrap-style:none;z-index:251660288;mso-width-relative:page;mso-height-relative:page;" filled="f" stroked="f" coordsize="21600,21600" o:gfxdata="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Grt8nQAAAAAwEAAA8A&#10;AAAAAAAAAQAgAAAAIgAAAGRycy9kb3ducmV2LnhtbFBLAQIUABQAAAAIAIdO4kCd0ZhCrQEAAHAD&#10;AAAOAAAAAAAAAAEAIAAAAB8BAABkcnMvZTJvRG9jLnhtbFBLBQYAAAAABgAGAFkBAAA+BQAAAAA=&#10;">
              <v:fill on="f" focussize="0,0"/>
              <v:stroke on="f"/>
              <v:imagedata o:title=""/>
              <o:lock v:ext="edit" aspectratio="f"/>
              <v:textbox inset="0mm,0mm,0mm,0mm" style="mso-fit-shape-to-text:t;">
                <w:txbxContent>
                  <w:p w14:paraId="512B044A">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559A">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3631565</wp:posOffset>
              </wp:positionH>
              <wp:positionV relativeFrom="page">
                <wp:posOffset>10010775</wp:posOffset>
              </wp:positionV>
              <wp:extent cx="95885" cy="75565"/>
              <wp:effectExtent l="0" t="0" r="0" b="0"/>
              <wp:wrapNone/>
              <wp:docPr id="131" name="Shape 68"/>
              <wp:cNvGraphicFramePr/>
              <a:graphic xmlns:a="http://schemas.openxmlformats.org/drawingml/2006/main">
                <a:graphicData uri="http://schemas.microsoft.com/office/word/2010/wordprocessingShape">
                  <wps:wsp>
                    <wps:cNvSpPr txBox="1"/>
                    <wps:spPr>
                      <a:xfrm>
                        <a:off x="0" y="0"/>
                        <a:ext cx="95885" cy="75565"/>
                      </a:xfrm>
                      <a:prstGeom prst="rect">
                        <a:avLst/>
                      </a:prstGeom>
                      <a:noFill/>
                    </wps:spPr>
                    <wps:txbx>
                      <w:txbxContent>
                        <w:p w14:paraId="16CAABC3">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285.95pt;margin-top:788.25pt;height:5.95pt;width:7.55pt;mso-position-horizontal-relative:page;mso-position-vertical-relative:page;mso-wrap-style:none;z-index:-251656192;mso-width-relative:page;mso-height-relative:page;" filled="f" stroked="f" coordsize="21600,21600" o:gfxdata="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oYz91wAA&#10;AA0BAAAPAAAAAAAAAAEAIAAAACIAAABkcnMvZG93bnJldi54bWxQSwECFAAUAAAACACHTuJAa/BC&#10;0K0BAABwAwAADgAAAAAAAAABACAAAAAmAQAAZHJzL2Uyb0RvYy54bWxQSwUGAAAAAAYABgBZAQAA&#10;RQUAAAAA&#10;">
              <v:fill on="f" focussize="0,0"/>
              <v:stroke on="f"/>
              <v:imagedata o:title=""/>
              <o:lock v:ext="edit" aspectratio="f"/>
              <v:textbox inset="0mm,0mm,0mm,0mm" style="mso-fit-shape-to-text:t;">
                <w:txbxContent>
                  <w:p w14:paraId="16CAABC3">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D707">
    <w:pPr>
      <w:pStyle w:val="11"/>
      <w:jc w:val="center"/>
      <w:rPr>
        <w:b/>
        <w:bCs/>
      </w:rPr>
    </w:pPr>
    <w:r>
      <w:rPr>
        <w:rFonts w:hint="eastAsia"/>
        <w:b/>
        <w:bCs/>
        <w:lang w:val="en-US" w:eastAsia="zh-CN"/>
      </w:rPr>
      <w:t xml:space="preserve">                                                               </w:t>
    </w:r>
    <w:r>
      <w:rPr>
        <w:rFonts w:hint="eastAsia"/>
        <w:b/>
        <w:bCs/>
        <w:lang w:eastAsia="zh-CN"/>
      </w:rPr>
      <w:t>新疆万凯盛工程管理咨询有限公司</w:t>
    </w:r>
    <w:r>
      <w:rPr>
        <w:rFonts w:hint="eastAsia"/>
        <w:b/>
        <w:bCs/>
      </w:rPr>
      <w:t>竞争性磋商文件</w:t>
    </w:r>
  </w:p>
  <w:p w14:paraId="407F589E">
    <w:pPr>
      <w:pStyle w:val="8"/>
      <w:kinsoku w:val="0"/>
      <w:overflowPunct w:val="0"/>
      <w:spacing w:before="0" w:line="14" w:lineRule="auto"/>
      <w:ind w:left="0"/>
      <w:rPr>
        <w:rFonts w:ascii="Times New Roman" w:eastAsia="宋体"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6A77">
    <w:pPr>
      <w:pStyle w:val="11"/>
      <w:jc w:val="right"/>
      <w:rPr>
        <w:b/>
        <w:bCs/>
      </w:rPr>
    </w:pPr>
    <w:r>
      <w:rPr>
        <w:rFonts w:hint="eastAsia"/>
        <w:b/>
        <w:bCs/>
        <w:lang w:eastAsia="zh-CN"/>
      </w:rPr>
      <w:t>新疆万凯盛工程管理咨询有限公司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F798">
    <w:pPr>
      <w:pStyle w:val="11"/>
      <w:jc w:val="right"/>
      <w:rPr>
        <w:b/>
        <w:bCs/>
      </w:rPr>
    </w:pPr>
    <w:r>
      <w:rPr>
        <w:rFonts w:hint="eastAsia"/>
        <w:b/>
        <w:bCs/>
        <w:lang w:eastAsia="zh-CN"/>
      </w:rPr>
      <w:t>新疆万凯盛工程管理咨询有限公司</w:t>
    </w:r>
    <w:r>
      <w:rPr>
        <w:rFonts w:hint="eastAsia"/>
        <w:b/>
        <w:bCs/>
      </w:rPr>
      <w:t>竞争性磋商文件</w:t>
    </w:r>
  </w:p>
  <w:p w14:paraId="2488D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B92F6"/>
    <w:multiLevelType w:val="singleLevel"/>
    <w:tmpl w:val="DB4B92F6"/>
    <w:lvl w:ilvl="0" w:tentative="0">
      <w:start w:val="1"/>
      <w:numFmt w:val="chineseCounting"/>
      <w:suff w:val="nothing"/>
      <w:lvlText w:val="%1、"/>
      <w:lvlJc w:val="left"/>
      <w:rPr>
        <w:rFonts w:hint="eastAsia"/>
      </w:rPr>
    </w:lvl>
  </w:abstractNum>
  <w:abstractNum w:abstractNumId="1">
    <w:nsid w:val="EDBE23BB"/>
    <w:multiLevelType w:val="singleLevel"/>
    <w:tmpl w:val="EDBE23BB"/>
    <w:lvl w:ilvl="0" w:tentative="0">
      <w:start w:val="3"/>
      <w:numFmt w:val="decimal"/>
      <w:suff w:val="space"/>
      <w:lvlText w:val="%1."/>
      <w:lvlJc w:val="left"/>
    </w:lvl>
  </w:abstractNum>
  <w:abstractNum w:abstractNumId="2">
    <w:nsid w:val="16FD167A"/>
    <w:multiLevelType w:val="multilevel"/>
    <w:tmpl w:val="16FD167A"/>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B7DE80"/>
    <w:multiLevelType w:val="singleLevel"/>
    <w:tmpl w:val="1DB7DE80"/>
    <w:lvl w:ilvl="0" w:tentative="0">
      <w:start w:val="1"/>
      <w:numFmt w:val="decimal"/>
      <w:suff w:val="space"/>
      <w:lvlText w:val="%1."/>
      <w:lvlJc w:val="left"/>
    </w:lvl>
  </w:abstractNum>
  <w:abstractNum w:abstractNumId="4">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5">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TEzMWU1MmU2OTg2ZTQzMjM3Y2UzODY3MjA2MTkifQ=="/>
  </w:docVars>
  <w:rsids>
    <w:rsidRoot w:val="45104505"/>
    <w:rsid w:val="02067BFE"/>
    <w:rsid w:val="028D6760"/>
    <w:rsid w:val="02DB7931"/>
    <w:rsid w:val="037A271D"/>
    <w:rsid w:val="056D708C"/>
    <w:rsid w:val="05CB65CF"/>
    <w:rsid w:val="0A571C79"/>
    <w:rsid w:val="0DA306F2"/>
    <w:rsid w:val="0E883192"/>
    <w:rsid w:val="10275E33"/>
    <w:rsid w:val="105E41AB"/>
    <w:rsid w:val="10C85C55"/>
    <w:rsid w:val="11A42091"/>
    <w:rsid w:val="11FE6BBE"/>
    <w:rsid w:val="13B761E1"/>
    <w:rsid w:val="16B769C9"/>
    <w:rsid w:val="185760AF"/>
    <w:rsid w:val="1C364891"/>
    <w:rsid w:val="1ED63AA6"/>
    <w:rsid w:val="24245F57"/>
    <w:rsid w:val="2559536A"/>
    <w:rsid w:val="258836B9"/>
    <w:rsid w:val="26086C3B"/>
    <w:rsid w:val="286914E7"/>
    <w:rsid w:val="29C73D1D"/>
    <w:rsid w:val="29E277A3"/>
    <w:rsid w:val="2B0D6FF4"/>
    <w:rsid w:val="2C162AA8"/>
    <w:rsid w:val="2CA50D57"/>
    <w:rsid w:val="2EC1207D"/>
    <w:rsid w:val="31EA5447"/>
    <w:rsid w:val="33523AF9"/>
    <w:rsid w:val="35972C20"/>
    <w:rsid w:val="36147C3A"/>
    <w:rsid w:val="387C7014"/>
    <w:rsid w:val="391B3048"/>
    <w:rsid w:val="3B556027"/>
    <w:rsid w:val="3ED02A35"/>
    <w:rsid w:val="41E20630"/>
    <w:rsid w:val="4256079D"/>
    <w:rsid w:val="45104505"/>
    <w:rsid w:val="460A3EB2"/>
    <w:rsid w:val="470C51F3"/>
    <w:rsid w:val="4837077E"/>
    <w:rsid w:val="48C07230"/>
    <w:rsid w:val="4A0718BD"/>
    <w:rsid w:val="4A1D3576"/>
    <w:rsid w:val="4AD81690"/>
    <w:rsid w:val="4BFB56AA"/>
    <w:rsid w:val="4C615E3E"/>
    <w:rsid w:val="52E4642C"/>
    <w:rsid w:val="564C4B1E"/>
    <w:rsid w:val="56AB2B47"/>
    <w:rsid w:val="56F0798E"/>
    <w:rsid w:val="5AD001F9"/>
    <w:rsid w:val="5C7D22A0"/>
    <w:rsid w:val="5C9B20FF"/>
    <w:rsid w:val="5D2B6790"/>
    <w:rsid w:val="5E5B3CE6"/>
    <w:rsid w:val="6073435E"/>
    <w:rsid w:val="609639F0"/>
    <w:rsid w:val="681A29EE"/>
    <w:rsid w:val="685361DA"/>
    <w:rsid w:val="6B190F22"/>
    <w:rsid w:val="6F3477C9"/>
    <w:rsid w:val="71D171A6"/>
    <w:rsid w:val="739C7F8F"/>
    <w:rsid w:val="76E44446"/>
    <w:rsid w:val="771B6423"/>
    <w:rsid w:val="77AC2C75"/>
    <w:rsid w:val="78340796"/>
    <w:rsid w:val="79E74FDA"/>
    <w:rsid w:val="7A2542D3"/>
    <w:rsid w:val="7CD6548B"/>
    <w:rsid w:val="7FF1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9"/>
    <w:pPr>
      <w:keepNext/>
      <w:keepLines/>
      <w:spacing w:line="800" w:lineRule="exact"/>
      <w:jc w:val="center"/>
      <w:outlineLvl w:val="0"/>
    </w:pPr>
    <w:rPr>
      <w:rFonts w:eastAsia="仿宋"/>
      <w:b/>
      <w:bCs/>
      <w:kern w:val="44"/>
      <w:sz w:val="32"/>
      <w:szCs w:val="44"/>
    </w:rPr>
  </w:style>
  <w:style w:type="paragraph" w:styleId="4">
    <w:name w:val="heading 2"/>
    <w:basedOn w:val="1"/>
    <w:next w:val="1"/>
    <w:qFormat/>
    <w:uiPriority w:val="9"/>
    <w:pPr>
      <w:keepNext/>
      <w:keepLines/>
      <w:spacing w:line="416" w:lineRule="auto"/>
      <w:jc w:val="center"/>
      <w:outlineLvl w:val="1"/>
    </w:pPr>
    <w:rPr>
      <w:rFonts w:ascii="Cambria" w:hAnsi="Cambria" w:eastAsia="仿宋"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3920" w:leftChars="1400"/>
    </w:pPr>
  </w:style>
  <w:style w:type="paragraph" w:styleId="5">
    <w:name w:val="Normal Indent"/>
    <w:basedOn w:val="1"/>
    <w:next w:val="1"/>
    <w:qFormat/>
    <w:uiPriority w:val="99"/>
    <w:pPr>
      <w:ind w:firstLine="420"/>
    </w:pPr>
  </w:style>
  <w:style w:type="paragraph" w:styleId="6">
    <w:name w:val="Document Map"/>
    <w:basedOn w:val="1"/>
    <w:unhideWhenUsed/>
    <w:qFormat/>
    <w:uiPriority w:val="99"/>
    <w:rPr>
      <w:rFonts w:ascii="宋体"/>
      <w:sz w:val="18"/>
      <w:szCs w:val="18"/>
    </w:rPr>
  </w:style>
  <w:style w:type="paragraph" w:styleId="7">
    <w:name w:val="toa heading"/>
    <w:basedOn w:val="1"/>
    <w:next w:val="1"/>
    <w:qFormat/>
    <w:uiPriority w:val="0"/>
    <w:pPr>
      <w:spacing w:before="120"/>
    </w:pPr>
    <w:rPr>
      <w:rFonts w:ascii="Cambria" w:hAnsi="Cambria"/>
      <w:sz w:val="24"/>
      <w:szCs w:val="24"/>
    </w:rPr>
  </w:style>
  <w:style w:type="paragraph" w:styleId="8">
    <w:name w:val="Body Text"/>
    <w:basedOn w:val="1"/>
    <w:next w:val="1"/>
    <w:qFormat/>
    <w:uiPriority w:val="1"/>
    <w:pPr>
      <w:autoSpaceDE w:val="0"/>
      <w:autoSpaceDN w:val="0"/>
      <w:adjustRightInd w:val="0"/>
      <w:spacing w:before="154"/>
      <w:ind w:left="118"/>
      <w:jc w:val="left"/>
    </w:pPr>
    <w:rPr>
      <w:rFonts w:ascii="仿宋" w:hAnsi="Times New Roman" w:eastAsia="仿宋" w:cs="仿宋"/>
      <w:kern w:val="0"/>
      <w:sz w:val="24"/>
      <w:szCs w:val="24"/>
    </w:rPr>
  </w:style>
  <w:style w:type="paragraph" w:styleId="9">
    <w:name w:val="Body Text Indent"/>
    <w:basedOn w:val="1"/>
    <w:next w:val="8"/>
    <w:qFormat/>
    <w:uiPriority w:val="0"/>
    <w:pPr>
      <w:spacing w:after="120"/>
      <w:ind w:left="420" w:leftChars="200"/>
    </w:pPr>
    <w:rPr>
      <w:rFonts w:ascii="Calibri" w:hAnsi="Calibri" w:eastAsia="宋体" w:cs="Times New Roman"/>
      <w:sz w:val="20"/>
      <w:szCs w:val="22"/>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400"/>
      </w:tabs>
      <w:spacing w:line="520" w:lineRule="exact"/>
      <w:jc w:val="left"/>
    </w:p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60" w:after="60"/>
      <w:jc w:val="left"/>
    </w:pPr>
    <w:rPr>
      <w:kern w:val="0"/>
      <w:sz w:val="24"/>
    </w:rPr>
  </w:style>
  <w:style w:type="paragraph" w:styleId="15">
    <w:name w:val="Body Text First Indent"/>
    <w:basedOn w:val="8"/>
    <w:qFormat/>
    <w:uiPriority w:val="0"/>
    <w:pPr>
      <w:ind w:firstLine="420" w:firstLineChars="100"/>
    </w:pPr>
  </w:style>
  <w:style w:type="paragraph" w:styleId="16">
    <w:name w:val="Body Text First Indent 2"/>
    <w:basedOn w:val="9"/>
    <w:next w:val="9"/>
    <w:qFormat/>
    <w:uiPriority w:val="0"/>
    <w:pPr>
      <w:spacing w:after="120"/>
      <w:ind w:left="420" w:leftChars="200" w:firstLine="420" w:firstLineChars="200"/>
    </w:pPr>
    <w:rPr>
      <w:rFonts w:ascii="Times New Roman" w:eastAsia="宋体"/>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paragraph" w:customStyle="1" w:styleId="21">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customStyle="1" w:styleId="23">
    <w:name w:val="正文_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25">
    <w:name w:val="Body text|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26">
    <w:name w:val="Other|1"/>
    <w:basedOn w:val="1"/>
    <w:qFormat/>
    <w:uiPriority w:val="0"/>
    <w:rPr>
      <w:rFonts w:ascii="宋体" w:hAnsi="宋体" w:eastAsia="宋体" w:cs="宋体"/>
      <w:sz w:val="19"/>
      <w:szCs w:val="19"/>
      <w:lang w:val="zh-TW" w:eastAsia="zh-TW" w:bidi="zh-TW"/>
    </w:rPr>
  </w:style>
  <w:style w:type="paragraph" w:customStyle="1" w:styleId="27">
    <w:name w:val="Heading 6"/>
    <w:basedOn w:val="1"/>
    <w:qFormat/>
    <w:uiPriority w:val="1"/>
    <w:pPr>
      <w:autoSpaceDE w:val="0"/>
      <w:autoSpaceDN w:val="0"/>
      <w:adjustRightInd w:val="0"/>
      <w:ind w:left="1448"/>
      <w:jc w:val="left"/>
      <w:outlineLvl w:val="5"/>
    </w:pPr>
    <w:rPr>
      <w:rFonts w:ascii="仿宋" w:hAnsi="Times New Roman" w:eastAsia="仿宋" w:cs="仿宋"/>
      <w:b/>
      <w:bCs/>
      <w:kern w:val="0"/>
      <w:sz w:val="32"/>
      <w:szCs w:val="32"/>
    </w:rPr>
  </w:style>
  <w:style w:type="paragraph" w:customStyle="1" w:styleId="28">
    <w:name w:val="样式 宋体 五号 行距: 单倍行距"/>
    <w:basedOn w:val="1"/>
    <w:qFormat/>
    <w:uiPriority w:val="0"/>
    <w:pPr>
      <w:adjustRightInd w:val="0"/>
      <w:jc w:val="left"/>
      <w:textAlignment w:val="baseline"/>
    </w:pPr>
    <w:rPr>
      <w:rFonts w:ascii="宋体" w:hAnsi="宋体"/>
      <w:kern w:val="0"/>
    </w:rPr>
  </w:style>
  <w:style w:type="paragraph" w:customStyle="1" w:styleId="29">
    <w:name w:val="Other|2"/>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sz w:val="18"/>
      <w:szCs w:val="18"/>
      <w:u w:val="none"/>
      <w:shd w:val="clear" w:color="auto" w:fill="auto"/>
      <w:lang w:val="zh-TW" w:eastAsia="zh-TW" w:bidi="zh-TW"/>
    </w:rPr>
  </w:style>
  <w:style w:type="character" w:customStyle="1" w:styleId="31">
    <w:name w:val="font11"/>
    <w:basedOn w:val="19"/>
    <w:qFormat/>
    <w:uiPriority w:val="0"/>
    <w:rPr>
      <w:rFonts w:ascii="Arial" w:hAnsi="Arial" w:cs="Arial"/>
      <w:color w:val="000000"/>
      <w:sz w:val="20"/>
      <w:szCs w:val="20"/>
      <w:u w:val="none"/>
    </w:rPr>
  </w:style>
  <w:style w:type="character" w:customStyle="1" w:styleId="32">
    <w:name w:val="font61"/>
    <w:basedOn w:val="19"/>
    <w:qFormat/>
    <w:uiPriority w:val="0"/>
    <w:rPr>
      <w:rFonts w:hint="eastAsia" w:ascii="仿宋" w:hAnsi="仿宋" w:eastAsia="仿宋" w:cs="仿宋"/>
      <w:color w:val="000000"/>
      <w:sz w:val="20"/>
      <w:szCs w:val="20"/>
      <w:u w:val="none"/>
    </w:rPr>
  </w:style>
  <w:style w:type="character" w:customStyle="1" w:styleId="33">
    <w:name w:val="font51"/>
    <w:basedOn w:val="19"/>
    <w:qFormat/>
    <w:uiPriority w:val="0"/>
    <w:rPr>
      <w:rFonts w:hint="eastAsia" w:ascii="宋体" w:hAnsi="宋体" w:eastAsia="宋体" w:cs="宋体"/>
      <w:color w:val="000000"/>
      <w:sz w:val="20"/>
      <w:szCs w:val="20"/>
      <w:u w:val="none"/>
    </w:rPr>
  </w:style>
  <w:style w:type="character" w:customStyle="1" w:styleId="34">
    <w:name w:val="font41"/>
    <w:basedOn w:val="19"/>
    <w:qFormat/>
    <w:uiPriority w:val="0"/>
    <w:rPr>
      <w:rFonts w:hint="eastAsia" w:ascii="仿宋" w:hAnsi="仿宋" w:eastAsia="仿宋" w:cs="仿宋"/>
      <w:color w:val="000000"/>
      <w:sz w:val="20"/>
      <w:szCs w:val="20"/>
      <w:u w:val="none"/>
      <w:vertAlign w:val="superscript"/>
    </w:rPr>
  </w:style>
  <w:style w:type="character" w:customStyle="1" w:styleId="35">
    <w:name w:val="font31"/>
    <w:basedOn w:val="19"/>
    <w:qFormat/>
    <w:uiPriority w:val="0"/>
    <w:rPr>
      <w:rFonts w:hint="eastAsia" w:ascii="仿宋" w:hAnsi="仿宋" w:eastAsia="仿宋" w:cs="仿宋"/>
      <w:i/>
      <w:iCs/>
      <w:color w:val="000000"/>
      <w:sz w:val="20"/>
      <w:szCs w:val="20"/>
      <w:u w:val="none"/>
    </w:rPr>
  </w:style>
  <w:style w:type="paragraph" w:customStyle="1" w:styleId="36">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NormalCharacter"/>
    <w:qFormat/>
    <w:uiPriority w:val="0"/>
    <w:rPr>
      <w:kern w:val="2"/>
      <w:sz w:val="21"/>
      <w:lang w:val="en-US" w:eastAsia="zh-CN" w:bidi="ar-SA"/>
    </w:rPr>
  </w:style>
  <w:style w:type="character" w:customStyle="1" w:styleId="39">
    <w:name w:val="font10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hint="eastAsia" w:ascii="仿宋" w:hAnsi="仿宋" w:eastAsia="仿宋" w:cs="仿宋"/>
      <w:color w:val="000000"/>
      <w:sz w:val="20"/>
      <w:szCs w:val="20"/>
      <w:u w:val="none"/>
    </w:rPr>
  </w:style>
  <w:style w:type="character" w:customStyle="1" w:styleId="41">
    <w:name w:val="font112"/>
    <w:basedOn w:val="19"/>
    <w:qFormat/>
    <w:uiPriority w:val="0"/>
    <w:rPr>
      <w:rFonts w:hint="default" w:ascii="Times New Roman" w:hAnsi="Times New Roman" w:cs="Times New Roman"/>
      <w:color w:val="000000"/>
      <w:sz w:val="20"/>
      <w:szCs w:val="20"/>
      <w:u w:val="none"/>
    </w:rPr>
  </w:style>
  <w:style w:type="paragraph" w:customStyle="1" w:styleId="42">
    <w:name w:val="Normal_2"/>
    <w:qFormat/>
    <w:uiPriority w:val="0"/>
    <w:rPr>
      <w:rFonts w:ascii="黑体" w:hAnsi="黑体" w:eastAsia="黑体" w:cs="Times New Roman"/>
      <w:b/>
      <w:sz w:val="32"/>
      <w:szCs w:val="24"/>
      <w:lang w:val="en-US" w:eastAsia="zh-CN" w:bidi="ar-SA"/>
    </w:rPr>
  </w:style>
  <w:style w:type="paragraph" w:customStyle="1" w:styleId="43">
    <w:name w:val="Normal_24"/>
    <w:qFormat/>
    <w:uiPriority w:val="0"/>
    <w:rPr>
      <w:rFonts w:ascii="黑体" w:hAnsi="黑体" w:eastAsia="黑体" w:cs="Times New Roman"/>
      <w:b/>
      <w:sz w:val="32"/>
      <w:szCs w:val="24"/>
      <w:lang w:val="en-US" w:eastAsia="zh-CN" w:bidi="ar-SA"/>
    </w:rPr>
  </w:style>
  <w:style w:type="paragraph" w:customStyle="1" w:styleId="44">
    <w:name w:val="正文文本_1"/>
    <w:basedOn w:val="45"/>
    <w:unhideWhenUsed/>
    <w:qFormat/>
    <w:uiPriority w:val="0"/>
    <w:pPr>
      <w:spacing w:after="120"/>
    </w:pPr>
  </w:style>
  <w:style w:type="paragraph" w:customStyle="1" w:styleId="45">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4"/>
    <w:qFormat/>
    <w:uiPriority w:val="0"/>
    <w:rPr>
      <w:rFonts w:ascii="黑体" w:hAnsi="黑体" w:eastAsia="黑体" w:cs="Times New Roman"/>
      <w:b/>
      <w:sz w:val="32"/>
      <w:szCs w:val="24"/>
      <w:lang w:val="en-US" w:eastAsia="zh-CN" w:bidi="ar-SA"/>
    </w:rPr>
  </w:style>
  <w:style w:type="paragraph" w:customStyle="1" w:styleId="47">
    <w:name w:val="Normal_5"/>
    <w:qFormat/>
    <w:uiPriority w:val="0"/>
    <w:rPr>
      <w:rFonts w:ascii="黑体" w:hAnsi="黑体" w:eastAsia="黑体" w:cs="Times New Roman"/>
      <w:b/>
      <w:sz w:val="32"/>
      <w:szCs w:val="24"/>
      <w:lang w:val="en-US" w:eastAsia="zh-CN" w:bidi="ar-SA"/>
    </w:rPr>
  </w:style>
  <w:style w:type="paragraph" w:customStyle="1" w:styleId="48">
    <w:name w:val="Normal_6"/>
    <w:qFormat/>
    <w:uiPriority w:val="0"/>
    <w:rPr>
      <w:rFonts w:ascii="黑体" w:hAnsi="黑体" w:eastAsia="黑体" w:cs="Times New Roman"/>
      <w:b/>
      <w:sz w:val="32"/>
      <w:szCs w:val="24"/>
      <w:lang w:val="en-US" w:eastAsia="zh-CN" w:bidi="ar-SA"/>
    </w:rPr>
  </w:style>
  <w:style w:type="character" w:customStyle="1" w:styleId="49">
    <w:name w:val="标题 1 Char"/>
    <w:link w:val="3"/>
    <w:qFormat/>
    <w:uiPriority w:val="9"/>
    <w:rPr>
      <w:rFonts w:eastAsia="仿宋"/>
      <w:b/>
      <w:bCs/>
      <w:kern w:val="44"/>
      <w:sz w:val="32"/>
      <w:szCs w:val="44"/>
    </w:rPr>
  </w:style>
  <w:style w:type="character" w:customStyle="1" w:styleId="50">
    <w:name w:val="font71"/>
    <w:basedOn w:val="19"/>
    <w:qFormat/>
    <w:uiPriority w:val="0"/>
    <w:rPr>
      <w:rFonts w:hint="eastAsia" w:ascii="宋体" w:hAnsi="宋体" w:eastAsia="宋体" w:cs="宋体"/>
      <w:color w:val="000000"/>
      <w:sz w:val="22"/>
      <w:szCs w:val="22"/>
      <w:u w:val="none"/>
    </w:rPr>
  </w:style>
  <w:style w:type="paragraph" w:customStyle="1" w:styleId="51">
    <w:name w:val="Normal_0_0"/>
    <w:qFormat/>
    <w:uiPriority w:val="0"/>
    <w:rPr>
      <w:rFonts w:ascii="黑体" w:hAnsi="黑体" w:eastAsia="黑体" w:cs="Times New Roman"/>
      <w:b/>
      <w:sz w:val="32"/>
      <w:szCs w:val="24"/>
      <w:lang w:bidi="ar-SA"/>
    </w:rPr>
  </w:style>
  <w:style w:type="paragraph" w:customStyle="1" w:styleId="52">
    <w:name w:val="Normal_1"/>
    <w:qFormat/>
    <w:uiPriority w:val="0"/>
    <w:rPr>
      <w:rFonts w:ascii="黑体" w:hAnsi="黑体" w:eastAsia="黑体" w:cs="Times New Roman"/>
      <w:b/>
      <w:sz w:val="32"/>
      <w:szCs w:val="24"/>
      <w:lang w:bidi="ar-SA"/>
    </w:rPr>
  </w:style>
  <w:style w:type="paragraph" w:customStyle="1" w:styleId="53">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22623</Words>
  <Characters>23844</Characters>
  <Lines>0</Lines>
  <Paragraphs>0</Paragraphs>
  <TotalTime>35</TotalTime>
  <ScaleCrop>false</ScaleCrop>
  <LinksUpToDate>false</LinksUpToDate>
  <CharactersWithSpaces>24186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2022-04-14T04:42:00Z</dcterms:created>
  <dc:creator>Administrator</dc:creator>
  <cp:lastModifiedBy>请叫我小蘑菇。</cp:lastModifiedBy>
  <cp:lastPrinted>2025-06-25T03:44:00Z</cp:lastPrinted>
  <dcterms:modified xsi:type="dcterms:W3CDTF">2025-06-25T04:52:00Z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40CCFFF55914404E813F7C5FE8176079</vt:lpwstr>
  </property>
  <property fmtid="{D5CDD505-2E9C-101B-9397-08002B2CF9AE}" pid="4" name="KSOTemplateDocerSaveRecord">
    <vt:lpwstr>eyJoZGlkIjoiNDg1MTdlY2NmODA0M2I4NWZlYTYyMjMxNTdkYmMxN2IiLCJ1c2VySWQiOiI0MjE5Nzc1NzkifQ==</vt:lpwstr>
  </property>
</Properties>
</file>