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11276C">
      <w:pPr>
        <w:pStyle w:val="38"/>
        <w:tabs>
          <w:tab w:val="left" w:pos="5527"/>
        </w:tabs>
        <w:spacing w:line="360" w:lineRule="auto"/>
        <w:jc w:val="both"/>
        <w:outlineLvl w:val="9"/>
        <w:rPr>
          <w:rFonts w:hint="eastAsia" w:ascii="宋体" w:hAnsi="宋体" w:eastAsia="宋体" w:cs="宋体"/>
          <w:b/>
          <w:color w:val="auto"/>
          <w:sz w:val="28"/>
          <w:szCs w:val="28"/>
          <w:highlight w:val="none"/>
        </w:rPr>
      </w:pPr>
      <w:bookmarkStart w:id="0" w:name="_Toc13093"/>
    </w:p>
    <w:p w14:paraId="73313EA8">
      <w:pPr>
        <w:pStyle w:val="38"/>
        <w:tabs>
          <w:tab w:val="left" w:pos="5527"/>
        </w:tabs>
        <w:spacing w:line="360" w:lineRule="auto"/>
        <w:jc w:val="both"/>
        <w:outlineLvl w:val="9"/>
        <w:rPr>
          <w:rFonts w:hint="eastAsia" w:ascii="宋体" w:hAnsi="宋体" w:eastAsia="宋体" w:cs="宋体"/>
          <w:b/>
          <w:color w:val="auto"/>
          <w:sz w:val="28"/>
          <w:szCs w:val="28"/>
          <w:highlight w:val="none"/>
        </w:rPr>
      </w:pPr>
    </w:p>
    <w:p w14:paraId="4DB3EEEC">
      <w:pPr>
        <w:pStyle w:val="38"/>
        <w:tabs>
          <w:tab w:val="left" w:pos="5527"/>
        </w:tabs>
        <w:spacing w:line="360" w:lineRule="auto"/>
        <w:jc w:val="center"/>
        <w:outlineLvl w:val="9"/>
        <w:rPr>
          <w:rFonts w:hint="eastAsia" w:ascii="宋体" w:hAnsi="宋体" w:eastAsia="宋体" w:cs="宋体"/>
          <w:b/>
          <w:bCs/>
          <w:color w:val="auto"/>
          <w:sz w:val="40"/>
          <w:szCs w:val="40"/>
          <w:highlight w:val="none"/>
          <w:lang w:eastAsia="zh-CN"/>
        </w:rPr>
      </w:pPr>
      <w:r>
        <w:rPr>
          <w:rFonts w:hint="eastAsia" w:ascii="宋体" w:hAnsi="宋体" w:cs="宋体"/>
          <w:b/>
          <w:bCs/>
          <w:color w:val="auto"/>
          <w:sz w:val="40"/>
          <w:szCs w:val="40"/>
          <w:highlight w:val="none"/>
          <w:lang w:eastAsia="zh-CN"/>
        </w:rPr>
        <w:t>库尔勒市实验幼儿园三十八幼分园2025年设施设备采购项目（四次）</w:t>
      </w:r>
    </w:p>
    <w:p w14:paraId="2F0BBA3D">
      <w:pPr>
        <w:pStyle w:val="38"/>
        <w:tabs>
          <w:tab w:val="left" w:pos="5527"/>
        </w:tabs>
        <w:spacing w:line="360" w:lineRule="auto"/>
        <w:jc w:val="center"/>
        <w:outlineLvl w:val="9"/>
        <w:rPr>
          <w:rFonts w:hint="eastAsia" w:ascii="宋体" w:hAnsi="宋体" w:eastAsia="宋体" w:cs="宋体"/>
          <w:b/>
          <w:bCs/>
          <w:color w:val="auto"/>
          <w:sz w:val="96"/>
          <w:szCs w:val="96"/>
          <w:highlight w:val="none"/>
        </w:rPr>
      </w:pPr>
    </w:p>
    <w:p w14:paraId="3B9036DE">
      <w:pPr>
        <w:pStyle w:val="38"/>
        <w:tabs>
          <w:tab w:val="left" w:pos="5527"/>
        </w:tabs>
        <w:spacing w:line="360" w:lineRule="auto"/>
        <w:jc w:val="center"/>
        <w:outlineLvl w:val="9"/>
        <w:rPr>
          <w:rFonts w:hint="eastAsia" w:ascii="宋体" w:hAnsi="宋体" w:eastAsia="宋体" w:cs="宋体"/>
          <w:b/>
          <w:bCs/>
          <w:color w:val="auto"/>
          <w:sz w:val="13"/>
          <w:szCs w:val="13"/>
          <w:highlight w:val="none"/>
        </w:rPr>
      </w:pPr>
    </w:p>
    <w:p w14:paraId="790279CC">
      <w:pPr>
        <w:pStyle w:val="38"/>
        <w:tabs>
          <w:tab w:val="left" w:pos="5527"/>
        </w:tabs>
        <w:spacing w:line="360" w:lineRule="auto"/>
        <w:jc w:val="center"/>
        <w:outlineLvl w:val="9"/>
        <w:rPr>
          <w:rFonts w:hint="eastAsia" w:ascii="宋体" w:hAnsi="宋体" w:eastAsia="宋体" w:cs="宋体"/>
          <w:b/>
          <w:bCs/>
          <w:color w:val="auto"/>
          <w:sz w:val="96"/>
          <w:szCs w:val="96"/>
          <w:highlight w:val="none"/>
        </w:rPr>
      </w:pPr>
      <w:r>
        <w:rPr>
          <w:rFonts w:hint="eastAsia" w:ascii="宋体" w:hAnsi="宋体" w:eastAsia="宋体" w:cs="宋体"/>
          <w:b/>
          <w:bCs/>
          <w:color w:val="auto"/>
          <w:sz w:val="96"/>
          <w:szCs w:val="96"/>
          <w:highlight w:val="none"/>
          <w:lang w:eastAsia="zh-CN"/>
        </w:rPr>
        <w:t>招</w:t>
      </w:r>
      <w:r>
        <w:rPr>
          <w:rFonts w:hint="eastAsia" w:ascii="宋体" w:hAnsi="宋体" w:eastAsia="宋体" w:cs="宋体"/>
          <w:b/>
          <w:bCs/>
          <w:color w:val="auto"/>
          <w:sz w:val="96"/>
          <w:szCs w:val="96"/>
          <w:highlight w:val="none"/>
          <w:lang w:val="en-US" w:eastAsia="zh-CN"/>
        </w:rPr>
        <w:t xml:space="preserve"> </w:t>
      </w:r>
      <w:r>
        <w:rPr>
          <w:rFonts w:hint="eastAsia" w:ascii="宋体" w:hAnsi="宋体" w:eastAsia="宋体" w:cs="宋体"/>
          <w:b/>
          <w:bCs/>
          <w:color w:val="auto"/>
          <w:sz w:val="96"/>
          <w:szCs w:val="96"/>
          <w:highlight w:val="none"/>
          <w:lang w:eastAsia="zh-CN"/>
        </w:rPr>
        <w:t>标</w:t>
      </w:r>
      <w:r>
        <w:rPr>
          <w:rFonts w:hint="eastAsia" w:ascii="宋体" w:hAnsi="宋体" w:eastAsia="宋体" w:cs="宋体"/>
          <w:b/>
          <w:bCs/>
          <w:color w:val="auto"/>
          <w:sz w:val="96"/>
          <w:szCs w:val="96"/>
          <w:highlight w:val="none"/>
          <w:lang w:val="en-US" w:eastAsia="zh-CN"/>
        </w:rPr>
        <w:t xml:space="preserve"> </w:t>
      </w:r>
      <w:r>
        <w:rPr>
          <w:rFonts w:hint="eastAsia" w:ascii="宋体" w:hAnsi="宋体" w:eastAsia="宋体" w:cs="宋体"/>
          <w:b/>
          <w:bCs/>
          <w:color w:val="auto"/>
          <w:sz w:val="96"/>
          <w:szCs w:val="96"/>
          <w:highlight w:val="none"/>
        </w:rPr>
        <w:t>文</w:t>
      </w:r>
      <w:r>
        <w:rPr>
          <w:rFonts w:hint="eastAsia" w:ascii="宋体" w:hAnsi="宋体" w:eastAsia="宋体" w:cs="宋体"/>
          <w:b/>
          <w:bCs/>
          <w:color w:val="auto"/>
          <w:sz w:val="96"/>
          <w:szCs w:val="96"/>
          <w:highlight w:val="none"/>
          <w:lang w:val="en-US" w:eastAsia="zh-CN"/>
        </w:rPr>
        <w:t xml:space="preserve"> </w:t>
      </w:r>
      <w:r>
        <w:rPr>
          <w:rFonts w:hint="eastAsia" w:ascii="宋体" w:hAnsi="宋体" w:eastAsia="宋体" w:cs="宋体"/>
          <w:b/>
          <w:bCs/>
          <w:color w:val="auto"/>
          <w:sz w:val="96"/>
          <w:szCs w:val="96"/>
          <w:highlight w:val="none"/>
        </w:rPr>
        <w:t>件</w:t>
      </w:r>
    </w:p>
    <w:p w14:paraId="63A2833E">
      <w:pPr>
        <w:pStyle w:val="38"/>
        <w:tabs>
          <w:tab w:val="left" w:pos="5527"/>
        </w:tabs>
        <w:spacing w:line="360" w:lineRule="auto"/>
        <w:jc w:val="center"/>
        <w:outlineLvl w:val="9"/>
        <w:rPr>
          <w:rFonts w:hint="eastAsia" w:ascii="宋体" w:hAnsi="宋体" w:eastAsia="宋体" w:cs="宋体"/>
          <w:b/>
          <w:bCs/>
          <w:color w:val="auto"/>
          <w:sz w:val="36"/>
          <w:szCs w:val="36"/>
          <w:highlight w:val="none"/>
        </w:rPr>
      </w:pPr>
    </w:p>
    <w:p w14:paraId="48D660DD">
      <w:pPr>
        <w:pStyle w:val="38"/>
        <w:tabs>
          <w:tab w:val="left" w:pos="5527"/>
        </w:tabs>
        <w:spacing w:line="360" w:lineRule="auto"/>
        <w:jc w:val="right"/>
        <w:outlineLvl w:val="9"/>
        <w:rPr>
          <w:rFonts w:hint="eastAsia" w:ascii="宋体" w:hAnsi="宋体" w:eastAsia="宋体" w:cs="宋体"/>
          <w:b/>
          <w:bCs/>
          <w:color w:val="auto"/>
          <w:sz w:val="28"/>
          <w:szCs w:val="28"/>
          <w:highlight w:val="none"/>
        </w:rPr>
      </w:pPr>
    </w:p>
    <w:p w14:paraId="700DF2A5">
      <w:pPr>
        <w:pStyle w:val="38"/>
        <w:tabs>
          <w:tab w:val="left" w:pos="5527"/>
        </w:tabs>
        <w:spacing w:line="360" w:lineRule="auto"/>
        <w:jc w:val="center"/>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t>项目编号：</w:t>
      </w:r>
      <w:r>
        <w:rPr>
          <w:rFonts w:hint="eastAsia" w:ascii="宋体" w:hAnsi="宋体" w:cs="宋体"/>
          <w:b/>
          <w:bCs/>
          <w:color w:val="auto"/>
          <w:sz w:val="32"/>
          <w:szCs w:val="32"/>
          <w:highlight w:val="none"/>
          <w:lang w:eastAsia="zh-CN"/>
        </w:rPr>
        <w:t>XJDTZFCG（GK）2025-036号</w:t>
      </w:r>
    </w:p>
    <w:p w14:paraId="629C03C9">
      <w:pPr>
        <w:pStyle w:val="38"/>
        <w:tabs>
          <w:tab w:val="left" w:pos="5527"/>
        </w:tabs>
        <w:spacing w:line="360" w:lineRule="auto"/>
        <w:jc w:val="both"/>
        <w:outlineLvl w:val="9"/>
        <w:rPr>
          <w:rFonts w:hint="eastAsia" w:ascii="宋体" w:hAnsi="宋体" w:eastAsia="宋体" w:cs="宋体"/>
          <w:b/>
          <w:bCs/>
          <w:color w:val="auto"/>
          <w:sz w:val="32"/>
          <w:szCs w:val="32"/>
          <w:highlight w:val="none"/>
        </w:rPr>
      </w:pPr>
    </w:p>
    <w:p w14:paraId="26B4645A">
      <w:pPr>
        <w:pStyle w:val="38"/>
        <w:tabs>
          <w:tab w:val="left" w:pos="5527"/>
        </w:tabs>
        <w:spacing w:line="360" w:lineRule="auto"/>
        <w:jc w:val="center"/>
        <w:outlineLvl w:val="9"/>
        <w:rPr>
          <w:rFonts w:hint="eastAsia" w:ascii="宋体" w:hAnsi="宋体" w:eastAsia="宋体" w:cs="宋体"/>
          <w:b/>
          <w:bCs/>
          <w:color w:val="auto"/>
          <w:sz w:val="32"/>
          <w:szCs w:val="32"/>
          <w:highlight w:val="none"/>
        </w:rPr>
      </w:pPr>
    </w:p>
    <w:p w14:paraId="0D375E7E">
      <w:pPr>
        <w:pStyle w:val="38"/>
        <w:tabs>
          <w:tab w:val="left" w:pos="5527"/>
        </w:tabs>
        <w:spacing w:line="360" w:lineRule="auto"/>
        <w:jc w:val="center"/>
        <w:outlineLvl w:val="9"/>
        <w:rPr>
          <w:rFonts w:hint="eastAsia" w:ascii="宋体" w:hAnsi="宋体" w:eastAsia="宋体" w:cs="宋体"/>
          <w:b/>
          <w:bCs/>
          <w:color w:val="auto"/>
          <w:sz w:val="32"/>
          <w:szCs w:val="32"/>
          <w:highlight w:val="none"/>
        </w:rPr>
      </w:pPr>
    </w:p>
    <w:p w14:paraId="3644FF3D">
      <w:pPr>
        <w:pStyle w:val="13"/>
        <w:tabs>
          <w:tab w:val="left" w:pos="5527"/>
        </w:tabs>
        <w:spacing w:line="360" w:lineRule="auto"/>
        <w:ind w:firstLine="643" w:firstLineChars="200"/>
        <w:outlineLvl w:val="9"/>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采购人：</w:t>
      </w:r>
      <w:r>
        <w:rPr>
          <w:rFonts w:hint="eastAsia" w:ascii="宋体" w:hAnsi="宋体" w:cs="宋体"/>
          <w:b/>
          <w:color w:val="auto"/>
          <w:sz w:val="32"/>
          <w:szCs w:val="32"/>
          <w:highlight w:val="none"/>
          <w:lang w:eastAsia="zh-CN"/>
        </w:rPr>
        <w:t xml:space="preserve">库尔勒市实验幼儿园     </w:t>
      </w:r>
    </w:p>
    <w:p w14:paraId="6455C36A">
      <w:pPr>
        <w:pStyle w:val="13"/>
        <w:tabs>
          <w:tab w:val="left" w:pos="5527"/>
        </w:tabs>
        <w:spacing w:line="360" w:lineRule="auto"/>
        <w:outlineLvl w:val="9"/>
        <w:rPr>
          <w:rFonts w:hint="eastAsia" w:ascii="宋体" w:hAnsi="宋体" w:eastAsia="宋体" w:cs="宋体"/>
          <w:b/>
          <w:color w:val="auto"/>
          <w:sz w:val="32"/>
          <w:szCs w:val="32"/>
          <w:highlight w:val="none"/>
        </w:rPr>
      </w:pPr>
    </w:p>
    <w:p w14:paraId="290958AD">
      <w:pPr>
        <w:pStyle w:val="13"/>
        <w:tabs>
          <w:tab w:val="left" w:pos="5527"/>
        </w:tabs>
        <w:spacing w:line="360" w:lineRule="auto"/>
        <w:ind w:firstLine="643" w:firstLineChars="200"/>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采购代理机构：</w:t>
      </w:r>
      <w:r>
        <w:rPr>
          <w:rFonts w:hint="eastAsia" w:ascii="宋体" w:hAnsi="宋体" w:eastAsia="宋体" w:cs="宋体"/>
          <w:b/>
          <w:color w:val="auto"/>
          <w:sz w:val="32"/>
          <w:szCs w:val="32"/>
          <w:highlight w:val="none"/>
          <w:lang w:eastAsia="zh-CN"/>
        </w:rPr>
        <w:t>新疆德泰</w:t>
      </w:r>
      <w:r>
        <w:rPr>
          <w:rFonts w:hint="eastAsia" w:ascii="宋体" w:hAnsi="宋体" w:eastAsia="宋体" w:cs="宋体"/>
          <w:b/>
          <w:color w:val="auto"/>
          <w:sz w:val="32"/>
          <w:szCs w:val="32"/>
          <w:highlight w:val="none"/>
        </w:rPr>
        <w:t>工程项目管理服务有限公司</w:t>
      </w:r>
    </w:p>
    <w:p w14:paraId="29A24B16">
      <w:pPr>
        <w:pStyle w:val="13"/>
        <w:tabs>
          <w:tab w:val="left" w:pos="5527"/>
        </w:tabs>
        <w:spacing w:line="360" w:lineRule="auto"/>
        <w:outlineLvl w:val="9"/>
        <w:rPr>
          <w:rFonts w:hint="eastAsia" w:ascii="宋体" w:hAnsi="宋体" w:eastAsia="宋体" w:cs="宋体"/>
          <w:b/>
          <w:color w:val="auto"/>
          <w:sz w:val="32"/>
          <w:szCs w:val="32"/>
          <w:highlight w:val="none"/>
        </w:rPr>
      </w:pPr>
    </w:p>
    <w:p w14:paraId="72E7967C">
      <w:pPr>
        <w:tabs>
          <w:tab w:val="left" w:pos="5527"/>
        </w:tabs>
        <w:spacing w:line="520" w:lineRule="exac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日期：</w:t>
      </w:r>
      <w:r>
        <w:rPr>
          <w:rFonts w:hint="eastAsia" w:ascii="宋体" w:hAnsi="宋体" w:eastAsia="宋体" w:cs="宋体"/>
          <w:b/>
          <w:color w:val="auto"/>
          <w:sz w:val="32"/>
          <w:szCs w:val="32"/>
          <w:highlight w:val="none"/>
          <w:lang w:val="en-US" w:eastAsia="zh-CN"/>
        </w:rPr>
        <w:t>202</w:t>
      </w:r>
      <w:r>
        <w:rPr>
          <w:rFonts w:hint="eastAsia" w:ascii="宋体" w:hAnsi="宋体" w:cs="宋体"/>
          <w:b/>
          <w:color w:val="auto"/>
          <w:sz w:val="32"/>
          <w:szCs w:val="32"/>
          <w:highlight w:val="none"/>
          <w:lang w:val="en-US" w:eastAsia="zh-CN"/>
        </w:rPr>
        <w:t>5</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07</w:t>
      </w:r>
      <w:r>
        <w:rPr>
          <w:rFonts w:hint="eastAsia" w:ascii="宋体" w:hAnsi="宋体" w:eastAsia="宋体" w:cs="宋体"/>
          <w:b/>
          <w:color w:val="auto"/>
          <w:sz w:val="32"/>
          <w:szCs w:val="32"/>
          <w:highlight w:val="none"/>
        </w:rPr>
        <w:t>月</w:t>
      </w:r>
    </w:p>
    <w:p w14:paraId="6C18D1B9">
      <w:pPr>
        <w:tabs>
          <w:tab w:val="left" w:pos="5527"/>
        </w:tabs>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62EB2D65">
      <w:pPr>
        <w:rPr>
          <w:rFonts w:hint="eastAsia" w:ascii="宋体" w:hAnsi="宋体" w:eastAsia="宋体" w:cs="宋体"/>
          <w:b/>
          <w:bCs/>
          <w:color w:val="auto"/>
          <w:kern w:val="0"/>
          <w:sz w:val="44"/>
          <w:szCs w:val="44"/>
          <w:highlight w:val="none"/>
        </w:rPr>
      </w:pPr>
      <w:r>
        <w:rPr>
          <w:rFonts w:hint="eastAsia" w:ascii="宋体" w:hAnsi="宋体" w:eastAsia="宋体" w:cs="宋体"/>
          <w:b/>
          <w:bCs/>
          <w:color w:val="auto"/>
          <w:kern w:val="0"/>
          <w:sz w:val="44"/>
          <w:szCs w:val="44"/>
          <w:highlight w:val="none"/>
        </w:rPr>
        <w:br w:type="page"/>
      </w:r>
    </w:p>
    <w:p w14:paraId="3F0A3D99">
      <w:pPr>
        <w:tabs>
          <w:tab w:val="left" w:pos="5527"/>
        </w:tabs>
        <w:spacing w:line="520" w:lineRule="exact"/>
        <w:jc w:val="center"/>
        <w:outlineLvl w:val="9"/>
        <w:rPr>
          <w:rFonts w:hint="eastAsia" w:ascii="宋体" w:hAnsi="宋体" w:eastAsia="宋体" w:cs="宋体"/>
          <w:b/>
          <w:bCs/>
          <w:color w:val="auto"/>
          <w:kern w:val="0"/>
          <w:sz w:val="44"/>
          <w:szCs w:val="44"/>
          <w:highlight w:val="none"/>
        </w:rPr>
      </w:pPr>
      <w:r>
        <w:rPr>
          <w:rFonts w:hint="eastAsia" w:ascii="宋体" w:hAnsi="宋体" w:eastAsia="宋体" w:cs="宋体"/>
          <w:b/>
          <w:bCs/>
          <w:color w:val="auto"/>
          <w:kern w:val="0"/>
          <w:sz w:val="44"/>
          <w:szCs w:val="44"/>
          <w:highlight w:val="none"/>
        </w:rPr>
        <w:t>目 录</w:t>
      </w:r>
    </w:p>
    <w:p w14:paraId="29030575">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"1-1" \h \u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_Toc24348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rPr>
        <w:t>第一章</w:t>
      </w:r>
      <w:r>
        <w:rPr>
          <w:rFonts w:hint="eastAsia" w:ascii="宋体" w:hAnsi="宋体" w:eastAsia="宋体" w:cs="宋体"/>
          <w:bCs/>
          <w:color w:val="auto"/>
          <w:szCs w:val="32"/>
          <w:highlight w:val="none"/>
          <w:lang w:val="en-US" w:eastAsia="zh-CN"/>
        </w:rPr>
        <w:t xml:space="preserve"> 公开招标公告</w:t>
      </w:r>
      <w:r>
        <w:rPr>
          <w:color w:val="auto"/>
          <w:highlight w:val="none"/>
        </w:rPr>
        <w:tab/>
      </w:r>
      <w:r>
        <w:rPr>
          <w:color w:val="auto"/>
          <w:highlight w:val="none"/>
        </w:rPr>
        <w:fldChar w:fldCharType="begin"/>
      </w:r>
      <w:r>
        <w:rPr>
          <w:color w:val="auto"/>
          <w:highlight w:val="none"/>
        </w:rPr>
        <w:instrText xml:space="preserve"> PAGEREF _Toc24348 \h </w:instrText>
      </w:r>
      <w:r>
        <w:rPr>
          <w:color w:val="auto"/>
          <w:highlight w:val="none"/>
        </w:rPr>
        <w:fldChar w:fldCharType="separate"/>
      </w:r>
      <w:r>
        <w:rPr>
          <w:color w:val="auto"/>
          <w:highlight w:val="none"/>
        </w:rPr>
        <w:t>- 1 -</w:t>
      </w:r>
      <w:r>
        <w:rPr>
          <w:color w:val="auto"/>
          <w:highlight w:val="none"/>
        </w:rPr>
        <w:fldChar w:fldCharType="end"/>
      </w:r>
      <w:r>
        <w:rPr>
          <w:rFonts w:hint="eastAsia" w:ascii="宋体" w:hAnsi="宋体" w:eastAsia="宋体" w:cs="宋体"/>
          <w:color w:val="auto"/>
          <w:highlight w:val="none"/>
        </w:rPr>
        <w:fldChar w:fldCharType="end"/>
      </w:r>
    </w:p>
    <w:p w14:paraId="224C5635">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_Toc3381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rPr>
        <w:t>第二章 供应商须知</w:t>
      </w:r>
      <w:r>
        <w:rPr>
          <w:color w:val="auto"/>
          <w:highlight w:val="none"/>
        </w:rPr>
        <w:tab/>
      </w:r>
      <w:r>
        <w:rPr>
          <w:color w:val="auto"/>
          <w:highlight w:val="none"/>
        </w:rPr>
        <w:fldChar w:fldCharType="begin"/>
      </w:r>
      <w:r>
        <w:rPr>
          <w:color w:val="auto"/>
          <w:highlight w:val="none"/>
        </w:rPr>
        <w:instrText xml:space="preserve"> PAGEREF _Toc3381 \h </w:instrText>
      </w:r>
      <w:r>
        <w:rPr>
          <w:color w:val="auto"/>
          <w:highlight w:val="none"/>
        </w:rPr>
        <w:fldChar w:fldCharType="separate"/>
      </w:r>
      <w:r>
        <w:rPr>
          <w:color w:val="auto"/>
          <w:highlight w:val="none"/>
        </w:rPr>
        <w:t>- 4 -</w:t>
      </w:r>
      <w:r>
        <w:rPr>
          <w:color w:val="auto"/>
          <w:highlight w:val="none"/>
        </w:rPr>
        <w:fldChar w:fldCharType="end"/>
      </w:r>
      <w:r>
        <w:rPr>
          <w:rFonts w:hint="eastAsia" w:ascii="宋体" w:hAnsi="宋体" w:eastAsia="宋体" w:cs="宋体"/>
          <w:color w:val="auto"/>
          <w:highlight w:val="none"/>
        </w:rPr>
        <w:fldChar w:fldCharType="end"/>
      </w:r>
    </w:p>
    <w:p w14:paraId="24A24881">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_Toc6040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lang w:val="en-US" w:eastAsia="zh-CN"/>
        </w:rPr>
        <w:t>供应商须知正文部分</w:t>
      </w:r>
      <w:r>
        <w:rPr>
          <w:color w:val="auto"/>
          <w:highlight w:val="none"/>
        </w:rPr>
        <w:tab/>
      </w:r>
      <w:r>
        <w:rPr>
          <w:color w:val="auto"/>
          <w:highlight w:val="none"/>
        </w:rPr>
        <w:fldChar w:fldCharType="begin"/>
      </w:r>
      <w:r>
        <w:rPr>
          <w:color w:val="auto"/>
          <w:highlight w:val="none"/>
        </w:rPr>
        <w:instrText xml:space="preserve"> PAGEREF _Toc6040 \h </w:instrText>
      </w:r>
      <w:r>
        <w:rPr>
          <w:color w:val="auto"/>
          <w:highlight w:val="none"/>
        </w:rPr>
        <w:fldChar w:fldCharType="separate"/>
      </w:r>
      <w:r>
        <w:rPr>
          <w:color w:val="auto"/>
          <w:highlight w:val="none"/>
        </w:rPr>
        <w:t>- 11 -</w:t>
      </w:r>
      <w:r>
        <w:rPr>
          <w:color w:val="auto"/>
          <w:highlight w:val="none"/>
        </w:rPr>
        <w:fldChar w:fldCharType="end"/>
      </w:r>
      <w:r>
        <w:rPr>
          <w:rFonts w:hint="eastAsia" w:ascii="宋体" w:hAnsi="宋体" w:eastAsia="宋体" w:cs="宋体"/>
          <w:color w:val="auto"/>
          <w:highlight w:val="none"/>
        </w:rPr>
        <w:fldChar w:fldCharType="end"/>
      </w:r>
    </w:p>
    <w:p w14:paraId="4CE74E3B">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_Toc25941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lang w:val="en-US" w:eastAsia="zh-CN"/>
        </w:rPr>
        <w:t>第三章 采购清单</w:t>
      </w:r>
      <w:r>
        <w:rPr>
          <w:color w:val="auto"/>
          <w:highlight w:val="none"/>
        </w:rPr>
        <w:tab/>
      </w:r>
      <w:r>
        <w:rPr>
          <w:color w:val="auto"/>
          <w:highlight w:val="none"/>
        </w:rPr>
        <w:fldChar w:fldCharType="begin"/>
      </w:r>
      <w:r>
        <w:rPr>
          <w:color w:val="auto"/>
          <w:highlight w:val="none"/>
        </w:rPr>
        <w:instrText xml:space="preserve"> PAGEREF _Toc25941 \h </w:instrText>
      </w:r>
      <w:r>
        <w:rPr>
          <w:color w:val="auto"/>
          <w:highlight w:val="none"/>
        </w:rPr>
        <w:fldChar w:fldCharType="separate"/>
      </w:r>
      <w:r>
        <w:rPr>
          <w:color w:val="auto"/>
          <w:highlight w:val="none"/>
        </w:rPr>
        <w:t>- 26 -</w:t>
      </w:r>
      <w:r>
        <w:rPr>
          <w:color w:val="auto"/>
          <w:highlight w:val="none"/>
        </w:rPr>
        <w:fldChar w:fldCharType="end"/>
      </w:r>
      <w:r>
        <w:rPr>
          <w:rFonts w:hint="eastAsia" w:ascii="宋体" w:hAnsi="宋体" w:eastAsia="宋体" w:cs="宋体"/>
          <w:color w:val="auto"/>
          <w:highlight w:val="none"/>
        </w:rPr>
        <w:fldChar w:fldCharType="end"/>
      </w:r>
    </w:p>
    <w:p w14:paraId="2CDDFCB3">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_Toc29852 </w:instrText>
      </w:r>
      <w:r>
        <w:rPr>
          <w:rFonts w:hint="eastAsia" w:ascii="宋体" w:hAnsi="宋体" w:eastAsia="宋体" w:cs="宋体"/>
          <w:color w:val="auto"/>
          <w:highlight w:val="none"/>
        </w:rPr>
        <w:fldChar w:fldCharType="separate"/>
      </w:r>
      <w:r>
        <w:rPr>
          <w:rFonts w:hint="eastAsia" w:ascii="宋体" w:hAnsi="宋体" w:eastAsia="宋体" w:cs="宋体"/>
          <w:bCs/>
          <w:color w:val="auto"/>
          <w:kern w:val="2"/>
          <w:szCs w:val="32"/>
          <w:highlight w:val="none"/>
          <w:lang w:val="en-US" w:eastAsia="zh-CN"/>
        </w:rPr>
        <w:t>第四章 合同</w:t>
      </w:r>
      <w:r>
        <w:rPr>
          <w:rFonts w:hint="eastAsia" w:ascii="宋体" w:hAnsi="宋体" w:eastAsia="宋体" w:cs="宋体"/>
          <w:bCs/>
          <w:color w:val="auto"/>
          <w:szCs w:val="32"/>
          <w:highlight w:val="none"/>
          <w:lang w:val="zh-CN"/>
        </w:rPr>
        <w:t>（</w:t>
      </w:r>
      <w:r>
        <w:rPr>
          <w:rFonts w:hint="eastAsia" w:ascii="宋体" w:hAnsi="宋体" w:eastAsia="宋体" w:cs="宋体"/>
          <w:bCs/>
          <w:color w:val="auto"/>
          <w:szCs w:val="32"/>
          <w:highlight w:val="none"/>
        </w:rPr>
        <w:t>以最终签订合同为准</w:t>
      </w:r>
      <w:r>
        <w:rPr>
          <w:rFonts w:hint="eastAsia" w:ascii="宋体" w:hAnsi="宋体" w:eastAsia="宋体" w:cs="宋体"/>
          <w:bCs/>
          <w:color w:val="auto"/>
          <w:szCs w:val="32"/>
          <w:highlight w:val="none"/>
          <w:lang w:val="zh-CN"/>
        </w:rPr>
        <w:t>）</w:t>
      </w:r>
      <w:r>
        <w:rPr>
          <w:color w:val="auto"/>
          <w:highlight w:val="none"/>
        </w:rPr>
        <w:tab/>
      </w:r>
      <w:r>
        <w:rPr>
          <w:color w:val="auto"/>
          <w:highlight w:val="none"/>
        </w:rPr>
        <w:fldChar w:fldCharType="begin"/>
      </w:r>
      <w:r>
        <w:rPr>
          <w:color w:val="auto"/>
          <w:highlight w:val="none"/>
        </w:rPr>
        <w:instrText xml:space="preserve"> PAGEREF _Toc29852 \h </w:instrText>
      </w:r>
      <w:r>
        <w:rPr>
          <w:color w:val="auto"/>
          <w:highlight w:val="none"/>
        </w:rPr>
        <w:fldChar w:fldCharType="separate"/>
      </w:r>
      <w:r>
        <w:rPr>
          <w:color w:val="auto"/>
          <w:highlight w:val="none"/>
        </w:rPr>
        <w:t>- 30 -</w:t>
      </w:r>
      <w:r>
        <w:rPr>
          <w:color w:val="auto"/>
          <w:highlight w:val="none"/>
        </w:rPr>
        <w:fldChar w:fldCharType="end"/>
      </w:r>
      <w:r>
        <w:rPr>
          <w:rFonts w:hint="eastAsia" w:ascii="宋体" w:hAnsi="宋体" w:eastAsia="宋体" w:cs="宋体"/>
          <w:color w:val="auto"/>
          <w:highlight w:val="none"/>
        </w:rPr>
        <w:fldChar w:fldCharType="end"/>
      </w:r>
    </w:p>
    <w:p w14:paraId="59CE41A2">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_Toc24510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lang w:val="en-US" w:eastAsia="zh-CN"/>
        </w:rPr>
        <w:t>第</w:t>
      </w:r>
      <w:r>
        <w:rPr>
          <w:rFonts w:hint="eastAsia" w:ascii="宋体" w:hAnsi="宋体" w:eastAsia="宋体" w:cs="宋体"/>
          <w:bCs/>
          <w:color w:val="auto"/>
          <w:szCs w:val="32"/>
          <w:highlight w:val="none"/>
          <w:lang w:eastAsia="zh-CN"/>
        </w:rPr>
        <w:t>五章</w:t>
      </w:r>
      <w:r>
        <w:rPr>
          <w:rFonts w:hint="eastAsia" w:ascii="宋体" w:hAnsi="宋体" w:eastAsia="宋体" w:cs="宋体"/>
          <w:bCs/>
          <w:color w:val="auto"/>
          <w:szCs w:val="32"/>
          <w:highlight w:val="none"/>
        </w:rPr>
        <w:t xml:space="preserve"> 主要</w:t>
      </w:r>
      <w:r>
        <w:rPr>
          <w:rFonts w:hint="eastAsia" w:ascii="宋体" w:hAnsi="宋体" w:eastAsia="宋体" w:cs="宋体"/>
          <w:bCs/>
          <w:color w:val="auto"/>
          <w:szCs w:val="32"/>
          <w:highlight w:val="none"/>
          <w:lang w:eastAsia="zh-CN"/>
        </w:rPr>
        <w:t>投标文件</w:t>
      </w:r>
      <w:r>
        <w:rPr>
          <w:rFonts w:hint="eastAsia" w:ascii="宋体" w:hAnsi="宋体" w:eastAsia="宋体" w:cs="宋体"/>
          <w:bCs/>
          <w:color w:val="auto"/>
          <w:szCs w:val="32"/>
          <w:highlight w:val="none"/>
        </w:rPr>
        <w:t>的格式及其内容</w:t>
      </w:r>
      <w:r>
        <w:rPr>
          <w:color w:val="auto"/>
          <w:highlight w:val="none"/>
        </w:rPr>
        <w:tab/>
      </w:r>
      <w:r>
        <w:rPr>
          <w:color w:val="auto"/>
          <w:highlight w:val="none"/>
        </w:rPr>
        <w:fldChar w:fldCharType="begin"/>
      </w:r>
      <w:r>
        <w:rPr>
          <w:color w:val="auto"/>
          <w:highlight w:val="none"/>
        </w:rPr>
        <w:instrText xml:space="preserve"> PAGEREF _Toc24510 \h </w:instrText>
      </w:r>
      <w:r>
        <w:rPr>
          <w:color w:val="auto"/>
          <w:highlight w:val="none"/>
        </w:rPr>
        <w:fldChar w:fldCharType="separate"/>
      </w:r>
      <w:r>
        <w:rPr>
          <w:color w:val="auto"/>
          <w:highlight w:val="none"/>
        </w:rPr>
        <w:t>- 84 -</w:t>
      </w:r>
      <w:r>
        <w:rPr>
          <w:color w:val="auto"/>
          <w:highlight w:val="none"/>
        </w:rPr>
        <w:fldChar w:fldCharType="end"/>
      </w:r>
      <w:r>
        <w:rPr>
          <w:rFonts w:hint="eastAsia" w:ascii="宋体" w:hAnsi="宋体" w:eastAsia="宋体" w:cs="宋体"/>
          <w:color w:val="auto"/>
          <w:highlight w:val="none"/>
        </w:rPr>
        <w:fldChar w:fldCharType="end"/>
      </w:r>
    </w:p>
    <w:p w14:paraId="466F40CF">
      <w:pPr>
        <w:pStyle w:val="23"/>
        <w:spacing w:line="480" w:lineRule="auto"/>
        <w:outlineLvl w:val="9"/>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14:paraId="33508836">
      <w:pPr>
        <w:rPr>
          <w:rFonts w:hint="eastAsia"/>
          <w:color w:val="auto"/>
          <w:highlight w:val="none"/>
        </w:rPr>
      </w:pPr>
      <w:bookmarkStart w:id="1" w:name="_Toc26663"/>
      <w:bookmarkStart w:id="2" w:name="_Toc24631"/>
      <w:bookmarkStart w:id="3" w:name="_Toc7471"/>
      <w:bookmarkStart w:id="4" w:name="_Toc8757"/>
      <w:bookmarkStart w:id="5" w:name="_Toc8184"/>
    </w:p>
    <w:p w14:paraId="5B693306">
      <w:pPr>
        <w:tabs>
          <w:tab w:val="left" w:pos="5527"/>
        </w:tabs>
        <w:spacing w:line="360" w:lineRule="auto"/>
        <w:jc w:val="center"/>
        <w:outlineLvl w:val="9"/>
        <w:rPr>
          <w:rFonts w:hint="eastAsia" w:ascii="宋体" w:hAnsi="宋体" w:eastAsia="宋体" w:cs="宋体"/>
          <w:bCs/>
          <w:color w:val="auto"/>
          <w:szCs w:val="28"/>
          <w:highlight w:val="none"/>
        </w:rPr>
      </w:pPr>
    </w:p>
    <w:p w14:paraId="71F46DF7">
      <w:pPr>
        <w:tabs>
          <w:tab w:val="left" w:pos="5527"/>
        </w:tabs>
        <w:spacing w:line="360" w:lineRule="auto"/>
        <w:jc w:val="center"/>
        <w:outlineLvl w:val="9"/>
        <w:rPr>
          <w:rFonts w:hint="eastAsia" w:ascii="宋体" w:hAnsi="宋体" w:eastAsia="宋体" w:cs="宋体"/>
          <w:b/>
          <w:color w:val="auto"/>
          <w:sz w:val="32"/>
          <w:szCs w:val="32"/>
          <w:highlight w:val="none"/>
        </w:rPr>
      </w:pPr>
      <w:r>
        <w:rPr>
          <w:rFonts w:hint="eastAsia" w:ascii="宋体" w:hAnsi="宋体" w:eastAsia="宋体" w:cs="宋体"/>
          <w:bCs/>
          <w:color w:val="auto"/>
          <w:szCs w:val="28"/>
          <w:highlight w:val="none"/>
        </w:rPr>
        <w:br w:type="page"/>
      </w:r>
      <w:r>
        <w:rPr>
          <w:rFonts w:hint="eastAsia" w:ascii="宋体" w:hAnsi="宋体" w:eastAsia="宋体" w:cs="宋体"/>
          <w:b/>
          <w:color w:val="auto"/>
          <w:sz w:val="40"/>
          <w:szCs w:val="40"/>
          <w:highlight w:val="none"/>
        </w:rPr>
        <w:t>特 别 提 示</w:t>
      </w:r>
      <w:bookmarkEnd w:id="1"/>
      <w:bookmarkEnd w:id="2"/>
      <w:bookmarkEnd w:id="3"/>
      <w:bookmarkEnd w:id="4"/>
      <w:bookmarkEnd w:id="5"/>
    </w:p>
    <w:p w14:paraId="510A76B5">
      <w:pPr>
        <w:tabs>
          <w:tab w:val="left" w:pos="5527"/>
        </w:tabs>
        <w:bidi w:val="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各供应商：</w:t>
      </w:r>
    </w:p>
    <w:p w14:paraId="2988C17E">
      <w:pPr>
        <w:tabs>
          <w:tab w:val="left" w:pos="5527"/>
        </w:tabs>
        <w:bidi w:val="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在参与本次采购项目投标时，请按</w:t>
      </w:r>
      <w:r>
        <w:rPr>
          <w:rFonts w:hint="eastAsia" w:ascii="宋体" w:hAnsi="宋体" w:eastAsia="宋体" w:cs="宋体"/>
          <w:b/>
          <w:bCs/>
          <w:color w:val="auto"/>
          <w:sz w:val="28"/>
          <w:szCs w:val="28"/>
          <w:highlight w:val="none"/>
          <w:lang w:eastAsia="zh-CN"/>
        </w:rPr>
        <w:t>公开招标文件</w:t>
      </w:r>
      <w:r>
        <w:rPr>
          <w:rFonts w:hint="eastAsia" w:ascii="宋体" w:hAnsi="宋体" w:eastAsia="宋体" w:cs="宋体"/>
          <w:b/>
          <w:bCs/>
          <w:color w:val="auto"/>
          <w:sz w:val="28"/>
          <w:szCs w:val="28"/>
          <w:highlight w:val="none"/>
        </w:rPr>
        <w:t>中规定的可能导致无效投标、废标、黑体字要求的内容逐条响应</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若不响应将导致投标失败。</w:t>
      </w:r>
      <w:bookmarkStart w:id="6" w:name="_Toc22470"/>
      <w:bookmarkStart w:id="7" w:name="_Toc16329"/>
      <w:bookmarkStart w:id="8" w:name="_Toc10095"/>
      <w:bookmarkStart w:id="9" w:name="_Toc3329"/>
    </w:p>
    <w:p w14:paraId="193E9F49">
      <w:pPr>
        <w:tabs>
          <w:tab w:val="left" w:pos="5527"/>
        </w:tabs>
        <w:bidi w:val="0"/>
        <w:jc w:val="center"/>
        <w:outlineLvl w:val="9"/>
        <w:rPr>
          <w:rFonts w:hint="eastAsia" w:ascii="宋体" w:hAnsi="宋体" w:eastAsia="宋体" w:cs="宋体"/>
          <w:b/>
          <w:bCs/>
          <w:color w:val="auto"/>
          <w:sz w:val="32"/>
          <w:szCs w:val="21"/>
          <w:highlight w:val="none"/>
        </w:rPr>
        <w:sectPr>
          <w:headerReference r:id="rId4" w:type="first"/>
          <w:footerReference r:id="rId6" w:type="first"/>
          <w:headerReference r:id="rId3" w:type="default"/>
          <w:footerReference r:id="rId5" w:type="default"/>
          <w:pgSz w:w="11906" w:h="16838"/>
          <w:pgMar w:top="1418" w:right="1701" w:bottom="1418" w:left="1701"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0C01F5CB">
      <w:pPr>
        <w:tabs>
          <w:tab w:val="left" w:pos="5527"/>
        </w:tabs>
        <w:spacing w:line="360" w:lineRule="auto"/>
        <w:jc w:val="center"/>
        <w:outlineLvl w:val="0"/>
        <w:rPr>
          <w:rStyle w:val="39"/>
          <w:rFonts w:hint="eastAsia" w:ascii="宋体" w:hAnsi="宋体" w:eastAsia="宋体" w:cs="宋体"/>
          <w:b/>
          <w:bCs/>
          <w:color w:val="auto"/>
          <w:sz w:val="32"/>
          <w:szCs w:val="32"/>
          <w:highlight w:val="none"/>
        </w:rPr>
      </w:pPr>
      <w:bookmarkStart w:id="10" w:name="_Toc26542"/>
      <w:bookmarkStart w:id="11" w:name="_Toc16301"/>
      <w:bookmarkStart w:id="12" w:name="_Toc24348"/>
      <w:bookmarkStart w:id="13" w:name="_Toc13079"/>
      <w:bookmarkStart w:id="14" w:name="_Toc29181"/>
      <w:bookmarkStart w:id="15" w:name="_Toc3476"/>
      <w:r>
        <w:rPr>
          <w:rStyle w:val="39"/>
          <w:rFonts w:hint="eastAsia" w:ascii="宋体" w:hAnsi="宋体" w:eastAsia="宋体" w:cs="宋体"/>
          <w:b/>
          <w:bCs/>
          <w:color w:val="auto"/>
          <w:sz w:val="32"/>
          <w:szCs w:val="32"/>
          <w:highlight w:val="none"/>
        </w:rPr>
        <w:t>第一章</w:t>
      </w:r>
      <w:r>
        <w:rPr>
          <w:rStyle w:val="39"/>
          <w:rFonts w:hint="eastAsia" w:ascii="宋体" w:hAnsi="宋体" w:eastAsia="宋体" w:cs="宋体"/>
          <w:b/>
          <w:bCs/>
          <w:color w:val="auto"/>
          <w:sz w:val="32"/>
          <w:szCs w:val="32"/>
          <w:highlight w:val="none"/>
          <w:lang w:val="en-US" w:eastAsia="zh-CN"/>
        </w:rPr>
        <w:t xml:space="preserve"> </w:t>
      </w:r>
      <w:bookmarkEnd w:id="6"/>
      <w:bookmarkEnd w:id="7"/>
      <w:bookmarkEnd w:id="8"/>
      <w:bookmarkEnd w:id="9"/>
      <w:r>
        <w:rPr>
          <w:rStyle w:val="39"/>
          <w:rFonts w:hint="eastAsia" w:ascii="宋体" w:hAnsi="宋体" w:eastAsia="宋体" w:cs="宋体"/>
          <w:b/>
          <w:bCs/>
          <w:color w:val="auto"/>
          <w:sz w:val="32"/>
          <w:szCs w:val="32"/>
          <w:highlight w:val="none"/>
          <w:lang w:val="en-US" w:eastAsia="zh-CN"/>
        </w:rPr>
        <w:t>公开招标公告</w:t>
      </w:r>
      <w:bookmarkEnd w:id="10"/>
      <w:bookmarkEnd w:id="11"/>
      <w:bookmarkEnd w:id="12"/>
      <w:bookmarkEnd w:id="13"/>
      <w:bookmarkEnd w:id="14"/>
    </w:p>
    <w:bookmarkEnd w:id="15"/>
    <w:p w14:paraId="659C053C">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项目概况</w:t>
      </w:r>
    </w:p>
    <w:p w14:paraId="33AEB4AD">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库尔勒市实验幼儿园三十八幼分园2025年设施设备采购项目（四次）的潜在供应商应在政采云平台线上获取采购文件，</w:t>
      </w:r>
      <w:r>
        <w:rPr>
          <w:rFonts w:hint="eastAsia" w:ascii="宋体" w:hAnsi="宋体" w:eastAsia="宋体" w:cs="宋体"/>
          <w:color w:val="auto"/>
          <w:sz w:val="24"/>
          <w:szCs w:val="24"/>
          <w:highlight w:val="none"/>
        </w:rPr>
        <w:t>并于</w:t>
      </w:r>
      <w:r>
        <w:rPr>
          <w:rFonts w:hint="eastAsia" w:ascii="宋体" w:hAnsi="宋体" w:cs="宋体"/>
          <w:b/>
          <w:bCs/>
          <w:color w:val="auto"/>
          <w:sz w:val="24"/>
          <w:szCs w:val="24"/>
          <w:highlight w:val="none"/>
          <w:u w:val="single"/>
          <w:lang w:eastAsia="zh-CN"/>
        </w:rPr>
        <w:t>2025年</w:t>
      </w:r>
      <w:r>
        <w:rPr>
          <w:rFonts w:hint="eastAsia" w:ascii="宋体" w:hAnsi="宋体" w:cs="宋体"/>
          <w:b/>
          <w:bCs/>
          <w:color w:val="auto"/>
          <w:sz w:val="24"/>
          <w:szCs w:val="24"/>
          <w:highlight w:val="none"/>
          <w:u w:val="single"/>
          <w:lang w:val="en-US" w:eastAsia="zh-CN"/>
        </w:rPr>
        <w:t>08月04日10时30分</w:t>
      </w:r>
      <w:r>
        <w:rPr>
          <w:rFonts w:hint="eastAsia" w:ascii="宋体" w:hAnsi="宋体" w:eastAsia="宋体" w:cs="宋体"/>
          <w:color w:val="auto"/>
          <w:sz w:val="24"/>
          <w:szCs w:val="24"/>
          <w:highlight w:val="none"/>
        </w:rPr>
        <w:t>（北京时间）前递交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7BDEFDE8">
      <w:pPr>
        <w:keepNext w:val="0"/>
        <w:keepLines w:val="0"/>
        <w:pageBreakBefore w:val="0"/>
        <w:widowControl w:val="0"/>
        <w:numPr>
          <w:ilvl w:val="0"/>
          <w:numId w:val="6"/>
        </w:numPr>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项目基本情况</w:t>
      </w:r>
    </w:p>
    <w:p w14:paraId="4C9A1A48">
      <w:pPr>
        <w:pStyle w:val="10"/>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项目编号：</w:t>
      </w:r>
      <w:r>
        <w:rPr>
          <w:rFonts w:hint="eastAsia" w:cs="宋体"/>
          <w:b/>
          <w:bCs/>
          <w:color w:val="auto"/>
          <w:sz w:val="24"/>
          <w:szCs w:val="24"/>
          <w:highlight w:val="none"/>
          <w:u w:val="none"/>
          <w:lang w:eastAsia="zh-CN"/>
        </w:rPr>
        <w:t>XJDTZFCG（GK）2025-036号</w:t>
      </w:r>
    </w:p>
    <w:p w14:paraId="439BFE5C">
      <w:pPr>
        <w:pStyle w:val="10"/>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rPr>
        <w:t>项目名称：</w:t>
      </w:r>
      <w:r>
        <w:rPr>
          <w:rFonts w:hint="eastAsia" w:cs="宋体"/>
          <w:b/>
          <w:bCs/>
          <w:color w:val="auto"/>
          <w:sz w:val="24"/>
          <w:szCs w:val="24"/>
          <w:highlight w:val="none"/>
          <w:lang w:val="en-US" w:eastAsia="zh-CN"/>
        </w:rPr>
        <w:t>库尔勒市实验幼儿园三十八幼分园2025年设施设备采购项目（四次）</w:t>
      </w:r>
    </w:p>
    <w:p w14:paraId="6D02A71B">
      <w:pPr>
        <w:pStyle w:val="10"/>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采购方式：</w:t>
      </w:r>
      <w:r>
        <w:rPr>
          <w:rFonts w:hint="eastAsia" w:ascii="宋体" w:hAnsi="宋体" w:eastAsia="宋体" w:cs="宋体"/>
          <w:b/>
          <w:bCs/>
          <w:color w:val="auto"/>
          <w:sz w:val="24"/>
          <w:szCs w:val="24"/>
          <w:highlight w:val="none"/>
          <w:lang w:eastAsia="zh-CN"/>
        </w:rPr>
        <w:t>公开招标</w:t>
      </w:r>
    </w:p>
    <w:p w14:paraId="3ACB7F7B">
      <w:pPr>
        <w:pStyle w:val="10"/>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lang w:val="en-US" w:eastAsia="zh-CN"/>
        </w:rPr>
        <w:t>预算金额</w:t>
      </w:r>
      <w:r>
        <w:rPr>
          <w:rFonts w:hint="eastAsia" w:ascii="宋体" w:hAnsi="宋体" w:eastAsia="宋体" w:cs="宋体"/>
          <w:b/>
          <w:bCs/>
          <w:color w:val="auto"/>
          <w:sz w:val="24"/>
          <w:szCs w:val="24"/>
          <w:highlight w:val="none"/>
          <w:u w:val="none"/>
          <w:lang w:val="en-US" w:eastAsia="zh-CN"/>
        </w:rPr>
        <w:t>：</w:t>
      </w:r>
      <w:r>
        <w:rPr>
          <w:rFonts w:hint="eastAsia" w:cs="宋体"/>
          <w:b/>
          <w:bCs/>
          <w:color w:val="auto"/>
          <w:sz w:val="24"/>
          <w:szCs w:val="24"/>
          <w:highlight w:val="none"/>
          <w:u w:val="none"/>
          <w:lang w:val="en-US" w:eastAsia="zh-CN"/>
        </w:rPr>
        <w:t>75万元</w:t>
      </w:r>
    </w:p>
    <w:p w14:paraId="505EEE6A">
      <w:pPr>
        <w:pStyle w:val="10"/>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4" w:firstLineChars="200"/>
        <w:textAlignment w:val="auto"/>
        <w:outlineLvl w:val="9"/>
        <w:rPr>
          <w:rFonts w:hint="eastAsia" w:cs="宋体"/>
          <w:b/>
          <w:bCs/>
          <w:color w:val="auto"/>
          <w:sz w:val="24"/>
          <w:szCs w:val="24"/>
          <w:highlight w:val="none"/>
          <w:u w:val="none"/>
          <w:lang w:val="en-US" w:eastAsia="zh-CN"/>
        </w:rPr>
      </w:pPr>
      <w:r>
        <w:rPr>
          <w:rFonts w:hint="eastAsia" w:cs="宋体"/>
          <w:b/>
          <w:bCs/>
          <w:color w:val="auto"/>
          <w:sz w:val="24"/>
          <w:szCs w:val="24"/>
          <w:highlight w:val="none"/>
          <w:u w:val="none"/>
          <w:lang w:val="en-US" w:eastAsia="zh-CN"/>
        </w:rPr>
        <w:t>最高限价：</w:t>
      </w:r>
      <w:r>
        <w:rPr>
          <w:rFonts w:hint="eastAsia" w:ascii="宋体" w:hAnsi="宋体" w:eastAsia="宋体" w:cs="宋体"/>
          <w:b/>
          <w:bCs/>
          <w:color w:val="auto"/>
          <w:sz w:val="24"/>
          <w:szCs w:val="24"/>
          <w:highlight w:val="none"/>
          <w:lang w:val="en-US" w:eastAsia="zh-CN"/>
        </w:rPr>
        <w:t>标项1：</w:t>
      </w:r>
      <w:r>
        <w:rPr>
          <w:rFonts w:hint="eastAsia" w:cs="宋体"/>
          <w:b/>
          <w:bCs/>
          <w:color w:val="auto"/>
          <w:sz w:val="24"/>
          <w:szCs w:val="24"/>
          <w:highlight w:val="none"/>
          <w:lang w:val="en-US" w:eastAsia="zh-CN"/>
        </w:rPr>
        <w:t>750000.00</w:t>
      </w:r>
      <w:r>
        <w:rPr>
          <w:rFonts w:hint="eastAsia" w:ascii="宋体" w:hAnsi="宋体" w:eastAsia="宋体" w:cs="宋体"/>
          <w:b/>
          <w:bCs/>
          <w:color w:val="auto"/>
          <w:sz w:val="24"/>
          <w:szCs w:val="24"/>
          <w:highlight w:val="none"/>
          <w:lang w:val="en-US" w:eastAsia="zh-CN"/>
        </w:rPr>
        <w:t>元</w:t>
      </w:r>
    </w:p>
    <w:p w14:paraId="658250C3">
      <w:pPr>
        <w:tabs>
          <w:tab w:val="left" w:pos="5527"/>
        </w:tabs>
        <w:spacing w:line="440" w:lineRule="exact"/>
        <w:ind w:firstLine="484"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采购需求：</w:t>
      </w:r>
    </w:p>
    <w:tbl>
      <w:tblPr>
        <w:tblStyle w:val="27"/>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3536"/>
        <w:gridCol w:w="2270"/>
        <w:gridCol w:w="1567"/>
      </w:tblGrid>
      <w:tr w14:paraId="6E51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5" w:type="dxa"/>
            <w:vAlign w:val="center"/>
          </w:tcPr>
          <w:p w14:paraId="29E0591D">
            <w:pPr>
              <w:pStyle w:val="10"/>
              <w:keepNext w:val="0"/>
              <w:keepLines w:val="0"/>
              <w:widowControl w:val="0"/>
              <w:suppressLineNumbers w:val="0"/>
              <w:spacing w:before="0" w:beforeAutospacing="0" w:after="0" w:afterAutospacing="0" w:line="360" w:lineRule="auto"/>
              <w:ind w:left="-63" w:leftChars="-30" w:right="-63" w:rightChars="-30"/>
              <w:jc w:val="center"/>
              <w:rPr>
                <w:rFonts w:hint="default"/>
                <w:b/>
                <w:bCs/>
                <w:color w:val="auto"/>
                <w:spacing w:val="-6"/>
                <w:kern w:val="2"/>
                <w:sz w:val="24"/>
                <w:szCs w:val="24"/>
                <w:highlight w:val="none"/>
              </w:rPr>
            </w:pPr>
            <w:r>
              <w:rPr>
                <w:rFonts w:hint="eastAsia"/>
                <w:b/>
                <w:bCs/>
                <w:color w:val="auto"/>
                <w:spacing w:val="-6"/>
                <w:kern w:val="2"/>
                <w:sz w:val="24"/>
                <w:szCs w:val="24"/>
                <w:highlight w:val="none"/>
              </w:rPr>
              <w:t>标项号</w:t>
            </w:r>
          </w:p>
        </w:tc>
        <w:tc>
          <w:tcPr>
            <w:tcW w:w="3536" w:type="dxa"/>
            <w:vAlign w:val="center"/>
          </w:tcPr>
          <w:p w14:paraId="738D773A">
            <w:pPr>
              <w:pStyle w:val="10"/>
              <w:keepNext w:val="0"/>
              <w:keepLines w:val="0"/>
              <w:widowControl w:val="0"/>
              <w:suppressLineNumbers w:val="0"/>
              <w:spacing w:before="0" w:beforeAutospacing="0" w:after="0" w:afterAutospacing="0" w:line="360" w:lineRule="auto"/>
              <w:ind w:left="-63" w:leftChars="-30" w:right="-63" w:rightChars="-30"/>
              <w:jc w:val="center"/>
              <w:rPr>
                <w:rFonts w:hint="default" w:eastAsia="宋体"/>
                <w:b/>
                <w:bCs/>
                <w:color w:val="auto"/>
                <w:spacing w:val="-6"/>
                <w:kern w:val="2"/>
                <w:sz w:val="24"/>
                <w:szCs w:val="24"/>
                <w:highlight w:val="none"/>
                <w:lang w:val="en-US" w:eastAsia="zh-CN"/>
              </w:rPr>
            </w:pPr>
            <w:r>
              <w:rPr>
                <w:rFonts w:hint="eastAsia"/>
                <w:b/>
                <w:bCs/>
                <w:color w:val="auto"/>
                <w:spacing w:val="-6"/>
                <w:kern w:val="2"/>
                <w:sz w:val="24"/>
                <w:szCs w:val="24"/>
                <w:highlight w:val="none"/>
                <w:lang w:val="en-US" w:eastAsia="zh-CN"/>
              </w:rPr>
              <w:t>标项名称</w:t>
            </w:r>
          </w:p>
        </w:tc>
        <w:tc>
          <w:tcPr>
            <w:tcW w:w="2270" w:type="dxa"/>
            <w:vAlign w:val="center"/>
          </w:tcPr>
          <w:p w14:paraId="551BD5CF">
            <w:pPr>
              <w:pStyle w:val="10"/>
              <w:keepNext w:val="0"/>
              <w:keepLines w:val="0"/>
              <w:widowControl w:val="0"/>
              <w:suppressLineNumbers w:val="0"/>
              <w:spacing w:before="0" w:beforeAutospacing="0" w:after="0" w:afterAutospacing="0" w:line="360" w:lineRule="auto"/>
              <w:ind w:left="-63" w:leftChars="-30" w:right="-63" w:rightChars="-30"/>
              <w:jc w:val="center"/>
              <w:rPr>
                <w:rFonts w:hint="eastAsia" w:eastAsia="宋体"/>
                <w:b/>
                <w:bCs/>
                <w:color w:val="auto"/>
                <w:spacing w:val="-6"/>
                <w:kern w:val="2"/>
                <w:sz w:val="24"/>
                <w:szCs w:val="24"/>
                <w:highlight w:val="none"/>
                <w:lang w:val="en-US" w:eastAsia="zh-CN"/>
              </w:rPr>
            </w:pPr>
            <w:r>
              <w:rPr>
                <w:rFonts w:hint="eastAsia"/>
                <w:b/>
                <w:bCs/>
                <w:color w:val="auto"/>
                <w:spacing w:val="-6"/>
                <w:kern w:val="2"/>
                <w:sz w:val="24"/>
                <w:szCs w:val="24"/>
                <w:highlight w:val="none"/>
              </w:rPr>
              <w:t>预算</w:t>
            </w:r>
            <w:r>
              <w:rPr>
                <w:rFonts w:hint="eastAsia"/>
                <w:b/>
                <w:bCs/>
                <w:color w:val="auto"/>
                <w:spacing w:val="-6"/>
                <w:kern w:val="2"/>
                <w:sz w:val="24"/>
                <w:szCs w:val="24"/>
                <w:highlight w:val="none"/>
                <w:lang w:val="en-US" w:eastAsia="zh-CN"/>
              </w:rPr>
              <w:t>金额</w:t>
            </w:r>
          </w:p>
        </w:tc>
        <w:tc>
          <w:tcPr>
            <w:tcW w:w="1567" w:type="dxa"/>
            <w:vAlign w:val="center"/>
          </w:tcPr>
          <w:p w14:paraId="65CFB267">
            <w:pPr>
              <w:pStyle w:val="10"/>
              <w:keepNext w:val="0"/>
              <w:keepLines w:val="0"/>
              <w:widowControl w:val="0"/>
              <w:suppressLineNumbers w:val="0"/>
              <w:spacing w:before="0" w:beforeAutospacing="0" w:after="0" w:afterAutospacing="0" w:line="360" w:lineRule="auto"/>
              <w:ind w:left="-63" w:leftChars="-30" w:right="-63" w:rightChars="-30"/>
              <w:jc w:val="center"/>
              <w:rPr>
                <w:rFonts w:hint="eastAsia" w:eastAsia="宋体"/>
                <w:b/>
                <w:bCs/>
                <w:color w:val="auto"/>
                <w:spacing w:val="-6"/>
                <w:kern w:val="2"/>
                <w:sz w:val="24"/>
                <w:szCs w:val="24"/>
                <w:highlight w:val="none"/>
                <w:lang w:val="en-US" w:eastAsia="zh-CN"/>
              </w:rPr>
            </w:pPr>
            <w:r>
              <w:rPr>
                <w:rFonts w:hint="eastAsia"/>
                <w:b/>
                <w:bCs/>
                <w:color w:val="auto"/>
                <w:spacing w:val="-6"/>
                <w:kern w:val="2"/>
                <w:sz w:val="24"/>
                <w:szCs w:val="24"/>
                <w:highlight w:val="none"/>
                <w:lang w:val="en-US" w:eastAsia="zh-CN"/>
              </w:rPr>
              <w:t>质保期</w:t>
            </w:r>
          </w:p>
        </w:tc>
      </w:tr>
      <w:tr w14:paraId="547B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185" w:type="dxa"/>
            <w:vAlign w:val="center"/>
          </w:tcPr>
          <w:p w14:paraId="2AF517EB">
            <w:pPr>
              <w:pStyle w:val="10"/>
              <w:keepNext w:val="0"/>
              <w:keepLines w:val="0"/>
              <w:widowControl w:val="0"/>
              <w:suppressLineNumbers w:val="0"/>
              <w:spacing w:before="0" w:beforeAutospacing="0" w:after="0" w:afterAutospacing="0" w:line="360" w:lineRule="auto"/>
              <w:ind w:left="-63" w:leftChars="-30" w:right="-63" w:rightChars="-30"/>
              <w:jc w:val="center"/>
              <w:rPr>
                <w:rFonts w:hint="eastAsia" w:eastAsia="宋体"/>
                <w:b/>
                <w:bCs/>
                <w:color w:val="auto"/>
                <w:spacing w:val="-6"/>
                <w:kern w:val="2"/>
                <w:sz w:val="24"/>
                <w:szCs w:val="24"/>
                <w:highlight w:val="none"/>
                <w:lang w:eastAsia="zh-CN"/>
              </w:rPr>
            </w:pPr>
            <w:r>
              <w:rPr>
                <w:rFonts w:hint="eastAsia"/>
                <w:b/>
                <w:bCs/>
                <w:color w:val="auto"/>
                <w:spacing w:val="-6"/>
                <w:kern w:val="2"/>
                <w:sz w:val="24"/>
                <w:szCs w:val="24"/>
                <w:highlight w:val="none"/>
              </w:rPr>
              <w:t>标项</w:t>
            </w:r>
            <w:r>
              <w:rPr>
                <w:rFonts w:hint="eastAsia"/>
                <w:b/>
                <w:bCs/>
                <w:color w:val="auto"/>
                <w:spacing w:val="-6"/>
                <w:kern w:val="2"/>
                <w:sz w:val="24"/>
                <w:szCs w:val="24"/>
                <w:highlight w:val="none"/>
                <w:lang w:val="en-US" w:eastAsia="zh-CN"/>
              </w:rPr>
              <w:t>1</w:t>
            </w:r>
          </w:p>
        </w:tc>
        <w:tc>
          <w:tcPr>
            <w:tcW w:w="3536" w:type="dxa"/>
            <w:vAlign w:val="center"/>
          </w:tcPr>
          <w:p w14:paraId="0E5220BD">
            <w:pPr>
              <w:pStyle w:val="10"/>
              <w:keepNext w:val="0"/>
              <w:keepLines w:val="0"/>
              <w:widowControl w:val="0"/>
              <w:suppressLineNumbers w:val="0"/>
              <w:spacing w:before="0" w:beforeAutospacing="0" w:after="0" w:afterAutospacing="0" w:line="360" w:lineRule="auto"/>
              <w:ind w:left="-63" w:leftChars="-30" w:right="-63" w:rightChars="-30"/>
              <w:jc w:val="center"/>
              <w:rPr>
                <w:rFonts w:hint="default" w:ascii="宋体" w:hAnsi="宋体" w:eastAsia="宋体" w:cs="宋体"/>
                <w:b/>
                <w:bCs/>
                <w:color w:val="auto"/>
                <w:spacing w:val="-6"/>
                <w:kern w:val="2"/>
                <w:sz w:val="24"/>
                <w:szCs w:val="24"/>
                <w:highlight w:val="none"/>
                <w:lang w:val="en-US" w:eastAsia="zh-CN" w:bidi="ar-SA"/>
              </w:rPr>
            </w:pPr>
            <w:r>
              <w:rPr>
                <w:rFonts w:hint="eastAsia" w:cs="宋体"/>
                <w:b/>
                <w:bCs/>
                <w:color w:val="auto"/>
                <w:spacing w:val="-6"/>
                <w:kern w:val="2"/>
                <w:sz w:val="24"/>
                <w:szCs w:val="24"/>
                <w:highlight w:val="none"/>
                <w:lang w:val="en-US" w:eastAsia="zh-CN" w:bidi="ar-SA"/>
              </w:rPr>
              <w:t>班级</w:t>
            </w:r>
            <w:r>
              <w:rPr>
                <w:rFonts w:hint="eastAsia" w:ascii="宋体" w:hAnsi="宋体" w:eastAsia="宋体" w:cs="宋体"/>
                <w:b/>
                <w:bCs/>
                <w:color w:val="auto"/>
                <w:spacing w:val="-6"/>
                <w:kern w:val="2"/>
                <w:sz w:val="24"/>
                <w:szCs w:val="24"/>
                <w:highlight w:val="none"/>
                <w:lang w:val="en-US" w:eastAsia="zh-CN" w:bidi="ar-SA"/>
              </w:rPr>
              <w:t>设备采购及教学设备</w:t>
            </w:r>
            <w:r>
              <w:rPr>
                <w:rFonts w:hint="eastAsia" w:cs="宋体"/>
                <w:b/>
                <w:bCs/>
                <w:color w:val="auto"/>
                <w:spacing w:val="-6"/>
                <w:kern w:val="2"/>
                <w:sz w:val="24"/>
                <w:szCs w:val="24"/>
                <w:highlight w:val="none"/>
                <w:lang w:val="en-US" w:eastAsia="zh-CN" w:bidi="ar-SA"/>
              </w:rPr>
              <w:t>、厨房设备采购</w:t>
            </w:r>
          </w:p>
        </w:tc>
        <w:tc>
          <w:tcPr>
            <w:tcW w:w="2270" w:type="dxa"/>
            <w:vAlign w:val="center"/>
          </w:tcPr>
          <w:p w14:paraId="2F0B6425">
            <w:pPr>
              <w:pStyle w:val="10"/>
              <w:keepNext w:val="0"/>
              <w:keepLines w:val="0"/>
              <w:widowControl w:val="0"/>
              <w:suppressLineNumbers w:val="0"/>
              <w:spacing w:before="0" w:beforeAutospacing="0" w:after="0" w:afterAutospacing="0" w:line="360" w:lineRule="auto"/>
              <w:ind w:left="-63" w:leftChars="-30" w:right="-63" w:rightChars="-30"/>
              <w:jc w:val="center"/>
              <w:rPr>
                <w:rFonts w:hint="default" w:ascii="宋体" w:hAnsi="宋体" w:eastAsia="宋体" w:cs="宋体"/>
                <w:b/>
                <w:bCs/>
                <w:color w:val="auto"/>
                <w:spacing w:val="-6"/>
                <w:kern w:val="2"/>
                <w:sz w:val="24"/>
                <w:szCs w:val="24"/>
                <w:highlight w:val="none"/>
                <w:lang w:val="en-US" w:eastAsia="zh-CN" w:bidi="ar-SA"/>
              </w:rPr>
            </w:pPr>
            <w:r>
              <w:rPr>
                <w:rFonts w:hint="eastAsia" w:cs="宋体"/>
                <w:b/>
                <w:bCs/>
                <w:color w:val="auto"/>
                <w:sz w:val="24"/>
                <w:szCs w:val="24"/>
                <w:highlight w:val="none"/>
                <w:lang w:val="en-US" w:eastAsia="zh-CN"/>
              </w:rPr>
              <w:t>750000.00</w:t>
            </w:r>
            <w:r>
              <w:rPr>
                <w:rFonts w:hint="eastAsia"/>
                <w:b/>
                <w:bCs/>
                <w:color w:val="auto"/>
                <w:spacing w:val="-6"/>
                <w:kern w:val="2"/>
                <w:sz w:val="24"/>
                <w:szCs w:val="24"/>
                <w:highlight w:val="none"/>
                <w:lang w:val="en-US" w:eastAsia="zh-CN"/>
              </w:rPr>
              <w:t>元</w:t>
            </w:r>
          </w:p>
        </w:tc>
        <w:tc>
          <w:tcPr>
            <w:tcW w:w="1567" w:type="dxa"/>
            <w:vAlign w:val="center"/>
          </w:tcPr>
          <w:p w14:paraId="3ADEB804">
            <w:pPr>
              <w:pStyle w:val="10"/>
              <w:keepNext w:val="0"/>
              <w:keepLines w:val="0"/>
              <w:widowControl w:val="0"/>
              <w:suppressLineNumbers w:val="0"/>
              <w:spacing w:before="0" w:beforeAutospacing="0" w:after="0" w:afterAutospacing="0" w:line="360" w:lineRule="auto"/>
              <w:ind w:left="-63" w:leftChars="-30" w:right="-63" w:rightChars="-30"/>
              <w:jc w:val="center"/>
              <w:rPr>
                <w:rFonts w:hint="default" w:ascii="宋体" w:hAnsi="宋体" w:eastAsia="宋体" w:cs="宋体"/>
                <w:b/>
                <w:bCs/>
                <w:color w:val="auto"/>
                <w:spacing w:val="-6"/>
                <w:kern w:val="2"/>
                <w:sz w:val="24"/>
                <w:szCs w:val="24"/>
                <w:highlight w:val="none"/>
                <w:lang w:val="en-US" w:eastAsia="zh-CN" w:bidi="ar-SA"/>
              </w:rPr>
            </w:pPr>
            <w:r>
              <w:rPr>
                <w:rFonts w:hint="eastAsia"/>
                <w:b/>
                <w:bCs/>
                <w:color w:val="auto"/>
                <w:spacing w:val="-6"/>
                <w:kern w:val="2"/>
                <w:sz w:val="24"/>
                <w:szCs w:val="24"/>
                <w:highlight w:val="none"/>
                <w:lang w:val="en-US" w:eastAsia="zh-CN"/>
              </w:rPr>
              <w:t>三年</w:t>
            </w:r>
          </w:p>
        </w:tc>
      </w:tr>
    </w:tbl>
    <w:p w14:paraId="3C3A3635">
      <w:pPr>
        <w:tabs>
          <w:tab w:val="left" w:pos="5527"/>
        </w:tabs>
        <w:spacing w:line="440" w:lineRule="exact"/>
        <w:rPr>
          <w:rFonts w:hint="eastAsia" w:ascii="宋体" w:hAnsi="宋体" w:eastAsia="宋体" w:cs="宋体"/>
          <w:b/>
          <w:bCs/>
          <w:color w:val="auto"/>
          <w:sz w:val="24"/>
          <w:szCs w:val="24"/>
          <w:highlight w:val="none"/>
        </w:rPr>
      </w:pPr>
    </w:p>
    <w:p w14:paraId="6AF30B93">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合同履行期限（供货期限）：</w:t>
      </w:r>
      <w:r>
        <w:rPr>
          <w:rFonts w:hint="eastAsia" w:ascii="宋体" w:hAnsi="宋体" w:cs="宋体"/>
          <w:b/>
          <w:bCs/>
          <w:color w:val="auto"/>
          <w:sz w:val="24"/>
          <w:szCs w:val="24"/>
          <w:highlight w:val="none"/>
          <w:lang w:val="en-US" w:eastAsia="zh-CN"/>
        </w:rPr>
        <w:t>合同签订后15日内供货并安装调试完毕，具体以实际签订合同为准。</w:t>
      </w:r>
    </w:p>
    <w:p w14:paraId="471604DE">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二、申请人的资格要求</w:t>
      </w:r>
    </w:p>
    <w:p w14:paraId="2ACBA63A">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1、满足《中华人民共和国政府采购法》第二十二条规定</w:t>
      </w:r>
      <w:r>
        <w:rPr>
          <w:rFonts w:hint="eastAsia" w:ascii="宋体" w:hAnsi="宋体" w:eastAsia="宋体" w:cs="宋体"/>
          <w:color w:val="auto"/>
          <w:sz w:val="24"/>
          <w:szCs w:val="24"/>
          <w:highlight w:val="none"/>
          <w:lang w:eastAsia="zh-CN"/>
        </w:rPr>
        <w:t>。</w:t>
      </w:r>
    </w:p>
    <w:p w14:paraId="64506108">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2、落实政府采购政策需满足的资格要求：</w:t>
      </w:r>
    </w:p>
    <w:p w14:paraId="2FF1EC9B">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本项目不专门面向中小企业。若投标供应商所提供的货物全部由符合政策要求的中小/小微企业制造，并按要求提交《中小企业声明函》，给予小型、微型企业享受价格10%扣除，用扣除后的价格参与评审。</w:t>
      </w:r>
    </w:p>
    <w:p w14:paraId="391D246B">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3、本项目基本资格要求：</w:t>
      </w:r>
    </w:p>
    <w:p w14:paraId="2AD34141">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供应商必须是在中华人民共和国境内依法注册的、具有独立承担民事责任的能力，具备有效的营业执照</w:t>
      </w:r>
      <w:r>
        <w:rPr>
          <w:rFonts w:hint="eastAsia" w:ascii="宋体" w:hAnsi="宋体" w:eastAsia="宋体" w:cs="宋体"/>
          <w:color w:val="auto"/>
          <w:sz w:val="24"/>
          <w:szCs w:val="24"/>
          <w:highlight w:val="none"/>
          <w:lang w:eastAsia="zh-CN"/>
        </w:rPr>
        <w:t>；</w:t>
      </w:r>
    </w:p>
    <w:p w14:paraId="77D095FF">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（2）法定代表人身份证或授权委托书及代理人身份证；</w:t>
      </w:r>
    </w:p>
    <w:p w14:paraId="3FCA5F30">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（3）未被“信用中国”（www.creditchina.gov.cn）、中国政府采购网（www.ccgp.gov.cn）列入失信被执行人、重大税收违法案件当事人名单、政府采购严重违法失信行为记录名单；</w:t>
      </w:r>
    </w:p>
    <w:p w14:paraId="44CDF4ED">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（4）依法注册、具有合法资格，并在法律上、财务上与采购人和采购代理机构不发生关系；</w:t>
      </w:r>
    </w:p>
    <w:p w14:paraId="0D692FC8">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（5）单位负责人为同一人或者存在直接控股、管理关系的不同供应商，不得参加同一合同项下的政府采购活动； </w:t>
      </w:r>
    </w:p>
    <w:p w14:paraId="4AEABD57">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（6）符合国家有关法律法规的规定；</w:t>
      </w:r>
    </w:p>
    <w:p w14:paraId="24099C14">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（7）为充分保证完善的售后服务，本项目不接受联合体投标。</w:t>
      </w:r>
    </w:p>
    <w:p w14:paraId="1E5CB7AE">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本项目的特定资格要求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无</w:t>
      </w:r>
    </w:p>
    <w:p w14:paraId="3B94E0A0">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三、获取</w:t>
      </w:r>
      <w:r>
        <w:rPr>
          <w:rFonts w:hint="eastAsia" w:ascii="宋体" w:hAnsi="宋体" w:eastAsia="宋体" w:cs="宋体"/>
          <w:color w:val="auto"/>
          <w:sz w:val="24"/>
          <w:szCs w:val="24"/>
          <w:highlight w:val="none"/>
          <w:lang w:eastAsia="zh-CN"/>
        </w:rPr>
        <w:t>公开招标文件</w:t>
      </w:r>
    </w:p>
    <w:p w14:paraId="3BE3F155">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cs="宋体"/>
          <w:b/>
          <w:bCs/>
          <w:color w:val="auto"/>
          <w:sz w:val="24"/>
          <w:szCs w:val="24"/>
          <w:highlight w:val="none"/>
          <w:u w:val="single"/>
          <w:lang w:eastAsia="zh-CN"/>
        </w:rPr>
        <w:t>2025</w:t>
      </w:r>
      <w:r>
        <w:rPr>
          <w:rFonts w:hint="eastAsia" w:ascii="宋体" w:hAnsi="宋体" w:eastAsia="宋体" w:cs="宋体"/>
          <w:b/>
          <w:bCs/>
          <w:color w:val="auto"/>
          <w:sz w:val="24"/>
          <w:szCs w:val="24"/>
          <w:highlight w:val="none"/>
          <w:u w:val="single"/>
        </w:rPr>
        <w:t>年</w:t>
      </w:r>
      <w:r>
        <w:rPr>
          <w:rFonts w:hint="eastAsia" w:ascii="宋体" w:hAnsi="宋体" w:cs="宋体"/>
          <w:b/>
          <w:bCs/>
          <w:color w:val="auto"/>
          <w:sz w:val="24"/>
          <w:szCs w:val="24"/>
          <w:highlight w:val="none"/>
          <w:u w:val="single"/>
          <w:lang w:val="en-US" w:eastAsia="zh-CN"/>
        </w:rPr>
        <w:t>07</w:t>
      </w:r>
      <w:r>
        <w:rPr>
          <w:rFonts w:hint="eastAsia" w:ascii="宋体" w:hAnsi="宋体" w:eastAsia="宋体" w:cs="宋体"/>
          <w:b/>
          <w:bCs/>
          <w:color w:val="auto"/>
          <w:sz w:val="24"/>
          <w:szCs w:val="24"/>
          <w:highlight w:val="none"/>
          <w:u w:val="single"/>
        </w:rPr>
        <w:t>月</w:t>
      </w:r>
      <w:r>
        <w:rPr>
          <w:rFonts w:hint="eastAsia" w:ascii="宋体" w:hAnsi="宋体" w:cs="宋体"/>
          <w:b/>
          <w:bCs/>
          <w:color w:val="auto"/>
          <w:sz w:val="24"/>
          <w:szCs w:val="24"/>
          <w:highlight w:val="none"/>
          <w:u w:val="single"/>
          <w:lang w:val="en-US" w:eastAsia="zh-CN"/>
        </w:rPr>
        <w:t>14日</w:t>
      </w:r>
      <w:r>
        <w:rPr>
          <w:rFonts w:hint="eastAsia" w:ascii="宋体" w:hAnsi="宋体" w:eastAsia="宋体" w:cs="宋体"/>
          <w:b/>
          <w:bCs/>
          <w:color w:val="auto"/>
          <w:sz w:val="24"/>
          <w:szCs w:val="24"/>
          <w:highlight w:val="none"/>
          <w:u w:val="single"/>
        </w:rPr>
        <w:t>至</w:t>
      </w:r>
      <w:r>
        <w:rPr>
          <w:rFonts w:hint="eastAsia" w:ascii="宋体" w:hAnsi="宋体" w:cs="宋体"/>
          <w:b/>
          <w:bCs/>
          <w:color w:val="auto"/>
          <w:sz w:val="24"/>
          <w:szCs w:val="24"/>
          <w:highlight w:val="none"/>
          <w:u w:val="single"/>
          <w:lang w:eastAsia="zh-CN"/>
        </w:rPr>
        <w:t>2025</w:t>
      </w:r>
      <w:r>
        <w:rPr>
          <w:rFonts w:hint="eastAsia" w:ascii="宋体" w:hAnsi="宋体" w:eastAsia="宋体" w:cs="宋体"/>
          <w:b/>
          <w:bCs/>
          <w:color w:val="auto"/>
          <w:sz w:val="24"/>
          <w:szCs w:val="24"/>
          <w:highlight w:val="none"/>
          <w:u w:val="single"/>
          <w:lang w:eastAsia="zh-CN"/>
        </w:rPr>
        <w:t>年</w:t>
      </w:r>
      <w:r>
        <w:rPr>
          <w:rFonts w:hint="eastAsia" w:ascii="宋体" w:hAnsi="宋体" w:cs="宋体"/>
          <w:b/>
          <w:bCs/>
          <w:color w:val="auto"/>
          <w:sz w:val="24"/>
          <w:szCs w:val="24"/>
          <w:highlight w:val="none"/>
          <w:u w:val="single"/>
          <w:lang w:val="en-US" w:eastAsia="zh-CN"/>
        </w:rPr>
        <w:t>07</w:t>
      </w:r>
      <w:r>
        <w:rPr>
          <w:rFonts w:hint="eastAsia" w:ascii="宋体" w:hAnsi="宋体" w:eastAsia="宋体" w:cs="宋体"/>
          <w:b/>
          <w:bCs/>
          <w:color w:val="auto"/>
          <w:sz w:val="24"/>
          <w:szCs w:val="24"/>
          <w:highlight w:val="none"/>
          <w:u w:val="single"/>
          <w:lang w:eastAsia="zh-CN"/>
        </w:rPr>
        <w:t>月</w:t>
      </w:r>
      <w:r>
        <w:rPr>
          <w:rFonts w:hint="eastAsia" w:ascii="宋体" w:hAnsi="宋体" w:cs="宋体"/>
          <w:b/>
          <w:bCs/>
          <w:color w:val="auto"/>
          <w:sz w:val="24"/>
          <w:szCs w:val="24"/>
          <w:highlight w:val="none"/>
          <w:u w:val="single"/>
          <w:lang w:val="en-US" w:eastAsia="zh-CN"/>
        </w:rPr>
        <w:t>21</w:t>
      </w:r>
      <w:r>
        <w:rPr>
          <w:rFonts w:hint="eastAsia" w:ascii="宋体" w:hAnsi="宋体" w:eastAsia="宋体" w:cs="宋体"/>
          <w:b/>
          <w:bCs/>
          <w:color w:val="auto"/>
          <w:sz w:val="24"/>
          <w:szCs w:val="24"/>
          <w:highlight w:val="none"/>
          <w:u w:val="single"/>
          <w:lang w:eastAsia="zh-CN"/>
        </w:rPr>
        <w:t>日</w:t>
      </w:r>
      <w:r>
        <w:rPr>
          <w:rFonts w:hint="eastAsia" w:ascii="宋体" w:hAnsi="宋体" w:eastAsia="宋体" w:cs="宋体"/>
          <w:b/>
          <w:bCs/>
          <w:color w:val="auto"/>
          <w:sz w:val="24"/>
          <w:szCs w:val="24"/>
          <w:highlight w:val="none"/>
        </w:rPr>
        <w:t>；每天上午10时00分至1</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时</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rPr>
        <w:t>0分，下午1</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时00分至</w:t>
      </w:r>
      <w:r>
        <w:rPr>
          <w:rFonts w:hint="eastAsia" w:ascii="宋体" w:hAnsi="宋体" w:eastAsia="宋体" w:cs="宋体"/>
          <w:b/>
          <w:bCs/>
          <w:color w:val="auto"/>
          <w:sz w:val="24"/>
          <w:szCs w:val="24"/>
          <w:highlight w:val="none"/>
          <w:lang w:val="en-US" w:eastAsia="zh-CN"/>
        </w:rPr>
        <w:t>20</w:t>
      </w:r>
      <w:r>
        <w:rPr>
          <w:rFonts w:hint="eastAsia" w:ascii="宋体" w:hAnsi="宋体" w:eastAsia="宋体" w:cs="宋体"/>
          <w:b/>
          <w:bCs/>
          <w:color w:val="auto"/>
          <w:sz w:val="24"/>
          <w:szCs w:val="24"/>
          <w:highlight w:val="none"/>
        </w:rPr>
        <w:t>时</w:t>
      </w:r>
      <w:r>
        <w:rPr>
          <w:rFonts w:hint="eastAsia" w:ascii="宋体" w:hAnsi="宋体" w:eastAsia="宋体" w:cs="宋体"/>
          <w:b/>
          <w:bCs/>
          <w:color w:val="auto"/>
          <w:sz w:val="24"/>
          <w:szCs w:val="24"/>
          <w:highlight w:val="none"/>
          <w:lang w:val="en-US" w:eastAsia="zh-CN"/>
        </w:rPr>
        <w:t>00</w:t>
      </w:r>
      <w:r>
        <w:rPr>
          <w:rFonts w:hint="eastAsia" w:ascii="宋体" w:hAnsi="宋体" w:eastAsia="宋体" w:cs="宋体"/>
          <w:b/>
          <w:bCs/>
          <w:color w:val="auto"/>
          <w:sz w:val="24"/>
          <w:szCs w:val="24"/>
          <w:highlight w:val="none"/>
        </w:rPr>
        <w:t>分（北京时间，法定节假日除外）</w:t>
      </w:r>
    </w:p>
    <w:p w14:paraId="163E2F96">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地点：政采云平台http://www.zcygov.cn/在线申请获取。</w:t>
      </w:r>
    </w:p>
    <w:p w14:paraId="65622D35">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694B8097">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售价：免费获取</w:t>
      </w:r>
    </w:p>
    <w:p w14:paraId="01496A22">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bookmarkStart w:id="16" w:name="_Toc28359005"/>
      <w:bookmarkStart w:id="17" w:name="_Toc28359082"/>
      <w:bookmarkStart w:id="18" w:name="_Toc35393624"/>
      <w:bookmarkStart w:id="19" w:name="_Toc35393793"/>
      <w:r>
        <w:rPr>
          <w:rFonts w:hint="eastAsia" w:ascii="宋体" w:hAnsi="宋体" w:eastAsia="宋体" w:cs="宋体"/>
          <w:color w:val="auto"/>
          <w:sz w:val="24"/>
          <w:szCs w:val="24"/>
          <w:highlight w:val="none"/>
        </w:rPr>
        <w:t>四、提交</w:t>
      </w:r>
      <w:bookmarkEnd w:id="16"/>
      <w:bookmarkEnd w:id="17"/>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截止时间、开标时间和地点</w:t>
      </w:r>
      <w:bookmarkEnd w:id="18"/>
      <w:bookmarkEnd w:id="19"/>
    </w:p>
    <w:p w14:paraId="511EEAEF">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rPr>
        <w:t>时间：</w:t>
      </w:r>
      <w:r>
        <w:rPr>
          <w:rFonts w:hint="eastAsia" w:ascii="宋体" w:hAnsi="宋体" w:cs="宋体"/>
          <w:b/>
          <w:bCs/>
          <w:color w:val="auto"/>
          <w:sz w:val="24"/>
          <w:szCs w:val="24"/>
          <w:highlight w:val="none"/>
          <w:u w:val="single"/>
          <w:lang w:eastAsia="zh-CN"/>
        </w:rPr>
        <w:t>2025年</w:t>
      </w:r>
      <w:r>
        <w:rPr>
          <w:rFonts w:hint="eastAsia" w:ascii="宋体" w:hAnsi="宋体" w:cs="宋体"/>
          <w:b/>
          <w:bCs/>
          <w:color w:val="auto"/>
          <w:sz w:val="24"/>
          <w:szCs w:val="24"/>
          <w:highlight w:val="none"/>
          <w:u w:val="single"/>
          <w:lang w:val="en-US" w:eastAsia="zh-CN"/>
        </w:rPr>
        <w:t>08月04日10时30分</w:t>
      </w:r>
      <w:r>
        <w:rPr>
          <w:rFonts w:hint="eastAsia" w:ascii="宋体" w:hAnsi="宋体" w:eastAsia="宋体" w:cs="宋体"/>
          <w:b/>
          <w:bCs/>
          <w:color w:val="auto"/>
          <w:sz w:val="24"/>
          <w:szCs w:val="24"/>
          <w:highlight w:val="none"/>
          <w:u w:val="single"/>
        </w:rPr>
        <w:t>（北京时间）</w:t>
      </w:r>
    </w:p>
    <w:p w14:paraId="0D71E013">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地点：投标人登录政采云平台https://www.zcygov.cn/，进入“项目采购-开标评标-右边选择对应项目点击“进入项目”进入开标大厅。</w:t>
      </w:r>
    </w:p>
    <w:p w14:paraId="2198F193">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五、公告期限</w:t>
      </w:r>
    </w:p>
    <w:p w14:paraId="5CDD3CE0">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个工作日。</w:t>
      </w:r>
    </w:p>
    <w:p w14:paraId="6051D910">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六、其他补充事宜</w:t>
      </w:r>
    </w:p>
    <w:p w14:paraId="5BE59BCA">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1、本项目实行网上投标，采用电子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。若供应商参与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，自行承担</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一切费用。</w:t>
      </w:r>
    </w:p>
    <w:p w14:paraId="0C761B2D">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2、各供应商应在开标前应确保成为新疆维吾尔自治区政府采购网正式注册入库供应商，并完成CA数字证书申领。因未注册入库、未办理CA数字证书等原因造成无法投标或投标失败等后果由供应商自行承担。</w:t>
      </w:r>
    </w:p>
    <w:p w14:paraId="3AE022F7">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3、供应商将政采云电子交易客户端下载、安装完成后，可通过账号密码或CA登录客户端进行</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制作。在使用政采云投标客户端时，建议使用WIN7及以上操作系统。客户端请至新疆政府采购网（http://www.ccgp-xinjiang.gov.cn/）下载专区查看，如有问题可拨打政采云客户服务热线95763进行咨询。</w:t>
      </w:r>
    </w:p>
    <w:p w14:paraId="3FEA62AE">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通过“政府采购云平台（www.zcygov.cn）”实行在线投标响应（电子投标），供应商应先安装“政采云电子交易客户端”，并按照本招标文件和“政府采购云平台”的要求，通过“政采云电子交易客户端”编制并加密</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。供应商未按规定加密的</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，“政府采购云平台”将予以拒收。电子投标具体操作流程详见本公告附件《供应商项目采购-电子招投标操作指南》；通过“政府采购云平台”参与在线投标时如遇平台技术问题详询95763。</w:t>
      </w:r>
    </w:p>
    <w:p w14:paraId="65B79DBD">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w:t>
      </w:r>
    </w:p>
    <w:p w14:paraId="46D1E0B0">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6、投标供应商应当在投标截止时间前，将生成的“电子加密</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”上传递交至“政府采购云平台”。投标截止时间以后上传递交的</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将被“政府采购云平台”拒收。</w:t>
      </w:r>
    </w:p>
    <w:p w14:paraId="16E2A37A">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七、对本次采购提出询问，请按以下方式联系</w:t>
      </w:r>
    </w:p>
    <w:p w14:paraId="7A0B0D66">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7102FEF7">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eastAsia="zh-CN"/>
        </w:rPr>
        <w:t xml:space="preserve">库尔勒市实验幼儿园     </w:t>
      </w:r>
    </w:p>
    <w:p w14:paraId="22BDD420">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val="en-US" w:eastAsia="zh-CN"/>
        </w:rPr>
        <w:t>刘霞</w:t>
      </w:r>
      <w:r>
        <w:rPr>
          <w:rFonts w:hint="eastAsia" w:ascii="宋体" w:hAnsi="宋体" w:eastAsia="宋体" w:cs="宋体"/>
          <w:color w:val="auto"/>
          <w:sz w:val="24"/>
          <w:szCs w:val="24"/>
          <w:highlight w:val="none"/>
          <w:lang w:val="en-US" w:eastAsia="zh-CN"/>
        </w:rPr>
        <w:t xml:space="preserve"> </w:t>
      </w:r>
    </w:p>
    <w:p w14:paraId="385731DE">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ascii="宋体" w:hAnsi="宋体" w:cs="宋体"/>
          <w:color w:val="auto"/>
          <w:sz w:val="24"/>
          <w:szCs w:val="24"/>
          <w:highlight w:val="none"/>
          <w:lang w:val="en-US" w:eastAsia="zh-CN"/>
        </w:rPr>
        <w:t>17709968666</w:t>
      </w:r>
    </w:p>
    <w:p w14:paraId="4AD090A2">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采购代理机构信息</w:t>
      </w:r>
    </w:p>
    <w:p w14:paraId="429E0C8B">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称：</w:t>
      </w:r>
      <w:r>
        <w:rPr>
          <w:rFonts w:hint="eastAsia" w:ascii="宋体" w:hAnsi="宋体" w:eastAsia="宋体" w:cs="宋体"/>
          <w:color w:val="auto"/>
          <w:sz w:val="24"/>
          <w:szCs w:val="24"/>
          <w:highlight w:val="none"/>
          <w:lang w:eastAsia="zh-CN"/>
        </w:rPr>
        <w:t>新疆德泰</w:t>
      </w:r>
      <w:r>
        <w:rPr>
          <w:rFonts w:hint="eastAsia" w:ascii="宋体" w:hAnsi="宋体" w:eastAsia="宋体" w:cs="宋体"/>
          <w:color w:val="auto"/>
          <w:sz w:val="24"/>
          <w:szCs w:val="24"/>
          <w:highlight w:val="none"/>
        </w:rPr>
        <w:t>工程项目管理服务有限公司</w:t>
      </w:r>
    </w:p>
    <w:p w14:paraId="06891346">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址：</w:t>
      </w:r>
      <w:r>
        <w:rPr>
          <w:rFonts w:hint="eastAsia" w:ascii="宋体" w:hAnsi="宋体" w:eastAsia="宋体" w:cs="宋体"/>
          <w:color w:val="auto"/>
          <w:sz w:val="24"/>
          <w:szCs w:val="24"/>
          <w:highlight w:val="none"/>
          <w:lang w:val="en-US" w:eastAsia="zh-CN"/>
        </w:rPr>
        <w:t>库尔勒市索克巴格路6号壹品千城商业街2栋3层8号</w:t>
      </w:r>
    </w:p>
    <w:p w14:paraId="6A9B4AC7">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 系 人：</w:t>
      </w:r>
      <w:r>
        <w:rPr>
          <w:rFonts w:hint="eastAsia" w:ascii="宋体" w:hAnsi="宋体" w:cs="宋体"/>
          <w:color w:val="auto"/>
          <w:sz w:val="24"/>
          <w:szCs w:val="24"/>
          <w:highlight w:val="none"/>
          <w:lang w:val="en-US" w:eastAsia="zh-CN"/>
        </w:rPr>
        <w:t>招希智</w:t>
      </w:r>
    </w:p>
    <w:p w14:paraId="50B98D0B">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eastAsia="zh-CN"/>
        </w:rPr>
        <w:t>13070001570</w:t>
      </w:r>
    </w:p>
    <w:p w14:paraId="3AFCFAF1">
      <w:pPr>
        <w:tabs>
          <w:tab w:val="left" w:pos="5527"/>
        </w:tabs>
        <w:outlineLvl w:val="9"/>
        <w:rPr>
          <w:rStyle w:val="39"/>
          <w:rFonts w:hint="eastAsia" w:ascii="宋体" w:hAnsi="宋体" w:eastAsia="宋体" w:cs="宋体"/>
          <w:b/>
          <w:bCs/>
          <w:color w:val="auto"/>
          <w:sz w:val="32"/>
          <w:szCs w:val="32"/>
          <w:highlight w:val="none"/>
        </w:rPr>
      </w:pPr>
      <w:bookmarkStart w:id="20" w:name="_Toc31575"/>
      <w:bookmarkStart w:id="21" w:name="_Toc28183"/>
      <w:bookmarkStart w:id="22" w:name="_Toc3183"/>
      <w:bookmarkStart w:id="23" w:name="_Toc21191"/>
      <w:r>
        <w:rPr>
          <w:rStyle w:val="39"/>
          <w:rFonts w:hint="eastAsia" w:ascii="宋体" w:hAnsi="宋体" w:eastAsia="宋体" w:cs="宋体"/>
          <w:b/>
          <w:bCs/>
          <w:color w:val="auto"/>
          <w:sz w:val="32"/>
          <w:szCs w:val="32"/>
          <w:highlight w:val="none"/>
        </w:rPr>
        <w:br w:type="page"/>
      </w:r>
    </w:p>
    <w:p w14:paraId="44638289">
      <w:pPr>
        <w:tabs>
          <w:tab w:val="left" w:pos="5527"/>
        </w:tabs>
        <w:spacing w:line="360" w:lineRule="auto"/>
        <w:jc w:val="center"/>
        <w:outlineLvl w:val="0"/>
        <w:rPr>
          <w:rStyle w:val="39"/>
          <w:rFonts w:hint="eastAsia" w:ascii="宋体" w:hAnsi="宋体" w:eastAsia="宋体" w:cs="宋体"/>
          <w:b/>
          <w:bCs/>
          <w:color w:val="auto"/>
          <w:sz w:val="32"/>
          <w:szCs w:val="32"/>
          <w:highlight w:val="none"/>
        </w:rPr>
      </w:pPr>
      <w:bookmarkStart w:id="24" w:name="_Toc25637"/>
      <w:bookmarkStart w:id="25" w:name="_Toc29724"/>
      <w:bookmarkStart w:id="26" w:name="_Toc5394"/>
      <w:bookmarkStart w:id="27" w:name="_Toc26779"/>
      <w:bookmarkStart w:id="28" w:name="_Toc3381"/>
      <w:bookmarkStart w:id="29" w:name="_Toc11684"/>
      <w:r>
        <w:rPr>
          <w:rStyle w:val="39"/>
          <w:rFonts w:hint="eastAsia" w:ascii="宋体" w:hAnsi="宋体" w:eastAsia="宋体" w:cs="宋体"/>
          <w:b/>
          <w:bCs/>
          <w:color w:val="auto"/>
          <w:sz w:val="32"/>
          <w:szCs w:val="32"/>
          <w:highlight w:val="none"/>
        </w:rPr>
        <w:t>第二章 供应商须知</w:t>
      </w:r>
      <w:bookmarkEnd w:id="20"/>
      <w:bookmarkEnd w:id="21"/>
      <w:bookmarkEnd w:id="22"/>
      <w:bookmarkEnd w:id="23"/>
      <w:bookmarkEnd w:id="24"/>
      <w:bookmarkEnd w:id="25"/>
      <w:bookmarkEnd w:id="26"/>
      <w:bookmarkEnd w:id="27"/>
      <w:bookmarkEnd w:id="28"/>
    </w:p>
    <w:bookmarkEnd w:id="29"/>
    <w:p w14:paraId="3DA4FCF9">
      <w:pPr>
        <w:tabs>
          <w:tab w:val="left" w:pos="5527"/>
        </w:tabs>
        <w:bidi w:val="0"/>
        <w:jc w:val="center"/>
        <w:outlineLvl w:val="1"/>
        <w:rPr>
          <w:rFonts w:hint="eastAsia" w:ascii="宋体" w:hAnsi="宋体" w:eastAsia="宋体" w:cs="宋体"/>
          <w:b/>
          <w:bCs/>
          <w:color w:val="auto"/>
          <w:sz w:val="28"/>
          <w:szCs w:val="28"/>
          <w:highlight w:val="none"/>
        </w:rPr>
      </w:pPr>
      <w:bookmarkStart w:id="30" w:name="_Toc14932"/>
      <w:bookmarkStart w:id="31" w:name="_Toc16059"/>
      <w:bookmarkStart w:id="32" w:name="_Toc12802"/>
      <w:bookmarkStart w:id="33" w:name="_Toc32145"/>
      <w:bookmarkStart w:id="34" w:name="_Toc22839"/>
      <w:bookmarkStart w:id="35" w:name="_Toc12824"/>
      <w:r>
        <w:rPr>
          <w:rFonts w:hint="eastAsia" w:ascii="宋体" w:hAnsi="宋体" w:eastAsia="宋体" w:cs="宋体"/>
          <w:b/>
          <w:bCs/>
          <w:color w:val="auto"/>
          <w:sz w:val="28"/>
          <w:szCs w:val="28"/>
          <w:highlight w:val="none"/>
          <w:lang w:val="en-US" w:eastAsia="zh-CN"/>
        </w:rPr>
        <w:t>供应商</w:t>
      </w:r>
      <w:r>
        <w:rPr>
          <w:rFonts w:hint="eastAsia" w:ascii="宋体" w:hAnsi="宋体" w:eastAsia="宋体" w:cs="宋体"/>
          <w:b/>
          <w:bCs/>
          <w:color w:val="auto"/>
          <w:sz w:val="28"/>
          <w:szCs w:val="28"/>
          <w:highlight w:val="none"/>
        </w:rPr>
        <w:t>须知前附表</w:t>
      </w:r>
      <w:bookmarkEnd w:id="30"/>
      <w:bookmarkEnd w:id="31"/>
      <w:bookmarkEnd w:id="32"/>
      <w:bookmarkEnd w:id="33"/>
      <w:bookmarkEnd w:id="34"/>
      <w:bookmarkEnd w:id="35"/>
    </w:p>
    <w:tbl>
      <w:tblPr>
        <w:tblStyle w:val="27"/>
        <w:tblW w:w="10624" w:type="dxa"/>
        <w:jc w:val="center"/>
        <w:tblLayout w:type="fixed"/>
        <w:tblCellMar>
          <w:top w:w="0" w:type="dxa"/>
          <w:left w:w="108" w:type="dxa"/>
          <w:bottom w:w="0" w:type="dxa"/>
          <w:right w:w="108" w:type="dxa"/>
        </w:tblCellMar>
      </w:tblPr>
      <w:tblGrid>
        <w:gridCol w:w="1033"/>
        <w:gridCol w:w="2074"/>
        <w:gridCol w:w="7517"/>
      </w:tblGrid>
      <w:tr w14:paraId="19158B7F">
        <w:tblPrEx>
          <w:tblCellMar>
            <w:top w:w="0" w:type="dxa"/>
            <w:left w:w="108" w:type="dxa"/>
            <w:bottom w:w="0" w:type="dxa"/>
            <w:right w:w="108" w:type="dxa"/>
          </w:tblCellMar>
        </w:tblPrEx>
        <w:trPr>
          <w:trHeight w:val="624"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05CD805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2074" w:type="dxa"/>
            <w:tcBorders>
              <w:top w:val="single" w:color="auto" w:sz="4" w:space="0"/>
              <w:left w:val="single" w:color="auto" w:sz="4" w:space="0"/>
              <w:bottom w:val="single" w:color="auto" w:sz="4" w:space="0"/>
              <w:right w:val="single" w:color="auto" w:sz="4" w:space="0"/>
            </w:tcBorders>
            <w:vAlign w:val="center"/>
          </w:tcPr>
          <w:p w14:paraId="13907EE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7517" w:type="dxa"/>
            <w:tcBorders>
              <w:top w:val="single" w:color="auto" w:sz="4" w:space="0"/>
              <w:left w:val="single" w:color="auto" w:sz="4" w:space="0"/>
              <w:bottom w:val="single" w:color="auto" w:sz="4" w:space="0"/>
              <w:right w:val="single" w:color="auto" w:sz="4" w:space="0"/>
            </w:tcBorders>
            <w:vAlign w:val="center"/>
          </w:tcPr>
          <w:p w14:paraId="336F0E48">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 列 内 容</w:t>
            </w:r>
          </w:p>
        </w:tc>
      </w:tr>
      <w:tr w14:paraId="2E466EBD">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24E5D19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74" w:type="dxa"/>
            <w:tcBorders>
              <w:top w:val="single" w:color="auto" w:sz="4" w:space="0"/>
              <w:left w:val="single" w:color="auto" w:sz="4" w:space="0"/>
              <w:bottom w:val="single" w:color="auto" w:sz="4" w:space="0"/>
              <w:right w:val="single" w:color="auto" w:sz="4" w:space="0"/>
            </w:tcBorders>
            <w:vAlign w:val="center"/>
          </w:tcPr>
          <w:p w14:paraId="2CB04E5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7517" w:type="dxa"/>
            <w:tcBorders>
              <w:top w:val="single" w:color="auto" w:sz="4" w:space="0"/>
              <w:left w:val="single" w:color="auto" w:sz="4" w:space="0"/>
              <w:bottom w:val="single" w:color="auto" w:sz="4" w:space="0"/>
              <w:right w:val="single" w:color="auto" w:sz="4" w:space="0"/>
            </w:tcBorders>
            <w:vAlign w:val="center"/>
          </w:tcPr>
          <w:p w14:paraId="099751AA">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eastAsia="zh-CN"/>
              </w:rPr>
              <w:t xml:space="preserve">库尔勒市实验幼儿园     </w:t>
            </w:r>
          </w:p>
          <w:p w14:paraId="0186DAA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w:t>
            </w:r>
            <w:r>
              <w:rPr>
                <w:rFonts w:hint="eastAsia" w:ascii="宋体" w:hAnsi="宋体" w:cs="宋体"/>
                <w:color w:val="auto"/>
                <w:sz w:val="24"/>
                <w:szCs w:val="24"/>
                <w:highlight w:val="none"/>
                <w:lang w:val="en-US" w:eastAsia="zh-CN"/>
              </w:rPr>
              <w:t>库尔勒市</w:t>
            </w:r>
          </w:p>
          <w:p w14:paraId="5C5CC65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w:t>
            </w:r>
            <w:r>
              <w:rPr>
                <w:rFonts w:hint="eastAsia" w:ascii="宋体" w:hAnsi="宋体" w:cs="宋体"/>
                <w:color w:val="auto"/>
                <w:sz w:val="24"/>
                <w:szCs w:val="24"/>
                <w:highlight w:val="none"/>
                <w:lang w:val="en-US" w:eastAsia="zh-CN"/>
              </w:rPr>
              <w:t>刘霞</w:t>
            </w:r>
          </w:p>
          <w:p w14:paraId="4016EEA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  话：</w:t>
            </w:r>
            <w:r>
              <w:rPr>
                <w:rFonts w:hint="eastAsia" w:ascii="宋体" w:hAnsi="宋体" w:cs="宋体"/>
                <w:color w:val="auto"/>
                <w:sz w:val="24"/>
                <w:szCs w:val="24"/>
                <w:highlight w:val="none"/>
                <w:lang w:val="en-US" w:eastAsia="zh-CN"/>
              </w:rPr>
              <w:t>17709968666</w:t>
            </w:r>
          </w:p>
        </w:tc>
      </w:tr>
      <w:tr w14:paraId="1CB0698C">
        <w:tblPrEx>
          <w:tblCellMar>
            <w:top w:w="0" w:type="dxa"/>
            <w:left w:w="108" w:type="dxa"/>
            <w:bottom w:w="0" w:type="dxa"/>
            <w:right w:w="108" w:type="dxa"/>
          </w:tblCellMar>
        </w:tblPrEx>
        <w:trPr>
          <w:trHeight w:val="90"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5C540CC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74" w:type="dxa"/>
            <w:tcBorders>
              <w:top w:val="single" w:color="auto" w:sz="4" w:space="0"/>
              <w:left w:val="single" w:color="auto" w:sz="4" w:space="0"/>
              <w:bottom w:val="single" w:color="auto" w:sz="4" w:space="0"/>
              <w:right w:val="single" w:color="auto" w:sz="4" w:space="0"/>
            </w:tcBorders>
            <w:vAlign w:val="center"/>
          </w:tcPr>
          <w:p w14:paraId="1E54FC28">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7517" w:type="dxa"/>
            <w:tcBorders>
              <w:top w:val="single" w:color="auto" w:sz="4" w:space="0"/>
              <w:left w:val="single" w:color="auto" w:sz="4" w:space="0"/>
              <w:bottom w:val="single" w:color="auto" w:sz="4" w:space="0"/>
              <w:right w:val="single" w:color="auto" w:sz="4" w:space="0"/>
            </w:tcBorders>
            <w:vAlign w:val="center"/>
          </w:tcPr>
          <w:p w14:paraId="6F82E01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  称：</w:t>
            </w:r>
            <w:r>
              <w:rPr>
                <w:rFonts w:hint="eastAsia" w:ascii="宋体" w:hAnsi="宋体" w:eastAsia="宋体" w:cs="宋体"/>
                <w:color w:val="auto"/>
                <w:sz w:val="24"/>
                <w:szCs w:val="24"/>
                <w:highlight w:val="none"/>
                <w:lang w:eastAsia="zh-CN"/>
              </w:rPr>
              <w:t>新疆德泰</w:t>
            </w:r>
            <w:r>
              <w:rPr>
                <w:rFonts w:hint="eastAsia" w:ascii="宋体" w:hAnsi="宋体" w:eastAsia="宋体" w:cs="宋体"/>
                <w:color w:val="auto"/>
                <w:sz w:val="24"/>
                <w:szCs w:val="24"/>
                <w:highlight w:val="none"/>
              </w:rPr>
              <w:t>工程项目管理服务有限公司</w:t>
            </w:r>
          </w:p>
          <w:p w14:paraId="1F278AA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968" w:right="0" w:hanging="968" w:hangingChars="4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地  址：库尔勒市索克巴格路6号壹品千城商业街2栋3层8号</w:t>
            </w:r>
          </w:p>
          <w:p w14:paraId="36F5649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val="en-US" w:eastAsia="zh-CN"/>
              </w:rPr>
              <w:t>招希智</w:t>
            </w:r>
          </w:p>
          <w:p w14:paraId="0A3374D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  话：</w:t>
            </w:r>
            <w:r>
              <w:rPr>
                <w:rFonts w:hint="eastAsia" w:ascii="宋体" w:hAnsi="宋体" w:cs="宋体"/>
                <w:color w:val="auto"/>
                <w:sz w:val="24"/>
                <w:szCs w:val="24"/>
                <w:highlight w:val="none"/>
                <w:lang w:val="en-US" w:eastAsia="zh-CN"/>
              </w:rPr>
              <w:t>13070001570</w:t>
            </w:r>
          </w:p>
        </w:tc>
      </w:tr>
      <w:tr w14:paraId="670195AD">
        <w:tblPrEx>
          <w:tblCellMar>
            <w:top w:w="0" w:type="dxa"/>
            <w:left w:w="108" w:type="dxa"/>
            <w:bottom w:w="0" w:type="dxa"/>
            <w:right w:w="108" w:type="dxa"/>
          </w:tblCellMar>
        </w:tblPrEx>
        <w:trPr>
          <w:trHeight w:val="604"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32540DA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074" w:type="dxa"/>
            <w:tcBorders>
              <w:top w:val="single" w:color="auto" w:sz="4" w:space="0"/>
              <w:left w:val="single" w:color="auto" w:sz="4" w:space="0"/>
              <w:bottom w:val="single" w:color="auto" w:sz="4" w:space="0"/>
              <w:right w:val="single" w:color="auto" w:sz="4" w:space="0"/>
            </w:tcBorders>
            <w:vAlign w:val="center"/>
          </w:tcPr>
          <w:p w14:paraId="7E5A29C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7517" w:type="dxa"/>
            <w:tcBorders>
              <w:top w:val="single" w:color="auto" w:sz="4" w:space="0"/>
              <w:left w:val="single" w:color="auto" w:sz="4" w:space="0"/>
              <w:bottom w:val="single" w:color="auto" w:sz="4" w:space="0"/>
              <w:right w:val="single" w:color="auto" w:sz="4" w:space="0"/>
            </w:tcBorders>
            <w:vAlign w:val="center"/>
          </w:tcPr>
          <w:p w14:paraId="68F7372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库尔勒市实验幼儿园三十八幼分园2025年设施设备采购项目（四次）</w:t>
            </w:r>
          </w:p>
        </w:tc>
      </w:tr>
      <w:tr w14:paraId="0361E8DB">
        <w:tblPrEx>
          <w:tblCellMar>
            <w:top w:w="0" w:type="dxa"/>
            <w:left w:w="108" w:type="dxa"/>
            <w:bottom w:w="0" w:type="dxa"/>
            <w:right w:w="108" w:type="dxa"/>
          </w:tblCellMar>
        </w:tblPrEx>
        <w:trPr>
          <w:trHeight w:val="513"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7F78AF7B">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074" w:type="dxa"/>
            <w:tcBorders>
              <w:top w:val="single" w:color="auto" w:sz="4" w:space="0"/>
              <w:left w:val="single" w:color="auto" w:sz="4" w:space="0"/>
              <w:bottom w:val="single" w:color="auto" w:sz="4" w:space="0"/>
              <w:right w:val="single" w:color="auto" w:sz="4" w:space="0"/>
            </w:tcBorders>
            <w:vAlign w:val="center"/>
          </w:tcPr>
          <w:p w14:paraId="1B6B1CE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项目地点</w:t>
            </w:r>
          </w:p>
        </w:tc>
        <w:tc>
          <w:tcPr>
            <w:tcW w:w="7517" w:type="dxa"/>
            <w:tcBorders>
              <w:top w:val="single" w:color="auto" w:sz="4" w:space="0"/>
              <w:left w:val="single" w:color="auto" w:sz="4" w:space="0"/>
              <w:bottom w:val="single" w:color="auto" w:sz="4" w:space="0"/>
              <w:right w:val="single" w:color="auto" w:sz="4" w:space="0"/>
            </w:tcBorders>
            <w:vAlign w:val="center"/>
          </w:tcPr>
          <w:p w14:paraId="47866EB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库尔勒</w:t>
            </w:r>
          </w:p>
        </w:tc>
      </w:tr>
      <w:tr w14:paraId="01E36948">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7D1E98A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074" w:type="dxa"/>
            <w:tcBorders>
              <w:top w:val="single" w:color="auto" w:sz="4" w:space="0"/>
              <w:left w:val="single" w:color="auto" w:sz="4" w:space="0"/>
              <w:bottom w:val="single" w:color="auto" w:sz="4" w:space="0"/>
              <w:right w:val="single" w:color="auto" w:sz="4" w:space="0"/>
            </w:tcBorders>
            <w:vAlign w:val="center"/>
          </w:tcPr>
          <w:p w14:paraId="1EE7B22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w:t>
            </w:r>
          </w:p>
        </w:tc>
        <w:tc>
          <w:tcPr>
            <w:tcW w:w="7517" w:type="dxa"/>
            <w:tcBorders>
              <w:top w:val="single" w:color="auto" w:sz="4" w:space="0"/>
              <w:left w:val="single" w:color="auto" w:sz="4" w:space="0"/>
              <w:bottom w:val="single" w:color="auto" w:sz="4" w:space="0"/>
              <w:right w:val="single" w:color="auto" w:sz="4" w:space="0"/>
            </w:tcBorders>
            <w:vAlign w:val="center"/>
          </w:tcPr>
          <w:p w14:paraId="0443C13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预算金额：</w:t>
            </w:r>
            <w:r>
              <w:rPr>
                <w:rFonts w:hint="eastAsia" w:ascii="宋体" w:hAnsi="宋体" w:cs="宋体"/>
                <w:color w:val="auto"/>
                <w:sz w:val="24"/>
                <w:szCs w:val="24"/>
                <w:highlight w:val="none"/>
                <w:u w:val="none"/>
                <w:lang w:val="en-US" w:eastAsia="zh-CN"/>
              </w:rPr>
              <w:t>75万元（标项1：75万元）</w:t>
            </w:r>
          </w:p>
          <w:p w14:paraId="07DEF537">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400" w:lineRule="exact"/>
              <w:ind w:left="0" w:right="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资金来源：</w:t>
            </w:r>
            <w:r>
              <w:rPr>
                <w:rFonts w:hint="eastAsia" w:ascii="宋体" w:hAnsi="宋体" w:eastAsia="宋体" w:cs="宋体"/>
                <w:color w:val="auto"/>
                <w:kern w:val="0"/>
                <w:sz w:val="24"/>
                <w:szCs w:val="24"/>
                <w:highlight w:val="none"/>
                <w:lang w:val="en-US" w:eastAsia="zh-CN" w:bidi="ar"/>
              </w:rPr>
              <w:t>财政资金</w:t>
            </w:r>
          </w:p>
        </w:tc>
      </w:tr>
      <w:tr w14:paraId="6C9C890A">
        <w:tblPrEx>
          <w:tblCellMar>
            <w:top w:w="0" w:type="dxa"/>
            <w:left w:w="108" w:type="dxa"/>
            <w:bottom w:w="0" w:type="dxa"/>
            <w:right w:w="108" w:type="dxa"/>
          </w:tblCellMar>
        </w:tblPrEx>
        <w:trPr>
          <w:trHeight w:val="721"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7543849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074" w:type="dxa"/>
            <w:tcBorders>
              <w:top w:val="single" w:color="auto" w:sz="4" w:space="0"/>
              <w:left w:val="single" w:color="auto" w:sz="4" w:space="0"/>
              <w:bottom w:val="single" w:color="auto" w:sz="4" w:space="0"/>
              <w:right w:val="single" w:color="auto" w:sz="4" w:space="0"/>
            </w:tcBorders>
            <w:vAlign w:val="center"/>
          </w:tcPr>
          <w:p w14:paraId="67CA5F9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采购</w:t>
            </w:r>
            <w:r>
              <w:rPr>
                <w:rFonts w:hint="eastAsia" w:ascii="宋体" w:hAnsi="宋体" w:eastAsia="宋体" w:cs="宋体"/>
                <w:b/>
                <w:bCs/>
                <w:color w:val="auto"/>
                <w:sz w:val="24"/>
                <w:szCs w:val="24"/>
                <w:highlight w:val="none"/>
                <w:lang w:val="en-US" w:eastAsia="zh-CN"/>
              </w:rPr>
              <w:t>内容</w:t>
            </w:r>
          </w:p>
        </w:tc>
        <w:tc>
          <w:tcPr>
            <w:tcW w:w="7517" w:type="dxa"/>
            <w:tcBorders>
              <w:top w:val="single" w:color="auto" w:sz="4" w:space="0"/>
              <w:left w:val="single" w:color="auto" w:sz="4" w:space="0"/>
              <w:bottom w:val="single" w:color="auto" w:sz="4" w:space="0"/>
              <w:right w:val="single" w:color="auto" w:sz="4" w:space="0"/>
            </w:tcBorders>
            <w:vAlign w:val="center"/>
          </w:tcPr>
          <w:p w14:paraId="2C8C146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标项1：班级设备采购及教学设备、厨房设备采购</w:t>
            </w:r>
          </w:p>
        </w:tc>
      </w:tr>
      <w:tr w14:paraId="226C50A2">
        <w:tblPrEx>
          <w:tblCellMar>
            <w:top w:w="0" w:type="dxa"/>
            <w:left w:w="108" w:type="dxa"/>
            <w:bottom w:w="0" w:type="dxa"/>
            <w:right w:w="108" w:type="dxa"/>
          </w:tblCellMar>
        </w:tblPrEx>
        <w:trPr>
          <w:trHeight w:val="90"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0CD1C17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074" w:type="dxa"/>
            <w:tcBorders>
              <w:top w:val="single" w:color="auto" w:sz="4" w:space="0"/>
              <w:left w:val="single" w:color="auto" w:sz="4" w:space="0"/>
              <w:bottom w:val="single" w:color="auto" w:sz="4" w:space="0"/>
              <w:right w:val="single" w:color="auto" w:sz="4" w:space="0"/>
            </w:tcBorders>
            <w:vAlign w:val="center"/>
          </w:tcPr>
          <w:p w14:paraId="56F3A23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合同履行期限</w:t>
            </w:r>
          </w:p>
          <w:p w14:paraId="09A3FA1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（供货期）</w:t>
            </w:r>
          </w:p>
        </w:tc>
        <w:tc>
          <w:tcPr>
            <w:tcW w:w="7517" w:type="dxa"/>
            <w:tcBorders>
              <w:top w:val="single" w:color="auto" w:sz="4" w:space="0"/>
              <w:left w:val="single" w:color="auto" w:sz="4" w:space="0"/>
              <w:bottom w:val="single" w:color="auto" w:sz="4" w:space="0"/>
              <w:right w:val="single" w:color="auto" w:sz="4" w:space="0"/>
            </w:tcBorders>
            <w:vAlign w:val="center"/>
          </w:tcPr>
          <w:p w14:paraId="2E546B2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合同签订后15日内供货并安装调试完毕，具体以实际签订合同为准。</w:t>
            </w:r>
          </w:p>
        </w:tc>
      </w:tr>
      <w:tr w14:paraId="2F081D0B">
        <w:tblPrEx>
          <w:tblCellMar>
            <w:top w:w="0" w:type="dxa"/>
            <w:left w:w="108" w:type="dxa"/>
            <w:bottom w:w="0" w:type="dxa"/>
            <w:right w:w="108" w:type="dxa"/>
          </w:tblCellMar>
        </w:tblPrEx>
        <w:trPr>
          <w:trHeight w:val="778"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21A6F94A">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2074" w:type="dxa"/>
            <w:tcBorders>
              <w:top w:val="single" w:color="auto" w:sz="4" w:space="0"/>
              <w:left w:val="single" w:color="auto" w:sz="4" w:space="0"/>
              <w:bottom w:val="single" w:color="auto" w:sz="4" w:space="0"/>
              <w:right w:val="single" w:color="auto" w:sz="4" w:space="0"/>
            </w:tcBorders>
            <w:vAlign w:val="center"/>
          </w:tcPr>
          <w:p w14:paraId="55AD0B4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质量要求</w:t>
            </w:r>
          </w:p>
        </w:tc>
        <w:tc>
          <w:tcPr>
            <w:tcW w:w="7517" w:type="dxa"/>
            <w:tcBorders>
              <w:top w:val="single" w:color="auto" w:sz="4" w:space="0"/>
              <w:left w:val="single" w:color="auto" w:sz="4" w:space="0"/>
              <w:bottom w:val="single" w:color="auto" w:sz="4" w:space="0"/>
              <w:right w:val="single" w:color="auto" w:sz="4" w:space="0"/>
            </w:tcBorders>
            <w:vAlign w:val="center"/>
          </w:tcPr>
          <w:p w14:paraId="2CEFE16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质保期:三年</w:t>
            </w:r>
          </w:p>
          <w:p w14:paraId="56876A8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质量要求：</w:t>
            </w:r>
            <w:r>
              <w:rPr>
                <w:rFonts w:hint="eastAsia" w:ascii="宋体" w:hAnsi="宋体" w:eastAsia="宋体" w:cs="宋体"/>
                <w:b/>
                <w:bCs/>
                <w:color w:val="auto"/>
                <w:sz w:val="24"/>
                <w:szCs w:val="24"/>
                <w:highlight w:val="none"/>
              </w:rPr>
              <w:t>达到国家标准</w:t>
            </w:r>
            <w:r>
              <w:rPr>
                <w:rFonts w:hint="eastAsia" w:ascii="宋体" w:hAnsi="宋体" w:eastAsia="宋体" w:cs="宋体"/>
                <w:b/>
                <w:bCs/>
                <w:color w:val="auto"/>
                <w:sz w:val="24"/>
                <w:szCs w:val="24"/>
                <w:highlight w:val="none"/>
                <w:lang w:val="en-US" w:eastAsia="zh-CN"/>
              </w:rPr>
              <w:t>和采购清单标准</w:t>
            </w:r>
            <w:r>
              <w:rPr>
                <w:rFonts w:hint="eastAsia" w:ascii="宋体" w:hAnsi="宋体" w:eastAsia="宋体" w:cs="宋体"/>
                <w:b/>
                <w:bCs/>
                <w:color w:val="auto"/>
                <w:sz w:val="24"/>
                <w:szCs w:val="24"/>
                <w:highlight w:val="none"/>
                <w:lang w:eastAsia="zh-CN"/>
              </w:rPr>
              <w:t>，</w:t>
            </w:r>
            <w:bookmarkStart w:id="36" w:name="_Hlk71802632"/>
            <w:r>
              <w:rPr>
                <w:rFonts w:hint="eastAsia" w:ascii="宋体" w:hAnsi="宋体" w:eastAsia="宋体" w:cs="宋体"/>
                <w:b/>
                <w:bCs/>
                <w:color w:val="auto"/>
                <w:sz w:val="24"/>
                <w:szCs w:val="24"/>
                <w:highlight w:val="none"/>
                <w:lang w:val="en-US" w:eastAsia="zh-CN"/>
              </w:rPr>
              <w:t>一次性验收合格</w:t>
            </w:r>
            <w:r>
              <w:rPr>
                <w:rFonts w:hint="eastAsia" w:ascii="宋体" w:hAnsi="宋体" w:eastAsia="宋体" w:cs="宋体"/>
                <w:b/>
                <w:bCs/>
                <w:color w:val="auto"/>
                <w:sz w:val="24"/>
                <w:szCs w:val="24"/>
                <w:highlight w:val="none"/>
              </w:rPr>
              <w:t>。</w:t>
            </w:r>
            <w:bookmarkEnd w:id="36"/>
          </w:p>
        </w:tc>
      </w:tr>
      <w:tr w14:paraId="490DE640">
        <w:tblPrEx>
          <w:tblCellMar>
            <w:top w:w="0" w:type="dxa"/>
            <w:left w:w="108" w:type="dxa"/>
            <w:bottom w:w="0" w:type="dxa"/>
            <w:right w:w="108" w:type="dxa"/>
          </w:tblCellMar>
        </w:tblPrEx>
        <w:trPr>
          <w:trHeight w:val="492"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6ABE814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2074" w:type="dxa"/>
            <w:tcBorders>
              <w:top w:val="single" w:color="auto" w:sz="4" w:space="0"/>
              <w:left w:val="single" w:color="auto" w:sz="4" w:space="0"/>
              <w:bottom w:val="single" w:color="auto" w:sz="4" w:space="0"/>
              <w:right w:val="single" w:color="auto" w:sz="4" w:space="0"/>
            </w:tcBorders>
            <w:vAlign w:val="center"/>
          </w:tcPr>
          <w:p w14:paraId="52B2654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付款方式</w:t>
            </w:r>
          </w:p>
        </w:tc>
        <w:tc>
          <w:tcPr>
            <w:tcW w:w="7517" w:type="dxa"/>
            <w:tcBorders>
              <w:top w:val="single" w:color="auto" w:sz="4" w:space="0"/>
              <w:left w:val="single" w:color="auto" w:sz="4" w:space="0"/>
              <w:bottom w:val="single" w:color="auto" w:sz="4" w:space="0"/>
              <w:right w:val="single" w:color="auto" w:sz="4" w:space="0"/>
            </w:tcBorders>
            <w:vAlign w:val="center"/>
          </w:tcPr>
          <w:p w14:paraId="2B8E823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本项目无预付款，供货完毕后开园验收合格进行支付。</w:t>
            </w:r>
          </w:p>
        </w:tc>
      </w:tr>
      <w:tr w14:paraId="1E2A33DF">
        <w:tblPrEx>
          <w:tblCellMar>
            <w:top w:w="0" w:type="dxa"/>
            <w:left w:w="108" w:type="dxa"/>
            <w:bottom w:w="0" w:type="dxa"/>
            <w:right w:w="108" w:type="dxa"/>
          </w:tblCellMar>
        </w:tblPrEx>
        <w:trPr>
          <w:trHeight w:val="613"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58D7A7C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2074" w:type="dxa"/>
            <w:tcBorders>
              <w:top w:val="single" w:color="auto" w:sz="4" w:space="0"/>
              <w:left w:val="single" w:color="auto" w:sz="4" w:space="0"/>
              <w:bottom w:val="single" w:color="auto" w:sz="4" w:space="0"/>
              <w:right w:val="single" w:color="auto" w:sz="4" w:space="0"/>
            </w:tcBorders>
            <w:vAlign w:val="center"/>
          </w:tcPr>
          <w:p w14:paraId="60F883B1">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采购规格参数</w:t>
            </w:r>
          </w:p>
        </w:tc>
        <w:tc>
          <w:tcPr>
            <w:tcW w:w="7517" w:type="dxa"/>
            <w:tcBorders>
              <w:top w:val="single" w:color="auto" w:sz="4" w:space="0"/>
              <w:left w:val="single" w:color="auto" w:sz="4" w:space="0"/>
              <w:bottom w:val="single" w:color="auto" w:sz="4" w:space="0"/>
              <w:right w:val="single" w:color="auto" w:sz="4" w:space="0"/>
            </w:tcBorders>
            <w:vAlign w:val="center"/>
          </w:tcPr>
          <w:p w14:paraId="05EA0BC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详见第三章</w:t>
            </w:r>
          </w:p>
        </w:tc>
      </w:tr>
      <w:tr w14:paraId="24650FE5">
        <w:tblPrEx>
          <w:tblCellMar>
            <w:top w:w="0" w:type="dxa"/>
            <w:left w:w="108" w:type="dxa"/>
            <w:bottom w:w="0" w:type="dxa"/>
            <w:right w:w="108" w:type="dxa"/>
          </w:tblCellMar>
        </w:tblPrEx>
        <w:trPr>
          <w:trHeight w:val="618"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292A480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2074" w:type="dxa"/>
            <w:tcBorders>
              <w:top w:val="single" w:color="auto" w:sz="4" w:space="0"/>
              <w:left w:val="single" w:color="auto" w:sz="4" w:space="0"/>
              <w:bottom w:val="single" w:color="auto" w:sz="4" w:space="0"/>
              <w:right w:val="single" w:color="auto" w:sz="4" w:space="0"/>
            </w:tcBorders>
            <w:vAlign w:val="center"/>
          </w:tcPr>
          <w:p w14:paraId="4108E910">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有效期</w:t>
            </w:r>
          </w:p>
        </w:tc>
        <w:tc>
          <w:tcPr>
            <w:tcW w:w="7517" w:type="dxa"/>
            <w:tcBorders>
              <w:top w:val="single" w:color="auto" w:sz="4" w:space="0"/>
              <w:left w:val="single" w:color="auto" w:sz="4" w:space="0"/>
              <w:bottom w:val="single" w:color="auto" w:sz="4" w:space="0"/>
              <w:right w:val="single" w:color="auto" w:sz="4" w:space="0"/>
            </w:tcBorders>
            <w:vAlign w:val="center"/>
          </w:tcPr>
          <w:p w14:paraId="00DED912">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提交</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的截止之日起</w:t>
            </w:r>
            <w:r>
              <w:rPr>
                <w:rFonts w:hint="eastAsia" w:ascii="宋体" w:hAnsi="宋体" w:eastAsia="宋体" w:cs="宋体"/>
                <w:b/>
                <w:bCs/>
                <w:color w:val="auto"/>
                <w:sz w:val="24"/>
                <w:szCs w:val="24"/>
                <w:highlight w:val="none"/>
                <w:u w:val="single"/>
                <w:lang w:val="en-US" w:eastAsia="zh-CN"/>
              </w:rPr>
              <w:t>90</w:t>
            </w:r>
            <w:r>
              <w:rPr>
                <w:rFonts w:hint="eastAsia" w:ascii="宋体" w:hAnsi="宋体" w:eastAsia="宋体" w:cs="宋体"/>
                <w:b/>
                <w:bCs/>
                <w:color w:val="auto"/>
                <w:sz w:val="24"/>
                <w:szCs w:val="24"/>
                <w:highlight w:val="none"/>
                <w:lang w:eastAsia="zh-CN"/>
              </w:rPr>
              <w:t>天</w:t>
            </w:r>
          </w:p>
        </w:tc>
      </w:tr>
      <w:tr w14:paraId="77238614">
        <w:tblPrEx>
          <w:tblCellMar>
            <w:top w:w="0" w:type="dxa"/>
            <w:left w:w="108" w:type="dxa"/>
            <w:bottom w:w="0" w:type="dxa"/>
            <w:right w:w="108" w:type="dxa"/>
          </w:tblCellMar>
        </w:tblPrEx>
        <w:trPr>
          <w:trHeight w:val="618"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10B7568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13</w:t>
            </w:r>
          </w:p>
        </w:tc>
        <w:tc>
          <w:tcPr>
            <w:tcW w:w="2074" w:type="dxa"/>
            <w:tcBorders>
              <w:top w:val="single" w:color="auto" w:sz="4" w:space="0"/>
              <w:left w:val="single" w:color="auto" w:sz="4" w:space="0"/>
              <w:bottom w:val="single" w:color="auto" w:sz="4" w:space="0"/>
              <w:right w:val="single" w:color="auto" w:sz="4" w:space="0"/>
            </w:tcBorders>
            <w:vAlign w:val="center"/>
          </w:tcPr>
          <w:p w14:paraId="41F312A4">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投标报价</w:t>
            </w:r>
          </w:p>
        </w:tc>
        <w:tc>
          <w:tcPr>
            <w:tcW w:w="7517" w:type="dxa"/>
            <w:tcBorders>
              <w:top w:val="single" w:color="auto" w:sz="4" w:space="0"/>
              <w:left w:val="single" w:color="auto" w:sz="4" w:space="0"/>
              <w:bottom w:val="single" w:color="auto" w:sz="4" w:space="0"/>
              <w:right w:val="single" w:color="auto" w:sz="4" w:space="0"/>
            </w:tcBorders>
            <w:vAlign w:val="center"/>
          </w:tcPr>
          <w:p w14:paraId="65FC48D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投标报价包括</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原价</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设备运杂费</w:t>
            </w:r>
            <w:r>
              <w:rPr>
                <w:rFonts w:hint="eastAsia" w:ascii="宋体" w:hAnsi="宋体" w:cs="宋体"/>
                <w:b/>
                <w:bCs/>
                <w:color w:val="auto"/>
                <w:sz w:val="24"/>
                <w:szCs w:val="24"/>
                <w:highlight w:val="none"/>
                <w:lang w:val="en-US" w:eastAsia="zh-CN"/>
              </w:rPr>
              <w:t>、安装费、</w:t>
            </w:r>
            <w:r>
              <w:rPr>
                <w:rFonts w:hint="eastAsia" w:ascii="宋体" w:hAnsi="宋体" w:eastAsia="宋体" w:cs="宋体"/>
                <w:b/>
                <w:bCs/>
                <w:color w:val="auto"/>
                <w:sz w:val="24"/>
                <w:szCs w:val="24"/>
                <w:highlight w:val="none"/>
                <w:lang w:val="en-US" w:eastAsia="zh-CN"/>
              </w:rPr>
              <w:t>人工费</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税</w:t>
            </w:r>
            <w:r>
              <w:rPr>
                <w:rFonts w:hint="eastAsia" w:ascii="宋体" w:hAnsi="宋体" w:cs="宋体"/>
                <w:b/>
                <w:bCs/>
                <w:color w:val="auto"/>
                <w:sz w:val="24"/>
                <w:szCs w:val="24"/>
                <w:highlight w:val="none"/>
                <w:lang w:val="en-US" w:eastAsia="zh-CN"/>
              </w:rPr>
              <w:t>费、</w:t>
            </w:r>
            <w:r>
              <w:rPr>
                <w:rFonts w:hint="eastAsia" w:ascii="宋体" w:hAnsi="宋体" w:eastAsia="宋体" w:cs="宋体"/>
                <w:b/>
                <w:bCs/>
                <w:color w:val="auto"/>
                <w:sz w:val="24"/>
                <w:szCs w:val="24"/>
                <w:highlight w:val="none"/>
                <w:lang w:val="en-US" w:eastAsia="zh-CN"/>
              </w:rPr>
              <w:t>实施或使用中涉及</w:t>
            </w:r>
            <w:r>
              <w:rPr>
                <w:rFonts w:hint="eastAsia" w:ascii="宋体" w:hAnsi="宋体" w:cs="宋体"/>
                <w:b/>
                <w:bCs/>
                <w:color w:val="auto"/>
                <w:sz w:val="24"/>
                <w:szCs w:val="24"/>
                <w:highlight w:val="none"/>
                <w:lang w:val="en-US" w:eastAsia="zh-CN"/>
              </w:rPr>
              <w:t>的一切</w:t>
            </w:r>
            <w:r>
              <w:rPr>
                <w:rFonts w:hint="eastAsia" w:ascii="宋体" w:hAnsi="宋体" w:eastAsia="宋体" w:cs="宋体"/>
                <w:b/>
                <w:bCs/>
                <w:color w:val="auto"/>
                <w:sz w:val="24"/>
                <w:szCs w:val="24"/>
                <w:highlight w:val="none"/>
                <w:lang w:val="en-US" w:eastAsia="zh-CN"/>
              </w:rPr>
              <w:t>相关费用</w:t>
            </w:r>
            <w:r>
              <w:rPr>
                <w:rFonts w:hint="eastAsia" w:ascii="宋体" w:hAnsi="宋体" w:cs="宋体"/>
                <w:b/>
                <w:bCs/>
                <w:color w:val="auto"/>
                <w:sz w:val="24"/>
                <w:szCs w:val="24"/>
                <w:highlight w:val="none"/>
                <w:lang w:val="en-US" w:eastAsia="zh-CN"/>
              </w:rPr>
              <w:t>。</w:t>
            </w:r>
          </w:p>
          <w:p w14:paraId="7D21CDF9">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供应商的投标报价应包含本项目相关服务的全部费用，采购人不再另行支付其他费用。</w:t>
            </w:r>
          </w:p>
        </w:tc>
      </w:tr>
      <w:tr w14:paraId="36A4F961">
        <w:tblPrEx>
          <w:tblCellMar>
            <w:top w:w="0" w:type="dxa"/>
            <w:left w:w="108" w:type="dxa"/>
            <w:bottom w:w="0" w:type="dxa"/>
            <w:right w:w="108" w:type="dxa"/>
          </w:tblCellMar>
        </w:tblPrEx>
        <w:trPr>
          <w:trHeight w:val="57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5397CC7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14</w:t>
            </w:r>
          </w:p>
        </w:tc>
        <w:tc>
          <w:tcPr>
            <w:tcW w:w="2074" w:type="dxa"/>
            <w:tcBorders>
              <w:top w:val="single" w:color="auto" w:sz="4" w:space="0"/>
              <w:left w:val="single" w:color="auto" w:sz="4" w:space="0"/>
              <w:bottom w:val="single" w:color="auto" w:sz="4" w:space="0"/>
              <w:right w:val="single" w:color="auto" w:sz="4" w:space="0"/>
            </w:tcBorders>
            <w:vAlign w:val="center"/>
          </w:tcPr>
          <w:p w14:paraId="6FD275B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是否接受</w:t>
            </w:r>
          </w:p>
          <w:p w14:paraId="6E57097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联合体投标</w:t>
            </w:r>
          </w:p>
        </w:tc>
        <w:tc>
          <w:tcPr>
            <w:tcW w:w="7517" w:type="dxa"/>
            <w:tcBorders>
              <w:top w:val="single" w:color="auto" w:sz="4" w:space="0"/>
              <w:left w:val="single" w:color="auto" w:sz="4" w:space="0"/>
              <w:bottom w:val="single" w:color="auto" w:sz="4" w:space="0"/>
              <w:right w:val="single" w:color="auto" w:sz="4" w:space="0"/>
            </w:tcBorders>
            <w:vAlign w:val="center"/>
          </w:tcPr>
          <w:p w14:paraId="2D7166C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sym w:font="Wingdings 2" w:char="0052"/>
            </w:r>
            <w:r>
              <w:rPr>
                <w:rFonts w:hint="eastAsia" w:ascii="宋体" w:hAnsi="宋体" w:eastAsia="宋体" w:cs="宋体"/>
                <w:b/>
                <w:bCs/>
                <w:color w:val="auto"/>
                <w:sz w:val="24"/>
                <w:szCs w:val="24"/>
                <w:highlight w:val="none"/>
              </w:rPr>
              <w:t>不接受</w:t>
            </w:r>
          </w:p>
          <w:p w14:paraId="6046130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sym w:font="Wingdings" w:char="00A8"/>
            </w:r>
            <w:r>
              <w:rPr>
                <w:rFonts w:hint="eastAsia" w:ascii="宋体" w:hAnsi="宋体" w:eastAsia="宋体" w:cs="宋体"/>
                <w:b/>
                <w:bCs/>
                <w:color w:val="auto"/>
                <w:sz w:val="24"/>
                <w:szCs w:val="24"/>
                <w:highlight w:val="none"/>
              </w:rPr>
              <w:t>接受</w:t>
            </w:r>
          </w:p>
        </w:tc>
      </w:tr>
      <w:tr w14:paraId="1C20BCF7">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668E716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15</w:t>
            </w:r>
          </w:p>
        </w:tc>
        <w:tc>
          <w:tcPr>
            <w:tcW w:w="2074" w:type="dxa"/>
            <w:tcBorders>
              <w:top w:val="single" w:color="auto" w:sz="4" w:space="0"/>
              <w:left w:val="single" w:color="auto" w:sz="4" w:space="0"/>
              <w:bottom w:val="single" w:color="auto" w:sz="4" w:space="0"/>
              <w:right w:val="single" w:color="auto" w:sz="4" w:space="0"/>
            </w:tcBorders>
            <w:vAlign w:val="center"/>
          </w:tcPr>
          <w:p w14:paraId="3A2AF3B6">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供应商</w:t>
            </w:r>
          </w:p>
          <w:p w14:paraId="2F79DF9B">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资质条件</w:t>
            </w:r>
          </w:p>
        </w:tc>
        <w:tc>
          <w:tcPr>
            <w:tcW w:w="7517" w:type="dxa"/>
            <w:tcBorders>
              <w:top w:val="single" w:color="auto" w:sz="4" w:space="0"/>
              <w:left w:val="single" w:color="auto" w:sz="4" w:space="0"/>
              <w:bottom w:val="single" w:color="auto" w:sz="4" w:space="0"/>
              <w:right w:val="single" w:color="auto" w:sz="4" w:space="0"/>
            </w:tcBorders>
            <w:vAlign w:val="center"/>
          </w:tcPr>
          <w:p w14:paraId="4EBD8D8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1、满足《中华人民共和国政府采购法》第二十二条规定。</w:t>
            </w:r>
          </w:p>
          <w:p w14:paraId="40D03657">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500" w:lineRule="exact"/>
              <w:ind w:left="0" w:right="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2、落实政府采购政策需满足的资格要求：</w:t>
            </w:r>
            <w:r>
              <w:rPr>
                <w:rFonts w:hint="eastAsia" w:ascii="宋体" w:hAnsi="宋体" w:cs="宋体"/>
                <w:b/>
                <w:bCs/>
                <w:color w:val="auto"/>
                <w:kern w:val="2"/>
                <w:sz w:val="24"/>
                <w:szCs w:val="24"/>
                <w:highlight w:val="none"/>
                <w:lang w:val="en-US" w:eastAsia="zh-CN" w:bidi="ar-SA"/>
              </w:rPr>
              <w:t>本项目不专门面向中小企业。若投标供应商所提供的货物全部由符合政策要求的中小/小微企业制造，并按要求提交《中小企业声明函》，给予小型、微型企业享受价格10%扣除，用扣除后的价格参与评审。</w:t>
            </w:r>
          </w:p>
          <w:p w14:paraId="618E530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3、本项目基本资格要求：</w:t>
            </w:r>
          </w:p>
          <w:p w14:paraId="05FC3E0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w:t>
            </w:r>
            <w:r>
              <w:rPr>
                <w:rFonts w:hint="eastAsia" w:ascii="宋体" w:hAnsi="宋体" w:cs="宋体"/>
                <w:b/>
                <w:bCs/>
                <w:color w:val="auto"/>
                <w:kern w:val="2"/>
                <w:sz w:val="24"/>
                <w:szCs w:val="24"/>
                <w:highlight w:val="none"/>
                <w:lang w:val="en-US" w:eastAsia="zh-CN" w:bidi="ar-SA"/>
              </w:rPr>
              <w:t>供应商必须是在中华人民共和国境内依法注册的、具有独立承担民事责任的能力，具备有效的营业执照</w:t>
            </w:r>
            <w:r>
              <w:rPr>
                <w:rFonts w:hint="eastAsia" w:ascii="宋体" w:hAnsi="宋体" w:eastAsia="宋体" w:cs="宋体"/>
                <w:b/>
                <w:bCs/>
                <w:color w:val="auto"/>
                <w:kern w:val="2"/>
                <w:sz w:val="24"/>
                <w:szCs w:val="24"/>
                <w:highlight w:val="none"/>
                <w:lang w:val="en-US" w:eastAsia="zh-CN" w:bidi="ar-SA"/>
              </w:rPr>
              <w:t>；</w:t>
            </w:r>
          </w:p>
          <w:p w14:paraId="3E43065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（2）法定代表人身份证或授权委托书及代理人身份证；</w:t>
            </w:r>
          </w:p>
          <w:p w14:paraId="011E7018">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（3）未被“信用中国”（www.creditchina.gov.cn）、中国政府采购网（www.ccgp.gov.cn）列入失信被执行人、重大税收违法案件当事人名单、政府采购严重违法失信行为记录名单；</w:t>
            </w:r>
          </w:p>
          <w:p w14:paraId="55F987E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（4）依法注册、具有合法资格，并在法律上、财务上与采购人和采购代理机构不发生关系；</w:t>
            </w:r>
          </w:p>
          <w:p w14:paraId="4F7D5D7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（5）单位负责人为同一人或者存在直接控股、管理关系的不同供应商，不得参加同一合同项下的政府采购活动；</w:t>
            </w:r>
          </w:p>
          <w:p w14:paraId="56B64E2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（6）符合国家有关法律法规的规定；</w:t>
            </w:r>
          </w:p>
          <w:p w14:paraId="07FC2C6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（7）为充分保证完善的售后服务，本项目不接受联合体投标。</w:t>
            </w:r>
          </w:p>
        </w:tc>
      </w:tr>
      <w:tr w14:paraId="5C21F54A">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1CC6F4C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16</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26423625">
            <w:pPr>
              <w:keepNext w:val="0"/>
              <w:keepLines w:val="0"/>
              <w:pageBreakBefore w:val="0"/>
              <w:suppressLineNumbers w:val="0"/>
              <w:kinsoku/>
              <w:overflowPunct/>
              <w:bidi w:val="0"/>
              <w:spacing w:before="0" w:beforeAutospacing="0" w:after="0" w:afterAutospacing="0" w:line="360" w:lineRule="exact"/>
              <w:ind w:left="0" w:right="0"/>
              <w:jc w:val="center"/>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color w:val="auto"/>
                <w:sz w:val="28"/>
                <w:szCs w:val="28"/>
                <w:highlight w:val="none"/>
              </w:rPr>
              <w:t>履约保证金</w:t>
            </w:r>
          </w:p>
        </w:tc>
        <w:tc>
          <w:tcPr>
            <w:tcW w:w="7517" w:type="dxa"/>
            <w:tcBorders>
              <w:top w:val="single" w:color="auto" w:sz="4" w:space="0"/>
              <w:left w:val="single" w:color="auto" w:sz="4" w:space="0"/>
              <w:bottom w:val="single" w:color="auto" w:sz="4" w:space="0"/>
              <w:right w:val="single" w:color="auto" w:sz="4" w:space="0"/>
            </w:tcBorders>
            <w:shd w:val="clear" w:color="auto" w:fill="auto"/>
            <w:vAlign w:val="center"/>
          </w:tcPr>
          <w:p w14:paraId="080434C8">
            <w:pPr>
              <w:keepNext w:val="0"/>
              <w:keepLines w:val="0"/>
              <w:pageBreakBefore w:val="0"/>
              <w:suppressLineNumbers w:val="0"/>
              <w:kinsoku/>
              <w:overflowPunct/>
              <w:bidi w:val="0"/>
              <w:spacing w:before="0" w:beforeAutospacing="0" w:after="0" w:afterAutospacing="0" w:line="360" w:lineRule="exact"/>
              <w:ind w:left="0" w:right="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履约担保的形式：</w:t>
            </w:r>
            <w:r>
              <w:rPr>
                <w:rFonts w:hint="eastAsia" w:ascii="宋体" w:hAnsi="宋体" w:cs="宋体"/>
                <w:b/>
                <w:bCs/>
                <w:color w:val="auto"/>
                <w:sz w:val="24"/>
                <w:szCs w:val="24"/>
                <w:highlight w:val="none"/>
                <w:lang w:val="en-US" w:eastAsia="zh-CN"/>
              </w:rPr>
              <w:t>/</w:t>
            </w:r>
          </w:p>
          <w:p w14:paraId="295B47AC">
            <w:pPr>
              <w:keepNext w:val="0"/>
              <w:keepLines w:val="0"/>
              <w:pageBreakBefore w:val="0"/>
              <w:suppressLineNumbers w:val="0"/>
              <w:kinsoku/>
              <w:overflowPunct/>
              <w:bidi w:val="0"/>
              <w:spacing w:before="0" w:beforeAutospacing="0" w:after="0" w:afterAutospacing="0" w:line="360" w:lineRule="exact"/>
              <w:ind w:left="0" w:right="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履约担保的金额：</w:t>
            </w:r>
            <w:r>
              <w:rPr>
                <w:rFonts w:hint="eastAsia" w:ascii="宋体" w:hAnsi="宋体" w:cs="宋体"/>
                <w:b/>
                <w:bCs/>
                <w:color w:val="auto"/>
                <w:sz w:val="24"/>
                <w:szCs w:val="24"/>
                <w:highlight w:val="none"/>
                <w:lang w:val="en-US" w:eastAsia="zh-CN"/>
              </w:rPr>
              <w:t>/</w:t>
            </w:r>
          </w:p>
          <w:p w14:paraId="018F4C9C">
            <w:pPr>
              <w:keepNext w:val="0"/>
              <w:keepLines w:val="0"/>
              <w:pageBreakBefore w:val="0"/>
              <w:suppressLineNumbers w:val="0"/>
              <w:kinsoku/>
              <w:overflowPunct/>
              <w:bidi w:val="0"/>
              <w:spacing w:before="0" w:beforeAutospacing="0" w:after="0" w:afterAutospacing="0" w:line="360" w:lineRule="exact"/>
              <w:ind w:left="0" w:right="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履约保证金退还时间：履约合同期期满后退还（不计利息）</w:t>
            </w:r>
          </w:p>
        </w:tc>
      </w:tr>
      <w:tr w14:paraId="60701DBE">
        <w:tblPrEx>
          <w:tblCellMar>
            <w:top w:w="0" w:type="dxa"/>
            <w:left w:w="108" w:type="dxa"/>
            <w:bottom w:w="0" w:type="dxa"/>
            <w:right w:w="108" w:type="dxa"/>
          </w:tblCellMar>
        </w:tblPrEx>
        <w:trPr>
          <w:trHeight w:val="398"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5EE8D38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17</w:t>
            </w:r>
          </w:p>
        </w:tc>
        <w:tc>
          <w:tcPr>
            <w:tcW w:w="2074" w:type="dxa"/>
            <w:tcBorders>
              <w:top w:val="single" w:color="auto" w:sz="4" w:space="0"/>
              <w:left w:val="single" w:color="auto" w:sz="4" w:space="0"/>
              <w:bottom w:val="single" w:color="auto" w:sz="4" w:space="0"/>
              <w:right w:val="single" w:color="auto" w:sz="4" w:space="0"/>
            </w:tcBorders>
            <w:vAlign w:val="center"/>
          </w:tcPr>
          <w:p w14:paraId="71E36F0B">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360" w:lineRule="auto"/>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文件领取</w:t>
            </w:r>
          </w:p>
        </w:tc>
        <w:tc>
          <w:tcPr>
            <w:tcW w:w="7517" w:type="dxa"/>
            <w:tcBorders>
              <w:top w:val="single" w:color="auto" w:sz="4" w:space="0"/>
              <w:left w:val="single" w:color="auto" w:sz="4" w:space="0"/>
              <w:bottom w:val="single" w:color="auto" w:sz="4" w:space="0"/>
              <w:right w:val="single" w:color="auto" w:sz="4" w:space="0"/>
            </w:tcBorders>
            <w:vAlign w:val="center"/>
          </w:tcPr>
          <w:p w14:paraId="0E0B549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360" w:lineRule="auto"/>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rPr>
              <w:t>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tc>
      </w:tr>
      <w:tr w14:paraId="3294435B">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4B9983B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18</w:t>
            </w:r>
          </w:p>
        </w:tc>
        <w:tc>
          <w:tcPr>
            <w:tcW w:w="2074" w:type="dxa"/>
            <w:tcBorders>
              <w:top w:val="single" w:color="auto" w:sz="4" w:space="0"/>
              <w:left w:val="single" w:color="auto" w:sz="4" w:space="0"/>
              <w:bottom w:val="single" w:color="auto" w:sz="4" w:space="0"/>
              <w:right w:val="single" w:color="auto" w:sz="4" w:space="0"/>
            </w:tcBorders>
            <w:vAlign w:val="center"/>
          </w:tcPr>
          <w:p w14:paraId="4BA392A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签字和（或）</w:t>
            </w:r>
          </w:p>
          <w:p w14:paraId="5CF7A3F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盖章要求</w:t>
            </w:r>
          </w:p>
        </w:tc>
        <w:tc>
          <w:tcPr>
            <w:tcW w:w="7517" w:type="dxa"/>
            <w:tcBorders>
              <w:top w:val="single" w:color="auto" w:sz="4" w:space="0"/>
              <w:left w:val="single" w:color="auto" w:sz="4" w:space="0"/>
              <w:bottom w:val="single" w:color="auto" w:sz="4" w:space="0"/>
              <w:right w:val="single" w:color="auto" w:sz="4" w:space="0"/>
            </w:tcBorders>
            <w:vAlign w:val="center"/>
          </w:tcPr>
          <w:p w14:paraId="4C73833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企业公章、</w:t>
            </w:r>
            <w:r>
              <w:rPr>
                <w:rFonts w:hint="eastAsia" w:ascii="宋体" w:hAnsi="宋体" w:cs="宋体"/>
                <w:color w:val="auto"/>
                <w:sz w:val="24"/>
                <w:szCs w:val="24"/>
                <w:highlight w:val="none"/>
                <w:lang w:val="en-US" w:eastAsia="zh-CN"/>
              </w:rPr>
              <w:t>法定代表人</w:t>
            </w:r>
            <w:r>
              <w:rPr>
                <w:rFonts w:hint="eastAsia" w:ascii="宋体" w:hAnsi="宋体" w:eastAsia="宋体" w:cs="宋体"/>
                <w:color w:val="auto"/>
                <w:sz w:val="24"/>
                <w:szCs w:val="24"/>
                <w:highlight w:val="none"/>
              </w:rPr>
              <w:t>章</w:t>
            </w:r>
            <w:r>
              <w:rPr>
                <w:rFonts w:hint="eastAsia" w:ascii="宋体" w:hAnsi="宋体" w:cs="宋体"/>
                <w:color w:val="auto"/>
                <w:sz w:val="24"/>
                <w:szCs w:val="24"/>
                <w:highlight w:val="none"/>
                <w:lang w:val="en-US" w:eastAsia="zh-CN"/>
              </w:rPr>
              <w:t>或负责人章</w:t>
            </w:r>
            <w:r>
              <w:rPr>
                <w:rFonts w:hint="eastAsia" w:ascii="宋体" w:hAnsi="宋体" w:eastAsia="宋体" w:cs="宋体"/>
                <w:b/>
                <w:color w:val="auto"/>
                <w:sz w:val="24"/>
                <w:szCs w:val="24"/>
                <w:highlight w:val="none"/>
                <w:lang w:val="en-US" w:eastAsia="zh-CN"/>
              </w:rPr>
              <w:t>（</w:t>
            </w:r>
            <w:r>
              <w:rPr>
                <w:rFonts w:hint="eastAsia" w:ascii="宋体" w:hAnsi="宋体" w:cs="宋体"/>
                <w:b/>
                <w:color w:val="auto"/>
                <w:sz w:val="24"/>
                <w:szCs w:val="24"/>
                <w:highlight w:val="none"/>
                <w:lang w:val="en-US" w:eastAsia="zh-CN"/>
              </w:rPr>
              <w:t>负责人章</w:t>
            </w:r>
            <w:r>
              <w:rPr>
                <w:rFonts w:hint="eastAsia" w:ascii="宋体" w:hAnsi="宋体" w:eastAsia="宋体" w:cs="宋体"/>
                <w:b/>
                <w:color w:val="auto"/>
                <w:sz w:val="24"/>
                <w:szCs w:val="24"/>
                <w:highlight w:val="none"/>
                <w:lang w:val="en-US" w:eastAsia="zh-CN"/>
              </w:rPr>
              <w:t>仅限银行、保险、石油石化、电力、电信、邮政、铁路等特殊行业</w:t>
            </w:r>
            <w:r>
              <w:rPr>
                <w:rFonts w:hint="eastAsia" w:ascii="宋体" w:hAnsi="宋体" w:cs="宋体"/>
                <w:b/>
                <w:color w:val="auto"/>
                <w:sz w:val="24"/>
                <w:szCs w:val="24"/>
                <w:highlight w:val="none"/>
                <w:lang w:val="en-US" w:eastAsia="zh-CN"/>
              </w:rPr>
              <w:t>使用</w:t>
            </w:r>
            <w:r>
              <w:rPr>
                <w:rFonts w:hint="eastAsia" w:ascii="宋体" w:hAnsi="宋体" w:eastAsia="宋体" w:cs="宋体"/>
                <w:b/>
                <w:color w:val="auto"/>
                <w:sz w:val="24"/>
                <w:szCs w:val="24"/>
                <w:highlight w:val="none"/>
                <w:lang w:val="en-US" w:eastAsia="zh-CN"/>
              </w:rPr>
              <w:t>）</w:t>
            </w:r>
          </w:p>
          <w:p w14:paraId="4D9E510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企业法定代表人或其委托代理人签字</w:t>
            </w:r>
          </w:p>
        </w:tc>
      </w:tr>
      <w:tr w14:paraId="6142B8C6">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126A691B">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19</w:t>
            </w:r>
          </w:p>
        </w:tc>
        <w:tc>
          <w:tcPr>
            <w:tcW w:w="2074" w:type="dxa"/>
            <w:tcBorders>
              <w:top w:val="single" w:color="auto" w:sz="4" w:space="0"/>
              <w:left w:val="single" w:color="auto" w:sz="4" w:space="0"/>
              <w:bottom w:val="single" w:color="auto" w:sz="4" w:space="0"/>
              <w:right w:val="single" w:color="auto" w:sz="4" w:space="0"/>
            </w:tcBorders>
            <w:vAlign w:val="center"/>
          </w:tcPr>
          <w:p w14:paraId="401378AB">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说明</w:t>
            </w:r>
          </w:p>
        </w:tc>
        <w:tc>
          <w:tcPr>
            <w:tcW w:w="7517" w:type="dxa"/>
            <w:tcBorders>
              <w:top w:val="single" w:color="auto" w:sz="4" w:space="0"/>
              <w:left w:val="single" w:color="auto" w:sz="4" w:space="0"/>
              <w:bottom w:val="single" w:color="auto" w:sz="4" w:space="0"/>
              <w:right w:val="single" w:color="auto" w:sz="4" w:space="0"/>
            </w:tcBorders>
            <w:vAlign w:val="center"/>
          </w:tcPr>
          <w:p w14:paraId="4D5E20F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技术指标是作为功能性说明</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不论任何情况，供应商在投标时必须达到或优于</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w:t>
            </w:r>
          </w:p>
        </w:tc>
      </w:tr>
      <w:tr w14:paraId="734BF8B3">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4239A91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20</w:t>
            </w:r>
          </w:p>
        </w:tc>
        <w:tc>
          <w:tcPr>
            <w:tcW w:w="2074" w:type="dxa"/>
            <w:tcBorders>
              <w:top w:val="single" w:color="auto" w:sz="4" w:space="0"/>
              <w:left w:val="single" w:color="auto" w:sz="4" w:space="0"/>
              <w:bottom w:val="single" w:color="auto" w:sz="4" w:space="0"/>
              <w:right w:val="single" w:color="auto" w:sz="4" w:space="0"/>
            </w:tcBorders>
            <w:vAlign w:val="center"/>
          </w:tcPr>
          <w:p w14:paraId="561CDAB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评标办法</w:t>
            </w:r>
          </w:p>
        </w:tc>
        <w:tc>
          <w:tcPr>
            <w:tcW w:w="7517" w:type="dxa"/>
            <w:tcBorders>
              <w:top w:val="single" w:color="auto" w:sz="4" w:space="0"/>
              <w:left w:val="single" w:color="auto" w:sz="4" w:space="0"/>
              <w:bottom w:val="single" w:color="auto" w:sz="4" w:space="0"/>
              <w:right w:val="single" w:color="auto" w:sz="4" w:space="0"/>
            </w:tcBorders>
            <w:vAlign w:val="center"/>
          </w:tcPr>
          <w:p w14:paraId="311E762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综合评分法</w:t>
            </w:r>
          </w:p>
        </w:tc>
      </w:tr>
      <w:tr w14:paraId="093EDEDF">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0FE5AF8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21</w:t>
            </w:r>
          </w:p>
        </w:tc>
        <w:tc>
          <w:tcPr>
            <w:tcW w:w="2074" w:type="dxa"/>
            <w:tcBorders>
              <w:top w:val="single" w:color="auto" w:sz="4" w:space="0"/>
              <w:left w:val="single" w:color="auto" w:sz="4" w:space="0"/>
              <w:bottom w:val="single" w:color="auto" w:sz="4" w:space="0"/>
              <w:right w:val="single" w:color="auto" w:sz="4" w:space="0"/>
            </w:tcBorders>
            <w:vAlign w:val="center"/>
          </w:tcPr>
          <w:p w14:paraId="5541F3A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投标保证金</w:t>
            </w:r>
          </w:p>
        </w:tc>
        <w:tc>
          <w:tcPr>
            <w:tcW w:w="7517" w:type="dxa"/>
            <w:tcBorders>
              <w:top w:val="single" w:color="auto" w:sz="4" w:space="0"/>
              <w:left w:val="single" w:color="auto" w:sz="4" w:space="0"/>
              <w:bottom w:val="single" w:color="auto" w:sz="4" w:space="0"/>
              <w:right w:val="single" w:color="auto" w:sz="4" w:space="0"/>
            </w:tcBorders>
            <w:vAlign w:val="center"/>
          </w:tcPr>
          <w:p w14:paraId="0AE38B6B">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投标保证金金额：</w:t>
            </w:r>
          </w:p>
          <w:p w14:paraId="354AC7CB">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标项1：15000.00元（壹万伍仟元整）</w:t>
            </w:r>
          </w:p>
          <w:p w14:paraId="2542411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投标保证金的形式：由供应商基本账户转账、电汇方式一次性汇入指定账户或银行保函（必须由供应商单位基本账户开户银行开具、使用银行保函的，并提供保函的扫描件）。</w:t>
            </w:r>
          </w:p>
          <w:p w14:paraId="1CA90DFB">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投标保证金的开户银行及账号如下：</w:t>
            </w:r>
          </w:p>
          <w:p w14:paraId="7051408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账户名称：新疆德泰工程项目管理服务有限公司</w:t>
            </w:r>
          </w:p>
          <w:p w14:paraId="346C26D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三证合一：91652801MA7756RNX2</w:t>
            </w:r>
          </w:p>
          <w:p w14:paraId="59F589F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账    号：736090100100131279</w:t>
            </w:r>
          </w:p>
          <w:p w14:paraId="1BDD36C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开户行号：313888000101</w:t>
            </w:r>
          </w:p>
          <w:p w14:paraId="167DEA3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开 户 行：新疆银行股份有限公司库尔勒千城支行营业室</w:t>
            </w:r>
          </w:p>
          <w:p w14:paraId="6FE4DFB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投标保证金的递交截止时间：同开标时间（以银行记录确认到账为准），保证金汇款凭证用途栏应注明:项目编号或项目名称，未按以上要求递交投标保证金及提供保证金交纳凭证的视为无效，采购人将拒绝其投标。</w:t>
            </w:r>
          </w:p>
        </w:tc>
      </w:tr>
      <w:tr w14:paraId="65E154C4">
        <w:tblPrEx>
          <w:tblCellMar>
            <w:top w:w="0" w:type="dxa"/>
            <w:left w:w="108" w:type="dxa"/>
            <w:bottom w:w="0" w:type="dxa"/>
            <w:right w:w="108" w:type="dxa"/>
          </w:tblCellMar>
        </w:tblPrEx>
        <w:trPr>
          <w:trHeight w:val="1182" w:hRule="atLeast"/>
          <w:jc w:val="center"/>
        </w:trPr>
        <w:tc>
          <w:tcPr>
            <w:tcW w:w="1033" w:type="dxa"/>
            <w:vMerge w:val="restart"/>
            <w:tcBorders>
              <w:top w:val="single" w:color="auto" w:sz="4" w:space="0"/>
              <w:left w:val="single" w:color="auto" w:sz="4" w:space="0"/>
              <w:right w:val="single" w:color="auto" w:sz="4" w:space="0"/>
            </w:tcBorders>
            <w:vAlign w:val="center"/>
          </w:tcPr>
          <w:p w14:paraId="5A55B5F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22</w:t>
            </w:r>
          </w:p>
        </w:tc>
        <w:tc>
          <w:tcPr>
            <w:tcW w:w="2074" w:type="dxa"/>
            <w:vMerge w:val="restart"/>
            <w:tcBorders>
              <w:top w:val="single" w:color="auto" w:sz="4" w:space="0"/>
              <w:left w:val="single" w:color="auto" w:sz="4" w:space="0"/>
              <w:right w:val="single" w:color="auto" w:sz="4" w:space="0"/>
            </w:tcBorders>
            <w:vAlign w:val="center"/>
          </w:tcPr>
          <w:p w14:paraId="0969945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文件</w:t>
            </w:r>
          </w:p>
          <w:p w14:paraId="76C82BC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rPr>
              <w:t>交时间及地点</w:t>
            </w:r>
          </w:p>
        </w:tc>
        <w:tc>
          <w:tcPr>
            <w:tcW w:w="7517" w:type="dxa"/>
            <w:tcBorders>
              <w:top w:val="single" w:color="auto" w:sz="4" w:space="0"/>
              <w:left w:val="single" w:color="auto" w:sz="4" w:space="0"/>
              <w:bottom w:val="single" w:color="auto" w:sz="4" w:space="0"/>
              <w:right w:val="single" w:color="auto" w:sz="4" w:space="0"/>
            </w:tcBorders>
            <w:vAlign w:val="center"/>
          </w:tcPr>
          <w:p w14:paraId="5B7BC8BD">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u w:val="none"/>
              </w:rPr>
            </w:pPr>
            <w:r>
              <w:rPr>
                <w:rFonts w:hint="eastAsia" w:ascii="宋体" w:hAnsi="宋体" w:eastAsia="宋体" w:cs="宋体"/>
                <w:b/>
                <w:bCs/>
                <w:color w:val="auto"/>
                <w:sz w:val="24"/>
                <w:szCs w:val="24"/>
                <w:highlight w:val="none"/>
              </w:rPr>
              <w:t>电子加密文件</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提交</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截止时间及开标时间：</w:t>
            </w:r>
            <w:r>
              <w:rPr>
                <w:rFonts w:hint="eastAsia" w:ascii="宋体" w:hAnsi="宋体" w:cs="宋体"/>
                <w:b/>
                <w:bCs/>
                <w:color w:val="auto"/>
                <w:sz w:val="24"/>
                <w:szCs w:val="24"/>
                <w:highlight w:val="none"/>
                <w:u w:val="single"/>
                <w:lang w:eastAsia="zh-CN"/>
              </w:rPr>
              <w:t>2025年</w:t>
            </w:r>
            <w:r>
              <w:rPr>
                <w:rFonts w:hint="eastAsia" w:ascii="宋体" w:hAnsi="宋体" w:cs="宋体"/>
                <w:b/>
                <w:bCs/>
                <w:color w:val="auto"/>
                <w:sz w:val="24"/>
                <w:szCs w:val="24"/>
                <w:highlight w:val="none"/>
                <w:u w:val="single"/>
                <w:lang w:val="en-US" w:eastAsia="zh-CN"/>
              </w:rPr>
              <w:t>08月04日</w:t>
            </w:r>
            <w:r>
              <w:rPr>
                <w:rFonts w:hint="eastAsia" w:ascii="宋体" w:hAnsi="宋体" w:cs="宋体"/>
                <w:b/>
                <w:bCs/>
                <w:color w:val="auto"/>
                <w:sz w:val="24"/>
                <w:szCs w:val="24"/>
                <w:highlight w:val="none"/>
                <w:u w:val="none"/>
                <w:lang w:val="en-US" w:eastAsia="zh-CN"/>
              </w:rPr>
              <w:t>10时30分</w:t>
            </w:r>
            <w:r>
              <w:rPr>
                <w:rFonts w:hint="eastAsia" w:ascii="宋体" w:hAnsi="宋体" w:eastAsia="宋体" w:cs="宋体"/>
                <w:b/>
                <w:bCs/>
                <w:color w:val="auto"/>
                <w:sz w:val="24"/>
                <w:szCs w:val="24"/>
                <w:highlight w:val="none"/>
                <w:u w:val="none"/>
              </w:rPr>
              <w:t>（北京时间）</w:t>
            </w:r>
          </w:p>
          <w:p w14:paraId="091746CA">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color w:val="auto"/>
                <w:szCs w:val="20"/>
                <w:highlight w:val="none"/>
                <w:lang w:val="en-US" w:eastAsia="zh-CN"/>
              </w:rPr>
            </w:pPr>
            <w:r>
              <w:rPr>
                <w:rFonts w:hint="eastAsia" w:ascii="宋体" w:hAnsi="宋体" w:eastAsia="宋体" w:cs="宋体"/>
                <w:b/>
                <w:bCs/>
                <w:color w:val="auto"/>
                <w:sz w:val="24"/>
                <w:szCs w:val="24"/>
                <w:highlight w:val="none"/>
                <w:lang w:val="en-US" w:eastAsia="zh-CN"/>
              </w:rPr>
              <w:t>投标地点及开标地点：</w:t>
            </w:r>
            <w:r>
              <w:rPr>
                <w:rFonts w:hint="eastAsia" w:ascii="宋体" w:hAnsi="宋体" w:cs="宋体"/>
                <w:b/>
                <w:bCs/>
                <w:color w:val="auto"/>
                <w:sz w:val="24"/>
                <w:szCs w:val="24"/>
                <w:highlight w:val="none"/>
                <w:u w:val="none"/>
                <w:lang w:val="en-US" w:eastAsia="zh-CN"/>
              </w:rPr>
              <w:t>投标人登录政采云平台https://www.zcygov.cn/，进入“项目采购-开标评标-右边选择对应项目点击“进入项目”进入开标大厅。</w:t>
            </w:r>
          </w:p>
        </w:tc>
      </w:tr>
      <w:tr w14:paraId="37767EE5">
        <w:tblPrEx>
          <w:tblCellMar>
            <w:top w:w="0" w:type="dxa"/>
            <w:left w:w="108" w:type="dxa"/>
            <w:bottom w:w="0" w:type="dxa"/>
            <w:right w:w="108" w:type="dxa"/>
          </w:tblCellMar>
        </w:tblPrEx>
        <w:trPr>
          <w:trHeight w:val="90" w:hRule="atLeast"/>
          <w:jc w:val="center"/>
        </w:trPr>
        <w:tc>
          <w:tcPr>
            <w:tcW w:w="1033" w:type="dxa"/>
            <w:vMerge w:val="continue"/>
            <w:tcBorders>
              <w:left w:val="single" w:color="auto" w:sz="4" w:space="0"/>
              <w:bottom w:val="single" w:color="auto" w:sz="4" w:space="0"/>
              <w:right w:val="single" w:color="auto" w:sz="4" w:space="0"/>
            </w:tcBorders>
            <w:vAlign w:val="center"/>
          </w:tcPr>
          <w:p w14:paraId="04FC078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p>
        </w:tc>
        <w:tc>
          <w:tcPr>
            <w:tcW w:w="2074" w:type="dxa"/>
            <w:vMerge w:val="continue"/>
            <w:tcBorders>
              <w:left w:val="single" w:color="auto" w:sz="4" w:space="0"/>
              <w:bottom w:val="single" w:color="auto" w:sz="4" w:space="0"/>
              <w:right w:val="single" w:color="auto" w:sz="4" w:space="0"/>
            </w:tcBorders>
            <w:vAlign w:val="center"/>
          </w:tcPr>
          <w:p w14:paraId="468C1E2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lang w:val="en-US" w:eastAsia="zh-CN"/>
              </w:rPr>
            </w:pPr>
          </w:p>
        </w:tc>
        <w:tc>
          <w:tcPr>
            <w:tcW w:w="7517" w:type="dxa"/>
            <w:tcBorders>
              <w:top w:val="single" w:color="auto" w:sz="4" w:space="0"/>
              <w:left w:val="single" w:color="auto" w:sz="4" w:space="0"/>
              <w:bottom w:val="single" w:color="auto" w:sz="4" w:space="0"/>
              <w:right w:val="single" w:color="auto" w:sz="4" w:space="0"/>
            </w:tcBorders>
            <w:vAlign w:val="center"/>
          </w:tcPr>
          <w:p w14:paraId="2CF84B5D">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纸质版文件包括：一份正本，一份副本。</w:t>
            </w:r>
          </w:p>
          <w:p w14:paraId="548BB1E7">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项目成交公示后三个工作日内，</w:t>
            </w:r>
            <w:r>
              <w:rPr>
                <w:rFonts w:hint="eastAsia" w:ascii="宋体" w:hAnsi="宋体" w:cs="宋体"/>
                <w:b/>
                <w:bCs/>
                <w:color w:val="auto"/>
                <w:sz w:val="24"/>
                <w:szCs w:val="24"/>
                <w:highlight w:val="none"/>
                <w:lang w:val="en-US" w:eastAsia="zh-CN"/>
              </w:rPr>
              <w:t>中标（</w:t>
            </w:r>
            <w:r>
              <w:rPr>
                <w:rFonts w:hint="eastAsia" w:ascii="宋体" w:hAnsi="宋体" w:eastAsia="宋体" w:cs="宋体"/>
                <w:b/>
                <w:bCs/>
                <w:color w:val="auto"/>
                <w:sz w:val="24"/>
                <w:szCs w:val="24"/>
                <w:highlight w:val="none"/>
                <w:lang w:val="en-US" w:eastAsia="zh-CN"/>
              </w:rPr>
              <w:t>成</w:t>
            </w:r>
            <w:r>
              <w:rPr>
                <w:rFonts w:hint="eastAsia" w:ascii="宋体" w:hAnsi="宋体" w:cs="宋体"/>
                <w:b/>
                <w:bCs/>
                <w:color w:val="auto"/>
                <w:sz w:val="24"/>
                <w:szCs w:val="24"/>
                <w:highlight w:val="none"/>
                <w:lang w:val="en-US" w:eastAsia="zh-CN"/>
              </w:rPr>
              <w:t>交）</w:t>
            </w:r>
            <w:r>
              <w:rPr>
                <w:rFonts w:hint="eastAsia" w:ascii="宋体" w:hAnsi="宋体" w:eastAsia="宋体" w:cs="宋体"/>
                <w:b/>
                <w:bCs/>
                <w:color w:val="auto"/>
                <w:sz w:val="24"/>
                <w:szCs w:val="24"/>
                <w:highlight w:val="none"/>
                <w:lang w:val="en-US" w:eastAsia="zh-CN"/>
              </w:rPr>
              <w:t>单位需提供两份纸质响应文件（必须与上传的电子版响应文件一致），双面打印、盖鲜章后递交至采购代理机构（可邮寄）；</w:t>
            </w:r>
          </w:p>
          <w:p w14:paraId="679375B3">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递交地址：库尔勒市索克巴格路6号壹品千城商业街2栋3层8号</w:t>
            </w:r>
          </w:p>
          <w:p w14:paraId="4C450366">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采用死页胶装方式装订,装订应牢固、不易拆散和换页，不得采用活页装订。</w:t>
            </w:r>
          </w:p>
        </w:tc>
      </w:tr>
      <w:tr w14:paraId="09C20C22">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389D2E61">
            <w:pPr>
              <w:keepNext w:val="0"/>
              <w:keepLines w:val="0"/>
              <w:pageBreakBefore w:val="0"/>
              <w:widowControl w:val="0"/>
              <w:suppressLineNumbers w:val="0"/>
              <w:tabs>
                <w:tab w:val="left" w:pos="5527"/>
              </w:tabs>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3</w:t>
            </w:r>
          </w:p>
        </w:tc>
        <w:tc>
          <w:tcPr>
            <w:tcW w:w="2074" w:type="dxa"/>
            <w:tcBorders>
              <w:top w:val="single" w:color="auto" w:sz="4" w:space="0"/>
              <w:left w:val="single" w:color="auto" w:sz="4" w:space="0"/>
              <w:bottom w:val="single" w:color="auto" w:sz="4" w:space="0"/>
              <w:right w:val="single" w:color="auto" w:sz="4" w:space="0"/>
            </w:tcBorders>
            <w:vAlign w:val="center"/>
          </w:tcPr>
          <w:p w14:paraId="5B15F4C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最高限价</w:t>
            </w:r>
          </w:p>
        </w:tc>
        <w:tc>
          <w:tcPr>
            <w:tcW w:w="7517" w:type="dxa"/>
            <w:tcBorders>
              <w:top w:val="single" w:color="auto" w:sz="4" w:space="0"/>
              <w:left w:val="single" w:color="auto" w:sz="4" w:space="0"/>
              <w:bottom w:val="single" w:color="auto" w:sz="4" w:space="0"/>
              <w:right w:val="single" w:color="auto" w:sz="4" w:space="0"/>
            </w:tcBorders>
            <w:vAlign w:val="center"/>
          </w:tcPr>
          <w:p w14:paraId="64D0EC6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最高限价：标项1：</w:t>
            </w:r>
            <w:r>
              <w:rPr>
                <w:rFonts w:hint="eastAsia" w:cs="宋体"/>
                <w:b/>
                <w:bCs/>
                <w:color w:val="auto"/>
                <w:sz w:val="24"/>
                <w:szCs w:val="24"/>
                <w:highlight w:val="none"/>
                <w:lang w:val="en-US" w:eastAsia="zh-CN"/>
              </w:rPr>
              <w:t>750000.00</w:t>
            </w:r>
            <w:r>
              <w:rPr>
                <w:rFonts w:hint="eastAsia" w:ascii="宋体" w:hAnsi="宋体" w:eastAsia="宋体" w:cs="宋体"/>
                <w:b/>
                <w:bCs/>
                <w:color w:val="auto"/>
                <w:sz w:val="24"/>
                <w:szCs w:val="24"/>
                <w:highlight w:val="none"/>
                <w:lang w:val="en-US" w:eastAsia="zh-CN"/>
              </w:rPr>
              <w:t>元</w:t>
            </w:r>
            <w:r>
              <w:rPr>
                <w:rFonts w:hint="eastAsia" w:ascii="宋体" w:hAnsi="宋体" w:cs="宋体"/>
                <w:b/>
                <w:bCs/>
                <w:color w:val="auto"/>
                <w:sz w:val="24"/>
                <w:szCs w:val="24"/>
                <w:highlight w:val="none"/>
                <w:lang w:val="en-US" w:eastAsia="zh-CN"/>
              </w:rPr>
              <w:t>；</w:t>
            </w:r>
          </w:p>
          <w:p w14:paraId="12E3ABE0">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color w:val="auto"/>
                <w:szCs w:val="20"/>
                <w:highlight w:val="none"/>
                <w:lang w:val="en-US" w:eastAsia="zh-CN"/>
              </w:rPr>
            </w:pPr>
            <w:r>
              <w:rPr>
                <w:rFonts w:hint="eastAsia" w:ascii="宋体" w:hAnsi="宋体" w:eastAsia="宋体" w:cs="宋体"/>
                <w:b/>
                <w:bCs/>
                <w:color w:val="auto"/>
                <w:sz w:val="24"/>
                <w:szCs w:val="24"/>
                <w:highlight w:val="none"/>
                <w:lang w:val="en-US" w:eastAsia="zh-CN"/>
              </w:rPr>
              <w:t>（投标报价不得高于最高限价，否则将按无效投标处理，报价金额保留后两位小数）</w:t>
            </w:r>
          </w:p>
        </w:tc>
      </w:tr>
      <w:tr w14:paraId="294DB8A1">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17AD642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p>
        </w:tc>
        <w:tc>
          <w:tcPr>
            <w:tcW w:w="2074" w:type="dxa"/>
            <w:tcBorders>
              <w:top w:val="single" w:color="auto" w:sz="4" w:space="0"/>
              <w:left w:val="single" w:color="auto" w:sz="4" w:space="0"/>
              <w:bottom w:val="single" w:color="auto" w:sz="4" w:space="0"/>
              <w:right w:val="single" w:color="auto" w:sz="4" w:space="0"/>
            </w:tcBorders>
            <w:vAlign w:val="center"/>
          </w:tcPr>
          <w:p w14:paraId="70C865E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360" w:lineRule="auto"/>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代理服务费</w:t>
            </w:r>
          </w:p>
        </w:tc>
        <w:tc>
          <w:tcPr>
            <w:tcW w:w="7517" w:type="dxa"/>
            <w:tcBorders>
              <w:top w:val="single" w:color="auto" w:sz="4" w:space="0"/>
              <w:left w:val="single" w:color="auto" w:sz="4" w:space="0"/>
              <w:bottom w:val="single" w:color="auto" w:sz="4" w:space="0"/>
              <w:right w:val="single" w:color="auto" w:sz="4" w:space="0"/>
            </w:tcBorders>
            <w:vAlign w:val="center"/>
          </w:tcPr>
          <w:p w14:paraId="76434752">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rPr>
              <w:t>收取标准参照国计委计价格[2002]1980号文执行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成交金额100万元以下的部分，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采购费率1.50%，成交金额100万元至500万元的部分，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采购费率1.10%，成交金额500万元至1000万元的部分，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采购费率0.80%，成交金额1000万元至5000万元的部分，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率0.50%，成交金额5000万元至10000万元的部分，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采购费率0.25%，成交金额10000万元至100000万元的部分，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采购费率0.05%，成交金额1000000万元以上的部分，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采购费率0.01%;</w:t>
            </w:r>
          </w:p>
        </w:tc>
      </w:tr>
      <w:tr w14:paraId="660B7C92">
        <w:tblPrEx>
          <w:tblCellMar>
            <w:top w:w="0" w:type="dxa"/>
            <w:left w:w="108" w:type="dxa"/>
            <w:bottom w:w="0" w:type="dxa"/>
            <w:right w:w="108" w:type="dxa"/>
          </w:tblCellMar>
        </w:tblPrEx>
        <w:trPr>
          <w:trHeight w:val="90"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2C00D12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p>
        </w:tc>
        <w:tc>
          <w:tcPr>
            <w:tcW w:w="2074" w:type="dxa"/>
            <w:tcBorders>
              <w:top w:val="single" w:color="auto" w:sz="4" w:space="0"/>
              <w:left w:val="single" w:color="auto" w:sz="4" w:space="0"/>
              <w:bottom w:val="single" w:color="auto" w:sz="4" w:space="0"/>
              <w:right w:val="single" w:color="auto" w:sz="4" w:space="0"/>
            </w:tcBorders>
            <w:vAlign w:val="center"/>
          </w:tcPr>
          <w:p w14:paraId="6D51BDC6">
            <w:pPr>
              <w:pStyle w:val="16"/>
              <w:keepNext w:val="0"/>
              <w:keepLines w:val="0"/>
              <w:pageBreakBefore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评审专家劳务</w:t>
            </w:r>
          </w:p>
          <w:p w14:paraId="4B1D8DFD">
            <w:pPr>
              <w:pStyle w:val="16"/>
              <w:keepNext w:val="0"/>
              <w:keepLines w:val="0"/>
              <w:pageBreakBefore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报酬</w:t>
            </w:r>
          </w:p>
        </w:tc>
        <w:tc>
          <w:tcPr>
            <w:tcW w:w="7517" w:type="dxa"/>
            <w:tcBorders>
              <w:top w:val="single" w:color="auto" w:sz="4" w:space="0"/>
              <w:left w:val="single" w:color="auto" w:sz="4" w:space="0"/>
              <w:bottom w:val="single" w:color="auto" w:sz="4" w:space="0"/>
              <w:right w:val="single" w:color="auto" w:sz="4" w:space="0"/>
            </w:tcBorders>
            <w:vAlign w:val="center"/>
          </w:tcPr>
          <w:p w14:paraId="4F11856C">
            <w:pPr>
              <w:pStyle w:val="24"/>
              <w:keepNext w:val="0"/>
              <w:keepLines w:val="0"/>
              <w:pageBreakBefore w:val="0"/>
              <w:suppressLineNumbers w:val="0"/>
              <w:tabs>
                <w:tab w:val="left" w:pos="5527"/>
              </w:tabs>
              <w:kinsoku/>
              <w:wordWrap/>
              <w:overflowPunct/>
              <w:topLinePunct w:val="0"/>
              <w:autoSpaceDE/>
              <w:autoSpaceDN/>
              <w:bidi w:val="0"/>
              <w:snapToGrid/>
              <w:spacing w:before="0" w:beforeAutospacing="0" w:after="0" w:afterAutospacing="0" w:line="400" w:lineRule="exact"/>
              <w:ind w:left="0" w:right="0"/>
              <w:textAlignment w:val="auto"/>
              <w:outlineLvl w:val="9"/>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val="0"/>
                <w:bCs/>
                <w:color w:val="auto"/>
                <w:sz w:val="24"/>
                <w:szCs w:val="24"/>
                <w:highlight w:val="none"/>
              </w:rPr>
              <w:t>计算方法及支付标准执行巴财购【2018】6号文《关于自治州政府采购专家评审费标准及支付方式的通知》。</w:t>
            </w:r>
          </w:p>
        </w:tc>
      </w:tr>
      <w:tr w14:paraId="716E766D">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2D99C30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p>
        </w:tc>
        <w:tc>
          <w:tcPr>
            <w:tcW w:w="2074" w:type="dxa"/>
            <w:tcBorders>
              <w:top w:val="single" w:color="auto" w:sz="4" w:space="0"/>
              <w:left w:val="single" w:color="auto" w:sz="4" w:space="0"/>
              <w:bottom w:val="single" w:color="auto" w:sz="4" w:space="0"/>
              <w:right w:val="single" w:color="auto" w:sz="4" w:space="0"/>
            </w:tcBorders>
            <w:vAlign w:val="center"/>
          </w:tcPr>
          <w:p w14:paraId="20319518">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auto"/>
              <w:ind w:left="0" w:right="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提出质疑</w:t>
            </w:r>
          </w:p>
          <w:p w14:paraId="6687D3D0">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auto"/>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的时间</w:t>
            </w:r>
          </w:p>
        </w:tc>
        <w:tc>
          <w:tcPr>
            <w:tcW w:w="7517" w:type="dxa"/>
            <w:tcBorders>
              <w:top w:val="single" w:color="auto" w:sz="4" w:space="0"/>
              <w:left w:val="single" w:color="auto" w:sz="4" w:space="0"/>
              <w:bottom w:val="single" w:color="auto" w:sz="4" w:space="0"/>
              <w:right w:val="single" w:color="auto" w:sz="4" w:space="0"/>
            </w:tcBorders>
            <w:vAlign w:val="center"/>
          </w:tcPr>
          <w:p w14:paraId="14919E34">
            <w:pPr>
              <w:keepNext w:val="0"/>
              <w:keepLines w:val="0"/>
              <w:suppressLineNumbers w:val="0"/>
              <w:spacing w:before="0" w:beforeAutospacing="0" w:after="0" w:afterAutospacing="0" w:line="288" w:lineRule="auto"/>
              <w:ind w:left="0" w:right="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1、对</w:t>
            </w:r>
            <w:r>
              <w:rPr>
                <w:rFonts w:hint="eastAsia" w:ascii="宋体" w:hAnsi="宋体" w:cs="宋体"/>
                <w:b/>
                <w:bCs/>
                <w:color w:val="auto"/>
                <w:sz w:val="24"/>
                <w:szCs w:val="24"/>
                <w:highlight w:val="none"/>
                <w:lang w:val="en-US" w:eastAsia="zh-CN"/>
              </w:rPr>
              <w:t>招标</w:t>
            </w:r>
            <w:r>
              <w:rPr>
                <w:rFonts w:hint="eastAsia" w:ascii="宋体" w:hAnsi="宋体" w:cs="宋体"/>
                <w:b/>
                <w:bCs/>
                <w:color w:val="auto"/>
                <w:sz w:val="24"/>
                <w:szCs w:val="24"/>
                <w:highlight w:val="none"/>
              </w:rPr>
              <w:t>文件提出质疑的，应当在获取</w:t>
            </w:r>
            <w:r>
              <w:rPr>
                <w:rFonts w:hint="eastAsia" w:ascii="宋体" w:hAnsi="宋体" w:cs="宋体"/>
                <w:b/>
                <w:bCs/>
                <w:color w:val="auto"/>
                <w:sz w:val="24"/>
                <w:szCs w:val="24"/>
                <w:highlight w:val="none"/>
                <w:lang w:eastAsia="zh-CN"/>
              </w:rPr>
              <w:t>招标文件</w:t>
            </w:r>
            <w:r>
              <w:rPr>
                <w:rFonts w:hint="eastAsia" w:ascii="宋体" w:hAnsi="宋体" w:cs="宋体"/>
                <w:b/>
                <w:bCs/>
                <w:color w:val="auto"/>
                <w:sz w:val="24"/>
                <w:szCs w:val="24"/>
                <w:highlight w:val="none"/>
              </w:rPr>
              <w:t>或者</w:t>
            </w:r>
            <w:r>
              <w:rPr>
                <w:rFonts w:hint="eastAsia" w:ascii="宋体" w:hAnsi="宋体" w:cs="宋体"/>
                <w:b/>
                <w:bCs/>
                <w:color w:val="auto"/>
                <w:sz w:val="24"/>
                <w:szCs w:val="24"/>
                <w:highlight w:val="none"/>
                <w:lang w:val="en-US" w:eastAsia="zh-CN"/>
              </w:rPr>
              <w:t>招标</w:t>
            </w:r>
            <w:r>
              <w:rPr>
                <w:rFonts w:hint="eastAsia" w:ascii="宋体" w:hAnsi="宋体" w:cs="宋体"/>
                <w:b/>
                <w:bCs/>
                <w:color w:val="auto"/>
                <w:sz w:val="24"/>
                <w:szCs w:val="24"/>
                <w:highlight w:val="none"/>
              </w:rPr>
              <w:t>公告期限届满之日起7个工作日内提出；</w:t>
            </w:r>
          </w:p>
          <w:p w14:paraId="1EFF95CB">
            <w:pPr>
              <w:keepNext w:val="0"/>
              <w:keepLines w:val="0"/>
              <w:suppressLineNumbers w:val="0"/>
              <w:spacing w:before="0" w:beforeAutospacing="0" w:after="0" w:afterAutospacing="0" w:line="288" w:lineRule="auto"/>
              <w:ind w:left="0" w:right="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2、供应商认为</w:t>
            </w:r>
            <w:r>
              <w:rPr>
                <w:rFonts w:hint="eastAsia" w:ascii="宋体" w:hAnsi="宋体" w:cs="宋体"/>
                <w:b/>
                <w:bCs/>
                <w:color w:val="auto"/>
                <w:sz w:val="24"/>
                <w:szCs w:val="24"/>
                <w:highlight w:val="none"/>
                <w:lang w:eastAsia="zh-CN"/>
              </w:rPr>
              <w:t>招标文件</w:t>
            </w:r>
            <w:r>
              <w:rPr>
                <w:rFonts w:hint="eastAsia" w:ascii="宋体" w:hAnsi="宋体" w:cs="宋体"/>
                <w:b/>
                <w:bCs/>
                <w:color w:val="auto"/>
                <w:sz w:val="24"/>
                <w:szCs w:val="24"/>
                <w:highlight w:val="none"/>
              </w:rPr>
              <w:t>、采购过程、中标或者成交结果使自己的权益受到损害的，可以在知道或者应知其权益受到损害之日起7个工作日内，以书面形式（按照财政部制定的质疑函范本编写</w:t>
            </w:r>
            <w:r>
              <w:rPr>
                <w:rFonts w:hint="eastAsia" w:ascii="宋体" w:hAnsi="宋体" w:cs="宋体"/>
                <w:b/>
                <w:bCs/>
                <w:color w:val="auto"/>
                <w:sz w:val="24"/>
                <w:szCs w:val="24"/>
                <w:highlight w:val="none"/>
                <w:lang w:val="en-US" w:eastAsia="zh-CN"/>
              </w:rPr>
              <w:t>并加盖公章</w:t>
            </w:r>
            <w:r>
              <w:rPr>
                <w:rFonts w:hint="eastAsia" w:ascii="宋体" w:hAnsi="宋体" w:cs="宋体"/>
                <w:b/>
                <w:bCs/>
                <w:color w:val="auto"/>
                <w:sz w:val="24"/>
                <w:szCs w:val="24"/>
                <w:highlight w:val="none"/>
              </w:rPr>
              <w:t>）向采购人、采购代理机构提出质疑；</w:t>
            </w:r>
          </w:p>
          <w:p w14:paraId="692480F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12" w:lineRule="auto"/>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szCs w:val="24"/>
                <w:highlight w:val="none"/>
              </w:rPr>
              <w:t>3、供应商按要求领取招标文件的，为依法获取招标文件的供应商，可以对该文件提出质疑</w:t>
            </w:r>
            <w:bookmarkStart w:id="427" w:name="_GoBack"/>
            <w:bookmarkEnd w:id="427"/>
            <w:r>
              <w:rPr>
                <w:rFonts w:hint="eastAsia" w:ascii="宋体" w:hAnsi="宋体" w:cs="宋体"/>
                <w:b/>
                <w:bCs/>
                <w:color w:val="auto"/>
                <w:sz w:val="24"/>
                <w:szCs w:val="24"/>
                <w:highlight w:val="none"/>
              </w:rPr>
              <w:t>。根据《中华人民共和国政府采购法》等规定，供应商质疑不得超出招标文件、招标过程、招标结果的范围，供应商针对同一采购程序环节的质疑应在法定质疑期内一次性提出。</w:t>
            </w:r>
          </w:p>
        </w:tc>
      </w:tr>
      <w:tr w14:paraId="70C8AEA6">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4031A17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27</w:t>
            </w:r>
          </w:p>
        </w:tc>
        <w:tc>
          <w:tcPr>
            <w:tcW w:w="2074" w:type="dxa"/>
            <w:tcBorders>
              <w:top w:val="single" w:color="auto" w:sz="4" w:space="0"/>
              <w:left w:val="single" w:color="auto" w:sz="4" w:space="0"/>
              <w:bottom w:val="single" w:color="auto" w:sz="4" w:space="0"/>
              <w:right w:val="single" w:color="auto" w:sz="4" w:space="0"/>
            </w:tcBorders>
            <w:vAlign w:val="center"/>
          </w:tcPr>
          <w:p w14:paraId="1A1B2CC8">
            <w:pPr>
              <w:pStyle w:val="16"/>
              <w:keepNext w:val="0"/>
              <w:keepLines w:val="0"/>
              <w:suppressLineNumbers w:val="0"/>
              <w:spacing w:before="0" w:beforeAutospacing="0" w:after="0" w:afterAutospacing="0"/>
              <w:ind w:left="0" w:right="0"/>
              <w:outlineLvl w:val="9"/>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投标</w:t>
            </w:r>
            <w:r>
              <w:rPr>
                <w:rFonts w:hint="eastAsia" w:ascii="宋体" w:hAnsi="宋体" w:eastAsia="宋体" w:cs="宋体"/>
                <w:b/>
                <w:bCs/>
                <w:color w:val="auto"/>
                <w:kern w:val="0"/>
                <w:sz w:val="24"/>
                <w:szCs w:val="24"/>
                <w:highlight w:val="none"/>
              </w:rPr>
              <w:t>保证金的退还</w:t>
            </w:r>
          </w:p>
        </w:tc>
        <w:tc>
          <w:tcPr>
            <w:tcW w:w="7517" w:type="dxa"/>
            <w:tcBorders>
              <w:top w:val="single" w:color="auto" w:sz="4" w:space="0"/>
              <w:left w:val="single" w:color="auto" w:sz="4" w:space="0"/>
              <w:bottom w:val="single" w:color="auto" w:sz="4" w:space="0"/>
              <w:right w:val="single" w:color="auto" w:sz="4" w:space="0"/>
            </w:tcBorders>
            <w:vAlign w:val="center"/>
          </w:tcPr>
          <w:p w14:paraId="22FDC9F7">
            <w:pPr>
              <w:pStyle w:val="16"/>
              <w:keepNext w:val="0"/>
              <w:keepLines w:val="0"/>
              <w:suppressLineNumbers w:val="0"/>
              <w:spacing w:before="0" w:beforeAutospacing="0" w:after="0" w:afterAutospacing="0"/>
              <w:ind w:left="0" w:right="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(1)未中标供应商，自中标通知书发出之日起5个工作日内原账户退还；</w:t>
            </w:r>
          </w:p>
          <w:p w14:paraId="6723ECB5">
            <w:pPr>
              <w:pStyle w:val="16"/>
              <w:keepNext w:val="0"/>
              <w:keepLines w:val="0"/>
              <w:suppressLineNumbers w:val="0"/>
              <w:spacing w:before="0" w:beforeAutospacing="0" w:after="0" w:afterAutospacing="0"/>
              <w:ind w:left="0" w:right="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(2)中标供应商在合同签订</w:t>
            </w:r>
            <w:r>
              <w:rPr>
                <w:rFonts w:hint="eastAsia" w:cs="宋体"/>
                <w:b/>
                <w:bCs/>
                <w:color w:val="auto"/>
                <w:kern w:val="0"/>
                <w:sz w:val="24"/>
                <w:szCs w:val="24"/>
                <w:highlight w:val="none"/>
                <w:lang w:val="en-US" w:eastAsia="zh-CN"/>
              </w:rPr>
              <w:t>之日起5</w:t>
            </w:r>
            <w:r>
              <w:rPr>
                <w:rFonts w:hint="eastAsia" w:ascii="宋体" w:hAnsi="宋体" w:eastAsia="宋体" w:cs="宋体"/>
                <w:b/>
                <w:bCs/>
                <w:color w:val="auto"/>
                <w:kern w:val="0"/>
                <w:sz w:val="24"/>
                <w:szCs w:val="24"/>
                <w:highlight w:val="none"/>
              </w:rPr>
              <w:t>个工作日内予以退还。</w:t>
            </w:r>
          </w:p>
          <w:p w14:paraId="45070D4F">
            <w:pPr>
              <w:pStyle w:val="16"/>
              <w:keepNext w:val="0"/>
              <w:keepLines w:val="0"/>
              <w:suppressLineNumbers w:val="0"/>
              <w:spacing w:before="0" w:beforeAutospacing="0" w:after="0" w:afterAutospacing="0"/>
              <w:ind w:left="0" w:right="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(3)因</w:t>
            </w:r>
            <w:r>
              <w:rPr>
                <w:rFonts w:hint="eastAsia" w:ascii="宋体" w:hAnsi="宋体" w:eastAsia="宋体" w:cs="宋体"/>
                <w:b/>
                <w:bCs/>
                <w:color w:val="auto"/>
                <w:kern w:val="0"/>
                <w:sz w:val="24"/>
                <w:szCs w:val="24"/>
                <w:highlight w:val="none"/>
                <w:lang w:eastAsia="zh-CN"/>
              </w:rPr>
              <w:t>供应商</w:t>
            </w:r>
            <w:r>
              <w:rPr>
                <w:rFonts w:hint="eastAsia" w:ascii="宋体" w:hAnsi="宋体" w:eastAsia="宋体" w:cs="宋体"/>
                <w:b/>
                <w:bCs/>
                <w:color w:val="auto"/>
                <w:kern w:val="0"/>
                <w:sz w:val="24"/>
                <w:szCs w:val="24"/>
                <w:highlight w:val="none"/>
              </w:rPr>
              <w:t>账户问题导致无法正常时间内退付的，采购人和采购代理机构不承担相应责任；</w:t>
            </w:r>
          </w:p>
          <w:p w14:paraId="19E2B9E6">
            <w:pPr>
              <w:pStyle w:val="16"/>
              <w:keepNext w:val="0"/>
              <w:keepLines w:val="0"/>
              <w:suppressLineNumbers w:val="0"/>
              <w:spacing w:before="0" w:beforeAutospacing="0" w:after="0" w:afterAutospacing="0"/>
              <w:ind w:left="0" w:right="0"/>
              <w:outlineLvl w:val="9"/>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投标</w:t>
            </w:r>
            <w:r>
              <w:rPr>
                <w:rFonts w:hint="eastAsia" w:ascii="宋体" w:hAnsi="宋体" w:eastAsia="宋体" w:cs="宋体"/>
                <w:b/>
                <w:bCs/>
                <w:color w:val="auto"/>
                <w:kern w:val="0"/>
                <w:sz w:val="24"/>
                <w:szCs w:val="24"/>
                <w:highlight w:val="none"/>
              </w:rPr>
              <w:t>保证金退还不计付利息。</w:t>
            </w:r>
          </w:p>
        </w:tc>
      </w:tr>
      <w:tr w14:paraId="69786E9D">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5BD8D62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28</w:t>
            </w:r>
          </w:p>
        </w:tc>
        <w:tc>
          <w:tcPr>
            <w:tcW w:w="2074" w:type="dxa"/>
            <w:tcBorders>
              <w:top w:val="single" w:color="auto" w:sz="4" w:space="0"/>
              <w:left w:val="single" w:color="auto" w:sz="4" w:space="0"/>
              <w:bottom w:val="single" w:color="auto" w:sz="4" w:space="0"/>
              <w:right w:val="single" w:color="auto" w:sz="4" w:space="0"/>
            </w:tcBorders>
            <w:vAlign w:val="center"/>
          </w:tcPr>
          <w:p w14:paraId="17F3E9AE">
            <w:pPr>
              <w:pStyle w:val="16"/>
              <w:keepNext w:val="0"/>
              <w:keepLines w:val="0"/>
              <w:suppressLineNumbers w:val="0"/>
              <w:spacing w:before="0" w:beforeAutospacing="0" w:after="0" w:afterAutospacing="0" w:line="440" w:lineRule="exact"/>
              <w:ind w:left="0" w:right="0"/>
              <w:jc w:val="left"/>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标前准备及解密时间</w:t>
            </w:r>
          </w:p>
        </w:tc>
        <w:tc>
          <w:tcPr>
            <w:tcW w:w="7517" w:type="dxa"/>
            <w:tcBorders>
              <w:top w:val="single" w:color="auto" w:sz="4" w:space="0"/>
              <w:left w:val="single" w:color="auto" w:sz="4" w:space="0"/>
              <w:bottom w:val="single" w:color="auto" w:sz="4" w:space="0"/>
              <w:right w:val="single" w:color="auto" w:sz="4" w:space="0"/>
            </w:tcBorders>
            <w:vAlign w:val="center"/>
          </w:tcPr>
          <w:p w14:paraId="2363D6F9">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标前准备：</w:t>
            </w:r>
          </w:p>
          <w:p w14:paraId="6624704F">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1、本项目实行网上</w:t>
            </w:r>
            <w:r>
              <w:rPr>
                <w:rFonts w:hint="eastAsia" w:ascii="宋体" w:hAnsi="宋体" w:eastAsia="宋体" w:cs="宋体"/>
                <w:b w:val="0"/>
                <w:bCs w:val="0"/>
                <w:color w:val="auto"/>
                <w:kern w:val="0"/>
                <w:sz w:val="24"/>
                <w:szCs w:val="24"/>
                <w:highlight w:val="none"/>
                <w:lang w:val="en-US" w:eastAsia="zh-CN"/>
              </w:rPr>
              <w:t>投标</w:t>
            </w:r>
            <w:r>
              <w:rPr>
                <w:rFonts w:hint="eastAsia" w:ascii="宋体" w:hAnsi="宋体" w:eastAsia="宋体" w:cs="宋体"/>
                <w:b w:val="0"/>
                <w:bCs w:val="0"/>
                <w:color w:val="auto"/>
                <w:kern w:val="0"/>
                <w:sz w:val="24"/>
                <w:szCs w:val="24"/>
                <w:highlight w:val="none"/>
              </w:rPr>
              <w:t>，采用电子</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。若供应商参与投标，自行承担投标一切费用。</w:t>
            </w:r>
          </w:p>
          <w:p w14:paraId="1F57257D">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2、各供应商应在开标前应确保成为新疆维吾尔自治区政府采购网正式注册入库供应商，并完成CA数字证书申领。因未注册入库、未办理CA数字证书等原因造成无法投标或投标失败等后果由供应商自行承担。</w:t>
            </w:r>
          </w:p>
          <w:p w14:paraId="63826F90">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3、供应商将政采云电子交易客户端下载、安装完成后，可通过账号密码或CA登录客户端进行</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制作。在使用政采云投标客户端时，建议使用WIN7及以上操作系统。客户端请至新疆政府采购网（</w:t>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"http://www.ccgp-xinjiang.gov.cn/"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0"/>
                <w:sz w:val="24"/>
                <w:szCs w:val="24"/>
                <w:highlight w:val="none"/>
              </w:rPr>
              <w:t>http://www.ccgp-xinjiang.gov.cn/</w:t>
            </w:r>
            <w:r>
              <w:rPr>
                <w:rFonts w:hint="eastAsia" w:ascii="宋体" w:hAnsi="宋体" w:eastAsia="宋体" w:cs="宋体"/>
                <w:b w:val="0"/>
                <w:bCs w:val="0"/>
                <w:color w:val="auto"/>
                <w:kern w:val="0"/>
                <w:sz w:val="24"/>
                <w:szCs w:val="24"/>
                <w:highlight w:val="none"/>
              </w:rPr>
              <w:fldChar w:fldCharType="end"/>
            </w:r>
            <w:r>
              <w:rPr>
                <w:rFonts w:hint="eastAsia" w:ascii="宋体" w:hAnsi="宋体" w:eastAsia="宋体" w:cs="宋体"/>
                <w:b w:val="0"/>
                <w:bCs w:val="0"/>
                <w:color w:val="auto"/>
                <w:kern w:val="0"/>
                <w:sz w:val="24"/>
                <w:szCs w:val="24"/>
                <w:highlight w:val="none"/>
              </w:rPr>
              <w:t>）下载专区查看，如有问题可拨打政采云客户服务热线95763进行咨询。</w:t>
            </w:r>
          </w:p>
          <w:p w14:paraId="289D2D8A">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4、本项目通过“政府采购云平台（www.zcygov.cn）”实行在线投标响应（电子投标），供应商应先安装“政采云电子交易客户端”，并按照本招标文件和“政府采购云平台”的要求，通过“政采云电子交易客户端”编制并加密</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。供应商未按规定加密的</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，“政府采购云平台”将予以拒收。电子投标具体操作流程详见本公告附件《供应商项目采购-电子招投标操作指南》；通过“政府采购云平台”参与在线投标时如遇平台技术问题详询95763。</w:t>
            </w:r>
          </w:p>
          <w:p w14:paraId="322B692F">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5、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w:t>
            </w:r>
          </w:p>
          <w:p w14:paraId="0D84BFBD">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0"/>
                <w:sz w:val="24"/>
                <w:szCs w:val="24"/>
                <w:highlight w:val="none"/>
              </w:rPr>
              <w:t>6、投标供应商应当在投标截止时间前，将生成的“电子加密</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”上传递交至“政府采购云平台”。投标截止时间以后上传递交的</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将被“政府采购云平台”拒收。</w:t>
            </w:r>
          </w:p>
        </w:tc>
      </w:tr>
      <w:tr w14:paraId="5FFD743E">
        <w:tblPrEx>
          <w:tblCellMar>
            <w:top w:w="0" w:type="dxa"/>
            <w:left w:w="108" w:type="dxa"/>
            <w:bottom w:w="0" w:type="dxa"/>
            <w:right w:w="108" w:type="dxa"/>
          </w:tblCellMar>
        </w:tblPrEx>
        <w:trPr>
          <w:trHeight w:val="3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77F87A0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29</w:t>
            </w:r>
          </w:p>
        </w:tc>
        <w:tc>
          <w:tcPr>
            <w:tcW w:w="2074" w:type="dxa"/>
            <w:tcBorders>
              <w:top w:val="single" w:color="auto" w:sz="4" w:space="0"/>
              <w:left w:val="single" w:color="auto" w:sz="4" w:space="0"/>
              <w:bottom w:val="single" w:color="auto" w:sz="4" w:space="0"/>
              <w:right w:val="single" w:color="auto" w:sz="4" w:space="0"/>
            </w:tcBorders>
            <w:vAlign w:val="center"/>
          </w:tcPr>
          <w:p w14:paraId="3F1D7636">
            <w:pPr>
              <w:pStyle w:val="16"/>
              <w:keepNext w:val="0"/>
              <w:keepLines w:val="0"/>
              <w:suppressLineNumbers w:val="0"/>
              <w:spacing w:before="0" w:beforeAutospacing="0" w:after="0" w:afterAutospacing="0" w:line="440" w:lineRule="exact"/>
              <w:ind w:left="0" w:leftChars="0" w:right="0" w:rightChars="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废标和无效投标情形</w:t>
            </w:r>
          </w:p>
        </w:tc>
        <w:tc>
          <w:tcPr>
            <w:tcW w:w="7517" w:type="dxa"/>
            <w:tcBorders>
              <w:top w:val="single" w:color="auto" w:sz="4" w:space="0"/>
              <w:left w:val="single" w:color="auto" w:sz="4" w:space="0"/>
              <w:bottom w:val="single" w:color="auto" w:sz="4" w:space="0"/>
              <w:right w:val="single" w:color="auto" w:sz="4" w:space="0"/>
            </w:tcBorders>
            <w:vAlign w:val="center"/>
          </w:tcPr>
          <w:p w14:paraId="6EE0126A">
            <w:pPr>
              <w:pStyle w:val="16"/>
              <w:keepNext w:val="0"/>
              <w:keepLines w:val="0"/>
              <w:suppressLineNumbers w:val="0"/>
              <w:spacing w:before="0" w:beforeAutospacing="0" w:after="0" w:afterAutospacing="0"/>
              <w:ind w:left="0" w:right="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 xml:space="preserve">开标过程中的废标情形  </w:t>
            </w:r>
          </w:p>
          <w:p w14:paraId="63D105FD">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eastAsia="zh-CN"/>
              </w:rPr>
              <w:t>（</w:t>
            </w:r>
            <w:r>
              <w:rPr>
                <w:rFonts w:hint="eastAsia" w:cs="宋体"/>
                <w:b/>
                <w:bCs/>
                <w:color w:val="auto"/>
                <w:kern w:val="0"/>
                <w:sz w:val="24"/>
                <w:szCs w:val="24"/>
                <w:highlight w:val="none"/>
                <w:lang w:val="en-US" w:eastAsia="zh-CN"/>
              </w:rPr>
              <w:t>1</w:t>
            </w:r>
            <w:r>
              <w:rPr>
                <w:rFonts w:hint="eastAsia"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符合专业条件的供应商或者对招标文件作实质响应的供应商不足三家的；</w:t>
            </w:r>
          </w:p>
          <w:p w14:paraId="3763DC70">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出现影响采购公正的违法、违规行为的；</w:t>
            </w:r>
          </w:p>
          <w:p w14:paraId="1C7686B5">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rPr>
              <w:t>投标人的报价均超过了采购预算，采购人不能支付的；</w:t>
            </w:r>
          </w:p>
          <w:p w14:paraId="34A4384D">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（4）</w:t>
            </w:r>
            <w:r>
              <w:rPr>
                <w:rFonts w:hint="eastAsia" w:ascii="宋体" w:hAnsi="宋体" w:eastAsia="宋体" w:cs="宋体"/>
                <w:b/>
                <w:bCs/>
                <w:color w:val="auto"/>
                <w:kern w:val="0"/>
                <w:sz w:val="24"/>
                <w:szCs w:val="24"/>
                <w:highlight w:val="none"/>
              </w:rPr>
              <w:t>因重大变故，采购任务取消的。</w:t>
            </w:r>
          </w:p>
          <w:p w14:paraId="028FC979">
            <w:pPr>
              <w:pStyle w:val="16"/>
              <w:keepNext w:val="0"/>
              <w:keepLines w:val="0"/>
              <w:suppressLineNumbers w:val="0"/>
              <w:spacing w:before="0" w:beforeAutospacing="0" w:after="0" w:afterAutospacing="0"/>
              <w:ind w:left="0" w:right="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 xml:space="preserve">开标过程中的无效投标情形 </w:t>
            </w:r>
          </w:p>
          <w:p w14:paraId="6C8F674F">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未按照招标文件的规定缴纳</w:t>
            </w:r>
            <w:r>
              <w:rPr>
                <w:rFonts w:hint="eastAsia" w:ascii="宋体" w:hAnsi="宋体" w:eastAsia="宋体" w:cs="宋体"/>
                <w:b/>
                <w:bCs/>
                <w:color w:val="auto"/>
                <w:kern w:val="0"/>
                <w:sz w:val="24"/>
                <w:szCs w:val="24"/>
                <w:highlight w:val="none"/>
                <w:lang w:val="en-US" w:eastAsia="zh-CN"/>
              </w:rPr>
              <w:t>投标</w:t>
            </w:r>
            <w:r>
              <w:rPr>
                <w:rFonts w:hint="eastAsia" w:ascii="宋体" w:hAnsi="宋体" w:eastAsia="宋体" w:cs="宋体"/>
                <w:b/>
                <w:bCs/>
                <w:color w:val="auto"/>
                <w:kern w:val="0"/>
                <w:sz w:val="24"/>
                <w:szCs w:val="24"/>
                <w:highlight w:val="none"/>
              </w:rPr>
              <w:t>保证金的；</w:t>
            </w:r>
          </w:p>
          <w:p w14:paraId="175BAFCB">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lang w:eastAsia="zh-CN"/>
              </w:rPr>
              <w:t>响应文件</w:t>
            </w:r>
            <w:r>
              <w:rPr>
                <w:rFonts w:hint="eastAsia" w:ascii="宋体" w:hAnsi="宋体" w:eastAsia="宋体" w:cs="宋体"/>
                <w:b/>
                <w:bCs/>
                <w:color w:val="auto"/>
                <w:kern w:val="0"/>
                <w:sz w:val="24"/>
                <w:szCs w:val="24"/>
                <w:highlight w:val="none"/>
              </w:rPr>
              <w:t>超过规定的时间送达的；</w:t>
            </w:r>
          </w:p>
          <w:p w14:paraId="5ECC5CD1">
            <w:pPr>
              <w:pStyle w:val="16"/>
              <w:keepNext w:val="0"/>
              <w:keepLines w:val="0"/>
              <w:suppressLineNumbers w:val="0"/>
              <w:spacing w:before="0" w:beforeAutospacing="0" w:after="0" w:afterAutospacing="0"/>
              <w:ind w:left="0" w:leftChars="0" w:right="0" w:rightChars="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rPr>
              <w:t>投标文件存在下列情况之一的，投标无效：</w:t>
            </w:r>
          </w:p>
          <w:p w14:paraId="08128F76">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（1）不符合招标文件中规定的资格要求的；</w:t>
            </w:r>
          </w:p>
          <w:p w14:paraId="71FF79B1">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（2）不符合招标文件中规定的实质性要求的；</w:t>
            </w:r>
          </w:p>
          <w:p w14:paraId="62D1B4D9">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（3）未按照招标文件的规定提交投标保证金的（仅限投标人须知前附表要求投标人提交投标保证金的）；</w:t>
            </w:r>
          </w:p>
          <w:p w14:paraId="76C9869E">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（4）投标文件未按照招标文件要求签署、盖章的；</w:t>
            </w:r>
          </w:p>
          <w:p w14:paraId="1C41054C">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（5）投标报价超过了招标文件中规定的预算金额或者最高限价的；</w:t>
            </w:r>
          </w:p>
          <w:p w14:paraId="66D033D4">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（6）投标文件中含有采购人不能接受的附加条件的；</w:t>
            </w:r>
          </w:p>
          <w:p w14:paraId="46FD5B94">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（7）投标产品不符合强制执行的国家标准、行业标准的（如有）；</w:t>
            </w:r>
          </w:p>
          <w:p w14:paraId="13629B32">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（8）投标产品不是国家强制节能产品品目清单中的产品（如有）；</w:t>
            </w:r>
          </w:p>
          <w:p w14:paraId="5794FBAE">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（9）投标产品属于强制性认证产品的未提供强制性产品认证证书复印件的（如有）；</w:t>
            </w:r>
          </w:p>
          <w:p w14:paraId="72AA1F52">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（10）法律、行政法规和招标文件规定的其他无效情形。</w:t>
            </w:r>
          </w:p>
          <w:p w14:paraId="148FFD10">
            <w:pPr>
              <w:pStyle w:val="16"/>
              <w:keepNext w:val="0"/>
              <w:keepLines w:val="0"/>
              <w:suppressLineNumbers w:val="0"/>
              <w:spacing w:before="0" w:beforeAutospacing="0" w:after="0" w:afterAutospacing="0"/>
              <w:ind w:left="0" w:leftChars="0" w:right="0" w:rightChars="0"/>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rPr>
              <w:t>投标文件存在以上情况（1）（3）的，由资格审查小组认定，其余情况由评标委员会认定。</w:t>
            </w:r>
          </w:p>
        </w:tc>
      </w:tr>
      <w:tr w14:paraId="5C5CADDE">
        <w:tblPrEx>
          <w:tblCellMar>
            <w:top w:w="0" w:type="dxa"/>
            <w:left w:w="108" w:type="dxa"/>
            <w:bottom w:w="0" w:type="dxa"/>
            <w:right w:w="108" w:type="dxa"/>
          </w:tblCellMar>
        </w:tblPrEx>
        <w:trPr>
          <w:trHeight w:val="424"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4AA385B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30</w:t>
            </w:r>
          </w:p>
        </w:tc>
        <w:tc>
          <w:tcPr>
            <w:tcW w:w="2074" w:type="dxa"/>
            <w:tcBorders>
              <w:top w:val="single" w:color="auto" w:sz="4" w:space="0"/>
              <w:left w:val="single" w:color="auto" w:sz="4" w:space="0"/>
              <w:bottom w:val="single" w:color="auto" w:sz="4" w:space="0"/>
              <w:right w:val="single" w:color="auto" w:sz="4" w:space="0"/>
            </w:tcBorders>
            <w:vAlign w:val="center"/>
          </w:tcPr>
          <w:p w14:paraId="20CE5D55">
            <w:pPr>
              <w:pStyle w:val="16"/>
              <w:keepNext w:val="0"/>
              <w:keepLines w:val="0"/>
              <w:suppressLineNumbers w:val="0"/>
              <w:spacing w:before="0" w:beforeAutospacing="0" w:after="0" w:afterAutospacing="0" w:line="440" w:lineRule="exact"/>
              <w:ind w:left="0" w:right="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政府采购政策支持</w:t>
            </w:r>
          </w:p>
        </w:tc>
        <w:tc>
          <w:tcPr>
            <w:tcW w:w="7517" w:type="dxa"/>
            <w:tcBorders>
              <w:top w:val="single" w:color="auto" w:sz="4" w:space="0"/>
              <w:left w:val="single" w:color="auto" w:sz="4" w:space="0"/>
              <w:bottom w:val="single" w:color="auto" w:sz="4" w:space="0"/>
              <w:right w:val="single" w:color="auto" w:sz="4" w:space="0"/>
            </w:tcBorders>
            <w:vAlign w:val="center"/>
          </w:tcPr>
          <w:p w14:paraId="44841B18">
            <w:pPr>
              <w:pStyle w:val="5"/>
              <w:keepNext w:val="0"/>
              <w:keepLines w:val="0"/>
              <w:suppressLineNumbers w:val="0"/>
              <w:spacing w:before="0" w:beforeAutospacing="0" w:after="0" w:afterAutospacing="0"/>
              <w:ind w:left="0" w:leftChars="0" w:right="0" w:firstLine="0" w:firstLineChars="0"/>
              <w:outlineLvl w:val="9"/>
              <w:rPr>
                <w:rFonts w:hint="eastAsia" w:ascii="宋体" w:hAnsi="宋体" w:eastAsia="宋体" w:cs="宋体"/>
                <w:b/>
                <w:bCs w:val="0"/>
                <w:color w:val="auto"/>
                <w:kern w:val="2"/>
                <w:sz w:val="24"/>
                <w:szCs w:val="24"/>
                <w:highlight w:val="none"/>
                <w:lang w:val="en-US" w:eastAsia="zh-CN" w:bidi="ar-SA"/>
              </w:rPr>
            </w:pPr>
            <w:r>
              <w:rPr>
                <w:rFonts w:hint="eastAsia" w:ascii="宋体" w:hAnsi="宋体" w:cs="宋体"/>
                <w:b/>
                <w:bCs w:val="0"/>
                <w:color w:val="auto"/>
                <w:kern w:val="2"/>
                <w:sz w:val="24"/>
                <w:szCs w:val="24"/>
                <w:highlight w:val="none"/>
                <w:lang w:val="en-US" w:eastAsia="zh-CN" w:bidi="ar-SA"/>
              </w:rPr>
              <w:t>本项目不专门面向中小企业。若投标供应商所提供的货物全部由符合政策要求的中小/小微企业制造，并按要求提交《中小企业声明函》，给予小型、微型企业享受价格10%扣除，用扣除后的价格参与评审。</w:t>
            </w:r>
          </w:p>
          <w:p w14:paraId="3D6761A8">
            <w:pPr>
              <w:pStyle w:val="5"/>
              <w:keepNext w:val="0"/>
              <w:keepLines w:val="0"/>
              <w:suppressLineNumbers w:val="0"/>
              <w:spacing w:before="0" w:beforeAutospacing="0" w:after="0" w:afterAutospacing="0"/>
              <w:ind w:left="0" w:leftChars="0" w:right="0" w:firstLine="0" w:firstLineChars="0"/>
              <w:outlineLvl w:val="9"/>
              <w:rPr>
                <w:rFonts w:hint="eastAsia" w:ascii="宋体" w:hAnsi="宋体" w:cs="宋体"/>
                <w:b/>
                <w:bCs w:val="0"/>
                <w:color w:val="auto"/>
                <w:kern w:val="2"/>
                <w:sz w:val="24"/>
                <w:szCs w:val="24"/>
                <w:highlight w:val="none"/>
                <w:u w:val="none"/>
                <w:lang w:val="en-US" w:eastAsia="zh-CN" w:bidi="ar-SA"/>
              </w:rPr>
            </w:pPr>
            <w:r>
              <w:rPr>
                <w:rFonts w:hint="eastAsia" w:ascii="宋体" w:hAnsi="宋体" w:eastAsia="宋体" w:cs="宋体"/>
                <w:b/>
                <w:bCs w:val="0"/>
                <w:color w:val="auto"/>
                <w:kern w:val="2"/>
                <w:sz w:val="24"/>
                <w:szCs w:val="24"/>
                <w:highlight w:val="none"/>
                <w:lang w:val="en-US" w:eastAsia="zh-CN" w:bidi="ar-SA"/>
              </w:rPr>
              <w:t>项目属性：</w:t>
            </w:r>
            <w:r>
              <w:rPr>
                <w:rFonts w:hint="eastAsia" w:ascii="宋体" w:hAnsi="宋体" w:eastAsia="宋体" w:cs="宋体"/>
                <w:b/>
                <w:bCs w:val="0"/>
                <w:color w:val="auto"/>
                <w:kern w:val="2"/>
                <w:sz w:val="24"/>
                <w:szCs w:val="24"/>
                <w:highlight w:val="none"/>
                <w:u w:val="single"/>
                <w:lang w:val="en-US" w:eastAsia="zh-CN" w:bidi="ar-SA"/>
              </w:rPr>
              <w:t xml:space="preserve"> 货物</w:t>
            </w:r>
            <w:r>
              <w:rPr>
                <w:rFonts w:hint="eastAsia" w:ascii="宋体" w:hAnsi="宋体" w:eastAsia="宋体" w:cs="宋体"/>
                <w:b/>
                <w:bCs w:val="0"/>
                <w:color w:val="auto"/>
                <w:kern w:val="2"/>
                <w:sz w:val="24"/>
                <w:szCs w:val="24"/>
                <w:highlight w:val="none"/>
                <w:u w:val="none"/>
                <w:lang w:val="en-US" w:eastAsia="zh-CN" w:bidi="ar-SA"/>
              </w:rPr>
              <w:t xml:space="preserve"> </w:t>
            </w:r>
            <w:r>
              <w:rPr>
                <w:rFonts w:hint="eastAsia" w:ascii="宋体" w:hAnsi="宋体" w:cs="宋体"/>
                <w:b/>
                <w:bCs w:val="0"/>
                <w:color w:val="auto"/>
                <w:kern w:val="2"/>
                <w:sz w:val="24"/>
                <w:szCs w:val="24"/>
                <w:highlight w:val="none"/>
                <w:u w:val="none"/>
                <w:lang w:val="en-US" w:eastAsia="zh-CN" w:bidi="ar-SA"/>
              </w:rPr>
              <w:t>（注：(1)在货物采购项目中，货物由中小企业制造，即货物由中小企业生产且使用该中小企业商号或者注册商标，不对其中涉及的工程承建商和服务的承接商作出要求；</w:t>
            </w:r>
            <w:r>
              <w:rPr>
                <w:rFonts w:hint="eastAsia" w:ascii="宋体" w:hAnsi="宋体" w:cs="宋体"/>
                <w:b w:val="0"/>
                <w:bCs/>
                <w:color w:val="auto"/>
                <w:kern w:val="2"/>
                <w:sz w:val="24"/>
                <w:szCs w:val="24"/>
                <w:highlight w:val="none"/>
                <w:u w:val="none"/>
                <w:lang w:val="en-US" w:eastAsia="zh-CN" w:bidi="ar-SA"/>
              </w:rPr>
              <w:t>(2)在工程采购项目中，工程由中小企业承建，即工程施工单位为中小企业，不对其中涉及的货物的制造商和服务的承接商作出要求；(3)在服务采购项目中，服务由中小企业承接，即提供服务的人员为中小企业依照《中华人民共和国劳动合同法》订立劳动合同的从业人员，不对其中涉及的货物的制造商和工程承建商作出要求。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依据本招标文件规定享受扶持政策获得政府采购合同的，小微企业不得将合同分包给大中型企业，中型企业不得将合同分包给大型企业。</w:t>
            </w:r>
          </w:p>
          <w:p w14:paraId="181A9EC0">
            <w:pPr>
              <w:pStyle w:val="5"/>
              <w:keepNext w:val="0"/>
              <w:keepLines w:val="0"/>
              <w:suppressLineNumbers w:val="0"/>
              <w:spacing w:before="0" w:beforeAutospacing="0" w:after="0" w:afterAutospacing="0"/>
              <w:ind w:left="0" w:leftChars="0" w:right="0" w:firstLine="0" w:firstLineChars="0"/>
              <w:outlineLvl w:val="9"/>
              <w:rPr>
                <w:rFonts w:hint="eastAsia" w:ascii="宋体" w:hAnsi="宋体" w:eastAsia="宋体" w:cs="宋体"/>
                <w:b/>
                <w:bCs w:val="0"/>
                <w:color w:val="auto"/>
                <w:kern w:val="2"/>
                <w:sz w:val="24"/>
                <w:szCs w:val="24"/>
                <w:highlight w:val="none"/>
                <w:u w:val="none"/>
                <w:lang w:val="en-US" w:eastAsia="zh-CN" w:bidi="ar-SA"/>
              </w:rPr>
            </w:pPr>
            <w:r>
              <w:rPr>
                <w:rFonts w:hint="eastAsia" w:ascii="宋体" w:hAnsi="宋体" w:cs="宋体"/>
                <w:b/>
                <w:bCs w:val="0"/>
                <w:color w:val="auto"/>
                <w:kern w:val="2"/>
                <w:sz w:val="24"/>
                <w:szCs w:val="24"/>
                <w:highlight w:val="none"/>
                <w:u w:val="none"/>
                <w:lang w:val="en-US" w:eastAsia="zh-CN" w:bidi="ar-SA"/>
              </w:rPr>
              <w:t>（4）本项目以货物类为主，采购清单中标的物为货物类须在《中小企业声明函》中一一列明</w:t>
            </w:r>
          </w:p>
          <w:p w14:paraId="5EB80F23">
            <w:pPr>
              <w:pStyle w:val="13"/>
              <w:keepNext w:val="0"/>
              <w:keepLines w:val="0"/>
              <w:suppressLineNumbers w:val="0"/>
              <w:spacing w:before="0" w:beforeAutospacing="0" w:afterAutospacing="0"/>
              <w:ind w:left="0" w:right="0"/>
              <w:outlineLvl w:val="9"/>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val="0"/>
                <w:color w:val="auto"/>
                <w:sz w:val="24"/>
                <w:szCs w:val="24"/>
                <w:highlight w:val="none"/>
                <w:lang w:eastAsia="zh-CN"/>
              </w:rPr>
              <w:t>根据《中小企业划型标准规定》对应中小企业划分标准所属行业为</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cs="宋体"/>
                <w:b/>
                <w:bCs w:val="0"/>
                <w:color w:val="auto"/>
                <w:sz w:val="24"/>
                <w:szCs w:val="24"/>
                <w:highlight w:val="none"/>
                <w:u w:val="single"/>
                <w:lang w:val="en-US" w:eastAsia="zh-CN"/>
              </w:rPr>
              <w:t>零售业</w:t>
            </w:r>
            <w:r>
              <w:rPr>
                <w:rFonts w:hint="eastAsia" w:ascii="宋体" w:hAnsi="宋体" w:eastAsia="宋体" w:cs="宋体"/>
                <w:b/>
                <w:bCs/>
                <w:color w:val="auto"/>
                <w:sz w:val="24"/>
                <w:szCs w:val="24"/>
                <w:highlight w:val="none"/>
                <w:u w:val="none"/>
                <w:lang w:val="en-US" w:eastAsia="zh-CN"/>
              </w:rPr>
              <w:t>。</w:t>
            </w:r>
          </w:p>
          <w:p w14:paraId="7C0C04F6">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（1）中小企业（含中型、小型、微型企业），根据《政府采购促进中小企业发展管理办法》（财库[2020]46号）的规定、《关于进一步加大政府采购支持中小企业力度的通知》财库〔2022〕19号的规定；</w:t>
            </w:r>
          </w:p>
          <w:p w14:paraId="524C06FE">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（2）《财政部、司法部关于政府采购支持监狱企业发展有关问题的通知》（财库[2014]68号）；</w:t>
            </w:r>
          </w:p>
          <w:p w14:paraId="0C6671B3">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（3）财政部 生态环境部关于印发环境标志产品政府采购品目清单的通知（财库[2019]18号）；</w:t>
            </w:r>
          </w:p>
          <w:p w14:paraId="5745CB6A">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（4）《财政部 民政部 中国残疾人联合会关于促进残疾人就业政府采购政策的通知》财库[2017]141号；</w:t>
            </w:r>
          </w:p>
          <w:p w14:paraId="6870E631">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（5）《财政部 发展改革委 生态环境部 市场监管总局关于调整优化节能产品 环境标志产品政府采购执行机制的通知》（财库〔2019〕9号），投标产品遵照《关于印发节能产品政府采购品目清单的通知》（财库〔2019〕19号）相关规定执行。</w:t>
            </w:r>
          </w:p>
          <w:p w14:paraId="2BB5DB77">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（6）《关于运用政府采购政策支持脱贫攻坚的通知》（财库【2019】27号文）</w:t>
            </w:r>
          </w:p>
          <w:p w14:paraId="03F57F5E">
            <w:pPr>
              <w:pStyle w:val="16"/>
              <w:keepNext w:val="0"/>
              <w:keepLines w:val="0"/>
              <w:suppressLineNumbers w:val="0"/>
              <w:spacing w:before="0" w:beforeAutospacing="0" w:after="0" w:afterAutospacing="0"/>
              <w:ind w:left="0" w:right="0"/>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特别提示：供应商须保证所提交资料真实、完整、有效、一致，否则自行承担由此导致的与本项目有关的任何损失。</w:t>
            </w:r>
          </w:p>
        </w:tc>
      </w:tr>
      <w:tr w14:paraId="75231EEF">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356BA90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31</w:t>
            </w:r>
          </w:p>
        </w:tc>
        <w:tc>
          <w:tcPr>
            <w:tcW w:w="2074" w:type="dxa"/>
            <w:tcBorders>
              <w:top w:val="single" w:color="auto" w:sz="4" w:space="0"/>
              <w:left w:val="single" w:color="auto" w:sz="4" w:space="0"/>
              <w:bottom w:val="single" w:color="auto" w:sz="4" w:space="0"/>
              <w:right w:val="single" w:color="auto" w:sz="4" w:space="0"/>
            </w:tcBorders>
            <w:vAlign w:val="center"/>
          </w:tcPr>
          <w:p w14:paraId="7E2D2A69">
            <w:pPr>
              <w:pStyle w:val="16"/>
              <w:keepNext w:val="0"/>
              <w:keepLines w:val="0"/>
              <w:suppressLineNumbers w:val="0"/>
              <w:spacing w:before="0" w:beforeAutospacing="0" w:after="0" w:afterAutospacing="0" w:line="440" w:lineRule="exact"/>
              <w:ind w:left="0" w:right="0"/>
              <w:jc w:val="left"/>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说明</w:t>
            </w:r>
          </w:p>
        </w:tc>
        <w:tc>
          <w:tcPr>
            <w:tcW w:w="7517" w:type="dxa"/>
            <w:tcBorders>
              <w:top w:val="single" w:color="auto" w:sz="4" w:space="0"/>
              <w:left w:val="single" w:color="auto" w:sz="4" w:space="0"/>
              <w:bottom w:val="single" w:color="auto" w:sz="4" w:space="0"/>
              <w:right w:val="single" w:color="auto" w:sz="4" w:space="0"/>
            </w:tcBorders>
            <w:vAlign w:val="center"/>
          </w:tcPr>
          <w:p w14:paraId="1BC8870B">
            <w:pPr>
              <w:keepNext w:val="0"/>
              <w:keepLines w:val="0"/>
              <w:numPr>
                <w:ilvl w:val="0"/>
                <w:numId w:val="0"/>
              </w:numPr>
              <w:suppressLineNumbers w:val="0"/>
              <w:spacing w:before="0" w:beforeAutospacing="0" w:after="0" w:afterAutospacing="0" w:line="312" w:lineRule="auto"/>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公开招标</w:t>
            </w:r>
            <w:r>
              <w:rPr>
                <w:rFonts w:hint="eastAsia" w:ascii="宋体" w:hAnsi="宋体" w:eastAsia="宋体" w:cs="宋体"/>
                <w:color w:val="auto"/>
                <w:sz w:val="24"/>
                <w:szCs w:val="24"/>
                <w:highlight w:val="none"/>
              </w:rPr>
              <w:t>文件技术指标是作为功能性说明，不论任何情况，供应商在</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时必须达到或优于</w:t>
            </w:r>
            <w:r>
              <w:rPr>
                <w:rFonts w:hint="eastAsia" w:ascii="宋体" w:hAnsi="宋体" w:eastAsia="宋体" w:cs="宋体"/>
                <w:color w:val="auto"/>
                <w:sz w:val="24"/>
                <w:szCs w:val="24"/>
                <w:highlight w:val="none"/>
                <w:lang w:eastAsia="zh-CN"/>
              </w:rPr>
              <w:t>公开招标</w:t>
            </w:r>
            <w:r>
              <w:rPr>
                <w:rFonts w:hint="eastAsia" w:ascii="宋体" w:hAnsi="宋体" w:eastAsia="宋体" w:cs="宋体"/>
                <w:color w:val="auto"/>
                <w:sz w:val="24"/>
                <w:szCs w:val="24"/>
                <w:highlight w:val="none"/>
              </w:rPr>
              <w:t>文件要求。</w:t>
            </w:r>
          </w:p>
          <w:p w14:paraId="4402C5C6">
            <w:pPr>
              <w:keepNext w:val="0"/>
              <w:keepLines w:val="0"/>
              <w:numPr>
                <w:ilvl w:val="0"/>
                <w:numId w:val="0"/>
              </w:numPr>
              <w:suppressLineNumbers w:val="0"/>
              <w:spacing w:before="0" w:beforeAutospacing="0" w:after="0" w:afterAutospacing="0" w:line="312" w:lineRule="auto"/>
              <w:ind w:left="0" w:right="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供应商</w:t>
            </w:r>
            <w:r>
              <w:rPr>
                <w:rFonts w:hint="eastAsia" w:ascii="宋体" w:hAnsi="宋体" w:eastAsia="宋体" w:cs="宋体"/>
                <w:b/>
                <w:color w:val="auto"/>
                <w:sz w:val="24"/>
                <w:szCs w:val="24"/>
                <w:highlight w:val="none"/>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承担所有相关责任的同时不得耽误本项目供货。</w:t>
            </w:r>
          </w:p>
          <w:p w14:paraId="15B478AC">
            <w:pPr>
              <w:pStyle w:val="16"/>
              <w:keepNext w:val="0"/>
              <w:keepLines w:val="0"/>
              <w:suppressLineNumbers w:val="0"/>
              <w:spacing w:before="0" w:beforeAutospacing="0" w:after="0" w:afterAutospacing="0"/>
              <w:ind w:left="0" w:right="0"/>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color w:val="auto"/>
                <w:kern w:val="0"/>
                <w:sz w:val="24"/>
                <w:szCs w:val="24"/>
                <w:highlight w:val="none"/>
                <w:lang w:val="en-US" w:eastAsia="zh-CN" w:bidi="ar-SA"/>
              </w:rPr>
              <w:t>本项目公开招标文件最终解释权归采购人所有。</w:t>
            </w:r>
          </w:p>
        </w:tc>
      </w:tr>
      <w:tr w14:paraId="45A012A0">
        <w:tblPrEx>
          <w:tblCellMar>
            <w:top w:w="0" w:type="dxa"/>
            <w:left w:w="108" w:type="dxa"/>
            <w:bottom w:w="0" w:type="dxa"/>
            <w:right w:w="108" w:type="dxa"/>
          </w:tblCellMar>
        </w:tblPrEx>
        <w:trPr>
          <w:trHeight w:val="737"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0A306BD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32</w:t>
            </w: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21617F21">
            <w:pPr>
              <w:keepNext w:val="0"/>
              <w:keepLines w:val="0"/>
              <w:suppressLineNumbers w:val="0"/>
              <w:spacing w:before="0" w:beforeAutospacing="0" w:after="0" w:afterAutospacing="0"/>
              <w:ind w:left="0" w:leftChars="0" w:right="0" w:rightChars="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备注</w:t>
            </w:r>
          </w:p>
        </w:tc>
        <w:tc>
          <w:tcPr>
            <w:tcW w:w="7517" w:type="dxa"/>
            <w:tcBorders>
              <w:top w:val="single" w:color="auto" w:sz="4" w:space="0"/>
              <w:left w:val="single" w:color="auto" w:sz="4" w:space="0"/>
              <w:bottom w:val="single" w:color="auto" w:sz="4" w:space="0"/>
              <w:right w:val="single" w:color="auto" w:sz="4" w:space="0"/>
            </w:tcBorders>
            <w:shd w:val="clear" w:color="auto" w:fill="auto"/>
            <w:vAlign w:val="center"/>
          </w:tcPr>
          <w:p w14:paraId="575CBF3F">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1、招标文件中部分加粗、加下划线、废标、无效标、投标被拒绝字</w:t>
            </w:r>
          </w:p>
          <w:p w14:paraId="57DF56A3">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样的条款，为招标的实质性要求和条件，着重提醒各投标人注意，并认 真查看招标文件中的每一个条款及要求，因误读招标文件而造成的后果，</w:t>
            </w:r>
            <w:r>
              <w:rPr>
                <w:rFonts w:hint="eastAsia" w:ascii="宋体" w:hAnsi="宋体" w:cs="宋体"/>
                <w:color w:val="auto"/>
                <w:kern w:val="0"/>
                <w:sz w:val="24"/>
                <w:szCs w:val="24"/>
                <w:highlight w:val="none"/>
                <w:lang w:val="en-US" w:eastAsia="zh-CN" w:bidi="ar"/>
              </w:rPr>
              <w:t>采购人</w:t>
            </w:r>
            <w:r>
              <w:rPr>
                <w:rFonts w:hint="eastAsia" w:ascii="宋体" w:hAnsi="宋体" w:eastAsia="宋体" w:cs="宋体"/>
                <w:color w:val="auto"/>
                <w:kern w:val="0"/>
                <w:sz w:val="24"/>
                <w:szCs w:val="24"/>
                <w:highlight w:val="none"/>
                <w:lang w:val="en-US" w:eastAsia="zh-CN" w:bidi="ar"/>
              </w:rPr>
              <w:t xml:space="preserve">概不负责。 </w:t>
            </w:r>
          </w:p>
          <w:p w14:paraId="6AF482C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2、因供应商自身原因导致解密失败的，将导致其</w:t>
            </w:r>
            <w:r>
              <w:rPr>
                <w:rFonts w:hint="eastAsia" w:ascii="宋体" w:hAnsi="宋体" w:eastAsia="宋体" w:cs="宋体"/>
                <w:b/>
                <w:bCs/>
                <w:color w:val="auto"/>
                <w:kern w:val="0"/>
                <w:sz w:val="24"/>
                <w:szCs w:val="24"/>
                <w:highlight w:val="none"/>
                <w:lang w:val="en-US" w:eastAsia="zh-CN" w:bidi="ar"/>
              </w:rPr>
              <w:t>投标被拒绝</w:t>
            </w:r>
            <w:r>
              <w:rPr>
                <w:rFonts w:hint="eastAsia" w:ascii="宋体" w:hAnsi="宋体" w:eastAsia="宋体" w:cs="宋体"/>
                <w:color w:val="auto"/>
                <w:kern w:val="0"/>
                <w:sz w:val="24"/>
                <w:szCs w:val="24"/>
                <w:highlight w:val="none"/>
                <w:lang w:val="en-US" w:eastAsia="zh-CN" w:bidi="ar"/>
              </w:rPr>
              <w:t>且响应文件被退回；但因网上招标系统故障导致所有供应商均解密失败时，使用供应商未加密的电子响应文件进行开评标或者相应的延长项目的解密时间</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未发送未加密电子响应文件导致解密失败的，由供应商自行承担责任，将被视为无效投标</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默认解密时长为：30分钟</w:t>
            </w:r>
            <w:r>
              <w:rPr>
                <w:rFonts w:hint="eastAsia" w:ascii="宋体" w:hAnsi="宋体" w:cs="宋体"/>
                <w:color w:val="auto"/>
                <w:kern w:val="0"/>
                <w:sz w:val="24"/>
                <w:szCs w:val="24"/>
                <w:highlight w:val="none"/>
                <w:lang w:val="en-US" w:eastAsia="zh-CN" w:bidi="ar"/>
              </w:rPr>
              <w:t>（解密与加密投标文件须使用同一个CA）</w:t>
            </w:r>
          </w:p>
          <w:p w14:paraId="4942F9E3">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投标文件中有弄虚作假的内容，其投标文件作废。（如假证书、</w:t>
            </w:r>
          </w:p>
          <w:p w14:paraId="5166D409">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假业绩、隐瞒不良行为记录、夸大荣誉、使用非本单位在职员工的相关证件及不符合招标文件规定的条款等）；在签订合同之前，</w:t>
            </w:r>
            <w:r>
              <w:rPr>
                <w:rFonts w:hint="eastAsia" w:ascii="宋体" w:hAnsi="宋体" w:cs="宋体"/>
                <w:color w:val="auto"/>
                <w:kern w:val="0"/>
                <w:sz w:val="24"/>
                <w:szCs w:val="24"/>
                <w:highlight w:val="none"/>
                <w:lang w:val="en-US" w:eastAsia="zh-CN" w:bidi="ar"/>
              </w:rPr>
              <w:t>采购人</w:t>
            </w:r>
            <w:r>
              <w:rPr>
                <w:rFonts w:hint="eastAsia" w:ascii="宋体" w:hAnsi="宋体" w:eastAsia="宋体" w:cs="宋体"/>
                <w:color w:val="auto"/>
                <w:kern w:val="0"/>
                <w:sz w:val="24"/>
                <w:szCs w:val="24"/>
                <w:highlight w:val="none"/>
                <w:lang w:val="en-US" w:eastAsia="zh-CN" w:bidi="ar"/>
              </w:rPr>
              <w:t>如发现投标人的投标文件有弄虚作假内容，</w:t>
            </w:r>
            <w:r>
              <w:rPr>
                <w:rFonts w:hint="eastAsia" w:ascii="宋体" w:hAnsi="宋体" w:cs="宋体"/>
                <w:color w:val="auto"/>
                <w:kern w:val="0"/>
                <w:sz w:val="24"/>
                <w:szCs w:val="24"/>
                <w:highlight w:val="none"/>
                <w:lang w:val="en-US" w:eastAsia="zh-CN" w:bidi="ar"/>
              </w:rPr>
              <w:t>采购人</w:t>
            </w:r>
            <w:r>
              <w:rPr>
                <w:rFonts w:hint="eastAsia" w:ascii="宋体" w:hAnsi="宋体" w:eastAsia="宋体" w:cs="宋体"/>
                <w:color w:val="auto"/>
                <w:kern w:val="0"/>
                <w:sz w:val="24"/>
                <w:szCs w:val="24"/>
                <w:highlight w:val="none"/>
                <w:lang w:val="en-US" w:eastAsia="zh-CN" w:bidi="ar"/>
              </w:rPr>
              <w:t>可</w:t>
            </w:r>
            <w:r>
              <w:rPr>
                <w:rFonts w:hint="eastAsia" w:ascii="宋体" w:hAnsi="宋体" w:eastAsia="宋体" w:cs="宋体"/>
                <w:b/>
                <w:bCs/>
                <w:color w:val="auto"/>
                <w:kern w:val="0"/>
                <w:sz w:val="24"/>
                <w:szCs w:val="24"/>
                <w:highlight w:val="none"/>
                <w:lang w:val="en-US" w:eastAsia="zh-CN" w:bidi="ar"/>
              </w:rPr>
              <w:t>拒绝</w:t>
            </w:r>
            <w:r>
              <w:rPr>
                <w:rFonts w:hint="eastAsia" w:ascii="宋体" w:hAnsi="宋体" w:eastAsia="宋体" w:cs="宋体"/>
                <w:color w:val="auto"/>
                <w:kern w:val="0"/>
                <w:sz w:val="24"/>
                <w:szCs w:val="24"/>
                <w:highlight w:val="none"/>
                <w:lang w:val="en-US" w:eastAsia="zh-CN" w:bidi="ar"/>
              </w:rPr>
              <w:t xml:space="preserve">与其签订合同，并将其列入政府采购黑名单。 </w:t>
            </w:r>
          </w:p>
          <w:p w14:paraId="2902FDA4">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、在评标过程中，评标委员会认为投标人的报价明显低于其他通过</w:t>
            </w:r>
          </w:p>
          <w:p w14:paraId="4F1B6809">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 xml:space="preserve">符合性审查投标人的报价，有可能影响产品质量或者不能诚信履约的， </w:t>
            </w:r>
          </w:p>
          <w:p w14:paraId="5CE4DE86">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 xml:space="preserve">评标委员会应当要求其在评标现场合理的时间内提供成本构成书面说 </w:t>
            </w:r>
          </w:p>
          <w:p w14:paraId="1A4413C6">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明，并提交相关证明材料。供应商书面说明应当按照国家财务会计制度的规定要求，逐项就供应商提供的货物、工程和服务的成本（应根据供应商企业类型予以区别）、税金及附加、销售费用、管理费用、财务费用等成本构成事项详细陈述。</w:t>
            </w:r>
          </w:p>
          <w:p w14:paraId="736ACD75">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 xml:space="preserve">、供应商书面说明应当签字确认或者加盖公章，否则无效。书面说 </w:t>
            </w:r>
          </w:p>
          <w:p w14:paraId="5CE31055">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明的签字确认，供应商为法人的，由其法定代表人或者代理人签字确认；供应商为其他组织的，由其主要负责人或者代理人签字确认；供应商为自然人的，由其本人或者代理人签字确认。</w:t>
            </w:r>
          </w:p>
          <w:p w14:paraId="3893D020">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 xml:space="preserve">、供应商提供书面说明后，评标委员会应当结合采购项目采购需求、 </w:t>
            </w:r>
          </w:p>
          <w:p w14:paraId="6F483457">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专业实际情况、供应商提供的书面材料等就供应商书面说明进行审查评价。供应商</w:t>
            </w:r>
            <w:r>
              <w:rPr>
                <w:rFonts w:hint="eastAsia" w:ascii="宋体" w:hAnsi="宋体" w:eastAsia="宋体" w:cs="宋体"/>
                <w:b w:val="0"/>
                <w:bCs w:val="0"/>
                <w:color w:val="auto"/>
                <w:kern w:val="0"/>
                <w:sz w:val="24"/>
                <w:szCs w:val="24"/>
                <w:highlight w:val="none"/>
                <w:lang w:val="en-US" w:eastAsia="zh-CN" w:bidi="ar"/>
              </w:rPr>
              <w:t>拒绝</w:t>
            </w:r>
            <w:r>
              <w:rPr>
                <w:rFonts w:hint="eastAsia" w:ascii="宋体" w:hAnsi="宋体" w:eastAsia="宋体" w:cs="宋体"/>
                <w:color w:val="auto"/>
                <w:kern w:val="0"/>
                <w:sz w:val="24"/>
                <w:szCs w:val="24"/>
                <w:highlight w:val="none"/>
                <w:lang w:val="en-US" w:eastAsia="zh-CN" w:bidi="ar"/>
              </w:rPr>
              <w:t>或者变相拒绝提供有效书面说明或者书面说明不能证明其报价合理性的，评标委员会应当将其投标文件作为</w:t>
            </w:r>
            <w:r>
              <w:rPr>
                <w:rFonts w:hint="eastAsia" w:ascii="宋体" w:hAnsi="宋体" w:eastAsia="宋体" w:cs="宋体"/>
                <w:b/>
                <w:bCs/>
                <w:color w:val="auto"/>
                <w:kern w:val="0"/>
                <w:sz w:val="24"/>
                <w:szCs w:val="24"/>
                <w:highlight w:val="none"/>
                <w:lang w:val="en-US" w:eastAsia="zh-CN" w:bidi="ar"/>
              </w:rPr>
              <w:t>无效处理</w:t>
            </w:r>
            <w:r>
              <w:rPr>
                <w:rFonts w:hint="eastAsia" w:ascii="宋体" w:hAnsi="宋体" w:eastAsia="宋体" w:cs="宋体"/>
                <w:color w:val="auto"/>
                <w:kern w:val="0"/>
                <w:sz w:val="24"/>
                <w:szCs w:val="24"/>
                <w:highlight w:val="none"/>
                <w:lang w:val="en-US" w:eastAsia="zh-CN" w:bidi="ar"/>
              </w:rPr>
              <w:t>。</w:t>
            </w:r>
          </w:p>
          <w:p w14:paraId="432608F7">
            <w:pPr>
              <w:keepNext w:val="0"/>
              <w:keepLines w:val="0"/>
              <w:suppressLineNumbers w:val="0"/>
              <w:spacing w:before="0" w:beforeAutospacing="0" w:after="0" w:afterAutospacing="0"/>
              <w:ind w:left="0" w:right="0"/>
              <w:rPr>
                <w:rFonts w:hint="default"/>
                <w:color w:val="auto"/>
                <w:szCs w:val="20"/>
                <w:highlight w:val="none"/>
                <w:lang w:val="en-US" w:eastAsia="zh-CN"/>
              </w:rPr>
            </w:pPr>
            <w:r>
              <w:rPr>
                <w:rFonts w:hint="eastAsia" w:ascii="宋体" w:hAnsi="宋体" w:cs="宋体"/>
                <w:color w:val="auto"/>
                <w:kern w:val="0"/>
                <w:sz w:val="24"/>
                <w:szCs w:val="24"/>
                <w:highlight w:val="none"/>
                <w:lang w:val="en-US" w:eastAsia="zh-CN" w:bidi="ar"/>
              </w:rPr>
              <w:t>7、供应商参与本项目过程中应自行关注新疆政府采购网，项目澄清、更正、投标文件解密、报价确认和询标函等政采云系统会发送提示短信，因自身原因未收到短信未及时回复的</w:t>
            </w:r>
            <w:r>
              <w:rPr>
                <w:rFonts w:hint="eastAsia" w:ascii="宋体" w:hAnsi="宋体" w:eastAsia="宋体" w:cs="宋体"/>
                <w:b w:val="0"/>
                <w:bCs w:val="0"/>
                <w:color w:val="auto"/>
                <w:kern w:val="0"/>
                <w:sz w:val="24"/>
                <w:szCs w:val="24"/>
                <w:highlight w:val="none"/>
              </w:rPr>
              <w:t>造成</w:t>
            </w:r>
            <w:r>
              <w:rPr>
                <w:rFonts w:hint="eastAsia" w:ascii="宋体" w:hAnsi="宋体" w:eastAsia="宋体" w:cs="宋体"/>
                <w:color w:val="auto"/>
                <w:kern w:val="0"/>
                <w:sz w:val="24"/>
                <w:szCs w:val="24"/>
                <w:highlight w:val="none"/>
                <w:lang w:val="en-US" w:eastAsia="zh-CN" w:bidi="ar"/>
              </w:rPr>
              <w:t>其</w:t>
            </w:r>
            <w:r>
              <w:rPr>
                <w:rFonts w:hint="eastAsia" w:ascii="宋体" w:hAnsi="宋体" w:eastAsia="宋体" w:cs="宋体"/>
                <w:b/>
                <w:bCs/>
                <w:color w:val="auto"/>
                <w:kern w:val="0"/>
                <w:sz w:val="24"/>
                <w:szCs w:val="24"/>
                <w:highlight w:val="none"/>
                <w:lang w:val="en-US" w:eastAsia="zh-CN" w:bidi="ar"/>
              </w:rPr>
              <w:t>投标被拒绝</w:t>
            </w:r>
            <w:r>
              <w:rPr>
                <w:rFonts w:hint="eastAsia" w:ascii="宋体" w:hAnsi="宋体" w:eastAsia="宋体" w:cs="宋体"/>
                <w:b w:val="0"/>
                <w:bCs w:val="0"/>
                <w:color w:val="auto"/>
                <w:kern w:val="0"/>
                <w:sz w:val="24"/>
                <w:szCs w:val="24"/>
                <w:highlight w:val="none"/>
              </w:rPr>
              <w:t>等后果由供应商自行承担。</w:t>
            </w:r>
          </w:p>
        </w:tc>
      </w:tr>
    </w:tbl>
    <w:p w14:paraId="5B191576">
      <w:pPr>
        <w:tabs>
          <w:tab w:val="left" w:pos="5527"/>
        </w:tabs>
        <w:outlineLvl w:val="9"/>
        <w:rPr>
          <w:rStyle w:val="41"/>
          <w:rFonts w:hint="eastAsia" w:ascii="宋体" w:hAnsi="宋体" w:eastAsia="宋体" w:cs="宋体"/>
          <w:b/>
          <w:bCs/>
          <w:color w:val="auto"/>
          <w:highlight w:val="none"/>
          <w:lang w:val="en-US" w:eastAsia="zh-CN"/>
        </w:rPr>
      </w:pPr>
      <w:r>
        <w:rPr>
          <w:rStyle w:val="41"/>
          <w:rFonts w:hint="eastAsia" w:ascii="宋体" w:hAnsi="宋体" w:eastAsia="宋体" w:cs="宋体"/>
          <w:b/>
          <w:bCs/>
          <w:color w:val="auto"/>
          <w:highlight w:val="none"/>
          <w:lang w:val="en-US" w:eastAsia="zh-CN"/>
        </w:rPr>
        <w:br w:type="page"/>
      </w:r>
    </w:p>
    <w:p w14:paraId="3AB61A84">
      <w:pPr>
        <w:pStyle w:val="38"/>
        <w:tabs>
          <w:tab w:val="left" w:pos="5527"/>
        </w:tabs>
        <w:spacing w:line="360" w:lineRule="auto"/>
        <w:jc w:val="center"/>
        <w:outlineLvl w:val="1"/>
        <w:rPr>
          <w:rStyle w:val="42"/>
          <w:rFonts w:hint="eastAsia" w:ascii="宋体" w:hAnsi="宋体" w:eastAsia="宋体" w:cs="宋体"/>
          <w:color w:val="auto"/>
          <w:sz w:val="28"/>
          <w:szCs w:val="28"/>
          <w:highlight w:val="none"/>
        </w:rPr>
      </w:pPr>
      <w:bookmarkStart w:id="37" w:name="_Toc5318"/>
      <w:bookmarkStart w:id="38" w:name="_Toc1128"/>
      <w:bookmarkStart w:id="39" w:name="_Toc19901"/>
      <w:bookmarkStart w:id="40" w:name="_Toc6040"/>
      <w:bookmarkStart w:id="41" w:name="_Toc2418"/>
      <w:bookmarkStart w:id="42" w:name="_Toc28762"/>
      <w:r>
        <w:rPr>
          <w:rStyle w:val="41"/>
          <w:rFonts w:hint="eastAsia" w:ascii="宋体" w:hAnsi="宋体" w:eastAsia="宋体" w:cs="宋体"/>
          <w:b/>
          <w:bCs/>
          <w:color w:val="auto"/>
          <w:highlight w:val="none"/>
          <w:lang w:val="en-US" w:eastAsia="zh-CN"/>
        </w:rPr>
        <w:t>供应商须知正文部分</w:t>
      </w:r>
      <w:bookmarkEnd w:id="0"/>
      <w:bookmarkEnd w:id="37"/>
      <w:bookmarkEnd w:id="38"/>
      <w:bookmarkEnd w:id="39"/>
      <w:bookmarkEnd w:id="40"/>
      <w:bookmarkEnd w:id="41"/>
      <w:bookmarkEnd w:id="42"/>
    </w:p>
    <w:p w14:paraId="0C074FBA">
      <w:pPr>
        <w:numPr>
          <w:ilvl w:val="0"/>
          <w:numId w:val="7"/>
        </w:numPr>
        <w:tabs>
          <w:tab w:val="left" w:pos="5527"/>
        </w:tabs>
        <w:bidi w:val="0"/>
        <w:jc w:val="center"/>
        <w:outlineLvl w:val="2"/>
        <w:rPr>
          <w:rFonts w:hint="eastAsia" w:ascii="宋体" w:hAnsi="宋体" w:eastAsia="宋体" w:cs="宋体"/>
          <w:b/>
          <w:bCs/>
          <w:color w:val="auto"/>
          <w:sz w:val="24"/>
          <w:szCs w:val="24"/>
          <w:highlight w:val="none"/>
        </w:rPr>
      </w:pPr>
      <w:bookmarkStart w:id="43" w:name="_Toc12052"/>
      <w:bookmarkStart w:id="44" w:name="_Toc6529"/>
      <w:bookmarkStart w:id="45" w:name="_Toc1706"/>
      <w:bookmarkStart w:id="46" w:name="_Toc27410"/>
      <w:bookmarkStart w:id="47" w:name="_Toc7140"/>
      <w:bookmarkStart w:id="48" w:name="_Toc19272"/>
      <w:bookmarkStart w:id="49" w:name="_Toc21821"/>
      <w:bookmarkStart w:id="50" w:name="_Toc15356"/>
      <w:bookmarkStart w:id="51" w:name="_Toc23291"/>
      <w:bookmarkStart w:id="52" w:name="_Toc18439"/>
      <w:r>
        <w:rPr>
          <w:rFonts w:hint="eastAsia" w:ascii="宋体" w:hAnsi="宋体" w:eastAsia="宋体" w:cs="宋体"/>
          <w:b/>
          <w:bCs/>
          <w:color w:val="auto"/>
          <w:sz w:val="24"/>
          <w:szCs w:val="24"/>
          <w:highlight w:val="none"/>
        </w:rPr>
        <w:t>总  则</w:t>
      </w:r>
      <w:bookmarkEnd w:id="43"/>
      <w:bookmarkEnd w:id="44"/>
      <w:bookmarkEnd w:id="45"/>
      <w:bookmarkEnd w:id="46"/>
      <w:bookmarkEnd w:id="47"/>
      <w:bookmarkEnd w:id="48"/>
      <w:bookmarkEnd w:id="49"/>
      <w:bookmarkEnd w:id="50"/>
      <w:bookmarkEnd w:id="51"/>
      <w:bookmarkEnd w:id="52"/>
    </w:p>
    <w:p w14:paraId="76F93D96">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53" w:name="_Toc2677"/>
      <w:bookmarkStart w:id="54" w:name="_Toc15894"/>
      <w:bookmarkStart w:id="55" w:name="_Toc20661"/>
      <w:r>
        <w:rPr>
          <w:rFonts w:hint="eastAsia" w:ascii="宋体" w:hAnsi="宋体" w:eastAsia="宋体" w:cs="宋体"/>
          <w:b/>
          <w:bCs/>
          <w:color w:val="auto"/>
          <w:sz w:val="24"/>
          <w:szCs w:val="24"/>
          <w:highlight w:val="none"/>
        </w:rPr>
        <w:t>1  合格的供应商</w:t>
      </w:r>
      <w:bookmarkEnd w:id="53"/>
      <w:bookmarkEnd w:id="54"/>
      <w:bookmarkEnd w:id="55"/>
    </w:p>
    <w:p w14:paraId="771C1F1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供应商参加政府采购活动应当具备下列条件：</w:t>
      </w:r>
    </w:p>
    <w:p w14:paraId="4BE0ED2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（一）具有独立承担民事责任的能力；</w:t>
      </w:r>
    </w:p>
    <w:p w14:paraId="4E95DDF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（二）具有良好的商业信誉和健全的财务会计制度；</w:t>
      </w:r>
    </w:p>
    <w:p w14:paraId="26CEFFB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（三）具有履行合同所必需的设备和专业技术能力；</w:t>
      </w:r>
    </w:p>
    <w:p w14:paraId="33A16D5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（四）有依法缴纳税收和社会保障资金的良好记录；</w:t>
      </w:r>
    </w:p>
    <w:p w14:paraId="3A22765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（五）参加政府采购活动前三年内，在经营活动中没有重大违法记录；</w:t>
      </w:r>
    </w:p>
    <w:p w14:paraId="2A3E8E8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（六）法律、行政法规规定的其他条件。</w:t>
      </w:r>
    </w:p>
    <w:p w14:paraId="7F99C39F">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凡参加投标的供应商必须具有履行本</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规定的有关要求的能力，信誉良好。</w:t>
      </w:r>
    </w:p>
    <w:p w14:paraId="74741E7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若采购人员及相关人员与供应商有下列利害关系之一的，应当回避：</w:t>
      </w:r>
    </w:p>
    <w:p w14:paraId="188F5A2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 参加采购活动前3年内与供应商存在劳动关系；</w:t>
      </w:r>
    </w:p>
    <w:p w14:paraId="3CAF453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参加采购活动前3年内担任供应商的董事、监事；</w:t>
      </w:r>
    </w:p>
    <w:p w14:paraId="3607D3D6">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 参加采购活动前3年内是供应商的控股股东或者实际控制人；</w:t>
      </w:r>
    </w:p>
    <w:p w14:paraId="19E7D6E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 与供应商的法定代表人或者负责人有夫妻、直系血亲、三代以内旁系血亲或者近姻亲关系；</w:t>
      </w:r>
    </w:p>
    <w:p w14:paraId="79A547D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 与供应商有其他可能影响政府采购活动公平、公正进行的关系。</w:t>
      </w:r>
    </w:p>
    <w:p w14:paraId="19E8320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5512D3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采购人或者采购代理机构有下列情形之一的，属于以不合理的条件对供应商实行差别待遇或者歧视待遇：</w:t>
      </w:r>
    </w:p>
    <w:p w14:paraId="37144B9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就同一采购项目向供应商提供有差别的项目信息；</w:t>
      </w:r>
    </w:p>
    <w:p w14:paraId="75C6A20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设定的资格、技术、商务条件与采购项目的具体特点和实际需要不相适应或者与合同履行无关；</w:t>
      </w:r>
    </w:p>
    <w:p w14:paraId="7B58970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 采购需求中的技术、服务等要求指向特定供应商、特定产品；</w:t>
      </w:r>
    </w:p>
    <w:p w14:paraId="2924D196">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 以特定行政区域或者特定行业的业绩、奖项作为中标</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rPr>
        <w:t>成交条件；</w:t>
      </w:r>
    </w:p>
    <w:p w14:paraId="5BB3EB8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1.4.5 对供应商采取不同的资格审查或者评审标准；</w:t>
      </w:r>
    </w:p>
    <w:p w14:paraId="0CDB844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1.4.6 限定或者指定特定的专利、商标、品牌或者供应商；</w:t>
      </w:r>
    </w:p>
    <w:p w14:paraId="11CE4B66">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1.4.7 非法限定供应商的所有制形式、组织形式或者所在地；</w:t>
      </w:r>
    </w:p>
    <w:p w14:paraId="1507DF3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1.4.8 以其他不合理条件限制或者排斥潜在供应商。</w:t>
      </w:r>
    </w:p>
    <w:p w14:paraId="2EB6E78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 有下列情形之一的，视为供应商串通投标，其投标无效：</w:t>
      </w:r>
    </w:p>
    <w:p w14:paraId="60B67C0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1.5.1不同供应商的投标文件由同一单位或者个人编制；</w:t>
      </w:r>
    </w:p>
    <w:p w14:paraId="2618FC6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1.5.2不同供应商委托同一单位或者个人办理投标事宜；</w:t>
      </w:r>
    </w:p>
    <w:p w14:paraId="2DBA292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1.5.3不同供应商的投标文件载明的项目管理成员或者联系人员为同一人；</w:t>
      </w:r>
    </w:p>
    <w:p w14:paraId="151695D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1.5.4不同供应商的投标文件异常一致或者投标报价呈规律性差异；</w:t>
      </w:r>
    </w:p>
    <w:p w14:paraId="3510AC6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1.5.5不同供应商的投标文件相互混装；</w:t>
      </w:r>
    </w:p>
    <w:p w14:paraId="2FE4BDBF">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1.5.6不同供应商的投标保证金从同一单位或者个人的账户转出。</w:t>
      </w:r>
    </w:p>
    <w:p w14:paraId="76004F3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供应商在本次采购活动中，必须遵循《中华人民共和国政府采购法实施条例》等相关</w:t>
      </w:r>
      <w:r>
        <w:rPr>
          <w:rFonts w:hint="eastAsia" w:ascii="宋体" w:hAnsi="宋体" w:eastAsia="宋体" w:cs="宋体"/>
          <w:color w:val="auto"/>
          <w:sz w:val="24"/>
          <w:szCs w:val="24"/>
          <w:highlight w:val="none"/>
          <w:lang w:eastAsia="zh-CN"/>
        </w:rPr>
        <w:t>法律</w:t>
      </w:r>
      <w:r>
        <w:rPr>
          <w:rFonts w:hint="eastAsia" w:ascii="宋体" w:hAnsi="宋体" w:eastAsia="宋体" w:cs="宋体"/>
          <w:color w:val="auto"/>
          <w:sz w:val="24"/>
          <w:szCs w:val="24"/>
          <w:highlight w:val="none"/>
        </w:rPr>
        <w:t>、法规的规定。</w:t>
      </w:r>
    </w:p>
    <w:p w14:paraId="760B5625">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56" w:name="_Toc13508"/>
      <w:bookmarkStart w:id="57" w:name="_Toc21361"/>
      <w:bookmarkStart w:id="58" w:name="_Toc21311"/>
      <w:r>
        <w:rPr>
          <w:rFonts w:hint="eastAsia" w:ascii="宋体" w:hAnsi="宋体" w:eastAsia="宋体" w:cs="宋体"/>
          <w:b/>
          <w:bCs/>
          <w:color w:val="auto"/>
          <w:sz w:val="24"/>
          <w:szCs w:val="24"/>
          <w:highlight w:val="none"/>
        </w:rPr>
        <w:t>2  定义</w:t>
      </w:r>
      <w:bookmarkEnd w:id="56"/>
      <w:bookmarkEnd w:id="57"/>
      <w:bookmarkEnd w:id="58"/>
    </w:p>
    <w:p w14:paraId="601946F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2.1“采购人”系指依法进行政府采购的国家机关、事业单位、团体组织。</w:t>
      </w:r>
    </w:p>
    <w:p w14:paraId="0914BA2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2.2“采购代理机构”系指具备一定条件，经政府有关部门批准而依法拥有政府采购代理资格的社会中介机构。</w:t>
      </w:r>
    </w:p>
    <w:p w14:paraId="23768F7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2.3“供应商”系指参加政府采购市场的合法供应</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"https://baike.baidu.com/item/%E4%B8%BB%E4%BD%93/2888766" \t "https://baike.baidu.com/item/%E6%94%BF%E5%BA%9C%E9%87%87%E8%B4%AD%E4%BE%9B%E5%BA%94%E5%95%86/_blank"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主体</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，具体是指向采购人提供货物、工程或者服务的法人、其他组织或者</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"https://baike.baidu.com/item/%E8%87%AA%E7%84%B6%E4%BA%BA/1465" \t "https://baike.baidu.com/item/%E6%94%BF%E5%BA%9C%E9%87%87%E8%B4%AD%E4%BE%9B%E5%BA%94%E5%95%86/_blank"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自然人</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p>
    <w:p w14:paraId="4F02D36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lang w:val="en-US" w:eastAsia="zh-CN"/>
        </w:rPr>
        <w:t>“采购”是指以合同方式有偿取得货物、工程或者服务的行为，包括购买、租赁、委托、雇佣等。</w:t>
      </w:r>
    </w:p>
    <w:p w14:paraId="41C6BA4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2.5“货物”是指各种形态和种类的物品，包括原材料、燃料、设备、产品等。</w:t>
      </w:r>
    </w:p>
    <w:p w14:paraId="0D7B7E3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2.6“工程”是指建设工程，包括建筑物和构筑物的新建、改建、扩建、装修、拆除、修缮等。</w:t>
      </w:r>
    </w:p>
    <w:p w14:paraId="0B672A4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2.7“服务”是指除货物和工程以外的其他政府采购对象，包括政府自身需要的服务和政府向社会公众提供的公共服务。</w:t>
      </w:r>
    </w:p>
    <w:p w14:paraId="6826843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公开招标</w:t>
      </w:r>
      <w:r>
        <w:rPr>
          <w:rFonts w:hint="eastAsia" w:ascii="宋体" w:hAnsi="宋体" w:eastAsia="宋体" w:cs="宋体"/>
          <w:color w:val="auto"/>
          <w:sz w:val="24"/>
          <w:szCs w:val="24"/>
          <w:highlight w:val="none"/>
        </w:rPr>
        <w:t>文件”系指由采购人向供应商发出的本采购项目的全部文件（包括修改文件、补充文件、答疑纪要、各种通知和附件等）。</w:t>
      </w:r>
    </w:p>
    <w:p w14:paraId="61B3595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”系指供应商根据</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提交的所有文件。</w:t>
      </w:r>
    </w:p>
    <w:p w14:paraId="452749E2">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59" w:name="_Toc9236"/>
      <w:bookmarkStart w:id="60" w:name="_Toc12273"/>
      <w:bookmarkStart w:id="61" w:name="_Toc26674"/>
      <w:bookmarkStart w:id="62" w:name="_Toc18640"/>
      <w:bookmarkStart w:id="63" w:name="_Toc6626"/>
      <w:bookmarkStart w:id="64" w:name="_Toc17382"/>
      <w:bookmarkStart w:id="65" w:name="_Toc4128"/>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采购内容</w:t>
      </w:r>
      <w:bookmarkEnd w:id="59"/>
      <w:bookmarkEnd w:id="60"/>
      <w:bookmarkEnd w:id="61"/>
    </w:p>
    <w:p w14:paraId="3EB4B8F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 采购内容</w:t>
      </w:r>
      <w:r>
        <w:rPr>
          <w:rFonts w:hint="eastAsia" w:ascii="宋体" w:hAnsi="宋体" w:eastAsia="宋体" w:cs="宋体"/>
          <w:color w:val="auto"/>
          <w:sz w:val="24"/>
          <w:szCs w:val="24"/>
          <w:highlight w:val="none"/>
          <w:lang w:val="en-US" w:eastAsia="zh-CN"/>
        </w:rPr>
        <w:t>：详见供应商须知前附表。</w:t>
      </w:r>
    </w:p>
    <w:p w14:paraId="6897425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3.2 </w:t>
      </w:r>
      <w:r>
        <w:rPr>
          <w:rFonts w:hint="eastAsia" w:ascii="宋体" w:hAnsi="宋体" w:eastAsia="宋体" w:cs="宋体"/>
          <w:color w:val="auto"/>
          <w:sz w:val="24"/>
          <w:szCs w:val="24"/>
          <w:highlight w:val="none"/>
        </w:rPr>
        <w:t>采购项目名称、数量、技术规格要求详见第三章；</w:t>
      </w:r>
    </w:p>
    <w:p w14:paraId="08BA1EE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在采购活动中的标准按国家现行规定（国际标准、国家标准、部标或行业标准）执行。</w:t>
      </w:r>
    </w:p>
    <w:p w14:paraId="794BE1D4">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xml:space="preserve">  有关说明</w:t>
      </w:r>
    </w:p>
    <w:p w14:paraId="094ED4C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规范要求和实际需要的内容，在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中有漏项，务请在</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中指出，并提供解决方案</w:t>
      </w:r>
      <w:r>
        <w:rPr>
          <w:rFonts w:hint="eastAsia" w:ascii="宋体" w:hAnsi="宋体" w:eastAsia="宋体" w:cs="宋体"/>
          <w:color w:val="auto"/>
          <w:sz w:val="24"/>
          <w:szCs w:val="24"/>
          <w:highlight w:val="none"/>
          <w:lang w:eastAsia="zh-CN"/>
        </w:rPr>
        <w:t>做</w:t>
      </w:r>
      <w:r>
        <w:rPr>
          <w:rFonts w:hint="eastAsia" w:ascii="宋体" w:hAnsi="宋体" w:eastAsia="宋体" w:cs="宋体"/>
          <w:color w:val="auto"/>
          <w:sz w:val="24"/>
          <w:szCs w:val="24"/>
          <w:highlight w:val="none"/>
        </w:rPr>
        <w:t>实质性响应。</w:t>
      </w:r>
    </w:p>
    <w:p w14:paraId="7BFD6B4F">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供应商根据招标文件载明的标的采购项目实际情况，拟在中标后将中标项目的非主体、非关键性工作交由他人完成的，应当在投标文件中载明。</w:t>
      </w:r>
    </w:p>
    <w:p w14:paraId="4DA0FBD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供应商应提供该项目技术支持和服务承诺书。</w:t>
      </w:r>
    </w:p>
    <w:p w14:paraId="2F89FB7F">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二、</w:t>
      </w:r>
      <w:bookmarkEnd w:id="62"/>
      <w:bookmarkEnd w:id="63"/>
      <w:bookmarkEnd w:id="64"/>
      <w:bookmarkEnd w:id="65"/>
      <w:r>
        <w:rPr>
          <w:rFonts w:hint="eastAsia" w:ascii="宋体" w:hAnsi="宋体" w:eastAsia="宋体" w:cs="宋体"/>
          <w:b/>
          <w:bCs/>
          <w:color w:val="auto"/>
          <w:sz w:val="24"/>
          <w:szCs w:val="24"/>
          <w:highlight w:val="none"/>
          <w:lang w:eastAsia="zh-CN"/>
        </w:rPr>
        <w:t>公开招标文件</w:t>
      </w:r>
    </w:p>
    <w:p w14:paraId="77B5A6CA">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公开招标文件</w:t>
      </w:r>
    </w:p>
    <w:p w14:paraId="34E3A09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用以阐明所需</w:t>
      </w:r>
      <w:r>
        <w:rPr>
          <w:rFonts w:hint="eastAsia" w:ascii="宋体" w:hAnsi="宋体" w:eastAsia="宋体" w:cs="宋体"/>
          <w:color w:val="auto"/>
          <w:sz w:val="24"/>
          <w:szCs w:val="24"/>
          <w:highlight w:val="none"/>
          <w:lang w:val="en-US" w:eastAsia="zh-CN"/>
        </w:rPr>
        <w:t>货物、工程或者服务</w:t>
      </w:r>
      <w:r>
        <w:rPr>
          <w:rFonts w:hint="eastAsia" w:ascii="宋体" w:hAnsi="宋体" w:eastAsia="宋体" w:cs="宋体"/>
          <w:color w:val="auto"/>
          <w:sz w:val="24"/>
          <w:szCs w:val="24"/>
          <w:highlight w:val="none"/>
        </w:rPr>
        <w:t>采购程序和商务合同主要条款，包括：</w:t>
      </w:r>
    </w:p>
    <w:p w14:paraId="1E5BAEE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 xml:space="preserve">第一章 </w:t>
      </w:r>
      <w:r>
        <w:rPr>
          <w:rFonts w:hint="eastAsia" w:ascii="宋体" w:hAnsi="宋体" w:eastAsia="宋体" w:cs="宋体"/>
          <w:b/>
          <w:bCs/>
          <w:color w:val="auto"/>
          <w:sz w:val="24"/>
          <w:szCs w:val="24"/>
          <w:highlight w:val="none"/>
          <w:lang w:eastAsia="zh-CN"/>
        </w:rPr>
        <w:t>公开招标公告</w:t>
      </w:r>
    </w:p>
    <w:p w14:paraId="117B45F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第二章 供应商须知</w:t>
      </w:r>
    </w:p>
    <w:p w14:paraId="0BFA2B6B">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供应商须知前附表</w:t>
      </w:r>
    </w:p>
    <w:p w14:paraId="0FF69450">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供应商须知正文部分</w:t>
      </w:r>
    </w:p>
    <w:p w14:paraId="1E1F8AA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 xml:space="preserve">第三章 </w:t>
      </w:r>
      <w:r>
        <w:rPr>
          <w:rFonts w:hint="eastAsia" w:ascii="宋体" w:hAnsi="宋体" w:eastAsia="宋体" w:cs="宋体"/>
          <w:b/>
          <w:bCs/>
          <w:color w:val="auto"/>
          <w:sz w:val="24"/>
          <w:szCs w:val="24"/>
          <w:highlight w:val="none"/>
          <w:lang w:val="en-US" w:eastAsia="zh-CN"/>
        </w:rPr>
        <w:t>采购清单</w:t>
      </w:r>
    </w:p>
    <w:p w14:paraId="7F08655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第四章</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合同（以最终签订合同为准）</w:t>
      </w:r>
    </w:p>
    <w:p w14:paraId="514DD59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第五章</w:t>
      </w:r>
      <w:r>
        <w:rPr>
          <w:rFonts w:hint="eastAsia" w:ascii="宋体" w:hAnsi="宋体" w:eastAsia="宋体" w:cs="宋体"/>
          <w:b/>
          <w:bCs/>
          <w:color w:val="auto"/>
          <w:sz w:val="24"/>
          <w:szCs w:val="24"/>
          <w:highlight w:val="none"/>
        </w:rPr>
        <w:t xml:space="preserve"> 主要</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的格式及其内容</w:t>
      </w:r>
    </w:p>
    <w:p w14:paraId="77BF563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供应商应认真阅读</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中所有的事项、格式、条款和规范等要求。如果没有按照</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要求提交全部资料或者</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没有对</w:t>
      </w:r>
      <w:r>
        <w:rPr>
          <w:rFonts w:hint="eastAsia" w:ascii="宋体" w:hAnsi="宋体" w:eastAsia="宋体" w:cs="宋体"/>
          <w:color w:val="auto"/>
          <w:sz w:val="24"/>
          <w:szCs w:val="24"/>
          <w:highlight w:val="none"/>
          <w:lang w:eastAsia="zh-CN"/>
        </w:rPr>
        <w:t>公开招标文件作出</w:t>
      </w:r>
      <w:r>
        <w:rPr>
          <w:rFonts w:hint="eastAsia" w:ascii="宋体" w:hAnsi="宋体" w:eastAsia="宋体" w:cs="宋体"/>
          <w:color w:val="auto"/>
          <w:sz w:val="24"/>
          <w:szCs w:val="24"/>
          <w:highlight w:val="none"/>
        </w:rPr>
        <w:t>实质性响应，其</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可能被拒绝。</w:t>
      </w:r>
    </w:p>
    <w:p w14:paraId="59DD5C63">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66" w:name="_Toc7406"/>
      <w:bookmarkStart w:id="67" w:name="_Toc13169"/>
      <w:bookmarkStart w:id="68" w:name="_Toc4805"/>
      <w:bookmarkStart w:id="69" w:name="_Toc4140"/>
      <w:bookmarkStart w:id="70" w:name="_Toc29841"/>
      <w:bookmarkStart w:id="71" w:name="_Toc8777"/>
      <w:bookmarkStart w:id="72" w:name="_Toc32526"/>
      <w:bookmarkStart w:id="73" w:name="_Toc5967"/>
      <w:bookmarkStart w:id="74" w:name="_Toc3540"/>
      <w:bookmarkStart w:id="75" w:name="_Toc26361"/>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的澄清</w:t>
      </w:r>
    </w:p>
    <w:p w14:paraId="6B1E598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 采购人或者采购代理机构可以对已发出的</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资格预审文件、投标邀请书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进行必要的澄清或者修改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但不得改变采购标的和资格条件。澄清或者修改应当在原公告发布媒体上发布澄清公告。澄清或者修改的内容为</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资格预审文件、投标邀请书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的组成部分。</w:t>
      </w:r>
    </w:p>
    <w:p w14:paraId="0F9DF19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6.2 </w:t>
      </w:r>
      <w:r>
        <w:rPr>
          <w:rFonts w:hint="eastAsia" w:ascii="宋体" w:hAnsi="宋体" w:eastAsia="宋体" w:cs="宋体"/>
          <w:color w:val="auto"/>
          <w:sz w:val="24"/>
          <w:szCs w:val="24"/>
          <w:highlight w:val="none"/>
        </w:rPr>
        <w:t>澄清或者修改的内容可能影响</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编制的，采购人或者采购代理机构应当在投标截止时间至少</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日前，以书面形式通知所有获取</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的潜在供应商；不</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日的，采购人或者采购代理机构可顺延提交</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的截止时间。</w:t>
      </w:r>
    </w:p>
    <w:p w14:paraId="2B522DE4">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的修改</w:t>
      </w:r>
    </w:p>
    <w:p w14:paraId="2BCEE81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采购人可以视采购具体情况，延长投标截止时间和开标时间，但至少应当在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要求提交</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的截止时间</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日前，将变更时间书面通知所有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收受人，并在财政部门指定的政府采购信息发布媒体上发布变更公告。</w:t>
      </w:r>
    </w:p>
    <w:p w14:paraId="571B715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的修改将以书面通知所有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收受人，并对供应商具有约束力。</w:t>
      </w:r>
    </w:p>
    <w:p w14:paraId="72DEBE4C">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三、 </w:t>
      </w:r>
      <w:bookmarkEnd w:id="66"/>
      <w:bookmarkEnd w:id="67"/>
      <w:bookmarkEnd w:id="68"/>
      <w:bookmarkEnd w:id="69"/>
      <w:bookmarkEnd w:id="70"/>
      <w:bookmarkEnd w:id="71"/>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文件的编制</w:t>
      </w:r>
      <w:bookmarkEnd w:id="72"/>
      <w:bookmarkEnd w:id="73"/>
      <w:bookmarkEnd w:id="74"/>
      <w:bookmarkEnd w:id="75"/>
    </w:p>
    <w:p w14:paraId="3A5DD73F">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的编写</w:t>
      </w:r>
    </w:p>
    <w:p w14:paraId="6017718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供应商应仔细阅读</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了解</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的要求。在充分理解</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、技术规范及标准、项目采购需求、合同文本（主要内容）后编制</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w:t>
      </w:r>
    </w:p>
    <w:p w14:paraId="1A3EDB2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投标供应商编制电子</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可参考《政府采购项目电子交易管理操作指南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供应商》，在政采云《帮助文档》下载。</w:t>
      </w:r>
    </w:p>
    <w:p w14:paraId="5E4DBAD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中需要分别对资格审查要求、符合性审查要求、开标一览表、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逐一关联响应。</w:t>
      </w:r>
    </w:p>
    <w:p w14:paraId="7DDD3245">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的语言及计量单位</w:t>
      </w:r>
    </w:p>
    <w:p w14:paraId="01669C1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以及供应商和采购人及采购代理机构就有关采购活动的所有文件和来往函件，应以中文书写。供应商可以提交用其他语言（原文）打印的资料，但必须翻译成中文，当原文和译文（中文）之间存有差异和/或矛盾时，以中文为准。</w:t>
      </w:r>
    </w:p>
    <w:p w14:paraId="077F763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中所使用的计量单位除</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中有特殊规定外，一律使用法定计量单位。</w:t>
      </w:r>
    </w:p>
    <w:p w14:paraId="4AA08064">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构成</w:t>
      </w:r>
    </w:p>
    <w:p w14:paraId="1298BFF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供应商编写的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应按下列顺序及内容提供:</w:t>
      </w:r>
    </w:p>
    <w:p w14:paraId="1A465EC5">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（1）投标函（详见</w:t>
      </w:r>
      <w:r>
        <w:rPr>
          <w:rFonts w:hint="eastAsia" w:ascii="宋体" w:hAnsi="宋体" w:eastAsia="宋体" w:cs="宋体"/>
          <w:b/>
          <w:bCs/>
          <w:color w:val="auto"/>
          <w:sz w:val="24"/>
          <w:szCs w:val="24"/>
          <w:highlight w:val="none"/>
          <w:lang w:val="en-US" w:eastAsia="zh-CN"/>
        </w:rPr>
        <w:t>附件</w:t>
      </w:r>
      <w:r>
        <w:rPr>
          <w:rFonts w:hint="eastAsia" w:ascii="宋体" w:hAnsi="宋体" w:eastAsia="宋体" w:cs="宋体"/>
          <w:b/>
          <w:bCs/>
          <w:color w:val="auto"/>
          <w:sz w:val="24"/>
          <w:szCs w:val="24"/>
          <w:highlight w:val="none"/>
        </w:rPr>
        <w:t>1）；</w:t>
      </w:r>
    </w:p>
    <w:p w14:paraId="29231F88">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（2）法定代表人资格证明及授权委托书（详见</w:t>
      </w:r>
      <w:r>
        <w:rPr>
          <w:rFonts w:hint="eastAsia" w:ascii="宋体" w:hAnsi="宋体" w:eastAsia="宋体" w:cs="宋体"/>
          <w:b/>
          <w:bCs/>
          <w:color w:val="auto"/>
          <w:sz w:val="24"/>
          <w:szCs w:val="24"/>
          <w:highlight w:val="none"/>
          <w:lang w:val="en-US" w:eastAsia="zh-CN"/>
        </w:rPr>
        <w:t>附件</w:t>
      </w:r>
      <w:r>
        <w:rPr>
          <w:rFonts w:hint="eastAsia" w:ascii="宋体" w:hAnsi="宋体" w:eastAsia="宋体" w:cs="宋体"/>
          <w:b/>
          <w:bCs/>
          <w:color w:val="auto"/>
          <w:sz w:val="24"/>
          <w:szCs w:val="24"/>
          <w:highlight w:val="none"/>
        </w:rPr>
        <w:t>2）；</w:t>
      </w:r>
    </w:p>
    <w:p w14:paraId="21187D0F">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（3）报价</w:t>
      </w:r>
      <w:r>
        <w:rPr>
          <w:rFonts w:hint="eastAsia" w:ascii="宋体" w:hAnsi="宋体" w:eastAsia="宋体" w:cs="宋体"/>
          <w:b/>
          <w:bCs/>
          <w:color w:val="auto"/>
          <w:sz w:val="24"/>
          <w:szCs w:val="24"/>
          <w:highlight w:val="none"/>
          <w:lang w:eastAsia="zh-CN"/>
        </w:rPr>
        <w:t>一览表</w:t>
      </w:r>
      <w:r>
        <w:rPr>
          <w:rFonts w:hint="eastAsia" w:ascii="宋体" w:hAnsi="宋体" w:eastAsia="宋体" w:cs="宋体"/>
          <w:b/>
          <w:bCs/>
          <w:color w:val="auto"/>
          <w:sz w:val="24"/>
          <w:szCs w:val="24"/>
          <w:highlight w:val="none"/>
        </w:rPr>
        <w:t>（详见</w:t>
      </w:r>
      <w:r>
        <w:rPr>
          <w:rFonts w:hint="eastAsia" w:ascii="宋体" w:hAnsi="宋体" w:eastAsia="宋体" w:cs="宋体"/>
          <w:b/>
          <w:bCs/>
          <w:color w:val="auto"/>
          <w:sz w:val="24"/>
          <w:szCs w:val="24"/>
          <w:highlight w:val="none"/>
          <w:lang w:val="en-US" w:eastAsia="zh-CN"/>
        </w:rPr>
        <w:t>附件</w:t>
      </w:r>
      <w:r>
        <w:rPr>
          <w:rFonts w:hint="eastAsia" w:ascii="宋体" w:hAnsi="宋体" w:eastAsia="宋体" w:cs="宋体"/>
          <w:b/>
          <w:bCs/>
          <w:color w:val="auto"/>
          <w:sz w:val="24"/>
          <w:szCs w:val="24"/>
          <w:highlight w:val="none"/>
        </w:rPr>
        <w:t>3）；</w:t>
      </w:r>
    </w:p>
    <w:p w14:paraId="2F54F714">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（4）供应商概况表（详见附件4）；</w:t>
      </w:r>
    </w:p>
    <w:p w14:paraId="1A118D05">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w:t>
      </w:r>
      <w:r>
        <w:rPr>
          <w:rFonts w:hint="eastAsia" w:ascii="宋体" w:hAnsi="宋体" w:eastAsia="宋体" w:cs="宋体"/>
          <w:b/>
          <w:bCs/>
          <w:color w:val="auto"/>
          <w:sz w:val="24"/>
          <w:szCs w:val="24"/>
          <w:highlight w:val="none"/>
          <w:lang w:val="en-US" w:eastAsia="zh-CN"/>
        </w:rPr>
        <w:t>资格证明文件</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w:t>
      </w:r>
    </w:p>
    <w:p w14:paraId="184AC958">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①有效的的营业执照原件扫描件；</w:t>
      </w:r>
    </w:p>
    <w:p w14:paraId="5050116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②诚信声明（附件5.1）</w:t>
      </w:r>
    </w:p>
    <w:p w14:paraId="6B5FBC7A">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③财务状况报告，依法缴纳税收和社会保障资金的相关材料（详见附件5.2）</w:t>
      </w:r>
    </w:p>
    <w:p w14:paraId="20156E78">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④须提供具备履行合同所必需的设备和专业技术能力的证明材料或书面声明；（格式自拟）</w:t>
      </w:r>
    </w:p>
    <w:p w14:paraId="07CEFB1F">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⑤无重大违法记录的书面声明（详见附件5.3）</w:t>
      </w:r>
    </w:p>
    <w:p w14:paraId="0662ADC5">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⑥“信用中国”、“中国政府采购网”查询截图</w:t>
      </w:r>
    </w:p>
    <w:p w14:paraId="5B44C6CE">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⑦投标保证金缴纳证明（详见附件5.4）</w:t>
      </w:r>
    </w:p>
    <w:p w14:paraId="7120B59F">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⑧主要股东或出资人信息（详见附件5.5）</w:t>
      </w:r>
    </w:p>
    <w:p w14:paraId="51A9E08B">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⑨其它应提供的资料</w:t>
      </w:r>
    </w:p>
    <w:p w14:paraId="031C672F">
      <w:pPr>
        <w:keepNext w:val="0"/>
        <w:keepLines w:val="0"/>
        <w:pageBreakBefore w:val="0"/>
        <w:widowControl w:val="0"/>
        <w:tabs>
          <w:tab w:val="left" w:pos="5527"/>
        </w:tabs>
        <w:kinsoku/>
        <w:wordWrap/>
        <w:overflowPunct/>
        <w:topLinePunct w:val="0"/>
        <w:autoSpaceDE/>
        <w:autoSpaceDN/>
        <w:bidi w:val="0"/>
        <w:adjustRightInd/>
        <w:snapToGrid/>
        <w:spacing w:line="336" w:lineRule="auto"/>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“重法纪、讲诚信”承诺书</w:t>
      </w:r>
      <w:r>
        <w:rPr>
          <w:rFonts w:hint="eastAsia" w:ascii="宋体" w:hAnsi="宋体" w:eastAsia="宋体" w:cs="宋体"/>
          <w:b/>
          <w:bCs/>
          <w:color w:val="auto"/>
          <w:sz w:val="24"/>
          <w:szCs w:val="24"/>
          <w:highlight w:val="none"/>
        </w:rPr>
        <w:t>（详见附件</w:t>
      </w:r>
      <w:r>
        <w:rPr>
          <w:rFonts w:hint="eastAsia" w:ascii="宋体" w:hAnsi="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w:t>
      </w:r>
    </w:p>
    <w:p w14:paraId="557B0913">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7</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反商业贿赂承诺书</w:t>
      </w:r>
      <w:r>
        <w:rPr>
          <w:rFonts w:hint="eastAsia" w:ascii="宋体" w:hAnsi="宋体" w:eastAsia="宋体" w:cs="宋体"/>
          <w:b/>
          <w:bCs/>
          <w:color w:val="auto"/>
          <w:sz w:val="24"/>
          <w:szCs w:val="24"/>
          <w:highlight w:val="none"/>
        </w:rPr>
        <w:t>（详见附件</w:t>
      </w:r>
      <w:r>
        <w:rPr>
          <w:rFonts w:hint="eastAsia" w:ascii="宋体" w:hAnsi="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w:t>
      </w:r>
    </w:p>
    <w:p w14:paraId="167971CC">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商务条款偏离表</w:t>
      </w:r>
      <w:r>
        <w:rPr>
          <w:rFonts w:hint="eastAsia" w:ascii="宋体" w:hAnsi="宋体" w:eastAsia="宋体" w:cs="宋体"/>
          <w:b/>
          <w:bCs/>
          <w:color w:val="auto"/>
          <w:sz w:val="24"/>
          <w:szCs w:val="24"/>
          <w:highlight w:val="none"/>
        </w:rPr>
        <w:t>（详见附件</w:t>
      </w:r>
      <w:r>
        <w:rPr>
          <w:rFonts w:hint="eastAsia" w:ascii="宋体" w:hAnsi="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p>
    <w:p w14:paraId="4201ACF6">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9</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技术规格偏离表</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w:t>
      </w:r>
    </w:p>
    <w:p w14:paraId="37E8DC70">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0</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近三年业绩表</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rPr>
        <w:t>）</w:t>
      </w:r>
    </w:p>
    <w:p w14:paraId="282C4355">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）拟派项目负责人简历表</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w:t>
      </w:r>
    </w:p>
    <w:p w14:paraId="475C561E">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拟投入人员配置情况表</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p>
    <w:p w14:paraId="544F357B">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供货方案</w:t>
      </w:r>
      <w:r>
        <w:rPr>
          <w:rFonts w:hint="eastAsia" w:ascii="宋体" w:hAnsi="宋体" w:eastAsia="宋体" w:cs="宋体"/>
          <w:b/>
          <w:bCs/>
          <w:color w:val="auto"/>
          <w:sz w:val="24"/>
          <w:szCs w:val="24"/>
          <w:highlight w:val="none"/>
          <w:lang w:val="en-US" w:eastAsia="zh-CN"/>
        </w:rPr>
        <w:t>（详见附件1</w:t>
      </w: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w:t>
      </w:r>
    </w:p>
    <w:p w14:paraId="79FC1370">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中小企业声明函</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w:t>
      </w:r>
    </w:p>
    <w:p w14:paraId="61CEC172">
      <w:pPr>
        <w:keepNext w:val="0"/>
        <w:keepLines w:val="0"/>
        <w:pageBreakBefore w:val="0"/>
        <w:widowControl w:val="0"/>
        <w:tabs>
          <w:tab w:val="left" w:pos="5527"/>
        </w:tabs>
        <w:kinsoku/>
        <w:wordWrap/>
        <w:overflowPunct/>
        <w:topLinePunct w:val="0"/>
        <w:bidi w:val="0"/>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eastAsia="zh-CN"/>
        </w:rPr>
        <w:t>）要求提供的其它材料以及供应商认为需要提交的材料</w:t>
      </w:r>
      <w:r>
        <w:rPr>
          <w:rFonts w:hint="eastAsia" w:ascii="宋体" w:hAnsi="宋体" w:eastAsia="宋体" w:cs="宋体"/>
          <w:b/>
          <w:bCs/>
          <w:color w:val="auto"/>
          <w:sz w:val="24"/>
          <w:szCs w:val="24"/>
          <w:highlight w:val="none"/>
        </w:rPr>
        <w:t>（详见附件</w:t>
      </w:r>
      <w:r>
        <w:rPr>
          <w:rFonts w:hint="eastAsia" w:ascii="宋体" w:hAnsi="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w:t>
      </w:r>
    </w:p>
    <w:p w14:paraId="32A9ADF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的格式</w:t>
      </w:r>
    </w:p>
    <w:p w14:paraId="0138FD5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附件及</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各章节提供了一部分用于编制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时必要的格式，供应商应按此格式编制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468C5E8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中未提供格式的部分由供应商自行编制。</w:t>
      </w:r>
    </w:p>
    <w:p w14:paraId="469D77D2">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xml:space="preserve">  投标报价</w:t>
      </w:r>
    </w:p>
    <w:p w14:paraId="6FC1180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 除本</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另有规定外，供应商应按</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所附相应的投标一览表格式标明</w:t>
      </w:r>
      <w:r>
        <w:rPr>
          <w:rFonts w:hint="eastAsia" w:ascii="宋体" w:hAnsi="宋体" w:eastAsia="宋体" w:cs="宋体"/>
          <w:b/>
          <w:bCs/>
          <w:color w:val="auto"/>
          <w:sz w:val="24"/>
          <w:szCs w:val="24"/>
          <w:highlight w:val="none"/>
          <w:lang w:val="en-US" w:eastAsia="zh-CN"/>
        </w:rPr>
        <w:t>投标报</w:t>
      </w:r>
      <w:r>
        <w:rPr>
          <w:rFonts w:hint="eastAsia" w:ascii="宋体" w:hAnsi="宋体" w:eastAsia="宋体" w:cs="宋体"/>
          <w:b/>
          <w:bCs/>
          <w:color w:val="auto"/>
          <w:sz w:val="24"/>
          <w:szCs w:val="24"/>
          <w:highlight w:val="none"/>
        </w:rPr>
        <w:t>价等内容。报价以人民币报价。</w:t>
      </w:r>
    </w:p>
    <w:p w14:paraId="35E067A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 任何有选择性的报价将不予接受。</w:t>
      </w:r>
    </w:p>
    <w:p w14:paraId="2CEFD33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 供应商须充分注意并重视第三章“</w:t>
      </w:r>
      <w:r>
        <w:rPr>
          <w:rFonts w:hint="eastAsia" w:ascii="宋体" w:hAnsi="宋体" w:eastAsia="宋体" w:cs="宋体"/>
          <w:color w:val="auto"/>
          <w:sz w:val="24"/>
          <w:szCs w:val="24"/>
          <w:highlight w:val="none"/>
          <w:lang w:val="en-US" w:eastAsia="zh-CN"/>
        </w:rPr>
        <w:t>采购清单</w:t>
      </w:r>
      <w:r>
        <w:rPr>
          <w:rFonts w:hint="eastAsia" w:ascii="宋体" w:hAnsi="宋体" w:eastAsia="宋体" w:cs="宋体"/>
          <w:color w:val="auto"/>
          <w:sz w:val="24"/>
          <w:szCs w:val="24"/>
          <w:highlight w:val="none"/>
        </w:rPr>
        <w:t>”的内容，并严格按该章的有关内容做出实质性响应。</w:t>
      </w:r>
    </w:p>
    <w:p w14:paraId="01F17D4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 供应商可按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第三章“</w:t>
      </w:r>
      <w:r>
        <w:rPr>
          <w:rFonts w:hint="eastAsia" w:ascii="宋体" w:hAnsi="宋体" w:eastAsia="宋体" w:cs="宋体"/>
          <w:color w:val="auto"/>
          <w:sz w:val="24"/>
          <w:szCs w:val="24"/>
          <w:highlight w:val="none"/>
          <w:lang w:val="en-US" w:eastAsia="zh-CN"/>
        </w:rPr>
        <w:t>采购清单</w:t>
      </w:r>
      <w:r>
        <w:rPr>
          <w:rFonts w:hint="eastAsia" w:ascii="宋体" w:hAnsi="宋体" w:eastAsia="宋体" w:cs="宋体"/>
          <w:color w:val="auto"/>
          <w:sz w:val="24"/>
          <w:szCs w:val="24"/>
          <w:highlight w:val="none"/>
        </w:rPr>
        <w:t>”的内容</w:t>
      </w:r>
      <w:r>
        <w:rPr>
          <w:rFonts w:hint="eastAsia" w:ascii="宋体" w:hAnsi="宋体" w:eastAsia="宋体" w:cs="宋体"/>
          <w:color w:val="auto"/>
          <w:sz w:val="24"/>
          <w:szCs w:val="24"/>
          <w:highlight w:val="none"/>
          <w:lang w:val="en-US" w:eastAsia="zh-CN"/>
        </w:rPr>
        <w:t>进行</w:t>
      </w:r>
      <w:r>
        <w:rPr>
          <w:rFonts w:hint="eastAsia" w:ascii="宋体" w:hAnsi="宋体" w:eastAsia="宋体" w:cs="宋体"/>
          <w:color w:val="auto"/>
          <w:sz w:val="24"/>
          <w:szCs w:val="24"/>
          <w:highlight w:val="none"/>
        </w:rPr>
        <w:t>报价，投标报价</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rPr>
        <w:t>包</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税金及本</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所</w:t>
      </w:r>
      <w:r>
        <w:rPr>
          <w:rFonts w:hint="eastAsia" w:ascii="宋体" w:hAnsi="宋体" w:eastAsia="宋体" w:cs="宋体"/>
          <w:color w:val="auto"/>
          <w:sz w:val="24"/>
          <w:szCs w:val="24"/>
          <w:highlight w:val="none"/>
          <w:lang w:val="en-US" w:eastAsia="zh-CN"/>
        </w:rPr>
        <w:t>产生</w:t>
      </w:r>
      <w:r>
        <w:rPr>
          <w:rFonts w:hint="eastAsia" w:ascii="宋体" w:hAnsi="宋体" w:eastAsia="宋体" w:cs="宋体"/>
          <w:color w:val="auto"/>
          <w:sz w:val="24"/>
          <w:szCs w:val="24"/>
          <w:highlight w:val="none"/>
        </w:rPr>
        <w:t>的全部费用，</w:t>
      </w:r>
      <w:r>
        <w:rPr>
          <w:rFonts w:hint="eastAsia" w:ascii="宋体" w:hAnsi="宋体" w:eastAsia="宋体" w:cs="宋体"/>
          <w:b/>
          <w:bCs/>
          <w:color w:val="auto"/>
          <w:sz w:val="24"/>
          <w:szCs w:val="24"/>
          <w:highlight w:val="none"/>
        </w:rPr>
        <w:t>且投标报价不得</w:t>
      </w:r>
      <w:r>
        <w:rPr>
          <w:rFonts w:hint="eastAsia" w:ascii="宋体" w:hAnsi="宋体" w:eastAsia="宋体" w:cs="宋体"/>
          <w:b/>
          <w:bCs/>
          <w:color w:val="auto"/>
          <w:sz w:val="24"/>
          <w:szCs w:val="24"/>
          <w:highlight w:val="none"/>
          <w:lang w:val="en-US" w:eastAsia="zh-CN"/>
        </w:rPr>
        <w:t>高于</w:t>
      </w:r>
      <w:r>
        <w:rPr>
          <w:rFonts w:hint="eastAsia" w:ascii="宋体" w:hAnsi="宋体" w:eastAsia="宋体" w:cs="宋体"/>
          <w:b/>
          <w:bCs/>
          <w:color w:val="auto"/>
          <w:sz w:val="24"/>
          <w:szCs w:val="24"/>
          <w:highlight w:val="none"/>
        </w:rPr>
        <w:t>最高限价金额，否则将按无效投标处理。</w:t>
      </w:r>
    </w:p>
    <w:p w14:paraId="108FBE1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12.5</w:t>
      </w:r>
      <w:r>
        <w:rPr>
          <w:rFonts w:hint="eastAsia" w:ascii="宋体" w:hAnsi="宋体" w:eastAsia="宋体" w:cs="宋体"/>
          <w:color w:val="auto"/>
          <w:sz w:val="24"/>
          <w:szCs w:val="24"/>
          <w:highlight w:val="none"/>
        </w:rPr>
        <w:t xml:space="preserve"> 供应商的报价在中标后的合同实施期间应保持不变，即不因市场价格或政策性价格的调整而增减。</w:t>
      </w:r>
    </w:p>
    <w:p w14:paraId="4B97A867">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证明供应商合格</w:t>
      </w:r>
      <w:r>
        <w:rPr>
          <w:rFonts w:hint="eastAsia" w:ascii="宋体" w:hAnsi="宋体" w:eastAsia="宋体" w:cs="宋体"/>
          <w:b/>
          <w:bCs/>
          <w:color w:val="auto"/>
          <w:sz w:val="24"/>
          <w:szCs w:val="24"/>
          <w:highlight w:val="none"/>
          <w:lang w:val="en-US" w:eastAsia="zh-CN"/>
        </w:rPr>
        <w:t>的</w:t>
      </w:r>
      <w:r>
        <w:rPr>
          <w:rFonts w:hint="eastAsia" w:ascii="宋体" w:hAnsi="宋体" w:eastAsia="宋体" w:cs="宋体"/>
          <w:b/>
          <w:bCs/>
          <w:color w:val="auto"/>
          <w:sz w:val="24"/>
          <w:szCs w:val="24"/>
          <w:highlight w:val="none"/>
        </w:rPr>
        <w:t>资格</w:t>
      </w:r>
      <w:r>
        <w:rPr>
          <w:rFonts w:hint="eastAsia" w:ascii="宋体" w:hAnsi="宋体" w:eastAsia="宋体" w:cs="宋体"/>
          <w:b/>
          <w:bCs/>
          <w:color w:val="auto"/>
          <w:sz w:val="24"/>
          <w:szCs w:val="24"/>
          <w:highlight w:val="none"/>
          <w:lang w:val="en-US" w:eastAsia="zh-CN"/>
        </w:rPr>
        <w:t>证明</w:t>
      </w:r>
      <w:r>
        <w:rPr>
          <w:rFonts w:hint="eastAsia" w:ascii="宋体" w:hAnsi="宋体" w:eastAsia="宋体" w:cs="宋体"/>
          <w:b/>
          <w:bCs/>
          <w:color w:val="auto"/>
          <w:sz w:val="24"/>
          <w:szCs w:val="24"/>
          <w:highlight w:val="none"/>
        </w:rPr>
        <w:t>文件</w:t>
      </w:r>
    </w:p>
    <w:p w14:paraId="322DDB2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按照供应商须知前附表规定，供应商应提交</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所要求的资格证明文件。</w:t>
      </w:r>
    </w:p>
    <w:p w14:paraId="37B7442E">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xml:space="preserve">  证明符合</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规定的文件</w:t>
      </w:r>
    </w:p>
    <w:p w14:paraId="7D2AC9F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供应商应逐条对</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要求的</w:t>
      </w:r>
      <w:r>
        <w:rPr>
          <w:rFonts w:hint="eastAsia" w:ascii="宋体" w:hAnsi="宋体" w:eastAsia="宋体" w:cs="宋体"/>
          <w:color w:val="auto"/>
          <w:sz w:val="24"/>
          <w:szCs w:val="24"/>
          <w:highlight w:val="none"/>
          <w:lang w:val="en-US" w:eastAsia="zh-CN"/>
        </w:rPr>
        <w:t>内容</w:t>
      </w:r>
      <w:r>
        <w:rPr>
          <w:rFonts w:hint="eastAsia" w:ascii="宋体" w:hAnsi="宋体" w:eastAsia="宋体" w:cs="宋体"/>
          <w:color w:val="auto"/>
          <w:sz w:val="24"/>
          <w:szCs w:val="24"/>
          <w:highlight w:val="none"/>
        </w:rPr>
        <w:t>做出实质性</w:t>
      </w:r>
      <w:r>
        <w:rPr>
          <w:rFonts w:hint="eastAsia" w:ascii="宋体" w:hAnsi="宋体" w:eastAsia="宋体" w:cs="宋体"/>
          <w:color w:val="auto"/>
          <w:sz w:val="24"/>
          <w:szCs w:val="24"/>
          <w:highlight w:val="none"/>
          <w:lang w:val="en-US" w:eastAsia="zh-CN"/>
        </w:rPr>
        <w:t>响</w:t>
      </w:r>
      <w:r>
        <w:rPr>
          <w:rFonts w:hint="eastAsia" w:ascii="宋体" w:hAnsi="宋体" w:eastAsia="宋体" w:cs="宋体"/>
          <w:color w:val="auto"/>
          <w:sz w:val="24"/>
          <w:szCs w:val="24"/>
          <w:highlight w:val="none"/>
        </w:rPr>
        <w:t>应，认真填写</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所附的“商务条款偏离表”、“技术规格偏离表”。</w:t>
      </w:r>
      <w:r>
        <w:rPr>
          <w:rFonts w:hint="eastAsia" w:ascii="宋体" w:hAnsi="宋体" w:eastAsia="宋体" w:cs="宋体"/>
          <w:b/>
          <w:bCs/>
          <w:color w:val="auto"/>
          <w:sz w:val="24"/>
          <w:szCs w:val="24"/>
          <w:highlight w:val="none"/>
        </w:rPr>
        <w:t>若有偏离</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请将具体偏离条款在“偏离”一栏中详细说明</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若无偏离</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请在“偏离”一栏中标注“无”字样。如不填写将视为不响应</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要求。</w:t>
      </w:r>
    </w:p>
    <w:p w14:paraId="2B7F8957">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 xml:space="preserve">  电子</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的有效期</w:t>
      </w:r>
    </w:p>
    <w:p w14:paraId="2B332D1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有效期</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详见供应商须知前附表</w:t>
      </w:r>
      <w:r>
        <w:rPr>
          <w:rFonts w:hint="eastAsia" w:ascii="宋体" w:hAnsi="宋体" w:eastAsia="宋体" w:cs="宋体"/>
          <w:b/>
          <w:bCs/>
          <w:color w:val="auto"/>
          <w:sz w:val="24"/>
          <w:szCs w:val="24"/>
          <w:highlight w:val="none"/>
        </w:rPr>
        <w:t>。</w:t>
      </w:r>
    </w:p>
    <w:p w14:paraId="5B05016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 在特殊情况下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在原</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有效期届满之前，采购人可与供应商协商延长</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的有效期，并经供应商确认。</w:t>
      </w:r>
    </w:p>
    <w:p w14:paraId="0F082835">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电子</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w:t>
      </w:r>
      <w:r>
        <w:rPr>
          <w:rFonts w:hint="eastAsia" w:ascii="宋体" w:hAnsi="宋体" w:eastAsia="宋体" w:cs="宋体"/>
          <w:b/>
          <w:bCs/>
          <w:color w:val="auto"/>
          <w:sz w:val="24"/>
          <w:szCs w:val="24"/>
          <w:highlight w:val="none"/>
          <w:lang w:val="en-US" w:eastAsia="zh-CN"/>
        </w:rPr>
        <w:t>格式</w:t>
      </w:r>
      <w:r>
        <w:rPr>
          <w:rFonts w:hint="eastAsia" w:ascii="宋体" w:hAnsi="宋体" w:eastAsia="宋体" w:cs="宋体"/>
          <w:b/>
          <w:bCs/>
          <w:color w:val="auto"/>
          <w:sz w:val="24"/>
          <w:szCs w:val="24"/>
          <w:highlight w:val="none"/>
        </w:rPr>
        <w:t>要求及签署</w:t>
      </w:r>
    </w:p>
    <w:p w14:paraId="4EB1116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格式</w:t>
      </w:r>
      <w:r>
        <w:rPr>
          <w:rFonts w:hint="eastAsia" w:ascii="宋体" w:hAnsi="宋体" w:eastAsia="宋体" w:cs="宋体"/>
          <w:color w:val="auto"/>
          <w:sz w:val="24"/>
          <w:szCs w:val="24"/>
          <w:highlight w:val="none"/>
        </w:rPr>
        <w:t>应清楚工整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未实质性响应</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、字迹潦草、表达不清、未按要求填写或可能导致非唯一理解的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将按无效投标处理。</w:t>
      </w:r>
    </w:p>
    <w:p w14:paraId="2922627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应由供应商法</w:t>
      </w:r>
      <w:r>
        <w:rPr>
          <w:rFonts w:hint="eastAsia" w:ascii="宋体" w:hAnsi="宋体" w:eastAsia="宋体" w:cs="宋体"/>
          <w:color w:val="auto"/>
          <w:sz w:val="24"/>
          <w:szCs w:val="24"/>
          <w:highlight w:val="none"/>
          <w:lang w:val="en-US" w:eastAsia="zh-CN"/>
        </w:rPr>
        <w:t>定代表人</w:t>
      </w:r>
      <w:r>
        <w:rPr>
          <w:rFonts w:hint="eastAsia" w:ascii="宋体" w:hAnsi="宋体" w:eastAsia="宋体" w:cs="宋体"/>
          <w:color w:val="auto"/>
          <w:sz w:val="24"/>
          <w:szCs w:val="24"/>
          <w:highlight w:val="none"/>
        </w:rPr>
        <w:t>或委托代理人在规定签章处逐一签署及加盖供应商的公章。</w:t>
      </w:r>
    </w:p>
    <w:p w14:paraId="4E4B3CB5">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76" w:name="_Toc19171"/>
      <w:bookmarkStart w:id="77" w:name="_Toc5423"/>
      <w:bookmarkStart w:id="78" w:name="_Toc5633"/>
      <w:bookmarkStart w:id="79" w:name="_Toc30175"/>
      <w:bookmarkStart w:id="80" w:name="_Toc20192"/>
      <w:bookmarkStart w:id="81" w:name="_Toc28814"/>
      <w:bookmarkStart w:id="82" w:name="_Toc167"/>
      <w:bookmarkStart w:id="83" w:name="_Toc10478"/>
      <w:bookmarkStart w:id="84" w:name="_Toc20072"/>
      <w:bookmarkStart w:id="85" w:name="_Toc15133"/>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xml:space="preserve">  投标保证金</w:t>
      </w:r>
    </w:p>
    <w:p w14:paraId="69B8227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投标保证金金额为前附表要求金额，各供应商必须在投标截止时间前</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交。</w:t>
      </w:r>
    </w:p>
    <w:p w14:paraId="26C71AB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 投标保证金用于保护本次招标免受供应商的违规、违约行为而引起的风险。</w:t>
      </w:r>
    </w:p>
    <w:p w14:paraId="022AB9A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 发生以下情况投标保证金不予退还：</w:t>
      </w:r>
    </w:p>
    <w:p w14:paraId="60EF484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如果供应商在投标有效期内撤回</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w:t>
      </w:r>
    </w:p>
    <w:p w14:paraId="598B825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中标供应商有下列情形之一的，投标保证金不予退还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情节严重的，由</w:t>
      </w:r>
      <w:r>
        <w:rPr>
          <w:rFonts w:hint="eastAsia" w:ascii="宋体" w:hAnsi="宋体" w:eastAsia="宋体" w:cs="宋体"/>
          <w:color w:val="auto"/>
          <w:sz w:val="24"/>
          <w:szCs w:val="24"/>
          <w:highlight w:val="none"/>
          <w:lang w:val="en-US" w:eastAsia="zh-CN"/>
        </w:rPr>
        <w:t>财政</w:t>
      </w:r>
      <w:r>
        <w:rPr>
          <w:rFonts w:hint="eastAsia" w:ascii="宋体" w:hAnsi="宋体" w:eastAsia="宋体" w:cs="宋体"/>
          <w:color w:val="auto"/>
          <w:sz w:val="24"/>
          <w:szCs w:val="24"/>
          <w:highlight w:val="none"/>
        </w:rPr>
        <w:t>部门将其列入不良行为记录名单，在一至三年内禁止参加政府采购活动，并予以通报：</w:t>
      </w:r>
    </w:p>
    <w:p w14:paraId="1370BF0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中标后无正当理由不与采购人签订合同的；</w:t>
      </w:r>
    </w:p>
    <w:p w14:paraId="17E6B21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（二）未经采购人同意将中标项目转让给他人，或者将中标项目分包给他人的；</w:t>
      </w:r>
    </w:p>
    <w:p w14:paraId="6DC4420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（三）拒绝履行合同义务的。</w:t>
      </w:r>
    </w:p>
    <w:p w14:paraId="4EE3577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.3.3 如果中标供应商放弃中标项目的，无正当理由不与采购人签订合同的，在签订合同时向采购人提出附加条件或者更改合同实质性内容的，或者拒不提交所要求的履约保证金的。</w:t>
      </w:r>
    </w:p>
    <w:p w14:paraId="44CFED34">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四、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w:t>
      </w: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rPr>
        <w:t>交</w:t>
      </w:r>
      <w:bookmarkEnd w:id="76"/>
      <w:bookmarkEnd w:id="77"/>
      <w:bookmarkEnd w:id="78"/>
      <w:bookmarkEnd w:id="79"/>
      <w:bookmarkEnd w:id="80"/>
      <w:bookmarkEnd w:id="81"/>
      <w:bookmarkEnd w:id="82"/>
      <w:bookmarkEnd w:id="83"/>
      <w:bookmarkEnd w:id="84"/>
      <w:bookmarkEnd w:id="85"/>
    </w:p>
    <w:p w14:paraId="56FC34B6">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86" w:name="_Toc8730"/>
      <w:bookmarkStart w:id="87" w:name="_Toc24323"/>
      <w:bookmarkStart w:id="88" w:name="_Toc18583"/>
      <w:bookmarkStart w:id="89" w:name="_Toc25534"/>
      <w:bookmarkStart w:id="90" w:name="_Toc30259"/>
      <w:bookmarkStart w:id="91" w:name="_Toc11186"/>
      <w:bookmarkStart w:id="92" w:name="_Toc14795"/>
      <w:bookmarkStart w:id="93" w:name="_Toc21719"/>
      <w:bookmarkStart w:id="94" w:name="_Toc10256"/>
      <w:bookmarkStart w:id="95" w:name="_Toc26952"/>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w:t>
      </w: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rPr>
        <w:t>交详见供应商须知</w:t>
      </w:r>
      <w:r>
        <w:rPr>
          <w:rFonts w:hint="eastAsia" w:ascii="宋体" w:hAnsi="宋体" w:eastAsia="宋体" w:cs="宋体"/>
          <w:b/>
          <w:bCs/>
          <w:color w:val="auto"/>
          <w:sz w:val="24"/>
          <w:szCs w:val="24"/>
          <w:highlight w:val="none"/>
          <w:lang w:val="en-US" w:eastAsia="zh-CN"/>
        </w:rPr>
        <w:t>前附表</w:t>
      </w:r>
      <w:r>
        <w:rPr>
          <w:rFonts w:hint="eastAsia" w:ascii="宋体" w:hAnsi="宋体" w:eastAsia="宋体" w:cs="宋体"/>
          <w:b/>
          <w:bCs/>
          <w:color w:val="auto"/>
          <w:sz w:val="24"/>
          <w:szCs w:val="24"/>
          <w:highlight w:val="none"/>
        </w:rPr>
        <w:t>。</w:t>
      </w:r>
    </w:p>
    <w:p w14:paraId="3260688E">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lang w:val="en-US" w:eastAsia="zh-CN"/>
        </w:rPr>
        <w:t>递交</w:t>
      </w:r>
      <w:r>
        <w:rPr>
          <w:rFonts w:hint="eastAsia" w:ascii="宋体" w:hAnsi="宋体" w:eastAsia="宋体" w:cs="宋体"/>
          <w:b/>
          <w:bCs/>
          <w:color w:val="auto"/>
          <w:sz w:val="24"/>
          <w:szCs w:val="24"/>
          <w:highlight w:val="none"/>
        </w:rPr>
        <w:t>的截止时间</w:t>
      </w:r>
    </w:p>
    <w:p w14:paraId="23445A5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 供应商必须在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的截止时间前</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交。</w:t>
      </w:r>
    </w:p>
    <w:p w14:paraId="404D740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 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递</w:t>
      </w:r>
      <w:r>
        <w:rPr>
          <w:rFonts w:hint="eastAsia" w:ascii="宋体" w:hAnsi="宋体" w:eastAsia="宋体" w:cs="宋体"/>
          <w:color w:val="auto"/>
          <w:sz w:val="24"/>
          <w:szCs w:val="24"/>
          <w:highlight w:val="none"/>
        </w:rPr>
        <w:t>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的截止时间之后送达的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，为无效</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，采购人将不予接收。</w:t>
      </w:r>
    </w:p>
    <w:p w14:paraId="548052DB">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的修改和撤回</w:t>
      </w:r>
    </w:p>
    <w:p w14:paraId="12A2FC9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 供应商在投标截止时间前，可以对所</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交的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进行补充、修改或者撤回。补充、修改的内容应当按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要求签署、盖章，并作为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的组成部分。供应商对其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进行的修改或撤回应在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规定的投标截止时间前送达。</w:t>
      </w:r>
    </w:p>
    <w:p w14:paraId="423F2CB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.2 供应商根据</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载明采购项目的实际情况，拟在中标后将中标项目的非主体、非关键性工作交由他人完成的，应当在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中载明。</w:t>
      </w:r>
    </w:p>
    <w:p w14:paraId="6CDF916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.3 投标截止时间后不得修改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5BC7EE7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.4 供应商不得在投标有效期</w:t>
      </w:r>
      <w:r>
        <w:rPr>
          <w:rFonts w:hint="eastAsia" w:ascii="宋体" w:hAnsi="宋体" w:eastAsia="宋体" w:cs="宋体"/>
          <w:color w:val="auto"/>
          <w:sz w:val="24"/>
          <w:szCs w:val="24"/>
          <w:highlight w:val="none"/>
          <w:lang w:val="en-US" w:eastAsia="zh-CN"/>
        </w:rPr>
        <w:t>内</w:t>
      </w:r>
      <w:r>
        <w:rPr>
          <w:rFonts w:hint="eastAsia" w:ascii="宋体" w:hAnsi="宋体" w:eastAsia="宋体" w:cs="宋体"/>
          <w:color w:val="auto"/>
          <w:sz w:val="24"/>
          <w:szCs w:val="24"/>
          <w:highlight w:val="none"/>
        </w:rPr>
        <w:t>撤销</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，否则采购人将不予退还其投标保证金。</w:t>
      </w:r>
    </w:p>
    <w:p w14:paraId="05D933BC">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五、开   标</w:t>
      </w:r>
      <w:bookmarkEnd w:id="86"/>
      <w:bookmarkEnd w:id="87"/>
      <w:bookmarkEnd w:id="88"/>
      <w:bookmarkEnd w:id="89"/>
      <w:bookmarkEnd w:id="90"/>
      <w:bookmarkEnd w:id="91"/>
      <w:bookmarkEnd w:id="92"/>
      <w:bookmarkEnd w:id="93"/>
      <w:bookmarkEnd w:id="94"/>
      <w:bookmarkEnd w:id="95"/>
    </w:p>
    <w:p w14:paraId="273CC514">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 xml:space="preserve">  开标</w:t>
      </w:r>
    </w:p>
    <w:p w14:paraId="7DE0699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 开标</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截止时间；开标地点为</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中预先确定的地点。</w:t>
      </w:r>
    </w:p>
    <w:p w14:paraId="197A7B1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 采购代理机构主持，采购人、供应商和有关方面代表参加。投标供应商不足3家的，不得开标。</w:t>
      </w:r>
    </w:p>
    <w:p w14:paraId="17C55B8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 开标方式：电子开评标</w:t>
      </w:r>
    </w:p>
    <w:p w14:paraId="31652DE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.3.1开标时间到达后，主持人</w:t>
      </w:r>
      <w:r>
        <w:rPr>
          <w:rFonts w:hint="eastAsia" w:ascii="宋体" w:hAnsi="宋体" w:eastAsia="宋体" w:cs="宋体"/>
          <w:color w:val="auto"/>
          <w:sz w:val="24"/>
          <w:szCs w:val="24"/>
          <w:highlight w:val="none"/>
          <w:lang w:val="en-US" w:eastAsia="zh-CN"/>
        </w:rPr>
        <w:t>开启解密标书后，供应商点击【CA解密】进行解密，超过解密时限，默认供应商自动放弃。解密成功的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可继续进行开标。</w:t>
      </w:r>
    </w:p>
    <w:p w14:paraId="1BDE0C9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.3.2 若</w:t>
      </w:r>
      <w:r>
        <w:rPr>
          <w:rFonts w:hint="eastAsia" w:ascii="宋体" w:hAnsi="宋体" w:eastAsia="宋体" w:cs="宋体"/>
          <w:color w:val="auto"/>
          <w:sz w:val="24"/>
          <w:szCs w:val="24"/>
          <w:highlight w:val="none"/>
          <w:lang w:val="en-US" w:eastAsia="zh-CN"/>
        </w:rPr>
        <w:t>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家数少于三家或者开标后成功解密的家数少于三家的，将终止该</w:t>
      </w:r>
      <w:r>
        <w:rPr>
          <w:rFonts w:hint="eastAsia" w:ascii="宋体" w:hAnsi="宋体" w:eastAsia="宋体" w:cs="宋体"/>
          <w:color w:val="auto"/>
          <w:sz w:val="24"/>
          <w:szCs w:val="24"/>
          <w:highlight w:val="none"/>
          <w:lang w:val="en-US" w:eastAsia="zh-CN"/>
        </w:rPr>
        <w:t>项目（标项）</w:t>
      </w:r>
      <w:r>
        <w:rPr>
          <w:rFonts w:hint="eastAsia" w:ascii="宋体" w:hAnsi="宋体" w:eastAsia="宋体" w:cs="宋体"/>
          <w:color w:val="auto"/>
          <w:sz w:val="24"/>
          <w:szCs w:val="24"/>
          <w:highlight w:val="none"/>
        </w:rPr>
        <w:t xml:space="preserve">的开标。 </w:t>
      </w:r>
    </w:p>
    <w:p w14:paraId="60489B8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.4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报价出现前后不一致的，除</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另有规定外，按照下列规定修正：</w:t>
      </w:r>
    </w:p>
    <w:p w14:paraId="636FB9A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21.4.1</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中开标一览表（报价</w:t>
      </w:r>
      <w:r>
        <w:rPr>
          <w:rFonts w:hint="eastAsia" w:ascii="宋体" w:hAnsi="宋体" w:eastAsia="宋体" w:cs="宋体"/>
          <w:color w:val="auto"/>
          <w:sz w:val="24"/>
          <w:szCs w:val="24"/>
          <w:highlight w:val="none"/>
          <w:lang w:val="en-US" w:eastAsia="zh-CN"/>
        </w:rPr>
        <w:t>一览</w:t>
      </w:r>
      <w:r>
        <w:rPr>
          <w:rFonts w:hint="eastAsia" w:ascii="宋体" w:hAnsi="宋体" w:eastAsia="宋体" w:cs="宋体"/>
          <w:color w:val="auto"/>
          <w:sz w:val="24"/>
          <w:szCs w:val="24"/>
          <w:highlight w:val="none"/>
        </w:rPr>
        <w:t>表）内容与</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中相应内容不一致的，以开标一览表（报价</w:t>
      </w:r>
      <w:r>
        <w:rPr>
          <w:rFonts w:hint="eastAsia" w:ascii="宋体" w:hAnsi="宋体" w:eastAsia="宋体" w:cs="宋体"/>
          <w:color w:val="auto"/>
          <w:sz w:val="24"/>
          <w:szCs w:val="24"/>
          <w:highlight w:val="none"/>
          <w:lang w:val="en-US" w:eastAsia="zh-CN"/>
        </w:rPr>
        <w:t>一览</w:t>
      </w:r>
      <w:r>
        <w:rPr>
          <w:rFonts w:hint="eastAsia" w:ascii="宋体" w:hAnsi="宋体" w:eastAsia="宋体" w:cs="宋体"/>
          <w:color w:val="auto"/>
          <w:sz w:val="24"/>
          <w:szCs w:val="24"/>
          <w:highlight w:val="none"/>
        </w:rPr>
        <w:t>表）为准；</w:t>
      </w:r>
    </w:p>
    <w:p w14:paraId="0F22CBF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21.4.2</w:t>
      </w:r>
      <w:r>
        <w:rPr>
          <w:rFonts w:hint="eastAsia" w:ascii="宋体" w:hAnsi="宋体" w:eastAsia="宋体" w:cs="宋体"/>
          <w:color w:val="auto"/>
          <w:sz w:val="24"/>
          <w:szCs w:val="24"/>
          <w:highlight w:val="none"/>
        </w:rPr>
        <w:t>大写金额和小写金额不一致的，以大写金额为准；</w:t>
      </w:r>
    </w:p>
    <w:p w14:paraId="3643F72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21.4.3</w:t>
      </w:r>
      <w:r>
        <w:rPr>
          <w:rFonts w:hint="eastAsia" w:ascii="宋体" w:hAnsi="宋体" w:eastAsia="宋体" w:cs="宋体"/>
          <w:color w:val="auto"/>
          <w:sz w:val="24"/>
          <w:szCs w:val="24"/>
          <w:highlight w:val="none"/>
        </w:rPr>
        <w:t>单价金额小数点或者百分比有明显错位的，以开标一览表（报价</w:t>
      </w:r>
      <w:r>
        <w:rPr>
          <w:rFonts w:hint="eastAsia" w:ascii="宋体" w:hAnsi="宋体" w:eastAsia="宋体" w:cs="宋体"/>
          <w:color w:val="auto"/>
          <w:sz w:val="24"/>
          <w:szCs w:val="24"/>
          <w:highlight w:val="none"/>
          <w:lang w:val="en-US" w:eastAsia="zh-CN"/>
        </w:rPr>
        <w:t>一览</w:t>
      </w:r>
      <w:r>
        <w:rPr>
          <w:rFonts w:hint="eastAsia" w:ascii="宋体" w:hAnsi="宋体" w:eastAsia="宋体" w:cs="宋体"/>
          <w:color w:val="auto"/>
          <w:sz w:val="24"/>
          <w:szCs w:val="24"/>
          <w:highlight w:val="none"/>
        </w:rPr>
        <w:t>表）的总价为准，并修改单价；</w:t>
      </w:r>
    </w:p>
    <w:p w14:paraId="453B5E9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21.4.4</w:t>
      </w:r>
      <w:r>
        <w:rPr>
          <w:rFonts w:hint="eastAsia" w:ascii="宋体" w:hAnsi="宋体" w:eastAsia="宋体" w:cs="宋体"/>
          <w:color w:val="auto"/>
          <w:sz w:val="24"/>
          <w:szCs w:val="24"/>
          <w:highlight w:val="none"/>
        </w:rPr>
        <w:t>总价金额与按单价汇总金额不一致的，以单价金额计算结果为准。</w:t>
      </w:r>
    </w:p>
    <w:p w14:paraId="7845F1C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21.4.5</w:t>
      </w:r>
      <w:r>
        <w:rPr>
          <w:rFonts w:hint="eastAsia" w:ascii="宋体" w:hAnsi="宋体" w:eastAsia="宋体" w:cs="宋体"/>
          <w:color w:val="auto"/>
          <w:sz w:val="24"/>
          <w:szCs w:val="24"/>
          <w:highlight w:val="none"/>
        </w:rPr>
        <w:t>对不同文字文本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的解释发生异议的，以中文文本为准。</w:t>
      </w:r>
    </w:p>
    <w:p w14:paraId="18D18E7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 对未按照本</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要求进行投标及资格审查不合格的供应商，其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将按无效投标处理。</w:t>
      </w:r>
    </w:p>
    <w:p w14:paraId="7593948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 供应商之间不得相互串通投标报价，不得妨碍其他供应商的公平竞争，不得损害采购人或者其他供应商的合法权益。</w:t>
      </w:r>
    </w:p>
    <w:p w14:paraId="2CB9511B">
      <w:pPr>
        <w:keepNext w:val="0"/>
        <w:keepLines w:val="0"/>
        <w:pageBreakBefore w:val="0"/>
        <w:widowControl w:val="0"/>
        <w:tabs>
          <w:tab w:val="left" w:pos="5527"/>
        </w:tabs>
        <w:kinsoku/>
        <w:wordWrap/>
        <w:overflowPunct/>
        <w:topLinePunct w:val="0"/>
        <w:autoSpaceDE/>
        <w:autoSpaceDN/>
        <w:bidi w:val="0"/>
        <w:adjustRightInd/>
        <w:snapToGrid/>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供应商不得向采购人、</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成员行贿或者采取其他不正当手段谋取中标。</w:t>
      </w:r>
    </w:p>
    <w:p w14:paraId="20ED5824">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rPr>
      </w:pPr>
      <w:bookmarkStart w:id="96" w:name="_Toc12203"/>
      <w:bookmarkStart w:id="97" w:name="_Toc6415"/>
      <w:bookmarkStart w:id="98" w:name="_Toc32611"/>
      <w:bookmarkStart w:id="99" w:name="_Toc24841"/>
      <w:bookmarkStart w:id="100" w:name="_Toc29037"/>
      <w:bookmarkStart w:id="101" w:name="_Toc16195"/>
      <w:bookmarkStart w:id="102" w:name="_Toc27665"/>
      <w:bookmarkStart w:id="103" w:name="_Toc16901"/>
      <w:bookmarkStart w:id="104" w:name="_Toc4557"/>
      <w:bookmarkStart w:id="105" w:name="_Toc17564"/>
      <w:r>
        <w:rPr>
          <w:rFonts w:hint="eastAsia" w:ascii="宋体" w:hAnsi="宋体" w:eastAsia="宋体" w:cs="宋体"/>
          <w:b/>
          <w:bCs/>
          <w:color w:val="auto"/>
          <w:sz w:val="24"/>
          <w:szCs w:val="24"/>
          <w:highlight w:val="none"/>
        </w:rPr>
        <w:t>六、 评标、定标</w:t>
      </w:r>
      <w:bookmarkEnd w:id="96"/>
      <w:bookmarkEnd w:id="97"/>
      <w:bookmarkEnd w:id="98"/>
      <w:bookmarkEnd w:id="99"/>
      <w:bookmarkEnd w:id="100"/>
      <w:bookmarkEnd w:id="101"/>
      <w:bookmarkEnd w:id="102"/>
      <w:bookmarkEnd w:id="103"/>
      <w:bookmarkEnd w:id="104"/>
      <w:bookmarkEnd w:id="105"/>
    </w:p>
    <w:p w14:paraId="080A6801">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106" w:name="OLE_LINK1"/>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xml:space="preserve">  评标</w:t>
      </w:r>
    </w:p>
    <w:p w14:paraId="2B435BA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.1评标</w:t>
      </w:r>
      <w:r>
        <w:rPr>
          <w:rFonts w:hint="eastAsia" w:ascii="宋体" w:hAnsi="宋体" w:eastAsia="宋体" w:cs="宋体"/>
          <w:color w:val="auto"/>
          <w:sz w:val="24"/>
          <w:szCs w:val="24"/>
          <w:highlight w:val="none"/>
          <w:lang w:eastAsia="zh-CN"/>
        </w:rPr>
        <w:t>小组</w:t>
      </w:r>
    </w:p>
    <w:p w14:paraId="3FB7760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eastAsia="zh-CN"/>
        </w:rPr>
        <w:t>小组由采购人代表和评审专家组成，成员人数应当为</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人以上单数，其中评审专家不得少于成员总数的三分之二。采购预算金额在1000万元以上、技术复杂、社会影响较大</w:t>
      </w:r>
      <w:r>
        <w:rPr>
          <w:rFonts w:hint="eastAsia" w:ascii="宋体" w:hAnsi="宋体" w:eastAsia="宋体" w:cs="宋体"/>
          <w:color w:val="auto"/>
          <w:sz w:val="24"/>
          <w:szCs w:val="24"/>
          <w:highlight w:val="none"/>
          <w:lang w:val="en-US" w:eastAsia="zh-CN"/>
        </w:rPr>
        <w:t>的采购项目</w:t>
      </w:r>
      <w:r>
        <w:rPr>
          <w:rFonts w:hint="eastAsia" w:ascii="宋体" w:hAnsi="宋体" w:eastAsia="宋体" w:cs="宋体"/>
          <w:color w:val="auto"/>
          <w:sz w:val="24"/>
          <w:szCs w:val="24"/>
          <w:highlight w:val="none"/>
          <w:lang w:eastAsia="zh-CN"/>
        </w:rPr>
        <w:t>，评标委员会成员人数应当为7人以上单数。</w:t>
      </w:r>
    </w:p>
    <w:p w14:paraId="3961B19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 评审专家对本单位的采购项目只能作为采购人代表参与评标，采购代理机构工作人员不得参加由本机构代理的政府采购项目的评标。</w:t>
      </w:r>
    </w:p>
    <w:p w14:paraId="3BD8DE2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rPr>
        <w:t>采购人就</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征询过意见的专家，不得再作为评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专家参加评标。采购代理机构工作人员不得参加由本机构代理的政府采购项目的评标。</w:t>
      </w:r>
    </w:p>
    <w:p w14:paraId="12950E9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xml:space="preserve"> 采购人委托代表参加</w:t>
      </w:r>
      <w:r>
        <w:rPr>
          <w:rFonts w:hint="eastAsia" w:ascii="宋体" w:hAnsi="宋体" w:eastAsia="宋体" w:cs="宋体"/>
          <w:b/>
          <w:bCs/>
          <w:color w:val="auto"/>
          <w:sz w:val="24"/>
          <w:szCs w:val="24"/>
          <w:highlight w:val="none"/>
          <w:lang w:val="en-US" w:eastAsia="zh-CN"/>
        </w:rPr>
        <w:t>评审的</w:t>
      </w:r>
      <w:r>
        <w:rPr>
          <w:rFonts w:hint="eastAsia" w:ascii="宋体" w:hAnsi="宋体" w:eastAsia="宋体" w:cs="宋体"/>
          <w:b/>
          <w:bCs/>
          <w:color w:val="auto"/>
          <w:sz w:val="24"/>
          <w:szCs w:val="24"/>
          <w:highlight w:val="none"/>
        </w:rPr>
        <w:t>，向采购代理机构出具授权</w:t>
      </w:r>
      <w:r>
        <w:rPr>
          <w:rFonts w:hint="eastAsia" w:ascii="宋体" w:hAnsi="宋体" w:eastAsia="宋体" w:cs="宋体"/>
          <w:b/>
          <w:bCs/>
          <w:color w:val="auto"/>
          <w:sz w:val="24"/>
          <w:szCs w:val="24"/>
          <w:highlight w:val="none"/>
          <w:lang w:val="en-US" w:eastAsia="zh-CN"/>
        </w:rPr>
        <w:t>函</w:t>
      </w:r>
      <w:r>
        <w:rPr>
          <w:rFonts w:hint="eastAsia" w:ascii="宋体" w:hAnsi="宋体" w:eastAsia="宋体" w:cs="宋体"/>
          <w:b/>
          <w:bCs/>
          <w:color w:val="auto"/>
          <w:sz w:val="24"/>
          <w:szCs w:val="24"/>
          <w:highlight w:val="none"/>
        </w:rPr>
        <w:t>，采购人代表不得担任评标</w:t>
      </w:r>
      <w:r>
        <w:rPr>
          <w:rFonts w:hint="eastAsia" w:ascii="宋体" w:hAnsi="宋体" w:eastAsia="宋体" w:cs="宋体"/>
          <w:b/>
          <w:bCs/>
          <w:color w:val="auto"/>
          <w:sz w:val="24"/>
          <w:szCs w:val="24"/>
          <w:highlight w:val="none"/>
          <w:lang w:eastAsia="zh-CN"/>
        </w:rPr>
        <w:t>小组</w:t>
      </w:r>
      <w:r>
        <w:rPr>
          <w:rFonts w:hint="eastAsia" w:ascii="宋体" w:hAnsi="宋体" w:eastAsia="宋体" w:cs="宋体"/>
          <w:b/>
          <w:bCs/>
          <w:color w:val="auto"/>
          <w:sz w:val="24"/>
          <w:szCs w:val="24"/>
          <w:highlight w:val="none"/>
          <w:lang w:val="en-US" w:eastAsia="zh-CN"/>
        </w:rPr>
        <w:t>组长</w:t>
      </w:r>
      <w:r>
        <w:rPr>
          <w:rFonts w:hint="eastAsia" w:ascii="宋体" w:hAnsi="宋体" w:eastAsia="宋体" w:cs="宋体"/>
          <w:b/>
          <w:bCs/>
          <w:color w:val="auto"/>
          <w:sz w:val="24"/>
          <w:szCs w:val="24"/>
          <w:highlight w:val="none"/>
        </w:rPr>
        <w:t>。</w:t>
      </w:r>
    </w:p>
    <w:p w14:paraId="2E8F9DE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采购人委派的评</w:t>
      </w:r>
      <w:r>
        <w:rPr>
          <w:rFonts w:hint="eastAsia" w:ascii="宋体" w:hAnsi="宋体" w:eastAsia="宋体" w:cs="宋体"/>
          <w:b/>
          <w:bCs/>
          <w:color w:val="auto"/>
          <w:sz w:val="24"/>
          <w:szCs w:val="24"/>
          <w:highlight w:val="none"/>
          <w:lang w:val="en-US" w:eastAsia="zh-CN"/>
        </w:rPr>
        <w:t>审</w:t>
      </w:r>
      <w:r>
        <w:rPr>
          <w:rFonts w:hint="eastAsia" w:ascii="宋体" w:hAnsi="宋体" w:eastAsia="宋体" w:cs="宋体"/>
          <w:b/>
          <w:bCs/>
          <w:color w:val="auto"/>
          <w:sz w:val="24"/>
          <w:szCs w:val="24"/>
          <w:highlight w:val="none"/>
        </w:rPr>
        <w:t>人员进入评标现场不得超过2人，其他无关人员不得进入评标现场。</w:t>
      </w:r>
    </w:p>
    <w:p w14:paraId="5CCABEB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22.1.5 评审专家</w:t>
      </w: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代理在评审专家库中，通过随机方式抽取</w:t>
      </w:r>
      <w:r>
        <w:rPr>
          <w:rFonts w:hint="eastAsia" w:ascii="宋体" w:hAnsi="宋体" w:eastAsia="宋体" w:cs="宋体"/>
          <w:color w:val="auto"/>
          <w:sz w:val="24"/>
          <w:szCs w:val="24"/>
          <w:highlight w:val="none"/>
          <w:lang w:eastAsia="zh-CN"/>
        </w:rPr>
        <w:t>，评标小组成员名单在评标结果公告前应当保密。</w:t>
      </w:r>
      <w:r>
        <w:rPr>
          <w:rFonts w:hint="eastAsia" w:ascii="宋体" w:hAnsi="宋体" w:eastAsia="宋体" w:cs="宋体"/>
          <w:color w:val="auto"/>
          <w:sz w:val="24"/>
          <w:szCs w:val="24"/>
          <w:highlight w:val="none"/>
        </w:rPr>
        <w:t xml:space="preserve"> </w:t>
      </w:r>
    </w:p>
    <w:p w14:paraId="31C0E9B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评标</w:t>
      </w:r>
      <w:r>
        <w:rPr>
          <w:rFonts w:hint="eastAsia" w:ascii="宋体" w:hAnsi="宋体" w:eastAsia="宋体" w:cs="宋体"/>
          <w:color w:val="auto"/>
          <w:sz w:val="24"/>
          <w:szCs w:val="24"/>
          <w:highlight w:val="none"/>
          <w:lang w:val="en-US" w:eastAsia="zh-CN"/>
        </w:rPr>
        <w:t>小组</w:t>
      </w:r>
      <w:r>
        <w:rPr>
          <w:rFonts w:hint="eastAsia" w:ascii="宋体" w:hAnsi="宋体" w:eastAsia="宋体" w:cs="宋体"/>
          <w:color w:val="auto"/>
          <w:sz w:val="24"/>
          <w:szCs w:val="24"/>
          <w:highlight w:val="none"/>
        </w:rPr>
        <w:t>成员应认真执行相关法规规定，同时维护采购人与供应商的合法权益。</w:t>
      </w:r>
    </w:p>
    <w:p w14:paraId="313326E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评标的依据为</w:t>
      </w:r>
      <w:r>
        <w:rPr>
          <w:rFonts w:hint="eastAsia" w:ascii="宋体" w:hAnsi="宋体" w:eastAsia="宋体" w:cs="宋体"/>
          <w:color w:val="auto"/>
          <w:sz w:val="24"/>
          <w:szCs w:val="24"/>
          <w:highlight w:val="none"/>
          <w:lang w:val="en-US" w:eastAsia="zh-CN"/>
        </w:rPr>
        <w:t>公开招标</w:t>
      </w:r>
      <w:r>
        <w:rPr>
          <w:rFonts w:hint="eastAsia" w:ascii="宋体" w:hAnsi="宋体" w:eastAsia="宋体" w:cs="宋体"/>
          <w:color w:val="auto"/>
          <w:sz w:val="24"/>
          <w:szCs w:val="24"/>
          <w:highlight w:val="none"/>
        </w:rPr>
        <w:t>文件和</w:t>
      </w:r>
      <w:r>
        <w:rPr>
          <w:rFonts w:hint="eastAsia" w:ascii="宋体" w:hAnsi="宋体" w:eastAsia="宋体" w:cs="宋体"/>
          <w:color w:val="auto"/>
          <w:sz w:val="24"/>
          <w:szCs w:val="24"/>
          <w:highlight w:val="none"/>
          <w:lang w:eastAsia="zh-CN"/>
        </w:rPr>
        <w:t>投标文件。</w:t>
      </w:r>
    </w:p>
    <w:p w14:paraId="133F008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.1.6 评标中评标</w:t>
      </w:r>
      <w:r>
        <w:rPr>
          <w:rFonts w:hint="eastAsia" w:ascii="宋体" w:hAnsi="宋体" w:eastAsia="宋体" w:cs="宋体"/>
          <w:color w:val="auto"/>
          <w:sz w:val="24"/>
          <w:szCs w:val="24"/>
          <w:highlight w:val="none"/>
          <w:lang w:eastAsia="zh-CN"/>
        </w:rPr>
        <w:t>小组</w:t>
      </w:r>
      <w:r>
        <w:rPr>
          <w:rFonts w:hint="eastAsia" w:ascii="宋体" w:hAnsi="宋体" w:eastAsia="宋体" w:cs="宋体"/>
          <w:color w:val="auto"/>
          <w:sz w:val="24"/>
          <w:szCs w:val="24"/>
          <w:highlight w:val="none"/>
        </w:rPr>
        <w:t>成员若发生意见分歧，通过书面表决形式，以少数服从多数为原则决定。</w:t>
      </w:r>
    </w:p>
    <w:p w14:paraId="2D53A17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 评标纪律</w:t>
      </w:r>
    </w:p>
    <w:p w14:paraId="712AA70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22.2.1 </w:t>
      </w:r>
      <w:r>
        <w:rPr>
          <w:rFonts w:hint="eastAsia" w:ascii="宋体" w:hAnsi="宋体" w:eastAsia="宋体" w:cs="宋体"/>
          <w:color w:val="auto"/>
          <w:sz w:val="24"/>
          <w:szCs w:val="24"/>
          <w:highlight w:val="none"/>
        </w:rPr>
        <w:t>要严格遵守评审时间，主动出具身份证明，遵守评审工作纪律和评审回避的相关规定。</w:t>
      </w:r>
    </w:p>
    <w:p w14:paraId="50E6D84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22.2.2 </w:t>
      </w:r>
      <w:r>
        <w:rPr>
          <w:rFonts w:hint="eastAsia" w:ascii="宋体" w:hAnsi="宋体" w:eastAsia="宋体" w:cs="宋体"/>
          <w:color w:val="auto"/>
          <w:sz w:val="24"/>
          <w:szCs w:val="24"/>
          <w:highlight w:val="none"/>
        </w:rPr>
        <w:t>在评审工作开始前，将手机等通讯工具或相关电子设备交由采购人或采购代理机构统一保管，拒不上交的，采购人或采购代理机构可以拒绝其参加评审工作并向</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auto"/>
          <w:sz w:val="24"/>
          <w:szCs w:val="24"/>
          <w:highlight w:val="none"/>
        </w:rPr>
        <w:t>部门报告。</w:t>
      </w:r>
    </w:p>
    <w:p w14:paraId="7A7E332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22.2.3 </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成员和评审工作有关人员不得干预或者影响正常评审工作，不得明示或者暗示其倾向性、引导性意见，不得修改或细化采购文件确定的评审程序、评审方法、评审因素和评审标准，不得接受供应商主动提出的澄清和解释，不得征询采购人代表的倾向性意见，不得协商评分，不得记录、复制或带走任何评审资料。</w:t>
      </w:r>
    </w:p>
    <w:p w14:paraId="5A4568A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22.2.4 </w:t>
      </w:r>
      <w:r>
        <w:rPr>
          <w:rFonts w:hint="eastAsia" w:ascii="宋体" w:hAnsi="宋体" w:eastAsia="宋体" w:cs="宋体"/>
          <w:color w:val="auto"/>
          <w:sz w:val="24"/>
          <w:szCs w:val="24"/>
          <w:highlight w:val="none"/>
        </w:rPr>
        <w:t>评审结果汇总完成后，采购人、采购代理机构和</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均不得修改评审结果或者要求重新评审，但资格性检查认定错误、分值汇总计算错误、分项评分超出评分标准范围、客观分评分不一致、经</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一致认定评分畸高、畸低的情形除外。出现上述除外情形的，</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应当现场修改评审结果，并在评审报告中明确记载。</w:t>
      </w:r>
    </w:p>
    <w:p w14:paraId="45265D6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val="en-US" w:eastAsia="zh-CN"/>
        </w:rPr>
        <w:t>评标小组负责具体评标事务，并独立履行下列职责：</w:t>
      </w:r>
    </w:p>
    <w:p w14:paraId="6B54FEB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22.3.1 审查、评价投标文件是否符合公开招标文件的商务、技术等实质性要求；</w:t>
      </w:r>
    </w:p>
    <w:p w14:paraId="0D16771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22.3.2 要求供应商对投标文件有关事项作出澄清或者说明；</w:t>
      </w:r>
    </w:p>
    <w:p w14:paraId="55AD73A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22.3.3 对投标文件进行比较和评价；</w:t>
      </w:r>
    </w:p>
    <w:p w14:paraId="497E617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22.3.4 确定中标候选人名单，以及根据采购人委托直接确定中标人；</w:t>
      </w:r>
    </w:p>
    <w:p w14:paraId="182BD1DF">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22.3.5 向采购人、采购代理机构或者有关部门报告评标中发现的违法行为。</w:t>
      </w:r>
    </w:p>
    <w:p w14:paraId="268AD46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 评标小组成员应当履行下列义务： </w:t>
      </w:r>
    </w:p>
    <w:p w14:paraId="7E9BB6F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22.4.1 遵纪守法，客观、公正、廉洁地履行职责；</w:t>
      </w:r>
    </w:p>
    <w:p w14:paraId="31C9734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22.4.2 按照公开招标文件规定的评标方法和评标标准进行评标，对评审意见承担个人责任；</w:t>
      </w:r>
    </w:p>
    <w:p w14:paraId="39B4FCB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22.4.3 对评标过程和结果，以及供应商的商业秘密保密；</w:t>
      </w:r>
    </w:p>
    <w:p w14:paraId="26FACC0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22.4.4 参与评标报告的起草；</w:t>
      </w:r>
    </w:p>
    <w:p w14:paraId="53BC527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22.4.5 配合财政部门的投诉处理工作；</w:t>
      </w:r>
    </w:p>
    <w:p w14:paraId="5D71DA9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22.4.6 配合采购人答复投标供应商提出的质疑。</w:t>
      </w:r>
    </w:p>
    <w:p w14:paraId="5DE834D5">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评标原则</w:t>
      </w:r>
    </w:p>
    <w:p w14:paraId="6365955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 评审专家应当严格遵守评审工作纪律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按照客观、公正、审慎的原则，根据</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文件规定的评审程序、评审方法和评审标准进行独立评审。未实质性响应</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按无效响应处理，评审专家应当告知提交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的供应商。</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文件内容违反国家有关强制性规定的，</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小组应当停止评审并向采购人或者采购代理机构说明情况。</w:t>
      </w:r>
    </w:p>
    <w:p w14:paraId="3410DED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 评审专家应当在评审报告上签字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对自己的评审意见承担法律责任。对需要共同认定的事项存在争议的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按照少数服从多数的原则</w:t>
      </w:r>
      <w:r>
        <w:rPr>
          <w:rFonts w:hint="eastAsia" w:ascii="宋体" w:hAnsi="宋体" w:eastAsia="宋体" w:cs="宋体"/>
          <w:color w:val="auto"/>
          <w:sz w:val="24"/>
          <w:szCs w:val="24"/>
          <w:highlight w:val="none"/>
          <w:lang w:eastAsia="zh-CN"/>
        </w:rPr>
        <w:t>作出</w:t>
      </w:r>
      <w:r>
        <w:rPr>
          <w:rFonts w:hint="eastAsia" w:ascii="宋体" w:hAnsi="宋体" w:eastAsia="宋体" w:cs="宋体"/>
          <w:color w:val="auto"/>
          <w:sz w:val="24"/>
          <w:szCs w:val="24"/>
          <w:highlight w:val="none"/>
        </w:rPr>
        <w:t>结论。对评审报告有异议的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应当在评审报告上签署不同意见并说明理由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否则视为同意评审报告。</w:t>
      </w:r>
    </w:p>
    <w:p w14:paraId="14C4A099">
      <w:pPr>
        <w:pStyle w:val="38"/>
        <w:keepNext w:val="0"/>
        <w:keepLines w:val="0"/>
        <w:pageBreakBefore w:val="0"/>
        <w:widowControl w:val="0"/>
        <w:tabs>
          <w:tab w:val="left" w:pos="5527"/>
        </w:tabs>
        <w:kinsoku/>
        <w:wordWrap/>
        <w:overflowPunct/>
        <w:topLinePunct w:val="0"/>
        <w:bidi w:val="0"/>
        <w:spacing w:line="348" w:lineRule="auto"/>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 xml:space="preserve"> 详细评审 </w:t>
      </w:r>
    </w:p>
    <w:p w14:paraId="29385523">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.1 报价</w:t>
      </w:r>
    </w:p>
    <w:p w14:paraId="40FBD5FA">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供应商的首次报价于提交首次</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截止时间开启，本环节由采购代理机构主持，采购人、供应商和有关方面代表参加。唱价过程由采购代理机构指定专人负责记录，并存档。</w:t>
      </w:r>
    </w:p>
    <w:p w14:paraId="01F40F29">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 xml:space="preserve"> 评审方法：综合评分法。</w:t>
      </w:r>
    </w:p>
    <w:p w14:paraId="784215A3">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color w:val="auto"/>
          <w:sz w:val="24"/>
          <w:szCs w:val="24"/>
          <w:highlight w:val="none"/>
          <w:lang w:eastAsia="zh-TW"/>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 xml:space="preserve"> 评审程序</w:t>
      </w:r>
    </w:p>
    <w:p w14:paraId="1B278BD6">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 xml:space="preserve">.1 </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小组确认</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w:t>
      </w:r>
    </w:p>
    <w:p w14:paraId="3263BFB7">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 xml:space="preserve">24.3.2 </w:t>
      </w:r>
      <w:r>
        <w:rPr>
          <w:rFonts w:hint="eastAsia" w:ascii="宋体" w:hAnsi="宋体" w:eastAsia="宋体" w:cs="宋体"/>
          <w:bCs/>
          <w:color w:val="auto"/>
          <w:sz w:val="24"/>
          <w:szCs w:val="24"/>
          <w:highlight w:val="none"/>
        </w:rPr>
        <w:t>资格性审查</w:t>
      </w:r>
    </w:p>
    <w:p w14:paraId="4F120183">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小组对每个供应商的</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进行资格性审查。资格性审查是审查</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是否对</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文件的资格及实质性条款作出响应。对资格性审查不通过的供应商，其</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作无效处理。</w:t>
      </w:r>
    </w:p>
    <w:p w14:paraId="1EFEDA35">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24.3.3</w:t>
      </w:r>
      <w:r>
        <w:rPr>
          <w:rFonts w:hint="eastAsia" w:ascii="宋体" w:hAnsi="宋体" w:eastAsia="宋体" w:cs="宋体"/>
          <w:bCs/>
          <w:color w:val="auto"/>
          <w:sz w:val="24"/>
          <w:szCs w:val="24"/>
          <w:highlight w:val="none"/>
        </w:rPr>
        <w:t>符合性审查</w:t>
      </w:r>
    </w:p>
    <w:p w14:paraId="3738057C">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小组对每个供应商的</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进行符合性审查。符合性审查是审查</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是否对</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文件的符合及实质性条款作出响应。对符合性审查不通过的供应商，其</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作无效处理。</w:t>
      </w:r>
    </w:p>
    <w:p w14:paraId="2DCC4C4B">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rPr>
        <w:t>2</w:t>
      </w:r>
      <w:r>
        <w:rPr>
          <w:rFonts w:hint="eastAsia" w:ascii="宋体" w:hAnsi="宋体" w:eastAsia="宋体" w:cs="宋体"/>
          <w:b/>
          <w:bCs w:val="0"/>
          <w:color w:val="auto"/>
          <w:sz w:val="24"/>
          <w:szCs w:val="24"/>
          <w:highlight w:val="none"/>
          <w:lang w:val="en-US" w:eastAsia="zh-CN"/>
        </w:rPr>
        <w:t>4</w:t>
      </w: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4</w:t>
      </w:r>
      <w:r>
        <w:rPr>
          <w:rFonts w:hint="eastAsia" w:ascii="宋体" w:hAnsi="宋体" w:eastAsia="宋体" w:cs="宋体"/>
          <w:b/>
          <w:bCs w:val="0"/>
          <w:color w:val="auto"/>
          <w:sz w:val="24"/>
          <w:szCs w:val="24"/>
          <w:highlight w:val="none"/>
        </w:rPr>
        <w:t xml:space="preserve"> </w:t>
      </w:r>
      <w:r>
        <w:rPr>
          <w:rFonts w:hint="eastAsia" w:ascii="宋体" w:hAnsi="宋体" w:eastAsia="宋体" w:cs="宋体"/>
          <w:b/>
          <w:bCs w:val="0"/>
          <w:color w:val="auto"/>
          <w:sz w:val="24"/>
          <w:szCs w:val="24"/>
          <w:highlight w:val="none"/>
          <w:lang w:eastAsia="zh-CN"/>
        </w:rPr>
        <w:t>评标</w:t>
      </w:r>
    </w:p>
    <w:p w14:paraId="01EFF3FC">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24.4.1 </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w:t>
      </w:r>
      <w:r>
        <w:rPr>
          <w:rFonts w:hint="eastAsia" w:ascii="宋体" w:hAnsi="宋体" w:eastAsia="宋体" w:cs="宋体"/>
          <w:color w:val="auto"/>
          <w:sz w:val="24"/>
          <w:szCs w:val="24"/>
          <w:highlight w:val="none"/>
          <w:lang w:eastAsia="zh-CN"/>
        </w:rPr>
        <w:t>对</w:t>
      </w:r>
      <w:r>
        <w:rPr>
          <w:rFonts w:hint="eastAsia" w:ascii="宋体" w:hAnsi="宋体" w:eastAsia="宋体" w:cs="宋体"/>
          <w:color w:val="auto"/>
          <w:sz w:val="24"/>
          <w:szCs w:val="24"/>
          <w:highlight w:val="none"/>
        </w:rPr>
        <w:t>每个供应商分别进行</w:t>
      </w:r>
      <w:r>
        <w:rPr>
          <w:rFonts w:hint="eastAsia" w:ascii="宋体" w:hAnsi="宋体" w:eastAsia="宋体" w:cs="宋体"/>
          <w:color w:val="auto"/>
          <w:sz w:val="24"/>
          <w:szCs w:val="24"/>
          <w:highlight w:val="none"/>
          <w:lang w:eastAsia="zh-CN"/>
        </w:rPr>
        <w:t>评标。</w:t>
      </w:r>
    </w:p>
    <w:p w14:paraId="0A297758">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文件未发生实质性变动的：</w:t>
      </w:r>
    </w:p>
    <w:p w14:paraId="5227731E">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 xml:space="preserve">3 </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文件发生实质性变动的：</w:t>
      </w:r>
    </w:p>
    <w:p w14:paraId="289F6B99">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评标</w:t>
      </w:r>
    </w:p>
    <w:p w14:paraId="1E8DF64F">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小组集中与接受</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文件变更的每个供应商分别进行询标。</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的内容主要是对</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的澄清、修正、补充、确认等。不接受</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文件变更的供应商，视为自动退出</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，其</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作无效处理。</w:t>
      </w:r>
    </w:p>
    <w:p w14:paraId="10CCE658">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 xml:space="preserve"> 综合评分法评审步骤</w:t>
      </w:r>
    </w:p>
    <w:p w14:paraId="14A707F0">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经</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确定最终采购需求和提交</w:t>
      </w:r>
      <w:r>
        <w:rPr>
          <w:rFonts w:hint="eastAsia" w:ascii="宋体" w:hAnsi="宋体" w:eastAsia="宋体" w:cs="宋体"/>
          <w:color w:val="auto"/>
          <w:sz w:val="24"/>
          <w:szCs w:val="24"/>
          <w:highlight w:val="none"/>
        </w:rPr>
        <w:t>报价的供应商后，由</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小组采用综合评分法对供应商的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和报价进行综合评分。</w:t>
      </w:r>
      <w:r>
        <w:rPr>
          <w:rFonts w:hint="eastAsia" w:ascii="宋体" w:hAnsi="宋体" w:eastAsia="宋体" w:cs="宋体"/>
          <w:b/>
          <w:color w:val="auto"/>
          <w:sz w:val="24"/>
          <w:szCs w:val="24"/>
          <w:highlight w:val="none"/>
        </w:rPr>
        <w:t>先进行资格、符合性审查，再进行技术、商务及价格的详细评审。</w:t>
      </w:r>
      <w:r>
        <w:rPr>
          <w:rFonts w:hint="eastAsia" w:ascii="宋体" w:hAnsi="宋体" w:eastAsia="宋体" w:cs="宋体"/>
          <w:color w:val="auto"/>
          <w:sz w:val="24"/>
          <w:szCs w:val="24"/>
          <w:highlight w:val="none"/>
        </w:rPr>
        <w:t>只有通过资格、符合性审查的供应商才能进入下一步的详细评审。</w:t>
      </w:r>
    </w:p>
    <w:p w14:paraId="18AA10DA">
      <w:pPr>
        <w:keepNext w:val="0"/>
        <w:keepLines w:val="0"/>
        <w:pageBreakBefore w:val="0"/>
        <w:widowControl w:val="0"/>
        <w:numPr>
          <w:ilvl w:val="0"/>
          <w:numId w:val="8"/>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性</w:t>
      </w:r>
      <w:r>
        <w:rPr>
          <w:rFonts w:hint="eastAsia" w:ascii="宋体" w:hAnsi="宋体" w:eastAsia="宋体" w:cs="宋体"/>
          <w:color w:val="auto"/>
          <w:sz w:val="24"/>
          <w:szCs w:val="24"/>
          <w:highlight w:val="none"/>
        </w:rPr>
        <w:t>审查表（详见附表一）</w:t>
      </w:r>
    </w:p>
    <w:p w14:paraId="77185E84">
      <w:pPr>
        <w:keepNext w:val="0"/>
        <w:keepLines w:val="0"/>
        <w:pageBreakBefore w:val="0"/>
        <w:widowControl w:val="0"/>
        <w:numPr>
          <w:ilvl w:val="0"/>
          <w:numId w:val="8"/>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符合性审查表（详见附表</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w:t>
      </w:r>
    </w:p>
    <w:p w14:paraId="5230E72A">
      <w:pPr>
        <w:keepNext w:val="0"/>
        <w:keepLines w:val="0"/>
        <w:pageBreakBefore w:val="0"/>
        <w:widowControl w:val="0"/>
        <w:numPr>
          <w:ilvl w:val="0"/>
          <w:numId w:val="8"/>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商务、技术评审表（详见附表</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w:t>
      </w:r>
    </w:p>
    <w:p w14:paraId="07451F3D">
      <w:pPr>
        <w:keepNext w:val="0"/>
        <w:keepLines w:val="0"/>
        <w:pageBreakBefore w:val="0"/>
        <w:widowControl w:val="0"/>
        <w:numPr>
          <w:ilvl w:val="0"/>
          <w:numId w:val="8"/>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价格评审</w:t>
      </w:r>
    </w:p>
    <w:p w14:paraId="69A2CA35">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小组按</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文件中规定的评审方法和标准，对资格、符合性审查合格的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进行商务和技术评估，综合比较与评价。技术、商务、价格部分分值分配如下：</w:t>
      </w:r>
    </w:p>
    <w:tbl>
      <w:tblPr>
        <w:tblStyle w:val="27"/>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2814"/>
        <w:gridCol w:w="2069"/>
        <w:gridCol w:w="1790"/>
      </w:tblGrid>
      <w:tr w14:paraId="271A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925" w:type="dxa"/>
            <w:vAlign w:val="center"/>
          </w:tcPr>
          <w:p w14:paraId="1AE96893">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评分项目</w:t>
            </w:r>
          </w:p>
        </w:tc>
        <w:tc>
          <w:tcPr>
            <w:tcW w:w="2814" w:type="dxa"/>
            <w:vAlign w:val="center"/>
          </w:tcPr>
          <w:p w14:paraId="7DAF85DB">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商务、技术评分</w:t>
            </w:r>
          </w:p>
        </w:tc>
        <w:tc>
          <w:tcPr>
            <w:tcW w:w="2069" w:type="dxa"/>
            <w:vAlign w:val="center"/>
          </w:tcPr>
          <w:p w14:paraId="0394355E">
            <w:pPr>
              <w:keepNext w:val="0"/>
              <w:keepLines w:val="0"/>
              <w:suppressLineNumbers w:val="0"/>
              <w:tabs>
                <w:tab w:val="left" w:pos="5527"/>
              </w:tabs>
              <w:autoSpaceDE w:val="0"/>
              <w:autoSpaceDN w:val="0"/>
              <w:adjustRightInd w:val="0"/>
              <w:spacing w:before="0" w:beforeAutospacing="0" w:after="0" w:afterAutospacing="0" w:line="240" w:lineRule="auto"/>
              <w:ind w:left="15" w:leftChars="-51" w:right="0" w:hanging="123" w:hangingChars="51"/>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价格评分</w:t>
            </w:r>
          </w:p>
        </w:tc>
        <w:tc>
          <w:tcPr>
            <w:tcW w:w="1790" w:type="dxa"/>
            <w:vAlign w:val="center"/>
          </w:tcPr>
          <w:p w14:paraId="74F69D39">
            <w:pPr>
              <w:keepNext w:val="0"/>
              <w:keepLines w:val="0"/>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  计</w:t>
            </w:r>
          </w:p>
        </w:tc>
      </w:tr>
      <w:tr w14:paraId="305A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925" w:type="dxa"/>
            <w:vAlign w:val="center"/>
          </w:tcPr>
          <w:p w14:paraId="17860B15">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分值</w:t>
            </w:r>
          </w:p>
        </w:tc>
        <w:tc>
          <w:tcPr>
            <w:tcW w:w="2814" w:type="dxa"/>
            <w:vAlign w:val="center"/>
          </w:tcPr>
          <w:p w14:paraId="577AD8FC">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lang w:val="en-US" w:eastAsia="zh-CN"/>
              </w:rPr>
              <w:t>7</w:t>
            </w:r>
            <w:r>
              <w:rPr>
                <w:rFonts w:hint="eastAsia" w:ascii="宋体" w:hAnsi="宋体" w:eastAsia="宋体" w:cs="宋体"/>
                <w:b/>
                <w:color w:val="auto"/>
                <w:kern w:val="0"/>
                <w:sz w:val="24"/>
                <w:szCs w:val="24"/>
                <w:highlight w:val="none"/>
              </w:rPr>
              <w:t>0分</w:t>
            </w:r>
          </w:p>
        </w:tc>
        <w:tc>
          <w:tcPr>
            <w:tcW w:w="2069" w:type="dxa"/>
            <w:vAlign w:val="center"/>
          </w:tcPr>
          <w:p w14:paraId="166938F4">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lang w:val="en-US" w:eastAsia="zh-CN"/>
              </w:rPr>
              <w:t>3</w:t>
            </w:r>
            <w:r>
              <w:rPr>
                <w:rFonts w:hint="eastAsia" w:ascii="宋体" w:hAnsi="宋体" w:eastAsia="宋体" w:cs="宋体"/>
                <w:b/>
                <w:color w:val="auto"/>
                <w:kern w:val="0"/>
                <w:sz w:val="24"/>
                <w:szCs w:val="24"/>
                <w:highlight w:val="none"/>
              </w:rPr>
              <w:t>0分</w:t>
            </w:r>
          </w:p>
        </w:tc>
        <w:tc>
          <w:tcPr>
            <w:tcW w:w="1790" w:type="dxa"/>
            <w:vAlign w:val="center"/>
          </w:tcPr>
          <w:p w14:paraId="3E990346">
            <w:pPr>
              <w:keepNext w:val="0"/>
              <w:keepLines w:val="0"/>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100分</w:t>
            </w:r>
          </w:p>
        </w:tc>
      </w:tr>
    </w:tbl>
    <w:p w14:paraId="695825F0">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48"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具体打分标准如下：</w:t>
      </w:r>
    </w:p>
    <w:p w14:paraId="715239BB">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bCs/>
          <w:color w:val="auto"/>
          <w:sz w:val="24"/>
          <w:szCs w:val="24"/>
          <w:highlight w:val="none"/>
        </w:rPr>
        <w:t>商务、技术评分</w:t>
      </w:r>
    </w:p>
    <w:p w14:paraId="2D2CF4A6">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小组分别对各供应商的商务、技术</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中的各项内容进行评议比较，详细对比其商务、</w:t>
      </w:r>
      <w:r>
        <w:rPr>
          <w:rFonts w:hint="eastAsia" w:ascii="宋体" w:hAnsi="宋体" w:eastAsia="宋体" w:cs="宋体"/>
          <w:color w:val="auto"/>
          <w:sz w:val="24"/>
          <w:szCs w:val="24"/>
          <w:highlight w:val="none"/>
          <w:lang w:eastAsia="zh-CN"/>
        </w:rPr>
        <w:t>供货方案</w:t>
      </w:r>
      <w:r>
        <w:rPr>
          <w:rFonts w:hint="eastAsia" w:ascii="宋体" w:hAnsi="宋体" w:eastAsia="宋体" w:cs="宋体"/>
          <w:color w:val="auto"/>
          <w:sz w:val="24"/>
          <w:szCs w:val="24"/>
          <w:highlight w:val="none"/>
        </w:rPr>
        <w:t>等各种因素方面是否满足</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文件的要求。在商务、技术评审表的相应项各自记名打分。</w:t>
      </w:r>
    </w:p>
    <w:p w14:paraId="443259AC">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（2）商务、技术得分统计</w:t>
      </w:r>
    </w:p>
    <w:p w14:paraId="0499B94E">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将所有</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小组的商务、技术评分的算术平均值即为每个有效供应商的技术得分（四舍五入后，精确到0.01）。</w:t>
      </w:r>
    </w:p>
    <w:p w14:paraId="347B5A3A">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（3）价格核准和评分</w:t>
      </w:r>
    </w:p>
    <w:p w14:paraId="13A5DB52">
      <w:pPr>
        <w:pStyle w:val="43"/>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562"/>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A</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价格的核准</w:t>
      </w:r>
    </w:p>
    <w:p w14:paraId="4DE63A21">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73" w:firstLineChars="19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供应商不得以低于成本的报价竞争。如果</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小组发现供应商的报价明显低于其他供应商的，使得其报价可能低于其个别成本的，将要求该供应商</w:t>
      </w:r>
      <w:r>
        <w:rPr>
          <w:rFonts w:hint="eastAsia" w:ascii="宋体" w:hAnsi="宋体" w:eastAsia="宋体" w:cs="宋体"/>
          <w:color w:val="auto"/>
          <w:sz w:val="24"/>
          <w:szCs w:val="24"/>
          <w:highlight w:val="none"/>
          <w:lang w:eastAsia="zh-CN"/>
        </w:rPr>
        <w:t>做</w:t>
      </w:r>
      <w:r>
        <w:rPr>
          <w:rFonts w:hint="eastAsia" w:ascii="宋体" w:hAnsi="宋体" w:eastAsia="宋体" w:cs="宋体"/>
          <w:color w:val="auto"/>
          <w:sz w:val="24"/>
          <w:szCs w:val="24"/>
          <w:highlight w:val="none"/>
        </w:rPr>
        <w:t>书面说明并提供相关证明材料。供应商不能合理说明或不能提供相关证明材料的，</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小组将认定该供应商以低于成本报价竞争，其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作无效处理。</w:t>
      </w:r>
    </w:p>
    <w:p w14:paraId="4A1FECE8">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73" w:firstLineChars="19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小组先对入围供应商的最后报价进行复核，审查其是否有计算上的错误，修正错误的原则如下</w:t>
      </w:r>
    </w:p>
    <w:p w14:paraId="5D96927E">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的大写金额和小写金额不一致的，以大写金额为准；总价金额与按单价汇总金额不一致的，以单价金额计算结果为准；单价金额小数点有明显错位的，应以总价为准，并修改单价；对不同文字文本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的解释发生异议的，以中文文本为准。</w:t>
      </w:r>
    </w:p>
    <w:p w14:paraId="0695D6DC">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按上述修正错误的方法调整后的最后报价，对供应商具有约束力。如果供应商不接受修正后的价格，则其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作无效处理。</w:t>
      </w:r>
    </w:p>
    <w:p w14:paraId="7800FE3A">
      <w:pPr>
        <w:pStyle w:val="43"/>
        <w:keepNext w:val="0"/>
        <w:keepLines w:val="0"/>
        <w:pageBreakBefore w:val="0"/>
        <w:widowControl w:val="0"/>
        <w:tabs>
          <w:tab w:val="left" w:pos="426"/>
          <w:tab w:val="left" w:pos="5527"/>
        </w:tabs>
        <w:kinsoku/>
        <w:wordWrap/>
        <w:overflowPunct/>
        <w:topLinePunct w:val="0"/>
        <w:autoSpaceDE/>
        <w:autoSpaceDN/>
        <w:bidi w:val="0"/>
        <w:adjustRightInd/>
        <w:snapToGrid w:val="0"/>
        <w:spacing w:line="348" w:lineRule="auto"/>
        <w:ind w:left="-2" w:leftChars="-1" w:firstLine="427" w:firstLineChars="177"/>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B</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政策价格扣除</w:t>
      </w:r>
    </w:p>
    <w:p w14:paraId="68E1C8CA">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中</w:t>
      </w:r>
      <w:r>
        <w:rPr>
          <w:rFonts w:hint="eastAsia" w:ascii="宋体" w:hAnsi="宋体" w:eastAsia="宋体" w:cs="宋体"/>
          <w:bCs/>
          <w:color w:val="auto"/>
          <w:sz w:val="24"/>
          <w:szCs w:val="24"/>
          <w:highlight w:val="none"/>
        </w:rPr>
        <w:t>小型和微型企业产品价格扣除</w:t>
      </w:r>
    </w:p>
    <w:p w14:paraId="0D70279E">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a）根据财务部、工业和信息化部印发的《政府采购促进中小企业发展暂行办法》（财库[2011]181号）的规定，对小型和微型企业产品的价格给予</w:t>
      </w:r>
      <w:r>
        <w:rPr>
          <w:rFonts w:hint="eastAsia" w:ascii="宋体" w:hAnsi="宋体" w:eastAsia="宋体" w:cs="宋体"/>
          <w:bCs/>
          <w:color w:val="auto"/>
          <w:sz w:val="24"/>
          <w:szCs w:val="24"/>
          <w:highlight w:val="none"/>
          <w:lang w:eastAsia="zh-CN"/>
        </w:rPr>
        <w:t>10%</w:t>
      </w:r>
      <w:r>
        <w:rPr>
          <w:rFonts w:hint="eastAsia" w:ascii="宋体" w:hAnsi="宋体" w:eastAsia="宋体" w:cs="宋体"/>
          <w:bCs/>
          <w:color w:val="auto"/>
          <w:sz w:val="24"/>
          <w:szCs w:val="24"/>
          <w:highlight w:val="none"/>
        </w:rPr>
        <w:t>的扣除，联合体一方为小型、微型企业且小型、微型企业协议合同金额占联合体协议合同总金额30%以上的对联合体总金额扣除2%，用扣除后的价格参与评审；报价产品中仅有部分小型和微型企业产品的，则按所投小型和微型企业产品的价格予以扣除。</w:t>
      </w:r>
    </w:p>
    <w:p w14:paraId="33921884">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b)《政府采购促进中小企业发展暂行办法》所称中小企业（含中型、小型、微型企业，下同）应当同时符合以下条件：</w:t>
      </w:r>
    </w:p>
    <w:p w14:paraId="19F70721">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①符合中小企业划分标准；</w:t>
      </w:r>
    </w:p>
    <w:p w14:paraId="4CD9E18F">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②提供本企业制造的货物、承担的工程或者服务，或者提供其他中小企业制造的货物。本项所称货物不包括使用大型企业注册商标的货物。</w:t>
      </w:r>
    </w:p>
    <w:p w14:paraId="36155C39">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中小企业划分标准以《工业和信息化部、国家统计局、国家发展和改革委员会、财政部关于印发中小企业划型标准的通知》（工信部联企业[2011]300号）规定的划分标准为准。小型、微型企业提供中型企业制造的货物的，视同为中型企业。</w:t>
      </w:r>
    </w:p>
    <w:p w14:paraId="2060067C">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③参加政府采购活动的中小企业应当提供《中小企业声明函》</w:t>
      </w:r>
    </w:p>
    <w:p w14:paraId="3B318CE1">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2）监狱企业产品价格扣除</w:t>
      </w:r>
    </w:p>
    <w:p w14:paraId="289D5CFB">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a）监狱企业视同小型、微型企业，按上述1.的a</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条款享受评审中价格扣除。</w:t>
      </w:r>
    </w:p>
    <w:p w14:paraId="7AC6731E">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A9AD20F">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c）监狱企业参加政府采购活动时，应当提供由省级以上监狱管理局、戒毒管理局（含新疆生产建设兵团）出具的属于监狱企业的证明文件，否则不予认可。</w:t>
      </w:r>
    </w:p>
    <w:p w14:paraId="0F87998F">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3）残疾人福利性单位产品价格扣除</w:t>
      </w:r>
    </w:p>
    <w:p w14:paraId="09E7C52B">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a）残疾人福利性单位视同小型、微型企业，按上述1.a</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条款享受评审中价格扣除。</w:t>
      </w:r>
    </w:p>
    <w:p w14:paraId="0F3C2960">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根据财政部、民政部、中国残疾人联合会印发的《关于促进残疾人就业政府采购政策的通知》（财库〔2017〕141号）的规定，符合条件的残疾人福利性单位在参加政府采购活动时，应当提供该通知规定的《残疾人福利性单位声明函》（格式见第六章投标文件格式），并对声明的真实性负责。一旦中标将在中标公告中公告其声明函，接受社会监督。供应商提供的《残疾人福利性单位声明函》与事实不符的，依照《政府采购法》第七十七条第一款的规定追究法律责任。</w:t>
      </w:r>
    </w:p>
    <w:p w14:paraId="566E1838">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4）供应商同时为小型、微型企业、监狱企业和残疾人福利性单位任两种或以上情况的，评审中只享受一次价格扣除。不重复进行价格扣除。</w:t>
      </w:r>
    </w:p>
    <w:p w14:paraId="15B63827">
      <w:pPr>
        <w:pStyle w:val="43"/>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562"/>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C</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价格评分</w:t>
      </w:r>
    </w:p>
    <w:p w14:paraId="01087F39">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73" w:firstLineChars="19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小组对入围的供应商的最后价格进行修正及价格扣除得出评审价。综合评分法中的价格分统一采用低价优先法计算，即满足</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文件要求（通过资格、符合性审查）且价格最低的有效最后报价（指修正后的价格，下同）为基准价，其价格分为满分。其他供应商的价格分统一按照下列公式计算：</w:t>
      </w:r>
    </w:p>
    <w:p w14:paraId="41D7265D">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报价得分＝（基准价／</w:t>
      </w:r>
      <w:r>
        <w:rPr>
          <w:rFonts w:hint="eastAsia" w:ascii="宋体" w:hAnsi="宋体" w:eastAsia="宋体" w:cs="宋体"/>
          <w:b/>
          <w:color w:val="auto"/>
          <w:sz w:val="24"/>
          <w:szCs w:val="24"/>
          <w:highlight w:val="none"/>
          <w:lang w:val="en-US" w:eastAsia="zh-CN"/>
        </w:rPr>
        <w:t>投标</w:t>
      </w:r>
      <w:r>
        <w:rPr>
          <w:rFonts w:hint="eastAsia" w:ascii="宋体" w:hAnsi="宋体" w:eastAsia="宋体" w:cs="宋体"/>
          <w:b/>
          <w:color w:val="auto"/>
          <w:sz w:val="24"/>
          <w:szCs w:val="24"/>
          <w:highlight w:val="none"/>
        </w:rPr>
        <w:t>报价）</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分值。</w:t>
      </w:r>
    </w:p>
    <w:p w14:paraId="0F333640">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6706DEB">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 xml:space="preserve"> 供应商在评标过程中，所进行的力图影响评标结果的不符合招标规则的活动，可能导致其被取消中标资格。</w:t>
      </w:r>
    </w:p>
    <w:p w14:paraId="5288F0F5">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与</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有重大偏离的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将被拒绝。</w:t>
      </w:r>
    </w:p>
    <w:bookmarkEnd w:id="106"/>
    <w:p w14:paraId="0C759848">
      <w:pPr>
        <w:tabs>
          <w:tab w:val="left" w:pos="5527"/>
        </w:tabs>
        <w:bidi w:val="0"/>
        <w:spacing w:line="360" w:lineRule="auto"/>
        <w:outlineLvl w:val="9"/>
        <w:rPr>
          <w:rFonts w:hint="eastAsia" w:ascii="宋体" w:hAnsi="宋体" w:eastAsia="宋体" w:cs="宋体"/>
          <w:b/>
          <w:bCs/>
          <w:color w:val="auto"/>
          <w:sz w:val="24"/>
          <w:szCs w:val="24"/>
          <w:highlight w:val="none"/>
        </w:rPr>
      </w:pPr>
      <w:bookmarkStart w:id="107" w:name="_Toc20139"/>
      <w:bookmarkStart w:id="108" w:name="_Toc9748"/>
      <w:bookmarkStart w:id="109" w:name="_Toc18253"/>
      <w:bookmarkStart w:id="110" w:name="_Toc29261"/>
      <w:bookmarkStart w:id="111" w:name="_Toc26511"/>
      <w:bookmarkStart w:id="112" w:name="_Toc17267"/>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 xml:space="preserve">  中标供应商的确认</w:t>
      </w:r>
    </w:p>
    <w:p w14:paraId="792CF409">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推荐得分最高的为第一中标候选人。采购人应当接受</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推荐的中标候选人，不得在</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推荐的中标候选人之外确定中标人。</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无义务向供应商进行任何有关评标的解释工作。</w:t>
      </w:r>
    </w:p>
    <w:p w14:paraId="5E9D4747">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 采购人应当确定排名第一的中标候选人为中标供应商。排名第一的中标候选人放弃中标、因不可抗力提出不能履行合同，或者</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规定应当提交履约保证金而在规定的期限内未能提交的，采购人可以确定排名第二的中标候选人为中标供应商。</w:t>
      </w:r>
    </w:p>
    <w:p w14:paraId="34BCEC81">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在确定中标供应商前，采购人不得与投标供应商就投标价格、投标方案等实质性内容进行谈判。</w:t>
      </w:r>
    </w:p>
    <w:p w14:paraId="6387D8DF">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中标通知</w:t>
      </w:r>
    </w:p>
    <w:p w14:paraId="6910CCCA">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lang w:eastAsia="zh-CN"/>
        </w:rPr>
      </w:pPr>
      <w:bookmarkStart w:id="113" w:name="_Toc16205"/>
      <w:bookmarkStart w:id="114" w:name="_Toc13637"/>
      <w:bookmarkStart w:id="115" w:name="_Toc3169"/>
      <w:bookmarkStart w:id="116" w:name="_Toc30172"/>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 采购人或者采购代理机构应当自中标供应商确定之日起2个工作日内，发出</w:t>
      </w:r>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，并在省级以上人民政府财政部门指定的媒体上公告中标结果</w:t>
      </w:r>
      <w:r>
        <w:rPr>
          <w:rFonts w:hint="eastAsia" w:ascii="宋体" w:hAnsi="宋体" w:eastAsia="宋体" w:cs="宋体"/>
          <w:color w:val="auto"/>
          <w:sz w:val="24"/>
          <w:szCs w:val="24"/>
          <w:highlight w:val="none"/>
          <w:lang w:eastAsia="zh-CN"/>
        </w:rPr>
        <w:t>。</w:t>
      </w:r>
    </w:p>
    <w:p w14:paraId="40FAAC15">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2</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.2</w:t>
      </w:r>
      <w:r>
        <w:rPr>
          <w:rFonts w:hint="eastAsia" w:ascii="宋体" w:hAnsi="宋体" w:eastAsia="宋体" w:cs="宋体"/>
          <w:b/>
          <w:bCs/>
          <w:color w:val="auto"/>
          <w:sz w:val="24"/>
          <w:szCs w:val="24"/>
          <w:highlight w:val="none"/>
        </w:rPr>
        <w:t xml:space="preserve"> </w:t>
      </w:r>
      <w:bookmarkEnd w:id="113"/>
      <w:bookmarkEnd w:id="114"/>
      <w:bookmarkEnd w:id="115"/>
      <w:bookmarkEnd w:id="116"/>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对采购人和中标供应商均具有法律效力。</w:t>
      </w:r>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发出后，采购人改变中标结果的，或者中标供应商放弃中标项目的，应当依法承担法律责任。</w:t>
      </w:r>
    </w:p>
    <w:p w14:paraId="77BC2786">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xml:space="preserve">  拒绝投标的权力</w:t>
      </w:r>
    </w:p>
    <w:p w14:paraId="3555FD33">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采购人有权在定标前拒绝任何有不正当行为或扰乱正常采购工作的供应商，由此对供应商造成的损失不负任何责任，同时对此也</w:t>
      </w:r>
      <w:r>
        <w:rPr>
          <w:rFonts w:hint="eastAsia" w:ascii="宋体" w:hAnsi="宋体" w:eastAsia="宋体" w:cs="宋体"/>
          <w:color w:val="auto"/>
          <w:sz w:val="24"/>
          <w:szCs w:val="24"/>
          <w:highlight w:val="none"/>
          <w:lang w:eastAsia="zh-CN"/>
        </w:rPr>
        <w:t>不作</w:t>
      </w:r>
      <w:r>
        <w:rPr>
          <w:rFonts w:hint="eastAsia" w:ascii="宋体" w:hAnsi="宋体" w:eastAsia="宋体" w:cs="宋体"/>
          <w:color w:val="auto"/>
          <w:sz w:val="24"/>
          <w:szCs w:val="24"/>
          <w:highlight w:val="none"/>
        </w:rPr>
        <w:t>任何解释。</w:t>
      </w:r>
    </w:p>
    <w:p w14:paraId="10823DB1">
      <w:pPr>
        <w:tabs>
          <w:tab w:val="left" w:pos="5527"/>
        </w:tabs>
        <w:bidi w:val="0"/>
        <w:spacing w:line="360" w:lineRule="auto"/>
        <w:jc w:val="center"/>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 授予合同</w:t>
      </w:r>
      <w:bookmarkEnd w:id="107"/>
      <w:bookmarkEnd w:id="108"/>
      <w:bookmarkEnd w:id="109"/>
    </w:p>
    <w:p w14:paraId="1141CBC8">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28</w:t>
      </w:r>
      <w:r>
        <w:rPr>
          <w:rFonts w:hint="eastAsia" w:ascii="宋体" w:hAnsi="宋体" w:eastAsia="宋体" w:cs="宋体"/>
          <w:b/>
          <w:bCs/>
          <w:color w:val="auto"/>
          <w:sz w:val="24"/>
          <w:szCs w:val="24"/>
          <w:highlight w:val="none"/>
        </w:rPr>
        <w:t xml:space="preserve">  签订商务合同</w:t>
      </w:r>
    </w:p>
    <w:p w14:paraId="2E059EEA">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.1 采购人与中标供应商应当在</w:t>
      </w:r>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发出之日起30日内，按照</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确定的事项签订政府采购合同。</w:t>
      </w:r>
    </w:p>
    <w:p w14:paraId="26E9D1AF">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.2 中标合同不得转让。</w:t>
      </w:r>
      <w:r>
        <w:rPr>
          <w:rFonts w:hint="eastAsia" w:ascii="宋体" w:hAnsi="宋体" w:eastAsia="宋体" w:cs="宋体"/>
          <w:color w:val="auto"/>
          <w:sz w:val="24"/>
          <w:szCs w:val="24"/>
          <w:highlight w:val="none"/>
          <w:lang w:val="en-US" w:eastAsia="zh-CN"/>
        </w:rPr>
        <w:t>经采购人同意，中标供应商可以依法采取分包方式履行合同。政府采购合同分包履行的，中标供应商就采购项目和分包项目向采购人负责，分包供应商就分包项目承担责任。</w:t>
      </w:r>
    </w:p>
    <w:p w14:paraId="299B4C13">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val="en-US" w:eastAsia="zh-CN"/>
        </w:rPr>
        <w:t>公开招标文件</w:t>
      </w:r>
      <w:r>
        <w:rPr>
          <w:rFonts w:hint="eastAsia" w:ascii="宋体" w:hAnsi="宋体" w:eastAsia="宋体" w:cs="宋体"/>
          <w:color w:val="auto"/>
          <w:sz w:val="24"/>
          <w:szCs w:val="24"/>
          <w:highlight w:val="none"/>
        </w:rPr>
        <w:t>要求中标或者成交供应商提交履约保证金的，供应商应当以支票、汇票、本票或者金融机构、担保机构出具的保函等非现金形式提交。履约保证金的数额不得超过政府采购合同金额的10%。</w:t>
      </w:r>
    </w:p>
    <w:p w14:paraId="2F494ECA">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.4 中标供应商拒绝与采购人签订合同的，采购人可以按照评审报告推荐的中标候选人名单排序，确定下一候选人为中标供应商，也可以重新开展政府采购活动。</w:t>
      </w:r>
    </w:p>
    <w:p w14:paraId="3ECE42FE">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.5 政府采购合同的双方当事人不得擅自变更、中止或者终止合同。</w:t>
      </w:r>
    </w:p>
    <w:p w14:paraId="25142CA8">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政府采购合同继续履行将损害国家利益和社会公共利益的，双方当事人应当变更、中止或者终止合同。有过错的一方应当承担赔偿责任，双方都有过错的，各自承担相应的责任。</w:t>
      </w:r>
    </w:p>
    <w:p w14:paraId="76CAFD76">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29</w:t>
      </w:r>
      <w:r>
        <w:rPr>
          <w:rFonts w:hint="eastAsia" w:ascii="宋体" w:hAnsi="宋体" w:eastAsia="宋体" w:cs="宋体"/>
          <w:b/>
          <w:bCs/>
          <w:color w:val="auto"/>
          <w:sz w:val="24"/>
          <w:szCs w:val="24"/>
          <w:highlight w:val="none"/>
        </w:rPr>
        <w:t xml:space="preserve">  商务合同的组成</w:t>
      </w:r>
    </w:p>
    <w:p w14:paraId="218D923A">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 下列文件均为商务合同不可分割的组成部分：</w:t>
      </w:r>
    </w:p>
    <w:p w14:paraId="0C6532B5">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.1.1 中标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通知书；</w:t>
      </w:r>
    </w:p>
    <w:p w14:paraId="0E2249BB">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.1.2 中标供应商的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07753FC5">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.1.3 供应商澄清、说明或补正文件；</w:t>
      </w:r>
    </w:p>
    <w:p w14:paraId="5634C1A7">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 xml:space="preserve">.1.4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w:t>
      </w:r>
    </w:p>
    <w:p w14:paraId="1025ADE1">
      <w:pPr>
        <w:tabs>
          <w:tab w:val="left" w:pos="5527"/>
        </w:tabs>
        <w:bidi w:val="0"/>
        <w:spacing w:line="360" w:lineRule="auto"/>
        <w:jc w:val="center"/>
        <w:outlineLvl w:val="2"/>
        <w:rPr>
          <w:rFonts w:hint="eastAsia" w:ascii="宋体" w:hAnsi="宋体" w:eastAsia="宋体" w:cs="宋体"/>
          <w:b/>
          <w:bCs/>
          <w:color w:val="auto"/>
          <w:sz w:val="24"/>
          <w:szCs w:val="24"/>
          <w:highlight w:val="none"/>
        </w:rPr>
      </w:pPr>
      <w:bookmarkStart w:id="117" w:name="_Toc10488"/>
      <w:bookmarkStart w:id="118" w:name="_Toc24734"/>
      <w:bookmarkStart w:id="119" w:name="_Toc7458"/>
      <w:bookmarkStart w:id="120" w:name="_Toc23890"/>
      <w:bookmarkStart w:id="121" w:name="_Toc9177"/>
      <w:bookmarkStart w:id="122" w:name="_Toc26655"/>
      <w:bookmarkStart w:id="123" w:name="_Toc17298"/>
      <w:bookmarkStart w:id="124" w:name="_Toc3090"/>
      <w:bookmarkStart w:id="125" w:name="_Toc21514"/>
      <w:bookmarkStart w:id="126" w:name="_Toc26147"/>
      <w:r>
        <w:rPr>
          <w:rFonts w:hint="eastAsia" w:ascii="宋体" w:hAnsi="宋体" w:eastAsia="宋体" w:cs="宋体"/>
          <w:b/>
          <w:bCs/>
          <w:color w:val="auto"/>
          <w:sz w:val="24"/>
          <w:szCs w:val="24"/>
          <w:highlight w:val="none"/>
        </w:rPr>
        <w:t>八、</w:t>
      </w:r>
      <w:bookmarkEnd w:id="117"/>
      <w:bookmarkEnd w:id="118"/>
      <w:bookmarkEnd w:id="119"/>
      <w:bookmarkEnd w:id="120"/>
      <w:bookmarkEnd w:id="121"/>
      <w:bookmarkEnd w:id="122"/>
      <w:bookmarkEnd w:id="123"/>
      <w:bookmarkEnd w:id="124"/>
      <w:bookmarkEnd w:id="125"/>
      <w:bookmarkEnd w:id="126"/>
      <w:r>
        <w:rPr>
          <w:rFonts w:hint="eastAsia" w:ascii="宋体" w:hAnsi="宋体" w:eastAsia="宋体" w:cs="宋体"/>
          <w:b/>
          <w:bCs/>
          <w:color w:val="auto"/>
          <w:sz w:val="24"/>
          <w:szCs w:val="24"/>
          <w:highlight w:val="none"/>
        </w:rPr>
        <w:t>采购人更改货物、工程或者服务的权利</w:t>
      </w:r>
    </w:p>
    <w:p w14:paraId="79E17D01">
      <w:pPr>
        <w:tabs>
          <w:tab w:val="left" w:pos="5527"/>
        </w:tabs>
        <w:bidi w:val="0"/>
        <w:spacing w:line="360" w:lineRule="auto"/>
        <w:jc w:val="both"/>
        <w:outlineLvl w:val="9"/>
        <w:rPr>
          <w:rFonts w:hint="eastAsia" w:ascii="宋体" w:hAnsi="宋体" w:eastAsia="宋体" w:cs="宋体"/>
          <w:b w:val="0"/>
          <w:bCs w:val="0"/>
          <w:color w:val="auto"/>
          <w:sz w:val="24"/>
          <w:szCs w:val="24"/>
          <w:highlight w:val="none"/>
        </w:rPr>
      </w:pPr>
      <w:bookmarkStart w:id="127" w:name="_Toc27177"/>
      <w:bookmarkStart w:id="128" w:name="_Toc13025"/>
      <w:bookmarkStart w:id="129" w:name="_Toc2769"/>
      <w:bookmarkStart w:id="130" w:name="_Toc13678"/>
      <w:bookmarkStart w:id="131" w:name="_Toc16744"/>
      <w:bookmarkStart w:id="132" w:name="_Toc23616"/>
      <w:bookmarkStart w:id="133" w:name="_Toc31453"/>
      <w:bookmarkStart w:id="134" w:name="_Toc23715"/>
      <w:bookmarkStart w:id="135" w:name="_Toc31555"/>
      <w:bookmarkStart w:id="136" w:name="_Toc31334"/>
      <w:r>
        <w:rPr>
          <w:rFonts w:hint="eastAsia" w:ascii="宋体" w:hAnsi="宋体" w:eastAsia="宋体" w:cs="宋体"/>
          <w:b w:val="0"/>
          <w:bCs w:val="0"/>
          <w:color w:val="auto"/>
          <w:sz w:val="24"/>
          <w:szCs w:val="24"/>
          <w:highlight w:val="none"/>
          <w:lang w:val="en-US" w:eastAsia="zh-CN"/>
        </w:rPr>
        <w:t xml:space="preserve">31  </w:t>
      </w:r>
      <w:r>
        <w:rPr>
          <w:rFonts w:hint="eastAsia" w:ascii="宋体" w:hAnsi="宋体" w:eastAsia="宋体" w:cs="宋体"/>
          <w:b w:val="0"/>
          <w:bCs w:val="0"/>
          <w:color w:val="auto"/>
          <w:sz w:val="24"/>
          <w:szCs w:val="24"/>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6EE8BBAD">
      <w:pPr>
        <w:tabs>
          <w:tab w:val="left" w:pos="5527"/>
        </w:tabs>
        <w:bidi w:val="0"/>
        <w:spacing w:line="360" w:lineRule="auto"/>
        <w:jc w:val="center"/>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九、其他事项</w:t>
      </w:r>
      <w:bookmarkEnd w:id="127"/>
      <w:bookmarkEnd w:id="128"/>
      <w:bookmarkEnd w:id="129"/>
      <w:bookmarkEnd w:id="130"/>
      <w:bookmarkEnd w:id="131"/>
      <w:bookmarkEnd w:id="132"/>
      <w:bookmarkEnd w:id="133"/>
      <w:bookmarkEnd w:id="134"/>
      <w:bookmarkEnd w:id="135"/>
      <w:bookmarkEnd w:id="136"/>
    </w:p>
    <w:p w14:paraId="7F5E8E79">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采购代理服务费</w:t>
      </w:r>
    </w:p>
    <w:p w14:paraId="12C07D6B">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r>
        <w:rPr>
          <w:rFonts w:hint="eastAsia" w:ascii="宋体" w:hAnsi="宋体" w:eastAsia="宋体" w:cs="宋体"/>
          <w:b/>
          <w:bCs/>
          <w:color w:val="auto"/>
          <w:sz w:val="24"/>
          <w:szCs w:val="24"/>
          <w:highlight w:val="none"/>
        </w:rPr>
        <w:t>采购代理服务费</w:t>
      </w:r>
      <w:r>
        <w:rPr>
          <w:rFonts w:hint="eastAsia" w:ascii="宋体" w:hAnsi="宋体" w:eastAsia="宋体" w:cs="宋体"/>
          <w:b/>
          <w:bCs/>
          <w:color w:val="auto"/>
          <w:sz w:val="24"/>
          <w:szCs w:val="24"/>
          <w:highlight w:val="none"/>
          <w:lang w:val="en-US" w:eastAsia="zh-CN"/>
        </w:rPr>
        <w:t>：由中标供应商支付。</w:t>
      </w:r>
    </w:p>
    <w:p w14:paraId="64010FD3">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 采购代理服务费的计算基数是</w:t>
      </w:r>
      <w:r>
        <w:rPr>
          <w:rFonts w:hint="eastAsia" w:ascii="宋体" w:hAnsi="宋体" w:eastAsia="宋体" w:cs="宋体"/>
          <w:b/>
          <w:bCs/>
          <w:color w:val="auto"/>
          <w:sz w:val="24"/>
          <w:szCs w:val="24"/>
          <w:highlight w:val="none"/>
          <w:u w:val="single"/>
          <w:lang w:eastAsia="zh-CN"/>
        </w:rPr>
        <w:t>中标（成交）通知书</w:t>
      </w:r>
      <w:r>
        <w:rPr>
          <w:rFonts w:hint="eastAsia" w:ascii="宋体" w:hAnsi="宋体" w:eastAsia="宋体" w:cs="宋体"/>
          <w:b/>
          <w:bCs/>
          <w:color w:val="auto"/>
          <w:sz w:val="24"/>
          <w:szCs w:val="24"/>
          <w:highlight w:val="none"/>
          <w:u w:val="single"/>
        </w:rPr>
        <w:t>中载明的中标总金额</w:t>
      </w:r>
      <w:r>
        <w:rPr>
          <w:rFonts w:hint="eastAsia" w:ascii="宋体" w:hAnsi="宋体" w:eastAsia="宋体" w:cs="宋体"/>
          <w:color w:val="auto"/>
          <w:sz w:val="24"/>
          <w:szCs w:val="24"/>
          <w:highlight w:val="none"/>
        </w:rPr>
        <w:t>。</w:t>
      </w:r>
    </w:p>
    <w:p w14:paraId="51ECB1C0">
      <w:pPr>
        <w:rPr>
          <w:rFonts w:hint="eastAsia"/>
          <w:color w:val="auto"/>
          <w:highlight w:val="none"/>
        </w:rPr>
      </w:pPr>
      <w:r>
        <w:rPr>
          <w:rFonts w:hint="eastAsia" w:ascii="宋体" w:hAnsi="宋体" w:eastAsia="宋体" w:cs="宋体"/>
          <w:b/>
          <w:bCs/>
          <w:color w:val="auto"/>
          <w:sz w:val="24"/>
          <w:szCs w:val="24"/>
          <w:highlight w:val="none"/>
          <w:lang w:val="en-US" w:eastAsia="zh-CN"/>
        </w:rPr>
        <w:t>成交金额100万元以下的部分，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采购费率1.50%，成交金额100万元至500万元的部分，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采购费率1.10%，成交金额500万元至1000万元的部分，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采购费率0.80%，成交金额1000万元至5000万元的部分，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率0.50%，成交金额5000万元至10000万元的部分，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采购费率0.25%，成交金额10000万元至100000万元的部分，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采购费率0.05%，成交金额1000000万元以上的部分，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采购费率0.01%;</w:t>
      </w:r>
    </w:p>
    <w:p w14:paraId="1CBCB9C8">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本</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是根据《中华人民共和国政府采购法》、《中华人民共和国政府采购法实施条例》的规定编制，解释权属</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p>
    <w:p w14:paraId="5C63E726">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rPr>
        <w:t xml:space="preserve"> 参与本次采购的供应商应当有商务、技术人员对</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提出的商务、技术问题进行答疑。</w:t>
      </w:r>
      <w:bookmarkEnd w:id="110"/>
      <w:bookmarkEnd w:id="111"/>
      <w:bookmarkEnd w:id="112"/>
      <w:bookmarkStart w:id="137" w:name="_Toc5864"/>
      <w:bookmarkStart w:id="138" w:name="_Toc513029243"/>
      <w:bookmarkStart w:id="139" w:name="_Toc20823315"/>
      <w:bookmarkStart w:id="140" w:name="_Toc21863"/>
      <w:bookmarkStart w:id="141" w:name="_Toc27564"/>
      <w:bookmarkStart w:id="142" w:name="_Toc16938559"/>
      <w:bookmarkStart w:id="143" w:name="_Toc22740"/>
    </w:p>
    <w:p w14:paraId="09678EE7">
      <w:pPr>
        <w:tabs>
          <w:tab w:val="left" w:pos="5527"/>
        </w:tabs>
        <w:bidi w:val="0"/>
        <w:spacing w:line="360" w:lineRule="auto"/>
        <w:outlineLvl w:val="9"/>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34  分支机构投标的（仅限银行、保险、石油石化、电力、电信、邮政、铁路等特殊行业），须提供总公司和分公司的营业执照扫描件，总公司出具分支机构的授权书。</w:t>
      </w:r>
    </w:p>
    <w:p w14:paraId="64726CD7">
      <w:pPr>
        <w:pStyle w:val="23"/>
        <w:tabs>
          <w:tab w:val="left" w:pos="5527"/>
        </w:tabs>
        <w:jc w:val="center"/>
        <w:outlineLvl w:val="9"/>
        <w:rPr>
          <w:rFonts w:hint="eastAsia" w:ascii="宋体" w:hAnsi="宋体" w:eastAsia="宋体" w:cs="宋体"/>
          <w:b/>
          <w:bCs/>
          <w:i w:val="0"/>
          <w:iCs w:val="0"/>
          <w:color w:val="auto"/>
          <w:kern w:val="0"/>
          <w:sz w:val="24"/>
          <w:szCs w:val="24"/>
          <w:highlight w:val="none"/>
          <w:u w:val="none"/>
          <w:lang w:val="en-US" w:eastAsia="zh-CN" w:bidi="ar"/>
        </w:rPr>
      </w:pPr>
    </w:p>
    <w:p w14:paraId="31268B57">
      <w:pPr>
        <w:tabs>
          <w:tab w:val="left" w:pos="5527"/>
        </w:tabs>
        <w:adjustRightInd w:val="0"/>
        <w:snapToGrid w:val="0"/>
        <w:spacing w:line="360" w:lineRule="auto"/>
        <w:jc w:val="center"/>
        <w:outlineLvl w:val="2"/>
        <w:rPr>
          <w:rStyle w:val="39"/>
          <w:rFonts w:hint="eastAsia" w:ascii="宋体" w:hAnsi="宋体" w:eastAsia="宋体" w:cs="宋体"/>
          <w:b/>
          <w:bCs/>
          <w:color w:val="auto"/>
          <w:sz w:val="24"/>
          <w:szCs w:val="24"/>
          <w:highlight w:val="none"/>
          <w:lang w:val="en-US" w:eastAsia="zh-CN"/>
        </w:rPr>
      </w:pPr>
      <w:bookmarkStart w:id="144" w:name="_Toc25941"/>
      <w:bookmarkStart w:id="145" w:name="_Toc9897"/>
      <w:bookmarkStart w:id="146" w:name="_Toc32718"/>
      <w:bookmarkStart w:id="147" w:name="_Toc17992"/>
      <w:bookmarkStart w:id="148" w:name="_Toc31406"/>
      <w:bookmarkStart w:id="149" w:name="_Toc17802"/>
      <w:r>
        <w:rPr>
          <w:rStyle w:val="39"/>
          <w:rFonts w:hint="eastAsia" w:ascii="宋体" w:hAnsi="宋体" w:eastAsia="宋体" w:cs="宋体"/>
          <w:b/>
          <w:bCs/>
          <w:color w:val="auto"/>
          <w:sz w:val="24"/>
          <w:szCs w:val="24"/>
          <w:highlight w:val="none"/>
          <w:lang w:val="en-US" w:eastAsia="zh-CN"/>
        </w:rPr>
        <w:t>十、质疑与投诉</w:t>
      </w:r>
    </w:p>
    <w:p w14:paraId="1DC56B90">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一、质疑的提出</w:t>
      </w:r>
    </w:p>
    <w:p w14:paraId="7A627FDF">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政府采购供应商（以下简称供应商）提出质疑应当坚持依法依规、诚实信用原则。</w:t>
      </w:r>
    </w:p>
    <w:p w14:paraId="0F830C10">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1.质疑人的主体资格</w:t>
      </w:r>
    </w:p>
    <w:p w14:paraId="580EB752">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提出质疑的供应商应当是参与所质疑项目采购活动的供应商。潜在供应商已依法获取其可质疑的采购文件的，可以对该文件提出质疑。</w:t>
      </w:r>
    </w:p>
    <w:p w14:paraId="20D71D8E">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2.质疑的时效性</w:t>
      </w:r>
    </w:p>
    <w:p w14:paraId="58F419CF">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供应商认为采购文件、采购过程、中标或者成交结果使自己的权益受到损害的，可以在知道或者应知其权益受到损害之日起 7 个工作日内，以书面形式向采购人或者采购代理机构提出质疑。</w:t>
      </w:r>
    </w:p>
    <w:p w14:paraId="71218DDB">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政府采购法第五十二条规定的供应商应知其权益受到损害之日，是指:①对可以质疑的采购文件提出质疑的，应当在获取采购文件之日或者采购文件公告期限届满之日；②对采购过程提出质疑的，为各采购程序环节结束之日；③对中标或者成交结果提出质疑的，为中标或者成交结果公告期限届满之日。</w:t>
      </w:r>
    </w:p>
    <w:p w14:paraId="13923E20">
      <w:pPr>
        <w:tabs>
          <w:tab w:val="left" w:pos="5527"/>
        </w:tabs>
        <w:bidi w:val="0"/>
        <w:spacing w:line="360" w:lineRule="auto"/>
        <w:outlineLvl w:val="9"/>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供应商须在法定质疑期内一次性提出针对同一采购程序环节的质疑。</w:t>
      </w:r>
    </w:p>
    <w:p w14:paraId="5423418A">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3.供应商提出质疑应当提交质疑函和必要的证明材料。</w:t>
      </w:r>
    </w:p>
    <w:p w14:paraId="775E1B65">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3.1 质疑函应当包括下列内容：</w:t>
      </w:r>
    </w:p>
    <w:p w14:paraId="2AE7F2F6">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（1）供应商的姓名或者名称、地址、邮编、联系人及联系电话；</w:t>
      </w:r>
    </w:p>
    <w:p w14:paraId="6FA8C0DA">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（2）质疑项目的名称、编号；</w:t>
      </w:r>
    </w:p>
    <w:p w14:paraId="72F7137C">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（3）具体、明确的质疑事项和与质疑事项相关的请求；</w:t>
      </w:r>
    </w:p>
    <w:p w14:paraId="50E5FEFA">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（4）事实依据；</w:t>
      </w:r>
    </w:p>
    <w:p w14:paraId="0DD10A2B">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（5）必要的法律依据；</w:t>
      </w:r>
    </w:p>
    <w:p w14:paraId="3E3D4419">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（6）提出质疑的日期。</w:t>
      </w:r>
    </w:p>
    <w:p w14:paraId="2972AF83">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3.2 质疑人为自然人的，质疑函应当由本人签字并附有效身份证明原件及营业执照；质疑人为法人或者其他组织的，应当由法定代表人或者主要负责人签字并加盖单位公章，同时一并提交营业执照和法定代表人或者主要负责人有效身份证明原件。无法提供营业执照原件的，应当提供真实有效的复印件，并加盖公章。</w:t>
      </w:r>
    </w:p>
    <w:p w14:paraId="36E4F591">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3.3 供应商可以委托代理人进行质疑和投诉。代理人提出质疑和投诉，应当提交供应商签署的授权委托书原件、营业执照及代理人的有效身份证明原件。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CABFC0D">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二、 质疑函提交的注意事项</w:t>
      </w:r>
    </w:p>
    <w:p w14:paraId="668B71D6">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1.质疑函采用实名制，不得进行虚假、恶意质疑。质疑人应在质疑有效期内提交《质疑函》（格式后附）。</w:t>
      </w:r>
    </w:p>
    <w:p w14:paraId="670086CB">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4085287D">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3.佐证材料要具备客观性、关联性、合法性，无法查实的（如宣传册、媒体报道、猜测、推理等）不能作为佐证材料。</w:t>
      </w:r>
    </w:p>
    <w:p w14:paraId="5C95C180">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4.质疑人的法定代表人办理质疑事务的，在提交质疑函（无需填写授权委托人）的同时，还应提交加盖质疑人公章的营业执照副本复印件和法定代表人的身份证复印件；并持身份证原件用于核对。</w:t>
      </w:r>
    </w:p>
    <w:p w14:paraId="0A58CCB9">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授权本项目投标委托人办理质疑事务的，除提交质疑书、加盖质疑人公章的营业执照副本复印件和法定代表人的身份证复印件外，还应当提交由质疑人出具的明确载明授权委托的具体权限和事项的法定代表人授权委托书以及授权委托人的身份证复印件；并持身份证原件用于核对。</w:t>
      </w:r>
    </w:p>
    <w:p w14:paraId="46D9638D">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三、质疑的受理和处理</w:t>
      </w:r>
    </w:p>
    <w:p w14:paraId="1AAC0511">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1.《质疑函》。</w:t>
      </w:r>
    </w:p>
    <w:p w14:paraId="6A777DEE">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(1)接收质疑函的方式：现场递交纸质质疑材料一式三份，必须由质疑方的法定代表人或委托代理人送达采购代理机构，并提供电子版资料发送邮箱：3384191609@qq.com。</w:t>
      </w:r>
    </w:p>
    <w:p w14:paraId="63F91C02">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(2)联系单位：新疆德泰工程项目管理服务有限公司</w:t>
      </w:r>
    </w:p>
    <w:p w14:paraId="0E85C8A0">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(3)联系电话：13070001570</w:t>
      </w:r>
    </w:p>
    <w:p w14:paraId="13E891E7">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(4)通讯地址：库尔勒市索克巴格路6号壹品千城商业街2栋3层8号</w:t>
      </w:r>
    </w:p>
    <w:p w14:paraId="5313E203">
      <w:pPr>
        <w:tabs>
          <w:tab w:val="left" w:pos="5527"/>
        </w:tabs>
        <w:bidi w:val="0"/>
        <w:spacing w:line="360" w:lineRule="auto"/>
        <w:outlineLvl w:val="9"/>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2.对符合要求的质疑，采购单位或采购代理机构予以</w:t>
      </w:r>
      <w:r>
        <w:rPr>
          <w:rFonts w:hint="eastAsia" w:ascii="宋体" w:hAnsi="宋体" w:cs="宋体"/>
          <w:b/>
          <w:bCs/>
          <w:color w:val="auto"/>
          <w:sz w:val="24"/>
          <w:szCs w:val="24"/>
          <w:highlight w:val="none"/>
          <w:lang w:val="en-US" w:eastAsia="zh-CN"/>
        </w:rPr>
        <w:t>接收</w:t>
      </w:r>
      <w:r>
        <w:rPr>
          <w:rFonts w:hint="default" w:ascii="宋体" w:hAnsi="宋体" w:cs="宋体"/>
          <w:b/>
          <w:bCs/>
          <w:color w:val="auto"/>
          <w:sz w:val="24"/>
          <w:szCs w:val="24"/>
          <w:highlight w:val="none"/>
          <w:lang w:val="en-US" w:eastAsia="zh-CN"/>
        </w:rPr>
        <w:t>。同一质疑人的质疑只接受一次。对于不符合上述所有条款要求的质疑（对不能提供相关佐证材料的、涉及商业秘密的、非现场形式送达的、匿名的质疑），采购代理机构将不予受理。</w:t>
      </w:r>
    </w:p>
    <w:p w14:paraId="161B95D4">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3.采购代理机构应当在受理质疑后 7 个工作日内作出答复，并以书面形式通知质疑人和其他有关供应商，答复内容仅限于供应商所质疑的内容，不得涉及国家秘密和商业秘密。</w:t>
      </w:r>
    </w:p>
    <w:p w14:paraId="0127A6E7">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4.采购人、采购代理机构认为供应商质疑不成立，或者成立但未对中标、成交结果构成影响的，继续开展采购活动；认为供应商质疑成立且影响或者可能影响中标、成交结果的，按照下列情况处理：</w:t>
      </w:r>
    </w:p>
    <w:p w14:paraId="2E286EB3">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(1)对采购文件提出的质疑，依法通过澄清或者修改可以继续开展采购活动</w:t>
      </w:r>
    </w:p>
    <w:p w14:paraId="72B85646">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的，澄清或者修改采购文件后继续开展采购活动；否则应当修改采购文件后重新开展采购活动。</w:t>
      </w:r>
    </w:p>
    <w:p w14:paraId="13ABE819">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(2)对采购过程、中标或者成交结果提出的质疑，合格供应商符合法定数量时，可以从合格的中标或者成交候选人中另行确定中标、成交供应商的，应当依法另行确定中标、成交供应商；否则应当重新开展采购活动。</w:t>
      </w:r>
    </w:p>
    <w:p w14:paraId="76C6859C">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(3)质疑答复导致中标、成交结果改变的，采购人或者采购代理机构应当将有关情况书面报告本级财政部门。</w:t>
      </w:r>
    </w:p>
    <w:p w14:paraId="40F59356">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5.质疑供应商对采购人、采购代理机构的答复不满意，或者采购人、采购代理机构未在规定时间内作出答复的，可以在答复期满后 15 个工作日内向《政府采购质疑和投诉办法》（财政部令第 94 号）第六条规定的财政部门提起投诉。</w:t>
      </w:r>
    </w:p>
    <w:p w14:paraId="4FD896A0">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6.质疑无效的处理</w:t>
      </w:r>
    </w:p>
    <w:p w14:paraId="2270EC03">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6.1 质疑人提供的相关佐证材料不能证明质疑成立的，列为无效质疑。</w:t>
      </w:r>
    </w:p>
    <w:p w14:paraId="41F67AA0">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6.2 对于质疑人在质疑期间不配合进行质疑调查处理的，视为自动放弃质疑。</w:t>
      </w:r>
    </w:p>
    <w:p w14:paraId="47E68436">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6.3 质疑人提出的质疑，经评标专家审定后驳回的，列为无效质疑。</w:t>
      </w:r>
    </w:p>
    <w:p w14:paraId="4262AED2">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6.4 对于质疑中使用虚假材料或恶意方式质疑的，按无效质疑处理，并列入不良记录供应商名单。</w:t>
      </w:r>
    </w:p>
    <w:p w14:paraId="75D76205">
      <w:pPr>
        <w:tabs>
          <w:tab w:val="left" w:pos="5527"/>
        </w:tabs>
        <w:adjustRightInd w:val="0"/>
        <w:snapToGrid w:val="0"/>
        <w:spacing w:line="360" w:lineRule="auto"/>
        <w:outlineLvl w:val="9"/>
        <w:rPr>
          <w:rStyle w:val="39"/>
          <w:rFonts w:hint="eastAsia" w:ascii="宋体" w:hAnsi="宋体" w:eastAsia="宋体" w:cs="宋体"/>
          <w:b/>
          <w:bCs/>
          <w:color w:val="auto"/>
          <w:sz w:val="32"/>
          <w:szCs w:val="32"/>
          <w:highlight w:val="none"/>
          <w:lang w:val="en-US" w:eastAsia="zh-CN"/>
        </w:rPr>
      </w:pPr>
    </w:p>
    <w:p w14:paraId="6491D446">
      <w:pPr>
        <w:tabs>
          <w:tab w:val="left" w:pos="5527"/>
        </w:tabs>
        <w:adjustRightInd w:val="0"/>
        <w:snapToGrid w:val="0"/>
        <w:spacing w:line="360" w:lineRule="auto"/>
        <w:outlineLvl w:val="9"/>
        <w:rPr>
          <w:rStyle w:val="39"/>
          <w:rFonts w:hint="eastAsia" w:ascii="宋体" w:hAnsi="宋体" w:eastAsia="宋体" w:cs="宋体"/>
          <w:b/>
          <w:bCs/>
          <w:color w:val="auto"/>
          <w:sz w:val="32"/>
          <w:szCs w:val="32"/>
          <w:highlight w:val="none"/>
          <w:lang w:val="en-US" w:eastAsia="zh-CN"/>
        </w:rPr>
      </w:pPr>
    </w:p>
    <w:p w14:paraId="620B4E35">
      <w:pPr>
        <w:tabs>
          <w:tab w:val="left" w:pos="5527"/>
        </w:tabs>
        <w:adjustRightInd w:val="0"/>
        <w:snapToGrid w:val="0"/>
        <w:spacing w:line="360" w:lineRule="auto"/>
        <w:outlineLvl w:val="9"/>
        <w:rPr>
          <w:rFonts w:hint="eastAsia" w:ascii="宋体" w:hAnsi="宋体" w:eastAsia="宋体" w:cs="宋体"/>
          <w:b/>
          <w:color w:val="auto"/>
          <w:sz w:val="24"/>
          <w:szCs w:val="24"/>
          <w:highlight w:val="none"/>
        </w:rPr>
      </w:pPr>
      <w:r>
        <w:rPr>
          <w:rStyle w:val="39"/>
          <w:rFonts w:hint="eastAsia" w:ascii="宋体" w:hAnsi="宋体" w:eastAsia="宋体" w:cs="宋体"/>
          <w:b/>
          <w:bCs/>
          <w:color w:val="auto"/>
          <w:sz w:val="32"/>
          <w:szCs w:val="32"/>
          <w:highlight w:val="none"/>
          <w:lang w:val="en-US" w:eastAsia="zh-CN"/>
        </w:rPr>
        <w:br w:type="page"/>
      </w:r>
      <w:bookmarkStart w:id="150" w:name="_Toc13173"/>
      <w:bookmarkStart w:id="151" w:name="_Toc26085"/>
      <w:bookmarkStart w:id="152" w:name="_Toc6957"/>
      <w:r>
        <w:rPr>
          <w:rFonts w:hint="eastAsia" w:ascii="宋体" w:hAnsi="宋体" w:eastAsia="宋体" w:cs="宋体"/>
          <w:b/>
          <w:color w:val="auto"/>
          <w:sz w:val="24"/>
          <w:szCs w:val="24"/>
          <w:highlight w:val="none"/>
        </w:rPr>
        <w:t>附表一：</w:t>
      </w:r>
    </w:p>
    <w:p w14:paraId="1A0943F7">
      <w:pPr>
        <w:tabs>
          <w:tab w:val="left" w:pos="5527"/>
        </w:tabs>
        <w:adjustRightInd w:val="0"/>
        <w:snapToGrid w:val="0"/>
        <w:spacing w:line="360" w:lineRule="auto"/>
        <w:jc w:val="center"/>
        <w:outlineLvl w:val="3"/>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资格性审查表</w:t>
      </w:r>
    </w:p>
    <w:tbl>
      <w:tblPr>
        <w:tblStyle w:val="2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329"/>
      </w:tblGrid>
      <w:tr w14:paraId="01D7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vAlign w:val="center"/>
          </w:tcPr>
          <w:p w14:paraId="09020B45">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329" w:type="dxa"/>
            <w:vAlign w:val="center"/>
          </w:tcPr>
          <w:p w14:paraId="1CD62C21">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评审内容</w:t>
            </w:r>
          </w:p>
        </w:tc>
      </w:tr>
      <w:tr w14:paraId="57DE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vAlign w:val="center"/>
          </w:tcPr>
          <w:p w14:paraId="300BA33C">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329" w:type="dxa"/>
            <w:vAlign w:val="center"/>
          </w:tcPr>
          <w:p w14:paraId="209C3763">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满足《中华人民共和国政府采购法》第二十二条规定：①具有独立承担民事责任的能力，须提供在中华人民共和国境内注册的法人或其他组织或自然人的营业执照副本或事业法人登记证或执业许可证或身份证等相关证明扫描件；</w:t>
            </w:r>
          </w:p>
          <w:p w14:paraId="22A95BA6">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eastAsia="zh-CN"/>
              </w:rPr>
              <w:t>②需提供</w:t>
            </w:r>
            <w:r>
              <w:rPr>
                <w:rFonts w:hint="eastAsia" w:ascii="宋体" w:hAnsi="宋体" w:cs="宋体"/>
                <w:color w:val="auto"/>
                <w:sz w:val="24"/>
                <w:szCs w:val="24"/>
                <w:highlight w:val="none"/>
                <w:lang w:val="en-US" w:eastAsia="zh-CN"/>
              </w:rPr>
              <w:t>诚信声明</w:t>
            </w:r>
            <w:r>
              <w:rPr>
                <w:rFonts w:hint="eastAsia" w:ascii="宋体" w:hAnsi="宋体" w:eastAsia="宋体" w:cs="宋体"/>
                <w:color w:val="auto"/>
                <w:sz w:val="24"/>
                <w:szCs w:val="24"/>
                <w:highlight w:val="none"/>
              </w:rPr>
              <w:t>（格式详见附件：</w:t>
            </w:r>
            <w:r>
              <w:rPr>
                <w:rFonts w:hint="eastAsia" w:ascii="宋体" w:hAnsi="宋体" w:eastAsia="宋体" w:cs="宋体"/>
                <w:color w:val="auto"/>
                <w:sz w:val="24"/>
                <w:szCs w:val="24"/>
                <w:highlight w:val="none"/>
                <w:lang w:val="en-US" w:eastAsia="zh-CN"/>
              </w:rPr>
              <w:t>诚信声明</w:t>
            </w:r>
            <w:r>
              <w:rPr>
                <w:rFonts w:hint="eastAsia" w:ascii="宋体" w:hAnsi="宋体" w:eastAsia="宋体" w:cs="宋体"/>
                <w:color w:val="auto"/>
                <w:sz w:val="24"/>
                <w:szCs w:val="24"/>
                <w:highlight w:val="none"/>
              </w:rPr>
              <w:t>）</w:t>
            </w:r>
          </w:p>
          <w:p w14:paraId="072069FE">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③</w:t>
            </w:r>
            <w:r>
              <w:rPr>
                <w:rFonts w:hint="eastAsia" w:ascii="宋体" w:hAnsi="宋体" w:cs="宋体"/>
                <w:color w:val="auto"/>
                <w:sz w:val="24"/>
                <w:szCs w:val="24"/>
                <w:highlight w:val="none"/>
                <w:lang w:val="en-US" w:eastAsia="zh-CN"/>
              </w:rPr>
              <w:t>提供</w:t>
            </w:r>
            <w:r>
              <w:rPr>
                <w:rFonts w:hint="eastAsia" w:ascii="宋体" w:hAnsi="宋体" w:cs="宋体"/>
                <w:color w:val="auto"/>
                <w:sz w:val="24"/>
                <w:szCs w:val="24"/>
                <w:highlight w:val="none"/>
                <w:lang w:eastAsia="zh-CN"/>
              </w:rPr>
              <w:t>近一年</w:t>
            </w:r>
            <w:r>
              <w:rPr>
                <w:rFonts w:hint="eastAsia" w:ascii="宋体" w:hAnsi="宋体" w:cs="宋体"/>
                <w:b w:val="0"/>
                <w:bCs w:val="0"/>
                <w:color w:val="auto"/>
                <w:kern w:val="0"/>
                <w:sz w:val="24"/>
                <w:szCs w:val="24"/>
                <w:highlight w:val="none"/>
                <w:lang w:eastAsia="zh-CN"/>
              </w:rPr>
              <w:t>（</w:t>
            </w:r>
            <w:r>
              <w:rPr>
                <w:rFonts w:hint="eastAsia" w:ascii="宋体" w:hAnsi="宋体" w:cs="宋体"/>
                <w:b w:val="0"/>
                <w:bCs w:val="0"/>
                <w:color w:val="auto"/>
                <w:kern w:val="0"/>
                <w:sz w:val="24"/>
                <w:szCs w:val="24"/>
                <w:highlight w:val="none"/>
                <w:lang w:val="en-US" w:eastAsia="zh-CN"/>
              </w:rPr>
              <w:t>2024</w:t>
            </w:r>
            <w:r>
              <w:rPr>
                <w:rFonts w:hint="eastAsia" w:ascii="宋体" w:hAnsi="宋体" w:cs="宋体"/>
                <w:b w:val="0"/>
                <w:bCs w:val="0"/>
                <w:color w:val="auto"/>
                <w:kern w:val="0"/>
                <w:sz w:val="24"/>
                <w:szCs w:val="24"/>
                <w:highlight w:val="none"/>
              </w:rPr>
              <w:t>年</w:t>
            </w:r>
            <w:r>
              <w:rPr>
                <w:rFonts w:hint="eastAsia" w:ascii="宋体" w:hAnsi="宋体" w:cs="宋体"/>
                <w:b w:val="0"/>
                <w:bCs w:val="0"/>
                <w:color w:val="auto"/>
                <w:kern w:val="0"/>
                <w:sz w:val="24"/>
                <w:szCs w:val="24"/>
                <w:highlight w:val="none"/>
                <w:lang w:eastAsia="zh-CN"/>
              </w:rPr>
              <w:t>）</w:t>
            </w:r>
            <w:r>
              <w:rPr>
                <w:rFonts w:hint="eastAsia" w:ascii="宋体" w:hAnsi="宋体" w:cs="宋体"/>
                <w:color w:val="auto"/>
                <w:sz w:val="24"/>
                <w:szCs w:val="24"/>
                <w:highlight w:val="none"/>
                <w:lang w:eastAsia="zh-CN"/>
              </w:rPr>
              <w:t>年度内经会计事务所或审计机构审计的财务会计报表，包括资产负债表、利润表、现金流量表、所有者权益变动（如有）及其附注（扫描件并加盖本单位公章）。（注：若无会计事务所或审计机构审计的财务会计报表，可提供公司内部财务报表加盖公章）；</w:t>
            </w:r>
          </w:p>
          <w:p w14:paraId="60230E56">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④须提供具备履行合同所必需的设备和专业技术能力的证明材料或书面声明；</w:t>
            </w:r>
          </w:p>
          <w:p w14:paraId="49EE3A7E">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⑤须提供响应文件递交截止日期之前六个月内任意一个月的纳税记录或证明文件扫描件加盖公章（依法免税的应提供相应文件说明），须提供响应文件递交截止日期之前六个月内任意3个月为员工缴纳社会保障资金的证明材料扫描件加盖公章，证明材料是缴纳社会保险的凭据（专用收据或社会保险缴纳清单）（依法不需要缴纳社会保障资金的应提供相应文件说明）；</w:t>
            </w:r>
          </w:p>
          <w:p w14:paraId="72F40E92">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⑥参加政府采购活动前三年内，在经营活动中没有重大违法记录（须提供声明函）。</w:t>
            </w:r>
          </w:p>
        </w:tc>
      </w:tr>
      <w:tr w14:paraId="1E46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959" w:type="dxa"/>
            <w:vAlign w:val="center"/>
          </w:tcPr>
          <w:p w14:paraId="04CB8A22">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329" w:type="dxa"/>
            <w:vAlign w:val="center"/>
          </w:tcPr>
          <w:p w14:paraId="787D6013">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法定代表人身份证明或授权委托书及代理人身份证明；</w:t>
            </w:r>
          </w:p>
        </w:tc>
      </w:tr>
      <w:tr w14:paraId="69B7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9" w:type="dxa"/>
            <w:vAlign w:val="center"/>
          </w:tcPr>
          <w:p w14:paraId="0A18039B">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329" w:type="dxa"/>
            <w:vAlign w:val="center"/>
          </w:tcPr>
          <w:p w14:paraId="41B8161D">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1"/>
                <w:sz w:val="24"/>
                <w:szCs w:val="24"/>
                <w:highlight w:val="none"/>
              </w:rPr>
              <w:t>是否交纳投标保证金；</w:t>
            </w:r>
          </w:p>
        </w:tc>
      </w:tr>
      <w:tr w14:paraId="109C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9" w:type="dxa"/>
            <w:vAlign w:val="center"/>
          </w:tcPr>
          <w:p w14:paraId="2733809A">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329" w:type="dxa"/>
            <w:vAlign w:val="center"/>
          </w:tcPr>
          <w:p w14:paraId="39DC8FB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312"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单位负责人为同一人或者存在直接控股、管理关系的不同供应商，不得参加同一合同项下的政府采购活动（格式详见附件：主要股东或出资人信息填写）</w:t>
            </w:r>
          </w:p>
        </w:tc>
      </w:tr>
      <w:tr w14:paraId="5B50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9" w:type="dxa"/>
            <w:shd w:val="clear" w:color="auto" w:fill="auto"/>
            <w:vAlign w:val="center"/>
          </w:tcPr>
          <w:p w14:paraId="20837D15">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结论</w:t>
            </w:r>
          </w:p>
        </w:tc>
        <w:tc>
          <w:tcPr>
            <w:tcW w:w="8329" w:type="dxa"/>
            <w:shd w:val="clear" w:color="auto" w:fill="auto"/>
            <w:vAlign w:val="center"/>
          </w:tcPr>
          <w:p w14:paraId="1A01FBE9">
            <w:pPr>
              <w:pStyle w:val="44"/>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是否实质性响应</w:t>
            </w:r>
            <w:r>
              <w:rPr>
                <w:rFonts w:hint="eastAsia" w:ascii="宋体" w:hAnsi="宋体" w:cs="宋体"/>
                <w:color w:val="auto"/>
                <w:sz w:val="24"/>
                <w:szCs w:val="24"/>
                <w:highlight w:val="none"/>
                <w:lang w:val="en-US" w:eastAsia="zh-CN"/>
              </w:rPr>
              <w:t>招标文件</w:t>
            </w:r>
          </w:p>
        </w:tc>
      </w:tr>
    </w:tbl>
    <w:p w14:paraId="1FAF4E08">
      <w:pPr>
        <w:tabs>
          <w:tab w:val="left" w:pos="5527"/>
        </w:tabs>
        <w:adjustRightInd w:val="0"/>
        <w:snapToGrid w:val="0"/>
        <w:spacing w:line="360" w:lineRule="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备注：如有一项未通过，采购人将认定整个</w:t>
      </w:r>
      <w:r>
        <w:rPr>
          <w:rFonts w:hint="eastAsia" w:ascii="宋体" w:hAnsi="宋体" w:eastAsia="宋体" w:cs="宋体"/>
          <w:b/>
          <w:color w:val="auto"/>
          <w:sz w:val="24"/>
          <w:szCs w:val="24"/>
          <w:highlight w:val="none"/>
          <w:lang w:eastAsia="zh-CN"/>
        </w:rPr>
        <w:t>投标文件</w:t>
      </w:r>
      <w:r>
        <w:rPr>
          <w:rFonts w:hint="eastAsia" w:ascii="宋体" w:hAnsi="宋体" w:eastAsia="宋体" w:cs="宋体"/>
          <w:b/>
          <w:color w:val="auto"/>
          <w:sz w:val="24"/>
          <w:szCs w:val="24"/>
          <w:highlight w:val="none"/>
        </w:rPr>
        <w:t>未响应</w:t>
      </w:r>
      <w:r>
        <w:rPr>
          <w:rFonts w:hint="eastAsia" w:ascii="宋体" w:hAnsi="宋体" w:eastAsia="宋体" w:cs="宋体"/>
          <w:b/>
          <w:color w:val="auto"/>
          <w:sz w:val="24"/>
          <w:szCs w:val="24"/>
          <w:highlight w:val="none"/>
          <w:lang w:eastAsia="zh-CN"/>
        </w:rPr>
        <w:t>公开招标</w:t>
      </w:r>
      <w:r>
        <w:rPr>
          <w:rFonts w:hint="eastAsia" w:ascii="宋体" w:hAnsi="宋体" w:eastAsia="宋体" w:cs="宋体"/>
          <w:b/>
          <w:color w:val="auto"/>
          <w:sz w:val="24"/>
          <w:szCs w:val="24"/>
          <w:highlight w:val="none"/>
        </w:rPr>
        <w:t>文件而予以废标处理。</w:t>
      </w:r>
    </w:p>
    <w:p w14:paraId="1D1A08E0">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0BBFC3D5">
      <w:pPr>
        <w:tabs>
          <w:tab w:val="left" w:pos="5527"/>
        </w:tabs>
        <w:adjustRightInd w:val="0"/>
        <w:snapToGrid w:val="0"/>
        <w:spacing w:line="360" w:lineRule="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w:t>
      </w:r>
    </w:p>
    <w:p w14:paraId="69E3E0AE">
      <w:pPr>
        <w:tabs>
          <w:tab w:val="left" w:pos="5527"/>
        </w:tabs>
        <w:adjustRightInd w:val="0"/>
        <w:snapToGrid w:val="0"/>
        <w:spacing w:line="360" w:lineRule="auto"/>
        <w:jc w:val="center"/>
        <w:outlineLvl w:val="3"/>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符合性审查表</w:t>
      </w:r>
    </w:p>
    <w:tbl>
      <w:tblPr>
        <w:tblStyle w:val="27"/>
        <w:tblW w:w="9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8039"/>
      </w:tblGrid>
      <w:tr w14:paraId="4597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086" w:type="dxa"/>
            <w:vAlign w:val="center"/>
          </w:tcPr>
          <w:p w14:paraId="56775A64">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039" w:type="dxa"/>
            <w:vAlign w:val="center"/>
          </w:tcPr>
          <w:p w14:paraId="207F561F">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评审内容</w:t>
            </w:r>
          </w:p>
        </w:tc>
      </w:tr>
      <w:tr w14:paraId="0A1D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1086" w:type="dxa"/>
            <w:vAlign w:val="center"/>
          </w:tcPr>
          <w:p w14:paraId="0A07AC9E">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039" w:type="dxa"/>
            <w:vAlign w:val="center"/>
          </w:tcPr>
          <w:p w14:paraId="3CDB946F">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是否满足项目的</w:t>
            </w:r>
            <w:r>
              <w:rPr>
                <w:rFonts w:hint="eastAsia" w:ascii="宋体" w:hAnsi="宋体" w:eastAsia="宋体" w:cs="宋体"/>
                <w:color w:val="auto"/>
                <w:sz w:val="24"/>
                <w:szCs w:val="24"/>
                <w:highlight w:val="none"/>
                <w:lang w:val="en-US" w:eastAsia="zh-CN"/>
              </w:rPr>
              <w:t>合同履行期限（供货期限）</w:t>
            </w:r>
            <w:r>
              <w:rPr>
                <w:rFonts w:hint="eastAsia" w:ascii="宋体" w:hAnsi="宋体" w:eastAsia="宋体" w:cs="宋体"/>
                <w:color w:val="auto"/>
                <w:sz w:val="24"/>
                <w:szCs w:val="24"/>
                <w:highlight w:val="none"/>
              </w:rPr>
              <w:t>要求</w:t>
            </w:r>
          </w:p>
        </w:tc>
      </w:tr>
      <w:tr w14:paraId="21C4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vAlign w:val="center"/>
          </w:tcPr>
          <w:p w14:paraId="6D4DA81A">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039" w:type="dxa"/>
            <w:shd w:val="clear" w:color="auto" w:fill="auto"/>
            <w:vAlign w:val="center"/>
          </w:tcPr>
          <w:p w14:paraId="2B3858E4">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是否符合</w:t>
            </w:r>
            <w:r>
              <w:rPr>
                <w:rFonts w:hint="eastAsia" w:ascii="宋体" w:hAnsi="宋体" w:eastAsia="宋体" w:cs="宋体"/>
                <w:color w:val="auto"/>
                <w:sz w:val="24"/>
                <w:szCs w:val="24"/>
                <w:highlight w:val="none"/>
                <w:lang w:val="en-US" w:eastAsia="zh-CN"/>
              </w:rPr>
              <w:t>招</w:t>
            </w:r>
            <w:r>
              <w:rPr>
                <w:rFonts w:hint="eastAsia" w:ascii="宋体" w:hAnsi="宋体" w:eastAsia="宋体" w:cs="宋体"/>
                <w:color w:val="auto"/>
                <w:sz w:val="24"/>
                <w:szCs w:val="24"/>
                <w:highlight w:val="none"/>
                <w:lang w:eastAsia="zh-CN"/>
              </w:rPr>
              <w:t>标</w:t>
            </w:r>
            <w:r>
              <w:rPr>
                <w:rFonts w:hint="eastAsia" w:ascii="宋体" w:hAnsi="宋体" w:eastAsia="宋体" w:cs="宋体"/>
                <w:color w:val="auto"/>
                <w:sz w:val="24"/>
                <w:szCs w:val="24"/>
                <w:highlight w:val="none"/>
              </w:rPr>
              <w:t>文件的签署盖章要求</w:t>
            </w:r>
          </w:p>
        </w:tc>
      </w:tr>
      <w:tr w14:paraId="4EA0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086" w:type="dxa"/>
            <w:shd w:val="clear" w:color="auto" w:fill="auto"/>
            <w:vAlign w:val="center"/>
          </w:tcPr>
          <w:p w14:paraId="1ACFDCDE">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w:t>
            </w:r>
          </w:p>
        </w:tc>
        <w:tc>
          <w:tcPr>
            <w:tcW w:w="8039" w:type="dxa"/>
            <w:shd w:val="clear" w:color="auto" w:fill="auto"/>
            <w:vAlign w:val="center"/>
          </w:tcPr>
          <w:p w14:paraId="4F0E2D1C">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所供产品</w:t>
            </w:r>
            <w:r>
              <w:rPr>
                <w:rFonts w:hint="eastAsia" w:ascii="宋体" w:hAnsi="宋体" w:cs="宋体"/>
                <w:color w:val="auto"/>
                <w:sz w:val="24"/>
                <w:szCs w:val="24"/>
                <w:highlight w:val="none"/>
                <w:lang w:val="en-US" w:eastAsia="zh-CN"/>
              </w:rPr>
              <w:t>如有</w:t>
            </w:r>
            <w:r>
              <w:rPr>
                <w:rFonts w:hint="eastAsia" w:ascii="宋体" w:hAnsi="宋体" w:eastAsia="宋体" w:cs="宋体"/>
                <w:color w:val="auto"/>
                <w:sz w:val="24"/>
                <w:szCs w:val="24"/>
                <w:highlight w:val="none"/>
              </w:rPr>
              <w:t>“政府采购强制节能产品”的，需提供国家认可的节能产品认证证书扫描件或中国政府采购网--节能认证查询截图</w:t>
            </w:r>
          </w:p>
        </w:tc>
      </w:tr>
      <w:tr w14:paraId="10F1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1AAC742E">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w:t>
            </w:r>
          </w:p>
        </w:tc>
        <w:tc>
          <w:tcPr>
            <w:tcW w:w="8039" w:type="dxa"/>
            <w:shd w:val="clear" w:color="auto" w:fill="auto"/>
            <w:vAlign w:val="center"/>
          </w:tcPr>
          <w:p w14:paraId="1EB418D7">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有效期是否为90天</w:t>
            </w:r>
          </w:p>
        </w:tc>
      </w:tr>
      <w:tr w14:paraId="1768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6C761E45">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8039" w:type="dxa"/>
            <w:shd w:val="clear" w:color="auto" w:fill="auto"/>
            <w:vAlign w:val="center"/>
          </w:tcPr>
          <w:p w14:paraId="49267359">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报价是否固定唯一，且各报价没有超过最高限价</w:t>
            </w:r>
          </w:p>
        </w:tc>
      </w:tr>
      <w:tr w14:paraId="471E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086" w:type="dxa"/>
            <w:shd w:val="clear" w:color="auto" w:fill="auto"/>
            <w:vAlign w:val="center"/>
          </w:tcPr>
          <w:p w14:paraId="142946E5">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8039" w:type="dxa"/>
            <w:shd w:val="clear" w:color="auto" w:fill="auto"/>
            <w:vAlign w:val="center"/>
          </w:tcPr>
          <w:p w14:paraId="0A4976DD">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是否满足项目的</w:t>
            </w:r>
            <w:r>
              <w:rPr>
                <w:rFonts w:hint="eastAsia" w:ascii="宋体" w:hAnsi="宋体" w:cs="宋体"/>
                <w:color w:val="auto"/>
                <w:sz w:val="24"/>
                <w:szCs w:val="24"/>
                <w:highlight w:val="none"/>
                <w:lang w:val="en-US" w:eastAsia="zh-CN"/>
              </w:rPr>
              <w:t>质保期</w:t>
            </w:r>
            <w:r>
              <w:rPr>
                <w:rFonts w:hint="eastAsia" w:ascii="宋体" w:hAnsi="宋体" w:eastAsia="宋体" w:cs="宋体"/>
                <w:color w:val="auto"/>
                <w:sz w:val="24"/>
                <w:szCs w:val="24"/>
                <w:highlight w:val="none"/>
              </w:rPr>
              <w:t>要求</w:t>
            </w:r>
          </w:p>
        </w:tc>
      </w:tr>
      <w:tr w14:paraId="4A11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613D3232">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7</w:t>
            </w:r>
          </w:p>
        </w:tc>
        <w:tc>
          <w:tcPr>
            <w:tcW w:w="8039" w:type="dxa"/>
            <w:shd w:val="clear" w:color="auto" w:fill="auto"/>
            <w:vAlign w:val="center"/>
          </w:tcPr>
          <w:p w14:paraId="2C9CC212">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1"/>
                <w:sz w:val="24"/>
                <w:szCs w:val="24"/>
                <w:highlight w:val="none"/>
                <w:lang w:eastAsia="zh-CN"/>
              </w:rPr>
              <w:t>投标文件</w:t>
            </w:r>
            <w:r>
              <w:rPr>
                <w:rFonts w:hint="eastAsia" w:ascii="宋体" w:hAnsi="宋体" w:eastAsia="宋体" w:cs="宋体"/>
                <w:color w:val="auto"/>
                <w:kern w:val="1"/>
                <w:sz w:val="24"/>
                <w:szCs w:val="24"/>
                <w:highlight w:val="none"/>
              </w:rPr>
              <w:t>是否满足采购人需求的要求，</w:t>
            </w:r>
            <w:r>
              <w:rPr>
                <w:rFonts w:hint="eastAsia" w:ascii="宋体" w:hAnsi="宋体" w:eastAsia="宋体" w:cs="宋体"/>
                <w:color w:val="auto"/>
                <w:sz w:val="24"/>
                <w:szCs w:val="24"/>
                <w:highlight w:val="none"/>
              </w:rPr>
              <w:t>且没有重大偏离</w:t>
            </w:r>
          </w:p>
        </w:tc>
      </w:tr>
      <w:tr w14:paraId="0F42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4EC50DDC">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8</w:t>
            </w:r>
          </w:p>
        </w:tc>
        <w:tc>
          <w:tcPr>
            <w:tcW w:w="8039" w:type="dxa"/>
            <w:shd w:val="clear" w:color="auto" w:fill="auto"/>
            <w:vAlign w:val="center"/>
          </w:tcPr>
          <w:p w14:paraId="368B054C">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是否按照招标文件规定投标文件编制的要求</w:t>
            </w:r>
          </w:p>
        </w:tc>
      </w:tr>
      <w:tr w14:paraId="0EA2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vAlign w:val="center"/>
          </w:tcPr>
          <w:p w14:paraId="4908E1CC">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8039" w:type="dxa"/>
            <w:shd w:val="clear" w:color="auto" w:fill="auto"/>
            <w:vAlign w:val="center"/>
          </w:tcPr>
          <w:p w14:paraId="04FCBD99">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没有其他</w:t>
            </w:r>
            <w:r>
              <w:rPr>
                <w:rFonts w:hint="eastAsia" w:ascii="宋体" w:hAnsi="宋体" w:eastAsia="宋体" w:cs="宋体"/>
                <w:color w:val="auto"/>
                <w:sz w:val="24"/>
                <w:szCs w:val="24"/>
                <w:highlight w:val="none"/>
              </w:rPr>
              <w:t>未实质性响应</w:t>
            </w:r>
            <w:r>
              <w:rPr>
                <w:rFonts w:hint="eastAsia" w:ascii="宋体" w:hAnsi="宋体" w:cs="宋体"/>
                <w:color w:val="auto"/>
                <w:sz w:val="24"/>
                <w:szCs w:val="24"/>
                <w:highlight w:val="none"/>
                <w:lang w:val="en-US" w:eastAsia="zh-CN"/>
              </w:rPr>
              <w:t>招</w:t>
            </w:r>
            <w:r>
              <w:rPr>
                <w:rFonts w:hint="eastAsia" w:ascii="宋体" w:hAnsi="宋体" w:eastAsia="宋体" w:cs="宋体"/>
                <w:color w:val="auto"/>
                <w:sz w:val="24"/>
                <w:szCs w:val="24"/>
                <w:highlight w:val="none"/>
                <w:lang w:eastAsia="zh-CN"/>
              </w:rPr>
              <w:t>标</w:t>
            </w:r>
            <w:r>
              <w:rPr>
                <w:rFonts w:hint="eastAsia" w:ascii="宋体" w:hAnsi="宋体" w:eastAsia="宋体" w:cs="宋体"/>
                <w:color w:val="auto"/>
                <w:sz w:val="24"/>
                <w:szCs w:val="24"/>
                <w:highlight w:val="none"/>
              </w:rPr>
              <w:t>文件的要求</w:t>
            </w:r>
          </w:p>
        </w:tc>
      </w:tr>
      <w:tr w14:paraId="0AE4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373A233D">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结论</w:t>
            </w:r>
          </w:p>
        </w:tc>
        <w:tc>
          <w:tcPr>
            <w:tcW w:w="8039" w:type="dxa"/>
            <w:shd w:val="clear" w:color="auto" w:fill="auto"/>
            <w:vAlign w:val="center"/>
          </w:tcPr>
          <w:p w14:paraId="2D46E960">
            <w:pPr>
              <w:pStyle w:val="44"/>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sz w:val="24"/>
                <w:szCs w:val="24"/>
                <w:highlight w:val="none"/>
              </w:rPr>
              <w:t>是否实质性响应</w:t>
            </w:r>
            <w:r>
              <w:rPr>
                <w:rFonts w:hint="eastAsia" w:ascii="宋体" w:hAnsi="宋体" w:cs="宋体"/>
                <w:color w:val="auto"/>
                <w:sz w:val="24"/>
                <w:szCs w:val="24"/>
                <w:highlight w:val="none"/>
                <w:lang w:val="en-US" w:eastAsia="zh-CN"/>
              </w:rPr>
              <w:t>招</w:t>
            </w:r>
            <w:r>
              <w:rPr>
                <w:rFonts w:hint="eastAsia" w:ascii="宋体" w:hAnsi="宋体" w:eastAsia="宋体" w:cs="宋体"/>
                <w:color w:val="auto"/>
                <w:sz w:val="24"/>
                <w:szCs w:val="24"/>
                <w:highlight w:val="none"/>
                <w:lang w:eastAsia="zh-CN"/>
              </w:rPr>
              <w:t>标</w:t>
            </w:r>
            <w:r>
              <w:rPr>
                <w:rFonts w:hint="eastAsia" w:ascii="宋体" w:hAnsi="宋体" w:eastAsia="宋体" w:cs="宋体"/>
                <w:color w:val="auto"/>
                <w:sz w:val="24"/>
                <w:szCs w:val="24"/>
                <w:highlight w:val="none"/>
              </w:rPr>
              <w:t>文件</w:t>
            </w:r>
          </w:p>
        </w:tc>
      </w:tr>
    </w:tbl>
    <w:p w14:paraId="7219BD11">
      <w:pPr>
        <w:tabs>
          <w:tab w:val="left" w:pos="5527"/>
        </w:tabs>
        <w:spacing w:line="360" w:lineRule="auto"/>
        <w:ind w:firstLine="484" w:firstLineChars="200"/>
        <w:jc w:val="both"/>
        <w:outlineLvl w:val="9"/>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备注：如有一项未通过，</w:t>
      </w:r>
      <w:r>
        <w:rPr>
          <w:rFonts w:hint="eastAsia" w:ascii="宋体" w:hAnsi="宋体" w:eastAsia="宋体" w:cs="宋体"/>
          <w:b/>
          <w:color w:val="auto"/>
          <w:sz w:val="24"/>
          <w:szCs w:val="24"/>
          <w:highlight w:val="none"/>
          <w:lang w:eastAsia="zh-CN"/>
        </w:rPr>
        <w:t>评标小组</w:t>
      </w:r>
      <w:r>
        <w:rPr>
          <w:rFonts w:hint="eastAsia" w:ascii="宋体" w:hAnsi="宋体" w:eastAsia="宋体" w:cs="宋体"/>
          <w:b/>
          <w:color w:val="auto"/>
          <w:sz w:val="24"/>
          <w:szCs w:val="24"/>
          <w:highlight w:val="none"/>
        </w:rPr>
        <w:t>将认定整个</w:t>
      </w:r>
      <w:r>
        <w:rPr>
          <w:rFonts w:hint="eastAsia" w:ascii="宋体" w:hAnsi="宋体" w:eastAsia="宋体" w:cs="宋体"/>
          <w:b/>
          <w:color w:val="auto"/>
          <w:sz w:val="24"/>
          <w:szCs w:val="24"/>
          <w:highlight w:val="none"/>
          <w:lang w:val="en-US" w:eastAsia="zh-CN"/>
        </w:rPr>
        <w:t>投标文件</w:t>
      </w:r>
      <w:r>
        <w:rPr>
          <w:rFonts w:hint="eastAsia" w:ascii="宋体" w:hAnsi="宋体" w:eastAsia="宋体" w:cs="宋体"/>
          <w:b/>
          <w:color w:val="auto"/>
          <w:sz w:val="24"/>
          <w:szCs w:val="24"/>
          <w:highlight w:val="none"/>
        </w:rPr>
        <w:t>未响应</w:t>
      </w:r>
      <w:r>
        <w:rPr>
          <w:rFonts w:hint="eastAsia" w:ascii="宋体" w:hAnsi="宋体" w:eastAsia="宋体" w:cs="宋体"/>
          <w:b/>
          <w:color w:val="auto"/>
          <w:sz w:val="24"/>
          <w:szCs w:val="24"/>
          <w:highlight w:val="none"/>
          <w:lang w:val="en-US" w:eastAsia="zh-CN"/>
        </w:rPr>
        <w:t>公开招标</w:t>
      </w:r>
      <w:r>
        <w:rPr>
          <w:rFonts w:hint="eastAsia" w:ascii="宋体" w:hAnsi="宋体" w:eastAsia="宋体" w:cs="宋体"/>
          <w:b/>
          <w:color w:val="auto"/>
          <w:sz w:val="24"/>
          <w:szCs w:val="24"/>
          <w:highlight w:val="none"/>
        </w:rPr>
        <w:t>文件而予以废标处理。</w:t>
      </w:r>
    </w:p>
    <w:p w14:paraId="19313B3B">
      <w:pPr>
        <w:tabs>
          <w:tab w:val="left" w:pos="5527"/>
        </w:tabs>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327D7A6B">
      <w:pPr>
        <w:tabs>
          <w:tab w:val="left" w:pos="5527"/>
        </w:tabs>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附表</w:t>
      </w: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w:t>
      </w:r>
    </w:p>
    <w:bookmarkEnd w:id="150"/>
    <w:bookmarkEnd w:id="151"/>
    <w:bookmarkEnd w:id="152"/>
    <w:p w14:paraId="0D890E97">
      <w:pPr>
        <w:keepNext w:val="0"/>
        <w:keepLines w:val="0"/>
        <w:pageBreakBefore w:val="0"/>
        <w:widowControl w:val="0"/>
        <w:tabs>
          <w:tab w:val="left" w:pos="5527"/>
        </w:tabs>
        <w:kinsoku/>
        <w:wordWrap/>
        <w:overflowPunct/>
        <w:topLinePunct w:val="0"/>
        <w:autoSpaceDE/>
        <w:autoSpaceDN/>
        <w:bidi w:val="0"/>
        <w:adjustRightInd/>
        <w:snapToGrid/>
        <w:spacing w:line="400" w:lineRule="exact"/>
        <w:jc w:val="center"/>
        <w:textAlignment w:val="auto"/>
        <w:outlineLvl w:val="3"/>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val="en-US" w:eastAsia="zh-CN"/>
        </w:rPr>
        <w:t>详细</w:t>
      </w:r>
      <w:r>
        <w:rPr>
          <w:rFonts w:hint="eastAsia" w:ascii="宋体" w:hAnsi="宋体" w:eastAsia="宋体" w:cs="宋体"/>
          <w:b/>
          <w:color w:val="auto"/>
          <w:sz w:val="28"/>
          <w:szCs w:val="28"/>
          <w:highlight w:val="none"/>
        </w:rPr>
        <w:t>评审标准</w:t>
      </w:r>
    </w:p>
    <w:tbl>
      <w:tblPr>
        <w:tblStyle w:val="27"/>
        <w:tblW w:w="10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704"/>
        <w:gridCol w:w="748"/>
        <w:gridCol w:w="7529"/>
        <w:gridCol w:w="859"/>
      </w:tblGrid>
      <w:tr w14:paraId="38C3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noWrap w:val="0"/>
            <w:vAlign w:val="center"/>
          </w:tcPr>
          <w:p w14:paraId="2F7010C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106" w:leftChars="-50" w:right="-106" w:rightChars="-50"/>
              <w:jc w:val="center"/>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452" w:type="dxa"/>
            <w:gridSpan w:val="2"/>
            <w:noWrap w:val="0"/>
            <w:vAlign w:val="center"/>
          </w:tcPr>
          <w:p w14:paraId="583D33B8">
            <w:pPr>
              <w:keepNext w:val="0"/>
              <w:keepLines w:val="0"/>
              <w:widowControl/>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7529" w:type="dxa"/>
            <w:noWrap w:val="0"/>
            <w:vAlign w:val="center"/>
          </w:tcPr>
          <w:p w14:paraId="13859F2D">
            <w:pPr>
              <w:keepNext w:val="0"/>
              <w:keepLines w:val="0"/>
              <w:widowControl/>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评审内容</w:t>
            </w:r>
          </w:p>
        </w:tc>
        <w:tc>
          <w:tcPr>
            <w:tcW w:w="859" w:type="dxa"/>
            <w:noWrap w:val="0"/>
            <w:vAlign w:val="center"/>
          </w:tcPr>
          <w:p w14:paraId="39D09F11">
            <w:pPr>
              <w:keepNext w:val="0"/>
              <w:keepLines w:val="0"/>
              <w:widowControl/>
              <w:suppressLineNumbers w:val="0"/>
              <w:tabs>
                <w:tab w:val="left" w:pos="267"/>
                <w:tab w:val="left" w:pos="5527"/>
              </w:tabs>
              <w:spacing w:before="0" w:beforeAutospacing="0" w:after="0" w:afterAutospacing="0" w:line="330" w:lineRule="exact"/>
              <w:ind w:left="0" w:right="0"/>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w:t>
            </w:r>
          </w:p>
        </w:tc>
      </w:tr>
      <w:tr w14:paraId="066D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545" w:type="dxa"/>
            <w:noWrap w:val="0"/>
            <w:vAlign w:val="center"/>
          </w:tcPr>
          <w:p w14:paraId="294AFEB9">
            <w:pPr>
              <w:keepNext w:val="0"/>
              <w:keepLines w:val="0"/>
              <w:widowControl/>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4" w:type="dxa"/>
            <w:noWrap w:val="0"/>
            <w:vAlign w:val="center"/>
          </w:tcPr>
          <w:p w14:paraId="6F4016C6">
            <w:pPr>
              <w:keepNext w:val="0"/>
              <w:keepLines w:val="0"/>
              <w:widowControl/>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报价</w:t>
            </w:r>
          </w:p>
        </w:tc>
        <w:tc>
          <w:tcPr>
            <w:tcW w:w="748" w:type="dxa"/>
            <w:noWrap w:val="0"/>
            <w:vAlign w:val="center"/>
          </w:tcPr>
          <w:p w14:paraId="33244228">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w:t>
            </w:r>
          </w:p>
          <w:p w14:paraId="15692843">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w:t>
            </w:r>
          </w:p>
        </w:tc>
        <w:tc>
          <w:tcPr>
            <w:tcW w:w="7529" w:type="dxa"/>
            <w:noWrap w:val="0"/>
            <w:vAlign w:val="center"/>
          </w:tcPr>
          <w:p w14:paraId="6B5FBC58">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在满足招标文件要求的前提下，取各供应商有效报价的最低价作为评标基准价,满分为</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分；</w:t>
            </w:r>
          </w:p>
          <w:p w14:paraId="1FB75BE6">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价格分的计算：投标报价得分=(评标基准价／投标报价)×分值（保留小数点后二位数）</w:t>
            </w:r>
          </w:p>
        </w:tc>
        <w:tc>
          <w:tcPr>
            <w:tcW w:w="859" w:type="dxa"/>
            <w:noWrap w:val="0"/>
            <w:vAlign w:val="center"/>
          </w:tcPr>
          <w:p w14:paraId="2A0F40CC">
            <w:pPr>
              <w:keepNext w:val="0"/>
              <w:keepLines w:val="0"/>
              <w:widowControl/>
              <w:suppressLineNumbers w:val="0"/>
              <w:tabs>
                <w:tab w:val="left" w:pos="5527"/>
              </w:tabs>
              <w:spacing w:before="0" w:beforeAutospacing="0" w:after="0" w:afterAutospacing="0" w:line="330" w:lineRule="exact"/>
              <w:ind w:left="0" w:right="-80" w:rightChars="-38"/>
              <w:jc w:val="center"/>
              <w:textAlignment w:val="center"/>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bidi="ar"/>
              </w:rPr>
              <w:t>分</w:t>
            </w:r>
          </w:p>
        </w:tc>
      </w:tr>
      <w:tr w14:paraId="5EC5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shd w:val="clear" w:color="auto" w:fill="auto"/>
            <w:noWrap w:val="0"/>
            <w:vAlign w:val="center"/>
          </w:tcPr>
          <w:p w14:paraId="55BEC6F3">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2</w:t>
            </w:r>
          </w:p>
        </w:tc>
        <w:tc>
          <w:tcPr>
            <w:tcW w:w="704" w:type="dxa"/>
            <w:noWrap w:val="0"/>
            <w:vAlign w:val="center"/>
          </w:tcPr>
          <w:p w14:paraId="59E43226">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right="0"/>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商务部分</w:t>
            </w:r>
          </w:p>
        </w:tc>
        <w:tc>
          <w:tcPr>
            <w:tcW w:w="748" w:type="dxa"/>
            <w:noWrap w:val="0"/>
            <w:vAlign w:val="center"/>
          </w:tcPr>
          <w:p w14:paraId="22DD6E61">
            <w:pPr>
              <w:keepNext w:val="0"/>
              <w:keepLines w:val="0"/>
              <w:pageBreakBefore w:val="0"/>
              <w:suppressLineNumbers w:val="0"/>
              <w:tabs>
                <w:tab w:val="left" w:pos="5527"/>
              </w:tabs>
              <w:kinsoku/>
              <w:wordWrap/>
              <w:overflowPunct/>
              <w:topLinePunct w:val="0"/>
              <w:autoSpaceDE/>
              <w:autoSpaceDN/>
              <w:bidi w:val="0"/>
              <w:spacing w:before="0" w:beforeAutospacing="0" w:after="0" w:afterAutospacing="0" w:line="240" w:lineRule="auto"/>
              <w:ind w:left="-63" w:leftChars="-30" w:right="-63" w:rightChars="-3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业绩</w:t>
            </w:r>
          </w:p>
        </w:tc>
        <w:tc>
          <w:tcPr>
            <w:tcW w:w="7529" w:type="dxa"/>
            <w:noWrap w:val="0"/>
            <w:vAlign w:val="center"/>
          </w:tcPr>
          <w:p w14:paraId="4232F1B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供应商近三年具有的项目业绩，每项得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分，最高得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分，无业绩证明材料不得分。</w:t>
            </w:r>
          </w:p>
          <w:p w14:paraId="781549E9">
            <w:pPr>
              <w:keepNext w:val="0"/>
              <w:keepLines w:val="0"/>
              <w:pageBreakBefore w:val="0"/>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注：提供上述项目的合同（要点包括签约时间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项目名称、金额和双方盖章）</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标通知书，原件扫描件。否则该项业绩视为无效。</w:t>
            </w:r>
          </w:p>
        </w:tc>
        <w:tc>
          <w:tcPr>
            <w:tcW w:w="859" w:type="dxa"/>
            <w:noWrap w:val="0"/>
            <w:vAlign w:val="center"/>
          </w:tcPr>
          <w:p w14:paraId="01E0C84C">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330" w:lineRule="atLeast"/>
              <w:ind w:left="0" w:leftChars="0" w:right="-80" w:rightChars="-38"/>
              <w:jc w:val="center"/>
              <w:textAlignment w:val="center"/>
              <w:outlineLvl w:val="9"/>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分</w:t>
            </w:r>
          </w:p>
        </w:tc>
      </w:tr>
      <w:tr w14:paraId="5AA8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shd w:val="clear" w:color="auto" w:fill="auto"/>
            <w:noWrap w:val="0"/>
            <w:vAlign w:val="center"/>
          </w:tcPr>
          <w:p w14:paraId="04C3C8EA">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3</w:t>
            </w:r>
          </w:p>
        </w:tc>
        <w:tc>
          <w:tcPr>
            <w:tcW w:w="704" w:type="dxa"/>
            <w:vMerge w:val="restart"/>
            <w:noWrap w:val="0"/>
            <w:vAlign w:val="center"/>
          </w:tcPr>
          <w:p w14:paraId="28C8CEA1">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right="0"/>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技术部分</w:t>
            </w:r>
          </w:p>
        </w:tc>
        <w:tc>
          <w:tcPr>
            <w:tcW w:w="748" w:type="dxa"/>
            <w:shd w:val="clear" w:color="auto" w:fill="auto"/>
            <w:noWrap w:val="0"/>
            <w:vAlign w:val="center"/>
          </w:tcPr>
          <w:p w14:paraId="77735206">
            <w:pPr>
              <w:keepNext w:val="0"/>
              <w:keepLines w:val="0"/>
              <w:pageBreakBefore w:val="0"/>
              <w:suppressLineNumbers w:val="0"/>
              <w:tabs>
                <w:tab w:val="left" w:pos="5527"/>
              </w:tabs>
              <w:kinsoku/>
              <w:wordWrap/>
              <w:overflowPunct/>
              <w:topLinePunct w:val="0"/>
              <w:autoSpaceDE/>
              <w:autoSpaceDN/>
              <w:bidi w:val="0"/>
              <w:spacing w:before="0" w:beforeAutospacing="0" w:after="0" w:afterAutospacing="0" w:line="240" w:lineRule="auto"/>
              <w:ind w:left="-63" w:leftChars="-30" w:right="-63" w:rightChars="-30"/>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技术指标响应程度</w:t>
            </w:r>
          </w:p>
        </w:tc>
        <w:tc>
          <w:tcPr>
            <w:tcW w:w="7529" w:type="dxa"/>
            <w:shd w:val="clear" w:color="auto" w:fill="auto"/>
            <w:noWrap w:val="0"/>
            <w:vAlign w:val="center"/>
          </w:tcPr>
          <w:p w14:paraId="516500AA">
            <w:pPr>
              <w:keepNext w:val="0"/>
              <w:keepLines w:val="0"/>
              <w:pageBreakBefore w:val="0"/>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根据所投产品的配置与性能指标响应程度打分。完全满足招标要求的得</w:t>
            </w:r>
            <w:r>
              <w:rPr>
                <w:rFonts w:hint="eastAsia" w:ascii="宋体" w:hAnsi="宋体" w:cs="宋体"/>
                <w:color w:val="auto"/>
                <w:sz w:val="24"/>
                <w:szCs w:val="24"/>
                <w:highlight w:val="none"/>
                <w:lang w:val="en-US" w:eastAsia="zh-CN"/>
              </w:rPr>
              <w:t>25</w:t>
            </w:r>
            <w:r>
              <w:rPr>
                <w:rFonts w:hint="eastAsia" w:ascii="宋体" w:hAnsi="宋体" w:eastAsia="宋体" w:cs="宋体"/>
                <w:color w:val="auto"/>
                <w:sz w:val="24"/>
                <w:szCs w:val="24"/>
                <w:highlight w:val="none"/>
              </w:rPr>
              <w:t>分；技术参数每有一项</w:t>
            </w:r>
            <w:r>
              <w:rPr>
                <w:rFonts w:hint="eastAsia" w:ascii="宋体" w:hAnsi="宋体" w:cs="宋体"/>
                <w:color w:val="auto"/>
                <w:sz w:val="24"/>
                <w:szCs w:val="24"/>
                <w:highlight w:val="none"/>
                <w:lang w:val="en-US" w:eastAsia="zh-CN"/>
              </w:rPr>
              <w:t>不满足或</w:t>
            </w:r>
            <w:r>
              <w:rPr>
                <w:rFonts w:hint="eastAsia" w:ascii="宋体" w:hAnsi="宋体" w:eastAsia="宋体" w:cs="宋体"/>
                <w:color w:val="auto"/>
                <w:sz w:val="24"/>
                <w:szCs w:val="24"/>
                <w:highlight w:val="none"/>
              </w:rPr>
              <w:t>负偏离扣</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分，直至扣完为止。本项最高得</w:t>
            </w:r>
            <w:r>
              <w:rPr>
                <w:rFonts w:hint="eastAsia" w:ascii="宋体" w:hAnsi="宋体" w:cs="宋体"/>
                <w:color w:val="auto"/>
                <w:sz w:val="24"/>
                <w:szCs w:val="24"/>
                <w:highlight w:val="none"/>
                <w:lang w:val="en-US" w:eastAsia="zh-CN"/>
              </w:rPr>
              <w:t>25</w:t>
            </w:r>
            <w:r>
              <w:rPr>
                <w:rFonts w:hint="eastAsia" w:ascii="宋体" w:hAnsi="宋体" w:eastAsia="宋体" w:cs="宋体"/>
                <w:color w:val="auto"/>
                <w:sz w:val="24"/>
                <w:szCs w:val="24"/>
                <w:highlight w:val="none"/>
              </w:rPr>
              <w:t>分。</w:t>
            </w:r>
            <w:r>
              <w:rPr>
                <w:rFonts w:hint="eastAsia" w:ascii="宋体" w:hAnsi="宋体" w:eastAsia="宋体" w:cs="宋体"/>
                <w:b/>
                <w:bCs/>
                <w:color w:val="auto"/>
                <w:sz w:val="24"/>
                <w:szCs w:val="24"/>
                <w:highlight w:val="none"/>
              </w:rPr>
              <w:t>注：参数需求描述中要求的证明材料必须按要求提供，不提供的视为负偏离。提供对应的证明材料(证明材料为</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加盖公章</w:t>
            </w:r>
            <w:r>
              <w:rPr>
                <w:rFonts w:hint="eastAsia" w:ascii="宋体" w:hAnsi="宋体" w:cs="宋体"/>
                <w:b/>
                <w:bCs/>
                <w:color w:val="auto"/>
                <w:sz w:val="24"/>
                <w:szCs w:val="24"/>
                <w:highlight w:val="none"/>
                <w:lang w:val="en-US" w:eastAsia="zh-CN"/>
              </w:rPr>
              <w:t>的</w:t>
            </w:r>
            <w:r>
              <w:rPr>
                <w:rFonts w:hint="eastAsia" w:ascii="宋体" w:hAnsi="宋体" w:eastAsia="宋体" w:cs="宋体"/>
                <w:b/>
                <w:bCs/>
                <w:color w:val="auto"/>
                <w:sz w:val="24"/>
                <w:szCs w:val="24"/>
                <w:highlight w:val="none"/>
              </w:rPr>
              <w:t>检测报告或原厂产品说明书或原厂产品白皮书</w:t>
            </w:r>
            <w:r>
              <w:rPr>
                <w:rFonts w:hint="eastAsia" w:ascii="宋体" w:hAnsi="宋体" w:cs="宋体"/>
                <w:b/>
                <w:bCs/>
                <w:color w:val="auto"/>
                <w:sz w:val="24"/>
                <w:szCs w:val="24"/>
                <w:highlight w:val="none"/>
                <w:lang w:val="en-US" w:eastAsia="zh-CN"/>
              </w:rPr>
              <w:t>等</w:t>
            </w:r>
            <w:r>
              <w:rPr>
                <w:rFonts w:hint="eastAsia" w:ascii="宋体" w:hAnsi="宋体" w:eastAsia="宋体" w:cs="宋体"/>
                <w:b/>
                <w:bCs/>
                <w:color w:val="auto"/>
                <w:sz w:val="24"/>
                <w:szCs w:val="24"/>
                <w:highlight w:val="none"/>
              </w:rPr>
              <w:t>。)若未提供有效证明材料则该参数将被视为负偏离。</w:t>
            </w:r>
          </w:p>
        </w:tc>
        <w:tc>
          <w:tcPr>
            <w:tcW w:w="859" w:type="dxa"/>
            <w:shd w:val="clear" w:color="auto" w:fill="auto"/>
            <w:noWrap w:val="0"/>
            <w:vAlign w:val="center"/>
          </w:tcPr>
          <w:p w14:paraId="06765A05">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330" w:lineRule="atLeast"/>
              <w:ind w:left="0" w:leftChars="0" w:right="-80" w:rightChars="-38"/>
              <w:jc w:val="center"/>
              <w:textAlignment w:val="center"/>
              <w:outlineLvl w:val="9"/>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25</w:t>
            </w:r>
            <w:r>
              <w:rPr>
                <w:rFonts w:hint="eastAsia" w:ascii="宋体" w:hAnsi="宋体" w:eastAsia="宋体" w:cs="宋体"/>
                <w:color w:val="auto"/>
                <w:kern w:val="0"/>
                <w:sz w:val="24"/>
                <w:szCs w:val="24"/>
                <w:highlight w:val="none"/>
                <w:lang w:val="en-US" w:eastAsia="zh-CN" w:bidi="ar"/>
              </w:rPr>
              <w:t>分</w:t>
            </w:r>
          </w:p>
        </w:tc>
      </w:tr>
      <w:tr w14:paraId="27A9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shd w:val="clear" w:color="auto" w:fill="auto"/>
            <w:noWrap w:val="0"/>
            <w:vAlign w:val="center"/>
          </w:tcPr>
          <w:p w14:paraId="73AC0A42">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4</w:t>
            </w:r>
          </w:p>
        </w:tc>
        <w:tc>
          <w:tcPr>
            <w:tcW w:w="704" w:type="dxa"/>
            <w:vMerge w:val="continue"/>
            <w:noWrap w:val="0"/>
            <w:vAlign w:val="center"/>
          </w:tcPr>
          <w:p w14:paraId="3E14A135">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right="0"/>
              <w:jc w:val="center"/>
              <w:outlineLvl w:val="9"/>
              <w:rPr>
                <w:rFonts w:hint="eastAsia" w:ascii="宋体" w:hAnsi="宋体" w:eastAsia="宋体" w:cs="宋体"/>
                <w:color w:val="auto"/>
                <w:kern w:val="0"/>
                <w:sz w:val="24"/>
                <w:szCs w:val="24"/>
                <w:highlight w:val="none"/>
                <w:lang w:val="en-US" w:eastAsia="zh-CN"/>
              </w:rPr>
            </w:pPr>
          </w:p>
        </w:tc>
        <w:tc>
          <w:tcPr>
            <w:tcW w:w="748" w:type="dxa"/>
            <w:shd w:val="clear" w:color="auto" w:fill="auto"/>
            <w:noWrap w:val="0"/>
            <w:vAlign w:val="center"/>
          </w:tcPr>
          <w:p w14:paraId="4B715542">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供货方案</w:t>
            </w:r>
          </w:p>
        </w:tc>
        <w:tc>
          <w:tcPr>
            <w:tcW w:w="7529" w:type="dxa"/>
            <w:shd w:val="clear" w:color="auto" w:fill="auto"/>
            <w:noWrap w:val="0"/>
            <w:vAlign w:val="center"/>
          </w:tcPr>
          <w:p w14:paraId="166CDB8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firstLine="0" w:firstLineChars="0"/>
              <w:textAlignment w:val="baseline"/>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针对本项目编制</w:t>
            </w:r>
            <w:r>
              <w:rPr>
                <w:rFonts w:hint="eastAsia" w:ascii="宋体" w:hAnsi="宋体" w:eastAsia="宋体" w:cs="宋体"/>
                <w:color w:val="auto"/>
                <w:kern w:val="0"/>
                <w:sz w:val="24"/>
                <w:szCs w:val="24"/>
                <w:highlight w:val="none"/>
                <w:lang w:val="en-US" w:eastAsia="zh-CN" w:bidi="ar-SA"/>
              </w:rPr>
              <w:t>供货方案</w:t>
            </w:r>
            <w:r>
              <w:rPr>
                <w:rFonts w:hint="eastAsia" w:ascii="宋体" w:hAnsi="宋体" w:eastAsia="宋体" w:cs="Times New Roman"/>
                <w:color w:val="auto"/>
                <w:sz w:val="24"/>
                <w:szCs w:val="24"/>
                <w:highlight w:val="none"/>
                <w:lang w:val="en-US" w:eastAsia="zh-CN"/>
              </w:rPr>
              <w:t>，齐全的</w:t>
            </w:r>
            <w:r>
              <w:rPr>
                <w:rFonts w:hint="eastAsia" w:ascii="宋体" w:hAnsi="宋体" w:eastAsia="宋体" w:cs="宋体"/>
                <w:color w:val="auto"/>
                <w:kern w:val="0"/>
                <w:sz w:val="24"/>
                <w:szCs w:val="24"/>
                <w:highlight w:val="none"/>
                <w:lang w:val="en-US" w:eastAsia="zh-CN" w:bidi="ar-SA"/>
              </w:rPr>
              <w:t>供货方案</w:t>
            </w:r>
            <w:r>
              <w:rPr>
                <w:rFonts w:hint="eastAsia" w:ascii="宋体" w:hAnsi="宋体" w:eastAsia="宋体" w:cs="Times New Roman"/>
                <w:color w:val="auto"/>
                <w:sz w:val="24"/>
                <w:szCs w:val="24"/>
                <w:highlight w:val="none"/>
                <w:lang w:val="en-US" w:eastAsia="zh-CN"/>
              </w:rPr>
              <w:t>内容必须包含但不仅限于：</w:t>
            </w:r>
          </w:p>
          <w:p w14:paraId="52B66F16">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①供货方案</w:t>
            </w:r>
          </w:p>
          <w:p w14:paraId="298916B5">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②组织管理措施</w:t>
            </w:r>
          </w:p>
          <w:p w14:paraId="3CC45D40">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③项目进度计划</w:t>
            </w:r>
            <w:r>
              <w:rPr>
                <w:rFonts w:hint="eastAsia" w:ascii="宋体" w:hAnsi="宋体" w:eastAsia="宋体" w:cs="宋体"/>
                <w:color w:val="auto"/>
                <w:kern w:val="0"/>
                <w:sz w:val="24"/>
                <w:szCs w:val="24"/>
                <w:highlight w:val="none"/>
                <w:lang w:val="en-US" w:eastAsia="zh-CN" w:bidi="ar"/>
              </w:rPr>
              <w:t>等3项供货方案内容，方案内容完整齐全，符合项目实际的得</w:t>
            </w:r>
            <w:r>
              <w:rPr>
                <w:rFonts w:hint="eastAsia" w:ascii="宋体" w:hAnsi="宋体" w:cs="宋体"/>
                <w:color w:val="auto"/>
                <w:kern w:val="0"/>
                <w:sz w:val="24"/>
                <w:szCs w:val="24"/>
                <w:highlight w:val="none"/>
                <w:lang w:val="en-US" w:eastAsia="zh-CN" w:bidi="ar"/>
              </w:rPr>
              <w:t>24</w:t>
            </w:r>
            <w:r>
              <w:rPr>
                <w:rFonts w:hint="eastAsia" w:ascii="宋体" w:hAnsi="宋体" w:eastAsia="宋体" w:cs="宋体"/>
                <w:color w:val="auto"/>
                <w:kern w:val="0"/>
                <w:sz w:val="24"/>
                <w:szCs w:val="24"/>
                <w:highlight w:val="none"/>
                <w:lang w:val="en-US" w:eastAsia="zh-CN" w:bidi="ar"/>
              </w:rPr>
              <w:t>分；每缺少一项方案内容扣</w:t>
            </w:r>
            <w:r>
              <w:rPr>
                <w:rFonts w:hint="eastAsia" w:ascii="宋体" w:hAnsi="宋体" w:cs="宋体"/>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分；每一项方案内容存在缺陷的扣1分；未提供供货方案的，此项不得分。</w:t>
            </w:r>
          </w:p>
          <w:p w14:paraId="405001AB">
            <w:pPr>
              <w:keepNext w:val="0"/>
              <w:keepLines w:val="0"/>
              <w:suppressLineNumbers w:val="0"/>
              <w:tabs>
                <w:tab w:val="left" w:pos="5527"/>
              </w:tabs>
              <w:spacing w:before="0" w:beforeAutospacing="0" w:after="0" w:afterAutospacing="0" w:line="240" w:lineRule="auto"/>
              <w:ind w:left="0" w:leftChars="0" w:right="0" w:rightChars="0"/>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val="en-US" w:eastAsia="zh-CN"/>
              </w:rPr>
              <w:t>（缺陷是指：与本项目采购标的无关、方案内容前后不一致、前后逻辑错误、涉及的相关规范及标准错误、内容缺失、只有简单描述无实质性内容等）</w:t>
            </w:r>
          </w:p>
        </w:tc>
        <w:tc>
          <w:tcPr>
            <w:tcW w:w="859" w:type="dxa"/>
            <w:shd w:val="clear" w:color="auto" w:fill="auto"/>
            <w:noWrap w:val="0"/>
            <w:vAlign w:val="center"/>
          </w:tcPr>
          <w:p w14:paraId="58472461">
            <w:pPr>
              <w:keepNext w:val="0"/>
              <w:keepLines w:val="0"/>
              <w:pageBreakBefore w:val="0"/>
              <w:suppressLineNumbers w:val="0"/>
              <w:tabs>
                <w:tab w:val="left" w:pos="5527"/>
              </w:tabs>
              <w:kinsoku/>
              <w:wordWrap/>
              <w:overflowPunct/>
              <w:topLinePunct w:val="0"/>
              <w:autoSpaceDE/>
              <w:autoSpaceDN/>
              <w:bidi w:val="0"/>
              <w:adjustRightInd w:val="0"/>
              <w:snapToGrid w:val="0"/>
              <w:spacing w:before="0" w:beforeAutospacing="0" w:after="0" w:afterAutospacing="0" w:line="330" w:lineRule="atLeast"/>
              <w:ind w:left="0" w:leftChars="0" w:right="0" w:rightChars="0"/>
              <w:jc w:val="center"/>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cs="宋体"/>
                <w:color w:val="auto"/>
                <w:kern w:val="0"/>
                <w:sz w:val="24"/>
                <w:szCs w:val="24"/>
                <w:highlight w:val="none"/>
                <w:lang w:val="en-US" w:eastAsia="zh-CN" w:bidi="ar"/>
              </w:rPr>
              <w:t>24</w:t>
            </w:r>
            <w:r>
              <w:rPr>
                <w:rFonts w:hint="eastAsia" w:ascii="宋体" w:hAnsi="宋体" w:eastAsia="宋体" w:cs="宋体"/>
                <w:color w:val="auto"/>
                <w:kern w:val="0"/>
                <w:sz w:val="24"/>
                <w:szCs w:val="24"/>
                <w:highlight w:val="none"/>
                <w:lang w:bidi="ar"/>
              </w:rPr>
              <w:t>分</w:t>
            </w:r>
          </w:p>
        </w:tc>
      </w:tr>
      <w:tr w14:paraId="1915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45" w:type="dxa"/>
            <w:shd w:val="clear" w:color="auto" w:fill="auto"/>
            <w:noWrap w:val="0"/>
            <w:vAlign w:val="center"/>
          </w:tcPr>
          <w:p w14:paraId="4745C48E">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5</w:t>
            </w:r>
          </w:p>
        </w:tc>
        <w:tc>
          <w:tcPr>
            <w:tcW w:w="704" w:type="dxa"/>
            <w:vMerge w:val="continue"/>
            <w:noWrap w:val="0"/>
            <w:vAlign w:val="center"/>
          </w:tcPr>
          <w:p w14:paraId="07ABB63C">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right="0"/>
              <w:jc w:val="center"/>
              <w:outlineLvl w:val="9"/>
              <w:rPr>
                <w:rFonts w:hint="eastAsia" w:ascii="宋体" w:hAnsi="宋体" w:eastAsia="宋体" w:cs="宋体"/>
                <w:color w:val="auto"/>
                <w:kern w:val="0"/>
                <w:sz w:val="24"/>
                <w:szCs w:val="24"/>
                <w:highlight w:val="none"/>
                <w:lang w:val="en-US" w:eastAsia="zh-CN"/>
              </w:rPr>
            </w:pPr>
          </w:p>
        </w:tc>
        <w:tc>
          <w:tcPr>
            <w:tcW w:w="748" w:type="dxa"/>
            <w:shd w:val="clear" w:color="auto" w:fill="auto"/>
            <w:noWrap w:val="0"/>
            <w:vAlign w:val="center"/>
          </w:tcPr>
          <w:p w14:paraId="0BA50472">
            <w:pPr>
              <w:keepNext w:val="0"/>
              <w:keepLines w:val="0"/>
              <w:pageBreakBefore w:val="0"/>
              <w:suppressLineNumbers w:val="0"/>
              <w:tabs>
                <w:tab w:val="left" w:pos="5527"/>
              </w:tabs>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default"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bidi="ar"/>
              </w:rPr>
              <w:t>质量保证</w:t>
            </w:r>
            <w:r>
              <w:rPr>
                <w:rFonts w:hint="eastAsia" w:ascii="宋体" w:hAnsi="宋体" w:cs="宋体"/>
                <w:color w:val="auto"/>
                <w:kern w:val="0"/>
                <w:sz w:val="24"/>
                <w:szCs w:val="24"/>
                <w:highlight w:val="none"/>
                <w:lang w:val="en-US" w:eastAsia="zh-CN" w:bidi="ar"/>
              </w:rPr>
              <w:t>措施</w:t>
            </w:r>
          </w:p>
        </w:tc>
        <w:tc>
          <w:tcPr>
            <w:tcW w:w="7529" w:type="dxa"/>
            <w:shd w:val="clear" w:color="auto" w:fill="auto"/>
            <w:noWrap w:val="0"/>
            <w:vAlign w:val="center"/>
          </w:tcPr>
          <w:p w14:paraId="4A3C1B1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firstLine="0" w:firstLineChars="0"/>
              <w:textAlignment w:val="baseline"/>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针对本项目编制</w:t>
            </w:r>
            <w:r>
              <w:rPr>
                <w:rFonts w:hint="eastAsia" w:ascii="宋体" w:hAnsi="宋体" w:eastAsia="宋体" w:cs="宋体"/>
                <w:color w:val="auto"/>
                <w:kern w:val="0"/>
                <w:sz w:val="24"/>
                <w:szCs w:val="24"/>
                <w:highlight w:val="none"/>
                <w:lang w:val="en-US" w:eastAsia="zh-CN" w:bidi="ar"/>
              </w:rPr>
              <w:t>质量保证</w:t>
            </w:r>
            <w:r>
              <w:rPr>
                <w:rFonts w:hint="eastAsia" w:ascii="宋体" w:hAnsi="宋体" w:cs="宋体"/>
                <w:color w:val="auto"/>
                <w:kern w:val="0"/>
                <w:sz w:val="24"/>
                <w:szCs w:val="24"/>
                <w:highlight w:val="none"/>
                <w:lang w:val="en-US" w:eastAsia="zh-CN" w:bidi="ar"/>
              </w:rPr>
              <w:t>措施</w:t>
            </w:r>
            <w:r>
              <w:rPr>
                <w:rFonts w:hint="eastAsia" w:ascii="宋体" w:hAnsi="宋体" w:eastAsia="宋体" w:cs="Times New Roman"/>
                <w:color w:val="auto"/>
                <w:sz w:val="24"/>
                <w:szCs w:val="24"/>
                <w:highlight w:val="none"/>
                <w:lang w:val="en-US" w:eastAsia="zh-CN"/>
              </w:rPr>
              <w:t>，齐全的</w:t>
            </w:r>
            <w:r>
              <w:rPr>
                <w:rFonts w:hint="eastAsia" w:ascii="宋体" w:hAnsi="宋体" w:eastAsia="宋体" w:cs="宋体"/>
                <w:color w:val="auto"/>
                <w:kern w:val="0"/>
                <w:sz w:val="24"/>
                <w:szCs w:val="24"/>
                <w:highlight w:val="none"/>
                <w:lang w:val="en-US" w:eastAsia="zh-CN" w:bidi="ar"/>
              </w:rPr>
              <w:t>质量保证</w:t>
            </w:r>
            <w:r>
              <w:rPr>
                <w:rFonts w:hint="eastAsia" w:ascii="宋体" w:hAnsi="宋体" w:cs="宋体"/>
                <w:color w:val="auto"/>
                <w:kern w:val="0"/>
                <w:sz w:val="24"/>
                <w:szCs w:val="24"/>
                <w:highlight w:val="none"/>
                <w:lang w:val="en-US" w:eastAsia="zh-CN" w:bidi="ar"/>
              </w:rPr>
              <w:t>措施</w:t>
            </w:r>
            <w:r>
              <w:rPr>
                <w:rFonts w:hint="eastAsia" w:ascii="宋体" w:hAnsi="宋体" w:eastAsia="宋体" w:cs="Times New Roman"/>
                <w:color w:val="auto"/>
                <w:sz w:val="24"/>
                <w:szCs w:val="24"/>
                <w:highlight w:val="none"/>
                <w:lang w:val="en-US" w:eastAsia="zh-CN"/>
              </w:rPr>
              <w:t>内容必须包含但不仅限于：</w:t>
            </w:r>
          </w:p>
          <w:p w14:paraId="0AB579E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①产品性能技术方案</w:t>
            </w:r>
          </w:p>
          <w:p w14:paraId="12A65C7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②质量保证方案</w:t>
            </w:r>
          </w:p>
          <w:p w14:paraId="6D7CD71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全部满足客户产品需求得</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分，满分</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分；每缺一个要素扣</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分，每个要素里每有一处内容缺陷扣1分。</w:t>
            </w:r>
            <w:r>
              <w:rPr>
                <w:rFonts w:hint="eastAsia" w:ascii="宋体" w:hAnsi="宋体" w:eastAsia="宋体" w:cs="Times New Roman"/>
                <w:color w:val="auto"/>
                <w:sz w:val="24"/>
                <w:szCs w:val="24"/>
                <w:highlight w:val="none"/>
                <w:lang w:val="en-US" w:eastAsia="zh-CN"/>
              </w:rPr>
              <w:t>（缺陷是指：与本项目采购标的无关、方案内容前后不一致、前后逻辑错误、涉及的相关规范及标准错误、内容缺失、只有简单描述无实质性内容等）</w:t>
            </w:r>
          </w:p>
        </w:tc>
        <w:tc>
          <w:tcPr>
            <w:tcW w:w="859" w:type="dxa"/>
            <w:shd w:val="clear" w:color="auto" w:fill="auto"/>
            <w:noWrap w:val="0"/>
            <w:vAlign w:val="center"/>
          </w:tcPr>
          <w:p w14:paraId="7A13906D">
            <w:pPr>
              <w:keepNext w:val="0"/>
              <w:keepLines w:val="0"/>
              <w:pageBreakBefore w:val="0"/>
              <w:suppressLineNumbers w:val="0"/>
              <w:tabs>
                <w:tab w:val="left" w:pos="5527"/>
              </w:tabs>
              <w:kinsoku/>
              <w:wordWrap/>
              <w:overflowPunct/>
              <w:topLinePunct w:val="0"/>
              <w:autoSpaceDE/>
              <w:autoSpaceDN/>
              <w:bidi w:val="0"/>
              <w:adjustRightInd w:val="0"/>
              <w:snapToGrid w:val="0"/>
              <w:spacing w:before="0" w:beforeAutospacing="0" w:after="0" w:afterAutospacing="0" w:line="330" w:lineRule="atLeast"/>
              <w:ind w:left="0" w:leftChars="0" w:right="0" w:rightChars="0"/>
              <w:jc w:val="center"/>
              <w:outlineLvl w:val="9"/>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分</w:t>
            </w:r>
          </w:p>
        </w:tc>
      </w:tr>
      <w:tr w14:paraId="57D6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tcBorders>
              <w:left w:val="single" w:color="auto" w:sz="4" w:space="0"/>
              <w:right w:val="single" w:color="auto" w:sz="4" w:space="0"/>
            </w:tcBorders>
            <w:shd w:val="clear" w:color="auto" w:fill="auto"/>
            <w:noWrap w:val="0"/>
            <w:vAlign w:val="center"/>
          </w:tcPr>
          <w:p w14:paraId="3241C274">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6</w:t>
            </w:r>
          </w:p>
        </w:tc>
        <w:tc>
          <w:tcPr>
            <w:tcW w:w="704" w:type="dxa"/>
            <w:vMerge w:val="continue"/>
            <w:noWrap w:val="0"/>
            <w:vAlign w:val="center"/>
          </w:tcPr>
          <w:p w14:paraId="2473F2B0">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right="0"/>
              <w:jc w:val="center"/>
              <w:outlineLvl w:val="9"/>
              <w:rPr>
                <w:rFonts w:hint="eastAsia" w:ascii="宋体" w:hAnsi="宋体" w:eastAsia="宋体" w:cs="宋体"/>
                <w:color w:val="auto"/>
                <w:kern w:val="0"/>
                <w:sz w:val="24"/>
                <w:szCs w:val="24"/>
                <w:highlight w:val="none"/>
                <w:lang w:val="en-US" w:eastAsia="zh-CN"/>
              </w:rPr>
            </w:pPr>
          </w:p>
        </w:tc>
        <w:tc>
          <w:tcPr>
            <w:tcW w:w="748" w:type="dxa"/>
            <w:tcBorders>
              <w:left w:val="single" w:color="auto" w:sz="4" w:space="0"/>
              <w:right w:val="single" w:color="auto" w:sz="4" w:space="0"/>
            </w:tcBorders>
            <w:shd w:val="clear" w:color="auto" w:fill="auto"/>
            <w:noWrap w:val="0"/>
            <w:vAlign w:val="center"/>
          </w:tcPr>
          <w:p w14:paraId="634349C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售后服务</w:t>
            </w:r>
            <w:r>
              <w:rPr>
                <w:rFonts w:hint="eastAsia" w:ascii="宋体" w:hAnsi="宋体" w:cs="宋体"/>
                <w:color w:val="auto"/>
                <w:kern w:val="0"/>
                <w:sz w:val="24"/>
                <w:szCs w:val="24"/>
                <w:highlight w:val="none"/>
                <w:lang w:val="en-US" w:eastAsia="zh-CN" w:bidi="ar"/>
              </w:rPr>
              <w:t>方案</w:t>
            </w:r>
          </w:p>
        </w:tc>
        <w:tc>
          <w:tcPr>
            <w:tcW w:w="7529" w:type="dxa"/>
            <w:tcBorders>
              <w:top w:val="single" w:color="auto" w:sz="4" w:space="0"/>
              <w:left w:val="single" w:color="auto" w:sz="4" w:space="0"/>
              <w:right w:val="single" w:color="auto" w:sz="4" w:space="0"/>
            </w:tcBorders>
            <w:shd w:val="clear" w:color="auto" w:fill="auto"/>
            <w:noWrap w:val="0"/>
            <w:vAlign w:val="top"/>
          </w:tcPr>
          <w:p w14:paraId="1514887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firstLine="0" w:firstLineChars="0"/>
              <w:textAlignment w:val="baseline"/>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针对本项目编制</w:t>
            </w:r>
            <w:r>
              <w:rPr>
                <w:rFonts w:hint="eastAsia" w:ascii="宋体" w:hAnsi="宋体" w:eastAsia="宋体" w:cs="宋体"/>
                <w:color w:val="auto"/>
                <w:kern w:val="0"/>
                <w:sz w:val="24"/>
                <w:szCs w:val="24"/>
                <w:highlight w:val="none"/>
                <w:lang w:val="en-US" w:eastAsia="zh-CN" w:bidi="ar"/>
              </w:rPr>
              <w:t>售后服务</w:t>
            </w:r>
            <w:r>
              <w:rPr>
                <w:rFonts w:hint="eastAsia" w:ascii="宋体" w:hAnsi="宋体" w:cs="宋体"/>
                <w:color w:val="auto"/>
                <w:kern w:val="0"/>
                <w:sz w:val="24"/>
                <w:szCs w:val="24"/>
                <w:highlight w:val="none"/>
                <w:lang w:val="en-US" w:eastAsia="zh-CN" w:bidi="ar"/>
              </w:rPr>
              <w:t>方案</w:t>
            </w:r>
            <w:r>
              <w:rPr>
                <w:rFonts w:hint="eastAsia" w:ascii="宋体" w:hAnsi="宋体" w:eastAsia="宋体" w:cs="Times New Roman"/>
                <w:color w:val="auto"/>
                <w:sz w:val="24"/>
                <w:szCs w:val="24"/>
                <w:highlight w:val="none"/>
                <w:lang w:val="en-US" w:eastAsia="zh-CN"/>
              </w:rPr>
              <w:t>，齐全的</w:t>
            </w:r>
            <w:r>
              <w:rPr>
                <w:rFonts w:hint="eastAsia" w:ascii="宋体" w:hAnsi="宋体" w:eastAsia="宋体" w:cs="宋体"/>
                <w:color w:val="auto"/>
                <w:kern w:val="0"/>
                <w:sz w:val="24"/>
                <w:szCs w:val="24"/>
                <w:highlight w:val="none"/>
                <w:lang w:val="en-US" w:eastAsia="zh-CN" w:bidi="ar"/>
              </w:rPr>
              <w:t>售后服务</w:t>
            </w:r>
            <w:r>
              <w:rPr>
                <w:rFonts w:hint="eastAsia" w:ascii="宋体" w:hAnsi="宋体" w:cs="宋体"/>
                <w:color w:val="auto"/>
                <w:kern w:val="0"/>
                <w:sz w:val="24"/>
                <w:szCs w:val="24"/>
                <w:highlight w:val="none"/>
                <w:lang w:val="en-US" w:eastAsia="zh-CN" w:bidi="ar"/>
              </w:rPr>
              <w:t>方案</w:t>
            </w:r>
            <w:r>
              <w:rPr>
                <w:rFonts w:hint="eastAsia" w:ascii="宋体" w:hAnsi="宋体" w:eastAsia="宋体" w:cs="Times New Roman"/>
                <w:color w:val="auto"/>
                <w:sz w:val="24"/>
                <w:szCs w:val="24"/>
                <w:highlight w:val="none"/>
                <w:lang w:val="en-US" w:eastAsia="zh-CN"/>
              </w:rPr>
              <w:t>内容必须包含但不仅限于：</w:t>
            </w:r>
          </w:p>
          <w:p w14:paraId="137EF0B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①</w:t>
            </w:r>
            <w:r>
              <w:rPr>
                <w:rFonts w:hint="eastAsia" w:ascii="宋体" w:hAnsi="宋体" w:eastAsia="宋体" w:cs="宋体"/>
                <w:color w:val="auto"/>
                <w:kern w:val="0"/>
                <w:sz w:val="24"/>
                <w:szCs w:val="24"/>
                <w:highlight w:val="none"/>
                <w:lang w:val="en-US" w:eastAsia="zh-CN" w:bidi="ar"/>
              </w:rPr>
              <w:t>服务流程</w:t>
            </w:r>
          </w:p>
          <w:p w14:paraId="18D9C6A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②</w:t>
            </w:r>
            <w:r>
              <w:rPr>
                <w:rFonts w:hint="eastAsia" w:ascii="宋体" w:hAnsi="宋体" w:eastAsia="宋体" w:cs="宋体"/>
                <w:color w:val="auto"/>
                <w:kern w:val="0"/>
                <w:sz w:val="24"/>
                <w:szCs w:val="24"/>
                <w:highlight w:val="none"/>
                <w:lang w:val="en-US" w:eastAsia="zh-CN" w:bidi="ar"/>
              </w:rPr>
              <w:t>服务内容</w:t>
            </w:r>
          </w:p>
          <w:p w14:paraId="1F0FD88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③</w:t>
            </w:r>
            <w:r>
              <w:rPr>
                <w:rFonts w:hint="eastAsia" w:ascii="宋体" w:hAnsi="宋体" w:eastAsia="宋体" w:cs="宋体"/>
                <w:color w:val="auto"/>
                <w:kern w:val="0"/>
                <w:sz w:val="24"/>
                <w:szCs w:val="24"/>
                <w:highlight w:val="none"/>
                <w:lang w:val="en-US" w:eastAsia="zh-CN" w:bidi="ar"/>
              </w:rPr>
              <w:t>维修响应</w:t>
            </w:r>
          </w:p>
          <w:p w14:paraId="44572B3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④</w:t>
            </w:r>
            <w:r>
              <w:rPr>
                <w:rFonts w:hint="eastAsia" w:ascii="宋体" w:hAnsi="宋体" w:eastAsia="宋体" w:cs="宋体"/>
                <w:color w:val="auto"/>
                <w:kern w:val="0"/>
                <w:sz w:val="24"/>
                <w:szCs w:val="24"/>
                <w:highlight w:val="none"/>
                <w:lang w:val="en-US" w:eastAsia="zh-CN" w:bidi="ar"/>
              </w:rPr>
              <w:t>故障解决</w:t>
            </w:r>
          </w:p>
          <w:p w14:paraId="3A222BE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⑤</w:t>
            </w:r>
            <w:r>
              <w:rPr>
                <w:rFonts w:hint="eastAsia" w:ascii="宋体" w:hAnsi="宋体" w:eastAsia="宋体" w:cs="宋体"/>
                <w:color w:val="auto"/>
                <w:kern w:val="0"/>
                <w:sz w:val="24"/>
                <w:szCs w:val="24"/>
                <w:highlight w:val="none"/>
                <w:lang w:val="en-US" w:eastAsia="zh-CN" w:bidi="ar"/>
              </w:rPr>
              <w:t>回访计划等5项售后方案内容，方案内容完整齐全，符合项目实际的得5分；每缺少一项方案内容扣1分；每一项方案内容存在缺陷的扣0.5分；未提供供货方案的，此项不得分。</w:t>
            </w:r>
            <w:r>
              <w:rPr>
                <w:rFonts w:hint="eastAsia" w:ascii="宋体" w:hAnsi="宋体" w:eastAsia="宋体" w:cs="Times New Roman"/>
                <w:color w:val="auto"/>
                <w:sz w:val="24"/>
                <w:szCs w:val="24"/>
                <w:highlight w:val="none"/>
                <w:lang w:val="en-US" w:eastAsia="zh-CN"/>
              </w:rPr>
              <w:t>（缺陷是指：与本项目采购标的无关、方案内容前后不一致、前后逻辑错误、涉及的相关规范及标准错误、内容缺失、只有简单描述无实质性内容等）</w:t>
            </w:r>
          </w:p>
        </w:tc>
        <w:tc>
          <w:tcPr>
            <w:tcW w:w="859" w:type="dxa"/>
            <w:tcBorders>
              <w:top w:val="single" w:color="auto" w:sz="4" w:space="0"/>
              <w:left w:val="single" w:color="auto" w:sz="4" w:space="0"/>
              <w:right w:val="single" w:color="auto" w:sz="4" w:space="0"/>
            </w:tcBorders>
            <w:shd w:val="clear" w:color="auto" w:fill="auto"/>
            <w:noWrap w:val="0"/>
            <w:vAlign w:val="center"/>
          </w:tcPr>
          <w:p w14:paraId="3939768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5分</w:t>
            </w:r>
          </w:p>
        </w:tc>
      </w:tr>
      <w:tr w14:paraId="7976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545" w:type="dxa"/>
            <w:tcBorders>
              <w:left w:val="single" w:color="auto" w:sz="4" w:space="0"/>
              <w:right w:val="single" w:color="auto" w:sz="4" w:space="0"/>
            </w:tcBorders>
            <w:shd w:val="clear" w:color="auto" w:fill="auto"/>
            <w:noWrap w:val="0"/>
            <w:vAlign w:val="center"/>
          </w:tcPr>
          <w:p w14:paraId="06348865">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7</w:t>
            </w:r>
          </w:p>
        </w:tc>
        <w:tc>
          <w:tcPr>
            <w:tcW w:w="704" w:type="dxa"/>
            <w:vMerge w:val="continue"/>
            <w:noWrap w:val="0"/>
            <w:vAlign w:val="center"/>
          </w:tcPr>
          <w:p w14:paraId="3451DDF9">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right="0"/>
              <w:jc w:val="center"/>
              <w:outlineLvl w:val="9"/>
              <w:rPr>
                <w:rFonts w:hint="eastAsia" w:ascii="宋体" w:hAnsi="宋体" w:eastAsia="宋体" w:cs="宋体"/>
                <w:color w:val="auto"/>
                <w:kern w:val="0"/>
                <w:sz w:val="24"/>
                <w:szCs w:val="24"/>
                <w:highlight w:val="none"/>
                <w:lang w:val="en-US" w:eastAsia="zh-CN"/>
              </w:rPr>
            </w:pPr>
          </w:p>
        </w:tc>
        <w:tc>
          <w:tcPr>
            <w:tcW w:w="748" w:type="dxa"/>
            <w:tcBorders>
              <w:left w:val="single" w:color="auto" w:sz="4" w:space="0"/>
              <w:right w:val="single" w:color="auto" w:sz="4" w:space="0"/>
            </w:tcBorders>
            <w:shd w:val="clear" w:color="auto" w:fill="auto"/>
            <w:noWrap w:val="0"/>
            <w:vAlign w:val="center"/>
          </w:tcPr>
          <w:p w14:paraId="4016287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供货保证措施</w:t>
            </w:r>
          </w:p>
        </w:tc>
        <w:tc>
          <w:tcPr>
            <w:tcW w:w="7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627C54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firstLine="0" w:firstLineChars="0"/>
              <w:textAlignment w:val="baseline"/>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针对本项目编制</w:t>
            </w:r>
            <w:r>
              <w:rPr>
                <w:rFonts w:hint="eastAsia" w:ascii="宋体" w:hAnsi="宋体" w:eastAsia="宋体" w:cs="宋体"/>
                <w:color w:val="auto"/>
                <w:kern w:val="0"/>
                <w:sz w:val="24"/>
                <w:szCs w:val="24"/>
                <w:highlight w:val="none"/>
                <w:lang w:val="en-US" w:eastAsia="zh-CN" w:bidi="ar"/>
              </w:rPr>
              <w:t>供货保证措施</w:t>
            </w:r>
            <w:r>
              <w:rPr>
                <w:rFonts w:hint="eastAsia" w:ascii="宋体" w:hAnsi="宋体" w:eastAsia="宋体" w:cs="Times New Roman"/>
                <w:color w:val="auto"/>
                <w:sz w:val="24"/>
                <w:szCs w:val="24"/>
                <w:highlight w:val="none"/>
                <w:lang w:val="en-US" w:eastAsia="zh-CN"/>
              </w:rPr>
              <w:t>，齐全的</w:t>
            </w:r>
            <w:r>
              <w:rPr>
                <w:rFonts w:hint="eastAsia" w:ascii="宋体" w:hAnsi="宋体" w:eastAsia="宋体" w:cs="宋体"/>
                <w:color w:val="auto"/>
                <w:kern w:val="0"/>
                <w:sz w:val="24"/>
                <w:szCs w:val="24"/>
                <w:highlight w:val="none"/>
                <w:lang w:val="en-US" w:eastAsia="zh-CN" w:bidi="ar"/>
              </w:rPr>
              <w:t>供货保证措施</w:t>
            </w:r>
            <w:r>
              <w:rPr>
                <w:rFonts w:hint="eastAsia" w:ascii="宋体" w:hAnsi="宋体" w:eastAsia="宋体" w:cs="Times New Roman"/>
                <w:color w:val="auto"/>
                <w:sz w:val="24"/>
                <w:szCs w:val="24"/>
                <w:highlight w:val="none"/>
                <w:lang w:val="en-US" w:eastAsia="zh-CN"/>
              </w:rPr>
              <w:t>内容必须包含但不仅限于：</w:t>
            </w:r>
          </w:p>
          <w:p w14:paraId="2D40550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①安装、测试、调试方案明确、合理，有切实可行的保证措施，对本项目施工具有较强的指导性；</w:t>
            </w:r>
          </w:p>
          <w:p w14:paraId="7997FF7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②对软、硬件设备全程提供技术支持，产品安装和应用提供技术指导2部分要素。所有要素齐全且完全满足项目要求得 3 分，每缺一个要素扣1.5分，每个要素里每有一处内容缺陷扣 0.5 分（扣完为止）。</w:t>
            </w:r>
          </w:p>
          <w:p w14:paraId="235A2DF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Times New Roman"/>
                <w:color w:val="auto"/>
                <w:sz w:val="24"/>
                <w:szCs w:val="24"/>
                <w:highlight w:val="none"/>
                <w:lang w:val="en-US" w:eastAsia="zh-CN"/>
              </w:rPr>
              <w:t>（缺陷是指：与本项目采购标的无关、方案内容前后不一致、前后逻辑错误、涉及的相关规范及标准错误、内容缺失、只有简单描述无实质性内容等）</w:t>
            </w: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06702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3分</w:t>
            </w:r>
          </w:p>
        </w:tc>
      </w:tr>
      <w:tr w14:paraId="07F4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545" w:type="dxa"/>
            <w:tcBorders>
              <w:left w:val="single" w:color="auto" w:sz="4" w:space="0"/>
              <w:right w:val="single" w:color="auto" w:sz="4" w:space="0"/>
            </w:tcBorders>
            <w:shd w:val="clear" w:color="auto" w:fill="auto"/>
            <w:noWrap w:val="0"/>
            <w:vAlign w:val="center"/>
          </w:tcPr>
          <w:p w14:paraId="4F2F547B">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w:t>
            </w:r>
          </w:p>
        </w:tc>
        <w:tc>
          <w:tcPr>
            <w:tcW w:w="704" w:type="dxa"/>
            <w:vMerge w:val="continue"/>
            <w:noWrap w:val="0"/>
            <w:vAlign w:val="center"/>
          </w:tcPr>
          <w:p w14:paraId="62DFE9B0">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right="0"/>
              <w:jc w:val="center"/>
              <w:outlineLvl w:val="9"/>
              <w:rPr>
                <w:rFonts w:hint="eastAsia" w:ascii="宋体" w:hAnsi="宋体" w:eastAsia="宋体" w:cs="宋体"/>
                <w:color w:val="auto"/>
                <w:kern w:val="0"/>
                <w:sz w:val="24"/>
                <w:szCs w:val="24"/>
                <w:highlight w:val="none"/>
                <w:lang w:val="en-US" w:eastAsia="zh-CN"/>
              </w:rPr>
            </w:pPr>
          </w:p>
        </w:tc>
        <w:tc>
          <w:tcPr>
            <w:tcW w:w="748" w:type="dxa"/>
            <w:tcBorders>
              <w:left w:val="single" w:color="auto" w:sz="4" w:space="0"/>
              <w:right w:val="single" w:color="auto" w:sz="4" w:space="0"/>
            </w:tcBorders>
            <w:shd w:val="clear" w:color="auto" w:fill="auto"/>
            <w:noWrap w:val="0"/>
            <w:vAlign w:val="center"/>
          </w:tcPr>
          <w:p w14:paraId="633DB3C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质量承诺</w:t>
            </w:r>
          </w:p>
        </w:tc>
        <w:tc>
          <w:tcPr>
            <w:tcW w:w="7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1B024A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承诺发现产品质量问题能够无条件进行调换得2分</w:t>
            </w:r>
            <w:r>
              <w:rPr>
                <w:rFonts w:hint="eastAsia" w:ascii="宋体" w:hAnsi="宋体" w:cs="宋体"/>
                <w:color w:val="auto"/>
                <w:kern w:val="0"/>
                <w:sz w:val="24"/>
                <w:szCs w:val="24"/>
                <w:highlight w:val="none"/>
                <w:lang w:val="en-US" w:eastAsia="zh-CN" w:bidi="ar"/>
              </w:rPr>
              <w:t>，不提供不得分</w:t>
            </w:r>
            <w:r>
              <w:rPr>
                <w:rFonts w:hint="eastAsia" w:ascii="宋体" w:hAnsi="宋体" w:eastAsia="宋体" w:cs="宋体"/>
                <w:color w:val="auto"/>
                <w:kern w:val="0"/>
                <w:sz w:val="24"/>
                <w:szCs w:val="24"/>
                <w:highlight w:val="none"/>
                <w:lang w:val="en-US" w:eastAsia="zh-CN" w:bidi="ar"/>
              </w:rPr>
              <w:t>。</w:t>
            </w: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9E7FF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2分</w:t>
            </w:r>
          </w:p>
        </w:tc>
      </w:tr>
    </w:tbl>
    <w:p w14:paraId="6A2C341B">
      <w:pPr>
        <w:rPr>
          <w:rFonts w:hint="eastAsia" w:ascii="宋体" w:hAnsi="宋体" w:eastAsia="宋体" w:cs="宋体"/>
          <w:color w:val="auto"/>
          <w:sz w:val="24"/>
          <w:szCs w:val="24"/>
          <w:highlight w:val="none"/>
        </w:rPr>
        <w:sectPr>
          <w:headerReference r:id="rId8" w:type="first"/>
          <w:footerReference r:id="rId10" w:type="first"/>
          <w:headerReference r:id="rId7" w:type="default"/>
          <w:footerReference r:id="rId9" w:type="default"/>
          <w:pgSz w:w="11906" w:h="16838"/>
          <w:pgMar w:top="1417" w:right="1417" w:bottom="1417" w:left="1417" w:header="851" w:footer="850" w:gutter="0"/>
          <w:pgBorders>
            <w:top w:val="none" w:sz="0" w:space="0"/>
            <w:left w:val="none" w:sz="0" w:space="0"/>
            <w:bottom w:val="none" w:sz="0" w:space="0"/>
            <w:right w:val="none" w:sz="0" w:space="0"/>
          </w:pgBorders>
          <w:pgNumType w:fmt="numberInDash" w:start="1"/>
          <w:cols w:space="0" w:num="1"/>
          <w:titlePg/>
          <w:rtlGutter w:val="0"/>
          <w:docGrid w:type="linesAndChars" w:linePitch="312" w:charSpace="530"/>
        </w:sectPr>
      </w:pPr>
      <w:r>
        <w:rPr>
          <w:rFonts w:hint="eastAsia" w:ascii="宋体" w:hAnsi="宋体" w:eastAsia="宋体" w:cs="宋体"/>
          <w:color w:val="auto"/>
          <w:sz w:val="24"/>
          <w:szCs w:val="24"/>
          <w:highlight w:val="none"/>
        </w:rPr>
        <w:br w:type="page"/>
      </w:r>
    </w:p>
    <w:bookmarkEnd w:id="144"/>
    <w:bookmarkEnd w:id="145"/>
    <w:bookmarkEnd w:id="146"/>
    <w:bookmarkEnd w:id="147"/>
    <w:bookmarkEnd w:id="148"/>
    <w:bookmarkEnd w:id="149"/>
    <w:p w14:paraId="026A0624">
      <w:pPr>
        <w:keepNext w:val="0"/>
        <w:keepLines w:val="0"/>
        <w:widowControl/>
        <w:numPr>
          <w:ilvl w:val="0"/>
          <w:numId w:val="9"/>
        </w:numPr>
        <w:suppressLineNumbers w:val="0"/>
        <w:tabs>
          <w:tab w:val="left" w:pos="5527"/>
        </w:tabs>
        <w:jc w:val="center"/>
        <w:textAlignment w:val="center"/>
        <w:outlineLvl w:val="0"/>
        <w:rPr>
          <w:rStyle w:val="39"/>
          <w:rFonts w:hint="eastAsia" w:ascii="宋体" w:hAnsi="宋体" w:eastAsia="宋体" w:cs="宋体"/>
          <w:b/>
          <w:bCs/>
          <w:color w:val="auto"/>
          <w:sz w:val="32"/>
          <w:szCs w:val="32"/>
          <w:highlight w:val="none"/>
          <w:lang w:val="en-US" w:eastAsia="zh-CN"/>
        </w:rPr>
      </w:pPr>
      <w:bookmarkStart w:id="153" w:name="_Toc6801"/>
      <w:bookmarkStart w:id="154" w:name="_Toc29852"/>
      <w:bookmarkStart w:id="155" w:name="_Toc11247"/>
      <w:bookmarkStart w:id="156" w:name="_Toc31107"/>
      <w:bookmarkStart w:id="157" w:name="_Toc23713"/>
      <w:bookmarkStart w:id="158" w:name="_Toc16040"/>
      <w:r>
        <w:rPr>
          <w:rStyle w:val="39"/>
          <w:rFonts w:hint="eastAsia" w:ascii="宋体" w:hAnsi="宋体" w:eastAsia="宋体" w:cs="宋体"/>
          <w:b/>
          <w:bCs/>
          <w:color w:val="auto"/>
          <w:sz w:val="32"/>
          <w:szCs w:val="32"/>
          <w:highlight w:val="none"/>
          <w:lang w:val="en-US" w:eastAsia="zh-CN"/>
        </w:rPr>
        <w:t>采购清单</w:t>
      </w:r>
    </w:p>
    <w:p w14:paraId="349C11F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outlineLvl w:val="9"/>
        <w:rPr>
          <w:rFonts w:hint="eastAsia" w:ascii="宋体" w:hAnsi="宋体" w:cs="宋体"/>
          <w:color w:val="auto"/>
          <w:sz w:val="24"/>
          <w:szCs w:val="24"/>
          <w:highlight w:val="none"/>
          <w:lang w:val="en-US" w:eastAsia="zh-CN"/>
        </w:rPr>
      </w:pPr>
    </w:p>
    <w:p w14:paraId="00F879F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outlineLvl w:val="1"/>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标项1：</w:t>
      </w:r>
      <w:r>
        <w:rPr>
          <w:rFonts w:hint="eastAsia" w:cs="宋体"/>
          <w:b/>
          <w:bCs/>
          <w:color w:val="auto"/>
          <w:spacing w:val="-6"/>
          <w:kern w:val="2"/>
          <w:sz w:val="24"/>
          <w:szCs w:val="24"/>
          <w:highlight w:val="none"/>
          <w:lang w:val="en-US" w:eastAsia="zh-CN" w:bidi="ar-SA"/>
        </w:rPr>
        <w:t>班级</w:t>
      </w:r>
      <w:r>
        <w:rPr>
          <w:rFonts w:hint="eastAsia" w:ascii="宋体" w:hAnsi="宋体" w:eastAsia="宋体" w:cs="宋体"/>
          <w:b/>
          <w:bCs/>
          <w:color w:val="auto"/>
          <w:spacing w:val="-6"/>
          <w:kern w:val="2"/>
          <w:sz w:val="24"/>
          <w:szCs w:val="24"/>
          <w:highlight w:val="none"/>
          <w:lang w:val="en-US" w:eastAsia="zh-CN" w:bidi="ar-SA"/>
        </w:rPr>
        <w:t>设备采购及教学设备</w:t>
      </w:r>
    </w:p>
    <w:p w14:paraId="5B924DE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宋体" w:hAnsi="宋体" w:cs="宋体"/>
          <w:color w:val="auto"/>
          <w:sz w:val="24"/>
          <w:szCs w:val="24"/>
          <w:highlight w:val="none"/>
          <w:lang w:val="en-US" w:eastAsia="zh-CN"/>
        </w:rPr>
      </w:pPr>
    </w:p>
    <w:p w14:paraId="1E2A6FD4">
      <w:pPr>
        <w:keepNext w:val="0"/>
        <w:keepLines w:val="0"/>
        <w:widowControl/>
        <w:suppressLineNumbers w:val="0"/>
        <w:jc w:val="center"/>
        <w:textAlignment w:val="center"/>
        <w:outlineLvl w:val="2"/>
        <w:rPr>
          <w:rFonts w:hint="eastAsia" w:ascii="宋体" w:hAnsi="宋体" w:eastAsia="宋体" w:cs="宋体"/>
          <w:b/>
          <w:bCs/>
          <w:i w:val="0"/>
          <w:iCs w:val="0"/>
          <w:snapToGrid w:val="0"/>
          <w:color w:val="auto"/>
          <w:kern w:val="0"/>
          <w:sz w:val="28"/>
          <w:szCs w:val="28"/>
          <w:highlight w:val="none"/>
          <w:u w:val="none"/>
          <w:lang w:val="en-US" w:eastAsia="zh-CN" w:bidi="ar"/>
        </w:rPr>
      </w:pPr>
      <w:r>
        <w:rPr>
          <w:rFonts w:hint="eastAsia" w:ascii="宋体" w:hAnsi="宋体" w:cs="宋体"/>
          <w:b/>
          <w:bCs/>
          <w:i w:val="0"/>
          <w:iCs w:val="0"/>
          <w:snapToGrid w:val="0"/>
          <w:color w:val="auto"/>
          <w:kern w:val="0"/>
          <w:sz w:val="28"/>
          <w:szCs w:val="28"/>
          <w:highlight w:val="none"/>
          <w:u w:val="none"/>
          <w:lang w:val="en-US" w:eastAsia="zh-CN" w:bidi="ar"/>
        </w:rPr>
        <w:t>教学</w:t>
      </w:r>
      <w:r>
        <w:rPr>
          <w:rFonts w:hint="eastAsia" w:ascii="宋体" w:hAnsi="宋体" w:eastAsia="宋体" w:cs="宋体"/>
          <w:b/>
          <w:bCs/>
          <w:i w:val="0"/>
          <w:iCs w:val="0"/>
          <w:snapToGrid w:val="0"/>
          <w:color w:val="auto"/>
          <w:kern w:val="0"/>
          <w:sz w:val="28"/>
          <w:szCs w:val="28"/>
          <w:highlight w:val="none"/>
          <w:u w:val="none"/>
          <w:lang w:val="en-US" w:eastAsia="zh-CN" w:bidi="ar"/>
        </w:rPr>
        <w:t>设备清单</w:t>
      </w:r>
    </w:p>
    <w:tbl>
      <w:tblPr>
        <w:tblStyle w:val="72"/>
        <w:tblW w:w="9073" w:type="dxa"/>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95"/>
        <w:gridCol w:w="820"/>
        <w:gridCol w:w="6594"/>
        <w:gridCol w:w="365"/>
        <w:gridCol w:w="367"/>
        <w:gridCol w:w="432"/>
      </w:tblGrid>
      <w:tr w14:paraId="18066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blHeader/>
        </w:trPr>
        <w:tc>
          <w:tcPr>
            <w:tcW w:w="0" w:type="auto"/>
            <w:vAlign w:val="center"/>
          </w:tcPr>
          <w:p w14:paraId="51306D89">
            <w:pPr>
              <w:pStyle w:val="71"/>
              <w:spacing w:before="65" w:line="240" w:lineRule="auto"/>
              <w:ind w:left="164"/>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820" w:type="dxa"/>
            <w:vAlign w:val="center"/>
          </w:tcPr>
          <w:p w14:paraId="658017ED">
            <w:pPr>
              <w:pStyle w:val="71"/>
              <w:spacing w:before="69" w:line="240" w:lineRule="auto"/>
              <w:ind w:left="61" w:right="4"/>
              <w:jc w:val="center"/>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货物名称</w:t>
            </w:r>
          </w:p>
        </w:tc>
        <w:tc>
          <w:tcPr>
            <w:tcW w:w="6594" w:type="dxa"/>
            <w:vAlign w:val="center"/>
          </w:tcPr>
          <w:p w14:paraId="07A0FC02">
            <w:pPr>
              <w:pStyle w:val="71"/>
              <w:spacing w:before="65" w:line="240" w:lineRule="auto"/>
              <w:ind w:firstLine="238" w:firstLineChars="100"/>
              <w:jc w:val="center"/>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规格参数</w:t>
            </w:r>
          </w:p>
        </w:tc>
        <w:tc>
          <w:tcPr>
            <w:tcW w:w="0" w:type="auto"/>
            <w:vAlign w:val="center"/>
          </w:tcPr>
          <w:p w14:paraId="5464FC86">
            <w:pPr>
              <w:pStyle w:val="71"/>
              <w:spacing w:before="65" w:line="240" w:lineRule="auto"/>
              <w:ind w:left="73"/>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0" w:type="auto"/>
            <w:vAlign w:val="center"/>
          </w:tcPr>
          <w:p w14:paraId="3824CA90">
            <w:pPr>
              <w:pStyle w:val="71"/>
              <w:spacing w:before="65" w:line="240" w:lineRule="auto"/>
              <w:ind w:left="75"/>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w:t>
            </w:r>
          </w:p>
        </w:tc>
        <w:tc>
          <w:tcPr>
            <w:tcW w:w="0" w:type="auto"/>
            <w:vAlign w:val="center"/>
          </w:tcPr>
          <w:p w14:paraId="3669F0EF">
            <w:pPr>
              <w:pStyle w:val="71"/>
              <w:spacing w:before="65" w:line="240" w:lineRule="auto"/>
              <w:ind w:left="14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tc>
      </w:tr>
      <w:tr w14:paraId="42C94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0" w:type="auto"/>
            <w:vAlign w:val="center"/>
          </w:tcPr>
          <w:p w14:paraId="53BB7DB8">
            <w:pPr>
              <w:pStyle w:val="71"/>
              <w:numPr>
                <w:ilvl w:val="0"/>
                <w:numId w:val="0"/>
              </w:numPr>
              <w:spacing w:before="65" w:line="240" w:lineRule="auto"/>
              <w:ind w:left="637"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1.</w:t>
            </w:r>
          </w:p>
        </w:tc>
        <w:tc>
          <w:tcPr>
            <w:tcW w:w="820" w:type="dxa"/>
            <w:vAlign w:val="center"/>
          </w:tcPr>
          <w:p w14:paraId="0D536282">
            <w:pPr>
              <w:pStyle w:val="71"/>
              <w:spacing w:before="69" w:line="240" w:lineRule="auto"/>
              <w:ind w:left="61" w:right="4"/>
              <w:jc w:val="center"/>
              <w:rPr>
                <w:rFonts w:hint="eastAsia" w:ascii="宋体" w:hAnsi="宋体" w:eastAsia="宋体" w:cs="宋体"/>
                <w:color w:val="auto"/>
                <w:spacing w:val="6"/>
                <w:sz w:val="24"/>
                <w:szCs w:val="24"/>
                <w:highlight w:val="none"/>
              </w:rPr>
            </w:pPr>
          </w:p>
          <w:p w14:paraId="25FD38D7">
            <w:pPr>
              <w:pStyle w:val="71"/>
              <w:spacing w:before="69" w:line="240" w:lineRule="auto"/>
              <w:ind w:left="61" w:right="4"/>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交互智</w:t>
            </w:r>
            <w:r>
              <w:rPr>
                <w:rFonts w:hint="eastAsia" w:ascii="宋体" w:hAnsi="宋体" w:eastAsia="宋体" w:cs="宋体"/>
                <w:color w:val="auto"/>
                <w:spacing w:val="3"/>
                <w:sz w:val="24"/>
                <w:szCs w:val="24"/>
                <w:highlight w:val="none"/>
              </w:rPr>
              <w:t>能平板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(75寸)</w:t>
            </w:r>
          </w:p>
        </w:tc>
        <w:tc>
          <w:tcPr>
            <w:tcW w:w="6594" w:type="dxa"/>
            <w:shd w:val="clear" w:color="auto" w:fill="auto"/>
            <w:vAlign w:val="center"/>
          </w:tcPr>
          <w:p w14:paraId="6403DC8B">
            <w:pPr>
              <w:keepNext w:val="0"/>
              <w:keepLines w:val="0"/>
              <w:widowControl/>
              <w:numPr>
                <w:ilvl w:val="0"/>
                <w:numId w:val="0"/>
              </w:numPr>
              <w:suppressLineNumbers w:val="0"/>
              <w:spacing w:before="0" w:beforeAutospacing="0" w:after="0" w:afterAutospacing="0" w:line="240" w:lineRule="auto"/>
              <w:ind w:left="0" w:leftChars="0" w:right="0"/>
              <w:jc w:val="left"/>
              <w:textAlignment w:val="cente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一、整机要求：</w:t>
            </w:r>
          </w:p>
          <w:p w14:paraId="6EB24715">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9"/>
                <w:rFonts w:hint="eastAsia" w:ascii="宋体" w:hAnsi="宋体" w:eastAsia="宋体" w:cs="宋体"/>
                <w:color w:val="000000" w:themeColor="text1"/>
                <w:sz w:val="24"/>
                <w:szCs w:val="24"/>
                <w:lang w:val="en-US" w:eastAsia="zh-CN" w:bidi="ar"/>
                <w14:textFill>
                  <w14:solidFill>
                    <w14:schemeClr w14:val="tx1"/>
                  </w14:solidFill>
                </w14:textFill>
              </w:rPr>
              <w:t>整机采用一体设计，外部无任何可见内部功能模块连接线。整机采用全金属外壳设计，边角采用弧形设计，表面无尖锐边缘或凸起。采用超高清LED液晶显示屏，显示比例16:9，分辨率3840×2160。屏幕采用75英寸液晶显示器</w:t>
            </w:r>
          </w:p>
          <w:p w14:paraId="1BCCEBDC">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嵌入式系统版本不</w:t>
            </w:r>
            <w:r>
              <w:rPr>
                <w:rStyle w:val="61"/>
                <w:rFonts w:hint="eastAsia" w:ascii="宋体" w:hAnsi="宋体" w:eastAsia="宋体" w:cs="宋体"/>
                <w:color w:val="000000" w:themeColor="text1"/>
                <w:sz w:val="24"/>
                <w:szCs w:val="24"/>
                <w:lang w:val="en-US" w:eastAsia="zh-CN" w:bidi="ar"/>
                <w14:textFill>
                  <w14:solidFill>
                    <w14:schemeClr w14:val="tx1"/>
                  </w14:solidFill>
                </w14:textFill>
              </w:rPr>
              <w:t>低于Android 13。</w:t>
            </w:r>
            <w:r>
              <w:rPr>
                <w:rStyle w:val="58"/>
                <w:rFonts w:hint="eastAsia" w:ascii="宋体" w:hAnsi="宋体" w:eastAsia="宋体" w:cs="宋体"/>
                <w:color w:val="000000" w:themeColor="text1"/>
                <w:sz w:val="24"/>
                <w:szCs w:val="24"/>
                <w:lang w:val="en-US" w:eastAsia="zh-CN" w:bidi="ar"/>
                <w14:textFill>
                  <w14:solidFill>
                    <w14:schemeClr w14:val="tx1"/>
                  </w14:solidFill>
                </w14:textFill>
              </w:rPr>
              <w:t>内存≥2GB。存储空间≥8GB。</w:t>
            </w:r>
          </w:p>
          <w:p w14:paraId="41A5278D">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61"/>
                <w:rFonts w:hint="eastAsia" w:ascii="宋体" w:hAnsi="宋体" w:eastAsia="宋体" w:cs="宋体"/>
                <w:color w:val="000000" w:themeColor="text1"/>
                <w:sz w:val="24"/>
                <w:szCs w:val="24"/>
                <w:lang w:val="en-US" w:eastAsia="zh-CN" w:bidi="ar"/>
                <w14:textFill>
                  <w14:solidFill>
                    <w14:schemeClr w14:val="tx1"/>
                  </w14:solidFill>
                </w14:textFill>
              </w:rPr>
              <w:t>支持双系统中进行40点或以上触控。</w:t>
            </w:r>
            <w:r>
              <w:rPr>
                <w:rStyle w:val="51"/>
                <w:rFonts w:hint="eastAsia" w:ascii="宋体" w:hAnsi="宋体" w:eastAsia="宋体" w:cs="宋体"/>
                <w:color w:val="000000" w:themeColor="text1"/>
                <w:sz w:val="24"/>
                <w:szCs w:val="24"/>
                <w:lang w:val="en-US" w:eastAsia="zh-CN" w:bidi="ar"/>
                <w14:textFill>
                  <w14:solidFill>
                    <w14:schemeClr w14:val="tx1"/>
                  </w14:solidFill>
                </w14:textFill>
              </w:rPr>
              <w:t>（提供国家权威检测报告复印件）</w:t>
            </w:r>
          </w:p>
          <w:p w14:paraId="709D8379">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整机内置2.2声道扬声器，额定总功率≥60W。</w:t>
            </w:r>
          </w:p>
          <w:p w14:paraId="5DDAB903">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支持标准、听力、观影和AI感知音效模式，AI感知音效模式可通过内置麦克风采集教室物理环境声音，自动生成符合当前教室物理环境的频段、音量、音效。</w:t>
            </w:r>
          </w:p>
          <w:p w14:paraId="5014EC74">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整机视网膜蓝光危害（蓝光加权辐射亮度LB）满足IEC TR 62778:2014蓝光危害RG0级别。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（提供国家认可的第三方权威检测机构出具的权威检测报告）</w:t>
            </w:r>
          </w:p>
          <w:p w14:paraId="17E14D79">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整机全通道支持纸质护眼模式，可实现画面纹理的实时调整；支持纸质纹理：牛皮纸、素描纸、宣纸、水彩纸、水纹纸；支持透明度调节；支持色温调节。</w:t>
            </w:r>
          </w:p>
          <w:p w14:paraId="26D07C1F">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61"/>
                <w:rFonts w:hint="eastAsia" w:ascii="宋体" w:hAnsi="宋体" w:eastAsia="宋体" w:cs="宋体"/>
                <w:color w:val="000000" w:themeColor="text1"/>
                <w:sz w:val="24"/>
                <w:szCs w:val="24"/>
                <w:lang w:val="en-US" w:eastAsia="zh-CN" w:bidi="ar"/>
                <w14:textFill>
                  <w14:solidFill>
                    <w14:schemeClr w14:val="tx1"/>
                  </w14:solidFill>
                </w14:textFill>
              </w:rPr>
              <w:t>整机具备至少6个前置按键，</w:t>
            </w:r>
            <w:r>
              <w:rPr>
                <w:rStyle w:val="63"/>
                <w:rFonts w:hint="eastAsia" w:ascii="宋体" w:hAnsi="宋体" w:eastAsia="宋体" w:cs="宋体"/>
                <w:color w:val="000000" w:themeColor="text1"/>
                <w:sz w:val="24"/>
                <w:szCs w:val="24"/>
                <w:lang w:val="en-US" w:eastAsia="zh-CN" w:bidi="ar"/>
                <w14:textFill>
                  <w14:solidFill>
                    <w14:schemeClr w14:val="tx1"/>
                  </w14:solidFill>
                </w14:textFill>
              </w:rPr>
              <w:t>支持5个自定义前置按键，“设置”、“音量-”，“音量+”，“录屏”“护眼”按键，可通过自定义设置实现前置面板功能按键一键启用任一全局小工具。</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（提供国家认可的第三方权威检测机构出具的权威检测报告）</w:t>
            </w:r>
          </w:p>
          <w:p w14:paraId="18E9FBFF">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整机支持蓝牙Bluetooth 5.4标准，</w:t>
            </w:r>
            <w:r>
              <w:rPr>
                <w:rStyle w:val="61"/>
                <w:rFonts w:hint="eastAsia" w:ascii="宋体" w:hAnsi="宋体" w:eastAsia="宋体" w:cs="宋体"/>
                <w:color w:val="000000" w:themeColor="text1"/>
                <w:sz w:val="24"/>
                <w:szCs w:val="24"/>
                <w:lang w:val="en-US" w:eastAsia="zh-CN" w:bidi="ar"/>
                <w14:textFill>
                  <w14:solidFill>
                    <w14:schemeClr w14:val="tx1"/>
                  </w14:solidFill>
                </w14:textFill>
              </w:rPr>
              <w:t>Wi-Fi制式支持IEEE 802.11 a/b/g/n/ac/ax；支持版本Wi-Fi6。</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（提供国家认可的第三方权威检测机构出具的权威检测报告）</w:t>
            </w:r>
          </w:p>
          <w:p w14:paraId="36881455">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整机支持超声波信号，智能手机通过麦克风接收后，智能手机与整机无需在同一局域网内，可实现配对，一键投屏，用户无需手动输入投屏码或扫码获取投屏码。</w:t>
            </w:r>
          </w:p>
          <w:p w14:paraId="0723C85B">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整机内置双WiFi6无线网卡，在Android和Windows系统下，可实现Wi-Fi无线上网连接、AP无线热点发射。</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（提供国家认可的第三方权威检测机构出具的权威检测报告）</w:t>
            </w:r>
          </w:p>
          <w:p w14:paraId="4E88B5A1">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w:t>
            </w:r>
            <w:r>
              <w:rPr>
                <w:rStyle w:val="63"/>
                <w:rFonts w:hint="eastAsia" w:ascii="宋体" w:hAnsi="宋体" w:eastAsia="宋体" w:cs="宋体"/>
                <w:color w:val="000000" w:themeColor="text1"/>
                <w:sz w:val="24"/>
                <w:szCs w:val="24"/>
                <w:lang w:val="en-US" w:eastAsia="zh-CN" w:bidi="ar"/>
                <w14:textFill>
                  <w14:solidFill>
                    <w14:schemeClr w14:val="tx1"/>
                  </w14:solidFill>
                </w14:textFill>
              </w:rPr>
              <w:t>机上边框内置非独立摄像头，可拍摄≥1300万像素数的照片，可拍摄输出4K分辨率的视频，</w:t>
            </w:r>
            <w:r>
              <w:rPr>
                <w:rStyle w:val="58"/>
                <w:rFonts w:hint="eastAsia" w:ascii="宋体" w:hAnsi="宋体" w:eastAsia="宋体" w:cs="宋体"/>
                <w:color w:val="000000" w:themeColor="text1"/>
                <w:sz w:val="24"/>
                <w:szCs w:val="24"/>
                <w:lang w:val="en-US" w:eastAsia="zh-CN" w:bidi="ar"/>
                <w14:textFill>
                  <w14:solidFill>
                    <w14:schemeClr w14:val="tx1"/>
                  </w14:solidFill>
                </w14:textFill>
              </w:rPr>
              <w:t>摄像头支持人脸识别、清点人数、随机抽人；识别所有学生，显示标记，然后随机抽选。</w:t>
            </w:r>
          </w:p>
          <w:p w14:paraId="45B69E5D">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整机全通道侧边栏快捷菜单包含如下小工具：批注、降半屏、截屏、放大镜、倒计时、日历、聚光灯、秒表、冻屏、倒数日、答题</w:t>
            </w:r>
          </w:p>
          <w:p w14:paraId="0807FDD5">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整机支持互动课堂，老师设置题型，学生回答后提交，教师查看正确率比例及详细讲解；支持随机抽选、实时弹幕；支持管理当前班级成员；支持导出学生报告。</w:t>
            </w:r>
          </w:p>
          <w:p w14:paraId="41F47431">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整机内置触摸中控菜单，可查看当前正在运行的应用，支持应用切换，在全屏应用下无需退出全屏应用即可进行切换；支持应用关闭，以及关闭所有应用。</w:t>
            </w:r>
          </w:p>
          <w:p w14:paraId="3FD57068">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68844BFB">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整机Windows通道支持文件传输应用，可将手机文件传输到整机上，无需借助第三方网页、第三方应用，传输文件格式支持：pptx、pdf、docx、jpg、png、gif、mp4、wmv、mp3、wav、zip。</w:t>
            </w:r>
          </w:p>
          <w:p w14:paraId="1CE09401">
            <w:pPr>
              <w:keepNext w:val="0"/>
              <w:keepLines w:val="0"/>
              <w:widowControl/>
              <w:numPr>
                <w:ilvl w:val="0"/>
                <w:numId w:val="10"/>
              </w:numPr>
              <w:suppressLineNumbers w:val="0"/>
              <w:spacing w:before="0" w:beforeAutospacing="0" w:after="0" w:afterAutospacing="0" w:line="240" w:lineRule="auto"/>
              <w:ind w:left="425" w:leftChars="0" w:right="0" w:hanging="425" w:firstLineChars="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Style w:val="58"/>
                <w:rFonts w:hint="eastAsia" w:ascii="宋体" w:hAnsi="宋体" w:eastAsia="宋体" w:cs="宋体"/>
                <w:color w:val="000000" w:themeColor="text1"/>
                <w:sz w:val="24"/>
                <w:szCs w:val="24"/>
                <w:lang w:val="en-US" w:eastAsia="zh-CN" w:bidi="ar"/>
                <w14:textFill>
                  <w14:solidFill>
                    <w14:schemeClr w14:val="tx1"/>
                  </w14:solidFill>
                </w14:textFill>
              </w:rPr>
              <w:t>整机Windows通道支持文件传输应用，支持通过扫码、超声两种方式与手机进行握手连接，实现文件传输功能，传输方式支持公网传输、局域网传输。</w:t>
            </w:r>
          </w:p>
          <w:p w14:paraId="05E59BCB">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二、ops模块</w:t>
            </w:r>
          </w:p>
          <w:p w14:paraId="3AA4FD1C">
            <w:pPr>
              <w:keepNext w:val="0"/>
              <w:keepLines w:val="0"/>
              <w:numPr>
                <w:ilvl w:val="0"/>
                <w:numId w:val="11"/>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处理器：Intel Core i5 及</w:t>
            </w:r>
            <w:r>
              <w:rPr>
                <w:rFonts w:hint="eastAsia" w:ascii="宋体" w:hAnsi="宋体" w:eastAsia="宋体" w:cs="宋体"/>
                <w:color w:val="000000" w:themeColor="text1"/>
                <w:sz w:val="24"/>
                <w:szCs w:val="24"/>
                <w:lang w:val="en-US" w:eastAsia="zh-CN"/>
                <w14:textFill>
                  <w14:solidFill>
                    <w14:schemeClr w14:val="tx1"/>
                  </w14:solidFill>
                </w14:textFill>
              </w:rPr>
              <w:t>12代</w:t>
            </w:r>
            <w:r>
              <w:rPr>
                <w:rFonts w:hint="eastAsia" w:ascii="宋体" w:hAnsi="宋体" w:eastAsia="宋体" w:cs="宋体"/>
                <w:color w:val="000000" w:themeColor="text1"/>
                <w:sz w:val="24"/>
                <w:szCs w:val="24"/>
                <w14:textFill>
                  <w14:solidFill>
                    <w14:schemeClr w14:val="tx1"/>
                  </w14:solidFill>
                </w14:textFill>
              </w:rPr>
              <w:t>以上。</w:t>
            </w:r>
          </w:p>
          <w:p w14:paraId="266F32AE">
            <w:pPr>
              <w:keepNext w:val="0"/>
              <w:keepLines w:val="0"/>
              <w:numPr>
                <w:ilvl w:val="0"/>
                <w:numId w:val="11"/>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内存：8G DDR4 笔记本内存或以上配置。</w:t>
            </w:r>
          </w:p>
          <w:p w14:paraId="43E5C161">
            <w:pPr>
              <w:keepNext w:val="0"/>
              <w:keepLines w:val="0"/>
              <w:numPr>
                <w:ilvl w:val="0"/>
                <w:numId w:val="11"/>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硬盘≥256G SSD 固态硬盘</w:t>
            </w:r>
          </w:p>
          <w:p w14:paraId="0D1757D1">
            <w:pPr>
              <w:keepNext w:val="0"/>
              <w:keepLines w:val="0"/>
              <w:numPr>
                <w:ilvl w:val="0"/>
                <w:numId w:val="11"/>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具有独立非外扩展的电脑USB接口：≥3路USB。≥1 路 HDMI ；</w:t>
            </w:r>
          </w:p>
          <w:p w14:paraId="465462EB">
            <w:pPr>
              <w:keepNext w:val="0"/>
              <w:keepLines w:val="0"/>
              <w:numPr>
                <w:ilvl w:val="0"/>
                <w:numId w:val="11"/>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为保证设备使用稳定性及兼容性，要求班班通与OPS模块必须为同一品牌，提供证明文件。</w:t>
            </w:r>
          </w:p>
          <w:p w14:paraId="609C3D92">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三、教学软件（软件为保证兼容性需要与硬件为同一品牌，且为满足教学所需，功能需逐条满足）</w:t>
            </w:r>
          </w:p>
          <w:p w14:paraId="648502DE">
            <w:pPr>
              <w:keepNext w:val="0"/>
              <w:keepLines w:val="0"/>
              <w:numPr>
                <w:ilvl w:val="0"/>
                <w:numId w:val="12"/>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能够为教师提供至少1258GB云存储空间，教师可在个人云空间上传存储互动课件、云教案和其他教学资源。</w:t>
            </w:r>
          </w:p>
          <w:p w14:paraId="1D9A9A40">
            <w:pPr>
              <w:keepNext w:val="0"/>
              <w:keepLines w:val="0"/>
              <w:numPr>
                <w:ilvl w:val="0"/>
                <w:numId w:val="12"/>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为使用方全体教师配备个人账号，形成一体的信息化教学账号体系；根据教师账号信息将教师云空间匹配至对应学校、学科校本资源库。支持通过数字账号、微信二维码、硬件密钥方式登录教师个人账号。</w:t>
            </w:r>
          </w:p>
          <w:p w14:paraId="1E0837CB">
            <w:pPr>
              <w:keepNext w:val="0"/>
              <w:keepLines w:val="0"/>
              <w:numPr>
                <w:ilvl w:val="0"/>
                <w:numId w:val="12"/>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提供互动式教学课件资源，包含学科教育各学段各地区教材版本不少于100个；包含学科教育各学段教材版本全部教学章节、专题教育多个主题教育、特殊教育三大分类不少于100000份的交互动课件。</w:t>
            </w:r>
          </w:p>
          <w:p w14:paraId="5328644E">
            <w:pPr>
              <w:keepNext w:val="0"/>
              <w:keepLines w:val="0"/>
              <w:numPr>
                <w:ilvl w:val="0"/>
                <w:numId w:val="12"/>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AI智能备课助手：支持按照教学环节筛选对应课件页一键插入课件中，可导入新课、作者简介。支持按照元素类型思维导图、课堂活动选取需要的部分补充课件缺失的部分。</w:t>
            </w:r>
          </w:p>
          <w:p w14:paraId="579B04DE">
            <w:pPr>
              <w:keepNext w:val="0"/>
              <w:keepLines w:val="0"/>
              <w:numPr>
                <w:ilvl w:val="0"/>
                <w:numId w:val="12"/>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支持PPT的原生解析，教师可将pptx课件转化为互动教学课件，支持单份导入和批量文件夹导入两种导入方式，保留pptx原文件中的文字、图片、表格等对象及动画的可编辑性，并可为课件增加互动教学元素。</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（提供国家认可的第三方权威检测机构出具的权威检测报告）</w:t>
            </w:r>
          </w:p>
          <w:p w14:paraId="1F2113A5">
            <w:pPr>
              <w:keepNext w:val="0"/>
              <w:keepLines w:val="0"/>
              <w:numPr>
                <w:ilvl w:val="0"/>
                <w:numId w:val="12"/>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支持将Word文档转换为云教案，支持解析文本、表格通用元素。云教案支持插入表格、图片、音视频、文档附件。支持的音视频格式：mp3、mp4、ogg、wav、webm；支持的文档格式：pdf、doc、docx、xls、xlsx。</w:t>
            </w:r>
          </w:p>
          <w:p w14:paraId="45300BF9">
            <w:pPr>
              <w:keepNext w:val="0"/>
              <w:keepLines w:val="0"/>
              <w:numPr>
                <w:ilvl w:val="0"/>
                <w:numId w:val="12"/>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提供教案模板以供老师撰写教案，预置模板包含表格式、提纲式、集备式、多课时式、单元设计式不少于7个。支持校本模板，管理员在教研管理后台设置校本模板后，老师可在云教案模板调用。（提供国家权威检测报告复印件）</w:t>
            </w:r>
          </w:p>
          <w:p w14:paraId="34BF1E27">
            <w:pPr>
              <w:keepNext w:val="0"/>
              <w:keepLines w:val="0"/>
              <w:numPr>
                <w:ilvl w:val="0"/>
                <w:numId w:val="12"/>
              </w:numPr>
              <w:suppressLineNumbers w:val="0"/>
              <w:spacing w:before="0" w:beforeAutospacing="0" w:after="0" w:afterAutospacing="0" w:line="240" w:lineRule="auto"/>
              <w:ind w:left="425" w:leftChars="0" w:right="0" w:hanging="425" w:firstLineChars="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云教案内支持插入课件页，可调用云空间中的课件列表，按单页或整份插入教案。插入后的课件可以窗口形式预览，可直接在窗口内进行翻页、元素移动、课堂活动操作、思维导图展开收起、形状工具、蒙层工具、笔工具的交互。可一键切换至全屏模式，全屏模式下支持批注和手势擦除。（提供国家权威检测报告复印件）</w:t>
            </w:r>
          </w:p>
          <w:p w14:paraId="19A346C5">
            <w:pPr>
              <w:keepNext w:val="0"/>
              <w:keepLines w:val="0"/>
              <w:numPr>
                <w:ilvl w:val="0"/>
                <w:numId w:val="13"/>
              </w:numPr>
              <w:suppressLineNumbers w:val="0"/>
              <w:spacing w:before="0" w:beforeAutospacing="0" w:after="0" w:afterAutospacing="0" w:line="240" w:lineRule="auto"/>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设备管理软件（软件为保证兼容性需要与硬件为同一品牌，且为满足教学所需，功能需逐条满足）</w:t>
            </w:r>
          </w:p>
          <w:p w14:paraId="5EE56D52">
            <w:pPr>
              <w:keepNext w:val="0"/>
              <w:keepLines w:val="0"/>
              <w:numPr>
                <w:ilvl w:val="0"/>
                <w:numId w:val="14"/>
              </w:numPr>
              <w:suppressLineNumbers w:val="0"/>
              <w:spacing w:before="0" w:beforeAutospacing="0" w:after="0" w:afterAutospacing="0" w:line="240" w:lineRule="auto"/>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设备巡视：支持同时最多查看9个教室的实时摄像头画面、设备屏幕画面；支持在一个显示界面同时查看单个教室内所有屏幕、所有摄像头的实时画面，以及所有麦克风的声音，其中摄像头画面可直接使用班班通自带摄像头；支持批量将学校已有网络摄像头导入系统内，同场地下的班班通设备会主动和网络摄像头建立连接，巡视时可调用网络摄像头查看教室实时画面；单台设备巡视时，支持远程发送文本消息、语音消息，支持记录备注、听课评价；支持巡视日志功能，可以回溯管理员的巡视记录。</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（提供国家认可的第三方权威检测机构出具的权威检测报告）</w:t>
            </w:r>
          </w:p>
          <w:p w14:paraId="6D560DE9">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2.个性化巡视：支持自定义巡视水印类型、水印内容及水印颜色等设置，设置水印后，巡视过程中的摄像头画面和设备屏幕画面都会增加水印信息；支持自定义过滤摄像头、麦克风。</w:t>
            </w:r>
          </w:p>
          <w:p w14:paraId="6A3F5ADA">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掌上看班：支持通过移动端快捷访问设备所处班级的教室情况，并可针对设备做基础管控操作；支持管理者为老师分配可掌上看班的设备权限、支持老师在移动端申请而管理者审核的2种方式进行权限分配，所有权限调整均配备操作日志，便于出现问题后回溯原因；支持通过老师维度快速搜索查看其拥有的看班权限，支持通过设备维度快速了解拥有该班实时画面查看权限的老师列表，更方便管理。</w:t>
            </w:r>
          </w:p>
          <w:p w14:paraId="04F79A8A">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4.批量磁盘清理：支持远程批量清理设备磁盘；支持清理指定磁盘的指定文件夹；支持清理系统盘备份、缓存、日志等垃圾文件；支持迁移系统盘视频、图片、音乐、文档文件；支持格式化非系统盘磁盘。</w:t>
            </w:r>
          </w:p>
          <w:p w14:paraId="5C599498">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5.冰点还原及穿透：支持远程向已冰冻的设备发送指令、安装软件，在设备正常关机时触发穿透动作，穿透完成后，设备即可使用已安装软件、执行已接收指令，且穿透过程中无需人为解冻。</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（提供国家认可的第三方权威检测机构出具的权威检测报告）</w:t>
            </w:r>
          </w:p>
          <w:p w14:paraId="021B8B10">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海量资源：系统内置图片宣传资源、视频宣传资源、海报模板，可直接选择进行发布，宣传内容包含但不限于劳动教育、卫生健康、心理健康教育、安全教育、理想信念教育、生态文明教育、名校介绍、党建文化主题内容；</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（提供国家认可的第三方权威检测机构出具的权威检测报告）</w:t>
            </w:r>
          </w:p>
          <w:p w14:paraId="07F19EFF">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i w:val="0"/>
                <w:iCs w:val="0"/>
                <w:snapToGrid w:val="0"/>
                <w:color w:val="auto"/>
                <w:kern w:val="0"/>
                <w:sz w:val="24"/>
                <w:szCs w:val="24"/>
                <w:highlight w:val="none"/>
                <w:u w:val="none"/>
                <w:lang w:val="en-US" w:eastAsia="zh-CN" w:bidi="ar-SA"/>
              </w:rPr>
            </w:pPr>
          </w:p>
        </w:tc>
        <w:tc>
          <w:tcPr>
            <w:tcW w:w="0" w:type="auto"/>
            <w:vAlign w:val="center"/>
          </w:tcPr>
          <w:p w14:paraId="4E4B9F8C">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59E84584">
            <w:pPr>
              <w:pStyle w:val="71"/>
              <w:spacing w:before="65" w:line="240" w:lineRule="auto"/>
              <w:ind w:left="7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0" w:type="auto"/>
            <w:vAlign w:val="center"/>
          </w:tcPr>
          <w:p w14:paraId="1F43170F">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37AD550C">
            <w:pPr>
              <w:pStyle w:val="71"/>
              <w:spacing w:before="65" w:line="240" w:lineRule="auto"/>
              <w:ind w:left="75"/>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0" w:type="auto"/>
            <w:vAlign w:val="center"/>
          </w:tcPr>
          <w:p w14:paraId="315C0596">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1CDF0957">
            <w:pPr>
              <w:pStyle w:val="71"/>
              <w:spacing w:before="65"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622D0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0" w:type="auto"/>
            <w:vAlign w:val="center"/>
          </w:tcPr>
          <w:p w14:paraId="55FD4BB5">
            <w:pPr>
              <w:pStyle w:val="71"/>
              <w:numPr>
                <w:ilvl w:val="0"/>
                <w:numId w:val="0"/>
              </w:numPr>
              <w:spacing w:before="65" w:line="240" w:lineRule="auto"/>
              <w:ind w:left="637"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2.</w:t>
            </w:r>
          </w:p>
        </w:tc>
        <w:tc>
          <w:tcPr>
            <w:tcW w:w="820" w:type="dxa"/>
            <w:vAlign w:val="center"/>
          </w:tcPr>
          <w:p w14:paraId="45DD6121">
            <w:pPr>
              <w:pStyle w:val="71"/>
              <w:spacing w:before="50" w:line="240" w:lineRule="auto"/>
              <w:ind w:left="61"/>
              <w:jc w:val="center"/>
              <w:rPr>
                <w:rFonts w:hint="eastAsia" w:ascii="宋体" w:hAnsi="宋体" w:eastAsia="宋体" w:cs="宋体"/>
                <w:color w:val="auto"/>
                <w:spacing w:val="-2"/>
                <w:sz w:val="24"/>
                <w:szCs w:val="24"/>
                <w:highlight w:val="none"/>
              </w:rPr>
            </w:pPr>
          </w:p>
          <w:p w14:paraId="3EB2ACDF">
            <w:pPr>
              <w:pStyle w:val="71"/>
              <w:spacing w:before="50" w:line="240" w:lineRule="auto"/>
              <w:ind w:left="61"/>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壁挂高清视频</w:t>
            </w:r>
            <w:r>
              <w:rPr>
                <w:rFonts w:hint="eastAsia" w:ascii="宋体" w:hAnsi="宋体" w:eastAsia="宋体" w:cs="宋体"/>
                <w:color w:val="auto"/>
                <w:spacing w:val="10"/>
                <w:sz w:val="24"/>
                <w:szCs w:val="24"/>
                <w:highlight w:val="none"/>
              </w:rPr>
              <w:t>展台</w:t>
            </w:r>
          </w:p>
        </w:tc>
        <w:tc>
          <w:tcPr>
            <w:tcW w:w="6594" w:type="dxa"/>
            <w:shd w:val="clear" w:color="auto" w:fill="auto"/>
            <w:vAlign w:val="center"/>
          </w:tcPr>
          <w:p w14:paraId="66F224B5">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en-US" w:bidi="ar-SA"/>
              </w:rPr>
            </w:pPr>
            <w:r>
              <w:rPr>
                <w:rFonts w:hint="eastAsia" w:ascii="宋体" w:hAnsi="宋体" w:eastAsia="宋体" w:cs="宋体"/>
                <w:i w:val="0"/>
                <w:iCs w:val="0"/>
                <w:snapToGrid w:val="0"/>
                <w:color w:val="auto"/>
                <w:kern w:val="0"/>
                <w:sz w:val="24"/>
                <w:szCs w:val="24"/>
                <w:highlight w:val="none"/>
                <w:u w:val="none"/>
                <w:lang w:val="en-US" w:eastAsia="en-US" w:bidi="ar-SA"/>
              </w:rPr>
              <w:t>一、硬件参数</w:t>
            </w:r>
          </w:p>
          <w:p w14:paraId="6957B3EE">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en-US" w:bidi="ar-SA"/>
              </w:rPr>
            </w:pPr>
            <w:r>
              <w:rPr>
                <w:rFonts w:hint="eastAsia" w:ascii="宋体" w:hAnsi="宋体" w:eastAsia="宋体" w:cs="宋体"/>
                <w:i w:val="0"/>
                <w:iCs w:val="0"/>
                <w:snapToGrid w:val="0"/>
                <w:color w:val="auto"/>
                <w:kern w:val="0"/>
                <w:sz w:val="24"/>
                <w:szCs w:val="24"/>
                <w:highlight w:val="none"/>
                <w:u w:val="none"/>
                <w:lang w:val="en-US" w:eastAsia="en-US" w:bidi="ar-SA"/>
              </w:rPr>
              <w:t>1.采用≥800万像素摄像头；采用 USB电源直接供电，无需额外配置电源适配器；箱内USB连线采用隐藏式设计，箱内无可见连线且USB口下出。（提供国家权威检测报告复印件）</w:t>
            </w:r>
          </w:p>
          <w:p w14:paraId="301F8E9F">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en-US" w:bidi="ar-SA"/>
              </w:rPr>
            </w:pPr>
            <w:r>
              <w:rPr>
                <w:rFonts w:hint="eastAsia" w:ascii="宋体" w:hAnsi="宋体" w:eastAsia="宋体" w:cs="宋体"/>
                <w:i w:val="0"/>
                <w:iCs w:val="0"/>
                <w:snapToGrid w:val="0"/>
                <w:color w:val="auto"/>
                <w:kern w:val="0"/>
                <w:sz w:val="24"/>
                <w:szCs w:val="24"/>
                <w:highlight w:val="none"/>
                <w:u w:val="none"/>
                <w:lang w:val="en-US" w:eastAsia="en-US" w:bidi="ar-SA"/>
              </w:rPr>
              <w:t>2.A4大小拍摄幅面，1080P动态视频预览达到30帧/秒。（提供国家权威检测报告复印件）</w:t>
            </w:r>
          </w:p>
          <w:p w14:paraId="047DA64E">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en-US" w:bidi="ar-SA"/>
              </w:rPr>
            </w:pPr>
            <w:r>
              <w:rPr>
                <w:rFonts w:hint="eastAsia" w:ascii="宋体" w:hAnsi="宋体" w:eastAsia="宋体" w:cs="宋体"/>
                <w:i w:val="0"/>
                <w:iCs w:val="0"/>
                <w:snapToGrid w:val="0"/>
                <w:color w:val="auto"/>
                <w:kern w:val="0"/>
                <w:sz w:val="24"/>
                <w:szCs w:val="24"/>
                <w:highlight w:val="none"/>
                <w:u w:val="none"/>
                <w:lang w:val="en-US" w:eastAsia="en-US" w:bidi="ar-SA"/>
              </w:rPr>
              <w:t>3.整机采用圆弧式设计，无锐角；托板可承重3kg，同时托板采用磁吸吸附式机构。（提供国家权威检测报告复印件4.展示托板正上方具备LED补光灯补光灯开关采用触摸按键设计，同时可通过视频展台软件直接控制开关；（提供国家权威检测报告复印件并）</w:t>
            </w:r>
          </w:p>
          <w:p w14:paraId="3583EEC4">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en-US" w:bidi="ar-SA"/>
              </w:rPr>
            </w:pPr>
            <w:r>
              <w:rPr>
                <w:rFonts w:hint="eastAsia" w:ascii="宋体" w:hAnsi="宋体" w:eastAsia="宋体" w:cs="宋体"/>
                <w:i w:val="0"/>
                <w:iCs w:val="0"/>
                <w:snapToGrid w:val="0"/>
                <w:color w:val="auto"/>
                <w:kern w:val="0"/>
                <w:sz w:val="24"/>
                <w:szCs w:val="24"/>
                <w:highlight w:val="none"/>
                <w:u w:val="none"/>
                <w:lang w:val="en-US" w:eastAsia="en-US" w:bidi="ar-SA"/>
              </w:rPr>
              <w:t>5.摄像头支持自动对焦；摄像头部分进行外壳防护等级试验，防护等级达到IP4X级别。</w:t>
            </w:r>
          </w:p>
          <w:p w14:paraId="28CF8317">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en-US" w:bidi="ar-SA"/>
              </w:rPr>
            </w:pPr>
            <w:r>
              <w:rPr>
                <w:rFonts w:hint="eastAsia" w:ascii="宋体" w:hAnsi="宋体" w:eastAsia="宋体" w:cs="宋体"/>
                <w:i w:val="0"/>
                <w:iCs w:val="0"/>
                <w:snapToGrid w:val="0"/>
                <w:color w:val="auto"/>
                <w:kern w:val="0"/>
                <w:sz w:val="24"/>
                <w:szCs w:val="24"/>
                <w:highlight w:val="none"/>
                <w:u w:val="none"/>
                <w:lang w:val="en-US" w:eastAsia="en-US" w:bidi="ar-SA"/>
              </w:rPr>
              <w:t>6.</w:t>
            </w:r>
            <w:r>
              <w:rPr>
                <w:rFonts w:hint="eastAsia" w:ascii="宋体" w:hAnsi="宋体" w:eastAsia="宋体" w:cs="宋体"/>
                <w:sz w:val="24"/>
                <w:szCs w:val="24"/>
                <w:highlight w:val="none"/>
                <w:lang w:val="en-US" w:eastAsia="zh-CN"/>
              </w:rPr>
              <w:t>满足功能及兼容性测试要求即可</w:t>
            </w:r>
            <w:r>
              <w:rPr>
                <w:rFonts w:hint="eastAsia" w:ascii="宋体" w:hAnsi="宋体" w:eastAsia="宋体" w:cs="宋体"/>
                <w:i w:val="0"/>
                <w:iCs w:val="0"/>
                <w:snapToGrid w:val="0"/>
                <w:color w:val="auto"/>
                <w:kern w:val="0"/>
                <w:sz w:val="24"/>
                <w:szCs w:val="24"/>
                <w:highlight w:val="none"/>
                <w:u w:val="none"/>
                <w:lang w:val="en-US" w:eastAsia="en-US" w:bidi="ar-SA"/>
              </w:rPr>
              <w:t>。</w:t>
            </w:r>
          </w:p>
          <w:p w14:paraId="65A29413">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000000" w:themeColor="text1"/>
                <w:kern w:val="0"/>
                <w:sz w:val="24"/>
                <w:szCs w:val="24"/>
                <w:highlight w:val="none"/>
                <w:u w:val="none"/>
                <w:lang w:val="en-US" w:eastAsia="en-US" w:bidi="ar-SA"/>
                <w14:textFill>
                  <w14:solidFill>
                    <w14:schemeClr w14:val="tx1"/>
                  </w14:solidFill>
                </w14:textFill>
              </w:rPr>
            </w:pPr>
            <w:r>
              <w:rPr>
                <w:rFonts w:hint="eastAsia" w:ascii="宋体" w:hAnsi="宋体" w:eastAsia="宋体" w:cs="宋体"/>
                <w:i w:val="0"/>
                <w:iCs w:val="0"/>
                <w:snapToGrid w:val="0"/>
                <w:color w:val="auto"/>
                <w:kern w:val="0"/>
                <w:sz w:val="24"/>
                <w:szCs w:val="24"/>
                <w:highlight w:val="none"/>
                <w:u w:val="none"/>
                <w:lang w:val="en-US" w:eastAsia="en-US" w:bidi="ar-SA"/>
              </w:rPr>
              <w:t>二、软件参数</w:t>
            </w:r>
            <w:r>
              <w:rPr>
                <w:rFonts w:hint="eastAsia" w:ascii="宋体" w:hAnsi="宋体" w:eastAsia="宋体" w:cs="宋体"/>
                <w:i w:val="0"/>
                <w:iCs w:val="0"/>
                <w:snapToGrid w:val="0"/>
                <w:color w:val="auto"/>
                <w:kern w:val="0"/>
                <w:sz w:val="24"/>
                <w:szCs w:val="24"/>
                <w:highlight w:val="none"/>
                <w:u w:val="none"/>
                <w:lang w:val="en-US" w:eastAsia="zh-CN" w:bidi="ar-SA"/>
              </w:rPr>
              <w:t>：</w:t>
            </w:r>
            <w:r>
              <w:rPr>
                <w:rFonts w:hint="eastAsia" w:ascii="宋体" w:hAnsi="宋体" w:eastAsia="宋体" w:cs="宋体"/>
                <w:color w:val="000000" w:themeColor="text1"/>
                <w:sz w:val="24"/>
                <w:szCs w:val="24"/>
                <w:lang w:val="en-US" w:eastAsia="zh-CN"/>
                <w14:textFill>
                  <w14:solidFill>
                    <w14:schemeClr w14:val="tx1"/>
                  </w14:solidFill>
                </w14:textFill>
              </w:rPr>
              <w:t>软件为保证兼容性需要与硬件为同一品牌，且为满足教学所需，功能需逐条满足）</w:t>
            </w:r>
          </w:p>
          <w:p w14:paraId="45DB80E2">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en-US" w:bidi="ar-SA"/>
              </w:rPr>
            </w:pPr>
            <w:r>
              <w:rPr>
                <w:rFonts w:hint="eastAsia" w:ascii="宋体" w:hAnsi="宋体" w:eastAsia="宋体" w:cs="宋体"/>
                <w:i w:val="0"/>
                <w:iCs w:val="0"/>
                <w:snapToGrid w:val="0"/>
                <w:color w:val="auto"/>
                <w:kern w:val="0"/>
                <w:sz w:val="24"/>
                <w:szCs w:val="24"/>
                <w:highlight w:val="none"/>
                <w:u w:val="none"/>
                <w:lang w:val="en-US" w:eastAsia="en-US" w:bidi="ar-SA"/>
              </w:rPr>
              <w:t>1.支持对展台画面进行放大、缩小、旋转、自适应、冻结画面等操作。2.支持展台画面实时批注，预设多种笔划粗细及颜色供选择，且支持对展台画面联同批注内容进行同步缩放、移动。3.支持展台画面拍照截图并进行多图预览，可对任一图片进行全屏显示。4.老师可在一体机或电脑上选择延时拍照功能，支持5秒或10秒延时模式，可调整拍摄内容。5.具备图像增强功能，可自动裁剪背景并增强文字显示，使文档画面更清晰。</w:t>
            </w:r>
          </w:p>
          <w:p w14:paraId="156E69BE">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en-US" w:bidi="ar-SA"/>
              </w:rPr>
            </w:pPr>
            <w:r>
              <w:rPr>
                <w:rFonts w:hint="eastAsia" w:ascii="宋体" w:hAnsi="宋体" w:eastAsia="宋体" w:cs="宋体"/>
                <w:i w:val="0"/>
                <w:iCs w:val="0"/>
                <w:snapToGrid w:val="0"/>
                <w:color w:val="auto"/>
                <w:kern w:val="0"/>
                <w:sz w:val="24"/>
                <w:szCs w:val="24"/>
                <w:highlight w:val="none"/>
                <w:u w:val="none"/>
                <w:lang w:val="en-US" w:eastAsia="en-US" w:bidi="ar-SA"/>
              </w:rPr>
              <w:t>6.可选择图像、文本或动态等多种情景模式，适应不同展示内容。7.二维码扫码：打开扫一扫功能后，将书本上的二维码放入扫描框内即可自动扫描，并进入系统浏览器获取二维码的链接内容，可获取电子教学资源。（提供国家权威检测报告复印件）</w:t>
            </w:r>
          </w:p>
        </w:tc>
        <w:tc>
          <w:tcPr>
            <w:tcW w:w="0" w:type="auto"/>
            <w:vAlign w:val="center"/>
          </w:tcPr>
          <w:p w14:paraId="78F771A9">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191636B3">
            <w:pPr>
              <w:pStyle w:val="71"/>
              <w:spacing w:before="65" w:line="240" w:lineRule="auto"/>
              <w:ind w:left="7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0" w:type="auto"/>
            <w:vAlign w:val="center"/>
          </w:tcPr>
          <w:p w14:paraId="2E6858A9">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6D816A1E">
            <w:pPr>
              <w:pStyle w:val="71"/>
              <w:spacing w:before="65" w:line="240" w:lineRule="auto"/>
              <w:ind w:left="75"/>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0" w:type="auto"/>
            <w:vAlign w:val="center"/>
          </w:tcPr>
          <w:p w14:paraId="40F6BCF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0982D008">
            <w:pPr>
              <w:pStyle w:val="71"/>
              <w:spacing w:before="65"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5C5A1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0" w:type="auto"/>
            <w:vAlign w:val="center"/>
          </w:tcPr>
          <w:p w14:paraId="3ADBD6AC">
            <w:pPr>
              <w:pStyle w:val="71"/>
              <w:numPr>
                <w:ilvl w:val="0"/>
                <w:numId w:val="0"/>
              </w:numPr>
              <w:spacing w:before="65" w:line="240" w:lineRule="auto"/>
              <w:ind w:left="637"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3.</w:t>
            </w:r>
          </w:p>
        </w:tc>
        <w:tc>
          <w:tcPr>
            <w:tcW w:w="820" w:type="dxa"/>
            <w:vAlign w:val="center"/>
          </w:tcPr>
          <w:p w14:paraId="241611BE">
            <w:pPr>
              <w:pStyle w:val="71"/>
              <w:spacing w:before="51" w:line="240" w:lineRule="auto"/>
              <w:ind w:left="61"/>
              <w:jc w:val="center"/>
              <w:rPr>
                <w:rFonts w:hint="eastAsia" w:ascii="宋体" w:hAnsi="宋体" w:eastAsia="宋体" w:cs="宋体"/>
                <w:color w:val="auto"/>
                <w:spacing w:val="6"/>
                <w:sz w:val="24"/>
                <w:szCs w:val="24"/>
                <w:highlight w:val="none"/>
              </w:rPr>
            </w:pPr>
          </w:p>
          <w:p w14:paraId="29F4D5A4">
            <w:pPr>
              <w:pStyle w:val="71"/>
              <w:spacing w:before="51" w:line="240" w:lineRule="auto"/>
              <w:ind w:left="61"/>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幼儿园</w:t>
            </w:r>
            <w:r>
              <w:rPr>
                <w:rFonts w:hint="eastAsia" w:ascii="宋体" w:hAnsi="宋体" w:eastAsia="宋体" w:cs="宋体"/>
                <w:color w:val="auto"/>
                <w:spacing w:val="-3"/>
                <w:sz w:val="24"/>
                <w:szCs w:val="24"/>
                <w:highlight w:val="none"/>
              </w:rPr>
              <w:t>教学平</w:t>
            </w:r>
            <w:r>
              <w:rPr>
                <w:rFonts w:hint="eastAsia" w:ascii="宋体" w:hAnsi="宋体" w:eastAsia="宋体" w:cs="宋体"/>
                <w:color w:val="auto"/>
                <w:sz w:val="24"/>
                <w:szCs w:val="24"/>
                <w:highlight w:val="none"/>
              </w:rPr>
              <w:t>台</w:t>
            </w:r>
          </w:p>
        </w:tc>
        <w:tc>
          <w:tcPr>
            <w:tcW w:w="6594" w:type="dxa"/>
            <w:vAlign w:val="center"/>
          </w:tcPr>
          <w:p w14:paraId="3A3650AF">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1.教学系统</w:t>
            </w:r>
            <w:r>
              <w:rPr>
                <w:rFonts w:hint="eastAsia" w:ascii="宋体" w:hAnsi="宋体" w:eastAsia="宋体" w:cs="宋体"/>
                <w:sz w:val="24"/>
                <w:szCs w:val="24"/>
                <w:highlight w:val="none"/>
                <w:lang w:val="en-US" w:eastAsia="zh-Hans"/>
              </w:rPr>
              <w:t>内容</w:t>
            </w:r>
            <w:r>
              <w:rPr>
                <w:rFonts w:hint="eastAsia" w:ascii="宋体" w:hAnsi="宋体" w:eastAsia="宋体" w:cs="宋体"/>
                <w:sz w:val="24"/>
                <w:szCs w:val="24"/>
                <w:highlight w:val="none"/>
                <w:lang w:val="en-US" w:eastAsia="zh-CN"/>
              </w:rPr>
              <w:t>资源严格依据《3-6岁儿童学习与发展指南》与《幼儿园教育指导纲要》编制而成，</w:t>
            </w:r>
            <w:r>
              <w:rPr>
                <w:rFonts w:hint="eastAsia" w:ascii="宋体" w:hAnsi="宋体" w:eastAsia="宋体" w:cs="宋体"/>
                <w:sz w:val="24"/>
                <w:szCs w:val="24"/>
                <w:highlight w:val="none"/>
                <w:lang w:val="en-US" w:eastAsia="zh-Hans"/>
              </w:rPr>
              <w:t>教学课件</w:t>
            </w:r>
            <w:r>
              <w:rPr>
                <w:rFonts w:hint="eastAsia" w:ascii="宋体" w:hAnsi="宋体" w:eastAsia="宋体" w:cs="宋体"/>
                <w:sz w:val="24"/>
                <w:szCs w:val="24"/>
                <w:highlight w:val="none"/>
                <w:lang w:val="en-US" w:eastAsia="zh-CN"/>
              </w:rPr>
              <w:t>涵盖健康、语言、社会、科学、艺术五个领域</w:t>
            </w:r>
            <w:r>
              <w:rPr>
                <w:rFonts w:hint="eastAsia" w:ascii="宋体" w:hAnsi="宋体" w:eastAsia="宋体" w:cs="宋体"/>
                <w:sz w:val="24"/>
                <w:szCs w:val="24"/>
                <w:highlight w:val="none"/>
                <w:lang w:val="en-US" w:eastAsia="zh-Hans"/>
              </w:rPr>
              <w:t>，必须适合幼儿园小班、中班、大班教学场景使用，</w:t>
            </w:r>
            <w:r>
              <w:rPr>
                <w:rFonts w:hint="eastAsia" w:ascii="宋体" w:hAnsi="宋体" w:eastAsia="宋体" w:cs="宋体"/>
                <w:sz w:val="24"/>
                <w:szCs w:val="24"/>
                <w:highlight w:val="none"/>
                <w:lang w:val="en-US" w:eastAsia="zh-CN"/>
              </w:rPr>
              <w:t>系统</w:t>
            </w:r>
            <w:r>
              <w:rPr>
                <w:rFonts w:hint="eastAsia" w:ascii="宋体" w:hAnsi="宋体" w:eastAsia="宋体" w:cs="宋体"/>
                <w:sz w:val="24"/>
                <w:szCs w:val="24"/>
                <w:highlight w:val="none"/>
                <w:lang w:val="en-US" w:eastAsia="zh-Hans"/>
              </w:rPr>
              <w:t>资源内容不含有小学化倾向内容</w:t>
            </w:r>
            <w:r>
              <w:rPr>
                <w:rFonts w:hint="eastAsia" w:ascii="宋体" w:hAnsi="宋体" w:eastAsia="宋体" w:cs="宋体"/>
                <w:sz w:val="24"/>
                <w:szCs w:val="24"/>
                <w:highlight w:val="none"/>
                <w:lang w:val="en-US" w:eastAsia="zh-CN"/>
              </w:rPr>
              <w:t>。</w:t>
            </w:r>
          </w:p>
          <w:p w14:paraId="2F7E6B94">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2.教学课件内容</w:t>
            </w:r>
            <w:r>
              <w:rPr>
                <w:rFonts w:hint="eastAsia" w:ascii="宋体" w:hAnsi="宋体" w:eastAsia="宋体" w:cs="宋体"/>
                <w:sz w:val="24"/>
                <w:szCs w:val="24"/>
                <w:highlight w:val="none"/>
                <w:lang w:val="en-US" w:eastAsia="zh-Hans"/>
              </w:rPr>
              <w:t>应包含</w:t>
            </w:r>
            <w:r>
              <w:rPr>
                <w:rFonts w:hint="eastAsia" w:ascii="宋体" w:hAnsi="宋体" w:eastAsia="宋体" w:cs="宋体"/>
                <w:sz w:val="24"/>
                <w:szCs w:val="24"/>
                <w:highlight w:val="none"/>
                <w:lang w:val="en-US" w:eastAsia="zh-CN"/>
              </w:rPr>
              <w:t>动画、儿歌、视频、图片、音乐、故事、游戏资源形式，在</w:t>
            </w:r>
            <w:r>
              <w:rPr>
                <w:rFonts w:hint="eastAsia" w:ascii="宋体" w:hAnsi="宋体" w:eastAsia="宋体" w:cs="宋体"/>
                <w:sz w:val="24"/>
                <w:szCs w:val="24"/>
                <w:highlight w:val="none"/>
                <w:lang w:val="en-US" w:eastAsia="zh-Hans"/>
              </w:rPr>
              <w:t>教学课件资源中</w:t>
            </w:r>
            <w:r>
              <w:rPr>
                <w:rFonts w:hint="eastAsia" w:ascii="宋体" w:hAnsi="宋体" w:eastAsia="宋体" w:cs="宋体"/>
                <w:sz w:val="24"/>
                <w:szCs w:val="24"/>
                <w:highlight w:val="none"/>
                <w:lang w:val="en-US" w:eastAsia="zh-CN"/>
              </w:rPr>
              <w:t>提供不少于800个教学</w:t>
            </w:r>
            <w:r>
              <w:rPr>
                <w:rFonts w:hint="eastAsia" w:ascii="宋体" w:hAnsi="宋体" w:eastAsia="宋体" w:cs="宋体"/>
                <w:sz w:val="24"/>
                <w:szCs w:val="24"/>
                <w:highlight w:val="none"/>
                <w:lang w:val="en-US" w:eastAsia="zh-Hans"/>
              </w:rPr>
              <w:t>活动，动画资源不少于800个，</w:t>
            </w:r>
            <w:r>
              <w:rPr>
                <w:rFonts w:hint="eastAsia" w:ascii="宋体" w:hAnsi="宋体" w:eastAsia="宋体" w:cs="宋体"/>
                <w:sz w:val="24"/>
                <w:szCs w:val="24"/>
                <w:highlight w:val="none"/>
                <w:lang w:val="en-US" w:eastAsia="zh-CN"/>
              </w:rPr>
              <w:t>图片及插画资源不少于3000</w:t>
            </w:r>
            <w:r>
              <w:rPr>
                <w:rFonts w:hint="eastAsia" w:ascii="宋体" w:hAnsi="宋体" w:eastAsia="宋体" w:cs="宋体"/>
                <w:sz w:val="24"/>
                <w:szCs w:val="24"/>
                <w:highlight w:val="none"/>
                <w:lang w:val="en-US" w:eastAsia="zh-Hans"/>
              </w:rPr>
              <w:t>张，</w:t>
            </w:r>
            <w:r>
              <w:rPr>
                <w:rFonts w:hint="eastAsia" w:ascii="宋体" w:hAnsi="宋体" w:eastAsia="宋体" w:cs="宋体"/>
                <w:sz w:val="24"/>
                <w:szCs w:val="24"/>
                <w:highlight w:val="none"/>
                <w:lang w:val="en-US" w:eastAsia="zh-CN"/>
              </w:rPr>
              <w:t>游戏</w:t>
            </w:r>
            <w:r>
              <w:rPr>
                <w:rFonts w:hint="eastAsia" w:ascii="宋体" w:hAnsi="宋体" w:eastAsia="宋体" w:cs="宋体"/>
                <w:sz w:val="24"/>
                <w:szCs w:val="24"/>
                <w:highlight w:val="none"/>
                <w:lang w:val="en-US" w:eastAsia="zh-Hans"/>
              </w:rPr>
              <w:t>互动</w:t>
            </w:r>
            <w:r>
              <w:rPr>
                <w:rFonts w:hint="eastAsia" w:ascii="宋体" w:hAnsi="宋体" w:eastAsia="宋体" w:cs="宋体"/>
                <w:sz w:val="24"/>
                <w:szCs w:val="24"/>
                <w:highlight w:val="none"/>
                <w:lang w:val="en-US" w:eastAsia="zh-CN"/>
              </w:rPr>
              <w:t>资源不少于1000个</w:t>
            </w:r>
            <w:r>
              <w:rPr>
                <w:rFonts w:hint="eastAsia" w:ascii="宋体" w:hAnsi="宋体" w:eastAsia="宋体" w:cs="宋体"/>
                <w:sz w:val="24"/>
                <w:szCs w:val="24"/>
                <w:highlight w:val="none"/>
                <w:lang w:val="en-US" w:eastAsia="zh-Hans"/>
              </w:rPr>
              <w:t>，</w:t>
            </w:r>
            <w:r>
              <w:rPr>
                <w:rFonts w:hint="eastAsia" w:ascii="宋体" w:hAnsi="宋体" w:eastAsia="宋体" w:cs="宋体"/>
                <w:sz w:val="24"/>
                <w:szCs w:val="24"/>
                <w:highlight w:val="none"/>
                <w:lang w:val="en-US" w:eastAsia="zh-CN"/>
              </w:rPr>
              <w:t>真人视频资源不少于100个。需提供</w:t>
            </w:r>
            <w:r>
              <w:rPr>
                <w:rFonts w:hint="eastAsia" w:ascii="宋体" w:hAnsi="宋体" w:eastAsia="宋体" w:cs="宋体"/>
                <w:sz w:val="24"/>
                <w:szCs w:val="24"/>
                <w:highlight w:val="none"/>
                <w:lang w:val="en-US" w:eastAsia="zh-Hans"/>
              </w:rPr>
              <w:t>第三方检测机构</w:t>
            </w:r>
            <w:r>
              <w:rPr>
                <w:rFonts w:hint="eastAsia" w:ascii="宋体" w:hAnsi="宋体" w:eastAsia="宋体" w:cs="宋体"/>
                <w:sz w:val="24"/>
                <w:szCs w:val="24"/>
                <w:highlight w:val="none"/>
                <w:lang w:val="en-US" w:eastAsia="zh-CN"/>
              </w:rPr>
              <w:t>依据GB/T25000.51-2016标准检测</w:t>
            </w:r>
            <w:r>
              <w:rPr>
                <w:rFonts w:hint="eastAsia" w:ascii="宋体" w:hAnsi="宋体" w:eastAsia="宋体" w:cs="宋体"/>
                <w:sz w:val="24"/>
                <w:szCs w:val="24"/>
                <w:highlight w:val="none"/>
                <w:lang w:val="en-US" w:eastAsia="zh-Hans"/>
              </w:rPr>
              <w:t>出具</w:t>
            </w:r>
            <w:r>
              <w:rPr>
                <w:rFonts w:hint="eastAsia" w:ascii="宋体" w:hAnsi="宋体" w:eastAsia="宋体" w:cs="宋体"/>
                <w:sz w:val="24"/>
                <w:szCs w:val="24"/>
                <w:highlight w:val="none"/>
                <w:lang w:val="en-US" w:eastAsia="zh-CN"/>
              </w:rPr>
              <w:t>的含有</w:t>
            </w:r>
            <w:r>
              <w:rPr>
                <w:rFonts w:hint="eastAsia" w:ascii="宋体" w:hAnsi="宋体" w:eastAsia="宋体" w:cs="宋体"/>
                <w:sz w:val="24"/>
                <w:szCs w:val="24"/>
                <w:highlight w:val="none"/>
                <w:lang w:val="en-US" w:eastAsia="zh-Hans"/>
              </w:rPr>
              <w:t>CMA及CNAS标识的检测报告</w:t>
            </w:r>
            <w:r>
              <w:rPr>
                <w:rFonts w:hint="eastAsia" w:ascii="宋体" w:hAnsi="宋体" w:eastAsia="宋体" w:cs="宋体"/>
                <w:sz w:val="24"/>
                <w:szCs w:val="24"/>
                <w:highlight w:val="none"/>
                <w:lang w:val="en-US" w:eastAsia="zh-CN"/>
              </w:rPr>
              <w:t>复印件</w:t>
            </w:r>
            <w:r>
              <w:rPr>
                <w:rFonts w:hint="eastAsia" w:ascii="宋体" w:hAnsi="宋体" w:eastAsia="宋体" w:cs="宋体"/>
                <w:sz w:val="24"/>
                <w:szCs w:val="24"/>
                <w:highlight w:val="none"/>
                <w:lang w:val="en-US" w:eastAsia="zh-Hans"/>
              </w:rPr>
              <w:t>用以佐证。</w:t>
            </w:r>
          </w:p>
          <w:p w14:paraId="359CF0EB">
            <w:pPr>
              <w:keepNext w:val="0"/>
              <w:keepLines w:val="0"/>
              <w:numPr>
                <w:ilvl w:val="0"/>
                <w:numId w:val="15"/>
              </w:numPr>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Hans"/>
              </w:rPr>
            </w:pPr>
            <w:r>
              <w:rPr>
                <w:rFonts w:hint="eastAsia" w:ascii="宋体" w:hAnsi="宋体" w:eastAsia="宋体" w:cs="宋体"/>
                <w:sz w:val="24"/>
                <w:szCs w:val="24"/>
                <w:highlight w:val="none"/>
                <w:lang w:val="en-US" w:eastAsia="zh-Hans"/>
              </w:rPr>
              <w:t>教学</w:t>
            </w:r>
            <w:r>
              <w:rPr>
                <w:rFonts w:hint="eastAsia" w:ascii="宋体" w:hAnsi="宋体" w:eastAsia="宋体" w:cs="宋体"/>
                <w:sz w:val="24"/>
                <w:szCs w:val="24"/>
                <w:highlight w:val="none"/>
                <w:lang w:val="en-US" w:eastAsia="zh-CN"/>
              </w:rPr>
              <w:t>系统内容</w:t>
            </w:r>
            <w:r>
              <w:rPr>
                <w:rFonts w:hint="eastAsia" w:ascii="宋体" w:hAnsi="宋体" w:eastAsia="宋体" w:cs="宋体"/>
                <w:sz w:val="24"/>
                <w:szCs w:val="24"/>
                <w:highlight w:val="none"/>
                <w:lang w:val="en-US" w:eastAsia="zh-Hans"/>
              </w:rPr>
              <w:t>资源</w:t>
            </w:r>
            <w:r>
              <w:rPr>
                <w:rFonts w:hint="eastAsia" w:ascii="宋体" w:hAnsi="宋体" w:eastAsia="宋体" w:cs="宋体"/>
                <w:sz w:val="24"/>
                <w:szCs w:val="24"/>
                <w:highlight w:val="none"/>
                <w:lang w:val="en-US" w:eastAsia="zh-CN"/>
              </w:rPr>
              <w:t>应提供教师用书</w:t>
            </w:r>
            <w:r>
              <w:rPr>
                <w:rFonts w:hint="eastAsia" w:ascii="宋体" w:hAnsi="宋体" w:eastAsia="宋体" w:cs="宋体"/>
                <w:sz w:val="24"/>
                <w:szCs w:val="24"/>
                <w:highlight w:val="none"/>
                <w:lang w:val="en-US" w:eastAsia="zh-Hans"/>
              </w:rPr>
              <w:t>电子版</w:t>
            </w:r>
            <w:r>
              <w:rPr>
                <w:rFonts w:hint="eastAsia" w:ascii="宋体" w:hAnsi="宋体" w:eastAsia="宋体" w:cs="宋体"/>
                <w:sz w:val="24"/>
                <w:szCs w:val="24"/>
                <w:highlight w:val="none"/>
                <w:lang w:val="en-US" w:eastAsia="zh-CN"/>
              </w:rPr>
              <w:t>，提供活动案例包含</w:t>
            </w:r>
            <w:r>
              <w:rPr>
                <w:rFonts w:hint="eastAsia" w:ascii="宋体" w:hAnsi="宋体" w:eastAsia="宋体" w:cs="宋体"/>
                <w:sz w:val="24"/>
                <w:szCs w:val="24"/>
                <w:highlight w:val="none"/>
                <w:lang w:val="en-US" w:eastAsia="zh-Hans"/>
              </w:rPr>
              <w:t>活动目标、活动准备、活动过程、活动延伸等部分</w:t>
            </w:r>
            <w:r>
              <w:rPr>
                <w:rFonts w:hint="eastAsia" w:ascii="宋体" w:hAnsi="宋体" w:eastAsia="宋体" w:cs="宋体"/>
                <w:sz w:val="24"/>
                <w:szCs w:val="24"/>
                <w:highlight w:val="none"/>
                <w:lang w:val="en-US" w:eastAsia="zh-CN"/>
              </w:rPr>
              <w:t>，提供的活动案例总数不少于1000篇</w:t>
            </w:r>
            <w:r>
              <w:rPr>
                <w:rFonts w:hint="eastAsia" w:ascii="宋体" w:hAnsi="宋体" w:eastAsia="宋体" w:cs="宋体"/>
                <w:sz w:val="24"/>
                <w:szCs w:val="24"/>
                <w:highlight w:val="none"/>
                <w:lang w:val="en-US" w:eastAsia="zh-Hans"/>
              </w:rPr>
              <w:t>。</w:t>
            </w:r>
          </w:p>
          <w:p w14:paraId="0C719D32">
            <w:pPr>
              <w:keepNext w:val="0"/>
              <w:keepLines w:val="0"/>
              <w:numPr>
                <w:ilvl w:val="0"/>
                <w:numId w:val="15"/>
              </w:numPr>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Hans"/>
              </w:rPr>
              <w:t>教学系统</w:t>
            </w:r>
            <w:r>
              <w:rPr>
                <w:rFonts w:hint="eastAsia" w:ascii="宋体" w:hAnsi="宋体" w:eastAsia="宋体" w:cs="宋体"/>
                <w:sz w:val="24"/>
                <w:szCs w:val="24"/>
                <w:highlight w:val="none"/>
                <w:lang w:val="en-US" w:eastAsia="zh-CN"/>
              </w:rPr>
              <w:t>应包含大型活动方案、环创指导方案、区域活动方案、户外游戏活动方案等方面，方案分别包括</w:t>
            </w:r>
            <w:r>
              <w:rPr>
                <w:rFonts w:hint="eastAsia" w:ascii="宋体" w:hAnsi="宋体" w:eastAsia="宋体" w:cs="宋体"/>
                <w:sz w:val="24"/>
                <w:szCs w:val="24"/>
                <w:highlight w:val="none"/>
                <w:lang w:val="en-US" w:eastAsia="zh-Hans"/>
              </w:rPr>
              <w:t>小班、中班、大班</w:t>
            </w:r>
            <w:r>
              <w:rPr>
                <w:rFonts w:hint="eastAsia" w:ascii="宋体" w:hAnsi="宋体" w:eastAsia="宋体" w:cs="宋体"/>
                <w:sz w:val="24"/>
                <w:szCs w:val="24"/>
                <w:highlight w:val="none"/>
                <w:lang w:val="en-US" w:eastAsia="zh-CN"/>
              </w:rPr>
              <w:t>级别，</w:t>
            </w:r>
            <w:r>
              <w:rPr>
                <w:rFonts w:hint="eastAsia" w:ascii="宋体" w:hAnsi="宋体" w:eastAsia="宋体" w:cs="宋体"/>
                <w:sz w:val="24"/>
                <w:szCs w:val="24"/>
                <w:highlight w:val="none"/>
                <w:lang w:val="en-US" w:eastAsia="zh-Hans"/>
              </w:rPr>
              <w:t>活动方案数量</w:t>
            </w:r>
            <w:r>
              <w:rPr>
                <w:rFonts w:hint="eastAsia" w:ascii="宋体" w:hAnsi="宋体" w:eastAsia="宋体" w:cs="宋体"/>
                <w:sz w:val="24"/>
                <w:szCs w:val="24"/>
                <w:highlight w:val="none"/>
                <w:lang w:val="en-US" w:eastAsia="zh-CN"/>
              </w:rPr>
              <w:t>不少于700个</w:t>
            </w:r>
            <w:r>
              <w:rPr>
                <w:rFonts w:hint="eastAsia" w:ascii="宋体" w:hAnsi="宋体" w:eastAsia="宋体" w:cs="宋体"/>
                <w:sz w:val="24"/>
                <w:szCs w:val="24"/>
                <w:highlight w:val="none"/>
                <w:lang w:val="en-US" w:eastAsia="zh-Hans"/>
              </w:rPr>
              <w:t>，方案图片</w:t>
            </w:r>
            <w:r>
              <w:rPr>
                <w:rFonts w:hint="eastAsia" w:ascii="宋体" w:hAnsi="宋体" w:eastAsia="宋体" w:cs="宋体"/>
                <w:sz w:val="24"/>
                <w:szCs w:val="24"/>
                <w:highlight w:val="none"/>
                <w:lang w:val="en-US" w:eastAsia="zh-CN"/>
              </w:rPr>
              <w:t>支持手动及幻灯片自动播放，</w:t>
            </w:r>
            <w:r>
              <w:rPr>
                <w:rFonts w:hint="eastAsia" w:ascii="宋体" w:hAnsi="宋体" w:eastAsia="宋体" w:cs="宋体"/>
                <w:sz w:val="24"/>
                <w:szCs w:val="24"/>
                <w:highlight w:val="none"/>
                <w:lang w:val="en-US" w:eastAsia="zh-Hans"/>
              </w:rPr>
              <w:t>支持拖动、放大、缩小，双击支持自动复位</w:t>
            </w:r>
            <w:r>
              <w:rPr>
                <w:rFonts w:hint="eastAsia" w:ascii="宋体" w:hAnsi="宋体" w:eastAsia="宋体" w:cs="宋体"/>
                <w:sz w:val="24"/>
                <w:szCs w:val="24"/>
                <w:highlight w:val="none"/>
                <w:lang w:val="en-US" w:eastAsia="zh-CN"/>
              </w:rPr>
              <w:t>。</w:t>
            </w:r>
          </w:p>
          <w:p w14:paraId="096E9640">
            <w:pPr>
              <w:keepNext w:val="0"/>
              <w:keepLines w:val="0"/>
              <w:numPr>
                <w:ilvl w:val="0"/>
                <w:numId w:val="0"/>
              </w:numPr>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 提供不少于</w:t>
            </w:r>
            <w:r>
              <w:rPr>
                <w:rFonts w:hint="eastAsia" w:ascii="宋体" w:hAnsi="宋体" w:eastAsia="宋体" w:cs="宋体"/>
                <w:sz w:val="24"/>
                <w:szCs w:val="24"/>
                <w:highlight w:val="none"/>
                <w:lang w:eastAsia="zh-CN"/>
              </w:rPr>
              <w:t>10</w:t>
            </w:r>
            <w:r>
              <w:rPr>
                <w:rFonts w:hint="eastAsia" w:ascii="宋体" w:hAnsi="宋体" w:eastAsia="宋体" w:cs="宋体"/>
                <w:sz w:val="24"/>
                <w:szCs w:val="24"/>
                <w:highlight w:val="none"/>
                <w:lang w:val="en-US" w:eastAsia="zh-CN"/>
              </w:rPr>
              <w:t>00张的高清图片</w:t>
            </w:r>
            <w:r>
              <w:rPr>
                <w:rFonts w:hint="eastAsia" w:ascii="宋体" w:hAnsi="宋体" w:eastAsia="宋体" w:cs="宋体"/>
                <w:sz w:val="24"/>
                <w:szCs w:val="24"/>
                <w:highlight w:val="none"/>
                <w:lang w:val="en-US" w:eastAsia="zh-Hans"/>
              </w:rPr>
              <w:t>，</w:t>
            </w:r>
            <w:r>
              <w:rPr>
                <w:rFonts w:hint="eastAsia" w:ascii="宋体" w:hAnsi="宋体" w:eastAsia="宋体" w:cs="宋体"/>
                <w:sz w:val="24"/>
                <w:szCs w:val="24"/>
                <w:highlight w:val="none"/>
                <w:lang w:val="en-US" w:eastAsia="zh-CN"/>
              </w:rPr>
              <w:t>图片分辨率不低于1920*1080，</w:t>
            </w:r>
            <w:r>
              <w:rPr>
                <w:rFonts w:hint="eastAsia" w:ascii="宋体" w:hAnsi="宋体" w:eastAsia="宋体" w:cs="宋体"/>
                <w:sz w:val="24"/>
                <w:szCs w:val="24"/>
                <w:highlight w:val="none"/>
                <w:lang w:val="en-US" w:eastAsia="zh-Hans"/>
              </w:rPr>
              <w:t>种类划分包含动物、科技、生活、天文地理、文化、艺术等分类</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Hans"/>
              </w:rPr>
              <w:t>支持手动</w:t>
            </w:r>
            <w:r>
              <w:rPr>
                <w:rFonts w:hint="eastAsia" w:ascii="宋体" w:hAnsi="宋体" w:eastAsia="宋体" w:cs="宋体"/>
                <w:sz w:val="24"/>
                <w:szCs w:val="24"/>
                <w:highlight w:val="none"/>
                <w:lang w:val="en-US" w:eastAsia="zh-CN"/>
              </w:rPr>
              <w:t>翻页</w:t>
            </w:r>
            <w:r>
              <w:rPr>
                <w:rFonts w:hint="eastAsia" w:ascii="宋体" w:hAnsi="宋体" w:eastAsia="宋体" w:cs="宋体"/>
                <w:sz w:val="24"/>
                <w:szCs w:val="24"/>
                <w:highlight w:val="none"/>
                <w:lang w:val="en-US" w:eastAsia="zh-Hans"/>
              </w:rPr>
              <w:t>全屏</w:t>
            </w:r>
            <w:r>
              <w:rPr>
                <w:rFonts w:hint="eastAsia" w:ascii="宋体" w:hAnsi="宋体" w:eastAsia="宋体" w:cs="宋体"/>
                <w:sz w:val="24"/>
                <w:szCs w:val="24"/>
                <w:highlight w:val="none"/>
                <w:lang w:val="en-US" w:eastAsia="zh-CN"/>
              </w:rPr>
              <w:t>浏览</w:t>
            </w:r>
            <w:r>
              <w:rPr>
                <w:rFonts w:hint="eastAsia" w:ascii="宋体" w:hAnsi="宋体" w:eastAsia="宋体" w:cs="宋体"/>
                <w:sz w:val="24"/>
                <w:szCs w:val="24"/>
                <w:highlight w:val="none"/>
                <w:lang w:val="en-US" w:eastAsia="zh-Hans"/>
              </w:rPr>
              <w:t>，可实现幻灯片式自动翻页浏览，图片支持拖动、放大、缩小，双击支持自动复位</w:t>
            </w:r>
            <w:r>
              <w:rPr>
                <w:rFonts w:hint="eastAsia" w:ascii="宋体" w:hAnsi="宋体" w:eastAsia="宋体" w:cs="宋体"/>
                <w:sz w:val="24"/>
                <w:szCs w:val="24"/>
                <w:highlight w:val="none"/>
                <w:lang w:val="en-US" w:eastAsia="zh-CN"/>
              </w:rPr>
              <w:t>。</w:t>
            </w:r>
          </w:p>
          <w:p w14:paraId="625ADA25">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6. </w:t>
            </w:r>
            <w:r>
              <w:rPr>
                <w:rFonts w:hint="eastAsia" w:ascii="宋体" w:hAnsi="宋体" w:eastAsia="宋体" w:cs="宋体"/>
                <w:sz w:val="24"/>
                <w:szCs w:val="24"/>
                <w:highlight w:val="none"/>
                <w:lang w:val="en-US" w:eastAsia="zh-Hans"/>
              </w:rPr>
              <w:t>教学系统提供的</w:t>
            </w:r>
            <w:r>
              <w:rPr>
                <w:rFonts w:hint="eastAsia" w:ascii="宋体" w:hAnsi="宋体" w:eastAsia="宋体" w:cs="宋体"/>
                <w:sz w:val="24"/>
                <w:szCs w:val="24"/>
                <w:highlight w:val="none"/>
                <w:lang w:val="en-US" w:eastAsia="zh-CN"/>
              </w:rPr>
              <w:t>儿歌视频包含</w:t>
            </w:r>
            <w:r>
              <w:rPr>
                <w:rFonts w:hint="eastAsia" w:ascii="宋体" w:hAnsi="宋体" w:eastAsia="宋体" w:cs="宋体"/>
                <w:sz w:val="24"/>
                <w:szCs w:val="24"/>
                <w:highlight w:val="none"/>
                <w:lang w:val="en-US" w:eastAsia="zh-Hans"/>
              </w:rPr>
              <w:t>中文</w:t>
            </w:r>
            <w:r>
              <w:rPr>
                <w:rFonts w:hint="eastAsia" w:ascii="宋体" w:hAnsi="宋体" w:eastAsia="宋体" w:cs="宋体"/>
                <w:sz w:val="24"/>
                <w:szCs w:val="24"/>
                <w:highlight w:val="none"/>
                <w:lang w:val="en-US" w:eastAsia="zh-CN"/>
              </w:rPr>
              <w:t>儿歌、</w:t>
            </w:r>
            <w:r>
              <w:rPr>
                <w:rFonts w:hint="eastAsia" w:ascii="宋体" w:hAnsi="宋体" w:eastAsia="宋体" w:cs="宋体"/>
                <w:sz w:val="24"/>
                <w:szCs w:val="24"/>
                <w:highlight w:val="none"/>
                <w:lang w:val="en-US" w:eastAsia="zh-Hans"/>
              </w:rPr>
              <w:t>英文儿歌、</w:t>
            </w:r>
            <w:r>
              <w:rPr>
                <w:rFonts w:hint="eastAsia" w:ascii="宋体" w:hAnsi="宋体" w:eastAsia="宋体" w:cs="宋体"/>
                <w:sz w:val="24"/>
                <w:szCs w:val="24"/>
                <w:highlight w:val="none"/>
                <w:lang w:eastAsia="zh-Hans"/>
              </w:rPr>
              <w:t>KTV</w:t>
            </w:r>
            <w:r>
              <w:rPr>
                <w:rFonts w:hint="eastAsia" w:ascii="宋体" w:hAnsi="宋体" w:eastAsia="宋体" w:cs="宋体"/>
                <w:sz w:val="24"/>
                <w:szCs w:val="24"/>
                <w:highlight w:val="none"/>
                <w:lang w:val="en-US" w:eastAsia="zh-Hans"/>
              </w:rPr>
              <w:t>儿歌、节日儿歌、律动儿歌、三字儿歌等多种形式的儿歌</w:t>
            </w:r>
            <w:r>
              <w:rPr>
                <w:rFonts w:hint="eastAsia" w:ascii="宋体" w:hAnsi="宋体" w:eastAsia="宋体" w:cs="宋体"/>
                <w:sz w:val="24"/>
                <w:szCs w:val="24"/>
                <w:highlight w:val="none"/>
                <w:lang w:val="en-US" w:eastAsia="zh-CN"/>
              </w:rPr>
              <w:t>，国学课堂资源包含</w:t>
            </w:r>
            <w:r>
              <w:rPr>
                <w:rFonts w:hint="eastAsia" w:ascii="宋体" w:hAnsi="宋体" w:eastAsia="宋体" w:cs="宋体"/>
                <w:sz w:val="24"/>
                <w:szCs w:val="24"/>
                <w:highlight w:val="none"/>
                <w:lang w:val="en-US" w:eastAsia="zh-Hans"/>
              </w:rPr>
              <w:t>弟子规、三字经、小儿语、增广贤文。</w:t>
            </w:r>
            <w:r>
              <w:rPr>
                <w:rFonts w:hint="eastAsia" w:ascii="宋体" w:hAnsi="宋体" w:eastAsia="宋体" w:cs="宋体"/>
                <w:sz w:val="24"/>
                <w:szCs w:val="24"/>
                <w:highlight w:val="none"/>
                <w:lang w:val="en-US" w:eastAsia="zh-CN"/>
              </w:rPr>
              <w:t>需提供第三方检测机构依据GB/T25000.51-2016标准检测出具的含有CMA及CNAS标识的检测报告复印件</w:t>
            </w:r>
            <w:r>
              <w:rPr>
                <w:rFonts w:hint="eastAsia" w:ascii="宋体" w:hAnsi="宋体" w:eastAsia="宋体" w:cs="宋体"/>
                <w:sz w:val="24"/>
                <w:szCs w:val="24"/>
                <w:highlight w:val="none"/>
                <w:lang w:val="en-US" w:eastAsia="zh-Hans"/>
              </w:rPr>
              <w:t>用以佐证</w:t>
            </w:r>
            <w:r>
              <w:rPr>
                <w:rFonts w:hint="eastAsia" w:ascii="宋体" w:hAnsi="宋体" w:eastAsia="宋体" w:cs="宋体"/>
                <w:sz w:val="24"/>
                <w:szCs w:val="24"/>
                <w:highlight w:val="none"/>
                <w:lang w:val="en-US" w:eastAsia="zh-CN"/>
              </w:rPr>
              <w:t>。</w:t>
            </w:r>
          </w:p>
          <w:p w14:paraId="5761420E">
            <w:pPr>
              <w:keepNext w:val="0"/>
              <w:keepLines w:val="0"/>
              <w:numPr>
                <w:ilvl w:val="0"/>
                <w:numId w:val="16"/>
              </w:numPr>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Hans"/>
              </w:rPr>
              <w:t>教学系统提供</w:t>
            </w:r>
            <w:r>
              <w:rPr>
                <w:rFonts w:hint="eastAsia" w:ascii="宋体" w:hAnsi="宋体" w:eastAsia="宋体" w:cs="宋体"/>
                <w:sz w:val="24"/>
                <w:szCs w:val="24"/>
                <w:highlight w:val="none"/>
                <w:lang w:val="en-US" w:eastAsia="zh-CN"/>
              </w:rPr>
              <w:t>的乐园板块应包含</w:t>
            </w:r>
            <w:r>
              <w:rPr>
                <w:rFonts w:hint="eastAsia" w:ascii="宋体" w:hAnsi="宋体" w:eastAsia="宋体" w:cs="宋体"/>
                <w:sz w:val="24"/>
                <w:szCs w:val="24"/>
                <w:highlight w:val="none"/>
                <w:lang w:val="en-US" w:eastAsia="zh-Hans"/>
              </w:rPr>
              <w:t>自然</w:t>
            </w:r>
            <w:r>
              <w:rPr>
                <w:rFonts w:hint="eastAsia" w:ascii="宋体" w:hAnsi="宋体" w:eastAsia="宋体" w:cs="宋体"/>
                <w:sz w:val="24"/>
                <w:szCs w:val="24"/>
                <w:highlight w:val="none"/>
                <w:lang w:val="en-US" w:eastAsia="zh-CN"/>
              </w:rPr>
              <w:t>科普、</w:t>
            </w:r>
            <w:r>
              <w:rPr>
                <w:rFonts w:hint="eastAsia" w:ascii="宋体" w:hAnsi="宋体" w:eastAsia="宋体" w:cs="宋体"/>
                <w:sz w:val="24"/>
                <w:szCs w:val="24"/>
                <w:highlight w:val="none"/>
                <w:lang w:val="en-US" w:eastAsia="zh-Hans"/>
              </w:rPr>
              <w:t>儿歌、一日生活音乐、经典故事、绘本故事、国学课堂高清视频资源</w:t>
            </w:r>
            <w:r>
              <w:rPr>
                <w:rFonts w:hint="eastAsia" w:ascii="宋体" w:hAnsi="宋体" w:eastAsia="宋体" w:cs="宋体"/>
                <w:sz w:val="24"/>
                <w:szCs w:val="24"/>
                <w:highlight w:val="none"/>
                <w:lang w:val="en-US" w:eastAsia="zh-CN"/>
              </w:rPr>
              <w:t>，经典故事资源应包含</w:t>
            </w:r>
            <w:r>
              <w:rPr>
                <w:rFonts w:hint="eastAsia" w:ascii="宋体" w:hAnsi="宋体" w:eastAsia="宋体" w:cs="宋体"/>
                <w:sz w:val="24"/>
                <w:szCs w:val="24"/>
                <w:highlight w:val="none"/>
                <w:lang w:val="en-US" w:eastAsia="zh-Hans"/>
              </w:rPr>
              <w:t>成语故事、国学故事、神话故事、童话故事、寓言故事、</w:t>
            </w:r>
            <w:r>
              <w:rPr>
                <w:rFonts w:hint="eastAsia" w:ascii="宋体" w:hAnsi="宋体" w:eastAsia="宋体" w:cs="宋体"/>
                <w:sz w:val="24"/>
                <w:szCs w:val="24"/>
                <w:highlight w:val="none"/>
                <w:lang w:val="en-US" w:eastAsia="zh-CN"/>
              </w:rPr>
              <w:t>科学探索</w:t>
            </w:r>
            <w:r>
              <w:rPr>
                <w:rFonts w:hint="eastAsia" w:ascii="宋体" w:hAnsi="宋体" w:eastAsia="宋体" w:cs="宋体"/>
                <w:sz w:val="24"/>
                <w:szCs w:val="24"/>
                <w:highlight w:val="none"/>
                <w:lang w:val="en-US" w:eastAsia="zh-Hans"/>
              </w:rPr>
              <w:t>等多种故事形式</w:t>
            </w:r>
            <w:r>
              <w:rPr>
                <w:rFonts w:hint="eastAsia" w:ascii="宋体" w:hAnsi="宋体" w:eastAsia="宋体" w:cs="宋体"/>
                <w:sz w:val="24"/>
                <w:szCs w:val="24"/>
                <w:highlight w:val="none"/>
                <w:lang w:val="en-US" w:eastAsia="zh-CN"/>
              </w:rPr>
              <w:t>，资源</w:t>
            </w:r>
            <w:r>
              <w:rPr>
                <w:rFonts w:hint="eastAsia" w:ascii="宋体" w:hAnsi="宋体" w:eastAsia="宋体" w:cs="宋体"/>
                <w:sz w:val="24"/>
                <w:szCs w:val="24"/>
                <w:highlight w:val="none"/>
                <w:lang w:val="en-US" w:eastAsia="zh-Hans"/>
              </w:rPr>
              <w:t>数量</w:t>
            </w:r>
            <w:r>
              <w:rPr>
                <w:rFonts w:hint="eastAsia" w:ascii="宋体" w:hAnsi="宋体" w:eastAsia="宋体" w:cs="宋体"/>
                <w:sz w:val="24"/>
                <w:szCs w:val="24"/>
                <w:highlight w:val="none"/>
                <w:lang w:val="en-US" w:eastAsia="zh-CN"/>
              </w:rPr>
              <w:t>不少于4</w:t>
            </w:r>
            <w:r>
              <w:rPr>
                <w:rFonts w:hint="eastAsia" w:ascii="宋体" w:hAnsi="宋体" w:eastAsia="宋体" w:cs="宋体"/>
                <w:sz w:val="24"/>
                <w:szCs w:val="24"/>
                <w:highlight w:val="none"/>
                <w:lang w:eastAsia="zh-CN"/>
              </w:rPr>
              <w:t>0</w:t>
            </w:r>
            <w:r>
              <w:rPr>
                <w:rFonts w:hint="eastAsia" w:ascii="宋体" w:hAnsi="宋体" w:eastAsia="宋体" w:cs="宋体"/>
                <w:sz w:val="24"/>
                <w:szCs w:val="24"/>
                <w:highlight w:val="none"/>
                <w:lang w:val="en-US" w:eastAsia="zh-CN"/>
              </w:rPr>
              <w:t>0个，</w:t>
            </w:r>
            <w:r>
              <w:rPr>
                <w:rFonts w:hint="eastAsia" w:ascii="宋体" w:hAnsi="宋体" w:eastAsia="宋体" w:cs="宋体"/>
                <w:color w:val="000000"/>
                <w:kern w:val="0"/>
                <w:sz w:val="24"/>
                <w:szCs w:val="24"/>
                <w:highlight w:val="none"/>
                <w:lang w:val="en-US" w:eastAsia="zh-CN" w:bidi="ar"/>
              </w:rPr>
              <w:t>音视频总时长不少于1900分钟。</w:t>
            </w:r>
          </w:p>
          <w:p w14:paraId="214501F6">
            <w:pPr>
              <w:keepNext w:val="0"/>
              <w:keepLines w:val="0"/>
              <w:numPr>
                <w:ilvl w:val="0"/>
                <w:numId w:val="16"/>
              </w:numPr>
              <w:suppressLineNumbers w:val="0"/>
              <w:bidi w:val="0"/>
              <w:spacing w:before="0" w:beforeAutospacing="0" w:after="0" w:afterAutospacing="0" w:line="240" w:lineRule="auto"/>
              <w:ind w:left="0" w:leftChars="0" w:right="0" w:firstLine="0" w:firstLineChars="0"/>
              <w:rPr>
                <w:rFonts w:hint="eastAsia" w:ascii="宋体" w:hAnsi="宋体" w:eastAsia="宋体" w:cs="宋体"/>
                <w:sz w:val="24"/>
                <w:szCs w:val="24"/>
                <w:highlight w:val="none"/>
                <w:lang w:eastAsia="zh-Hans"/>
              </w:rPr>
            </w:pPr>
            <w:r>
              <w:rPr>
                <w:rFonts w:hint="eastAsia" w:ascii="宋体" w:hAnsi="宋体" w:eastAsia="宋体" w:cs="宋体"/>
                <w:sz w:val="24"/>
                <w:szCs w:val="24"/>
                <w:highlight w:val="none"/>
                <w:lang w:val="en-US" w:eastAsia="zh-Hans"/>
              </w:rPr>
              <w:t>教学系统包含</w:t>
            </w:r>
            <w:r>
              <w:rPr>
                <w:rFonts w:hint="eastAsia" w:ascii="宋体" w:hAnsi="宋体" w:eastAsia="宋体" w:cs="宋体"/>
                <w:sz w:val="24"/>
                <w:szCs w:val="24"/>
                <w:highlight w:val="none"/>
                <w:lang w:val="en-US" w:eastAsia="zh-CN"/>
              </w:rPr>
              <w:t>自然科普</w:t>
            </w:r>
            <w:r>
              <w:rPr>
                <w:rFonts w:hint="eastAsia" w:ascii="宋体" w:hAnsi="宋体" w:eastAsia="宋体" w:cs="宋体"/>
                <w:sz w:val="24"/>
                <w:szCs w:val="24"/>
                <w:highlight w:val="none"/>
                <w:lang w:val="en-US" w:eastAsia="zh-Hans"/>
              </w:rPr>
              <w:t>类</w:t>
            </w:r>
            <w:r>
              <w:rPr>
                <w:rFonts w:hint="eastAsia" w:ascii="宋体" w:hAnsi="宋体" w:eastAsia="宋体" w:cs="宋体"/>
                <w:sz w:val="24"/>
                <w:szCs w:val="24"/>
                <w:highlight w:val="none"/>
                <w:lang w:val="en-US" w:eastAsia="zh-CN"/>
              </w:rPr>
              <w:t>音</w:t>
            </w:r>
            <w:r>
              <w:rPr>
                <w:rFonts w:hint="eastAsia" w:ascii="宋体" w:hAnsi="宋体" w:eastAsia="宋体" w:cs="宋体"/>
                <w:sz w:val="24"/>
                <w:szCs w:val="24"/>
                <w:highlight w:val="none"/>
                <w:lang w:eastAsia="zh-Hans"/>
              </w:rPr>
              <w:t>视频资源，</w:t>
            </w:r>
            <w:r>
              <w:rPr>
                <w:rFonts w:hint="eastAsia" w:ascii="宋体" w:hAnsi="宋体" w:eastAsia="宋体" w:cs="宋体"/>
                <w:sz w:val="24"/>
                <w:szCs w:val="24"/>
                <w:highlight w:val="none"/>
                <w:lang w:val="en-US" w:eastAsia="zh-Hans"/>
              </w:rPr>
              <w:t>包含</w:t>
            </w:r>
            <w:r>
              <w:rPr>
                <w:rFonts w:hint="eastAsia" w:ascii="宋体" w:hAnsi="宋体" w:eastAsia="宋体" w:cs="宋体"/>
                <w:sz w:val="24"/>
                <w:szCs w:val="24"/>
                <w:highlight w:val="none"/>
                <w:lang w:eastAsia="zh-Hans"/>
              </w:rPr>
              <w:t>动物、植物类自然系列生态</w:t>
            </w:r>
            <w:r>
              <w:rPr>
                <w:rFonts w:hint="eastAsia" w:ascii="宋体" w:hAnsi="宋体" w:eastAsia="宋体" w:cs="宋体"/>
                <w:sz w:val="24"/>
                <w:szCs w:val="24"/>
                <w:highlight w:val="none"/>
                <w:lang w:val="en-US" w:eastAsia="zh-Hans"/>
              </w:rPr>
              <w:t>高清</w:t>
            </w:r>
            <w:r>
              <w:rPr>
                <w:rFonts w:hint="eastAsia" w:ascii="宋体" w:hAnsi="宋体" w:eastAsia="宋体" w:cs="宋体"/>
                <w:sz w:val="24"/>
                <w:szCs w:val="24"/>
                <w:highlight w:val="none"/>
                <w:lang w:eastAsia="zh-Hans"/>
              </w:rPr>
              <w:t>视频，</w:t>
            </w:r>
            <w:r>
              <w:rPr>
                <w:rFonts w:hint="eastAsia" w:ascii="宋体" w:hAnsi="宋体" w:eastAsia="宋体" w:cs="宋体"/>
                <w:sz w:val="24"/>
                <w:szCs w:val="24"/>
                <w:highlight w:val="none"/>
                <w:lang w:val="en-US" w:eastAsia="zh-Hans"/>
              </w:rPr>
              <w:t>包含</w:t>
            </w:r>
            <w:r>
              <w:rPr>
                <w:rFonts w:hint="eastAsia" w:ascii="宋体" w:hAnsi="宋体" w:eastAsia="宋体" w:cs="宋体"/>
                <w:sz w:val="24"/>
                <w:szCs w:val="24"/>
                <w:highlight w:val="none"/>
                <w:lang w:eastAsia="zh-Hans"/>
              </w:rPr>
              <w:t>自然科普</w:t>
            </w:r>
            <w:r>
              <w:rPr>
                <w:rFonts w:hint="eastAsia" w:ascii="宋体" w:hAnsi="宋体" w:eastAsia="宋体" w:cs="宋体"/>
                <w:sz w:val="24"/>
                <w:szCs w:val="24"/>
                <w:highlight w:val="none"/>
                <w:lang w:val="en-US" w:eastAsia="zh-Hans"/>
              </w:rPr>
              <w:t>类</w:t>
            </w:r>
            <w:r>
              <w:rPr>
                <w:rFonts w:hint="eastAsia" w:ascii="宋体" w:hAnsi="宋体" w:eastAsia="宋体" w:cs="宋体"/>
                <w:sz w:val="24"/>
                <w:szCs w:val="24"/>
                <w:highlight w:val="none"/>
                <w:lang w:eastAsia="zh-Hans"/>
              </w:rPr>
              <w:t>音频，提供地球类、动物类、海洋类、花草类、泥土类、森林类、石头类、种子类，分类数量不少于8种，资源数量不少于</w:t>
            </w:r>
            <w:r>
              <w:rPr>
                <w:rFonts w:hint="eastAsia" w:ascii="宋体" w:hAnsi="宋体" w:eastAsia="宋体" w:cs="宋体"/>
                <w:sz w:val="24"/>
                <w:szCs w:val="24"/>
                <w:highlight w:val="none"/>
                <w:lang w:val="en-US" w:eastAsia="zh-CN"/>
              </w:rPr>
              <w:t>200</w:t>
            </w:r>
            <w:r>
              <w:rPr>
                <w:rFonts w:hint="eastAsia" w:ascii="宋体" w:hAnsi="宋体" w:eastAsia="宋体" w:cs="宋体"/>
                <w:sz w:val="24"/>
                <w:szCs w:val="24"/>
                <w:highlight w:val="none"/>
                <w:lang w:eastAsia="zh-Hans"/>
              </w:rPr>
              <w:t>个。</w:t>
            </w:r>
          </w:p>
          <w:p w14:paraId="6B69ED87">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9. </w:t>
            </w:r>
            <w:r>
              <w:rPr>
                <w:rFonts w:hint="eastAsia" w:ascii="宋体" w:hAnsi="宋体" w:eastAsia="宋体" w:cs="宋体"/>
                <w:sz w:val="24"/>
                <w:szCs w:val="24"/>
                <w:highlight w:val="none"/>
                <w:lang w:val="en-US" w:eastAsia="zh-Hans"/>
              </w:rPr>
              <w:t>教学系统中</w:t>
            </w:r>
            <w:r>
              <w:rPr>
                <w:rFonts w:hint="eastAsia" w:ascii="宋体" w:hAnsi="宋体" w:eastAsia="宋体" w:cs="宋体"/>
                <w:sz w:val="24"/>
                <w:szCs w:val="24"/>
                <w:highlight w:val="none"/>
                <w:lang w:val="en-US" w:eastAsia="zh-CN"/>
              </w:rPr>
              <w:t>一日生活音乐</w:t>
            </w:r>
            <w:r>
              <w:rPr>
                <w:rFonts w:hint="eastAsia" w:ascii="宋体" w:hAnsi="宋体" w:eastAsia="宋体" w:cs="宋体"/>
                <w:sz w:val="24"/>
                <w:szCs w:val="24"/>
                <w:highlight w:val="none"/>
                <w:lang w:val="en-US" w:eastAsia="zh-Hans"/>
              </w:rPr>
              <w:t>分类</w:t>
            </w:r>
            <w:r>
              <w:rPr>
                <w:rFonts w:hint="eastAsia" w:ascii="宋体" w:hAnsi="宋体" w:eastAsia="宋体" w:cs="宋体"/>
                <w:sz w:val="24"/>
                <w:szCs w:val="24"/>
                <w:highlight w:val="none"/>
                <w:lang w:val="en-US" w:eastAsia="zh-CN"/>
              </w:rPr>
              <w:t>包含唤醒音乐、活动音乐、进餐音乐、入园离园音乐、睡前音乐、阅读音乐，数量不少于 100 首。需提供第三方检测机构依据GB/T25000.51-2016标准检测出具的含有CMA及CNAS标识的检测报告复印件</w:t>
            </w:r>
            <w:r>
              <w:rPr>
                <w:rFonts w:hint="eastAsia" w:ascii="宋体" w:hAnsi="宋体" w:eastAsia="宋体" w:cs="宋体"/>
                <w:sz w:val="24"/>
                <w:szCs w:val="24"/>
                <w:highlight w:val="none"/>
                <w:lang w:val="en-US" w:eastAsia="zh-Hans"/>
              </w:rPr>
              <w:t>用以佐证</w:t>
            </w:r>
            <w:r>
              <w:rPr>
                <w:rFonts w:hint="eastAsia" w:ascii="宋体" w:hAnsi="宋体" w:eastAsia="宋体" w:cs="宋体"/>
                <w:sz w:val="24"/>
                <w:szCs w:val="24"/>
                <w:highlight w:val="none"/>
                <w:lang w:val="en-US" w:eastAsia="zh-CN"/>
              </w:rPr>
              <w:t>。</w:t>
            </w:r>
          </w:p>
          <w:p w14:paraId="5C2B9057">
            <w:pPr>
              <w:keepNext w:val="0"/>
              <w:keepLines w:val="0"/>
              <w:numPr>
                <w:ilvl w:val="0"/>
                <w:numId w:val="0"/>
              </w:numPr>
              <w:suppressLineNumbers w:val="0"/>
              <w:bidi w:val="0"/>
              <w:spacing w:before="0" w:beforeAutospacing="0" w:after="0" w:afterAutospacing="0" w:line="240" w:lineRule="auto"/>
              <w:ind w:left="0" w:leftChars="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 支持通过教学软件一键访问Web端网站，通过手机扫码或输入账号密码登录，在线播放高清培训视频资源，线上资源包括优质示范课、公开课、名园名师、教学游戏、教具制作、</w:t>
            </w:r>
            <w:r>
              <w:rPr>
                <w:rFonts w:hint="eastAsia" w:ascii="宋体" w:hAnsi="宋体" w:eastAsia="宋体" w:cs="宋体"/>
                <w:sz w:val="24"/>
                <w:szCs w:val="24"/>
                <w:highlight w:val="none"/>
                <w:lang w:val="en-US" w:eastAsia="zh-Hans"/>
              </w:rPr>
              <w:t>律动资源</w:t>
            </w:r>
            <w:r>
              <w:rPr>
                <w:rFonts w:hint="eastAsia" w:ascii="宋体" w:hAnsi="宋体" w:eastAsia="宋体" w:cs="宋体"/>
                <w:sz w:val="24"/>
                <w:szCs w:val="24"/>
                <w:highlight w:val="none"/>
                <w:lang w:val="en-US" w:eastAsia="zh-CN"/>
              </w:rPr>
              <w:t>等</w:t>
            </w:r>
            <w:r>
              <w:rPr>
                <w:rFonts w:hint="eastAsia" w:ascii="宋体" w:hAnsi="宋体" w:eastAsia="宋体" w:cs="宋体"/>
                <w:sz w:val="24"/>
                <w:szCs w:val="24"/>
                <w:highlight w:val="none"/>
                <w:lang w:val="en-US" w:eastAsia="zh-Hans"/>
              </w:rPr>
              <w:t>高清视频</w:t>
            </w:r>
            <w:r>
              <w:rPr>
                <w:rFonts w:hint="eastAsia" w:ascii="宋体" w:hAnsi="宋体" w:eastAsia="宋体" w:cs="宋体"/>
                <w:sz w:val="24"/>
                <w:szCs w:val="24"/>
                <w:highlight w:val="none"/>
                <w:lang w:val="en-US" w:eastAsia="zh-CN"/>
              </w:rPr>
              <w:t>资源，资源总数不少于2000个；</w:t>
            </w:r>
          </w:p>
          <w:p w14:paraId="41B63558">
            <w:pPr>
              <w:keepNext w:val="0"/>
              <w:keepLines w:val="0"/>
              <w:numPr>
                <w:ilvl w:val="0"/>
                <w:numId w:val="0"/>
              </w:numPr>
              <w:suppressLineNumbers w:val="0"/>
              <w:bidi w:val="0"/>
              <w:spacing w:before="0" w:beforeAutospacing="0" w:after="0" w:afterAutospacing="0" w:line="240" w:lineRule="auto"/>
              <w:ind w:left="0" w:leftChars="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Hans"/>
              </w:rPr>
              <w:t>★</w:t>
            </w:r>
            <w:r>
              <w:rPr>
                <w:rFonts w:hint="eastAsia" w:ascii="宋体" w:hAnsi="宋体" w:eastAsia="宋体" w:cs="宋体"/>
                <w:sz w:val="24"/>
                <w:szCs w:val="24"/>
                <w:highlight w:val="none"/>
                <w:lang w:val="en-US" w:eastAsia="zh-CN"/>
              </w:rPr>
              <w:t xml:space="preserve">11. </w:t>
            </w:r>
            <w:r>
              <w:rPr>
                <w:rFonts w:hint="eastAsia" w:ascii="宋体" w:hAnsi="宋体" w:eastAsia="宋体" w:cs="宋体"/>
                <w:sz w:val="24"/>
                <w:szCs w:val="24"/>
                <w:highlight w:val="none"/>
                <w:lang w:val="en-US" w:eastAsia="zh-Hans"/>
              </w:rPr>
              <w:t>教学系统包含</w:t>
            </w:r>
            <w:r>
              <w:rPr>
                <w:rFonts w:hint="eastAsia" w:ascii="宋体" w:hAnsi="宋体" w:eastAsia="宋体" w:cs="宋体"/>
                <w:sz w:val="24"/>
                <w:szCs w:val="24"/>
                <w:highlight w:val="none"/>
                <w:lang w:val="en-US" w:eastAsia="zh-CN"/>
              </w:rPr>
              <w:t>教学管理方案、家园管理方案、安全管理方案、后勤保健方案、实用表格、规章制度汇编等资源，支持下载、编辑，资源数量不少于150个</w:t>
            </w:r>
            <w:r>
              <w:rPr>
                <w:rFonts w:hint="eastAsia" w:ascii="宋体" w:hAnsi="宋体" w:eastAsia="宋体" w:cs="宋体"/>
                <w:sz w:val="24"/>
                <w:szCs w:val="24"/>
                <w:highlight w:val="none"/>
                <w:lang w:val="en-US" w:eastAsia="zh-Hans"/>
              </w:rPr>
              <w:t>。</w:t>
            </w:r>
            <w:r>
              <w:rPr>
                <w:rFonts w:hint="eastAsia" w:ascii="宋体" w:hAnsi="宋体" w:eastAsia="宋体" w:cs="宋体"/>
                <w:sz w:val="24"/>
                <w:szCs w:val="24"/>
                <w:highlight w:val="none"/>
                <w:lang w:val="en-US" w:eastAsia="zh-CN"/>
              </w:rPr>
              <w:t>需提供第三方检测机构依据GB/T25000.51-2016标准检测出具的含有CMA及CNAS标识的检测报告复印件</w:t>
            </w:r>
            <w:r>
              <w:rPr>
                <w:rFonts w:hint="eastAsia" w:ascii="宋体" w:hAnsi="宋体" w:eastAsia="宋体" w:cs="宋体"/>
                <w:sz w:val="24"/>
                <w:szCs w:val="24"/>
                <w:highlight w:val="none"/>
                <w:lang w:val="en-US" w:eastAsia="zh-Hans"/>
              </w:rPr>
              <w:t>用以佐证</w:t>
            </w:r>
            <w:r>
              <w:rPr>
                <w:rFonts w:hint="eastAsia" w:ascii="宋体" w:hAnsi="宋体" w:eastAsia="宋体" w:cs="宋体"/>
                <w:sz w:val="24"/>
                <w:szCs w:val="24"/>
                <w:highlight w:val="none"/>
                <w:lang w:val="en-US" w:eastAsia="zh-CN"/>
              </w:rPr>
              <w:t>。</w:t>
            </w:r>
          </w:p>
          <w:p w14:paraId="65AFA979">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lang w:val="en-US" w:eastAsia="zh-Hans"/>
              </w:rPr>
              <w:t>教学</w:t>
            </w:r>
            <w:r>
              <w:rPr>
                <w:rFonts w:hint="eastAsia" w:ascii="宋体" w:hAnsi="宋体" w:eastAsia="宋体" w:cs="宋体"/>
                <w:sz w:val="24"/>
                <w:szCs w:val="24"/>
                <w:highlight w:val="none"/>
                <w:lang w:val="en-US" w:eastAsia="zh-CN"/>
              </w:rPr>
              <w:t>系统</w:t>
            </w:r>
            <w:r>
              <w:rPr>
                <w:rFonts w:hint="eastAsia" w:ascii="宋体" w:hAnsi="宋体" w:eastAsia="宋体" w:cs="宋体"/>
                <w:sz w:val="24"/>
                <w:szCs w:val="24"/>
                <w:highlight w:val="none"/>
                <w:lang w:val="en-US" w:eastAsia="zh-Hans"/>
              </w:rPr>
              <w:t>提供exe格式独立</w:t>
            </w:r>
            <w:r>
              <w:rPr>
                <w:rFonts w:hint="eastAsia" w:ascii="宋体" w:hAnsi="宋体" w:eastAsia="宋体" w:cs="宋体"/>
                <w:sz w:val="24"/>
                <w:szCs w:val="24"/>
                <w:highlight w:val="none"/>
                <w:lang w:val="en-US" w:eastAsia="zh-CN"/>
              </w:rPr>
              <w:t>安装</w:t>
            </w:r>
            <w:r>
              <w:rPr>
                <w:rFonts w:hint="eastAsia" w:ascii="宋体" w:hAnsi="宋体" w:eastAsia="宋体" w:cs="宋体"/>
                <w:sz w:val="24"/>
                <w:szCs w:val="24"/>
                <w:highlight w:val="none"/>
                <w:lang w:val="en-US" w:eastAsia="zh-Hans"/>
              </w:rPr>
              <w:t>软件</w:t>
            </w:r>
            <w:r>
              <w:rPr>
                <w:rFonts w:hint="eastAsia" w:ascii="宋体" w:hAnsi="宋体" w:eastAsia="宋体" w:cs="宋体"/>
                <w:sz w:val="24"/>
                <w:szCs w:val="24"/>
                <w:highlight w:val="none"/>
                <w:lang w:val="en-US" w:eastAsia="zh-CN"/>
              </w:rPr>
              <w:t>版本，</w:t>
            </w:r>
            <w:r>
              <w:rPr>
                <w:rFonts w:hint="eastAsia" w:ascii="宋体" w:hAnsi="宋体" w:eastAsia="宋体" w:cs="宋体"/>
                <w:sz w:val="24"/>
                <w:szCs w:val="24"/>
                <w:highlight w:val="none"/>
                <w:lang w:val="en-US" w:eastAsia="zh-Hans"/>
              </w:rPr>
              <w:t>教师可根据需要自行选择下载所需幼教资源，无网络情况下可以满足使用</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Hans"/>
              </w:rPr>
              <w:t>软件</w:t>
            </w:r>
            <w:r>
              <w:rPr>
                <w:rFonts w:hint="eastAsia" w:ascii="宋体" w:hAnsi="宋体" w:eastAsia="宋体" w:cs="宋体"/>
                <w:sz w:val="24"/>
                <w:szCs w:val="24"/>
                <w:highlight w:val="none"/>
                <w:lang w:val="en-US" w:eastAsia="zh-CN"/>
              </w:rPr>
              <w:t>支持</w:t>
            </w:r>
            <w:r>
              <w:rPr>
                <w:rFonts w:hint="eastAsia" w:ascii="宋体" w:hAnsi="宋体" w:eastAsia="宋体" w:cs="宋体"/>
                <w:sz w:val="24"/>
                <w:szCs w:val="24"/>
                <w:highlight w:val="none"/>
                <w:lang w:val="en-US" w:eastAsia="zh-Hans"/>
              </w:rPr>
              <w:t>连</w:t>
            </w:r>
            <w:r>
              <w:rPr>
                <w:rFonts w:hint="eastAsia" w:ascii="宋体" w:hAnsi="宋体" w:eastAsia="宋体" w:cs="宋体"/>
                <w:sz w:val="24"/>
                <w:szCs w:val="24"/>
                <w:highlight w:val="none"/>
                <w:lang w:val="en-US" w:eastAsia="zh-CN"/>
              </w:rPr>
              <w:t>网</w:t>
            </w:r>
            <w:r>
              <w:rPr>
                <w:rFonts w:hint="eastAsia" w:ascii="宋体" w:hAnsi="宋体" w:eastAsia="宋体" w:cs="宋体"/>
                <w:sz w:val="24"/>
                <w:szCs w:val="24"/>
                <w:highlight w:val="none"/>
                <w:lang w:val="en-US" w:eastAsia="zh-Hans"/>
              </w:rPr>
              <w:t>状态下</w:t>
            </w:r>
            <w:r>
              <w:rPr>
                <w:rFonts w:hint="eastAsia" w:ascii="宋体" w:hAnsi="宋体" w:eastAsia="宋体" w:cs="宋体"/>
                <w:sz w:val="24"/>
                <w:szCs w:val="24"/>
                <w:highlight w:val="none"/>
                <w:lang w:val="en-US" w:eastAsia="zh-CN"/>
              </w:rPr>
              <w:t>在线</w:t>
            </w:r>
            <w:r>
              <w:rPr>
                <w:rFonts w:hint="eastAsia" w:ascii="宋体" w:hAnsi="宋体" w:eastAsia="宋体" w:cs="宋体"/>
                <w:sz w:val="24"/>
                <w:szCs w:val="24"/>
                <w:highlight w:val="none"/>
                <w:lang w:val="en-US" w:eastAsia="zh-Hans"/>
              </w:rPr>
              <w:t>升级软件版本、资源</w:t>
            </w:r>
            <w:r>
              <w:rPr>
                <w:rFonts w:hint="eastAsia" w:ascii="宋体" w:hAnsi="宋体" w:eastAsia="宋体" w:cs="宋体"/>
                <w:sz w:val="24"/>
                <w:szCs w:val="24"/>
                <w:highlight w:val="none"/>
                <w:lang w:val="en-US" w:eastAsia="zh-CN"/>
              </w:rPr>
              <w:t>更新</w:t>
            </w:r>
            <w:r>
              <w:rPr>
                <w:rFonts w:hint="eastAsia" w:ascii="宋体" w:hAnsi="宋体" w:eastAsia="宋体" w:cs="宋体"/>
                <w:sz w:val="24"/>
                <w:szCs w:val="24"/>
                <w:highlight w:val="none"/>
                <w:lang w:val="en-US" w:eastAsia="zh-Hans"/>
              </w:rPr>
              <w:t>，</w:t>
            </w:r>
            <w:r>
              <w:rPr>
                <w:rFonts w:hint="eastAsia" w:ascii="宋体" w:hAnsi="宋体" w:eastAsia="宋体" w:cs="宋体"/>
                <w:sz w:val="24"/>
                <w:szCs w:val="24"/>
                <w:highlight w:val="none"/>
                <w:lang w:val="en-US" w:eastAsia="zh-CN"/>
              </w:rPr>
              <w:t>年度</w:t>
            </w:r>
            <w:r>
              <w:rPr>
                <w:rFonts w:hint="eastAsia" w:ascii="宋体" w:hAnsi="宋体" w:eastAsia="宋体" w:cs="宋体"/>
                <w:sz w:val="24"/>
                <w:szCs w:val="24"/>
                <w:highlight w:val="none"/>
                <w:lang w:val="en-US" w:eastAsia="zh-Hans"/>
              </w:rPr>
              <w:t>更新不少于1次</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Hans"/>
              </w:rPr>
              <w:t>软件安装支持的系统分辨率支持1920*1080和</w:t>
            </w:r>
            <w:r>
              <w:rPr>
                <w:rFonts w:hint="eastAsia" w:ascii="宋体" w:hAnsi="宋体" w:eastAsia="宋体" w:cs="宋体"/>
                <w:sz w:val="24"/>
                <w:szCs w:val="24"/>
                <w:highlight w:val="none"/>
                <w:lang w:eastAsia="zh-Hans"/>
              </w:rPr>
              <w:t>3840*2160</w:t>
            </w:r>
            <w:r>
              <w:rPr>
                <w:rFonts w:hint="eastAsia" w:ascii="宋体" w:hAnsi="宋体" w:eastAsia="宋体" w:cs="宋体"/>
                <w:sz w:val="24"/>
                <w:szCs w:val="24"/>
                <w:highlight w:val="none"/>
                <w:lang w:val="en-US" w:eastAsia="zh-Hans"/>
              </w:rPr>
              <w:t>，支持多种比例的缩放比设置，支持win7、win10系统</w:t>
            </w:r>
            <w:r>
              <w:rPr>
                <w:rFonts w:hint="eastAsia" w:ascii="宋体" w:hAnsi="宋体" w:eastAsia="宋体" w:cs="宋体"/>
                <w:sz w:val="24"/>
                <w:szCs w:val="24"/>
                <w:highlight w:val="none"/>
                <w:lang w:val="en-US" w:eastAsia="zh-CN"/>
              </w:rPr>
              <w:t>。</w:t>
            </w:r>
          </w:p>
          <w:p w14:paraId="5FEF845D">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Hans"/>
              </w:rPr>
            </w:pPr>
            <w:r>
              <w:rPr>
                <w:rFonts w:hint="eastAsia" w:ascii="宋体" w:hAnsi="宋体" w:eastAsia="宋体" w:cs="宋体"/>
                <w:sz w:val="24"/>
                <w:szCs w:val="24"/>
                <w:highlight w:val="none"/>
                <w:lang w:val="en-US" w:eastAsia="zh-CN"/>
              </w:rPr>
              <w:t>13. 教学系统</w:t>
            </w:r>
            <w:r>
              <w:rPr>
                <w:rFonts w:hint="eastAsia" w:ascii="宋体" w:hAnsi="宋体" w:eastAsia="宋体" w:cs="宋体"/>
                <w:sz w:val="24"/>
                <w:szCs w:val="24"/>
                <w:highlight w:val="none"/>
                <w:lang w:val="en-US" w:eastAsia="zh-Hans"/>
              </w:rPr>
              <w:t>支持账号、密码登</w:t>
            </w:r>
            <w:r>
              <w:rPr>
                <w:rFonts w:hint="eastAsia" w:ascii="宋体" w:hAnsi="宋体" w:eastAsia="宋体" w:cs="宋体"/>
                <w:sz w:val="24"/>
                <w:szCs w:val="24"/>
                <w:highlight w:val="none"/>
                <w:lang w:val="en-US" w:eastAsia="zh-CN"/>
              </w:rPr>
              <w:t>录</w:t>
            </w:r>
            <w:r>
              <w:rPr>
                <w:rFonts w:hint="eastAsia" w:ascii="宋体" w:hAnsi="宋体" w:eastAsia="宋体" w:cs="宋体"/>
                <w:sz w:val="24"/>
                <w:szCs w:val="24"/>
                <w:highlight w:val="none"/>
                <w:lang w:val="en-US" w:eastAsia="zh-Hans"/>
              </w:rPr>
              <w:t>，</w:t>
            </w:r>
            <w:r>
              <w:rPr>
                <w:rFonts w:hint="eastAsia" w:ascii="宋体" w:hAnsi="宋体" w:eastAsia="宋体" w:cs="宋体"/>
                <w:sz w:val="24"/>
                <w:szCs w:val="24"/>
                <w:highlight w:val="none"/>
                <w:lang w:val="en-US" w:eastAsia="zh-CN"/>
              </w:rPr>
              <w:t>登录</w:t>
            </w:r>
            <w:r>
              <w:rPr>
                <w:rFonts w:hint="eastAsia" w:ascii="宋体" w:hAnsi="宋体" w:eastAsia="宋体" w:cs="宋体"/>
                <w:sz w:val="24"/>
                <w:szCs w:val="24"/>
                <w:highlight w:val="none"/>
                <w:lang w:val="en-US" w:eastAsia="zh-Hans"/>
              </w:rPr>
              <w:t>后可以显示园所的名称，支持修改登陆账号密码，可个性化自定义园所的名称、不同班级名称或班级宣传语标识，主界面支持显示天气、网络连接状态、当前时间、通知信息内容。</w:t>
            </w:r>
          </w:p>
          <w:p w14:paraId="0B5D4C63">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Hans"/>
              </w:rPr>
              <w:t>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Hans"/>
              </w:rPr>
              <w:t>、</w:t>
            </w:r>
            <w:r>
              <w:rPr>
                <w:rFonts w:hint="eastAsia" w:ascii="宋体" w:hAnsi="宋体" w:eastAsia="宋体" w:cs="宋体"/>
                <w:sz w:val="24"/>
                <w:szCs w:val="24"/>
                <w:highlight w:val="none"/>
                <w:lang w:val="en-US" w:eastAsia="zh-Hans"/>
              </w:rPr>
              <w:t>教学系统支持查看硬件设备号，支持检测系统功能，检测过程中系统会自动修复已知的异常问题，通过软件自身文件管理功能，可以查看资源缓存目录和资源占用空间大小，软件资源大小不少于</w:t>
            </w:r>
            <w:r>
              <w:rPr>
                <w:rFonts w:hint="eastAsia" w:ascii="宋体" w:hAnsi="宋体" w:eastAsia="宋体" w:cs="宋体"/>
                <w:sz w:val="24"/>
                <w:szCs w:val="24"/>
                <w:highlight w:val="none"/>
                <w:lang w:val="en-US" w:eastAsia="zh-CN"/>
              </w:rPr>
              <w:t>85</w:t>
            </w:r>
            <w:r>
              <w:rPr>
                <w:rFonts w:hint="eastAsia" w:ascii="宋体" w:hAnsi="宋体" w:eastAsia="宋体" w:cs="宋体"/>
                <w:sz w:val="24"/>
                <w:szCs w:val="24"/>
                <w:highlight w:val="none"/>
                <w:lang w:val="en-US" w:eastAsia="zh-Hans"/>
              </w:rPr>
              <w:t>G</w:t>
            </w:r>
            <w:r>
              <w:rPr>
                <w:rFonts w:hint="eastAsia" w:ascii="宋体" w:hAnsi="宋体" w:eastAsia="宋体" w:cs="宋体"/>
                <w:sz w:val="24"/>
                <w:szCs w:val="24"/>
                <w:highlight w:val="none"/>
                <w:lang w:val="en-US" w:eastAsia="zh-CN"/>
              </w:rPr>
              <w:t>。</w:t>
            </w:r>
          </w:p>
          <w:p w14:paraId="497DEAAE">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Hans"/>
              </w:rPr>
              <w:t>★</w:t>
            </w:r>
            <w:r>
              <w:rPr>
                <w:rFonts w:hint="eastAsia" w:ascii="宋体" w:hAnsi="宋体" w:eastAsia="宋体" w:cs="宋体"/>
                <w:sz w:val="24"/>
                <w:szCs w:val="24"/>
                <w:highlight w:val="none"/>
                <w:lang w:eastAsia="zh-Hans"/>
              </w:rPr>
              <w:t>1</w:t>
            </w:r>
            <w:r>
              <w:rPr>
                <w:rFonts w:hint="eastAsia" w:ascii="宋体" w:hAnsi="宋体" w:eastAsia="宋体" w:cs="宋体"/>
                <w:sz w:val="24"/>
                <w:szCs w:val="24"/>
                <w:highlight w:val="none"/>
                <w:lang w:val="en-US" w:eastAsia="zh-CN"/>
              </w:rPr>
              <w:t xml:space="preserve">5. </w:t>
            </w:r>
            <w:r>
              <w:rPr>
                <w:rFonts w:hint="eastAsia" w:ascii="宋体" w:hAnsi="宋体" w:eastAsia="宋体" w:cs="宋体"/>
                <w:sz w:val="24"/>
                <w:szCs w:val="24"/>
                <w:highlight w:val="none"/>
                <w:lang w:val="en-US" w:eastAsia="zh-Hans"/>
              </w:rPr>
              <w:t>智慧教学系统软件</w:t>
            </w:r>
            <w:r>
              <w:rPr>
                <w:rFonts w:hint="eastAsia" w:ascii="宋体" w:hAnsi="宋体" w:eastAsia="宋体" w:cs="宋体"/>
                <w:sz w:val="24"/>
                <w:szCs w:val="24"/>
                <w:highlight w:val="none"/>
                <w:lang w:val="en-US" w:eastAsia="zh-CN"/>
              </w:rPr>
              <w:t>需在国家版权局已进行版权登记，提供计算机软件著作权登记证书</w:t>
            </w:r>
            <w:r>
              <w:rPr>
                <w:rFonts w:hint="eastAsia" w:ascii="宋体" w:hAnsi="宋体" w:eastAsia="宋体" w:cs="宋体"/>
                <w:sz w:val="24"/>
                <w:szCs w:val="24"/>
                <w:highlight w:val="none"/>
                <w:lang w:val="en-US" w:eastAsia="zh-Hans"/>
              </w:rPr>
              <w:t>影印件，证明内容软件的版权合法合规，无版权纠纷</w:t>
            </w:r>
            <w:r>
              <w:rPr>
                <w:rFonts w:hint="eastAsia" w:ascii="宋体" w:hAnsi="宋体" w:eastAsia="宋体" w:cs="宋体"/>
                <w:sz w:val="24"/>
                <w:szCs w:val="24"/>
                <w:highlight w:val="none"/>
                <w:lang w:val="en-US" w:eastAsia="zh-CN"/>
              </w:rPr>
              <w:t>。</w:t>
            </w:r>
          </w:p>
          <w:p w14:paraId="49EB70D2">
            <w:pPr>
              <w:keepNext w:val="0"/>
              <w:keepLines w:val="0"/>
              <w:numPr>
                <w:ilvl w:val="0"/>
                <w:numId w:val="17"/>
              </w:numPr>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Hans"/>
              </w:rPr>
              <w:t>智慧教学系统软件</w:t>
            </w:r>
            <w:r>
              <w:rPr>
                <w:rFonts w:hint="eastAsia" w:ascii="宋体" w:hAnsi="宋体" w:eastAsia="宋体" w:cs="宋体"/>
                <w:sz w:val="24"/>
                <w:szCs w:val="24"/>
                <w:highlight w:val="none"/>
                <w:lang w:val="en-US" w:eastAsia="zh-CN"/>
              </w:rPr>
              <w:t>适配国产操作系统，在国产处理器平台上整体运行稳定，满足功能及兼容性测试要求。提供产品互认证明用以佐证。</w:t>
            </w:r>
          </w:p>
          <w:p w14:paraId="2A870698">
            <w:pPr>
              <w:keepNext w:val="0"/>
              <w:keepLines w:val="0"/>
              <w:suppressLineNumbers w:val="0"/>
              <w:bidi w:val="0"/>
              <w:spacing w:before="0" w:beforeAutospacing="0" w:after="0" w:afterAutospacing="0" w:line="240" w:lineRule="auto"/>
              <w:ind w:left="0" w:right="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Hans"/>
              </w:rPr>
              <w:t>画板软件：</w:t>
            </w:r>
          </w:p>
          <w:p w14:paraId="73CEFD6F">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Hans"/>
              </w:rPr>
              <w:t>1.</w:t>
            </w:r>
            <w:r>
              <w:rPr>
                <w:rFonts w:hint="eastAsia" w:ascii="宋体" w:hAnsi="宋体" w:eastAsia="宋体" w:cs="宋体"/>
                <w:sz w:val="24"/>
                <w:szCs w:val="24"/>
                <w:highlight w:val="none"/>
                <w:lang w:val="en-US" w:eastAsia="zh-Hans"/>
              </w:rPr>
              <w:t>系统提供</w:t>
            </w:r>
            <w:r>
              <w:rPr>
                <w:rFonts w:hint="eastAsia" w:ascii="宋体" w:hAnsi="宋体" w:eastAsia="宋体" w:cs="宋体"/>
                <w:sz w:val="24"/>
                <w:szCs w:val="24"/>
                <w:highlight w:val="none"/>
                <w:lang w:val="en-US" w:eastAsia="zh-CN"/>
              </w:rPr>
              <w:t>画板</w:t>
            </w:r>
            <w:r>
              <w:rPr>
                <w:rFonts w:hint="eastAsia" w:ascii="宋体" w:hAnsi="宋体" w:eastAsia="宋体" w:cs="宋体"/>
                <w:sz w:val="24"/>
                <w:szCs w:val="24"/>
                <w:highlight w:val="none"/>
                <w:lang w:val="en-US" w:eastAsia="zh-Hans"/>
              </w:rPr>
              <w:t>软件，</w:t>
            </w:r>
            <w:r>
              <w:rPr>
                <w:rFonts w:hint="eastAsia" w:ascii="宋体" w:hAnsi="宋体" w:eastAsia="宋体" w:cs="宋体"/>
                <w:sz w:val="24"/>
                <w:szCs w:val="24"/>
                <w:highlight w:val="none"/>
                <w:lang w:val="en-US" w:eastAsia="zh-CN"/>
              </w:rPr>
              <w:t>专为幼儿园教学场景需要定制研发，UI设计</w:t>
            </w:r>
            <w:r>
              <w:rPr>
                <w:rFonts w:hint="eastAsia" w:ascii="宋体" w:hAnsi="宋体" w:eastAsia="宋体" w:cs="宋体"/>
                <w:sz w:val="24"/>
                <w:szCs w:val="24"/>
                <w:highlight w:val="none"/>
                <w:lang w:val="en-US" w:eastAsia="zh-Hans"/>
              </w:rPr>
              <w:t>卡通风格，</w:t>
            </w:r>
            <w:r>
              <w:rPr>
                <w:rFonts w:hint="eastAsia" w:ascii="宋体" w:hAnsi="宋体" w:eastAsia="宋体" w:cs="宋体"/>
                <w:sz w:val="24"/>
                <w:szCs w:val="24"/>
                <w:highlight w:val="none"/>
                <w:lang w:val="en-US" w:eastAsia="zh-CN"/>
              </w:rPr>
              <w:t>简洁明了，且严格遵循教育部《3-6岁儿童学习与发展指南》相关规定。</w:t>
            </w:r>
          </w:p>
          <w:p w14:paraId="426F59DF">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2</w:t>
            </w:r>
            <w:r>
              <w:rPr>
                <w:rFonts w:hint="eastAsia" w:ascii="宋体" w:hAnsi="宋体" w:eastAsia="宋体" w:cs="宋体"/>
                <w:sz w:val="24"/>
                <w:szCs w:val="24"/>
                <w:highlight w:val="none"/>
                <w:lang w:val="en-US" w:eastAsia="zh-CN"/>
              </w:rPr>
              <w:t>.画板</w:t>
            </w:r>
            <w:r>
              <w:rPr>
                <w:rFonts w:hint="eastAsia" w:ascii="宋体" w:hAnsi="宋体" w:eastAsia="宋体" w:cs="宋体"/>
                <w:sz w:val="24"/>
                <w:szCs w:val="24"/>
                <w:highlight w:val="none"/>
                <w:lang w:val="en-US" w:eastAsia="zh-Hans"/>
              </w:rPr>
              <w:t>软件</w:t>
            </w:r>
            <w:r>
              <w:rPr>
                <w:rFonts w:hint="eastAsia" w:ascii="宋体" w:hAnsi="宋体" w:eastAsia="宋体" w:cs="宋体"/>
                <w:sz w:val="24"/>
                <w:szCs w:val="24"/>
                <w:highlight w:val="none"/>
                <w:lang w:val="en-US" w:eastAsia="zh-CN"/>
              </w:rPr>
              <w:t>在功能上应满足：包含水彩笔、铅笔、蜡笔、彩笔等多种画笔，每种笔刷不少于3</w:t>
            </w:r>
            <w:r>
              <w:rPr>
                <w:rFonts w:hint="eastAsia" w:ascii="宋体" w:hAnsi="宋体" w:eastAsia="宋体" w:cs="宋体"/>
                <w:sz w:val="24"/>
                <w:szCs w:val="24"/>
                <w:highlight w:val="none"/>
                <w:lang w:eastAsia="zh-CN"/>
              </w:rPr>
              <w:t>0</w:t>
            </w:r>
            <w:r>
              <w:rPr>
                <w:rFonts w:hint="eastAsia" w:ascii="宋体" w:hAnsi="宋体" w:eastAsia="宋体" w:cs="宋体"/>
                <w:sz w:val="24"/>
                <w:szCs w:val="24"/>
                <w:highlight w:val="none"/>
                <w:lang w:val="en-US" w:eastAsia="zh-CN"/>
              </w:rPr>
              <w:t>种颜色设置、5种粗细线条设置，支持笔迹撤销及撤销恢复操作，提供橡皮擦擦除功能，支持调节橡皮擦大小。 需提供第三方检测机构依据GB/T25000.51-2016标准检测出具的含有CMA及CNAS标识的检测报告复印件</w:t>
            </w:r>
            <w:r>
              <w:rPr>
                <w:rFonts w:hint="eastAsia" w:ascii="宋体" w:hAnsi="宋体" w:eastAsia="宋体" w:cs="宋体"/>
                <w:sz w:val="24"/>
                <w:szCs w:val="24"/>
                <w:highlight w:val="none"/>
                <w:lang w:val="en-US" w:eastAsia="zh-Hans"/>
              </w:rPr>
              <w:t>用以佐证</w:t>
            </w:r>
            <w:r>
              <w:rPr>
                <w:rFonts w:hint="eastAsia" w:ascii="宋体" w:hAnsi="宋体" w:eastAsia="宋体" w:cs="宋体"/>
                <w:sz w:val="24"/>
                <w:szCs w:val="24"/>
                <w:highlight w:val="none"/>
                <w:lang w:val="en-US" w:eastAsia="zh-CN"/>
              </w:rPr>
              <w:t>。</w:t>
            </w:r>
          </w:p>
          <w:p w14:paraId="0AEB212B">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3</w:t>
            </w:r>
            <w:r>
              <w:rPr>
                <w:rFonts w:hint="eastAsia" w:ascii="宋体" w:hAnsi="宋体" w:eastAsia="宋体" w:cs="宋体"/>
                <w:sz w:val="24"/>
                <w:szCs w:val="24"/>
                <w:highlight w:val="none"/>
                <w:lang w:val="en-US" w:eastAsia="zh-CN"/>
              </w:rPr>
              <w:t>.画板</w:t>
            </w:r>
            <w:r>
              <w:rPr>
                <w:rFonts w:hint="eastAsia" w:ascii="宋体" w:hAnsi="宋体" w:eastAsia="宋体" w:cs="宋体"/>
                <w:sz w:val="24"/>
                <w:szCs w:val="24"/>
                <w:highlight w:val="none"/>
                <w:lang w:val="en-US" w:eastAsia="zh-Hans"/>
              </w:rPr>
              <w:t>软件具备图形及贴纸插入功能，</w:t>
            </w:r>
            <w:r>
              <w:rPr>
                <w:rFonts w:hint="eastAsia" w:ascii="宋体" w:hAnsi="宋体" w:eastAsia="宋体" w:cs="宋体"/>
                <w:sz w:val="24"/>
                <w:szCs w:val="24"/>
                <w:highlight w:val="none"/>
                <w:lang w:val="en-US" w:eastAsia="zh-CN"/>
              </w:rPr>
              <w:t>支持插入正方形、长方形、三角形、圆形等常用图形，种类不少于 1</w:t>
            </w:r>
            <w:r>
              <w:rPr>
                <w:rFonts w:hint="eastAsia" w:ascii="宋体" w:hAnsi="宋体" w:eastAsia="宋体" w:cs="宋体"/>
                <w:sz w:val="24"/>
                <w:szCs w:val="24"/>
                <w:highlight w:val="none"/>
                <w:lang w:eastAsia="zh-CN"/>
              </w:rPr>
              <w:t>0</w:t>
            </w:r>
            <w:r>
              <w:rPr>
                <w:rFonts w:hint="eastAsia" w:ascii="宋体" w:hAnsi="宋体" w:eastAsia="宋体" w:cs="宋体"/>
                <w:sz w:val="24"/>
                <w:szCs w:val="24"/>
                <w:highlight w:val="none"/>
                <w:lang w:val="en-US" w:eastAsia="zh-CN"/>
              </w:rPr>
              <w:t xml:space="preserve"> 种形状的图形，填充颜色不少于 3</w:t>
            </w:r>
            <w:r>
              <w:rPr>
                <w:rFonts w:hint="eastAsia" w:ascii="宋体" w:hAnsi="宋体" w:eastAsia="宋体" w:cs="宋体"/>
                <w:sz w:val="24"/>
                <w:szCs w:val="24"/>
                <w:highlight w:val="none"/>
                <w:lang w:eastAsia="zh-CN"/>
              </w:rPr>
              <w:t>0</w:t>
            </w:r>
            <w:r>
              <w:rPr>
                <w:rFonts w:hint="eastAsia" w:ascii="宋体" w:hAnsi="宋体" w:eastAsia="宋体" w:cs="宋体"/>
                <w:sz w:val="24"/>
                <w:szCs w:val="24"/>
                <w:highlight w:val="none"/>
                <w:lang w:val="en-US" w:eastAsia="zh-CN"/>
              </w:rPr>
              <w:t xml:space="preserve"> 种；动物类型贴</w:t>
            </w:r>
            <w:r>
              <w:rPr>
                <w:rFonts w:hint="eastAsia" w:ascii="宋体" w:hAnsi="宋体" w:eastAsia="宋体" w:cs="宋体"/>
                <w:sz w:val="24"/>
                <w:szCs w:val="24"/>
                <w:highlight w:val="none"/>
                <w:lang w:val="en-US" w:eastAsia="zh-Hans"/>
              </w:rPr>
              <w:t>纸不少于</w:t>
            </w:r>
            <w:r>
              <w:rPr>
                <w:rFonts w:hint="eastAsia" w:ascii="宋体" w:hAnsi="宋体" w:eastAsia="宋体" w:cs="宋体"/>
                <w:sz w:val="24"/>
                <w:szCs w:val="24"/>
                <w:highlight w:val="none"/>
                <w:lang w:eastAsia="zh-Hans"/>
              </w:rPr>
              <w:t>80</w:t>
            </w:r>
            <w:r>
              <w:rPr>
                <w:rFonts w:hint="eastAsia" w:ascii="宋体" w:hAnsi="宋体" w:eastAsia="宋体" w:cs="宋体"/>
                <w:sz w:val="24"/>
                <w:szCs w:val="24"/>
                <w:highlight w:val="none"/>
                <w:lang w:val="en-US" w:eastAsia="zh-Hans"/>
              </w:rPr>
              <w:t>种</w:t>
            </w:r>
            <w:r>
              <w:rPr>
                <w:rFonts w:hint="eastAsia" w:ascii="宋体" w:hAnsi="宋体" w:eastAsia="宋体" w:cs="宋体"/>
                <w:sz w:val="24"/>
                <w:szCs w:val="24"/>
                <w:highlight w:val="none"/>
                <w:lang w:val="en-US" w:eastAsia="zh-CN"/>
              </w:rPr>
              <w:t>、卡通类型贴纸</w:t>
            </w:r>
            <w:r>
              <w:rPr>
                <w:rFonts w:hint="eastAsia" w:ascii="宋体" w:hAnsi="宋体" w:eastAsia="宋体" w:cs="宋体"/>
                <w:sz w:val="24"/>
                <w:szCs w:val="24"/>
                <w:highlight w:val="none"/>
                <w:lang w:val="en-US" w:eastAsia="zh-Hans"/>
              </w:rPr>
              <w:t>不少于</w:t>
            </w:r>
            <w:r>
              <w:rPr>
                <w:rFonts w:hint="eastAsia" w:ascii="宋体" w:hAnsi="宋体" w:eastAsia="宋体" w:cs="宋体"/>
                <w:sz w:val="24"/>
                <w:szCs w:val="24"/>
                <w:highlight w:val="none"/>
                <w:lang w:eastAsia="zh-Hans"/>
              </w:rPr>
              <w:t>40</w:t>
            </w:r>
            <w:r>
              <w:rPr>
                <w:rFonts w:hint="eastAsia" w:ascii="宋体" w:hAnsi="宋体" w:eastAsia="宋体" w:cs="宋体"/>
                <w:sz w:val="24"/>
                <w:szCs w:val="24"/>
                <w:highlight w:val="none"/>
                <w:lang w:val="en-US" w:eastAsia="zh-Hans"/>
              </w:rPr>
              <w:t>种</w:t>
            </w:r>
            <w:r>
              <w:rPr>
                <w:rFonts w:hint="eastAsia" w:ascii="宋体" w:hAnsi="宋体" w:eastAsia="宋体" w:cs="宋体"/>
                <w:sz w:val="24"/>
                <w:szCs w:val="24"/>
                <w:highlight w:val="none"/>
                <w:lang w:val="en-US" w:eastAsia="zh-CN"/>
              </w:rPr>
              <w:t>，插入的图形及贴纸图标素材支持锁定、置顶、置底、印章、删除、放大、缩小、旋转等操作。需提供第三方检测机构依据GB/T25000.51-2016标准检测出具的含有CMA及CNAS标识的检测报告复印件</w:t>
            </w:r>
            <w:r>
              <w:rPr>
                <w:rFonts w:hint="eastAsia" w:ascii="宋体" w:hAnsi="宋体" w:eastAsia="宋体" w:cs="宋体"/>
                <w:sz w:val="24"/>
                <w:szCs w:val="24"/>
                <w:highlight w:val="none"/>
                <w:lang w:val="en-US" w:eastAsia="zh-Hans"/>
              </w:rPr>
              <w:t>用以佐证</w:t>
            </w:r>
            <w:r>
              <w:rPr>
                <w:rFonts w:hint="eastAsia" w:ascii="宋体" w:hAnsi="宋体" w:eastAsia="宋体" w:cs="宋体"/>
                <w:sz w:val="24"/>
                <w:szCs w:val="24"/>
                <w:highlight w:val="none"/>
                <w:lang w:val="en-US" w:eastAsia="zh-CN"/>
              </w:rPr>
              <w:t>。</w:t>
            </w:r>
          </w:p>
          <w:p w14:paraId="5D49A6C7">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4</w:t>
            </w:r>
            <w:r>
              <w:rPr>
                <w:rFonts w:hint="eastAsia" w:ascii="宋体" w:hAnsi="宋体" w:eastAsia="宋体" w:cs="宋体"/>
                <w:sz w:val="24"/>
                <w:szCs w:val="24"/>
                <w:highlight w:val="none"/>
                <w:lang w:val="en-US" w:eastAsia="zh-CN"/>
              </w:rPr>
              <w:t>.画板</w:t>
            </w:r>
            <w:r>
              <w:rPr>
                <w:rFonts w:hint="eastAsia" w:ascii="宋体" w:hAnsi="宋体" w:eastAsia="宋体" w:cs="宋体"/>
                <w:sz w:val="24"/>
                <w:szCs w:val="24"/>
                <w:highlight w:val="none"/>
                <w:lang w:val="en-US" w:eastAsia="zh-Hans"/>
              </w:rPr>
              <w:t>软件</w:t>
            </w:r>
            <w:r>
              <w:rPr>
                <w:rFonts w:hint="eastAsia" w:ascii="宋体" w:hAnsi="宋体" w:eastAsia="宋体" w:cs="宋体"/>
                <w:sz w:val="24"/>
                <w:szCs w:val="24"/>
                <w:highlight w:val="none"/>
                <w:lang w:val="en-US" w:eastAsia="zh-CN"/>
              </w:rPr>
              <w:t>支持输入文字，并可根据情景需要设定文字颜色及大小，颜色选择不少于</w:t>
            </w:r>
            <w:r>
              <w:rPr>
                <w:rFonts w:hint="eastAsia" w:ascii="宋体" w:hAnsi="宋体" w:eastAsia="宋体" w:cs="宋体"/>
                <w:sz w:val="24"/>
                <w:szCs w:val="24"/>
                <w:highlight w:val="none"/>
                <w:lang w:eastAsia="zh-CN"/>
              </w:rPr>
              <w:t>30</w:t>
            </w:r>
            <w:r>
              <w:rPr>
                <w:rFonts w:hint="eastAsia" w:ascii="宋体" w:hAnsi="宋体" w:eastAsia="宋体" w:cs="宋体"/>
                <w:sz w:val="24"/>
                <w:szCs w:val="24"/>
                <w:highlight w:val="none"/>
                <w:lang w:val="en-US" w:eastAsia="zh-CN"/>
              </w:rPr>
              <w:t>种；内置触控键盘和文本框；编辑完成的文字可以进行二次编辑、删除、旋转、放大、缩小等操作。</w:t>
            </w:r>
          </w:p>
          <w:p w14:paraId="25F4AC00">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5</w:t>
            </w:r>
            <w:r>
              <w:rPr>
                <w:rFonts w:hint="eastAsia" w:ascii="宋体" w:hAnsi="宋体" w:eastAsia="宋体" w:cs="宋体"/>
                <w:sz w:val="24"/>
                <w:szCs w:val="24"/>
                <w:highlight w:val="none"/>
                <w:lang w:val="en-US" w:eastAsia="zh-CN"/>
              </w:rPr>
              <w:t>.画板</w:t>
            </w:r>
            <w:r>
              <w:rPr>
                <w:rFonts w:hint="eastAsia" w:ascii="宋体" w:hAnsi="宋体" w:eastAsia="宋体" w:cs="宋体"/>
                <w:sz w:val="24"/>
                <w:szCs w:val="24"/>
                <w:highlight w:val="none"/>
                <w:lang w:val="en-US" w:eastAsia="zh-Hans"/>
              </w:rPr>
              <w:t>软件</w:t>
            </w:r>
            <w:r>
              <w:rPr>
                <w:rFonts w:hint="eastAsia" w:ascii="宋体" w:hAnsi="宋体" w:eastAsia="宋体" w:cs="宋体"/>
                <w:sz w:val="24"/>
                <w:szCs w:val="24"/>
                <w:highlight w:val="none"/>
                <w:lang w:val="en-US" w:eastAsia="zh-CN"/>
              </w:rPr>
              <w:t>绘画背景支持纯色、风景、节日等多种背景</w:t>
            </w:r>
            <w:r>
              <w:rPr>
                <w:rFonts w:hint="eastAsia" w:ascii="宋体" w:hAnsi="宋体" w:eastAsia="宋体" w:cs="宋体"/>
                <w:sz w:val="24"/>
                <w:szCs w:val="24"/>
                <w:highlight w:val="none"/>
                <w:lang w:val="en-US" w:eastAsia="zh-Hans"/>
              </w:rPr>
              <w:t>模板</w:t>
            </w:r>
            <w:r>
              <w:rPr>
                <w:rFonts w:hint="eastAsia" w:ascii="宋体" w:hAnsi="宋体" w:eastAsia="宋体" w:cs="宋体"/>
                <w:sz w:val="24"/>
                <w:szCs w:val="24"/>
                <w:highlight w:val="none"/>
                <w:lang w:val="en-US" w:eastAsia="zh-CN"/>
              </w:rPr>
              <w:t>类型，模板数量不少于70种，教师可根据需要</w:t>
            </w:r>
            <w:r>
              <w:rPr>
                <w:rFonts w:hint="eastAsia" w:ascii="宋体" w:hAnsi="宋体" w:eastAsia="宋体" w:cs="宋体"/>
                <w:sz w:val="24"/>
                <w:szCs w:val="24"/>
                <w:highlight w:val="none"/>
                <w:lang w:val="en-US" w:eastAsia="zh-Hans"/>
              </w:rPr>
              <w:t>自主</w:t>
            </w:r>
            <w:r>
              <w:rPr>
                <w:rFonts w:hint="eastAsia" w:ascii="宋体" w:hAnsi="宋体" w:eastAsia="宋体" w:cs="宋体"/>
                <w:sz w:val="24"/>
                <w:szCs w:val="24"/>
                <w:highlight w:val="none"/>
                <w:lang w:val="en-US" w:eastAsia="zh-CN"/>
              </w:rPr>
              <w:t>更换。</w:t>
            </w:r>
          </w:p>
          <w:p w14:paraId="629B2907">
            <w:pPr>
              <w:keepNext w:val="0"/>
              <w:keepLines w:val="0"/>
              <w:suppressLineNumbers w:val="0"/>
              <w:bidi w:val="0"/>
              <w:spacing w:before="0" w:beforeAutospacing="0" w:after="0" w:afterAutospacing="0" w:line="240" w:lineRule="auto"/>
              <w:ind w:left="0" w:right="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6</w:t>
            </w:r>
            <w:r>
              <w:rPr>
                <w:rFonts w:hint="eastAsia" w:ascii="宋体" w:hAnsi="宋体" w:eastAsia="宋体" w:cs="宋体"/>
                <w:sz w:val="24"/>
                <w:szCs w:val="24"/>
                <w:highlight w:val="none"/>
                <w:lang w:val="en-US" w:eastAsia="zh-CN"/>
              </w:rPr>
              <w:t>.画板</w:t>
            </w:r>
            <w:r>
              <w:rPr>
                <w:rFonts w:hint="eastAsia" w:ascii="宋体" w:hAnsi="宋体" w:eastAsia="宋体" w:cs="宋体"/>
                <w:sz w:val="24"/>
                <w:szCs w:val="24"/>
                <w:highlight w:val="none"/>
                <w:lang w:val="en-US" w:eastAsia="zh-Hans"/>
              </w:rPr>
              <w:t>软件</w:t>
            </w:r>
            <w:r>
              <w:rPr>
                <w:rFonts w:hint="eastAsia" w:ascii="宋体" w:hAnsi="宋体" w:eastAsia="宋体" w:cs="宋体"/>
                <w:sz w:val="24"/>
                <w:szCs w:val="24"/>
                <w:highlight w:val="none"/>
                <w:lang w:val="en-US" w:eastAsia="zh-CN"/>
              </w:rPr>
              <w:t>具有照片册功能，可对绘画内容支持保存、编辑、删除、单张导出以及批量导出等操作；导出路径可自由设置。</w:t>
            </w:r>
          </w:p>
          <w:p w14:paraId="081F5213">
            <w:pPr>
              <w:keepNext w:val="0"/>
              <w:keepLines w:val="0"/>
              <w:suppressLineNumbers w:val="0"/>
              <w:bidi w:val="0"/>
              <w:spacing w:before="0" w:beforeAutospacing="0" w:after="0" w:afterAutospacing="0" w:line="240" w:lineRule="auto"/>
              <w:ind w:left="0" w:right="0"/>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画板</w:t>
            </w:r>
            <w:r>
              <w:rPr>
                <w:rFonts w:hint="eastAsia" w:ascii="宋体" w:hAnsi="宋体" w:eastAsia="宋体" w:cs="宋体"/>
                <w:sz w:val="24"/>
                <w:szCs w:val="24"/>
                <w:highlight w:val="none"/>
                <w:lang w:val="en-US" w:eastAsia="zh-Hans"/>
              </w:rPr>
              <w:t>软件</w:t>
            </w:r>
            <w:r>
              <w:rPr>
                <w:rFonts w:hint="eastAsia" w:ascii="宋体" w:hAnsi="宋体" w:eastAsia="宋体" w:cs="宋体"/>
                <w:sz w:val="24"/>
                <w:szCs w:val="24"/>
                <w:highlight w:val="none"/>
                <w:lang w:val="en-US" w:eastAsia="zh-CN"/>
              </w:rPr>
              <w:t>支持设置后台运行，具备小助手快捷方式，一键打开主程序，可在任意界面进行涂画标注、截屏、一键切换、退出后台运行等操作，截图画面可以直接在画板内进行再次编辑，标注笔迹颜色及粗细可调整</w:t>
            </w:r>
            <w:r>
              <w:rPr>
                <w:rFonts w:hint="eastAsia" w:ascii="宋体" w:hAnsi="宋体" w:eastAsia="宋体" w:cs="宋体"/>
                <w:sz w:val="24"/>
                <w:szCs w:val="24"/>
                <w:highlight w:val="none"/>
                <w:lang w:val="en-US" w:eastAsia="zh-Hans"/>
              </w:rPr>
              <w:t>。</w:t>
            </w:r>
            <w:r>
              <w:rPr>
                <w:rFonts w:hint="eastAsia" w:ascii="宋体" w:hAnsi="宋体" w:eastAsia="宋体" w:cs="宋体"/>
                <w:sz w:val="24"/>
                <w:szCs w:val="24"/>
                <w:highlight w:val="none"/>
                <w:lang w:val="en-US" w:eastAsia="zh-CN"/>
              </w:rPr>
              <w:t>需提供第三方检测机构依据GB/T25000.51-2016标准检测出具的含有CMA及CNAS标识的检测报告复印件</w:t>
            </w:r>
            <w:r>
              <w:rPr>
                <w:rFonts w:hint="eastAsia" w:ascii="宋体" w:hAnsi="宋体" w:eastAsia="宋体" w:cs="宋体"/>
                <w:sz w:val="24"/>
                <w:szCs w:val="24"/>
                <w:highlight w:val="none"/>
                <w:lang w:val="en-US" w:eastAsia="zh-Hans"/>
              </w:rPr>
              <w:t>用以佐证</w:t>
            </w:r>
            <w:r>
              <w:rPr>
                <w:rFonts w:hint="eastAsia" w:ascii="宋体" w:hAnsi="宋体" w:eastAsia="宋体" w:cs="宋体"/>
                <w:sz w:val="24"/>
                <w:szCs w:val="24"/>
                <w:highlight w:val="none"/>
                <w:lang w:val="en-US" w:eastAsia="zh-CN"/>
              </w:rPr>
              <w:t>。</w:t>
            </w:r>
          </w:p>
        </w:tc>
        <w:tc>
          <w:tcPr>
            <w:tcW w:w="0" w:type="auto"/>
            <w:vAlign w:val="center"/>
          </w:tcPr>
          <w:p w14:paraId="4401B91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1FE10861">
            <w:pPr>
              <w:pStyle w:val="71"/>
              <w:spacing w:before="65" w:line="240" w:lineRule="auto"/>
              <w:ind w:left="7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0" w:type="auto"/>
            <w:vAlign w:val="center"/>
          </w:tcPr>
          <w:p w14:paraId="701792C5">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3FB16706">
            <w:pPr>
              <w:pStyle w:val="71"/>
              <w:spacing w:before="65" w:line="240" w:lineRule="auto"/>
              <w:ind w:left="12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0" w:type="auto"/>
            <w:vAlign w:val="center"/>
          </w:tcPr>
          <w:p w14:paraId="3C261234">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5DEEBBF7">
            <w:pPr>
              <w:pStyle w:val="71"/>
              <w:spacing w:before="65" w:line="240" w:lineRule="auto"/>
              <w:ind w:left="7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bl>
    <w:p w14:paraId="65D671A6">
      <w:pPr>
        <w:rPr>
          <w:rFonts w:hint="default" w:ascii="宋体" w:hAnsi="宋体" w:eastAsia="宋体" w:cs="宋体"/>
          <w:snapToGrid/>
          <w:color w:val="auto"/>
          <w:kern w:val="0"/>
          <w:sz w:val="24"/>
          <w:szCs w:val="24"/>
          <w:highlight w:val="none"/>
          <w:lang w:val="en-US" w:eastAsia="zh-CN" w:bidi="ar"/>
        </w:rPr>
      </w:pPr>
      <w:r>
        <w:rPr>
          <w:rFonts w:hint="default" w:ascii="宋体" w:hAnsi="宋体" w:eastAsia="宋体" w:cs="宋体"/>
          <w:snapToGrid/>
          <w:color w:val="auto"/>
          <w:kern w:val="0"/>
          <w:sz w:val="24"/>
          <w:szCs w:val="24"/>
          <w:highlight w:val="none"/>
          <w:lang w:val="en-US" w:eastAsia="zh-CN" w:bidi="ar"/>
        </w:rPr>
        <w:br w:type="page"/>
      </w:r>
    </w:p>
    <w:p w14:paraId="50D11027">
      <w:pPr>
        <w:pStyle w:val="71"/>
        <w:spacing w:before="283" w:line="480" w:lineRule="auto"/>
        <w:ind w:left="637" w:leftChars="0" w:right="0" w:rightChars="0" w:hanging="425" w:firstLineChars="0"/>
        <w:jc w:val="center"/>
        <w:outlineLvl w:val="2"/>
        <w:rPr>
          <w:rFonts w:hint="default" w:ascii="宋体" w:hAnsi="宋体" w:eastAsia="宋体" w:cs="宋体"/>
          <w:b/>
          <w:bCs/>
          <w:snapToGrid/>
          <w:color w:val="auto"/>
          <w:kern w:val="0"/>
          <w:sz w:val="28"/>
          <w:szCs w:val="28"/>
          <w:highlight w:val="none"/>
          <w:lang w:val="en-US" w:eastAsia="zh-CN" w:bidi="ar"/>
        </w:rPr>
      </w:pPr>
      <w:r>
        <w:rPr>
          <w:rFonts w:hint="eastAsia" w:cs="宋体"/>
          <w:b/>
          <w:bCs/>
          <w:snapToGrid/>
          <w:color w:val="auto"/>
          <w:kern w:val="0"/>
          <w:sz w:val="28"/>
          <w:szCs w:val="28"/>
          <w:highlight w:val="none"/>
          <w:lang w:val="en-US" w:eastAsia="zh-CN" w:bidi="ar"/>
        </w:rPr>
        <w:t>电子设备</w:t>
      </w:r>
    </w:p>
    <w:tbl>
      <w:tblPr>
        <w:tblStyle w:val="72"/>
        <w:tblW w:w="9073" w:type="dxa"/>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49"/>
        <w:gridCol w:w="788"/>
        <w:gridCol w:w="6692"/>
        <w:gridCol w:w="359"/>
        <w:gridCol w:w="360"/>
        <w:gridCol w:w="425"/>
      </w:tblGrid>
      <w:tr w14:paraId="780F1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blHeader/>
        </w:trPr>
        <w:tc>
          <w:tcPr>
            <w:tcW w:w="0" w:type="auto"/>
            <w:vAlign w:val="center"/>
          </w:tcPr>
          <w:p w14:paraId="20BA2007">
            <w:pPr>
              <w:pStyle w:val="71"/>
              <w:spacing w:before="65" w:line="240" w:lineRule="auto"/>
              <w:ind w:left="164"/>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788" w:type="dxa"/>
            <w:vAlign w:val="center"/>
          </w:tcPr>
          <w:p w14:paraId="28F190D1">
            <w:pPr>
              <w:pStyle w:val="71"/>
              <w:spacing w:before="69" w:line="240" w:lineRule="auto"/>
              <w:ind w:left="61" w:right="4"/>
              <w:jc w:val="center"/>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货物名称</w:t>
            </w:r>
          </w:p>
        </w:tc>
        <w:tc>
          <w:tcPr>
            <w:tcW w:w="6692" w:type="dxa"/>
            <w:vAlign w:val="center"/>
          </w:tcPr>
          <w:p w14:paraId="6D4A7DB9">
            <w:pPr>
              <w:pStyle w:val="71"/>
              <w:spacing w:before="65" w:line="240" w:lineRule="auto"/>
              <w:ind w:firstLine="238" w:firstLineChars="100"/>
              <w:jc w:val="center"/>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规格参数</w:t>
            </w:r>
          </w:p>
        </w:tc>
        <w:tc>
          <w:tcPr>
            <w:tcW w:w="359" w:type="dxa"/>
            <w:vAlign w:val="center"/>
          </w:tcPr>
          <w:p w14:paraId="40964364">
            <w:pPr>
              <w:pStyle w:val="71"/>
              <w:spacing w:before="65" w:line="240" w:lineRule="auto"/>
              <w:ind w:left="73"/>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360" w:type="dxa"/>
            <w:vAlign w:val="center"/>
          </w:tcPr>
          <w:p w14:paraId="584CA219">
            <w:pPr>
              <w:pStyle w:val="71"/>
              <w:spacing w:before="65" w:line="240" w:lineRule="auto"/>
              <w:ind w:left="75"/>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w:t>
            </w:r>
          </w:p>
        </w:tc>
        <w:tc>
          <w:tcPr>
            <w:tcW w:w="0" w:type="auto"/>
            <w:vAlign w:val="center"/>
          </w:tcPr>
          <w:p w14:paraId="11832518">
            <w:pPr>
              <w:pStyle w:val="71"/>
              <w:spacing w:before="65" w:line="240" w:lineRule="auto"/>
              <w:ind w:left="14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tc>
      </w:tr>
      <w:tr w14:paraId="60789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0" w:type="auto"/>
            <w:vAlign w:val="center"/>
          </w:tcPr>
          <w:p w14:paraId="2D789D11">
            <w:pPr>
              <w:pStyle w:val="71"/>
              <w:numPr>
                <w:ilvl w:val="0"/>
                <w:numId w:val="0"/>
              </w:numPr>
              <w:spacing w:before="285"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1.</w:t>
            </w:r>
          </w:p>
        </w:tc>
        <w:tc>
          <w:tcPr>
            <w:tcW w:w="788" w:type="dxa"/>
            <w:vAlign w:val="center"/>
          </w:tcPr>
          <w:p w14:paraId="0206F537">
            <w:pPr>
              <w:pStyle w:val="71"/>
              <w:spacing w:before="105" w:line="240" w:lineRule="auto"/>
              <w:ind w:left="260" w:right="56" w:hanging="199"/>
              <w:jc w:val="center"/>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台式电</w:t>
            </w:r>
            <w:r>
              <w:rPr>
                <w:rFonts w:hint="eastAsia" w:ascii="宋体" w:hAnsi="宋体" w:eastAsia="宋体" w:cs="宋体"/>
                <w:color w:val="auto"/>
                <w:sz w:val="24"/>
                <w:szCs w:val="24"/>
                <w:highlight w:val="none"/>
              </w:rPr>
              <w:t>脑</w:t>
            </w:r>
          </w:p>
        </w:tc>
        <w:tc>
          <w:tcPr>
            <w:tcW w:w="6692" w:type="dxa"/>
            <w:vAlign w:val="center"/>
          </w:tcPr>
          <w:p w14:paraId="7D51F481">
            <w:pPr>
              <w:keepNext w:val="0"/>
              <w:keepLines w:val="0"/>
              <w:suppressLineNumbers w:val="0"/>
              <w:spacing w:before="0" w:beforeAutospacing="0" w:after="0" w:afterAutospacing="0" w:line="240" w:lineRule="auto"/>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主板芯片：IntelH470芯片组,商用台式机；2.CPU：Corei5-13420H(2.1GHZ/12M/6核)；3.硬盘：1T固态硬盘4.内存：≥16GBDDR43200，两个内存插槽，最大支持64GB；5.键盘鼠标：含原厂USB接口防水抗菌键盘、USB接口光电鼠标；6.网络同传，硬盘还原功能；支持加密传输（并提供软件截图证明，加盖公章）7.主机不大于7.8L，可立机箱；8.显示器：23.4"宽屏16:9LED背光液晶显示器；9.国产正版软件，WPS正版办公软件及常用教学办公软</w:t>
            </w:r>
            <w:r>
              <w:rPr>
                <w:rFonts w:hint="eastAsia" w:ascii="宋体" w:hAnsi="宋体" w:eastAsia="宋体" w:cs="宋体"/>
                <w:color w:val="auto"/>
                <w:sz w:val="24"/>
                <w:szCs w:val="24"/>
                <w:highlight w:val="none"/>
                <w:lang w:val="en-US" w:eastAsia="zh-CN"/>
              </w:rPr>
              <w:t>件</w:t>
            </w:r>
          </w:p>
        </w:tc>
        <w:tc>
          <w:tcPr>
            <w:tcW w:w="359" w:type="dxa"/>
            <w:vAlign w:val="center"/>
          </w:tcPr>
          <w:p w14:paraId="0CC41248">
            <w:pPr>
              <w:pStyle w:val="71"/>
              <w:spacing w:before="238" w:line="240" w:lineRule="auto"/>
              <w:ind w:left="7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360" w:type="dxa"/>
            <w:vAlign w:val="center"/>
          </w:tcPr>
          <w:p w14:paraId="1E8FDBCF">
            <w:pPr>
              <w:pStyle w:val="71"/>
              <w:spacing w:before="285" w:line="240" w:lineRule="auto"/>
              <w:ind w:left="75"/>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0" w:type="auto"/>
            <w:vAlign w:val="center"/>
          </w:tcPr>
          <w:p w14:paraId="332C80BA">
            <w:pPr>
              <w:pStyle w:val="71"/>
              <w:spacing w:before="241"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7A475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0" w:type="auto"/>
            <w:vAlign w:val="center"/>
          </w:tcPr>
          <w:p w14:paraId="439E1B00">
            <w:pPr>
              <w:pStyle w:val="71"/>
              <w:numPr>
                <w:ilvl w:val="0"/>
                <w:numId w:val="0"/>
              </w:numPr>
              <w:spacing w:before="286"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2.</w:t>
            </w:r>
          </w:p>
        </w:tc>
        <w:tc>
          <w:tcPr>
            <w:tcW w:w="788" w:type="dxa"/>
            <w:vAlign w:val="center"/>
          </w:tcPr>
          <w:p w14:paraId="6DF7E8E1">
            <w:pPr>
              <w:pStyle w:val="71"/>
              <w:spacing w:before="115" w:line="240" w:lineRule="auto"/>
              <w:ind w:left="260" w:right="69" w:hanging="199"/>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A4打印</w:t>
            </w:r>
            <w:r>
              <w:rPr>
                <w:rFonts w:hint="eastAsia" w:ascii="宋体" w:hAnsi="宋体" w:eastAsia="宋体" w:cs="宋体"/>
                <w:color w:val="auto"/>
                <w:sz w:val="24"/>
                <w:szCs w:val="24"/>
                <w:highlight w:val="none"/>
              </w:rPr>
              <w:t>机</w:t>
            </w:r>
          </w:p>
        </w:tc>
        <w:tc>
          <w:tcPr>
            <w:tcW w:w="6692" w:type="dxa"/>
            <w:vAlign w:val="center"/>
          </w:tcPr>
          <w:p w14:paraId="2EA85D39">
            <w:pPr>
              <w:keepNext w:val="0"/>
              <w:keepLines w:val="0"/>
              <w:suppressLineNumbers w:val="0"/>
              <w:spacing w:before="0" w:beforeAutospacing="0" w:after="0" w:afterAutospacing="0" w:line="24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复印幅面: A4复印速度: 34cpmN合1复印: 支持分辨率: 600 x 600 dpi排序复印:自动双面打印。</w:t>
            </w:r>
          </w:p>
        </w:tc>
        <w:tc>
          <w:tcPr>
            <w:tcW w:w="359" w:type="dxa"/>
            <w:vAlign w:val="center"/>
          </w:tcPr>
          <w:p w14:paraId="0CDA0B96">
            <w:pPr>
              <w:pStyle w:val="71"/>
              <w:spacing w:before="237" w:line="240" w:lineRule="auto"/>
              <w:ind w:left="7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360" w:type="dxa"/>
            <w:vAlign w:val="center"/>
          </w:tcPr>
          <w:p w14:paraId="1F94D3A2">
            <w:pPr>
              <w:pStyle w:val="71"/>
              <w:spacing w:before="286" w:line="240" w:lineRule="auto"/>
              <w:ind w:left="12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0" w:type="auto"/>
            <w:vAlign w:val="center"/>
          </w:tcPr>
          <w:p w14:paraId="30B5F39D">
            <w:pPr>
              <w:pStyle w:val="71"/>
              <w:spacing w:before="241"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752BE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0" w:type="auto"/>
            <w:vAlign w:val="top"/>
          </w:tcPr>
          <w:p w14:paraId="4F0A566E">
            <w:pPr>
              <w:pStyle w:val="71"/>
              <w:numPr>
                <w:ilvl w:val="0"/>
                <w:numId w:val="0"/>
              </w:numPr>
              <w:spacing w:before="296"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3.</w:t>
            </w:r>
          </w:p>
        </w:tc>
        <w:tc>
          <w:tcPr>
            <w:tcW w:w="788" w:type="dxa"/>
            <w:vAlign w:val="center"/>
          </w:tcPr>
          <w:p w14:paraId="64EF1DAC">
            <w:pPr>
              <w:pStyle w:val="71"/>
              <w:spacing w:before="244" w:line="240" w:lineRule="auto"/>
              <w:ind w:left="61"/>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过塑机</w:t>
            </w:r>
          </w:p>
        </w:tc>
        <w:tc>
          <w:tcPr>
            <w:tcW w:w="6692" w:type="dxa"/>
            <w:vAlign w:val="top"/>
          </w:tcPr>
          <w:p w14:paraId="507BCCD5">
            <w:pPr>
              <w:pStyle w:val="71"/>
              <w:spacing w:before="294"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A3</w:t>
            </w:r>
          </w:p>
        </w:tc>
        <w:tc>
          <w:tcPr>
            <w:tcW w:w="359" w:type="dxa"/>
            <w:vAlign w:val="center"/>
          </w:tcPr>
          <w:p w14:paraId="7C75B110">
            <w:pPr>
              <w:pStyle w:val="71"/>
              <w:spacing w:before="248" w:line="240" w:lineRule="auto"/>
              <w:ind w:left="7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360" w:type="dxa"/>
            <w:vAlign w:val="center"/>
          </w:tcPr>
          <w:p w14:paraId="1891C7F3">
            <w:pPr>
              <w:pStyle w:val="71"/>
              <w:spacing w:before="295" w:line="240" w:lineRule="auto"/>
              <w:ind w:left="12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0" w:type="auto"/>
            <w:vAlign w:val="top"/>
          </w:tcPr>
          <w:p w14:paraId="5017DE7F">
            <w:pPr>
              <w:pStyle w:val="71"/>
              <w:spacing w:before="251"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07935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0" w:type="auto"/>
            <w:vAlign w:val="top"/>
          </w:tcPr>
          <w:p w14:paraId="0D66B653">
            <w:pPr>
              <w:pStyle w:val="71"/>
              <w:numPr>
                <w:ilvl w:val="0"/>
                <w:numId w:val="0"/>
              </w:numPr>
              <w:spacing w:before="65"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4.</w:t>
            </w:r>
          </w:p>
        </w:tc>
        <w:tc>
          <w:tcPr>
            <w:tcW w:w="788" w:type="dxa"/>
            <w:vAlign w:val="center"/>
          </w:tcPr>
          <w:p w14:paraId="07C78498">
            <w:pPr>
              <w:pStyle w:val="71"/>
              <w:spacing w:before="76" w:line="240" w:lineRule="auto"/>
              <w:ind w:left="61"/>
              <w:jc w:val="center"/>
              <w:rPr>
                <w:rFonts w:hint="eastAsia" w:ascii="宋体" w:hAnsi="宋体" w:eastAsia="宋体" w:cs="宋体"/>
                <w:color w:val="auto"/>
                <w:spacing w:val="-1"/>
                <w:sz w:val="24"/>
                <w:szCs w:val="24"/>
                <w:highlight w:val="none"/>
              </w:rPr>
            </w:pPr>
          </w:p>
          <w:p w14:paraId="1929250B">
            <w:pPr>
              <w:pStyle w:val="71"/>
              <w:spacing w:before="76" w:line="240" w:lineRule="auto"/>
              <w:ind w:left="61"/>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A3打印</w:t>
            </w:r>
            <w:r>
              <w:rPr>
                <w:rFonts w:hint="eastAsia" w:ascii="宋体" w:hAnsi="宋体" w:eastAsia="宋体" w:cs="宋体"/>
                <w:color w:val="auto"/>
                <w:spacing w:val="7"/>
                <w:sz w:val="24"/>
                <w:szCs w:val="24"/>
                <w:highlight w:val="none"/>
              </w:rPr>
              <w:t>复印一</w:t>
            </w:r>
            <w:r>
              <w:rPr>
                <w:rFonts w:hint="eastAsia" w:ascii="宋体" w:hAnsi="宋体" w:eastAsia="宋体" w:cs="宋体"/>
                <w:color w:val="auto"/>
                <w:spacing w:val="-2"/>
                <w:sz w:val="24"/>
                <w:szCs w:val="24"/>
                <w:highlight w:val="none"/>
              </w:rPr>
              <w:t>体机</w:t>
            </w:r>
          </w:p>
        </w:tc>
        <w:tc>
          <w:tcPr>
            <w:tcW w:w="6692" w:type="dxa"/>
            <w:vAlign w:val="top"/>
          </w:tcPr>
          <w:p w14:paraId="30186C19">
            <w:pPr>
              <w:pStyle w:val="71"/>
              <w:spacing w:before="205" w:line="240" w:lineRule="auto"/>
              <w:ind w:left="21" w:right="30" w:firstLine="49"/>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highlight w:val="none"/>
              </w:rPr>
              <w:t xml:space="preserve">黑白/中速/A3；标配复印/网络打印；内存：1GB；供纸容量：250张+100张手送，支持850张；自动双面打印复印；有线网络打印 ；USB2.0；复印打印速度：25张/分钟 ；分辨率600x600dpi；连续复印：1-999份；配置宽大、清晰液晶显示屏，操作面板5行LCD,面板具备身份证复印、电子分页、十字分套、移边、消边、自动纸张 </w:t>
            </w:r>
          </w:p>
        </w:tc>
        <w:tc>
          <w:tcPr>
            <w:tcW w:w="359" w:type="dxa"/>
            <w:vAlign w:val="center"/>
          </w:tcPr>
          <w:p w14:paraId="46229636">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226C020B">
            <w:pPr>
              <w:pStyle w:val="71"/>
              <w:spacing w:before="65" w:line="240" w:lineRule="auto"/>
              <w:ind w:left="7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360" w:type="dxa"/>
            <w:vAlign w:val="center"/>
          </w:tcPr>
          <w:p w14:paraId="58709C13">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55FB30B5">
            <w:pPr>
              <w:pStyle w:val="71"/>
              <w:spacing w:before="65" w:line="240" w:lineRule="auto"/>
              <w:ind w:left="12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0" w:type="auto"/>
            <w:vAlign w:val="top"/>
          </w:tcPr>
          <w:p w14:paraId="56DA296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p>
          <w:p w14:paraId="4D686132">
            <w:pPr>
              <w:pStyle w:val="71"/>
              <w:spacing w:before="65"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283AB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0" w:type="auto"/>
            <w:vAlign w:val="top"/>
          </w:tcPr>
          <w:p w14:paraId="55AD510D">
            <w:pPr>
              <w:pStyle w:val="71"/>
              <w:numPr>
                <w:ilvl w:val="0"/>
                <w:numId w:val="0"/>
              </w:numPr>
              <w:spacing w:before="289"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5.</w:t>
            </w:r>
          </w:p>
        </w:tc>
        <w:tc>
          <w:tcPr>
            <w:tcW w:w="788" w:type="dxa"/>
            <w:vAlign w:val="center"/>
          </w:tcPr>
          <w:p w14:paraId="68E2D522">
            <w:pPr>
              <w:pStyle w:val="71"/>
              <w:spacing w:before="87"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班级饮</w:t>
            </w:r>
            <w:r>
              <w:rPr>
                <w:rFonts w:hint="eastAsia" w:ascii="宋体" w:hAnsi="宋体" w:eastAsia="宋体" w:cs="宋体"/>
                <w:color w:val="auto"/>
                <w:spacing w:val="-3"/>
                <w:sz w:val="24"/>
                <w:szCs w:val="24"/>
                <w:highlight w:val="none"/>
              </w:rPr>
              <w:t>水机</w:t>
            </w:r>
          </w:p>
        </w:tc>
        <w:tc>
          <w:tcPr>
            <w:tcW w:w="6692" w:type="dxa"/>
            <w:vAlign w:val="top"/>
          </w:tcPr>
          <w:p w14:paraId="36C5DAAC">
            <w:pPr>
              <w:pStyle w:val="71"/>
              <w:numPr>
                <w:ilvl w:val="0"/>
                <w:numId w:val="18"/>
              </w:numPr>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加热方式：水胆加热，快速供应开水，热交换温开水，大供水量，2．五级过滤：PP棉+颗粒活性炭+压缩活性炭+400G反渗透+后置碳。过滤后出水水质符合《生活饮用水水质处理器卫生安全与功能评价规范-反渗透水质处理器(2001)的要求。须提供整机省级及以上卫生部门颁发的《涉及饮用水卫生安全产品卫生许可批件》；同时提供同一品牌的聚丙烯熔喷、颗粒活性炭、压缩活性炭省级及以上卫生部门颁发的《涉及饮用水卫生安全产品卫生许可批件》；</w:t>
            </w:r>
          </w:p>
          <w:p w14:paraId="0501EB95">
            <w:pPr>
              <w:pStyle w:val="71"/>
              <w:numPr>
                <w:ilvl w:val="0"/>
                <w:numId w:val="0"/>
              </w:numPr>
              <w:spacing w:before="205" w:line="240" w:lineRule="auto"/>
              <w:ind w:left="70" w:leftChars="0" w:right="30" w:rightChars="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3．额定电压：220V~/50Hz</w:t>
            </w:r>
          </w:p>
          <w:p w14:paraId="288BF494">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4．额定功率：2KW</w:t>
            </w:r>
          </w:p>
          <w:p w14:paraId="683FB094">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5．制开水能力：≧18L/h，制温开水能力：≧80L/h</w:t>
            </w:r>
          </w:p>
          <w:p w14:paraId="74162793">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6．出水控制:触摸按键出水</w:t>
            </w:r>
          </w:p>
          <w:p w14:paraId="5607663C">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7．出水龙头：2温开水。</w:t>
            </w:r>
          </w:p>
          <w:p w14:paraId="463BD544">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8．尺寸（mm）：550x450x1130（±5%）</w:t>
            </w:r>
          </w:p>
          <w:p w14:paraId="1F4A1BF6">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9．加热内胆容量≥18L，投标产品需提供加热水胆中国质量认证中心颁发的《食品接触产品安全认证》证书；</w:t>
            </w:r>
          </w:p>
          <w:p w14:paraId="47C43667">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10．设备整机不锈钢厚度≥0.6mm，外观高档大气，细节精致，结实耐用；</w:t>
            </w:r>
          </w:p>
          <w:p w14:paraId="11D1DDBF">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11．全封闭设计，维修面有安全锁设计，便于管理，防止安全事故发生。</w:t>
            </w:r>
          </w:p>
          <w:p w14:paraId="7CE13BD6">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12．加热内胆防火阻燃泡沫保温，超强保温效果，箱体绝不烫手，比普通开水器省电；投标产品须提供加热水胆省级及以上卫生部门颁发的《涉及饮用水卫生安全产品卫生许可批件》；</w:t>
            </w:r>
          </w:p>
          <w:p w14:paraId="4FB36F78">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13．设备整体为柜式设计，全封闭运行，防止触电等事故。</w:t>
            </w:r>
          </w:p>
          <w:p w14:paraId="1AB91BE4">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rPr>
              <w:t>.LED显示水温，日期，水位，故障代码等，带有定时开关设置；6防装置（防漏电装置内置、防蒸汽、防超温、防触电、防干烧、防缺水）。</w:t>
            </w:r>
          </w:p>
          <w:p w14:paraId="59D42788">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（1）设备采用智能水控系统，设有自动缺水保护，防超温与防干烧保护。</w:t>
            </w:r>
          </w:p>
          <w:p w14:paraId="141A0596">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（2）使用大电流中继板，防止烧水过程中出现噪音现象。</w:t>
            </w:r>
          </w:p>
          <w:p w14:paraId="1D257085">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（3）水位自动检测：自动进水（防缺水干烧），自动停止进水，（防溢水）。</w:t>
            </w:r>
          </w:p>
          <w:p w14:paraId="2E4F856A">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（4）加热自动控制，无水不加热，够温不加热。</w:t>
            </w:r>
          </w:p>
          <w:p w14:paraId="695B455B">
            <w:pPr>
              <w:pStyle w:val="71"/>
              <w:spacing w:before="205" w:line="240" w:lineRule="auto"/>
              <w:ind w:left="21" w:right="3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（5）定时开关机，可根据不同的使用需要设定开关机时间，每天可设定3个时间段。（带安全锁）</w:t>
            </w:r>
          </w:p>
          <w:p w14:paraId="12E13F3B">
            <w:pPr>
              <w:pStyle w:val="71"/>
              <w:spacing w:before="205" w:line="240" w:lineRule="auto"/>
              <w:ind w:left="21" w:right="30" w:firstLine="49"/>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（6）特有LED显示屏，可即时显示实时数据。</w:t>
            </w:r>
          </w:p>
        </w:tc>
        <w:tc>
          <w:tcPr>
            <w:tcW w:w="359" w:type="dxa"/>
            <w:vAlign w:val="center"/>
          </w:tcPr>
          <w:p w14:paraId="631952B2">
            <w:pPr>
              <w:pStyle w:val="71"/>
              <w:spacing w:before="239" w:line="240" w:lineRule="auto"/>
              <w:ind w:left="7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360" w:type="dxa"/>
            <w:vAlign w:val="center"/>
          </w:tcPr>
          <w:p w14:paraId="04B33288">
            <w:pPr>
              <w:pStyle w:val="71"/>
              <w:spacing w:before="287" w:line="240" w:lineRule="auto"/>
              <w:ind w:left="75"/>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0" w:type="auto"/>
            <w:vAlign w:val="top"/>
          </w:tcPr>
          <w:p w14:paraId="3840B5A8">
            <w:pPr>
              <w:pStyle w:val="71"/>
              <w:spacing w:before="243"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52641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0" w:type="auto"/>
            <w:vAlign w:val="top"/>
          </w:tcPr>
          <w:p w14:paraId="661028CE">
            <w:pPr>
              <w:pStyle w:val="71"/>
              <w:numPr>
                <w:ilvl w:val="0"/>
                <w:numId w:val="0"/>
              </w:numPr>
              <w:spacing w:before="288"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6.</w:t>
            </w:r>
          </w:p>
        </w:tc>
        <w:tc>
          <w:tcPr>
            <w:tcW w:w="788" w:type="dxa"/>
            <w:vAlign w:val="center"/>
          </w:tcPr>
          <w:p w14:paraId="225841D4">
            <w:pPr>
              <w:pStyle w:val="71"/>
              <w:spacing w:before="235" w:line="240" w:lineRule="auto"/>
              <w:ind w:left="61"/>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洗衣机</w:t>
            </w:r>
          </w:p>
        </w:tc>
        <w:tc>
          <w:tcPr>
            <w:tcW w:w="6692" w:type="dxa"/>
            <w:vAlign w:val="top"/>
          </w:tcPr>
          <w:p w14:paraId="1FF5EB22">
            <w:pPr>
              <w:pStyle w:val="71"/>
              <w:spacing w:before="274"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电机功率:</w:t>
            </w:r>
            <w:r>
              <w:rPr>
                <w:rFonts w:hint="eastAsia" w:ascii="宋体" w:hAnsi="宋体" w:eastAsia="宋体" w:cs="宋体"/>
                <w:color w:val="auto"/>
                <w:spacing w:val="-1"/>
                <w:sz w:val="24"/>
                <w:szCs w:val="24"/>
                <w:highlight w:val="none"/>
                <w:lang w:val="en-US" w:eastAsia="zh-CN"/>
              </w:rPr>
              <w:t>50</w:t>
            </w:r>
            <w:r>
              <w:rPr>
                <w:rFonts w:hint="eastAsia" w:ascii="宋体" w:hAnsi="宋体" w:eastAsia="宋体" w:cs="宋体"/>
                <w:color w:val="auto"/>
                <w:spacing w:val="-1"/>
                <w:sz w:val="24"/>
                <w:szCs w:val="24"/>
                <w:highlight w:val="none"/>
              </w:rPr>
              <w:t>0W;洗衣能力洗衣程序:标准洗,快洗，童装，浸泡，单脱水脱水功率: 3</w:t>
            </w:r>
            <w:r>
              <w:rPr>
                <w:rFonts w:hint="eastAsia" w:ascii="宋体" w:hAnsi="宋体" w:eastAsia="宋体" w:cs="宋体"/>
                <w:color w:val="auto"/>
                <w:spacing w:val="-1"/>
                <w:sz w:val="24"/>
                <w:szCs w:val="24"/>
                <w:highlight w:val="none"/>
                <w:lang w:val="en-US" w:eastAsia="zh-CN"/>
              </w:rPr>
              <w:t>8</w:t>
            </w:r>
            <w:r>
              <w:rPr>
                <w:rFonts w:hint="eastAsia" w:ascii="宋体" w:hAnsi="宋体" w:eastAsia="宋体" w:cs="宋体"/>
                <w:color w:val="auto"/>
                <w:spacing w:val="-1"/>
                <w:sz w:val="24"/>
                <w:szCs w:val="24"/>
                <w:highlight w:val="none"/>
              </w:rPr>
              <w:t>0W;洗涤公斤量:9kg尺寸规格毛重:35kg尺寸:5</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rPr>
              <w:t>x5</w:t>
            </w:r>
            <w:r>
              <w:rPr>
                <w:rFonts w:hint="eastAsia" w:ascii="宋体" w:hAnsi="宋体" w:eastAsia="宋体" w:cs="宋体"/>
                <w:color w:val="auto"/>
                <w:spacing w:val="-1"/>
                <w:sz w:val="24"/>
                <w:szCs w:val="24"/>
                <w:highlight w:val="none"/>
                <w:lang w:val="en-US" w:eastAsia="zh-CN"/>
              </w:rPr>
              <w:t>5</w:t>
            </w:r>
            <w:r>
              <w:rPr>
                <w:rFonts w:hint="eastAsia" w:ascii="宋体" w:hAnsi="宋体" w:eastAsia="宋体" w:cs="宋体"/>
                <w:color w:val="auto"/>
                <w:spacing w:val="-1"/>
                <w:sz w:val="24"/>
                <w:szCs w:val="24"/>
                <w:highlight w:val="none"/>
              </w:rPr>
              <w:t>x9</w:t>
            </w:r>
            <w:r>
              <w:rPr>
                <w:rFonts w:hint="eastAsia" w:ascii="宋体" w:hAnsi="宋体" w:eastAsia="宋体" w:cs="宋体"/>
                <w:color w:val="auto"/>
                <w:spacing w:val="-1"/>
                <w:sz w:val="24"/>
                <w:szCs w:val="24"/>
                <w:highlight w:val="none"/>
                <w:lang w:val="en-US" w:eastAsia="zh-CN"/>
              </w:rPr>
              <w:t>0</w:t>
            </w:r>
            <w:r>
              <w:rPr>
                <w:rFonts w:hint="eastAsia" w:ascii="宋体" w:hAnsi="宋体" w:eastAsia="宋体" w:cs="宋体"/>
                <w:color w:val="auto"/>
                <w:spacing w:val="-1"/>
                <w:sz w:val="24"/>
                <w:szCs w:val="24"/>
                <w:highlight w:val="none"/>
              </w:rPr>
              <w:t>0mm;使用方式:全自动排水方式:下排水;能效等级:一级;产品类型:洗涤一体机；开合方式：上开式；材质箱体材质：PCM钢板；内桶材质：不锈钢。</w:t>
            </w:r>
          </w:p>
        </w:tc>
        <w:tc>
          <w:tcPr>
            <w:tcW w:w="359" w:type="dxa"/>
            <w:vAlign w:val="center"/>
          </w:tcPr>
          <w:p w14:paraId="0F38A8D9">
            <w:pPr>
              <w:pStyle w:val="71"/>
              <w:spacing w:before="239" w:line="240" w:lineRule="auto"/>
              <w:ind w:left="7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360" w:type="dxa"/>
            <w:vAlign w:val="center"/>
          </w:tcPr>
          <w:p w14:paraId="7161CE5F">
            <w:pPr>
              <w:pStyle w:val="71"/>
              <w:spacing w:before="288" w:line="240" w:lineRule="auto"/>
              <w:ind w:left="125"/>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0" w:type="auto"/>
            <w:vAlign w:val="top"/>
          </w:tcPr>
          <w:p w14:paraId="17DBFE91">
            <w:pPr>
              <w:pStyle w:val="71"/>
              <w:spacing w:before="243"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60F55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0" w:type="auto"/>
            <w:vAlign w:val="top"/>
          </w:tcPr>
          <w:p w14:paraId="3C74FD73">
            <w:pPr>
              <w:pStyle w:val="71"/>
              <w:numPr>
                <w:ilvl w:val="0"/>
                <w:numId w:val="0"/>
              </w:numPr>
              <w:spacing w:before="280"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7.</w:t>
            </w:r>
          </w:p>
        </w:tc>
        <w:tc>
          <w:tcPr>
            <w:tcW w:w="788" w:type="dxa"/>
            <w:vAlign w:val="center"/>
          </w:tcPr>
          <w:p w14:paraId="32EB3C02">
            <w:pPr>
              <w:pStyle w:val="71"/>
              <w:spacing w:before="98" w:line="240" w:lineRule="auto"/>
              <w:ind w:left="61" w:right="48"/>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茶水间</w:t>
            </w:r>
            <w:r>
              <w:rPr>
                <w:rFonts w:hint="eastAsia" w:ascii="宋体" w:hAnsi="宋体" w:eastAsia="宋体" w:cs="宋体"/>
                <w:color w:val="auto"/>
                <w:spacing w:val="-2"/>
                <w:sz w:val="24"/>
                <w:szCs w:val="24"/>
                <w:highlight w:val="none"/>
              </w:rPr>
              <w:t>饮水机</w:t>
            </w:r>
          </w:p>
        </w:tc>
        <w:tc>
          <w:tcPr>
            <w:tcW w:w="6692" w:type="dxa"/>
            <w:vAlign w:val="top"/>
          </w:tcPr>
          <w:p w14:paraId="66A8F56E">
            <w:pPr>
              <w:pStyle w:val="71"/>
              <w:spacing w:before="234"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一开一温饮水机3级过滤 时开水20升，每小时温开水80升的，温开水温度是可以调节的（35-75度左右）；机器电压是220v的，功率是2KW的，需要接16A的插座；机器进水口在面对机器的右侧下方，离地10公分左右，排水口在机器两侧各有一个，离地8公分左右。 </w:t>
            </w:r>
          </w:p>
        </w:tc>
        <w:tc>
          <w:tcPr>
            <w:tcW w:w="359" w:type="dxa"/>
            <w:vAlign w:val="center"/>
          </w:tcPr>
          <w:p w14:paraId="722FDEA6">
            <w:pPr>
              <w:pStyle w:val="71"/>
              <w:spacing w:before="230" w:line="240" w:lineRule="auto"/>
              <w:ind w:left="7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360" w:type="dxa"/>
            <w:vAlign w:val="center"/>
          </w:tcPr>
          <w:p w14:paraId="61BD74EC">
            <w:pPr>
              <w:pStyle w:val="71"/>
              <w:spacing w:before="278" w:line="240" w:lineRule="auto"/>
              <w:ind w:left="125"/>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0" w:type="auto"/>
            <w:vAlign w:val="top"/>
          </w:tcPr>
          <w:p w14:paraId="3BD39579">
            <w:pPr>
              <w:pStyle w:val="71"/>
              <w:spacing w:before="234"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27666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0" w:type="auto"/>
            <w:vAlign w:val="top"/>
          </w:tcPr>
          <w:p w14:paraId="7C0D0565">
            <w:pPr>
              <w:pStyle w:val="71"/>
              <w:numPr>
                <w:ilvl w:val="0"/>
                <w:numId w:val="0"/>
              </w:numPr>
              <w:spacing w:before="279"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8.</w:t>
            </w:r>
          </w:p>
        </w:tc>
        <w:tc>
          <w:tcPr>
            <w:tcW w:w="788" w:type="dxa"/>
            <w:vAlign w:val="center"/>
          </w:tcPr>
          <w:p w14:paraId="2A994ACE">
            <w:pPr>
              <w:pStyle w:val="71"/>
              <w:spacing w:before="87" w:line="240" w:lineRule="auto"/>
              <w:ind w:left="61"/>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口杯消</w:t>
            </w:r>
            <w:r>
              <w:rPr>
                <w:rFonts w:hint="eastAsia" w:ascii="宋体" w:hAnsi="宋体" w:eastAsia="宋体" w:cs="宋体"/>
                <w:color w:val="auto"/>
                <w:spacing w:val="-3"/>
                <w:sz w:val="24"/>
                <w:szCs w:val="24"/>
                <w:highlight w:val="none"/>
              </w:rPr>
              <w:t>毒柜</w:t>
            </w:r>
          </w:p>
        </w:tc>
        <w:tc>
          <w:tcPr>
            <w:tcW w:w="6692" w:type="dxa"/>
            <w:vAlign w:val="top"/>
          </w:tcPr>
          <w:p w14:paraId="493FFCA7">
            <w:pPr>
              <w:pStyle w:val="71"/>
              <w:spacing w:before="279" w:line="240" w:lineRule="auto"/>
              <w:ind w:left="222"/>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160*42*64CM  220v电源，输入功率315W，日常除湿烘干,紫外线消毒，臭氧杀菌除臭，自动断电，12小时保暖，无菌托管存放。</w:t>
            </w:r>
          </w:p>
        </w:tc>
        <w:tc>
          <w:tcPr>
            <w:tcW w:w="359" w:type="dxa"/>
            <w:vAlign w:val="center"/>
          </w:tcPr>
          <w:p w14:paraId="1F164D69">
            <w:pPr>
              <w:pStyle w:val="71"/>
              <w:spacing w:before="230" w:line="240" w:lineRule="auto"/>
              <w:ind w:left="7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360" w:type="dxa"/>
            <w:vAlign w:val="center"/>
          </w:tcPr>
          <w:p w14:paraId="7D4BA0A7">
            <w:pPr>
              <w:pStyle w:val="71"/>
              <w:spacing w:before="278" w:line="240" w:lineRule="auto"/>
              <w:ind w:left="75"/>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0" w:type="auto"/>
            <w:vAlign w:val="top"/>
          </w:tcPr>
          <w:p w14:paraId="45491D8F">
            <w:pPr>
              <w:pStyle w:val="71"/>
              <w:spacing w:before="234"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334A0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0" w:type="auto"/>
            <w:vAlign w:val="top"/>
          </w:tcPr>
          <w:p w14:paraId="6983D04D">
            <w:pPr>
              <w:pStyle w:val="71"/>
              <w:numPr>
                <w:ilvl w:val="0"/>
                <w:numId w:val="0"/>
              </w:numPr>
              <w:spacing w:before="284"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9.</w:t>
            </w:r>
          </w:p>
        </w:tc>
        <w:tc>
          <w:tcPr>
            <w:tcW w:w="788" w:type="dxa"/>
            <w:vAlign w:val="center"/>
          </w:tcPr>
          <w:p w14:paraId="351E9046">
            <w:pPr>
              <w:pStyle w:val="71"/>
              <w:spacing w:before="63" w:line="240" w:lineRule="auto"/>
              <w:ind w:left="61"/>
              <w:jc w:val="center"/>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监控显</w:t>
            </w:r>
            <w:r>
              <w:rPr>
                <w:rFonts w:hint="eastAsia" w:ascii="宋体" w:hAnsi="宋体" w:eastAsia="宋体" w:cs="宋体"/>
                <w:color w:val="auto"/>
                <w:spacing w:val="6"/>
                <w:sz w:val="24"/>
                <w:szCs w:val="24"/>
                <w:highlight w:val="none"/>
              </w:rPr>
              <w:t>示屏</w:t>
            </w:r>
          </w:p>
        </w:tc>
        <w:tc>
          <w:tcPr>
            <w:tcW w:w="6692" w:type="dxa"/>
            <w:vAlign w:val="top"/>
          </w:tcPr>
          <w:p w14:paraId="28E255F7">
            <w:pPr>
              <w:pStyle w:val="71"/>
              <w:keepNext w:val="0"/>
              <w:keepLines w:val="0"/>
              <w:pageBreakBefore w:val="0"/>
              <w:widowControl/>
              <w:kinsoku w:val="0"/>
              <w:wordWrap/>
              <w:overflowPunct/>
              <w:topLinePunct w:val="0"/>
              <w:autoSpaceDE w:val="0"/>
              <w:autoSpaceDN w:val="0"/>
              <w:bidi w:val="0"/>
              <w:adjustRightInd w:val="0"/>
              <w:snapToGrid w:val="0"/>
              <w:spacing w:before="233" w:line="24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屏幕尺寸：</w:t>
            </w:r>
            <w:r>
              <w:rPr>
                <w:rFonts w:hint="eastAsia" w:ascii="宋体" w:hAnsi="宋体" w:eastAsia="宋体" w:cs="宋体"/>
                <w:color w:val="000000" w:themeColor="text1"/>
                <w:sz w:val="24"/>
                <w:szCs w:val="24"/>
                <w:highlight w:val="none"/>
                <w:shd w:val="clear" w:color="auto" w:fill="auto"/>
                <w:lang w:val="en-US" w:eastAsia="zh-CN"/>
                <w14:textFill>
                  <w14:solidFill>
                    <w14:schemeClr w14:val="tx1"/>
                  </w14:solidFill>
                </w14:textFill>
              </w:rPr>
              <w:t>43</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屏幕类型：LED</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屏幕比例：16:9</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亮度：400nit对 比 度：5000:1</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响应时间：5 ms</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可视角度：160度 /170度</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显示色彩：1.07B</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清 晰 度：3840×2160 V-by-one 接口控制方法：面板、红外遥控器</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输入端口：2×HDMI、VGA、232、USB接口（开机自动播放视频）</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音频输出：配立体声喇叭</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电源：110-220V 50-60Hz</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总 功 率：105W</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外壳：专业防火铁壳，塑料框架（塑料底座）</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安装方式：底座、壁挂工作温度：0℃～50℃</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工作湿度：10%-90% RH</w:t>
            </w:r>
            <w:r>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存储温度：-20℃～60℃Ø</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ab/>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主板和屏幕均可真实解析：4K(3840*2160)、2K(2560*1440)、1080P(1920*1080)及以下；支持24小时×365天不间断工作；液晶具有体积小，低能耗，零辐射，图像稳定，对眼睛无影响，自然健康；5 ms极速响应，避免了图像在高速运行中出现的拖尾现象。</w:t>
            </w:r>
          </w:p>
        </w:tc>
        <w:tc>
          <w:tcPr>
            <w:tcW w:w="359" w:type="dxa"/>
            <w:vAlign w:val="center"/>
          </w:tcPr>
          <w:p w14:paraId="45AC7796">
            <w:pPr>
              <w:pStyle w:val="71"/>
              <w:spacing w:before="235" w:line="240" w:lineRule="auto"/>
              <w:ind w:left="74"/>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台</w:t>
            </w:r>
          </w:p>
        </w:tc>
        <w:tc>
          <w:tcPr>
            <w:tcW w:w="360" w:type="dxa"/>
            <w:vAlign w:val="center"/>
          </w:tcPr>
          <w:p w14:paraId="68BB91FC">
            <w:pPr>
              <w:pStyle w:val="71"/>
              <w:spacing w:before="283" w:line="240" w:lineRule="auto"/>
              <w:ind w:left="13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0" w:type="auto"/>
            <w:vAlign w:val="top"/>
          </w:tcPr>
          <w:p w14:paraId="6CBC3B10">
            <w:pPr>
              <w:pStyle w:val="71"/>
              <w:spacing w:before="238"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2D7D1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0" w:type="auto"/>
            <w:vAlign w:val="top"/>
          </w:tcPr>
          <w:p w14:paraId="5E5B8577">
            <w:pPr>
              <w:pStyle w:val="71"/>
              <w:numPr>
                <w:ilvl w:val="0"/>
                <w:numId w:val="0"/>
              </w:numPr>
              <w:spacing w:before="269"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10.</w:t>
            </w:r>
          </w:p>
        </w:tc>
        <w:tc>
          <w:tcPr>
            <w:tcW w:w="788" w:type="dxa"/>
            <w:vAlign w:val="center"/>
          </w:tcPr>
          <w:p w14:paraId="5DBBADB0">
            <w:pPr>
              <w:pStyle w:val="71"/>
              <w:spacing w:before="61" w:line="240" w:lineRule="auto"/>
              <w:ind w:left="61" w:right="58"/>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消洗间</w:t>
            </w:r>
            <w:r>
              <w:rPr>
                <w:rFonts w:hint="eastAsia" w:ascii="宋体" w:hAnsi="宋体" w:eastAsia="宋体" w:cs="宋体"/>
                <w:color w:val="auto"/>
                <w:spacing w:val="2"/>
                <w:sz w:val="24"/>
                <w:szCs w:val="24"/>
                <w:highlight w:val="none"/>
              </w:rPr>
              <w:t>热水器</w:t>
            </w:r>
          </w:p>
        </w:tc>
        <w:tc>
          <w:tcPr>
            <w:tcW w:w="6692" w:type="dxa"/>
            <w:vAlign w:val="top"/>
          </w:tcPr>
          <w:p w14:paraId="5D6B1B9C">
            <w:pPr>
              <w:pStyle w:val="71"/>
              <w:spacing w:before="269"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能效等级1类型</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储水式外观设计</w:t>
            </w:r>
            <w:r>
              <w:rPr>
                <w:rFonts w:hint="eastAsia" w:ascii="宋体" w:hAnsi="宋体" w:eastAsia="宋体" w:cs="宋体"/>
                <w:color w:val="auto"/>
                <w:spacing w:val="-2"/>
                <w:sz w:val="24"/>
                <w:szCs w:val="24"/>
                <w:highlight w:val="none"/>
                <w:lang w:val="en-US" w:eastAsia="zh-CN"/>
              </w:rPr>
              <w:t>圆</w:t>
            </w:r>
            <w:r>
              <w:rPr>
                <w:rFonts w:hint="eastAsia" w:ascii="宋体" w:hAnsi="宋体" w:eastAsia="宋体" w:cs="宋体"/>
                <w:color w:val="auto"/>
                <w:spacing w:val="-2"/>
                <w:sz w:val="24"/>
                <w:szCs w:val="24"/>
                <w:highlight w:val="none"/>
              </w:rPr>
              <w:t>桶形、2、加热功率W</w:t>
            </w:r>
            <w:r>
              <w:rPr>
                <w:rFonts w:hint="eastAsia" w:ascii="宋体" w:hAnsi="宋体" w:eastAsia="宋体" w:cs="宋体"/>
                <w:color w:val="auto"/>
                <w:spacing w:val="-2"/>
                <w:sz w:val="24"/>
                <w:szCs w:val="24"/>
                <w:highlight w:val="none"/>
                <w:lang w:val="en-US" w:eastAsia="zh-CN"/>
              </w:rPr>
              <w:t>21</w:t>
            </w:r>
            <w:r>
              <w:rPr>
                <w:rFonts w:hint="eastAsia" w:ascii="宋体" w:hAnsi="宋体" w:eastAsia="宋体" w:cs="宋体"/>
                <w:color w:val="auto"/>
                <w:spacing w:val="-2"/>
                <w:sz w:val="24"/>
                <w:szCs w:val="24"/>
                <w:highlight w:val="none"/>
              </w:rPr>
              <w:t>00最大容积L60、加热方式、三管加热内胆材质瓷釉无缝内胆加热体材质铁铬合金防水等级IPX4电压频率、220V/50H</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（高*宽）</w:t>
            </w:r>
            <w:r>
              <w:rPr>
                <w:rFonts w:hint="eastAsia" w:ascii="宋体" w:hAnsi="宋体" w:eastAsia="宋体" w:cs="宋体"/>
                <w:color w:val="auto"/>
                <w:spacing w:val="-2"/>
                <w:sz w:val="24"/>
                <w:szCs w:val="24"/>
                <w:highlight w:val="none"/>
                <w:lang w:val="en-US" w:eastAsia="zh-CN"/>
              </w:rPr>
              <w:t>825</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400</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400</w:t>
            </w:r>
          </w:p>
        </w:tc>
        <w:tc>
          <w:tcPr>
            <w:tcW w:w="359" w:type="dxa"/>
            <w:vAlign w:val="center"/>
          </w:tcPr>
          <w:p w14:paraId="7799E53A">
            <w:pPr>
              <w:pStyle w:val="71"/>
              <w:spacing w:before="221" w:line="240" w:lineRule="auto"/>
              <w:ind w:left="7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360" w:type="dxa"/>
            <w:vAlign w:val="center"/>
          </w:tcPr>
          <w:p w14:paraId="48B16B02">
            <w:pPr>
              <w:pStyle w:val="71"/>
              <w:spacing w:before="270" w:line="240" w:lineRule="auto"/>
              <w:ind w:left="133"/>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0" w:type="auto"/>
            <w:vAlign w:val="top"/>
          </w:tcPr>
          <w:p w14:paraId="447F615A">
            <w:pPr>
              <w:pStyle w:val="71"/>
              <w:spacing w:before="224"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3E64B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0" w:type="auto"/>
            <w:vAlign w:val="top"/>
          </w:tcPr>
          <w:p w14:paraId="441F8A3F">
            <w:pPr>
              <w:pStyle w:val="71"/>
              <w:numPr>
                <w:ilvl w:val="0"/>
                <w:numId w:val="0"/>
              </w:numPr>
              <w:spacing w:before="280"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11.</w:t>
            </w:r>
          </w:p>
        </w:tc>
        <w:tc>
          <w:tcPr>
            <w:tcW w:w="788" w:type="dxa"/>
            <w:vAlign w:val="center"/>
          </w:tcPr>
          <w:p w14:paraId="57CA9F41">
            <w:pPr>
              <w:pStyle w:val="71"/>
              <w:spacing w:before="72" w:line="240" w:lineRule="auto"/>
              <w:ind w:left="61" w:right="79"/>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A3彩色</w:t>
            </w:r>
            <w:r>
              <w:rPr>
                <w:rFonts w:hint="eastAsia" w:ascii="宋体" w:hAnsi="宋体" w:eastAsia="宋体" w:cs="宋体"/>
                <w:color w:val="auto"/>
                <w:spacing w:val="-3"/>
                <w:sz w:val="24"/>
                <w:szCs w:val="24"/>
                <w:highlight w:val="none"/>
              </w:rPr>
              <w:t>打印机</w:t>
            </w:r>
          </w:p>
        </w:tc>
        <w:tc>
          <w:tcPr>
            <w:tcW w:w="6692" w:type="dxa"/>
            <w:vAlign w:val="top"/>
          </w:tcPr>
          <w:p w14:paraId="778979E3">
            <w:pPr>
              <w:pStyle w:val="71"/>
              <w:spacing w:before="109" w:line="240" w:lineRule="auto"/>
              <w:ind w:left="21" w:right="4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 带WIFI打印和有线网络打印，支持手机直连</w:t>
            </w:r>
          </w:p>
          <w:p w14:paraId="5B91692B">
            <w:pPr>
              <w:pStyle w:val="71"/>
              <w:spacing w:before="109" w:line="240" w:lineRule="auto"/>
              <w:ind w:left="21" w:right="4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 带自动双面打印，不需要手动翻纸，可以节省纸张，降低成本</w:t>
            </w:r>
          </w:p>
          <w:p w14:paraId="28EBEC4E">
            <w:pPr>
              <w:pStyle w:val="71"/>
              <w:spacing w:before="109" w:line="240" w:lineRule="auto"/>
              <w:ind w:left="21" w:right="4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3. 打印速度21页/分。黑彩同速的</w:t>
            </w:r>
          </w:p>
          <w:p w14:paraId="4B338394">
            <w:pPr>
              <w:pStyle w:val="71"/>
              <w:spacing w:before="109" w:line="240" w:lineRule="auto"/>
              <w:ind w:left="21" w:right="4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4.色彩鲜艳效果好，支持扫描到文件夹，电子邮件/U盘。</w:t>
            </w:r>
          </w:p>
          <w:p w14:paraId="7EB5498B">
            <w:pPr>
              <w:pStyle w:val="71"/>
              <w:spacing w:before="109" w:line="240" w:lineRule="auto"/>
              <w:ind w:left="21" w:right="40" w:firstLine="49"/>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 输稿器容量50页，可以多张复印扫描传真，纸盒容量250页、封闭式纸盒，防潮防尘防卡纸</w:t>
            </w:r>
          </w:p>
          <w:p w14:paraId="7E698161">
            <w:pPr>
              <w:pStyle w:val="71"/>
              <w:spacing w:before="109" w:line="240" w:lineRule="auto"/>
              <w:ind w:left="21" w:right="40" w:firstLine="49"/>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 一键身份证复印，2.7英寸触摸彩屏，中文显示显示</w:t>
            </w:r>
          </w:p>
        </w:tc>
        <w:tc>
          <w:tcPr>
            <w:tcW w:w="359" w:type="dxa"/>
            <w:vAlign w:val="center"/>
          </w:tcPr>
          <w:p w14:paraId="09D748C8">
            <w:pPr>
              <w:pStyle w:val="71"/>
              <w:spacing w:before="232" w:line="240" w:lineRule="auto"/>
              <w:ind w:left="7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360" w:type="dxa"/>
            <w:vAlign w:val="center"/>
          </w:tcPr>
          <w:p w14:paraId="1DEC0A91">
            <w:pPr>
              <w:pStyle w:val="71"/>
              <w:spacing w:before="280" w:line="240" w:lineRule="auto"/>
              <w:ind w:left="13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0" w:type="auto"/>
            <w:vAlign w:val="top"/>
          </w:tcPr>
          <w:p w14:paraId="57A39D42">
            <w:pPr>
              <w:pStyle w:val="71"/>
              <w:spacing w:before="235"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054F1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0" w:type="auto"/>
            <w:vAlign w:val="top"/>
          </w:tcPr>
          <w:p w14:paraId="6780B23B">
            <w:pPr>
              <w:pStyle w:val="71"/>
              <w:numPr>
                <w:ilvl w:val="0"/>
                <w:numId w:val="0"/>
              </w:numPr>
              <w:spacing w:before="271" w:line="240" w:lineRule="auto"/>
              <w:ind w:left="425" w:leftChars="0" w:right="0" w:rightChars="0" w:hanging="425" w:firstLineChars="0"/>
              <w:jc w:val="right"/>
              <w:rPr>
                <w:rFonts w:hint="eastAsia" w:ascii="宋体" w:hAnsi="宋体" w:eastAsia="宋体" w:cs="宋体"/>
                <w:color w:val="auto"/>
                <w:sz w:val="24"/>
                <w:szCs w:val="24"/>
                <w:highlight w:val="none"/>
              </w:rPr>
            </w:pPr>
            <w:r>
              <w:rPr>
                <w:rFonts w:hint="eastAsia" w:ascii="宋体" w:hAnsi="宋体" w:eastAsia="宋体" w:cs="宋体"/>
                <w:snapToGrid/>
                <w:color w:val="auto"/>
                <w:kern w:val="0"/>
                <w:sz w:val="24"/>
                <w:szCs w:val="24"/>
                <w:highlight w:val="none"/>
                <w:lang w:val="en-US" w:eastAsia="zh-CN" w:bidi="ar"/>
              </w:rPr>
              <w:t>12.</w:t>
            </w:r>
          </w:p>
        </w:tc>
        <w:tc>
          <w:tcPr>
            <w:tcW w:w="788" w:type="dxa"/>
            <w:vAlign w:val="center"/>
          </w:tcPr>
          <w:p w14:paraId="3ABEF57B">
            <w:pPr>
              <w:pStyle w:val="71"/>
              <w:spacing w:before="223" w:line="240" w:lineRule="auto"/>
              <w:ind w:left="160"/>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空调</w:t>
            </w:r>
          </w:p>
        </w:tc>
        <w:tc>
          <w:tcPr>
            <w:tcW w:w="6692" w:type="dxa"/>
            <w:vAlign w:val="top"/>
          </w:tcPr>
          <w:p w14:paraId="789253A2">
            <w:pPr>
              <w:pStyle w:val="71"/>
              <w:spacing w:before="227"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1.5匹变频</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 xml:space="preserve">空调匹数1.5P </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 xml:space="preserve">能效比5.28 </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 xml:space="preserve">能效等级一级能效 </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 xml:space="preserve">控制方式键控/遥控 </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技术参数</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 xml:space="preserve"> 制冷剂R32 制冷量3500(300-5000)W 制冷功率815(120-1650)W 制热量5000(300-6600)W 制热功率1250(120-1990)W 循环风量750m3/h 室内机噪音41dB 室外机噪音50dB 扫风方式上下扫风 </w:t>
            </w:r>
          </w:p>
        </w:tc>
        <w:tc>
          <w:tcPr>
            <w:tcW w:w="359" w:type="dxa"/>
            <w:vAlign w:val="center"/>
          </w:tcPr>
          <w:p w14:paraId="265B7C42">
            <w:pPr>
              <w:pStyle w:val="71"/>
              <w:spacing w:before="223" w:line="240" w:lineRule="auto"/>
              <w:ind w:left="7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360" w:type="dxa"/>
            <w:vAlign w:val="center"/>
          </w:tcPr>
          <w:p w14:paraId="3D8519D7">
            <w:pPr>
              <w:pStyle w:val="71"/>
              <w:spacing w:before="271" w:line="240" w:lineRule="auto"/>
              <w:ind w:left="84"/>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0" w:type="auto"/>
            <w:vAlign w:val="top"/>
          </w:tcPr>
          <w:p w14:paraId="7B6FB82F">
            <w:pPr>
              <w:pStyle w:val="71"/>
              <w:spacing w:before="226" w:line="240" w:lineRule="auto"/>
              <w:ind w:left="1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bl>
    <w:p w14:paraId="7F2D10B4">
      <w:pPr>
        <w:pStyle w:val="71"/>
        <w:spacing w:before="283" w:line="184" w:lineRule="auto"/>
        <w:ind w:left="425" w:leftChars="0" w:hanging="425" w:firstLineChars="0"/>
        <w:jc w:val="right"/>
        <w:rPr>
          <w:color w:val="auto"/>
          <w:sz w:val="24"/>
          <w:szCs w:val="24"/>
          <w:highlight w:val="none"/>
        </w:rPr>
      </w:pPr>
    </w:p>
    <w:p w14:paraId="19103E2C">
      <w:pPr>
        <w:rPr>
          <w:rFonts w:hint="eastAsia"/>
          <w:b/>
          <w:bCs/>
          <w:color w:val="auto"/>
          <w:sz w:val="28"/>
          <w:szCs w:val="28"/>
          <w:highlight w:val="none"/>
        </w:rPr>
      </w:pPr>
      <w:r>
        <w:rPr>
          <w:rFonts w:hint="eastAsia"/>
          <w:b/>
          <w:bCs/>
          <w:color w:val="auto"/>
          <w:sz w:val="28"/>
          <w:szCs w:val="28"/>
          <w:highlight w:val="none"/>
        </w:rPr>
        <w:br w:type="page"/>
      </w:r>
    </w:p>
    <w:p w14:paraId="4F0CC481">
      <w:pPr>
        <w:pStyle w:val="71"/>
        <w:spacing w:before="283" w:line="184" w:lineRule="auto"/>
        <w:ind w:left="425" w:leftChars="0" w:hanging="425" w:firstLineChars="0"/>
        <w:jc w:val="center"/>
        <w:outlineLvl w:val="2"/>
        <w:rPr>
          <w:rFonts w:hint="eastAsia"/>
          <w:b/>
          <w:bCs/>
          <w:color w:val="auto"/>
          <w:sz w:val="28"/>
          <w:szCs w:val="28"/>
          <w:highlight w:val="none"/>
        </w:rPr>
      </w:pPr>
    </w:p>
    <w:p w14:paraId="121E3241">
      <w:pPr>
        <w:pStyle w:val="71"/>
        <w:spacing w:before="283" w:line="184" w:lineRule="auto"/>
        <w:ind w:left="425" w:leftChars="0" w:hanging="425" w:firstLineChars="0"/>
        <w:jc w:val="center"/>
        <w:outlineLvl w:val="2"/>
        <w:rPr>
          <w:rFonts w:hint="eastAsia"/>
          <w:b/>
          <w:bCs/>
          <w:color w:val="auto"/>
          <w:sz w:val="28"/>
          <w:szCs w:val="28"/>
          <w:highlight w:val="none"/>
        </w:rPr>
      </w:pPr>
      <w:r>
        <w:rPr>
          <w:rFonts w:hint="eastAsia"/>
          <w:b/>
          <w:bCs/>
          <w:color w:val="auto"/>
          <w:sz w:val="28"/>
          <w:szCs w:val="28"/>
          <w:highlight w:val="none"/>
        </w:rPr>
        <w:t>电子钢琴配备清单</w:t>
      </w:r>
    </w:p>
    <w:p w14:paraId="70EC9295">
      <w:pPr>
        <w:pStyle w:val="71"/>
        <w:spacing w:before="283" w:line="184" w:lineRule="auto"/>
        <w:ind w:left="425" w:leftChars="0" w:hanging="425" w:firstLineChars="0"/>
        <w:jc w:val="center"/>
        <w:outlineLvl w:val="9"/>
        <w:rPr>
          <w:rFonts w:hint="eastAsia"/>
          <w:color w:val="auto"/>
          <w:sz w:val="24"/>
          <w:szCs w:val="24"/>
          <w:highlight w:val="none"/>
        </w:rPr>
      </w:pPr>
    </w:p>
    <w:tbl>
      <w:tblPr>
        <w:tblStyle w:val="72"/>
        <w:tblW w:w="9677" w:type="dxa"/>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9"/>
        <w:gridCol w:w="726"/>
        <w:gridCol w:w="7426"/>
        <w:gridCol w:w="393"/>
        <w:gridCol w:w="395"/>
        <w:gridCol w:w="461"/>
        <w:gridCol w:w="17"/>
      </w:tblGrid>
      <w:tr w14:paraId="353B3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259" w:type="dxa"/>
            <w:shd w:val="clear" w:color="auto" w:fill="auto"/>
            <w:vAlign w:val="center"/>
          </w:tcPr>
          <w:p w14:paraId="65CFAFA9">
            <w:pPr>
              <w:pStyle w:val="71"/>
              <w:spacing w:before="65" w:line="184" w:lineRule="auto"/>
              <w:ind w:right="0" w:rightChars="0"/>
              <w:jc w:val="both"/>
              <w:rPr>
                <w:rFonts w:hint="eastAsia" w:ascii="宋体" w:hAnsi="宋体" w:eastAsia="宋体" w:cs="宋体"/>
                <w:snapToGrid/>
                <w:color w:val="auto"/>
                <w:kern w:val="0"/>
                <w:sz w:val="24"/>
                <w:szCs w:val="24"/>
                <w:highlight w:val="none"/>
                <w:lang w:val="en-US" w:eastAsia="zh-CN" w:bidi="ar"/>
              </w:rPr>
            </w:pPr>
            <w:r>
              <w:rPr>
                <w:rFonts w:hint="eastAsia"/>
                <w:color w:val="auto"/>
                <w:sz w:val="24"/>
                <w:szCs w:val="24"/>
                <w:highlight w:val="none"/>
                <w:lang w:val="en-US" w:eastAsia="zh-CN"/>
              </w:rPr>
              <w:t>序号</w:t>
            </w:r>
          </w:p>
        </w:tc>
        <w:tc>
          <w:tcPr>
            <w:tcW w:w="726" w:type="dxa"/>
            <w:shd w:val="clear" w:color="auto" w:fill="auto"/>
            <w:vAlign w:val="center"/>
          </w:tcPr>
          <w:p w14:paraId="66749893">
            <w:pPr>
              <w:pStyle w:val="71"/>
              <w:spacing w:before="69" w:line="249" w:lineRule="auto"/>
              <w:ind w:left="61" w:leftChars="0" w:right="4" w:rightChars="0"/>
              <w:jc w:val="center"/>
              <w:rPr>
                <w:rFonts w:hint="eastAsia" w:ascii="宋体" w:hAnsi="宋体" w:eastAsia="宋体" w:cs="宋体"/>
                <w:snapToGrid/>
                <w:color w:val="auto"/>
                <w:spacing w:val="6"/>
                <w:kern w:val="0"/>
                <w:sz w:val="24"/>
                <w:szCs w:val="24"/>
                <w:highlight w:val="none"/>
                <w:lang w:val="en-US" w:eastAsia="zh-CN" w:bidi="ar"/>
              </w:rPr>
            </w:pPr>
            <w:r>
              <w:rPr>
                <w:rFonts w:hint="eastAsia"/>
                <w:color w:val="auto"/>
                <w:spacing w:val="6"/>
                <w:sz w:val="24"/>
                <w:szCs w:val="24"/>
                <w:highlight w:val="none"/>
                <w:lang w:val="en-US" w:eastAsia="zh-CN"/>
              </w:rPr>
              <w:t>货物名称</w:t>
            </w:r>
          </w:p>
        </w:tc>
        <w:tc>
          <w:tcPr>
            <w:tcW w:w="7426" w:type="dxa"/>
            <w:shd w:val="clear" w:color="auto" w:fill="auto"/>
            <w:vAlign w:val="center"/>
          </w:tcPr>
          <w:p w14:paraId="05D3C2F7">
            <w:pPr>
              <w:pStyle w:val="71"/>
              <w:spacing w:before="65" w:line="183" w:lineRule="auto"/>
              <w:ind w:left="0" w:leftChars="0" w:right="0" w:rightChars="0" w:firstLine="238" w:firstLineChars="100"/>
              <w:jc w:val="center"/>
              <w:rPr>
                <w:rFonts w:hint="eastAsia" w:ascii="宋体" w:hAnsi="宋体" w:eastAsia="宋体" w:cs="宋体"/>
                <w:snapToGrid/>
                <w:color w:val="auto"/>
                <w:spacing w:val="-2"/>
                <w:kern w:val="0"/>
                <w:sz w:val="24"/>
                <w:szCs w:val="24"/>
                <w:highlight w:val="none"/>
                <w:lang w:val="en-US" w:eastAsia="zh-CN" w:bidi="ar"/>
              </w:rPr>
            </w:pPr>
            <w:r>
              <w:rPr>
                <w:rFonts w:hint="eastAsia"/>
                <w:color w:val="auto"/>
                <w:spacing w:val="-2"/>
                <w:sz w:val="24"/>
                <w:szCs w:val="24"/>
                <w:highlight w:val="none"/>
                <w:lang w:val="en-US" w:eastAsia="zh-CN"/>
              </w:rPr>
              <w:t>规格参数</w:t>
            </w:r>
          </w:p>
        </w:tc>
        <w:tc>
          <w:tcPr>
            <w:tcW w:w="393" w:type="dxa"/>
            <w:shd w:val="clear" w:color="auto" w:fill="auto"/>
            <w:vAlign w:val="center"/>
          </w:tcPr>
          <w:p w14:paraId="55441671">
            <w:pPr>
              <w:pStyle w:val="71"/>
              <w:spacing w:before="65" w:line="221" w:lineRule="auto"/>
              <w:ind w:left="73"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color w:val="auto"/>
                <w:sz w:val="24"/>
                <w:szCs w:val="24"/>
                <w:highlight w:val="none"/>
                <w:lang w:val="en-US" w:eastAsia="zh-CN"/>
              </w:rPr>
              <w:t>单位</w:t>
            </w:r>
          </w:p>
        </w:tc>
        <w:tc>
          <w:tcPr>
            <w:tcW w:w="395" w:type="dxa"/>
            <w:shd w:val="clear" w:color="auto" w:fill="auto"/>
            <w:vAlign w:val="center"/>
          </w:tcPr>
          <w:p w14:paraId="606EB8BA">
            <w:pPr>
              <w:pStyle w:val="71"/>
              <w:spacing w:before="65" w:line="184" w:lineRule="auto"/>
              <w:ind w:left="75" w:leftChars="0" w:right="0" w:rightChars="0"/>
              <w:jc w:val="center"/>
              <w:rPr>
                <w:rFonts w:hint="default" w:ascii="宋体" w:hAnsi="宋体" w:eastAsia="宋体" w:cs="宋体"/>
                <w:snapToGrid/>
                <w:color w:val="auto"/>
                <w:kern w:val="0"/>
                <w:sz w:val="24"/>
                <w:szCs w:val="24"/>
                <w:highlight w:val="none"/>
                <w:lang w:val="en-US" w:eastAsia="zh-CN" w:bidi="ar"/>
              </w:rPr>
            </w:pPr>
            <w:r>
              <w:rPr>
                <w:rFonts w:hint="eastAsia"/>
                <w:color w:val="auto"/>
                <w:sz w:val="24"/>
                <w:szCs w:val="24"/>
                <w:highlight w:val="none"/>
                <w:lang w:val="en-US" w:eastAsia="zh-CN"/>
              </w:rPr>
              <w:t>数量</w:t>
            </w:r>
          </w:p>
        </w:tc>
        <w:tc>
          <w:tcPr>
            <w:tcW w:w="461" w:type="dxa"/>
            <w:shd w:val="clear" w:color="auto" w:fill="auto"/>
            <w:vAlign w:val="center"/>
          </w:tcPr>
          <w:p w14:paraId="0B10C8D6">
            <w:pPr>
              <w:pStyle w:val="71"/>
              <w:spacing w:before="65" w:line="224" w:lineRule="auto"/>
              <w:ind w:left="140"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color w:val="auto"/>
                <w:sz w:val="24"/>
                <w:szCs w:val="24"/>
                <w:highlight w:val="none"/>
                <w:lang w:val="en-US" w:eastAsia="zh-CN"/>
              </w:rPr>
              <w:t>备注</w:t>
            </w:r>
          </w:p>
        </w:tc>
        <w:tc>
          <w:tcPr>
            <w:tcW w:w="17" w:type="dxa"/>
            <w:shd w:val="clear" w:color="auto" w:fill="auto"/>
            <w:vAlign w:val="center"/>
          </w:tcPr>
          <w:p w14:paraId="580C8FF7">
            <w:pPr>
              <w:pStyle w:val="71"/>
              <w:spacing w:before="65" w:line="224" w:lineRule="auto"/>
              <w:ind w:left="140" w:leftChars="0" w:right="0" w:rightChars="0"/>
              <w:jc w:val="center"/>
              <w:rPr>
                <w:rFonts w:hint="eastAsia"/>
                <w:color w:val="auto"/>
                <w:sz w:val="24"/>
                <w:szCs w:val="24"/>
                <w:highlight w:val="none"/>
                <w:lang w:val="en-US" w:eastAsia="zh-CN"/>
              </w:rPr>
            </w:pPr>
          </w:p>
        </w:tc>
      </w:tr>
      <w:tr w14:paraId="1D531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854" w:hRule="atLeast"/>
        </w:trPr>
        <w:tc>
          <w:tcPr>
            <w:tcW w:w="259" w:type="dxa"/>
            <w:shd w:val="clear" w:color="auto" w:fill="auto"/>
            <w:vAlign w:val="center"/>
          </w:tcPr>
          <w:p w14:paraId="7F7D0991">
            <w:pPr>
              <w:pStyle w:val="71"/>
              <w:spacing w:before="113" w:line="230" w:lineRule="auto"/>
              <w:ind w:left="260" w:leftChars="0" w:right="54" w:rightChars="0" w:hanging="199" w:firstLineChars="0"/>
              <w:jc w:val="center"/>
              <w:rPr>
                <w:rFonts w:hint="default" w:ascii="宋体" w:hAnsi="宋体" w:eastAsia="宋体" w:cs="宋体"/>
                <w:snapToGrid/>
                <w:color w:val="auto"/>
                <w:kern w:val="0"/>
                <w:sz w:val="24"/>
                <w:szCs w:val="24"/>
                <w:highlight w:val="none"/>
                <w:lang w:val="en-US" w:eastAsia="zh-CN" w:bidi="ar"/>
              </w:rPr>
            </w:pPr>
            <w:r>
              <w:rPr>
                <w:rFonts w:hint="eastAsia" w:cs="宋体"/>
                <w:snapToGrid/>
                <w:color w:val="auto"/>
                <w:kern w:val="0"/>
                <w:sz w:val="24"/>
                <w:szCs w:val="24"/>
                <w:highlight w:val="none"/>
                <w:lang w:val="en-US" w:eastAsia="zh-CN" w:bidi="ar"/>
              </w:rPr>
              <w:t>1</w:t>
            </w:r>
          </w:p>
        </w:tc>
        <w:tc>
          <w:tcPr>
            <w:tcW w:w="726" w:type="dxa"/>
            <w:shd w:val="clear" w:color="auto" w:fill="auto"/>
            <w:vAlign w:val="center"/>
          </w:tcPr>
          <w:p w14:paraId="008FFB14">
            <w:pPr>
              <w:pStyle w:val="71"/>
              <w:spacing w:before="113" w:line="230" w:lineRule="auto"/>
              <w:ind w:left="260" w:leftChars="0" w:right="54" w:rightChars="0" w:hanging="199" w:firstLineChars="0"/>
              <w:jc w:val="center"/>
              <w:rPr>
                <w:rFonts w:hint="default" w:ascii="宋体" w:hAnsi="宋体" w:eastAsia="宋体" w:cs="宋体"/>
                <w:snapToGrid/>
                <w:color w:val="auto"/>
                <w:kern w:val="0"/>
                <w:sz w:val="24"/>
                <w:szCs w:val="24"/>
                <w:highlight w:val="none"/>
                <w:lang w:val="en-US" w:eastAsia="zh-CN" w:bidi="ar"/>
              </w:rPr>
            </w:pPr>
            <w:r>
              <w:rPr>
                <w:color w:val="auto"/>
                <w:spacing w:val="4"/>
                <w:sz w:val="24"/>
                <w:szCs w:val="24"/>
                <w:highlight w:val="none"/>
              </w:rPr>
              <w:t>电子钢</w:t>
            </w:r>
            <w:r>
              <w:rPr>
                <w:color w:val="auto"/>
                <w:sz w:val="24"/>
                <w:szCs w:val="24"/>
                <w:highlight w:val="none"/>
              </w:rPr>
              <w:t>琴</w:t>
            </w:r>
          </w:p>
        </w:tc>
        <w:tc>
          <w:tcPr>
            <w:tcW w:w="7426" w:type="dxa"/>
            <w:shd w:val="clear" w:color="auto" w:fill="auto"/>
            <w:vAlign w:val="center"/>
          </w:tcPr>
          <w:p w14:paraId="7D90A8C6">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88键配重钢琴力度键盘;背光LCD多功能液晶显示屏;538种音色（81种民乐音色,12组键盘打击乐316音色);-220种节奏(40种民乐节奏,10种用户节奏);-40个存储记忆状态;-6轨录音(10首用户乐曲);·音频输入/输出接口,MIDI接口,USB接口</w:t>
            </w:r>
          </w:p>
        </w:tc>
        <w:tc>
          <w:tcPr>
            <w:tcW w:w="393" w:type="dxa"/>
            <w:shd w:val="clear" w:color="auto" w:fill="auto"/>
            <w:vAlign w:val="center"/>
          </w:tcPr>
          <w:p w14:paraId="78361BC9">
            <w:pPr>
              <w:pStyle w:val="71"/>
              <w:spacing w:before="233" w:line="220" w:lineRule="auto"/>
              <w:ind w:left="73" w:leftChars="0" w:right="0" w:rightChars="0"/>
              <w:jc w:val="center"/>
              <w:rPr>
                <w:rFonts w:hint="eastAsia" w:ascii="宋体" w:hAnsi="宋体" w:eastAsia="宋体" w:cs="宋体"/>
                <w:snapToGrid/>
                <w:color w:val="auto"/>
                <w:kern w:val="0"/>
                <w:sz w:val="24"/>
                <w:szCs w:val="24"/>
                <w:highlight w:val="none"/>
                <w:lang w:val="en-US" w:eastAsia="zh-CN" w:bidi="ar"/>
              </w:rPr>
            </w:pPr>
            <w:r>
              <w:rPr>
                <w:color w:val="auto"/>
                <w:sz w:val="24"/>
                <w:szCs w:val="24"/>
                <w:highlight w:val="none"/>
              </w:rPr>
              <w:t>套</w:t>
            </w:r>
          </w:p>
        </w:tc>
        <w:tc>
          <w:tcPr>
            <w:tcW w:w="395" w:type="dxa"/>
            <w:shd w:val="clear" w:color="auto" w:fill="auto"/>
            <w:vAlign w:val="center"/>
          </w:tcPr>
          <w:p w14:paraId="52828ACF">
            <w:pPr>
              <w:pStyle w:val="71"/>
              <w:spacing w:before="283" w:line="184" w:lineRule="auto"/>
              <w:ind w:left="75"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color w:val="auto"/>
                <w:sz w:val="24"/>
                <w:szCs w:val="24"/>
                <w:highlight w:val="none"/>
                <w:lang w:val="en-US" w:eastAsia="zh-CN"/>
              </w:rPr>
              <w:t>7</w:t>
            </w:r>
          </w:p>
        </w:tc>
        <w:tc>
          <w:tcPr>
            <w:tcW w:w="461" w:type="dxa"/>
            <w:shd w:val="clear" w:color="auto" w:fill="auto"/>
            <w:vAlign w:val="center"/>
          </w:tcPr>
          <w:p w14:paraId="1572E7CE">
            <w:pPr>
              <w:pStyle w:val="71"/>
              <w:spacing w:before="239" w:line="224" w:lineRule="auto"/>
              <w:ind w:left="140" w:leftChars="0" w:right="0" w:rightChars="0"/>
              <w:jc w:val="center"/>
              <w:rPr>
                <w:rFonts w:hint="eastAsia" w:ascii="宋体" w:hAnsi="宋体" w:eastAsia="宋体" w:cs="宋体"/>
                <w:snapToGrid/>
                <w:color w:val="auto"/>
                <w:kern w:val="0"/>
                <w:sz w:val="24"/>
                <w:szCs w:val="24"/>
                <w:highlight w:val="none"/>
                <w:lang w:val="en-US" w:eastAsia="zh-CN" w:bidi="ar"/>
              </w:rPr>
            </w:pPr>
            <w:r>
              <w:rPr>
                <w:color w:val="auto"/>
                <w:sz w:val="24"/>
                <w:szCs w:val="24"/>
                <w:highlight w:val="none"/>
              </w:rPr>
              <w:t>/</w:t>
            </w:r>
          </w:p>
        </w:tc>
      </w:tr>
    </w:tbl>
    <w:p w14:paraId="411EB32D">
      <w:pPr>
        <w:pStyle w:val="71"/>
        <w:spacing w:before="283" w:line="184" w:lineRule="auto"/>
        <w:ind w:left="425" w:leftChars="0" w:hanging="425" w:firstLineChars="0"/>
        <w:jc w:val="center"/>
        <w:rPr>
          <w:rFonts w:hint="eastAsia"/>
          <w:color w:val="auto"/>
          <w:sz w:val="24"/>
          <w:szCs w:val="24"/>
          <w:highlight w:val="none"/>
        </w:rPr>
      </w:pPr>
    </w:p>
    <w:p w14:paraId="2988D9AF">
      <w:pPr>
        <w:pStyle w:val="71"/>
        <w:spacing w:before="283" w:line="184" w:lineRule="auto"/>
        <w:ind w:left="425" w:leftChars="0" w:hanging="425" w:firstLineChars="0"/>
        <w:jc w:val="center"/>
        <w:rPr>
          <w:color w:val="auto"/>
          <w:sz w:val="24"/>
          <w:szCs w:val="24"/>
          <w:highlight w:val="none"/>
        </w:rPr>
      </w:pPr>
      <w:r>
        <w:rPr>
          <w:color w:val="auto"/>
          <w:sz w:val="24"/>
          <w:szCs w:val="24"/>
          <w:highlight w:val="none"/>
        </w:rPr>
        <w:br w:type="page"/>
      </w:r>
    </w:p>
    <w:p w14:paraId="72D0C8A5">
      <w:pPr>
        <w:rPr>
          <w:rFonts w:hint="eastAsia" w:ascii="宋体" w:hAnsi="宋体" w:eastAsia="宋体" w:cs="宋体"/>
          <w:b/>
          <w:bCs/>
          <w:i w:val="0"/>
          <w:iCs w:val="0"/>
          <w:snapToGrid w:val="0"/>
          <w:color w:val="auto"/>
          <w:kern w:val="0"/>
          <w:sz w:val="36"/>
          <w:szCs w:val="36"/>
          <w:highlight w:val="none"/>
          <w:u w:val="none"/>
          <w:lang w:val="en-US" w:eastAsia="zh-CN" w:bidi="ar"/>
        </w:rPr>
      </w:pPr>
    </w:p>
    <w:p w14:paraId="2375968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outlineLvl w:val="2"/>
        <w:rPr>
          <w:rFonts w:hint="default"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办公用品</w:t>
      </w:r>
      <w:r>
        <w:rPr>
          <w:rFonts w:hint="eastAsia" w:ascii="宋体" w:hAnsi="宋体" w:eastAsia="宋体" w:cs="宋体"/>
          <w:b/>
          <w:bCs/>
          <w:color w:val="auto"/>
          <w:sz w:val="28"/>
          <w:szCs w:val="28"/>
          <w:highlight w:val="none"/>
          <w:lang w:val="en-US" w:eastAsia="zh-CN"/>
        </w:rPr>
        <w:t>清单</w:t>
      </w:r>
    </w:p>
    <w:tbl>
      <w:tblPr>
        <w:tblStyle w:val="27"/>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51"/>
        <w:gridCol w:w="4831"/>
        <w:gridCol w:w="546"/>
        <w:gridCol w:w="687"/>
        <w:gridCol w:w="1828"/>
      </w:tblGrid>
      <w:tr w14:paraId="73D3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275" w:type="pct"/>
            <w:shd w:val="clear" w:color="auto" w:fill="auto"/>
            <w:noWrap w:val="0"/>
            <w:vAlign w:val="center"/>
          </w:tcPr>
          <w:p w14:paraId="50CFA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序号</w:t>
            </w:r>
          </w:p>
        </w:tc>
        <w:tc>
          <w:tcPr>
            <w:tcW w:w="459" w:type="pct"/>
            <w:shd w:val="clear" w:color="auto" w:fill="auto"/>
            <w:noWrap w:val="0"/>
            <w:vAlign w:val="center"/>
          </w:tcPr>
          <w:p w14:paraId="43CD4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名称</w:t>
            </w:r>
          </w:p>
        </w:tc>
        <w:tc>
          <w:tcPr>
            <w:tcW w:w="2610" w:type="pct"/>
            <w:shd w:val="clear" w:color="auto" w:fill="auto"/>
            <w:noWrap/>
            <w:vAlign w:val="center"/>
          </w:tcPr>
          <w:p w14:paraId="31E75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规格参数</w:t>
            </w:r>
          </w:p>
        </w:tc>
        <w:tc>
          <w:tcPr>
            <w:tcW w:w="295" w:type="pct"/>
            <w:shd w:val="clear" w:color="auto" w:fill="auto"/>
            <w:noWrap w:val="0"/>
            <w:vAlign w:val="center"/>
          </w:tcPr>
          <w:p w14:paraId="66187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单位</w:t>
            </w:r>
          </w:p>
        </w:tc>
        <w:tc>
          <w:tcPr>
            <w:tcW w:w="371" w:type="pct"/>
            <w:shd w:val="clear" w:color="auto" w:fill="auto"/>
            <w:noWrap w:val="0"/>
            <w:vAlign w:val="center"/>
          </w:tcPr>
          <w:p w14:paraId="1EE0A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数量</w:t>
            </w:r>
          </w:p>
        </w:tc>
        <w:tc>
          <w:tcPr>
            <w:tcW w:w="987" w:type="pct"/>
            <w:shd w:val="clear" w:color="auto" w:fill="auto"/>
            <w:noWrap w:val="0"/>
            <w:vAlign w:val="center"/>
          </w:tcPr>
          <w:p w14:paraId="56127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备注</w:t>
            </w:r>
          </w:p>
        </w:tc>
      </w:tr>
      <w:tr w14:paraId="3578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75" w:type="pct"/>
            <w:noWrap w:val="0"/>
            <w:vAlign w:val="center"/>
          </w:tcPr>
          <w:p w14:paraId="303FB55C">
            <w:pPr>
              <w:keepNext w:val="0"/>
              <w:keepLines w:val="0"/>
              <w:pageBreakBefore w:val="0"/>
              <w:widowControl/>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459" w:type="pct"/>
            <w:shd w:val="clear" w:color="auto" w:fill="auto"/>
            <w:noWrap w:val="0"/>
            <w:vAlign w:val="center"/>
          </w:tcPr>
          <w:p w14:paraId="53E2449A">
            <w:pPr>
              <w:pStyle w:val="71"/>
              <w:spacing w:before="233" w:line="240" w:lineRule="auto"/>
              <w:ind w:left="61"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pacing w:val="3"/>
                <w:sz w:val="24"/>
                <w:szCs w:val="24"/>
                <w:highlight w:val="none"/>
              </w:rPr>
              <w:t>办公桌</w:t>
            </w:r>
          </w:p>
        </w:tc>
        <w:tc>
          <w:tcPr>
            <w:tcW w:w="2610" w:type="pct"/>
            <w:shd w:val="clear" w:color="auto" w:fill="auto"/>
            <w:noWrap w:val="0"/>
            <w:vAlign w:val="center"/>
          </w:tcPr>
          <w:p w14:paraId="540A7207">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1400*700*7501、基材采用18mm厚E0级实木颗粒板，覆三聚氰胺饰面，要求甲醛释放量E0级≤0.05mg/m³，苯≤10μg/m³，甲苯≤20μg/m³，二甲苯≤20μg/m³，总挥发性有机化合物（TVOC）≤100μg/m³，含水率≤8%，密度≥0.68g/cm³，2h吸水厚度膨胀率≤8%，静曲强度≥11MPa，弹性模量≥1600MPa，内结合强度≥0.35MPa，表面胶合强度≥0.7MPa，板面握螺钉力≥900N。检测依据符合：GB/T 39600-2021、GB/T 35601-2017、GB/T 15102-2017标准规定，★提供2024年1月以后由第三方检测机构出具的E0级实木颗粒板检测报告。</w:t>
            </w:r>
          </w:p>
          <w:p w14:paraId="47EC4158">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2、板材封边采用2mm厚同色PVC大型自动封边机热熔胶封边，长久使用不开裂。封边条甲醛释放量未检出,须符合GB 18584-2001标准规定，★提供2024年1月以后由第三方检测机构出具的封边条检测报告。</w:t>
            </w:r>
          </w:p>
          <w:p w14:paraId="581A06B8">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3、封边采用热熔胶，热熔胶为本体型胶粘剂V0C含量限量≤10g/Kg，卤代烃、甲苯+乙苯+二甲苯、游离甲醛、甲苯二异氰酸酯未检出，检测依据符合GB 18583-2008，HJ2541-2016，33372-2020标准规定，★提供2024年1月以后由第三方检测机构出具的热熔胶检测报告。</w:t>
            </w:r>
          </w:p>
          <w:p w14:paraId="3FBF1D76">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4、办公桌台面厚度要求32mm。</w:t>
            </w:r>
          </w:p>
          <w:p w14:paraId="54288EDB">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5、五金配件：采用优质缓冲阻尼门铰链、开关门灵活，无异响声，街接良好，导轨推拉构件猛关或猛开试验检测合格，须符合GB/T 3324-2017标准规定，三合一连接件：耐腐蚀试验：乙酸盐雾试验(AASS)连续喷雾110h-保护评级RP/外观评级RA：10级，铜盐加速乙酸盐雾试验(CASS)连续喷雾110h-保护评级RP/外观评级RA：10级，力学性能：三合一偏心连接件偏心体抗压强度：抗压强度应≥400N，三合一偏心连接件预埋螺母抗拉强度：抗拉强度应≥750N，三合一偏心连接件中连接螺杆螺纹与预埋螺母的抗拉强度：抗拉强度应≥800N，须符合GB/T 28203-2011、GB/T 10125-2021、QB/T 3828-1999标准规定。★提供2024年1月以后由第三方检测机构出具的导轨、门铰链、三合一连接件检测报告。</w:t>
            </w:r>
          </w:p>
          <w:p w14:paraId="76850311">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snapToGrid w:val="0"/>
                <w:color w:val="auto"/>
                <w:kern w:val="0"/>
                <w:sz w:val="24"/>
                <w:szCs w:val="24"/>
                <w:highlight w:val="none"/>
                <w:u w:val="none"/>
                <w:lang w:val="en-US" w:eastAsia="zh-CN" w:bidi="ar"/>
              </w:rPr>
              <w:t>6、办公桌须符合GB/T 3324-2017《木家具通用技术条件》标准规定，甲醛释放量≤0.5mg/L。★提供2024年1月以后由第三方检测机构出具的木家具（写字桌）检验报告。</w:t>
            </w:r>
          </w:p>
        </w:tc>
        <w:tc>
          <w:tcPr>
            <w:tcW w:w="295" w:type="pct"/>
            <w:shd w:val="clear" w:color="auto" w:fill="auto"/>
            <w:noWrap/>
            <w:vAlign w:val="center"/>
          </w:tcPr>
          <w:p w14:paraId="6E39F0A6">
            <w:pPr>
              <w:pStyle w:val="71"/>
              <w:spacing w:before="235" w:line="240" w:lineRule="auto"/>
              <w:ind w:left="7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张</w:t>
            </w:r>
          </w:p>
        </w:tc>
        <w:tc>
          <w:tcPr>
            <w:tcW w:w="371" w:type="pct"/>
            <w:shd w:val="clear" w:color="auto" w:fill="auto"/>
            <w:noWrap/>
            <w:vAlign w:val="center"/>
          </w:tcPr>
          <w:p w14:paraId="7EE01291">
            <w:pPr>
              <w:pStyle w:val="71"/>
              <w:spacing w:before="284" w:line="240" w:lineRule="auto"/>
              <w:ind w:left="8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10</w:t>
            </w:r>
          </w:p>
        </w:tc>
        <w:tc>
          <w:tcPr>
            <w:tcW w:w="987" w:type="pct"/>
            <w:shd w:val="clear" w:color="auto" w:fill="auto"/>
            <w:noWrap w:val="0"/>
            <w:vAlign w:val="top"/>
          </w:tcPr>
          <w:p w14:paraId="7B7A5B41">
            <w:pPr>
              <w:pStyle w:val="71"/>
              <w:spacing w:before="238" w:line="240" w:lineRule="auto"/>
              <w:ind w:left="140"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drawing>
                <wp:inline distT="0" distB="0" distL="114300" distR="114300">
                  <wp:extent cx="1044575" cy="737235"/>
                  <wp:effectExtent l="0" t="0" r="3175" b="5715"/>
                  <wp:docPr id="38" name="图片 3" descr=" "/>
                  <wp:cNvGraphicFramePr/>
                  <a:graphic xmlns:a="http://schemas.openxmlformats.org/drawingml/2006/main">
                    <a:graphicData uri="http://schemas.openxmlformats.org/drawingml/2006/picture">
                      <pic:pic xmlns:pic="http://schemas.openxmlformats.org/drawingml/2006/picture">
                        <pic:nvPicPr>
                          <pic:cNvPr id="38" name="图片 3" descr=" "/>
                          <pic:cNvPicPr/>
                        </pic:nvPicPr>
                        <pic:blipFill>
                          <a:blip r:embed="rId23"/>
                          <a:srcRect/>
                          <a:stretch>
                            <a:fillRect/>
                          </a:stretch>
                        </pic:blipFill>
                        <pic:spPr>
                          <a:xfrm>
                            <a:off x="0" y="0"/>
                            <a:ext cx="1044575" cy="737235"/>
                          </a:xfrm>
                          <a:prstGeom prst="rect">
                            <a:avLst/>
                          </a:prstGeom>
                          <a:noFill/>
                          <a:ln w="9525" cap="flat" cmpd="sng">
                            <a:noFill/>
                            <a:prstDash val="solid"/>
                            <a:miter/>
                          </a:ln>
                          <a:effectLst/>
                        </pic:spPr>
                      </pic:pic>
                    </a:graphicData>
                  </a:graphic>
                </wp:inline>
              </w:drawing>
            </w:r>
          </w:p>
        </w:tc>
      </w:tr>
      <w:tr w14:paraId="0437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75" w:type="pct"/>
            <w:noWrap w:val="0"/>
            <w:vAlign w:val="center"/>
          </w:tcPr>
          <w:p w14:paraId="54F3E14D">
            <w:pPr>
              <w:keepNext w:val="0"/>
              <w:keepLines w:val="0"/>
              <w:pageBreakBefore w:val="0"/>
              <w:widowControl/>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459" w:type="pct"/>
            <w:shd w:val="clear" w:color="auto" w:fill="auto"/>
            <w:noWrap w:val="0"/>
            <w:vAlign w:val="center"/>
          </w:tcPr>
          <w:p w14:paraId="57D5624D">
            <w:pPr>
              <w:pStyle w:val="71"/>
              <w:spacing w:before="224" w:line="240" w:lineRule="auto"/>
              <w:ind w:left="61"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pacing w:val="2"/>
                <w:sz w:val="24"/>
                <w:szCs w:val="24"/>
                <w:highlight w:val="none"/>
              </w:rPr>
              <w:t>办公椅</w:t>
            </w:r>
          </w:p>
        </w:tc>
        <w:tc>
          <w:tcPr>
            <w:tcW w:w="2610" w:type="pct"/>
            <w:shd w:val="clear" w:color="auto" w:fill="auto"/>
            <w:noWrap w:val="0"/>
            <w:vAlign w:val="center"/>
          </w:tcPr>
          <w:p w14:paraId="2C0F0110">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靠背网布采用采用优质亲肤高弹力网布，回弹性好，不易变型。</w:t>
            </w:r>
          </w:p>
          <w:p w14:paraId="47981D12">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2、座垫：饰面采用优质布艺面料，海棉采用高密度定型海绵，表观密度为≥56.2kg/m³，回弹性≥48%，缩永久变形≤3.7%，65%/25%压陷比≥4.5，拉伸强度≥176.6KPa，断裂伸长率≥153%，抗引燃特性试验：阻燃I级，通过香烟抗引燃特性试验，甲醛释放量(气候箱法)≤0.009mg/㎡h，总挥发性有机化合物(TVOC)：未检出，检测依据须符合QB/T 1952.1-2023、GB/T 6343-2009、GB/T 10802-2023、QB/T 2280-2016、GB 18587-2001、GB/T 10807-2006《软质泡沫聚合材料 硬度的测定(压陷法)》*、GB17927.1-2011标准规定，★提供2024年1月以后由第三方检测机构出具的阻燃定型海绵检测报告。</w:t>
            </w:r>
          </w:p>
          <w:p w14:paraId="115DF70D">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4、椅架采用优质金属四腿椅架，壁厚≥1.8mm，带后支撑，承重大于200公斤。</w:t>
            </w:r>
          </w:p>
          <w:p w14:paraId="6F3AAA87">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snapToGrid w:val="0"/>
                <w:color w:val="auto"/>
                <w:kern w:val="0"/>
                <w:sz w:val="24"/>
                <w:szCs w:val="24"/>
                <w:highlight w:val="none"/>
                <w:u w:val="none"/>
                <w:lang w:val="en-US" w:eastAsia="zh-CN" w:bidi="ar"/>
              </w:rPr>
              <w:t>5、办公椅：纺织面料：干摩擦色牢度≥3级，座面冲击、外观均检测合格，符合QB/T 2280-2016标准规定，★提供2024年1月以后由第三方检测机构出具的办公椅检测报告。</w:t>
            </w:r>
          </w:p>
        </w:tc>
        <w:tc>
          <w:tcPr>
            <w:tcW w:w="295" w:type="pct"/>
            <w:shd w:val="clear" w:color="auto" w:fill="auto"/>
            <w:noWrap/>
            <w:vAlign w:val="center"/>
          </w:tcPr>
          <w:p w14:paraId="0E43B6FD">
            <w:pPr>
              <w:pStyle w:val="71"/>
              <w:spacing w:before="226" w:line="240" w:lineRule="auto"/>
              <w:ind w:left="7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把</w:t>
            </w:r>
          </w:p>
        </w:tc>
        <w:tc>
          <w:tcPr>
            <w:tcW w:w="371" w:type="pct"/>
            <w:shd w:val="clear" w:color="auto" w:fill="auto"/>
            <w:noWrap/>
            <w:vAlign w:val="center"/>
          </w:tcPr>
          <w:p w14:paraId="49880A00">
            <w:pPr>
              <w:pStyle w:val="71"/>
              <w:spacing w:before="275" w:line="240" w:lineRule="auto"/>
              <w:ind w:left="8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10</w:t>
            </w:r>
          </w:p>
        </w:tc>
        <w:tc>
          <w:tcPr>
            <w:tcW w:w="987" w:type="pct"/>
            <w:shd w:val="clear" w:color="auto" w:fill="auto"/>
            <w:noWrap w:val="0"/>
            <w:vAlign w:val="top"/>
          </w:tcPr>
          <w:p w14:paraId="7DFB4387">
            <w:pPr>
              <w:pStyle w:val="71"/>
              <w:spacing w:before="229" w:line="240" w:lineRule="auto"/>
              <w:ind w:left="140"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drawing>
                <wp:inline distT="0" distB="0" distL="114300" distR="114300">
                  <wp:extent cx="343535" cy="496570"/>
                  <wp:effectExtent l="0" t="0" r="18415" b="17780"/>
                  <wp:docPr id="39" name="图片 4" descr=" "/>
                  <wp:cNvGraphicFramePr/>
                  <a:graphic xmlns:a="http://schemas.openxmlformats.org/drawingml/2006/main">
                    <a:graphicData uri="http://schemas.openxmlformats.org/drawingml/2006/picture">
                      <pic:pic xmlns:pic="http://schemas.openxmlformats.org/drawingml/2006/picture">
                        <pic:nvPicPr>
                          <pic:cNvPr id="39" name="图片 4" descr=" "/>
                          <pic:cNvPicPr/>
                        </pic:nvPicPr>
                        <pic:blipFill>
                          <a:blip r:embed="rId24"/>
                          <a:srcRect/>
                          <a:stretch>
                            <a:fillRect/>
                          </a:stretch>
                        </pic:blipFill>
                        <pic:spPr>
                          <a:xfrm>
                            <a:off x="0" y="0"/>
                            <a:ext cx="343535" cy="496570"/>
                          </a:xfrm>
                          <a:prstGeom prst="rect">
                            <a:avLst/>
                          </a:prstGeom>
                          <a:noFill/>
                          <a:ln w="9525" cap="flat" cmpd="sng">
                            <a:noFill/>
                            <a:prstDash val="solid"/>
                            <a:miter/>
                          </a:ln>
                          <a:effectLst/>
                        </pic:spPr>
                      </pic:pic>
                    </a:graphicData>
                  </a:graphic>
                </wp:inline>
              </w:drawing>
            </w:r>
          </w:p>
        </w:tc>
      </w:tr>
      <w:tr w14:paraId="4E8B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75" w:type="pct"/>
            <w:noWrap w:val="0"/>
            <w:vAlign w:val="center"/>
          </w:tcPr>
          <w:p w14:paraId="646B57C7">
            <w:pPr>
              <w:keepNext w:val="0"/>
              <w:keepLines w:val="0"/>
              <w:pageBreakBefore w:val="0"/>
              <w:widowControl/>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459" w:type="pct"/>
            <w:shd w:val="clear" w:color="auto" w:fill="auto"/>
            <w:noWrap w:val="0"/>
            <w:vAlign w:val="center"/>
          </w:tcPr>
          <w:p w14:paraId="0B59FF91">
            <w:pPr>
              <w:pStyle w:val="71"/>
              <w:spacing w:before="235" w:line="240" w:lineRule="auto"/>
              <w:ind w:left="61"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pacing w:val="-3"/>
                <w:sz w:val="24"/>
                <w:szCs w:val="24"/>
                <w:highlight w:val="none"/>
              </w:rPr>
              <w:t>文件柜</w:t>
            </w:r>
          </w:p>
        </w:tc>
        <w:tc>
          <w:tcPr>
            <w:tcW w:w="2610" w:type="pct"/>
            <w:shd w:val="clear" w:color="auto" w:fill="auto"/>
            <w:noWrap w:val="0"/>
            <w:vAlign w:val="center"/>
          </w:tcPr>
          <w:p w14:paraId="7619F73B">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1850*850*3901、基材采用优质冷轧钢板，厚度≥0.8mm，钢板理化性能要求≥5H，可迁移元素：锑(Sb)、砷(As)、钡(Ba)、镉（Cd）、铬(Cr)、铅(Pb)、汞(Hg)、硒(Se)均未检出，多元素含量/质量分数C、Si、Mn、P、S、Cr均检测合格，中性盐雾试验（NSS）：连续喷雾72h：镀(涂)层本身的耐腐蚀等级、保护等级：10级，铜盐加速乙酸盐雾试验(CASS)：：镀(涂)层本身的耐腐蚀等级、保护等级：10级，乙酸盐雾试验(ASS)：：镀(涂)层本身的耐腐蚀等级、保护等级：10级，金属件外观检测合格，符合GB/T 3325-2017、HJ 2547-2016、GB/T 4336-2016、GB/T 10125-2021标准规定，★提供2024年1月以后由第三方检测机构出具的冷轧钢板检测报告。</w:t>
            </w:r>
          </w:p>
          <w:p w14:paraId="4CF575A9">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snapToGrid w:val="0"/>
                <w:color w:val="auto"/>
                <w:kern w:val="0"/>
                <w:sz w:val="24"/>
                <w:szCs w:val="24"/>
                <w:highlight w:val="none"/>
                <w:u w:val="none"/>
                <w:lang w:val="en-US" w:eastAsia="zh-CN" w:bidi="ar"/>
              </w:rPr>
              <w:t>2、文件柜：安全性能要求：有害物质可迁移元素：有害物质限量-产品涂层和覆面层中可溶性重金属-可溶性铅、镉、铬、汞均检测合格，甲醛含量未检出，主要尺寸及偏差、形状和位置公差、外观性能要求、理化性能要求、力学性能要求均检测合格，符合GB/T 3325-2017、GB 18584-2024标准规定，★提供2024年1月以后由第三方检测机构出具的文件柜检测报告。</w:t>
            </w:r>
          </w:p>
        </w:tc>
        <w:tc>
          <w:tcPr>
            <w:tcW w:w="295" w:type="pct"/>
            <w:shd w:val="clear" w:color="auto" w:fill="auto"/>
            <w:noWrap/>
            <w:vAlign w:val="center"/>
          </w:tcPr>
          <w:p w14:paraId="0EA27D6F">
            <w:pPr>
              <w:pStyle w:val="71"/>
              <w:spacing w:before="235" w:line="240" w:lineRule="auto"/>
              <w:ind w:left="7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个</w:t>
            </w:r>
          </w:p>
        </w:tc>
        <w:tc>
          <w:tcPr>
            <w:tcW w:w="371" w:type="pct"/>
            <w:shd w:val="clear" w:color="auto" w:fill="auto"/>
            <w:noWrap/>
            <w:vAlign w:val="center"/>
          </w:tcPr>
          <w:p w14:paraId="775007BD">
            <w:pPr>
              <w:pStyle w:val="71"/>
              <w:spacing w:before="286" w:line="240" w:lineRule="auto"/>
              <w:ind w:left="133"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6</w:t>
            </w:r>
          </w:p>
        </w:tc>
        <w:tc>
          <w:tcPr>
            <w:tcW w:w="987" w:type="pct"/>
            <w:shd w:val="clear" w:color="auto" w:fill="auto"/>
            <w:noWrap w:val="0"/>
            <w:vAlign w:val="top"/>
          </w:tcPr>
          <w:p w14:paraId="37F3C7DB">
            <w:pPr>
              <w:pStyle w:val="71"/>
              <w:spacing w:before="240" w:line="240" w:lineRule="auto"/>
              <w:ind w:left="140"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drawing>
                <wp:inline distT="0" distB="0" distL="114300" distR="114300">
                  <wp:extent cx="445770" cy="626110"/>
                  <wp:effectExtent l="0" t="0" r="11430" b="2540"/>
                  <wp:docPr id="40" name="Picture 26" descr="IMG_1208"/>
                  <wp:cNvGraphicFramePr/>
                  <a:graphic xmlns:a="http://schemas.openxmlformats.org/drawingml/2006/main">
                    <a:graphicData uri="http://schemas.openxmlformats.org/drawingml/2006/picture">
                      <pic:pic xmlns:pic="http://schemas.openxmlformats.org/drawingml/2006/picture">
                        <pic:nvPicPr>
                          <pic:cNvPr id="40" name="Picture 26" descr="IMG_1208"/>
                          <pic:cNvPicPr/>
                        </pic:nvPicPr>
                        <pic:blipFill>
                          <a:blip r:embed="rId25"/>
                          <a:srcRect l="33286" t="19257" r="26155" b="19933"/>
                          <a:stretch>
                            <a:fillRect/>
                          </a:stretch>
                        </pic:blipFill>
                        <pic:spPr>
                          <a:xfrm>
                            <a:off x="0" y="0"/>
                            <a:ext cx="445770" cy="626110"/>
                          </a:xfrm>
                          <a:prstGeom prst="rect">
                            <a:avLst/>
                          </a:prstGeom>
                          <a:noFill/>
                          <a:ln w="9525" cap="flat" cmpd="sng">
                            <a:noFill/>
                            <a:prstDash val="solid"/>
                            <a:miter/>
                          </a:ln>
                          <a:effectLst/>
                        </pic:spPr>
                      </pic:pic>
                    </a:graphicData>
                  </a:graphic>
                </wp:inline>
              </w:drawing>
            </w:r>
          </w:p>
        </w:tc>
      </w:tr>
      <w:tr w14:paraId="4DC5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75" w:type="pct"/>
            <w:noWrap w:val="0"/>
            <w:vAlign w:val="center"/>
          </w:tcPr>
          <w:p w14:paraId="10451D3B">
            <w:pPr>
              <w:keepNext w:val="0"/>
              <w:keepLines w:val="0"/>
              <w:pageBreakBefore w:val="0"/>
              <w:widowControl/>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459" w:type="pct"/>
            <w:shd w:val="clear" w:color="auto" w:fill="auto"/>
            <w:noWrap w:val="0"/>
            <w:vAlign w:val="center"/>
          </w:tcPr>
          <w:p w14:paraId="0473399D">
            <w:pPr>
              <w:pStyle w:val="71"/>
              <w:spacing w:before="233" w:line="240" w:lineRule="auto"/>
              <w:ind w:left="160"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pacing w:val="5"/>
                <w:sz w:val="24"/>
                <w:szCs w:val="24"/>
                <w:highlight w:val="none"/>
              </w:rPr>
              <w:t>书架</w:t>
            </w:r>
          </w:p>
        </w:tc>
        <w:tc>
          <w:tcPr>
            <w:tcW w:w="2610" w:type="pct"/>
            <w:shd w:val="clear" w:color="auto" w:fill="auto"/>
            <w:noWrap w:val="0"/>
            <w:vAlign w:val="center"/>
          </w:tcPr>
          <w:p w14:paraId="4A65BEB8">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snapToGrid w:val="0"/>
                <w:color w:val="auto"/>
                <w:kern w:val="0"/>
                <w:sz w:val="24"/>
                <w:szCs w:val="24"/>
                <w:highlight w:val="none"/>
                <w:u w:val="none"/>
                <w:lang w:val="en-US" w:eastAsia="zh-CN" w:bidi="ar"/>
              </w:rPr>
              <w:t>原木色，层板可调节，长2米，高2米，五层</w:t>
            </w:r>
          </w:p>
        </w:tc>
        <w:tc>
          <w:tcPr>
            <w:tcW w:w="295" w:type="pct"/>
            <w:shd w:val="clear" w:color="auto" w:fill="auto"/>
            <w:noWrap/>
            <w:vAlign w:val="center"/>
          </w:tcPr>
          <w:p w14:paraId="154B95C2">
            <w:pPr>
              <w:pStyle w:val="71"/>
              <w:spacing w:before="235" w:line="240" w:lineRule="auto"/>
              <w:ind w:left="7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个</w:t>
            </w:r>
          </w:p>
        </w:tc>
        <w:tc>
          <w:tcPr>
            <w:tcW w:w="371" w:type="pct"/>
            <w:shd w:val="clear" w:color="auto" w:fill="auto"/>
            <w:noWrap/>
            <w:vAlign w:val="center"/>
          </w:tcPr>
          <w:p w14:paraId="2214D7AA">
            <w:pPr>
              <w:pStyle w:val="71"/>
              <w:spacing w:before="286" w:line="240" w:lineRule="auto"/>
              <w:ind w:left="133"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4</w:t>
            </w:r>
          </w:p>
        </w:tc>
        <w:tc>
          <w:tcPr>
            <w:tcW w:w="987" w:type="pct"/>
            <w:shd w:val="clear" w:color="auto" w:fill="auto"/>
            <w:noWrap w:val="0"/>
            <w:vAlign w:val="top"/>
          </w:tcPr>
          <w:p w14:paraId="51ECF180">
            <w:pPr>
              <w:pStyle w:val="71"/>
              <w:spacing w:before="240" w:line="240" w:lineRule="auto"/>
              <w:ind w:left="140"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drawing>
                <wp:inline distT="0" distB="0" distL="114300" distR="114300">
                  <wp:extent cx="1018540" cy="687070"/>
                  <wp:effectExtent l="0" t="0" r="10160" b="17780"/>
                  <wp:docPr id="41" name="图片 4" descr=" "/>
                  <wp:cNvGraphicFramePr/>
                  <a:graphic xmlns:a="http://schemas.openxmlformats.org/drawingml/2006/main">
                    <a:graphicData uri="http://schemas.openxmlformats.org/drawingml/2006/picture">
                      <pic:pic xmlns:pic="http://schemas.openxmlformats.org/drawingml/2006/picture">
                        <pic:nvPicPr>
                          <pic:cNvPr id="41" name="图片 4" descr=" "/>
                          <pic:cNvPicPr/>
                        </pic:nvPicPr>
                        <pic:blipFill>
                          <a:blip r:embed="rId26"/>
                          <a:srcRect/>
                          <a:stretch>
                            <a:fillRect/>
                          </a:stretch>
                        </pic:blipFill>
                        <pic:spPr>
                          <a:xfrm>
                            <a:off x="0" y="0"/>
                            <a:ext cx="1018540" cy="687070"/>
                          </a:xfrm>
                          <a:prstGeom prst="rect">
                            <a:avLst/>
                          </a:prstGeom>
                          <a:noFill/>
                          <a:ln w="9525" cap="flat" cmpd="sng">
                            <a:noFill/>
                            <a:prstDash val="solid"/>
                            <a:miter/>
                          </a:ln>
                          <a:effectLst/>
                        </pic:spPr>
                      </pic:pic>
                    </a:graphicData>
                  </a:graphic>
                </wp:inline>
              </w:drawing>
            </w:r>
          </w:p>
        </w:tc>
      </w:tr>
      <w:tr w14:paraId="7B20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75" w:type="pct"/>
            <w:noWrap w:val="0"/>
            <w:vAlign w:val="center"/>
          </w:tcPr>
          <w:p w14:paraId="02DD3E57">
            <w:pPr>
              <w:keepNext w:val="0"/>
              <w:keepLines w:val="0"/>
              <w:pageBreakBefore w:val="0"/>
              <w:widowControl/>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459" w:type="pct"/>
            <w:shd w:val="clear" w:color="auto" w:fill="auto"/>
            <w:noWrap w:val="0"/>
            <w:vAlign w:val="center"/>
          </w:tcPr>
          <w:p w14:paraId="5BAA9B64">
            <w:pPr>
              <w:pStyle w:val="71"/>
              <w:spacing w:before="76" w:line="240" w:lineRule="auto"/>
              <w:jc w:val="center"/>
              <w:rPr>
                <w:rFonts w:hint="eastAsia" w:ascii="宋体" w:hAnsi="宋体" w:eastAsia="宋体" w:cs="宋体"/>
                <w:color w:val="auto"/>
                <w:spacing w:val="3"/>
                <w:sz w:val="24"/>
                <w:szCs w:val="24"/>
                <w:highlight w:val="none"/>
              </w:rPr>
            </w:pPr>
          </w:p>
          <w:p w14:paraId="000E6AA5">
            <w:pPr>
              <w:pStyle w:val="71"/>
              <w:spacing w:before="76" w:line="240" w:lineRule="auto"/>
              <w:ind w:left="0"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pacing w:val="3"/>
                <w:sz w:val="24"/>
                <w:szCs w:val="24"/>
                <w:highlight w:val="none"/>
              </w:rPr>
              <w:t>五节文</w:t>
            </w:r>
            <w:r>
              <w:rPr>
                <w:rFonts w:hint="eastAsia" w:ascii="宋体" w:hAnsi="宋体" w:eastAsia="宋体" w:cs="宋体"/>
                <w:color w:val="auto"/>
                <w:spacing w:val="-2"/>
                <w:sz w:val="24"/>
                <w:szCs w:val="24"/>
                <w:highlight w:val="none"/>
              </w:rPr>
              <w:t>件柜</w:t>
            </w:r>
          </w:p>
        </w:tc>
        <w:tc>
          <w:tcPr>
            <w:tcW w:w="2610" w:type="pct"/>
            <w:shd w:val="clear" w:color="auto" w:fill="auto"/>
            <w:noWrap w:val="0"/>
            <w:vAlign w:val="center"/>
          </w:tcPr>
          <w:p w14:paraId="4AA3727E">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规格：900*400*1850，1、基材采用优质冷轧钢板，厚度≥0.8mm，钢板理化性能要求≥5H，可迁移元素：锑(Sb)、砷(As)、钡(Ba)、镉（Cd）、铬(Cr)、铅(Pb)、汞(Hg)、硒(Se)均未检出，多元素含量/质量分数C、Si、Mn、P、S、Cr均检测合格，中性盐雾试验（NSS）：连续喷雾72h：镀(涂)层本身的耐腐蚀等级、保护等级：10级，铜盐加速乙酸盐雾试验(CASS)：连续喷雾72h：镀(涂)层本身的耐腐蚀等级、保护等级：10级，乙酸盐雾试验(ASS)：连续喷雾72h：镀(涂)层本身的耐腐蚀等级、保护等级：10级，金属件外观检测合格，符合GB/T 3325-2017、HJ 2547-2016、GB/T 4336-2016、GB/T 10125-2021标准规定。</w:t>
            </w:r>
          </w:p>
          <w:p w14:paraId="68588045">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snapToGrid w:val="0"/>
                <w:color w:val="auto"/>
                <w:kern w:val="0"/>
                <w:sz w:val="24"/>
                <w:szCs w:val="24"/>
                <w:highlight w:val="none"/>
                <w:u w:val="none"/>
                <w:lang w:val="en-US" w:eastAsia="zh-CN" w:bidi="ar"/>
              </w:rPr>
              <w:t>）</w:t>
            </w:r>
          </w:p>
        </w:tc>
        <w:tc>
          <w:tcPr>
            <w:tcW w:w="295" w:type="pct"/>
            <w:shd w:val="clear" w:color="auto" w:fill="auto"/>
            <w:noWrap/>
            <w:vAlign w:val="center"/>
          </w:tcPr>
          <w:p w14:paraId="6410F1E5">
            <w:pPr>
              <w:pStyle w:val="71"/>
              <w:spacing w:before="237" w:line="240" w:lineRule="auto"/>
              <w:ind w:left="7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组</w:t>
            </w:r>
          </w:p>
        </w:tc>
        <w:tc>
          <w:tcPr>
            <w:tcW w:w="371" w:type="pct"/>
            <w:shd w:val="clear" w:color="auto" w:fill="auto"/>
            <w:noWrap/>
            <w:vAlign w:val="center"/>
          </w:tcPr>
          <w:p w14:paraId="5A6578BF">
            <w:pPr>
              <w:pStyle w:val="71"/>
              <w:spacing w:before="277" w:line="240" w:lineRule="auto"/>
              <w:ind w:left="133"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4</w:t>
            </w:r>
          </w:p>
        </w:tc>
        <w:tc>
          <w:tcPr>
            <w:tcW w:w="987" w:type="pct"/>
            <w:shd w:val="clear" w:color="auto" w:fill="auto"/>
            <w:noWrap w:val="0"/>
            <w:vAlign w:val="top"/>
          </w:tcPr>
          <w:p w14:paraId="3D192F5B">
            <w:pPr>
              <w:pStyle w:val="71"/>
              <w:spacing w:before="231" w:line="240" w:lineRule="auto"/>
              <w:ind w:left="140"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w:t>
            </w:r>
          </w:p>
        </w:tc>
      </w:tr>
      <w:tr w14:paraId="1C40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75" w:type="pct"/>
            <w:noWrap w:val="0"/>
            <w:vAlign w:val="center"/>
          </w:tcPr>
          <w:p w14:paraId="2504EED2">
            <w:pPr>
              <w:keepNext w:val="0"/>
              <w:keepLines w:val="0"/>
              <w:pageBreakBefore w:val="0"/>
              <w:widowControl/>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459" w:type="pct"/>
            <w:shd w:val="clear" w:color="auto" w:fill="auto"/>
            <w:noWrap w:val="0"/>
            <w:vAlign w:val="center"/>
          </w:tcPr>
          <w:p w14:paraId="701A7A8C">
            <w:pPr>
              <w:pStyle w:val="71"/>
              <w:spacing w:before="75" w:line="240" w:lineRule="auto"/>
              <w:ind w:left="61"/>
              <w:jc w:val="center"/>
              <w:rPr>
                <w:rFonts w:hint="eastAsia" w:ascii="宋体" w:hAnsi="宋体" w:eastAsia="宋体" w:cs="宋体"/>
                <w:color w:val="auto"/>
                <w:spacing w:val="-2"/>
                <w:sz w:val="24"/>
                <w:szCs w:val="24"/>
                <w:highlight w:val="none"/>
              </w:rPr>
            </w:pPr>
          </w:p>
          <w:p w14:paraId="7B2DCE4E">
            <w:pPr>
              <w:pStyle w:val="71"/>
              <w:spacing w:before="75" w:line="240" w:lineRule="auto"/>
              <w:ind w:left="61"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pacing w:val="-2"/>
                <w:sz w:val="24"/>
                <w:szCs w:val="24"/>
                <w:highlight w:val="none"/>
              </w:rPr>
              <w:t>长条会</w:t>
            </w:r>
            <w:r>
              <w:rPr>
                <w:rFonts w:hint="eastAsia" w:ascii="宋体" w:hAnsi="宋体" w:eastAsia="宋体" w:cs="宋体"/>
                <w:color w:val="auto"/>
                <w:spacing w:val="-3"/>
                <w:sz w:val="24"/>
                <w:szCs w:val="24"/>
                <w:highlight w:val="none"/>
              </w:rPr>
              <w:t>议桌</w:t>
            </w:r>
          </w:p>
        </w:tc>
        <w:tc>
          <w:tcPr>
            <w:tcW w:w="2610" w:type="pct"/>
            <w:shd w:val="clear" w:color="auto" w:fill="auto"/>
            <w:noWrap w:val="0"/>
            <w:vAlign w:val="center"/>
          </w:tcPr>
          <w:p w14:paraId="0170DC7D">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桌面基材采用25mm厚E0级实木颗粒板，覆三聚氰胺饰面，要求甲醛释放量E0级≤0.05mg/m³，苯≤10μg/m³，甲苯≤20μg/m³，二甲苯≤20μg/m³，总挥发性有机化合物（TVOC）≤100μg/m³，含水率≤8%，密度≥0.68g/cm³，2h吸水厚度膨胀率≤8%，静曲强度≥11MPa，弹性模量≥1600MPa，内结合强度≥0.35MPa，表面胶合强度≥0.7MPa，板面握螺钉力≥900N。检测依据符合：GB/T 39600-2021、GB/T 35601-2017、GB/T 15102-2017标准规定。</w:t>
            </w:r>
          </w:p>
          <w:p w14:paraId="1E2826F5">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2、脚架：前脚采用30*60MM蛋型壁厚1.2MM冷轧钢管，后脚采用25*50MM蛋型冷轧钢管（壁厚1.2MM)书网：采用优质圆形不锈钢管，钢管理化性能要求≥H，可迁移元素：锑(Sb)、砷(As)、钡(Ba)、镉（Cd）、铬(Cr)、铅(Pb)、汞(Hg)、硒(Se)均未检出，检测依据须符合GB/T 3325-2017、HJ 2547-2016、GB/T 4336-2016标准规定，★提供2024年1月以后由第三方检测机构出具的钢制管材检测报告。</w:t>
            </w:r>
          </w:p>
          <w:p w14:paraId="4128BB54">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3、上托：采用3.0MM壁厚优质冷轧钢板经冲压折弯工艺而成。</w:t>
            </w:r>
          </w:p>
          <w:p w14:paraId="583FB670">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4.连接杆：采用φ45MM优质圆形冷轧钢管（壁厚1.2MM)。</w:t>
            </w:r>
          </w:p>
          <w:p w14:paraId="1A0878D0">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6.脚轮：采用φ50MM优质尼龙材质，万向带刹车轮。</w:t>
            </w:r>
          </w:p>
          <w:p w14:paraId="3592EBDA">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snapToGrid w:val="0"/>
                <w:color w:val="auto"/>
                <w:kern w:val="0"/>
                <w:sz w:val="24"/>
                <w:szCs w:val="24"/>
                <w:highlight w:val="none"/>
                <w:u w:val="none"/>
                <w:lang w:val="en-US" w:eastAsia="zh-CN" w:bidi="ar"/>
              </w:rPr>
              <w:t>7、条桌：甲醛释放限量：未检出，有害物质限量：可溶性铅≤5mg/Kg、可溶性镉≤1mg/Kg、可溶性铬≤5mg/Kg、可溶性汞：未检出，主要尺寸及偏差、形状和位置公差、外观性能要求、安全性能要求、理化性能要求、力学性能要求均检测合格，</w:t>
            </w:r>
          </w:p>
        </w:tc>
        <w:tc>
          <w:tcPr>
            <w:tcW w:w="295" w:type="pct"/>
            <w:shd w:val="clear" w:color="auto" w:fill="auto"/>
            <w:noWrap/>
            <w:vAlign w:val="center"/>
          </w:tcPr>
          <w:p w14:paraId="2FA8A7EA">
            <w:pPr>
              <w:pStyle w:val="71"/>
              <w:spacing w:before="239" w:line="240" w:lineRule="auto"/>
              <w:ind w:left="7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张</w:t>
            </w:r>
          </w:p>
        </w:tc>
        <w:tc>
          <w:tcPr>
            <w:tcW w:w="371" w:type="pct"/>
            <w:shd w:val="clear" w:color="auto" w:fill="auto"/>
            <w:noWrap/>
            <w:vAlign w:val="center"/>
          </w:tcPr>
          <w:p w14:paraId="0EBD0624">
            <w:pPr>
              <w:pStyle w:val="71"/>
              <w:spacing w:before="288" w:line="240" w:lineRule="auto"/>
              <w:ind w:left="8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pacing w:val="-3"/>
                <w:sz w:val="24"/>
                <w:szCs w:val="24"/>
                <w:highlight w:val="none"/>
              </w:rPr>
              <w:t>20</w:t>
            </w:r>
          </w:p>
        </w:tc>
        <w:tc>
          <w:tcPr>
            <w:tcW w:w="987" w:type="pct"/>
            <w:shd w:val="clear" w:color="auto" w:fill="auto"/>
            <w:noWrap w:val="0"/>
            <w:vAlign w:val="top"/>
          </w:tcPr>
          <w:p w14:paraId="54FE7C20">
            <w:pPr>
              <w:pStyle w:val="71"/>
              <w:spacing w:before="242" w:line="240" w:lineRule="auto"/>
              <w:ind w:left="140"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drawing>
                <wp:inline distT="0" distB="0" distL="114300" distR="114300">
                  <wp:extent cx="995680" cy="664210"/>
                  <wp:effectExtent l="0" t="0" r="13970" b="2540"/>
                  <wp:docPr id="42" name="图片 15" descr=" "/>
                  <wp:cNvGraphicFramePr/>
                  <a:graphic xmlns:a="http://schemas.openxmlformats.org/drawingml/2006/main">
                    <a:graphicData uri="http://schemas.openxmlformats.org/drawingml/2006/picture">
                      <pic:pic xmlns:pic="http://schemas.openxmlformats.org/drawingml/2006/picture">
                        <pic:nvPicPr>
                          <pic:cNvPr id="42" name="图片 15" descr=" "/>
                          <pic:cNvPicPr/>
                        </pic:nvPicPr>
                        <pic:blipFill>
                          <a:blip r:embed="rId27"/>
                          <a:srcRect/>
                          <a:stretch>
                            <a:fillRect/>
                          </a:stretch>
                        </pic:blipFill>
                        <pic:spPr>
                          <a:xfrm>
                            <a:off x="0" y="0"/>
                            <a:ext cx="995680" cy="664210"/>
                          </a:xfrm>
                          <a:prstGeom prst="rect">
                            <a:avLst/>
                          </a:prstGeom>
                          <a:noFill/>
                          <a:ln w="9525" cap="flat" cmpd="sng">
                            <a:noFill/>
                            <a:prstDash val="solid"/>
                            <a:miter/>
                          </a:ln>
                          <a:effectLst/>
                        </pic:spPr>
                      </pic:pic>
                    </a:graphicData>
                  </a:graphic>
                </wp:inline>
              </w:drawing>
            </w:r>
          </w:p>
        </w:tc>
      </w:tr>
      <w:tr w14:paraId="356D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75" w:type="pct"/>
            <w:noWrap w:val="0"/>
            <w:vAlign w:val="center"/>
          </w:tcPr>
          <w:p w14:paraId="6AC440F3">
            <w:pPr>
              <w:keepNext w:val="0"/>
              <w:keepLines w:val="0"/>
              <w:pageBreakBefore w:val="0"/>
              <w:widowControl/>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459" w:type="pct"/>
            <w:shd w:val="clear" w:color="auto" w:fill="auto"/>
            <w:noWrap w:val="0"/>
            <w:vAlign w:val="center"/>
          </w:tcPr>
          <w:p w14:paraId="52A0D2F5">
            <w:pPr>
              <w:pStyle w:val="71"/>
              <w:spacing w:before="235" w:line="240" w:lineRule="auto"/>
              <w:ind w:left="61"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pacing w:val="-2"/>
                <w:sz w:val="24"/>
                <w:szCs w:val="24"/>
                <w:highlight w:val="none"/>
              </w:rPr>
              <w:t>会议椅</w:t>
            </w:r>
          </w:p>
        </w:tc>
        <w:tc>
          <w:tcPr>
            <w:tcW w:w="2610" w:type="pct"/>
            <w:shd w:val="clear" w:color="auto" w:fill="auto"/>
            <w:noWrap w:val="0"/>
            <w:vAlign w:val="center"/>
          </w:tcPr>
          <w:p w14:paraId="490618A8">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1、靠背网布采用采用优质亲肤高弹力网布，回弹性好，不易变型。</w:t>
            </w:r>
          </w:p>
          <w:p w14:paraId="79BE0F5D">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2、胶壳：材质采用PP加纤材质，环保不褪色，抗裂性强。</w:t>
            </w:r>
          </w:p>
          <w:p w14:paraId="3109921D">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3、座垫：饰面采用优质布艺面料，海棉采用高密度定型海绵，表观密度为≥56.2kg/m³，回弹性≥48%，缩永久变形≤3.7%，65%/25%压陷比≥4.5，拉伸强度≥176.6KPa，断裂伸长率≥153%，抗引燃特性试验：阻燃I级，通过香烟抗引燃特性试验，甲醛释放量(气候箱法)≤0.009mg/㎡h，总挥发性有机化合物(TVOC)：未检出，检测依据须符合QB/T 1952.1-2023、GB/T 6343-2009、GB/T 10802-2023、QB/T 2280-2016、GB 18587-2001、GB/T 10807-2006《软质泡沫聚合材料 硬度的测定(压陷法)》*、GB17927.1-2011标准规定。</w:t>
            </w:r>
          </w:p>
          <w:p w14:paraId="1C087703">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4、椅架：采用32*18*1.5mm厚冷锻方圆钢管，钢管理化性能要求≥H，可迁移元素：锑(Sb)、砷(As)、钡(Ba)、镉（Cd）、铬(Cr)、铅(Pb)、汞(Hg)、硒(Se)均未检出，检测依据须符合GB/T 3325-2017、HJ 2547-2016、GB/T 4336-2016标准规定。</w:t>
            </w:r>
          </w:p>
          <w:p w14:paraId="7B085BEE">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5、可活动万向轮，方便移动。</w:t>
            </w:r>
          </w:p>
          <w:p w14:paraId="668D8AC3">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6、尺寸：585*570*840mm</w:t>
            </w:r>
          </w:p>
          <w:p w14:paraId="6E14613A">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SA"/>
              </w:rPr>
            </w:pPr>
            <w:r>
              <w:rPr>
                <w:rFonts w:hint="eastAsia" w:ascii="宋体" w:hAnsi="宋体" w:eastAsia="宋体" w:cs="宋体"/>
                <w:i w:val="0"/>
                <w:iCs w:val="0"/>
                <w:snapToGrid w:val="0"/>
                <w:color w:val="auto"/>
                <w:kern w:val="0"/>
                <w:sz w:val="24"/>
                <w:szCs w:val="24"/>
                <w:highlight w:val="none"/>
                <w:u w:val="none"/>
                <w:lang w:val="en-US" w:eastAsia="zh-CN" w:bidi="ar"/>
              </w:rPr>
              <w:t>7、功能：座包翻起可连排堆叠，椅架可全折叠、节省收纳空间，拆箱即用。</w:t>
            </w:r>
          </w:p>
        </w:tc>
        <w:tc>
          <w:tcPr>
            <w:tcW w:w="295" w:type="pct"/>
            <w:shd w:val="clear" w:color="auto" w:fill="auto"/>
            <w:noWrap/>
            <w:vAlign w:val="center"/>
          </w:tcPr>
          <w:p w14:paraId="6D45468A">
            <w:pPr>
              <w:pStyle w:val="71"/>
              <w:spacing w:before="239" w:line="240" w:lineRule="auto"/>
              <w:ind w:left="7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t>把</w:t>
            </w:r>
          </w:p>
        </w:tc>
        <w:tc>
          <w:tcPr>
            <w:tcW w:w="371" w:type="pct"/>
            <w:shd w:val="clear" w:color="auto" w:fill="auto"/>
            <w:noWrap/>
            <w:vAlign w:val="center"/>
          </w:tcPr>
          <w:p w14:paraId="24EC4ADB">
            <w:pPr>
              <w:pStyle w:val="71"/>
              <w:spacing w:before="288" w:line="240" w:lineRule="auto"/>
              <w:ind w:left="8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pacing w:val="-2"/>
                <w:sz w:val="24"/>
                <w:szCs w:val="24"/>
                <w:highlight w:val="none"/>
                <w:lang w:val="en-US" w:eastAsia="zh-CN"/>
              </w:rPr>
              <w:t>20</w:t>
            </w:r>
          </w:p>
        </w:tc>
        <w:tc>
          <w:tcPr>
            <w:tcW w:w="987" w:type="pct"/>
            <w:shd w:val="clear" w:color="auto" w:fill="auto"/>
            <w:noWrap w:val="0"/>
            <w:vAlign w:val="top"/>
          </w:tcPr>
          <w:p w14:paraId="41A1EADB">
            <w:pPr>
              <w:pStyle w:val="71"/>
              <w:spacing w:before="242" w:line="240" w:lineRule="auto"/>
              <w:ind w:left="140"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rPr>
              <w:drawing>
                <wp:inline distT="0" distB="0" distL="114300" distR="114300">
                  <wp:extent cx="1016000" cy="762635"/>
                  <wp:effectExtent l="0" t="0" r="12700" b="18415"/>
                  <wp:docPr id="43" name="图片 14" descr=" "/>
                  <wp:cNvGraphicFramePr/>
                  <a:graphic xmlns:a="http://schemas.openxmlformats.org/drawingml/2006/main">
                    <a:graphicData uri="http://schemas.openxmlformats.org/drawingml/2006/picture">
                      <pic:pic xmlns:pic="http://schemas.openxmlformats.org/drawingml/2006/picture">
                        <pic:nvPicPr>
                          <pic:cNvPr id="43" name="图片 14" descr=" "/>
                          <pic:cNvPicPr/>
                        </pic:nvPicPr>
                        <pic:blipFill>
                          <a:blip r:embed="rId28"/>
                          <a:srcRect/>
                          <a:stretch>
                            <a:fillRect/>
                          </a:stretch>
                        </pic:blipFill>
                        <pic:spPr>
                          <a:xfrm>
                            <a:off x="0" y="0"/>
                            <a:ext cx="1016000" cy="762635"/>
                          </a:xfrm>
                          <a:prstGeom prst="rect">
                            <a:avLst/>
                          </a:prstGeom>
                          <a:noFill/>
                          <a:ln w="9525" cap="flat" cmpd="sng">
                            <a:noFill/>
                            <a:prstDash val="solid"/>
                            <a:miter/>
                          </a:ln>
                          <a:effectLst/>
                        </pic:spPr>
                      </pic:pic>
                    </a:graphicData>
                  </a:graphic>
                </wp:inline>
              </w:drawing>
            </w:r>
          </w:p>
        </w:tc>
      </w:tr>
      <w:tr w14:paraId="6CF9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75" w:type="pct"/>
            <w:noWrap w:val="0"/>
            <w:vAlign w:val="center"/>
          </w:tcPr>
          <w:p w14:paraId="009C3C52">
            <w:pPr>
              <w:keepNext w:val="0"/>
              <w:keepLines w:val="0"/>
              <w:pageBreakBefore w:val="0"/>
              <w:widowControl/>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459" w:type="pct"/>
            <w:shd w:val="clear" w:color="auto" w:fill="auto"/>
            <w:noWrap w:val="0"/>
            <w:vAlign w:val="center"/>
          </w:tcPr>
          <w:p w14:paraId="56DE6761">
            <w:pPr>
              <w:pStyle w:val="71"/>
              <w:spacing w:before="235" w:line="240" w:lineRule="auto"/>
              <w:ind w:left="61" w:leftChars="0" w:right="0" w:rightChars="0"/>
              <w:jc w:val="center"/>
              <w:rPr>
                <w:rFonts w:hint="eastAsia" w:ascii="宋体" w:hAnsi="宋体" w:eastAsia="宋体" w:cs="宋体"/>
                <w:snapToGrid/>
                <w:color w:val="auto"/>
                <w:spacing w:val="-2"/>
                <w:kern w:val="0"/>
                <w:sz w:val="24"/>
                <w:szCs w:val="24"/>
                <w:highlight w:val="none"/>
                <w:lang w:val="en-US" w:eastAsia="zh-CN" w:bidi="ar"/>
              </w:rPr>
            </w:pPr>
            <w:r>
              <w:rPr>
                <w:rFonts w:hint="eastAsia" w:ascii="宋体" w:hAnsi="宋体" w:eastAsia="宋体" w:cs="宋体"/>
                <w:color w:val="auto"/>
                <w:spacing w:val="-2"/>
                <w:sz w:val="24"/>
                <w:szCs w:val="24"/>
                <w:highlight w:val="none"/>
                <w:lang w:val="en-US" w:eastAsia="zh-CN"/>
              </w:rPr>
              <w:t>大型会议桌椅</w:t>
            </w:r>
          </w:p>
        </w:tc>
        <w:tc>
          <w:tcPr>
            <w:tcW w:w="2610" w:type="pct"/>
            <w:shd w:val="clear" w:color="auto" w:fill="auto"/>
            <w:noWrap w:val="0"/>
            <w:vAlign w:val="center"/>
          </w:tcPr>
          <w:p w14:paraId="6A871F16">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桌子8000*1800*750，椅子：20把</w:t>
            </w:r>
          </w:p>
          <w:p w14:paraId="0EB60A71">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基材采用18mm厚E0级实木颗粒板，覆三聚氰胺饰面，要求甲醛释放量E0级≤0.05mg/m³，苯≤10μg/m³，甲苯≤20μg/m³，二甲苯≤20μg/m³，总挥发性有机化合物（TVOC）≤100μg/m³，含水率≤8%，密度≥0.68g/cm³，2h吸水厚度膨胀率≤8%，静曲强度≥11MPa，弹性模量≥1600MPa，内结合强度≥0.35MPa，表面胶合强度≥0.7MPa，板面握螺钉力≥900N。检测依据符合：GB/T 39600-2021、GB/T 35601-2017、GB/T 15102-2017标准规定。</w:t>
            </w:r>
          </w:p>
          <w:p w14:paraId="334F7BBD">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2、板材封边采用2mm厚同色PVC大型自动封边机热熔胶封边，长久使用不开裂。封边条甲醛释放量未检出,须符合GB 18584-2001标准规定。</w:t>
            </w:r>
          </w:p>
          <w:p w14:paraId="5135A589">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3、封边采用热熔胶，热熔胶为本体型胶粘剂V0C含量限量≤10g/Kg，卤代烃、甲苯+乙苯+二甲苯、游离甲醛、甲苯二异氰酸酯未检出，检测依据符合GB 18583-2008，HJ2541-2016，33372-2020标准规定。</w:t>
            </w:r>
          </w:p>
          <w:p w14:paraId="230A4CB1">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4、会议桌台面厚度要求50mm。</w:t>
            </w:r>
          </w:p>
          <w:p w14:paraId="10649F7E">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5、五金配件：采用优质三合一连接件：耐腐蚀试验：乙酸盐雾试验(AASS)连续喷雾110h-保护评级RP/外观评级RA：10级，铜盐加速乙酸盐雾试验(CASS)连续喷雾110h-保护评级RP/外观评级RA：10级，力学性能：三合一偏心连接件偏心体抗压强度：抗压强度应≥400N，三合一偏心连接件预埋螺母抗拉强度：抗拉强度应≥750N，三合一偏心连接件中连接螺杆螺纹与预埋螺母的抗拉强度：抗拉强度应≥800N，须符合GB/T 28203-2011、GB/T 10125-2021、QB/T 3828-1999标准规定。</w:t>
            </w:r>
          </w:p>
        </w:tc>
        <w:tc>
          <w:tcPr>
            <w:tcW w:w="295" w:type="pct"/>
            <w:shd w:val="clear" w:color="auto" w:fill="auto"/>
            <w:noWrap/>
            <w:vAlign w:val="center"/>
          </w:tcPr>
          <w:p w14:paraId="7E3D84E7">
            <w:pPr>
              <w:pStyle w:val="71"/>
              <w:spacing w:before="239" w:line="240" w:lineRule="auto"/>
              <w:ind w:left="74"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套</w:t>
            </w:r>
          </w:p>
        </w:tc>
        <w:tc>
          <w:tcPr>
            <w:tcW w:w="371" w:type="pct"/>
            <w:shd w:val="clear" w:color="auto" w:fill="auto"/>
            <w:noWrap/>
            <w:vAlign w:val="center"/>
          </w:tcPr>
          <w:p w14:paraId="690DDAAF">
            <w:pPr>
              <w:pStyle w:val="71"/>
              <w:spacing w:before="288" w:line="240" w:lineRule="auto"/>
              <w:ind w:left="84" w:leftChars="0" w:right="0" w:rightChars="0"/>
              <w:jc w:val="center"/>
              <w:rPr>
                <w:rFonts w:hint="eastAsia" w:ascii="宋体" w:hAnsi="宋体" w:eastAsia="宋体" w:cs="宋体"/>
                <w:snapToGrid/>
                <w:color w:val="auto"/>
                <w:spacing w:val="-2"/>
                <w:kern w:val="0"/>
                <w:sz w:val="24"/>
                <w:szCs w:val="24"/>
                <w:highlight w:val="none"/>
                <w:lang w:val="en-US" w:eastAsia="zh-CN" w:bidi="ar"/>
              </w:rPr>
            </w:pPr>
            <w:r>
              <w:rPr>
                <w:rFonts w:hint="eastAsia" w:ascii="宋体" w:hAnsi="宋体" w:eastAsia="宋体" w:cs="宋体"/>
                <w:color w:val="auto"/>
                <w:spacing w:val="-2"/>
                <w:sz w:val="24"/>
                <w:szCs w:val="24"/>
                <w:highlight w:val="none"/>
                <w:lang w:val="en-US" w:eastAsia="zh-CN"/>
              </w:rPr>
              <w:t>1</w:t>
            </w:r>
          </w:p>
        </w:tc>
        <w:tc>
          <w:tcPr>
            <w:tcW w:w="987" w:type="pct"/>
            <w:shd w:val="clear" w:color="auto" w:fill="auto"/>
            <w:noWrap w:val="0"/>
            <w:vAlign w:val="top"/>
          </w:tcPr>
          <w:p w14:paraId="4CCDB06D">
            <w:pPr>
              <w:pStyle w:val="71"/>
              <w:spacing w:before="242" w:line="240" w:lineRule="auto"/>
              <w:ind w:left="140" w:leftChars="0" w:right="0" w:rightChars="0"/>
              <w:jc w:val="center"/>
              <w:rPr>
                <w:rFonts w:hint="eastAsia" w:ascii="宋体" w:hAnsi="宋体" w:eastAsia="宋体" w:cs="宋体"/>
                <w:snapToGrid/>
                <w:color w:val="auto"/>
                <w:kern w:val="0"/>
                <w:sz w:val="24"/>
                <w:szCs w:val="24"/>
                <w:highlight w:val="none"/>
                <w:lang w:val="en-US" w:eastAsia="zh-CN" w:bidi="ar"/>
              </w:rPr>
            </w:pPr>
            <w:r>
              <w:rPr>
                <w:rFonts w:hint="eastAsia" w:ascii="宋体" w:hAnsi="宋体" w:eastAsia="宋体" w:cs="宋体"/>
                <w:color w:val="auto"/>
                <w:sz w:val="24"/>
                <w:szCs w:val="24"/>
                <w:highlight w:val="none"/>
                <w:lang w:eastAsia="zh-CN"/>
              </w:rPr>
              <w:drawing>
                <wp:inline distT="0" distB="0" distL="114300" distR="114300">
                  <wp:extent cx="1005840" cy="1005840"/>
                  <wp:effectExtent l="0" t="0" r="3810" b="3810"/>
                  <wp:docPr id="44" name="图片 44" descr="d16da0a2d1070ffe3745d03bc460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16da0a2d1070ffe3745d03bc46047d"/>
                          <pic:cNvPicPr>
                            <a:picLocks noChangeAspect="1"/>
                          </pic:cNvPicPr>
                        </pic:nvPicPr>
                        <pic:blipFill>
                          <a:blip r:embed="rId29"/>
                          <a:stretch>
                            <a:fillRect/>
                          </a:stretch>
                        </pic:blipFill>
                        <pic:spPr>
                          <a:xfrm>
                            <a:off x="0" y="0"/>
                            <a:ext cx="1005840" cy="1005840"/>
                          </a:xfrm>
                          <a:prstGeom prst="rect">
                            <a:avLst/>
                          </a:prstGeom>
                        </pic:spPr>
                      </pic:pic>
                    </a:graphicData>
                  </a:graphic>
                </wp:inline>
              </w:drawing>
            </w:r>
          </w:p>
        </w:tc>
      </w:tr>
    </w:tbl>
    <w:p w14:paraId="462BBD6F">
      <w:pP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br w:type="page"/>
      </w:r>
    </w:p>
    <w:p w14:paraId="7493386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outlineLvl w:val="2"/>
        <w:rPr>
          <w:rFonts w:hint="eastAsia" w:ascii="宋体" w:hAnsi="宋体" w:eastAsia="宋体" w:cs="宋体"/>
          <w:b/>
          <w:bCs/>
          <w:color w:val="auto"/>
          <w:sz w:val="28"/>
          <w:szCs w:val="28"/>
          <w:highlight w:val="none"/>
          <w:lang w:val="en-US" w:eastAsia="zh-CN"/>
        </w:rPr>
      </w:pPr>
      <w:r>
        <w:rPr>
          <w:rStyle w:val="58"/>
          <w:b/>
          <w:bCs/>
          <w:snapToGrid w:val="0"/>
          <w:color w:val="auto"/>
          <w:sz w:val="28"/>
          <w:szCs w:val="28"/>
          <w:highlight w:val="none"/>
          <w:lang w:val="en-US" w:eastAsia="zh-CN" w:bidi="ar"/>
        </w:rPr>
        <w:t>厨房设备配备清单</w:t>
      </w:r>
      <w:r>
        <w:rPr>
          <w:rStyle w:val="55"/>
          <w:b/>
          <w:bCs/>
          <w:snapToGrid w:val="0"/>
          <w:color w:val="auto"/>
          <w:sz w:val="28"/>
          <w:szCs w:val="28"/>
          <w:highlight w:val="none"/>
          <w:lang w:val="en-US" w:eastAsia="zh-CN" w:bidi="ar"/>
        </w:rPr>
        <w:t>（</w:t>
      </w:r>
      <w:r>
        <w:rPr>
          <w:rStyle w:val="55"/>
          <w:rFonts w:hint="eastAsia"/>
          <w:b/>
          <w:bCs/>
          <w:snapToGrid w:val="0"/>
          <w:color w:val="auto"/>
          <w:sz w:val="28"/>
          <w:szCs w:val="28"/>
          <w:highlight w:val="none"/>
          <w:lang w:val="en-US" w:eastAsia="zh-CN" w:bidi="ar"/>
        </w:rPr>
        <w:t>三十八</w:t>
      </w:r>
      <w:r>
        <w:rPr>
          <w:rStyle w:val="55"/>
          <w:b/>
          <w:bCs/>
          <w:snapToGrid w:val="0"/>
          <w:color w:val="auto"/>
          <w:sz w:val="28"/>
          <w:szCs w:val="28"/>
          <w:highlight w:val="none"/>
          <w:lang w:val="en-US" w:eastAsia="zh-CN" w:bidi="ar"/>
        </w:rPr>
        <w:t xml:space="preserve">幼儿园 </w:t>
      </w:r>
      <w:r>
        <w:rPr>
          <w:rStyle w:val="55"/>
          <w:rFonts w:hint="eastAsia"/>
          <w:b/>
          <w:bCs/>
          <w:snapToGrid w:val="0"/>
          <w:color w:val="auto"/>
          <w:sz w:val="28"/>
          <w:szCs w:val="28"/>
          <w:highlight w:val="none"/>
          <w:lang w:val="en-US" w:eastAsia="zh-CN" w:bidi="ar"/>
        </w:rPr>
        <w:t>6</w:t>
      </w:r>
      <w:r>
        <w:rPr>
          <w:rStyle w:val="55"/>
          <w:b/>
          <w:bCs/>
          <w:snapToGrid w:val="0"/>
          <w:color w:val="auto"/>
          <w:sz w:val="28"/>
          <w:szCs w:val="28"/>
          <w:highlight w:val="none"/>
          <w:lang w:val="en-US" w:eastAsia="zh-CN" w:bidi="ar"/>
        </w:rPr>
        <w:t>班制）</w:t>
      </w:r>
    </w:p>
    <w:tbl>
      <w:tblPr>
        <w:tblStyle w:val="2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1070"/>
        <w:gridCol w:w="4992"/>
        <w:gridCol w:w="536"/>
        <w:gridCol w:w="664"/>
        <w:gridCol w:w="1235"/>
      </w:tblGrid>
      <w:tr w14:paraId="0A10C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blHeader/>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CC0AB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snapToGrid w:val="0"/>
                <w:color w:val="auto"/>
                <w:kern w:val="0"/>
                <w:sz w:val="24"/>
                <w:szCs w:val="24"/>
                <w:highlight w:val="none"/>
                <w:u w:val="none"/>
                <w:lang w:val="en-US" w:eastAsia="zh-CN" w:bidi="ar"/>
              </w:rPr>
              <w:t>序号</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BF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snapToGrid w:val="0"/>
                <w:color w:val="auto"/>
                <w:kern w:val="0"/>
                <w:sz w:val="24"/>
                <w:szCs w:val="24"/>
                <w:highlight w:val="none"/>
                <w:u w:val="none"/>
                <w:lang w:val="en-US" w:eastAsia="zh-CN" w:bidi="ar"/>
              </w:rPr>
              <w:t>产品名称</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CE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snapToGrid w:val="0"/>
                <w:color w:val="auto"/>
                <w:kern w:val="0"/>
                <w:sz w:val="24"/>
                <w:szCs w:val="24"/>
                <w:highlight w:val="none"/>
                <w:u w:val="none"/>
                <w:lang w:val="en-US" w:eastAsia="zh-CN" w:bidi="ar"/>
              </w:rPr>
              <w:t>技术参数</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0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snapToGrid w:val="0"/>
                <w:color w:val="auto"/>
                <w:kern w:val="0"/>
                <w:sz w:val="24"/>
                <w:szCs w:val="24"/>
                <w:highlight w:val="none"/>
                <w:u w:val="none"/>
                <w:lang w:val="en-US" w:eastAsia="zh-CN" w:bidi="ar"/>
              </w:rPr>
              <w:t>单位</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7D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snapToGrid w:val="0"/>
                <w:color w:val="auto"/>
                <w:kern w:val="0"/>
                <w:sz w:val="24"/>
                <w:szCs w:val="24"/>
                <w:highlight w:val="none"/>
                <w:u w:val="none"/>
                <w:lang w:val="en-US" w:eastAsia="zh-CN" w:bidi="ar"/>
              </w:rPr>
              <w:t>数量</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11C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snapToGrid w:val="0"/>
                <w:color w:val="auto"/>
                <w:kern w:val="0"/>
                <w:sz w:val="24"/>
                <w:szCs w:val="24"/>
                <w:highlight w:val="none"/>
                <w:u w:val="none"/>
                <w:lang w:val="en-US" w:eastAsia="zh-CN" w:bidi="ar"/>
              </w:rPr>
              <w:t>备注</w:t>
            </w:r>
          </w:p>
        </w:tc>
      </w:tr>
      <w:tr w14:paraId="3782B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5B31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25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不锈钢炉间平台</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F1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尺寸：400*1150*1250</w:t>
            </w:r>
          </w:p>
          <w:p w14:paraId="5D30A4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主材厚度为 1.2mm，侧板、底板 1.0mm 加强筋为 U 型，2mm 不锈钢板，层面垫板为高密度防潮防火板，装不锈钢调节水平子弹脚。</w:t>
            </w:r>
            <w:r>
              <w:rPr>
                <w:rFonts w:hint="eastAsia" w:ascii="宋体" w:hAnsi="宋体" w:eastAsia="宋体" w:cs="宋体"/>
                <w:i w:val="0"/>
                <w:iCs w:val="0"/>
                <w:snapToGrid w:val="0"/>
                <w:color w:val="auto"/>
                <w:kern w:val="0"/>
                <w:sz w:val="24"/>
                <w:szCs w:val="24"/>
                <w:highlight w:val="none"/>
                <w:u w:val="none"/>
                <w:lang w:val="en-US" w:eastAsia="zh-CN" w:bidi="ar"/>
              </w:rPr>
              <w:br w:type="textWrapping"/>
            </w:r>
            <w:r>
              <w:rPr>
                <w:rFonts w:hint="eastAsia" w:ascii="宋体" w:hAnsi="宋体" w:eastAsia="宋体" w:cs="宋体"/>
                <w:i w:val="0"/>
                <w:iCs w:val="0"/>
                <w:snapToGrid w:val="0"/>
                <w:color w:val="auto"/>
                <w:kern w:val="0"/>
                <w:sz w:val="24"/>
                <w:szCs w:val="24"/>
                <w:highlight w:val="none"/>
                <w:u w:val="none"/>
                <w:lang w:val="en-US" w:eastAsia="zh-CN" w:bidi="ar"/>
              </w:rPr>
              <w:t>提供不锈钢焊接板材通过拉力测试，拉伸受力≥25KN，</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B05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A5D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C84C">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20EBE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4"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EA7D0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20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双头炒灶</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B5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尺寸：2000mm*1200mm*1150mm，灶口直径800mm，炉面采用 304#1.5mm 不锈钢板拉丝板,受火部炉板采用西式 2.0火板，炉身采用 304#1.0mm 不锈钢板拉丝材，炉架 36*36*4 国标角钢，脚架用 50*3 镀铬钢管,附高低调整脚。</w:t>
            </w: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59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17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ED3F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F770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3"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7B69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FB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1米单头大锅灶</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A2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尺寸：1300*1300*1150，炉面采用 304#1.2mm 不锈钢板拉丝板,受火部炉板采用西式 2.0火板，炉身采用 304#1.0mm 不锈钢板拉丝材，炉架 36*36*4 国标角钢，脚架用 50*3 镀铬钢管,附高低调整脚。</w:t>
            </w: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2F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976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510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71A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F7FD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04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双门蒸饭车</w:t>
            </w:r>
          </w:p>
          <w:p w14:paraId="14AAE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（电）</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6C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24盘</w:t>
            </w:r>
          </w:p>
          <w:p w14:paraId="556B54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高级不锈钢磨砂板制造，1.0mm 厚不锈钢一次冲压内胆，整体发泡。保温性能好，自动上水。配 24 个不锈钢托盘及 4 个脚轮。</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A3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A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42F8">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31A38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68193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5</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23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双通工作台</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C55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尺寸：1800*800*800</w:t>
            </w:r>
          </w:p>
          <w:p w14:paraId="63405E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1、台面采用 1.2 ㎜不锈钢板材；2、台柜侧板 1.0 ㎜不锈钢；3、台面下加 20 ㎜高密度中纤板与台面板之间粘连即不锈钢螺丝连接加固，有效增加台面承重力，牢固耐用，不变形；4、加强筋 1.5 ㎜板材；5、柜内活动层板 1.2 ㎜不锈钢板；6、支架，通脚￠50×1.2 ㎜不锈钢管、并配有可调 50 全钢不锈钢子弹脚；6、推拉门配有不锈钢滑轮左右移动方便。</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B7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B6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A7858">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07A9A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DEDD1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6</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AB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不锈钢双层工作台</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28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尺寸：1800*800*800材质为 304 不锈钢板，主材厚度为 1.2mm，底板 1.0mm，加强筋为 U 型 2mm 不锈钢板，层面垫板为高密度防潮防火板，装不锈钢调节水平子弹脚。</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916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F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066E1">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44719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7F873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7</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8E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四门冰箱</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07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尺寸：1220*710*1920</w:t>
            </w:r>
          </w:p>
          <w:p w14:paraId="72FCCF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不锈钢外壳、立体风冷循环，聚氨脂高压发泡，箱体强度高，保温效果好。2.微电脑温度显示器，柜内温度调节。3.内藏板式蒸发器，换热效果高，制冷效果好。4.进口压缩机组，性能稳定。5.蒸发器采用全铜管。</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E4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F0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6145B">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58983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82061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8</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32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三层餐车</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71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尺寸：850*450*900</w:t>
            </w:r>
          </w:p>
          <w:p w14:paraId="2DC0E1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全部为符合食品安全卫生的不锈钢材料，厚 1.2 ㎜.加厚不锈钢把手；配有四个灵活的自由转向活动脚轮，2 个带刹车，脚轮材料：为耐磨，耐油橡胶。</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6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BE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EBBC">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5B1FF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1CFF7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9</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1C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不锈钢环保烟罩</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D8EA">
            <w:pPr>
              <w:keepNext w:val="0"/>
              <w:keepLines w:val="0"/>
              <w:suppressLineNumbers w:val="0"/>
              <w:spacing w:before="0" w:beforeAutospacing="0" w:after="0" w:afterAutospacing="0"/>
              <w:ind w:left="0" w:right="0" w:firstLine="484" w:firstLineChars="200"/>
              <w:rPr>
                <w:rFonts w:hint="eastAsia" w:ascii="宋体" w:hAnsi="宋体" w:eastAsia="宋体" w:cs="宋体"/>
                <w:color w:val="auto"/>
                <w:sz w:val="24"/>
                <w:szCs w:val="24"/>
                <w:highlight w:val="none"/>
                <w:lang w:eastAsia="zh-CN"/>
              </w:rPr>
            </w:pPr>
            <w:r>
              <w:rPr>
                <w:rFonts w:hint="eastAsia" w:ascii="宋体" w:hAnsi="宋体" w:eastAsia="宋体" w:cs="宋体"/>
                <w:i w:val="0"/>
                <w:iCs w:val="0"/>
                <w:snapToGrid w:val="0"/>
                <w:color w:val="auto"/>
                <w:kern w:val="0"/>
                <w:sz w:val="24"/>
                <w:szCs w:val="24"/>
                <w:highlight w:val="none"/>
                <w:u w:val="none"/>
                <w:lang w:val="en-US" w:eastAsia="zh-CN" w:bidi="ar"/>
              </w:rPr>
              <w:t>壳体用1.</w:t>
            </w:r>
            <w:r>
              <w:rPr>
                <w:rFonts w:hint="eastAsia" w:ascii="宋体" w:hAnsi="宋体" w:cs="宋体"/>
                <w:i w:val="0"/>
                <w:iCs w:val="0"/>
                <w:snapToGrid w:val="0"/>
                <w:color w:val="auto"/>
                <w:kern w:val="0"/>
                <w:sz w:val="24"/>
                <w:szCs w:val="24"/>
                <w:highlight w:val="none"/>
                <w:u w:val="none"/>
                <w:lang w:val="en-US" w:eastAsia="zh-CN" w:bidi="ar"/>
              </w:rPr>
              <w:t>0</w:t>
            </w:r>
            <w:r>
              <w:rPr>
                <w:rFonts w:hint="eastAsia" w:ascii="宋体" w:hAnsi="宋体" w:eastAsia="宋体" w:cs="宋体"/>
                <w:i w:val="0"/>
                <w:iCs w:val="0"/>
                <w:snapToGrid w:val="0"/>
                <w:color w:val="auto"/>
                <w:kern w:val="0"/>
                <w:sz w:val="24"/>
                <w:szCs w:val="24"/>
                <w:highlight w:val="none"/>
                <w:u w:val="none"/>
                <w:lang w:val="en-US" w:eastAsia="zh-CN" w:bidi="ar"/>
              </w:rPr>
              <w:t xml:space="preserve"> mm厚不锈钢.照明采用防潮防爆灯，鲜风口采用不锈钢播放器，</w:t>
            </w:r>
            <w:r>
              <w:rPr>
                <w:rFonts w:hint="eastAsia" w:ascii="宋体" w:hAnsi="宋体" w:eastAsia="宋体" w:cs="宋体"/>
                <w:color w:val="auto"/>
                <w:sz w:val="24"/>
                <w:szCs w:val="24"/>
                <w:highlight w:val="none"/>
              </w:rPr>
              <w:t>★</w:t>
            </w:r>
            <w:r>
              <w:rPr>
                <w:rFonts w:hint="eastAsia" w:ascii="宋体" w:hAnsi="宋体" w:eastAsia="宋体" w:cs="宋体"/>
                <w:i w:val="0"/>
                <w:iCs w:val="0"/>
                <w:snapToGrid w:val="0"/>
                <w:color w:val="000000" w:themeColor="text1"/>
                <w:kern w:val="0"/>
                <w:sz w:val="24"/>
                <w:szCs w:val="24"/>
                <w:highlight w:val="none"/>
                <w:u w:val="none"/>
                <w:lang w:val="en-US" w:eastAsia="zh-CN" w:bidi="ar"/>
                <w14:textFill>
                  <w14:solidFill>
                    <w14:schemeClr w14:val="tx1"/>
                  </w14:solidFill>
                </w14:textFill>
              </w:rPr>
              <w:t>油烟净化设备需符合绿色节能《环境管理（II型环境标志）》GB/T24021--2024 idt ISO14021:1999标准要求，在额定风量下需满足：①油烟净化效率≥99%，②油烟排放浓度≤0.15mg/m，③颗粒物排放浓度≤0.17mg/m，④非甲烷总烃排放浓度≤0.18mg/m，并提供相应证书及认监委网查询截图给予佐证，油烟净化设备符合HJ/T 62-2001标准，</w:t>
            </w:r>
            <w:r>
              <w:rPr>
                <w:rFonts w:hint="eastAsia" w:ascii="宋体" w:hAnsi="宋体" w:eastAsia="宋体" w:cs="宋体"/>
                <w:i w:val="0"/>
                <w:iCs w:val="0"/>
                <w:snapToGrid w:val="0"/>
                <w:color w:val="auto"/>
                <w:kern w:val="0"/>
                <w:sz w:val="24"/>
                <w:szCs w:val="24"/>
                <w:highlight w:val="none"/>
                <w:u w:val="none"/>
                <w:lang w:val="en-US" w:eastAsia="zh-CN" w:bidi="ar"/>
              </w:rPr>
              <w:t>并提供 CEP 中国环境保护产品认证证书给予佐证。</w:t>
            </w:r>
            <w:r>
              <w:rPr>
                <w:rFonts w:hint="eastAsia" w:ascii="宋体" w:hAnsi="宋体" w:eastAsia="宋体" w:cs="宋体"/>
                <w:color w:val="auto"/>
                <w:sz w:val="24"/>
                <w:szCs w:val="24"/>
                <w:highlight w:val="none"/>
              </w:rPr>
              <w:t>★油烟净化产品需符合国家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节能环保产品认证证书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ZRGF-CP-117-2认证规则要求</w:t>
            </w:r>
            <w:r>
              <w:rPr>
                <w:rFonts w:hint="eastAsia" w:ascii="宋体" w:hAnsi="宋体" w:eastAsia="宋体" w:cs="宋体"/>
                <w:color w:val="auto"/>
                <w:sz w:val="24"/>
                <w:szCs w:val="24"/>
                <w:highlight w:val="none"/>
                <w:lang w:eastAsia="zh-CN"/>
              </w:rPr>
              <w:t>的检测标准。</w:t>
            </w:r>
          </w:p>
          <w:p w14:paraId="7C05C12B">
            <w:pPr>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生产厂家需提供油烟净化设备符合GB/T27922-2011、SB/T 10962-2013、GB/T 36733-2018《售后服务评价体系》售后服务完善程度达到十二星级标准要求，并提供相应报告或证书给予佐证。</w:t>
            </w:r>
            <w:r>
              <w:rPr>
                <w:rFonts w:hint="eastAsia" w:ascii="宋体" w:hAnsi="宋体" w:eastAsia="宋体" w:cs="宋体"/>
                <w:color w:val="auto"/>
                <w:sz w:val="24"/>
                <w:szCs w:val="24"/>
                <w:highlight w:val="none"/>
              </w:rPr>
              <w:t>★油烟净化</w:t>
            </w:r>
            <w:r>
              <w:rPr>
                <w:rFonts w:hint="eastAsia" w:ascii="宋体" w:hAnsi="宋体" w:eastAsia="宋体" w:cs="宋体"/>
                <w:b w:val="0"/>
                <w:bCs w:val="0"/>
                <w:color w:val="auto"/>
                <w:sz w:val="24"/>
                <w:szCs w:val="24"/>
                <w:highlight w:val="none"/>
                <w:lang w:val="en-US" w:eastAsia="zh-CN"/>
              </w:rPr>
              <w:t>设备符合HJ/T62-2001、GB18483-2001油烟净化、排放要求，符合国家 HJ/T 62-2001、CQC51-439182-2018《饮食业油烟净化设备环保认证规则》检测标准，满足本体阻力≤500Pa，接地电阻≤2Ω，本体漏风率≤4%，出口烟气含水率≤4.5%，两极板之间绝缘电阻≥100MΩ，设备去除效率≥98%，油烟排放浓度≤0.2mg/m³，颗粒物排放≤0.2mg/m³，非甲烷总烃排放浓≤0.5mg/m²</w:t>
            </w:r>
            <w:r>
              <w:rPr>
                <w:rFonts w:hint="eastAsia" w:ascii="宋体" w:hAnsi="宋体" w:eastAsia="宋体" w:cs="宋体"/>
                <w:b w:val="0"/>
                <w:bCs w:val="0"/>
                <w:color w:val="auto"/>
                <w:sz w:val="24"/>
                <w:szCs w:val="24"/>
                <w:highlight w:val="none"/>
                <w:lang w:eastAsia="zh-CN"/>
              </w:rPr>
              <w:t>检测标准</w:t>
            </w:r>
          </w:p>
          <w:p w14:paraId="59E924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C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m²</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F3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19</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E9DDE">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0786B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3"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FA1D2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39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不锈钢装饰扣板</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F4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尺寸：L*1200</w:t>
            </w:r>
          </w:p>
          <w:p w14:paraId="60B8EC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产品材质全部采用优质SUS201不锈钢制作，采用1.2mm不锈钢制作；</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49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m²</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27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38AC">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33B2E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E04BA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11</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C0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集烟管</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B8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尺寸：500*600</w:t>
            </w:r>
          </w:p>
          <w:p w14:paraId="18524E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采用1.2mm厚优质不生锈钢板制作风管；2.使用国标30*30角铁制作法兰连接，风管扣接缝与法兰接口范围全部填充硅橡胶防水密封胶，风管宽高比超过1：2.5需压棱线加固。3.每个法兰连接口处加装密封垫后胶封，4.风管宽高比超过1：2.5需压棱线加固。管道内部加装十字支撑杆。</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F8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米</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22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10</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CAAA">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147F9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6"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58E0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F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排烟管道</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20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尺寸：500*600</w:t>
            </w:r>
          </w:p>
          <w:p w14:paraId="742FB2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采用1.2mm厚优质不生锈钢板制作风管；2.使用国标30*30角铁制作法兰连接，风管扣接缝与法兰接口范围全部填充硅橡胶防水密封胶，风管宽高比超过1：2.5需压棱线加固。3.每个法兰连接口处加装密封垫后胶封，4.风管宽高比超过1：2.5需压棱线加固。管道内部加装十字支撑杆。</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2E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米</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F3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50</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F27E">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3B78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C15BB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13</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37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双进风静音风柜</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C6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11KW</w:t>
            </w:r>
          </w:p>
          <w:p w14:paraId="48768E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本产品外壳采用优质钢板焊接，表面经高速抛丸后粉末静电喷塑，风柜结构紧凑灵活，机体运行平稳，噪声低、流量大，全压高，使用寿命长。</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F2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91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9FABD">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35999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DC981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14</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08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低空油烟静化器</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1D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20000m³</w:t>
            </w:r>
          </w:p>
          <w:p w14:paraId="619AEB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工作方式：油烟混合污染物流入净化器,经过耐高压导线与曲线形电极板对应相连对其加电后吸附到电极板上,从而对油烟粒子及粘性粉尘进行高效收集。1.90%～95%以上除油烟效率，高效、达到国家低空排放标准。2.外壳全喷塑，美观耐用。3.分体式电场结构，清洗维护方便。油烟净化设备符合HJ/T 62-2001标准，并提供 CEP 中国环境保护产品认证证书给予佐证。</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F9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D2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01088">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6FB59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DD11F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15</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2C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风机减震支架</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6D3C">
            <w:pPr>
              <w:keepNext w:val="0"/>
              <w:keepLines w:val="0"/>
              <w:widowControl/>
              <w:numPr>
                <w:ilvl w:val="0"/>
                <w:numId w:val="20"/>
              </w:numPr>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国标100*100*5 槽钢制作。2.角铁所有面积涂刷防锈漆做防锈处理。3.焊接加固时要求焊缝平滑，不得有气孔加渣等焊接缺陷。4.支架高度超过500mm需在各支撑梁间做反向拉接加固。</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82D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A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833F">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与风机配套</w:t>
            </w:r>
          </w:p>
        </w:tc>
      </w:tr>
      <w:tr w14:paraId="60A5B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2"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31E50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16</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F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净化器支架</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3C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1.国标100*100*5 槽钢制作。2.角铁所有面积涂刷防锈漆做防锈处理。3.焊接加固时要求焊缝平滑，不得有气孔加渣等焊接缺陷。4.支架高度超过500mm需在各支撑梁间做反向拉接加固。</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EB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7F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0A20B">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与净化器配套</w:t>
            </w:r>
          </w:p>
        </w:tc>
      </w:tr>
      <w:tr w14:paraId="19B46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31F2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17</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D3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风机启动箱</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6D8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11KW</w:t>
            </w:r>
          </w:p>
          <w:p w14:paraId="2C8704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采用优质1.2mm厚冷轧钢板制作，一次浇筑成型。2.箱体内外表面采用酸洗磷化加喷塑处理。3.箱门配优质跳锁，采用优质铰链。4.箱内底板采用优质1.2mm厚冷轧钢板制作。5.安装前做开孔处理，进出线缆口配备密封橡胶圈。</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34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FA1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7CF2">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31030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057CF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18</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E5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电缆线</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54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3*6+1</w:t>
            </w:r>
          </w:p>
          <w:p w14:paraId="1B3B60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纯铜芯线。</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561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米</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A2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454B5">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651F0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1916D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19</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07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不锈钢工作台</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48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尺寸：1800*800*800</w:t>
            </w:r>
          </w:p>
          <w:p w14:paraId="34D238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面板采用304材质不锈钢，1.5mm厚四条支撑脚采用不锈钢方管，双层底层采用304材质1.5mm厚，配置全钢可调子弹脚，台面三边带靠背。</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8C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98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6A103">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5FE1D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0A825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84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缸式和面机</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FD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25KG</w:t>
            </w:r>
          </w:p>
          <w:p w14:paraId="37C312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不锈钢缸式和面机，工作噪音小，效率高，25kg搅拌器转速40r/min以上，功率3KW/380V。面斗采用食品级优质不锈钢制作，和面缸为圆形食品级加厚不锈钢材质.</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4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4A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6FB66">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1F01D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327E9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21</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36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压面机</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0F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尺寸：750*960*1000</w:t>
            </w:r>
          </w:p>
          <w:p w14:paraId="3BAB07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生产效率：125㎏，功率1.5KW/380V；可制作馄饨皮，面条等厚度0.5mm/20mm之间可调节，整机外壳为优质不锈钢制作，采用精钢齿轮，全铜芯电机，机器运行平稳噪音低</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F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E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04256">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03F65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06D21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20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电烤箱</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7E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三层六盘</w:t>
            </w:r>
          </w:p>
          <w:p w14:paraId="00897F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20千瓦</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3D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C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84E25">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066FB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CCA7F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23</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410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不锈钢四层平板货架</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E8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尺寸：1200*500*1550</w:t>
            </w:r>
          </w:p>
          <w:p w14:paraId="2F3F90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全不锈钢结构，符合卫生要求；均采用 1.2 ㎜不锈钢板材制作；加强筋 1.2 ㎜板材；；层架支管及脚架采用￠48×1.0 ㎜不锈钢制作，配可调全钢不锈钢子弹脚。</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A3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F3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7DFC9">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05CA3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1EA9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24</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80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热风循环消毒柜</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9E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尺寸：1400*550*1850</w:t>
            </w:r>
          </w:p>
          <w:p w14:paraId="76EB27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额定电压(V): 220 额定频率(HZ): 50 额定功率（W）: 1800 消毒温度（℃）: 125±10 容积（L）: 700 产品特点：1.全自动热风循环餐具消毒柜 2.全自动热风循环高温消毒；3.优质不锈钢，整体发泡保温；4.不锈钢把手，超厚筛网支架.5.特设超高温保护功能，高温消毒，不锈钢内胆干净卫生，门采用双层不锈钢门；网架框为不锈钢圆钢焊接，消毒温度可任意调节。具有99.98%杀死大肠杆菌、乙肝病毒等功能。</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F3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AE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7</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A9DC">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08AD4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F588E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25</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2C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不锈钢平板车</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FA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尺寸：850*600*800</w:t>
            </w:r>
          </w:p>
          <w:p w14:paraId="028503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全部为符合食品安全卫生的不锈钢材料，厚 1.2 ㎜.加厚不锈钢把手；配有四个灵活的自由转向活动脚轮，2 个带刹车，脚轮材料：为耐磨，耐油橡胶。轮，2 个带刹车，脚轮材料：为耐磨，耐油橡胶。</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17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C8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B4BA">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0A118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5F274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26</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F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不锈钢米面架</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41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尺寸：1200*500*300</w:t>
            </w:r>
          </w:p>
          <w:p w14:paraId="546AFB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材质为 304 不锈钢板，主材厚度为 1.2mm，底板 1.0mm，加强筋为 U 型 2mm 不锈钢板，层面垫板为高密度防潮防火板，装不锈钢调节水平子弹脚。防火板，装不锈钢调节水平子弹脚。</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2D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8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F3AAC">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57708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87266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27</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7E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食品留样柜</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E3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尺寸：630*710*1920</w:t>
            </w:r>
          </w:p>
          <w:p w14:paraId="64DF3F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采用聚氨酯发泡保温工艺，电子制冷。</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15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7B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E847A">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762DD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F7D2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28</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4F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开水器连座</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D9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12KW</w:t>
            </w:r>
          </w:p>
          <w:p w14:paraId="58ECC9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全自动热敏控温器水100℃沸腾带净化；2.不锈钢水龙头，无异味，经久耐用，带隔热把手；3.不锈钢水龙头，无异味，经久耐用，带隔热把手4.精美温度指示，合上开关后两灯发亮，表示工作绿灯熄灭表示已沸腾，绿灯继续发亮兼顾水温，表里有红线指示，温度多小，一目了然；5.加厚电源插头，保障和插座的良好接触；带底座，耐用、不锈钢，有排水管和排水口。380V电源。</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DA3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44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E0B1D">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29520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A6B38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29</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49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紫外线消毒灯</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C330">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尺寸：900*180*80</w:t>
            </w:r>
            <w:r>
              <w:rPr>
                <w:rFonts w:hint="eastAsia" w:ascii="宋体" w:hAnsi="宋体" w:cs="宋体"/>
                <w:i w:val="0"/>
                <w:iCs w:val="0"/>
                <w:snapToGrid w:val="0"/>
                <w:color w:val="auto"/>
                <w:kern w:val="0"/>
                <w:sz w:val="24"/>
                <w:szCs w:val="24"/>
                <w:highlight w:val="none"/>
                <w:u w:val="none"/>
                <w:lang w:val="en-US" w:eastAsia="zh-CN" w:bidi="ar"/>
              </w:rPr>
              <w:t>MM</w:t>
            </w:r>
          </w:p>
          <w:p w14:paraId="52C053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挂式；挂式；功率: 31W(含)-40W(含)颜色分类: 升级款【20W】双管无臭氧【即插即亮】是否带光源: 带光源开关类型: 单控开关电压: 100V-240V灯身材质: PVC 铝光源类型: 紫外线光源</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8F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89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17C9">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638C3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862FB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0B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更衣柜</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13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尺寸：1850*900*420</w:t>
            </w:r>
          </w:p>
          <w:p w14:paraId="7E3413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采用优质铁皮厚度0.8MM国家标准，用先进的LED显示数控折弯机它将每次折弯尺寸显示出来，折弯精密度高。</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5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CD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85CDB">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6F185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3"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9B7DD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31</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F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备餐间空调</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2C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空调1</w:t>
            </w:r>
            <w:r>
              <w:rPr>
                <w:rFonts w:hint="eastAsia" w:ascii="宋体" w:hAnsi="宋体" w:cs="宋体"/>
                <w:i w:val="0"/>
                <w:iCs w:val="0"/>
                <w:snapToGrid w:val="0"/>
                <w:color w:val="auto"/>
                <w:kern w:val="0"/>
                <w:sz w:val="24"/>
                <w:szCs w:val="24"/>
                <w:highlight w:val="none"/>
                <w:u w:val="none"/>
                <w:lang w:val="en-US" w:eastAsia="zh-CN" w:bidi="ar"/>
              </w:rPr>
              <w:t>.5</w:t>
            </w:r>
            <w:r>
              <w:rPr>
                <w:rFonts w:hint="eastAsia" w:ascii="宋体" w:hAnsi="宋体" w:eastAsia="宋体" w:cs="宋体"/>
                <w:i w:val="0"/>
                <w:iCs w:val="0"/>
                <w:snapToGrid w:val="0"/>
                <w:color w:val="auto"/>
                <w:kern w:val="0"/>
                <w:sz w:val="24"/>
                <w:szCs w:val="24"/>
                <w:highlight w:val="none"/>
                <w:u w:val="none"/>
                <w:lang w:val="en-US" w:eastAsia="zh-CN" w:bidi="ar"/>
              </w:rPr>
              <w:t>匹定频，挂式，</w:t>
            </w:r>
            <w:r>
              <w:rPr>
                <w:rFonts w:hint="eastAsia" w:ascii="宋体" w:hAnsi="宋体" w:eastAsia="宋体" w:cs="宋体"/>
                <w:color w:val="000000" w:themeColor="text1"/>
                <w:spacing w:val="3"/>
                <w:sz w:val="21"/>
                <w:szCs w:val="21"/>
                <w:highlight w:val="none"/>
                <w14:textFill>
                  <w14:solidFill>
                    <w14:schemeClr w14:val="tx1"/>
                  </w14:solidFill>
                </w14:textFill>
              </w:rPr>
              <w:t>技术参数</w:t>
            </w:r>
            <w:r>
              <w:rPr>
                <w:rFonts w:hint="eastAsia" w:ascii="宋体" w:hAnsi="宋体" w:eastAsia="宋体" w:cs="宋体"/>
                <w:color w:val="000000" w:themeColor="text1"/>
                <w:spacing w:val="3"/>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3"/>
                <w:sz w:val="24"/>
                <w:szCs w:val="24"/>
                <w:highlight w:val="none"/>
                <w14:textFill>
                  <w14:solidFill>
                    <w14:schemeClr w14:val="tx1"/>
                  </w14:solidFill>
                </w14:textFill>
              </w:rPr>
              <w:t xml:space="preserve"> 制冷剂R32 制冷量3500(300-5000)W 制冷功率815(120-1650)W 制热量5000(300-6600)W 制热功率1250(120-1990)W 循环风量750m3/h 室内机噪音41dB 室外机噪音50dB 扫风方式上下扫风</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9A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套</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2E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830F1">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2BF26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8C9C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4A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油水分离器</w:t>
            </w:r>
          </w:p>
        </w:tc>
        <w:tc>
          <w:tcPr>
            <w:tcW w:w="4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9152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54*30*30</w:t>
            </w:r>
            <w:r>
              <w:rPr>
                <w:rFonts w:hint="eastAsia" w:ascii="宋体" w:hAnsi="宋体" w:cs="宋体"/>
                <w:i w:val="0"/>
                <w:iCs w:val="0"/>
                <w:snapToGrid w:val="0"/>
                <w:color w:val="auto"/>
                <w:kern w:val="0"/>
                <w:sz w:val="24"/>
                <w:szCs w:val="24"/>
                <w:highlight w:val="none"/>
                <w:u w:val="none"/>
                <w:lang w:val="en-US" w:eastAsia="zh-CN" w:bidi="ar"/>
              </w:rPr>
              <w:t>MM</w:t>
            </w:r>
          </w:p>
          <w:p w14:paraId="2E6277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1级过滤篮过滤残渣，2级过滤池，3级过滤池，深层过滤，四周单层边。</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65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66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5</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EDDC">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07D49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83A4C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33</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4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电饼铛</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CA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850*650</w:t>
            </w:r>
          </w:p>
          <w:p w14:paraId="3E6FF3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380v铝盘悬浮款54cm立式</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E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DE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1DC9">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2F9B1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1A040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34</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86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多功能切菜机</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21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880*550*9</w:t>
            </w:r>
            <w:r>
              <w:rPr>
                <w:rFonts w:hint="eastAsia" w:ascii="宋体" w:hAnsi="宋体" w:cs="宋体"/>
                <w:i w:val="0"/>
                <w:iCs w:val="0"/>
                <w:snapToGrid w:val="0"/>
                <w:color w:val="auto"/>
                <w:kern w:val="0"/>
                <w:sz w:val="24"/>
                <w:szCs w:val="24"/>
                <w:highlight w:val="none"/>
                <w:u w:val="none"/>
                <w:lang w:val="en-US" w:eastAsia="zh-CN" w:bidi="ar"/>
              </w:rPr>
              <w:t>0</w:t>
            </w:r>
            <w:r>
              <w:rPr>
                <w:rFonts w:hint="eastAsia" w:ascii="宋体" w:hAnsi="宋体" w:eastAsia="宋体" w:cs="宋体"/>
                <w:i w:val="0"/>
                <w:iCs w:val="0"/>
                <w:snapToGrid w:val="0"/>
                <w:color w:val="auto"/>
                <w:kern w:val="0"/>
                <w:sz w:val="24"/>
                <w:szCs w:val="24"/>
                <w:highlight w:val="none"/>
                <w:u w:val="none"/>
                <w:lang w:val="en-US" w:eastAsia="zh-CN" w:bidi="ar"/>
              </w:rPr>
              <w:t>0MM</w:t>
            </w:r>
          </w:p>
          <w:p w14:paraId="251DF4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机身全 SUS304，机架材料厚度：</w:t>
            </w:r>
          </w:p>
          <w:p w14:paraId="592956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3mm，钣金 1.5MM-3MM，电机外壳材质：球根茎马达是铸铁，叶菜端马达是铝制。切</w:t>
            </w:r>
          </w:p>
          <w:p w14:paraId="1B37A9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菜功能：把球根茎食材切成丁、丝，片状，把叶菜类长条状食材切成段、片、丝</w:t>
            </w:r>
          </w:p>
          <w:p w14:paraId="0457E9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状，特性：将根茎类切成厚、薄片、丝条、丁等外形，并且为一次成型，切丝、切</w:t>
            </w:r>
          </w:p>
          <w:p w14:paraId="74B074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片精度：正负 1mm（食材跳料除外），规格有 2-7MM 可选，丁的规格有 6MM，8MM，</w:t>
            </w:r>
          </w:p>
          <w:p w14:paraId="065667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10MM，12mm，15mm，20MM，25MM 可选。;叶菜端切割尺寸：1-60mm；皮带宽：</w:t>
            </w:r>
          </w:p>
          <w:p w14:paraId="584CE7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118mm；产量：300-1300KG/HR；电源：220V  单相 ;功率：1.4KW，设备带脚轮，移</w:t>
            </w:r>
          </w:p>
          <w:p w14:paraId="068321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动方便，整机轻微防水防尘，如果避免直喷风扇电机部位，可以用水直接清洗，刀</w:t>
            </w:r>
          </w:p>
          <w:p w14:paraId="02D1F8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盘拆卸、清洗方便。</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EE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B1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9710">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32F61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A6AB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35</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98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绞肉机</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D3E9">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2.2</w:t>
            </w:r>
            <w:r>
              <w:rPr>
                <w:rFonts w:hint="eastAsia" w:ascii="宋体" w:hAnsi="宋体" w:cs="宋体"/>
                <w:i w:val="0"/>
                <w:iCs w:val="0"/>
                <w:snapToGrid w:val="0"/>
                <w:color w:val="auto"/>
                <w:kern w:val="0"/>
                <w:sz w:val="24"/>
                <w:szCs w:val="24"/>
                <w:highlight w:val="none"/>
                <w:u w:val="none"/>
                <w:lang w:val="en-US" w:eastAsia="zh-CN" w:bidi="ar"/>
              </w:rPr>
              <w:t>KW</w:t>
            </w:r>
          </w:p>
          <w:p w14:paraId="716854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全钢绞切两用机道具3.5mm双规格绞切两用机本机外壳采用拉丝板，双电机，功率大，绞肉切肉间通过链条输动力，不打滑，力量大，适合 24 小时不间断工作，轴承电机均采用国标配套，使用寿命 3-5 年，适合高寒地区、西北、东北地区。绞肉 150kg/h,3.5mm,切片100kg/h。</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A8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98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6331">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27632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69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CFEAD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36</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6A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双层餐车</w:t>
            </w:r>
          </w:p>
        </w:tc>
        <w:tc>
          <w:tcPr>
            <w:tcW w:w="4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54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材质201不锈钢板。板面采用1.0mm 不锈钢磨砂板材，四柱采用201-1.0mm 不锈钢管，配活动脚论。层板下垫层用1.0mmA3铁板制作成加筋托底。</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19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A5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C0B0C">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bl>
    <w:p w14:paraId="7265FBAB">
      <w:pPr>
        <w:jc w:val="center"/>
        <w:rPr>
          <w:rFonts w:hint="eastAsia" w:ascii="宋体" w:hAnsi="宋体" w:eastAsia="宋体" w:cs="宋体"/>
          <w:b/>
          <w:bCs/>
          <w:i w:val="0"/>
          <w:iCs w:val="0"/>
          <w:snapToGrid w:val="0"/>
          <w:color w:val="auto"/>
          <w:kern w:val="0"/>
          <w:sz w:val="40"/>
          <w:szCs w:val="40"/>
          <w:highlight w:val="none"/>
          <w:u w:val="none"/>
          <w:lang w:val="en-US" w:eastAsia="zh-CN" w:bidi="ar"/>
        </w:rPr>
      </w:pPr>
      <w:r>
        <w:rPr>
          <w:rFonts w:hint="eastAsia" w:ascii="宋体" w:hAnsi="宋体" w:eastAsia="宋体" w:cs="宋体"/>
          <w:b/>
          <w:bCs/>
          <w:i w:val="0"/>
          <w:iCs w:val="0"/>
          <w:snapToGrid w:val="0"/>
          <w:color w:val="auto"/>
          <w:kern w:val="0"/>
          <w:sz w:val="40"/>
          <w:szCs w:val="40"/>
          <w:highlight w:val="none"/>
          <w:u w:val="none"/>
          <w:lang w:val="en-US" w:eastAsia="zh-CN" w:bidi="ar"/>
        </w:rPr>
        <w:br w:type="page"/>
      </w:r>
    </w:p>
    <w:p w14:paraId="40050A9E">
      <w:pPr>
        <w:jc w:val="center"/>
        <w:outlineLvl w:val="2"/>
        <w:rPr>
          <w:rFonts w:hint="eastAsia" w:ascii="宋体" w:hAnsi="宋体" w:eastAsia="宋体" w:cs="宋体"/>
          <w:b/>
          <w:bCs/>
          <w:i w:val="0"/>
          <w:iCs w:val="0"/>
          <w:snapToGrid w:val="0"/>
          <w:color w:val="auto"/>
          <w:kern w:val="0"/>
          <w:sz w:val="28"/>
          <w:szCs w:val="28"/>
          <w:highlight w:val="none"/>
          <w:u w:val="none"/>
          <w:lang w:val="en-US" w:eastAsia="zh-CN" w:bidi="ar"/>
        </w:rPr>
      </w:pPr>
      <w:r>
        <w:rPr>
          <w:rFonts w:hint="eastAsia" w:ascii="宋体" w:hAnsi="宋体" w:eastAsia="宋体" w:cs="宋体"/>
          <w:b/>
          <w:bCs/>
          <w:i w:val="0"/>
          <w:iCs w:val="0"/>
          <w:snapToGrid w:val="0"/>
          <w:color w:val="auto"/>
          <w:kern w:val="0"/>
          <w:sz w:val="28"/>
          <w:szCs w:val="28"/>
          <w:highlight w:val="none"/>
          <w:u w:val="none"/>
          <w:lang w:val="en-US" w:eastAsia="zh-CN" w:bidi="ar"/>
        </w:rPr>
        <w:t>厨杂小件</w:t>
      </w:r>
    </w:p>
    <w:tbl>
      <w:tblPr>
        <w:tblStyle w:val="27"/>
        <w:tblW w:w="92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912"/>
        <w:gridCol w:w="4925"/>
        <w:gridCol w:w="884"/>
        <w:gridCol w:w="995"/>
        <w:gridCol w:w="857"/>
      </w:tblGrid>
      <w:tr w14:paraId="3F4B9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blHeader/>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BA927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序号</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06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货物名称</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05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规格参数</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BC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单位</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C3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数量</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C08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备注</w:t>
            </w:r>
          </w:p>
        </w:tc>
      </w:tr>
      <w:tr w14:paraId="539A8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1"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C9E6BFE">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6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不锈钢调料车</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EB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500*900*800</w:t>
            </w:r>
          </w:p>
          <w:p w14:paraId="491DB3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材质为 304 不锈钢板，主材厚度为 1.2mm，底板 1.0mm，加强筋为 U 型 2mm 不锈钢板，层面垫板为高密度防潮防火板，装不锈钢调节水平子弹脚。</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E8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1F5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6B62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C9E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F1B48F8">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EF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调料缸</w:t>
            </w:r>
          </w:p>
        </w:tc>
        <w:tc>
          <w:tcPr>
            <w:tcW w:w="49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072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Φ160</w:t>
            </w:r>
          </w:p>
          <w:p w14:paraId="7C5D45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采用优质食品级不锈钢</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BB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D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6</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540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9BB7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7"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C25B6BD">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52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1米大铁锅带盖子</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E7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直径100cm，加厚铁锅，不锈钢盖子</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5ED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095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A014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6BE9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7"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86E8AA7">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56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85cm大铁锅带盖</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233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直径85cm，加厚铁锅，不锈钢盖子</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6D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68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D12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37465</wp:posOffset>
                  </wp:positionV>
                  <wp:extent cx="1270" cy="615950"/>
                  <wp:effectExtent l="0" t="0" r="0" b="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30"/>
                          <a:stretch>
                            <a:fillRect/>
                          </a:stretch>
                        </pic:blipFill>
                        <pic:spPr>
                          <a:xfrm>
                            <a:off x="0" y="0"/>
                            <a:ext cx="1270" cy="615950"/>
                          </a:xfrm>
                          <a:prstGeom prst="rect">
                            <a:avLst/>
                          </a:prstGeom>
                          <a:noFill/>
                          <a:ln>
                            <a:noFill/>
                          </a:ln>
                        </pic:spPr>
                      </pic:pic>
                    </a:graphicData>
                  </a:graphic>
                </wp:anchor>
              </w:drawing>
            </w:r>
          </w:p>
        </w:tc>
      </w:tr>
      <w:tr w14:paraId="2B99A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5C65563">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FF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大铁锹</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F0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1米</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14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把</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CBAC9">
            <w:pPr>
              <w:keepNext w:val="0"/>
              <w:keepLines w:val="0"/>
              <w:widowControl/>
              <w:suppressLineNumbers w:val="0"/>
              <w:spacing w:before="0" w:beforeAutospacing="0" w:after="0" w:afterAutospacing="0"/>
              <w:ind w:left="0" w:right="0" w:firstLine="726" w:firstLineChars="30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0A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37465</wp:posOffset>
                  </wp:positionV>
                  <wp:extent cx="1270" cy="615950"/>
                  <wp:effectExtent l="0" t="0" r="0" b="0"/>
                  <wp:wrapNone/>
                  <wp:docPr id="6" name="图片_4"/>
                  <wp:cNvGraphicFramePr/>
                  <a:graphic xmlns:a="http://schemas.openxmlformats.org/drawingml/2006/main">
                    <a:graphicData uri="http://schemas.openxmlformats.org/drawingml/2006/picture">
                      <pic:pic xmlns:pic="http://schemas.openxmlformats.org/drawingml/2006/picture">
                        <pic:nvPicPr>
                          <pic:cNvPr id="6" name="图片_4"/>
                          <pic:cNvPicPr/>
                        </pic:nvPicPr>
                        <pic:blipFill>
                          <a:blip r:embed="rId31"/>
                          <a:stretch>
                            <a:fillRect/>
                          </a:stretch>
                        </pic:blipFill>
                        <pic:spPr>
                          <a:xfrm>
                            <a:off x="0" y="0"/>
                            <a:ext cx="1270" cy="615950"/>
                          </a:xfrm>
                          <a:prstGeom prst="rect">
                            <a:avLst/>
                          </a:prstGeom>
                          <a:noFill/>
                          <a:ln>
                            <a:noFill/>
                          </a:ln>
                        </pic:spPr>
                      </pic:pic>
                    </a:graphicData>
                  </a:graphic>
                </wp:anchor>
              </w:drawing>
            </w:r>
          </w:p>
        </w:tc>
      </w:tr>
      <w:tr w14:paraId="5FE3D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D5372A0">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A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竹把罩沥</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A69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45cm</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3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8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41AA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9E1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79EFF20">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4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钢罩沥</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B6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Φ300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6C8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07F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DE8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1C09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2416FB2">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4B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小锅铲</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CB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F9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把</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F30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B62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B25A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EBFC139">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6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大油缸</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3B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Φ300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D26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0C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DBB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EE0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233D561">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D5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中号炒勺</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3F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10两</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89F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把</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35A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197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826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698924B">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E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锅刷</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4C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竹制</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2FE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0D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5</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A3E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3DCE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8A875B5">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D4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菜墩</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07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树脂</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D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581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0C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6E71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E58C02F">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2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菜刀</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49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钢体</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A92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把</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7A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8398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6A55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10F2527">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7A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砍刀</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04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钢体</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D9C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把</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72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334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3BBE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76921A1">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4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剔肉刀</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CF1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钢体</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AC8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把</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CB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227A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557D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3BEC268">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D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不锈钢盆</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7C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Φ700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3AF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9F7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8C1B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3594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1A90226">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CBE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带盖自助餐盆</w:t>
            </w:r>
          </w:p>
        </w:tc>
        <w:tc>
          <w:tcPr>
            <w:tcW w:w="49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20E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45*35*15，304不锈钢长方形盒，带盖。</w:t>
            </w:r>
          </w:p>
        </w:tc>
        <w:tc>
          <w:tcPr>
            <w:tcW w:w="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44F0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B66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18</w:t>
            </w:r>
          </w:p>
        </w:tc>
        <w:tc>
          <w:tcPr>
            <w:tcW w:w="8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A618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8E7E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1D05F91">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3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不锈钢盆</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091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Φ400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6C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53D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5</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CF2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C33E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889C7E9">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33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不锈钢漏盆</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316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Φ500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73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34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6FD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4DDB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0951873">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C4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不锈钢水勺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5FB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中号/2公斤</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22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把</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6D5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CF6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C648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38BB231">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5CD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分菜勺</w:t>
            </w:r>
          </w:p>
        </w:tc>
        <w:tc>
          <w:tcPr>
            <w:tcW w:w="4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618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12两，304不锈钢大号公勺</w:t>
            </w:r>
          </w:p>
        </w:tc>
        <w:tc>
          <w:tcPr>
            <w:tcW w:w="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175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AF3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24</w:t>
            </w:r>
          </w:p>
        </w:tc>
        <w:tc>
          <w:tcPr>
            <w:tcW w:w="8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1BDD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59E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F52D045">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F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电子称</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E8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150KG</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1F4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FE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A7E8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5C5D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8953CCB">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CC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擀面杖</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ABD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1米/0.3米</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21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47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222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C709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4C17568">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0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锅架</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588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圆形</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54E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E3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84F6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2CB7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4E928FB">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E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留样盒</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7D6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100*100专用留样盒</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13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27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20</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487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E926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ABBFAB2">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F0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筷子</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76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合金</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7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双</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79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20</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2A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9FAF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23A5367">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295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幼儿餐盘</w:t>
            </w:r>
          </w:p>
        </w:tc>
        <w:tc>
          <w:tcPr>
            <w:tcW w:w="4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5A2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三格</w:t>
            </w:r>
          </w:p>
        </w:tc>
        <w:tc>
          <w:tcPr>
            <w:tcW w:w="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3BA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A64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260</w:t>
            </w:r>
          </w:p>
        </w:tc>
        <w:tc>
          <w:tcPr>
            <w:tcW w:w="8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420CF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163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7"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5AB0437">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809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不锈钢儿童口杯</w:t>
            </w:r>
          </w:p>
        </w:tc>
        <w:tc>
          <w:tcPr>
            <w:tcW w:w="4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BF6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w:t>
            </w:r>
          </w:p>
        </w:tc>
        <w:tc>
          <w:tcPr>
            <w:tcW w:w="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C64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C8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260</w:t>
            </w:r>
          </w:p>
        </w:tc>
        <w:tc>
          <w:tcPr>
            <w:tcW w:w="8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5064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0D77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6641493">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CCD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不锈钢勺子</w:t>
            </w:r>
          </w:p>
        </w:tc>
        <w:tc>
          <w:tcPr>
            <w:tcW w:w="4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65B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w:t>
            </w:r>
          </w:p>
        </w:tc>
        <w:tc>
          <w:tcPr>
            <w:tcW w:w="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DC0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66B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260</w:t>
            </w:r>
          </w:p>
        </w:tc>
        <w:tc>
          <w:tcPr>
            <w:tcW w:w="8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7314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8B86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D05D652">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5C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不锈钢汤碗</w:t>
            </w:r>
          </w:p>
        </w:tc>
        <w:tc>
          <w:tcPr>
            <w:tcW w:w="4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EC3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w:t>
            </w:r>
          </w:p>
        </w:tc>
        <w:tc>
          <w:tcPr>
            <w:tcW w:w="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9E24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B306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260</w:t>
            </w:r>
          </w:p>
        </w:tc>
        <w:tc>
          <w:tcPr>
            <w:tcW w:w="8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EA9A9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FCBE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836BB13">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FE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打饭勺子</w:t>
            </w:r>
          </w:p>
        </w:tc>
        <w:tc>
          <w:tcPr>
            <w:tcW w:w="49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D3D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3EF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6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6</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3D0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63F2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7"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A95B651">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DC5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不锈钢带盖提水桶</w:t>
            </w:r>
          </w:p>
        </w:tc>
        <w:tc>
          <w:tcPr>
            <w:tcW w:w="49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25C7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35CM，304不锈钢多用汤桶，带盖。</w:t>
            </w:r>
          </w:p>
        </w:tc>
        <w:tc>
          <w:tcPr>
            <w:tcW w:w="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AFF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34D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6</w:t>
            </w:r>
          </w:p>
        </w:tc>
        <w:tc>
          <w:tcPr>
            <w:tcW w:w="8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01AD2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BC4F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B403714">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62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可移动式垃圾桶（小）</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2C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240L,带轮子，加厚塑料</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4F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29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FD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厨房使用</w:t>
            </w:r>
          </w:p>
        </w:tc>
      </w:tr>
      <w:tr w14:paraId="18CA8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1"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41605D4">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4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snapToGrid w:val="0"/>
                <w:color w:val="auto"/>
                <w:kern w:val="0"/>
                <w:sz w:val="24"/>
                <w:szCs w:val="24"/>
                <w:highlight w:val="none"/>
                <w:u w:val="none"/>
                <w:lang w:val="en-US" w:eastAsia="zh-CN" w:bidi="ar"/>
              </w:rPr>
              <w:t>可移动式垃圾桶（大）</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BD2ED">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4"/>
                <w:szCs w:val="24"/>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06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A7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7F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室外垃圾房</w:t>
            </w:r>
          </w:p>
        </w:tc>
      </w:tr>
      <w:tr w14:paraId="589EF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E006304">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8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留样称</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9DD6">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150KG</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CA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1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35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p>
        </w:tc>
      </w:tr>
      <w:tr w14:paraId="33114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647E479">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55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手部烘干机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AD08">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4"/>
                <w:szCs w:val="24"/>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C5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C4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3</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F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p>
        </w:tc>
      </w:tr>
      <w:tr w14:paraId="220E4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3AF0312">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F9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洗消间水池</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FFB81">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不锈钢</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09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组</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0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3</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CB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snapToGrid w:val="0"/>
                <w:color w:val="auto"/>
                <w:kern w:val="0"/>
                <w:sz w:val="24"/>
                <w:szCs w:val="24"/>
                <w:highlight w:val="none"/>
                <w:u w:val="none"/>
                <w:lang w:val="en-US" w:eastAsia="zh-CN" w:bidi="ar"/>
              </w:rPr>
            </w:pPr>
            <w:r>
              <w:rPr>
                <w:rFonts w:hint="eastAsia" w:ascii="宋体" w:hAnsi="宋体" w:eastAsia="宋体" w:cs="宋体"/>
                <w:b/>
                <w:bCs/>
                <w:i w:val="0"/>
                <w:iCs w:val="0"/>
                <w:snapToGrid w:val="0"/>
                <w:color w:val="auto"/>
                <w:kern w:val="0"/>
                <w:sz w:val="24"/>
                <w:szCs w:val="24"/>
                <w:highlight w:val="none"/>
                <w:u w:val="none"/>
                <w:lang w:val="en-US" w:eastAsia="zh-CN" w:bidi="ar"/>
              </w:rPr>
              <w:drawing>
                <wp:inline distT="0" distB="0" distL="114300" distR="114300">
                  <wp:extent cx="829945" cy="485775"/>
                  <wp:effectExtent l="0" t="0" r="8255" b="9525"/>
                  <wp:docPr id="8" name="图片 8" descr="2e5990038aa4de3780ed6f7c6d1b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5990038aa4de3780ed6f7c6d1b4a9"/>
                          <pic:cNvPicPr>
                            <a:picLocks noChangeAspect="1"/>
                          </pic:cNvPicPr>
                        </pic:nvPicPr>
                        <pic:blipFill>
                          <a:blip r:embed="rId32"/>
                          <a:srcRect t="2795" r="2171"/>
                          <a:stretch>
                            <a:fillRect/>
                          </a:stretch>
                        </pic:blipFill>
                        <pic:spPr>
                          <a:xfrm>
                            <a:off x="0" y="0"/>
                            <a:ext cx="829945" cy="485775"/>
                          </a:xfrm>
                          <a:prstGeom prst="rect">
                            <a:avLst/>
                          </a:prstGeom>
                        </pic:spPr>
                      </pic:pic>
                    </a:graphicData>
                  </a:graphic>
                </wp:inline>
              </w:drawing>
            </w:r>
          </w:p>
        </w:tc>
      </w:tr>
      <w:tr w14:paraId="45575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988B647">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5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粗加工间水池</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3CA9">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不锈钢</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4CF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组</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B0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6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b/>
                <w:bCs/>
                <w:i w:val="0"/>
                <w:iCs w:val="0"/>
                <w:snapToGrid w:val="0"/>
                <w:color w:val="auto"/>
                <w:kern w:val="0"/>
                <w:sz w:val="24"/>
                <w:szCs w:val="24"/>
                <w:highlight w:val="none"/>
                <w:u w:val="none"/>
                <w:lang w:val="en-US" w:eastAsia="zh-CN" w:bidi="ar"/>
              </w:rPr>
              <w:drawing>
                <wp:inline distT="0" distB="0" distL="114300" distR="114300">
                  <wp:extent cx="829945" cy="485775"/>
                  <wp:effectExtent l="0" t="0" r="8255" b="9525"/>
                  <wp:docPr id="14" name="图片 14" descr="2e5990038aa4de3780ed6f7c6d1b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e5990038aa4de3780ed6f7c6d1b4a9"/>
                          <pic:cNvPicPr>
                            <a:picLocks noChangeAspect="1"/>
                          </pic:cNvPicPr>
                        </pic:nvPicPr>
                        <pic:blipFill>
                          <a:blip r:embed="rId32"/>
                          <a:srcRect t="2795" r="2171"/>
                          <a:stretch>
                            <a:fillRect/>
                          </a:stretch>
                        </pic:blipFill>
                        <pic:spPr>
                          <a:xfrm>
                            <a:off x="0" y="0"/>
                            <a:ext cx="829945" cy="485775"/>
                          </a:xfrm>
                          <a:prstGeom prst="rect">
                            <a:avLst/>
                          </a:prstGeom>
                        </pic:spPr>
                      </pic:pic>
                    </a:graphicData>
                  </a:graphic>
                </wp:inline>
              </w:drawing>
            </w:r>
          </w:p>
        </w:tc>
      </w:tr>
      <w:tr w14:paraId="635A4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A1EE900">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9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操作间水池</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BCCC">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不锈钢</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090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组</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6E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0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b/>
                <w:bCs/>
                <w:i w:val="0"/>
                <w:iCs w:val="0"/>
                <w:snapToGrid w:val="0"/>
                <w:color w:val="auto"/>
                <w:kern w:val="0"/>
                <w:sz w:val="24"/>
                <w:szCs w:val="24"/>
                <w:highlight w:val="none"/>
                <w:u w:val="none"/>
                <w:lang w:val="en-US" w:eastAsia="zh-CN" w:bidi="ar"/>
              </w:rPr>
              <w:drawing>
                <wp:inline distT="0" distB="0" distL="114300" distR="114300">
                  <wp:extent cx="829945" cy="485775"/>
                  <wp:effectExtent l="0" t="0" r="8255" b="9525"/>
                  <wp:docPr id="10" name="图片 10" descr="2e5990038aa4de3780ed6f7c6d1b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e5990038aa4de3780ed6f7c6d1b4a9"/>
                          <pic:cNvPicPr>
                            <a:picLocks noChangeAspect="1"/>
                          </pic:cNvPicPr>
                        </pic:nvPicPr>
                        <pic:blipFill>
                          <a:blip r:embed="rId32"/>
                          <a:srcRect t="2795" r="2171"/>
                          <a:stretch>
                            <a:fillRect/>
                          </a:stretch>
                        </pic:blipFill>
                        <pic:spPr>
                          <a:xfrm>
                            <a:off x="0" y="0"/>
                            <a:ext cx="829945" cy="485775"/>
                          </a:xfrm>
                          <a:prstGeom prst="rect">
                            <a:avLst/>
                          </a:prstGeom>
                        </pic:spPr>
                      </pic:pic>
                    </a:graphicData>
                  </a:graphic>
                </wp:inline>
              </w:drawing>
            </w:r>
          </w:p>
        </w:tc>
      </w:tr>
      <w:tr w14:paraId="10A25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BF02E9F">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DC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毛巾消毒柜</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2FBA">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4"/>
                <w:szCs w:val="24"/>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F5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0E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5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p>
        </w:tc>
      </w:tr>
      <w:tr w14:paraId="06115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1"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E204E27">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99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更衣室感应式洗手池</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53E9">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陶瓷</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20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组</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A5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E4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drawing>
                <wp:inline distT="0" distB="0" distL="114300" distR="114300">
                  <wp:extent cx="853440" cy="853440"/>
                  <wp:effectExtent l="0" t="0" r="3810" b="3810"/>
                  <wp:docPr id="11" name="图片 11" descr="cfae1d79998207e5fb76db8384c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fae1d79998207e5fb76db8384c1383"/>
                          <pic:cNvPicPr>
                            <a:picLocks noChangeAspect="1"/>
                          </pic:cNvPicPr>
                        </pic:nvPicPr>
                        <pic:blipFill>
                          <a:blip r:embed="rId33"/>
                          <a:stretch>
                            <a:fillRect/>
                          </a:stretch>
                        </pic:blipFill>
                        <pic:spPr>
                          <a:xfrm>
                            <a:off x="0" y="0"/>
                            <a:ext cx="853440" cy="853440"/>
                          </a:xfrm>
                          <a:prstGeom prst="rect">
                            <a:avLst/>
                          </a:prstGeom>
                        </pic:spPr>
                      </pic:pic>
                    </a:graphicData>
                  </a:graphic>
                </wp:inline>
              </w:drawing>
            </w:r>
          </w:p>
        </w:tc>
      </w:tr>
      <w:tr w14:paraId="17322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1"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0BF6DF9">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F6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面点间感应式洗手池</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2963A">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陶瓷</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22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组</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59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77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snapToGrid w:val="0"/>
                <w:color w:val="auto"/>
                <w:kern w:val="0"/>
                <w:sz w:val="24"/>
                <w:szCs w:val="24"/>
                <w:highlight w:val="none"/>
                <w:u w:val="none"/>
                <w:lang w:val="en-US" w:eastAsia="zh-CN" w:bidi="ar"/>
              </w:rPr>
            </w:pPr>
            <w:r>
              <w:rPr>
                <w:rFonts w:hint="eastAsia" w:ascii="宋体" w:hAnsi="宋体" w:eastAsia="宋体" w:cs="宋体"/>
                <w:b/>
                <w:bCs/>
                <w:i w:val="0"/>
                <w:iCs w:val="0"/>
                <w:snapToGrid w:val="0"/>
                <w:color w:val="auto"/>
                <w:kern w:val="0"/>
                <w:sz w:val="24"/>
                <w:szCs w:val="24"/>
                <w:highlight w:val="none"/>
                <w:u w:val="none"/>
                <w:lang w:val="en-US" w:eastAsia="zh-CN" w:bidi="ar"/>
              </w:rPr>
              <w:drawing>
                <wp:inline distT="0" distB="0" distL="114300" distR="114300">
                  <wp:extent cx="853440" cy="853440"/>
                  <wp:effectExtent l="0" t="0" r="3810" b="3810"/>
                  <wp:docPr id="23" name="图片 23" descr="cfae1d79998207e5fb76db8384c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fae1d79998207e5fb76db8384c1383"/>
                          <pic:cNvPicPr>
                            <a:picLocks noChangeAspect="1"/>
                          </pic:cNvPicPr>
                        </pic:nvPicPr>
                        <pic:blipFill>
                          <a:blip r:embed="rId33"/>
                          <a:stretch>
                            <a:fillRect/>
                          </a:stretch>
                        </pic:blipFill>
                        <pic:spPr>
                          <a:xfrm>
                            <a:off x="0" y="0"/>
                            <a:ext cx="853440" cy="853440"/>
                          </a:xfrm>
                          <a:prstGeom prst="rect">
                            <a:avLst/>
                          </a:prstGeom>
                        </pic:spPr>
                      </pic:pic>
                    </a:graphicData>
                  </a:graphic>
                </wp:inline>
              </w:drawing>
            </w:r>
          </w:p>
        </w:tc>
      </w:tr>
      <w:tr w14:paraId="02857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1"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F8CE206">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lang w:val="en-US" w:eastAsia="zh-CN"/>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5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紫外线消毒灯</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CD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900*180*80，挂式；挂式；功率: 31W(含)-40W(含)颜色分类: 升级款【20W】双管无臭氧【即插即亮】是否带光源: 带光源开关类型: 单控开关电压: 100V-240V灯身材质: PVC 铝光源类型: 紫外线光源</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4B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87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5</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A508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FCB5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7" w:hRule="atLeast"/>
        </w:trPr>
        <w:tc>
          <w:tcPr>
            <w:tcW w:w="68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11AA416">
            <w:pPr>
              <w:keepNext w:val="0"/>
              <w:keepLines w:val="0"/>
              <w:widowControl/>
              <w:numPr>
                <w:ilvl w:val="0"/>
                <w:numId w:val="2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24"/>
                <w:szCs w:val="24"/>
                <w:highlight w:val="none"/>
                <w:u w:val="none"/>
                <w:lang w:val="en-US" w:eastAsia="zh-CN"/>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C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灭蝇灯</w:t>
            </w:r>
          </w:p>
        </w:tc>
        <w:tc>
          <w:tcPr>
            <w:tcW w:w="4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77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40W，有效面积：40~50平方米；电源：40W/220V/50HZ；</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43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6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5</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E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粘捕式灭蝇灯</w:t>
            </w:r>
          </w:p>
        </w:tc>
      </w:tr>
    </w:tbl>
    <w:p w14:paraId="446936C1">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36"/>
          <w:szCs w:val="36"/>
          <w:highlight w:val="none"/>
          <w:u w:val="none"/>
          <w:lang w:val="en-US" w:eastAsia="zh-CN" w:bidi="ar"/>
        </w:rPr>
      </w:pPr>
      <w:r>
        <w:rPr>
          <w:rFonts w:hint="eastAsia" w:ascii="宋体" w:hAnsi="宋体" w:eastAsia="宋体" w:cs="宋体"/>
          <w:b/>
          <w:bCs/>
          <w:i w:val="0"/>
          <w:iCs w:val="0"/>
          <w:snapToGrid w:val="0"/>
          <w:color w:val="auto"/>
          <w:kern w:val="0"/>
          <w:sz w:val="36"/>
          <w:szCs w:val="36"/>
          <w:highlight w:val="none"/>
          <w:u w:val="none"/>
          <w:lang w:val="en-US" w:eastAsia="zh-CN" w:bidi="ar"/>
        </w:rPr>
        <w:br w:type="page"/>
      </w:r>
    </w:p>
    <w:p w14:paraId="231C71F5">
      <w:pPr>
        <w:keepNext w:val="0"/>
        <w:tabs>
          <w:tab w:val="left" w:pos="420"/>
          <w:tab w:val="left" w:pos="5527"/>
        </w:tabs>
        <w:spacing w:line="360" w:lineRule="auto"/>
        <w:jc w:val="center"/>
        <w:outlineLvl w:val="0"/>
        <w:rPr>
          <w:rStyle w:val="39"/>
          <w:rFonts w:hint="eastAsia" w:ascii="宋体" w:hAnsi="宋体" w:eastAsia="宋体" w:cs="宋体"/>
          <w:b/>
          <w:bCs/>
          <w:color w:val="auto"/>
          <w:sz w:val="32"/>
          <w:szCs w:val="32"/>
          <w:highlight w:val="none"/>
          <w:lang w:val="en-US" w:eastAsia="zh-CN"/>
        </w:rPr>
      </w:pPr>
      <w:r>
        <w:rPr>
          <w:rStyle w:val="39"/>
          <w:rFonts w:hint="eastAsia" w:ascii="宋体" w:hAnsi="宋体" w:eastAsia="宋体" w:cs="宋体"/>
          <w:b/>
          <w:bCs/>
          <w:color w:val="auto"/>
          <w:kern w:val="2"/>
          <w:sz w:val="32"/>
          <w:szCs w:val="32"/>
          <w:highlight w:val="none"/>
          <w:lang w:val="en-US" w:eastAsia="zh-CN"/>
        </w:rPr>
        <w:t>第四章 合同</w:t>
      </w:r>
      <w:r>
        <w:rPr>
          <w:rFonts w:hint="eastAsia" w:ascii="宋体" w:hAnsi="宋体" w:eastAsia="宋体" w:cs="宋体"/>
          <w:b/>
          <w:bCs/>
          <w:color w:val="auto"/>
          <w:sz w:val="32"/>
          <w:szCs w:val="32"/>
          <w:highlight w:val="none"/>
          <w:lang w:val="zh-CN"/>
        </w:rPr>
        <w:t>（</w:t>
      </w:r>
      <w:r>
        <w:rPr>
          <w:rFonts w:hint="eastAsia" w:ascii="宋体" w:hAnsi="宋体" w:eastAsia="宋体" w:cs="宋体"/>
          <w:b/>
          <w:bCs/>
          <w:color w:val="auto"/>
          <w:sz w:val="32"/>
          <w:szCs w:val="32"/>
          <w:highlight w:val="none"/>
        </w:rPr>
        <w:t>以最终签订合同为准</w:t>
      </w:r>
      <w:r>
        <w:rPr>
          <w:rFonts w:hint="eastAsia" w:ascii="宋体" w:hAnsi="宋体" w:eastAsia="宋体" w:cs="宋体"/>
          <w:b/>
          <w:bCs/>
          <w:color w:val="auto"/>
          <w:sz w:val="32"/>
          <w:szCs w:val="32"/>
          <w:highlight w:val="none"/>
          <w:lang w:val="zh-CN"/>
        </w:rPr>
        <w:t>）</w:t>
      </w:r>
    </w:p>
    <w:p w14:paraId="77D2E57F">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w:t>
      </w:r>
    </w:p>
    <w:p w14:paraId="064E5A88">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法定代表人（或负责人）：</w:t>
      </w:r>
    </w:p>
    <w:p w14:paraId="7FB58FAA">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p>
    <w:p w14:paraId="696A6C1B">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法定代表人（或负责人）：</w:t>
      </w:r>
    </w:p>
    <w:p w14:paraId="1D6E41C5">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w:t>
      </w:r>
      <w:r>
        <w:rPr>
          <w:rFonts w:hint="eastAsia" w:ascii="宋体" w:hAnsi="宋体" w:eastAsia="宋体" w:cs="宋体"/>
          <w:color w:val="auto"/>
          <w:sz w:val="24"/>
          <w:szCs w:val="24"/>
          <w:highlight w:val="none"/>
          <w:lang w:val="en-US" w:eastAsia="zh-CN"/>
        </w:rPr>
        <w:t>民法典</w:t>
      </w:r>
      <w:r>
        <w:rPr>
          <w:rFonts w:hint="eastAsia" w:ascii="宋体" w:hAnsi="宋体" w:eastAsia="宋体" w:cs="宋体"/>
          <w:color w:val="auto"/>
          <w:sz w:val="24"/>
          <w:szCs w:val="24"/>
          <w:highlight w:val="none"/>
        </w:rPr>
        <w:t>》之规定，本合同当事人在平等、自愿的基础上，经协商一致，同意按下述条款和条件签署本合同：</w:t>
      </w:r>
    </w:p>
    <w:p w14:paraId="1EBB9892">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第一条 项目名称、规格、型号、数量、金额和质量</w:t>
      </w:r>
    </w:p>
    <w:p w14:paraId="3FEE4946">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1、采购项目的名称、规格、型号、数量、金额：</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724"/>
        <w:gridCol w:w="684"/>
        <w:gridCol w:w="1705"/>
        <w:gridCol w:w="1705"/>
      </w:tblGrid>
      <w:tr w14:paraId="7006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79148DD0">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采购项目名称</w:t>
            </w:r>
          </w:p>
        </w:tc>
        <w:tc>
          <w:tcPr>
            <w:tcW w:w="2724" w:type="dxa"/>
            <w:vAlign w:val="center"/>
          </w:tcPr>
          <w:p w14:paraId="13F54C6B">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名称、配置、要求规格</w:t>
            </w:r>
          </w:p>
        </w:tc>
        <w:tc>
          <w:tcPr>
            <w:tcW w:w="684" w:type="dxa"/>
            <w:vAlign w:val="center"/>
          </w:tcPr>
          <w:p w14:paraId="52250ACF">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705" w:type="dxa"/>
            <w:vAlign w:val="center"/>
          </w:tcPr>
          <w:p w14:paraId="2120E71D">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单价(元)</w:t>
            </w:r>
          </w:p>
        </w:tc>
        <w:tc>
          <w:tcPr>
            <w:tcW w:w="1705" w:type="dxa"/>
            <w:vAlign w:val="center"/>
          </w:tcPr>
          <w:p w14:paraId="015AB150">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小计（元）</w:t>
            </w:r>
          </w:p>
        </w:tc>
      </w:tr>
      <w:tr w14:paraId="132D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04" w:type="dxa"/>
            <w:vMerge w:val="restart"/>
          </w:tcPr>
          <w:p w14:paraId="4300B5BC">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2724" w:type="dxa"/>
          </w:tcPr>
          <w:p w14:paraId="70E64B40">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684" w:type="dxa"/>
          </w:tcPr>
          <w:p w14:paraId="658356A7">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1705" w:type="dxa"/>
          </w:tcPr>
          <w:p w14:paraId="79123755">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1705" w:type="dxa"/>
          </w:tcPr>
          <w:p w14:paraId="7E7D62A7">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r>
      <w:tr w14:paraId="490B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04" w:type="dxa"/>
            <w:vMerge w:val="continue"/>
          </w:tcPr>
          <w:p w14:paraId="16B546DF">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2724" w:type="dxa"/>
          </w:tcPr>
          <w:p w14:paraId="55766AAE">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684" w:type="dxa"/>
          </w:tcPr>
          <w:p w14:paraId="5FF1FFDC">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1705" w:type="dxa"/>
          </w:tcPr>
          <w:p w14:paraId="7B034571">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1705" w:type="dxa"/>
          </w:tcPr>
          <w:p w14:paraId="7369C960">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r>
      <w:tr w14:paraId="3621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04" w:type="dxa"/>
            <w:vAlign w:val="center"/>
          </w:tcPr>
          <w:p w14:paraId="06251D48">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合计（元）</w:t>
            </w:r>
          </w:p>
        </w:tc>
        <w:tc>
          <w:tcPr>
            <w:tcW w:w="6818" w:type="dxa"/>
            <w:gridSpan w:val="4"/>
          </w:tcPr>
          <w:p w14:paraId="0ABD5DF0">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w:t>
            </w:r>
          </w:p>
          <w:p w14:paraId="73078D89">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w:t>
            </w:r>
          </w:p>
        </w:tc>
      </w:tr>
    </w:tbl>
    <w:p w14:paraId="7FC264EF">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2、采购项目的技术标准（包括质量要求），按下列第（ ）项执行：</w:t>
      </w:r>
    </w:p>
    <w:p w14:paraId="42A2A9E6">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（1）按国家标准执行；</w:t>
      </w:r>
    </w:p>
    <w:p w14:paraId="38804D41">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（2）按部颁标准执行；</w:t>
      </w:r>
    </w:p>
    <w:p w14:paraId="03874BCC">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（3）按企业标准执行；</w:t>
      </w:r>
    </w:p>
    <w:p w14:paraId="129A2E8B">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（4）按甲乙双方商定的要求执行。（对有特殊要求的技术条件、样品或补充的技术）</w:t>
      </w:r>
    </w:p>
    <w:p w14:paraId="417EE1BB">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3、采购项目的数量计量单位、计量方法按国家或主管部门的规定执行（国家或主管部门无规定的，由甲乙双方商定。）。</w:t>
      </w:r>
    </w:p>
    <w:p w14:paraId="005F2DE4">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第二条 采购项目货物的包装标准</w:t>
      </w:r>
    </w:p>
    <w:p w14:paraId="275F34BF">
      <w:pPr>
        <w:spacing w:line="360" w:lineRule="auto"/>
        <w:ind w:firstLine="484" w:firstLineChars="20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（国家或业务主管部门有技术规定的，按技术规定执行；国家与业务主管部门无技术规定的，由甲乙双方商定。）</w:t>
      </w:r>
    </w:p>
    <w:p w14:paraId="20F16015">
      <w:pPr>
        <w:spacing w:line="360" w:lineRule="auto"/>
        <w:ind w:firstLine="484" w:firstLineChars="20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第三条 采购项目资金的结算：</w:t>
      </w:r>
    </w:p>
    <w:p w14:paraId="1E82B17B">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第四条  供应</w:t>
      </w:r>
    </w:p>
    <w:p w14:paraId="55ADB0F1">
      <w:pPr>
        <w:spacing w:line="360" w:lineRule="auto"/>
        <w:ind w:firstLine="484"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乙方应在本合同签订后</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日内按本合同第一条约定将采购</w:t>
      </w:r>
      <w:r>
        <w:rPr>
          <w:rFonts w:hint="eastAsia" w:ascii="宋体" w:hAnsi="宋体" w:eastAsia="宋体" w:cs="宋体"/>
          <w:color w:val="auto"/>
          <w:sz w:val="24"/>
          <w:szCs w:val="24"/>
          <w:highlight w:val="none"/>
          <w:lang w:val="en-US" w:eastAsia="zh-CN"/>
        </w:rPr>
        <w:t>货物验收合格。</w:t>
      </w:r>
    </w:p>
    <w:p w14:paraId="71B3DADB">
      <w:pPr>
        <w:keepNext w:val="0"/>
        <w:tabs>
          <w:tab w:val="left" w:pos="420"/>
          <w:tab w:val="left" w:pos="5527"/>
        </w:tabs>
        <w:spacing w:line="360" w:lineRule="auto"/>
        <w:jc w:val="center"/>
        <w:outlineLvl w:val="0"/>
        <w:rPr>
          <w:rStyle w:val="39"/>
          <w:rFonts w:hint="eastAsia" w:ascii="宋体" w:hAnsi="宋体" w:eastAsia="宋体" w:cs="宋体"/>
          <w:b/>
          <w:bCs/>
          <w:color w:val="auto"/>
          <w:kern w:val="2"/>
          <w:sz w:val="32"/>
          <w:szCs w:val="32"/>
          <w:highlight w:val="none"/>
          <w:lang w:val="en-US" w:eastAsia="zh-CN"/>
        </w:rPr>
        <w:sectPr>
          <w:pgSz w:w="11906" w:h="16838"/>
          <w:pgMar w:top="1417" w:right="1417" w:bottom="1417" w:left="1417" w:header="851" w:footer="850" w:gutter="0"/>
          <w:pgBorders>
            <w:top w:val="none" w:sz="0" w:space="0"/>
            <w:left w:val="none" w:sz="0" w:space="0"/>
            <w:bottom w:val="none" w:sz="0" w:space="0"/>
            <w:right w:val="none" w:sz="0" w:space="0"/>
          </w:pgBorders>
          <w:pgNumType w:fmt="numberInDash"/>
          <w:cols w:space="0" w:num="1"/>
          <w:titlePg/>
          <w:rtlGutter w:val="0"/>
          <w:docGrid w:type="linesAndChars" w:linePitch="312" w:charSpace="530"/>
        </w:sectPr>
      </w:pPr>
    </w:p>
    <w:bookmarkEnd w:id="137"/>
    <w:bookmarkEnd w:id="138"/>
    <w:bookmarkEnd w:id="139"/>
    <w:bookmarkEnd w:id="140"/>
    <w:bookmarkEnd w:id="141"/>
    <w:bookmarkEnd w:id="142"/>
    <w:bookmarkEnd w:id="143"/>
    <w:bookmarkEnd w:id="153"/>
    <w:bookmarkEnd w:id="154"/>
    <w:bookmarkEnd w:id="155"/>
    <w:bookmarkEnd w:id="156"/>
    <w:bookmarkEnd w:id="157"/>
    <w:bookmarkEnd w:id="158"/>
    <w:p w14:paraId="42C07352">
      <w:pPr>
        <w:spacing w:line="360" w:lineRule="auto"/>
        <w:ind w:firstLine="484" w:firstLineChars="200"/>
        <w:outlineLvl w:val="9"/>
        <w:rPr>
          <w:rFonts w:hint="eastAsia" w:ascii="宋体" w:hAnsi="宋体" w:eastAsia="宋体" w:cs="宋体"/>
          <w:color w:val="auto"/>
          <w:sz w:val="24"/>
          <w:szCs w:val="24"/>
          <w:highlight w:val="none"/>
        </w:rPr>
      </w:pPr>
      <w:bookmarkStart w:id="159" w:name="_Toc16272"/>
      <w:bookmarkStart w:id="160" w:name="_Toc28246"/>
      <w:bookmarkStart w:id="161" w:name="_Toc20911"/>
      <w:bookmarkStart w:id="162" w:name="_Toc16706"/>
      <w:r>
        <w:rPr>
          <w:rFonts w:hint="eastAsia" w:ascii="宋体" w:hAnsi="宋体" w:eastAsia="宋体" w:cs="宋体"/>
          <w:color w:val="auto"/>
          <w:sz w:val="24"/>
          <w:szCs w:val="24"/>
          <w:highlight w:val="none"/>
        </w:rPr>
        <w:t>第五条　采购项目的验收</w:t>
      </w:r>
    </w:p>
    <w:p w14:paraId="238436BD">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乙方按本合同第四条约定将采购项目完成后，甲方应在</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日内根据本合同约定的项目技术规格要求和质量标准等，对项目进行检查验收。</w:t>
      </w:r>
    </w:p>
    <w:p w14:paraId="22647357">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甲方在使用过程中发现产品存在技术质量问题，甲方有权向乙方提出书面异议。乙方在接到甲方书面异议后，应在10天内负责处理，否则，即视为默认甲方提出的异议和处理意见。</w:t>
      </w:r>
    </w:p>
    <w:p w14:paraId="776CA692">
      <w:pPr>
        <w:spacing w:line="360" w:lineRule="auto"/>
        <w:ind w:firstLine="484" w:firstLineChars="20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第六条　售后服务：</w:t>
      </w:r>
    </w:p>
    <w:p w14:paraId="1DBE4C99">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第七条  履约保证金约定按招标文件规定执行：</w:t>
      </w:r>
    </w:p>
    <w:p w14:paraId="64D72CB8">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第八条　乙方的违约责任</w:t>
      </w:r>
    </w:p>
    <w:p w14:paraId="2FC66AF9">
      <w:pPr>
        <w:spacing w:line="360" w:lineRule="auto"/>
        <w:ind w:firstLine="444" w:firstLineChars="200"/>
        <w:outlineLvl w:val="9"/>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1.乙方不能按本合同约定完成采购项目的，乙方应向甲方偿付项目总价款的</w:t>
      </w:r>
      <w:r>
        <w:rPr>
          <w:rFonts w:hint="eastAsia" w:ascii="宋体" w:hAnsi="宋体" w:eastAsia="宋体" w:cs="宋体"/>
          <w:color w:val="auto"/>
          <w:spacing w:val="-10"/>
          <w:sz w:val="24"/>
          <w:szCs w:val="24"/>
          <w:highlight w:val="none"/>
          <w:u w:val="single"/>
        </w:rPr>
        <w:t>　　</w:t>
      </w:r>
      <w:r>
        <w:rPr>
          <w:rFonts w:hint="eastAsia" w:ascii="宋体" w:hAnsi="宋体" w:eastAsia="宋体" w:cs="宋体"/>
          <w:color w:val="auto"/>
          <w:spacing w:val="-10"/>
          <w:sz w:val="24"/>
          <w:szCs w:val="24"/>
          <w:highlight w:val="none"/>
        </w:rPr>
        <w:t>％的违约金。乙方完成部分采购项目的，除甲方同意外，按不能完成采购项目处理。甲方同意的，乙方应向甲方偿付不能完成部分项目价款的</w:t>
      </w:r>
      <w:r>
        <w:rPr>
          <w:rFonts w:hint="eastAsia" w:ascii="宋体" w:hAnsi="宋体" w:eastAsia="宋体" w:cs="宋体"/>
          <w:color w:val="auto"/>
          <w:spacing w:val="-10"/>
          <w:sz w:val="24"/>
          <w:szCs w:val="24"/>
          <w:highlight w:val="none"/>
          <w:u w:val="single"/>
        </w:rPr>
        <w:t>　　</w:t>
      </w:r>
      <w:r>
        <w:rPr>
          <w:rFonts w:hint="eastAsia" w:ascii="宋体" w:hAnsi="宋体" w:eastAsia="宋体" w:cs="宋体"/>
          <w:color w:val="auto"/>
          <w:spacing w:val="-10"/>
          <w:sz w:val="24"/>
          <w:szCs w:val="24"/>
          <w:highlight w:val="none"/>
        </w:rPr>
        <w:t>％的违约金。</w:t>
      </w:r>
    </w:p>
    <w:p w14:paraId="529D941D">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2.乙方所交产品品种、型号、规格、质量或项目完成质量不符合合同规定的，由乙方在日内负责包换或返工，并承担调换、退货或返工而支付的实际费用。乙方不能调换或不予返工的，按不能完成采购项目处理。</w:t>
      </w:r>
    </w:p>
    <w:p w14:paraId="4F805718">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产品包装不符合合同规定，必须返修或重新包装的，乙方应负责返修或重新包装，并承担支付的费用。甲方不要求返修或重新包装而要求赔偿损失的，乙方应当偿付甲方该不合格包装物低于合格包装物的价值部分。因包装不符合规定造成货物损坏或灭失的，乙方应当负责赔偿。</w:t>
      </w:r>
    </w:p>
    <w:p w14:paraId="15DCA952">
      <w:pPr>
        <w:spacing w:line="360" w:lineRule="auto"/>
        <w:ind w:firstLine="484" w:firstLineChars="200"/>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逾期完成采购项目的，如影响采购项目整体使用的，乙方应每日向甲方偿付采购项目总价款的％的违约金，直至采购项目完成为止；如不影响采购项目整体使用的，乙方应每日向甲方偿付逾期完成部分项目价款的％的违约金。乙方应同时承担甲方因此所受的损失费用。</w:t>
      </w:r>
      <w:r>
        <w:rPr>
          <w:rFonts w:hint="eastAsia" w:ascii="宋体" w:hAnsi="宋体" w:eastAsia="宋体" w:cs="宋体"/>
          <w:color w:val="auto"/>
          <w:kern w:val="2"/>
          <w:sz w:val="24"/>
          <w:szCs w:val="24"/>
          <w:highlight w:val="none"/>
          <w:lang w:val="en-US" w:eastAsia="zh-CN" w:bidi="ar-SA"/>
        </w:rPr>
        <w:t>如逾期完成采购项目时间超过十五日（日历日）的，按不能完成采购项目处理，且甲方有权单方解除合同，乙方应同时承担甲方因此所受的损失费用。</w:t>
      </w:r>
    </w:p>
    <w:p w14:paraId="4F5AE09A">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5.未按本合同第五条约定进行售后服务的，乙方应向甲方偿付采购项目总价款的％的违约金。</w:t>
      </w:r>
    </w:p>
    <w:p w14:paraId="2A5DD866">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第九条　甲方的违约责任</w:t>
      </w:r>
    </w:p>
    <w:p w14:paraId="72CA9BFD">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1.甲方无故退货的，应向乙方偿付退货部分货款</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％的违约金。</w:t>
      </w:r>
    </w:p>
    <w:p w14:paraId="3F1FA063">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2.甲方逾期付款的，应按照中国人民银行有关延期付款的规定向乙方偿付逾期付款的违约金。</w:t>
      </w:r>
    </w:p>
    <w:p w14:paraId="123B5A90">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3.甲方违反本合同规定拒绝接货或不履行本合同约定义务的，应当承担由此对乙方造成的损失。</w:t>
      </w:r>
    </w:p>
    <w:p w14:paraId="49A127A0">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第十条　不可抗力</w:t>
      </w:r>
    </w:p>
    <w:p w14:paraId="4A8B76C0">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甲乙双方的任何一方由于不可抗力的原因不能履行合同时，应及时向对方通报不能履行或不能完全履行的理由，经有关部门确认后，允许延期履行、部分履行或者不履行合同，并免予承担违约责任。</w:t>
      </w:r>
    </w:p>
    <w:p w14:paraId="45D0C12C">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第十一条　其他</w:t>
      </w:r>
    </w:p>
    <w:p w14:paraId="2F68F1B8">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1.按本合同规定应该偿付的违约金、赔偿金和各种经济损失，应当在明确责任并10日内付清，否则按逾期付款处理。但任何一方不得自行扣发货物或扣付货款来充抵。</w:t>
      </w:r>
    </w:p>
    <w:p w14:paraId="2BFEAE8B">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2.招标文件和投标文件均作为本合同的组成部分。</w:t>
      </w:r>
    </w:p>
    <w:p w14:paraId="178AA2A2">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第十二条  本合同如发生纠纷，当事人双方应当及时协商解决，协商不成时，任何一方均可请有关部门调解，调解不成，按以下第（ 2 ）项方式处理：</w:t>
      </w:r>
    </w:p>
    <w:p w14:paraId="55D4A33B">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（1）申请仲裁委员会仲裁。</w:t>
      </w:r>
    </w:p>
    <w:p w14:paraId="210C8711">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（2）向</w:t>
      </w:r>
      <w:r>
        <w:rPr>
          <w:rFonts w:hint="eastAsia" w:ascii="宋体" w:hAnsi="宋体" w:cs="宋体"/>
          <w:color w:val="auto"/>
          <w:sz w:val="24"/>
          <w:szCs w:val="24"/>
          <w:highlight w:val="none"/>
          <w:lang w:val="en-US" w:eastAsia="zh-CN"/>
        </w:rPr>
        <w:t>项目所在地</w:t>
      </w:r>
      <w:r>
        <w:rPr>
          <w:rFonts w:hint="eastAsia" w:ascii="宋体" w:hAnsi="宋体" w:eastAsia="宋体" w:cs="宋体"/>
          <w:color w:val="auto"/>
          <w:sz w:val="24"/>
          <w:szCs w:val="24"/>
          <w:highlight w:val="none"/>
        </w:rPr>
        <w:t>人民法院起诉。</w:t>
      </w:r>
    </w:p>
    <w:p w14:paraId="4F3150F8">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第十三条 合同执行期内，甲乙双方均不得随意变更或解除合同。合同如有未尽事宜，须经双方共同协商，作出补充规定，补充规定与本合同具有同等效力。</w:t>
      </w:r>
    </w:p>
    <w:p w14:paraId="3C84301C">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第十四条 本合同经甲乙双方签字、加盖公章后生效。</w:t>
      </w:r>
    </w:p>
    <w:p w14:paraId="1E8F0EB3">
      <w:pPr>
        <w:spacing w:line="360" w:lineRule="auto"/>
        <w:ind w:firstLine="726" w:firstLineChars="300"/>
        <w:outlineLvl w:val="9"/>
        <w:rPr>
          <w:rFonts w:hint="eastAsia" w:ascii="宋体" w:hAnsi="宋体" w:eastAsia="宋体" w:cs="宋体"/>
          <w:color w:val="auto"/>
          <w:sz w:val="24"/>
          <w:szCs w:val="24"/>
          <w:highlight w:val="none"/>
        </w:rPr>
      </w:pPr>
    </w:p>
    <w:p w14:paraId="41AC88B3">
      <w:pPr>
        <w:spacing w:line="360" w:lineRule="auto"/>
        <w:ind w:firstLine="726" w:firstLineChars="3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甲方（盖章）</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乙方（盖章）</w:t>
      </w:r>
    </w:p>
    <w:p w14:paraId="46B1ECDC">
      <w:pPr>
        <w:spacing w:line="360" w:lineRule="auto"/>
        <w:outlineLvl w:val="9"/>
        <w:rPr>
          <w:rFonts w:hint="eastAsia" w:ascii="宋体" w:hAnsi="宋体" w:eastAsia="宋体" w:cs="宋体"/>
          <w:color w:val="auto"/>
          <w:sz w:val="24"/>
          <w:szCs w:val="24"/>
          <w:highlight w:val="none"/>
        </w:rPr>
      </w:pPr>
    </w:p>
    <w:p w14:paraId="6AF27CCD">
      <w:pPr>
        <w:spacing w:line="360" w:lineRule="auto"/>
        <w:ind w:firstLine="726" w:firstLineChars="3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代表：</w:t>
      </w:r>
    </w:p>
    <w:p w14:paraId="63214244">
      <w:pPr>
        <w:spacing w:line="360" w:lineRule="auto"/>
        <w:outlineLvl w:val="9"/>
        <w:rPr>
          <w:rFonts w:hint="eastAsia" w:ascii="宋体" w:hAnsi="宋体" w:eastAsia="宋体" w:cs="宋体"/>
          <w:color w:val="auto"/>
          <w:sz w:val="24"/>
          <w:szCs w:val="24"/>
          <w:highlight w:val="none"/>
        </w:rPr>
      </w:pPr>
    </w:p>
    <w:p w14:paraId="5CAF2E1C">
      <w:pPr>
        <w:spacing w:line="360" w:lineRule="auto"/>
        <w:ind w:firstLine="726" w:firstLineChars="3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电话：</w:t>
      </w:r>
    </w:p>
    <w:p w14:paraId="2B4B7E47">
      <w:pPr>
        <w:spacing w:line="360" w:lineRule="auto"/>
        <w:outlineLvl w:val="9"/>
        <w:rPr>
          <w:rFonts w:hint="eastAsia" w:ascii="宋体" w:hAnsi="宋体" w:eastAsia="宋体" w:cs="宋体"/>
          <w:color w:val="auto"/>
          <w:sz w:val="24"/>
          <w:szCs w:val="24"/>
          <w:highlight w:val="none"/>
        </w:rPr>
      </w:pPr>
    </w:p>
    <w:p w14:paraId="60D1FD73">
      <w:pPr>
        <w:spacing w:line="360" w:lineRule="auto"/>
        <w:ind w:firstLine="726" w:firstLineChars="3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地址:</w:t>
      </w:r>
    </w:p>
    <w:p w14:paraId="41D735F4">
      <w:pPr>
        <w:tabs>
          <w:tab w:val="left" w:pos="5527"/>
        </w:tabs>
        <w:ind w:firstLine="726" w:firstLineChars="300"/>
        <w:outlineLvl w:val="9"/>
        <w:rPr>
          <w:rStyle w:val="39"/>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年   月   日                    年   月   日</w:t>
      </w:r>
    </w:p>
    <w:p w14:paraId="637525EB">
      <w:pPr>
        <w:tabs>
          <w:tab w:val="left" w:pos="5527"/>
        </w:tabs>
        <w:outlineLvl w:val="9"/>
        <w:rPr>
          <w:rStyle w:val="39"/>
          <w:rFonts w:hint="eastAsia" w:ascii="宋体" w:hAnsi="宋体" w:eastAsia="宋体" w:cs="宋体"/>
          <w:b/>
          <w:bCs/>
          <w:color w:val="auto"/>
          <w:sz w:val="32"/>
          <w:szCs w:val="32"/>
          <w:highlight w:val="none"/>
          <w:lang w:val="en-US" w:eastAsia="zh-CN"/>
        </w:rPr>
      </w:pPr>
      <w:r>
        <w:rPr>
          <w:rStyle w:val="39"/>
          <w:rFonts w:hint="eastAsia" w:ascii="宋体" w:hAnsi="宋体" w:eastAsia="宋体" w:cs="宋体"/>
          <w:b/>
          <w:bCs/>
          <w:color w:val="auto"/>
          <w:sz w:val="32"/>
          <w:szCs w:val="32"/>
          <w:highlight w:val="none"/>
          <w:lang w:val="en-US" w:eastAsia="zh-CN"/>
        </w:rPr>
        <w:br w:type="page"/>
      </w:r>
    </w:p>
    <w:bookmarkEnd w:id="159"/>
    <w:bookmarkEnd w:id="160"/>
    <w:bookmarkEnd w:id="161"/>
    <w:bookmarkEnd w:id="162"/>
    <w:p w14:paraId="574D4A2F">
      <w:pPr>
        <w:pStyle w:val="23"/>
        <w:tabs>
          <w:tab w:val="left" w:pos="5527"/>
        </w:tabs>
        <w:spacing w:line="360" w:lineRule="auto"/>
        <w:jc w:val="center"/>
        <w:outlineLvl w:val="0"/>
        <w:rPr>
          <w:rStyle w:val="39"/>
          <w:rFonts w:hint="eastAsia" w:ascii="宋体" w:hAnsi="宋体" w:eastAsia="宋体" w:cs="宋体"/>
          <w:b/>
          <w:bCs/>
          <w:color w:val="auto"/>
          <w:sz w:val="32"/>
          <w:szCs w:val="32"/>
          <w:highlight w:val="none"/>
        </w:rPr>
      </w:pPr>
      <w:bookmarkStart w:id="163" w:name="_Toc29012"/>
      <w:bookmarkStart w:id="164" w:name="_Toc29333"/>
      <w:bookmarkStart w:id="165" w:name="_Toc18459"/>
      <w:bookmarkStart w:id="166" w:name="_Toc24105"/>
      <w:bookmarkStart w:id="167" w:name="_Toc24510"/>
      <w:bookmarkStart w:id="168" w:name="_Toc8066"/>
      <w:r>
        <w:rPr>
          <w:rStyle w:val="39"/>
          <w:rFonts w:hint="eastAsia" w:ascii="宋体" w:hAnsi="宋体" w:eastAsia="宋体" w:cs="宋体"/>
          <w:b/>
          <w:bCs/>
          <w:color w:val="auto"/>
          <w:sz w:val="32"/>
          <w:szCs w:val="32"/>
          <w:highlight w:val="none"/>
          <w:lang w:val="en-US" w:eastAsia="zh-CN"/>
        </w:rPr>
        <w:t>第</w:t>
      </w:r>
      <w:r>
        <w:rPr>
          <w:rStyle w:val="39"/>
          <w:rFonts w:hint="eastAsia" w:ascii="宋体" w:hAnsi="宋体" w:eastAsia="宋体" w:cs="宋体"/>
          <w:b/>
          <w:bCs/>
          <w:color w:val="auto"/>
          <w:sz w:val="32"/>
          <w:szCs w:val="32"/>
          <w:highlight w:val="none"/>
          <w:lang w:eastAsia="zh-CN"/>
        </w:rPr>
        <w:t>五章</w:t>
      </w:r>
      <w:r>
        <w:rPr>
          <w:rStyle w:val="39"/>
          <w:rFonts w:hint="eastAsia" w:ascii="宋体" w:hAnsi="宋体" w:eastAsia="宋体" w:cs="宋体"/>
          <w:b/>
          <w:bCs/>
          <w:color w:val="auto"/>
          <w:sz w:val="32"/>
          <w:szCs w:val="32"/>
          <w:highlight w:val="none"/>
        </w:rPr>
        <w:t xml:space="preserve"> 主要</w:t>
      </w:r>
      <w:r>
        <w:rPr>
          <w:rStyle w:val="39"/>
          <w:rFonts w:hint="eastAsia" w:ascii="宋体" w:hAnsi="宋体" w:eastAsia="宋体" w:cs="宋体"/>
          <w:b/>
          <w:bCs/>
          <w:color w:val="auto"/>
          <w:sz w:val="32"/>
          <w:szCs w:val="32"/>
          <w:highlight w:val="none"/>
          <w:lang w:eastAsia="zh-CN"/>
        </w:rPr>
        <w:t>投标文件</w:t>
      </w:r>
      <w:r>
        <w:rPr>
          <w:rStyle w:val="39"/>
          <w:rFonts w:hint="eastAsia" w:ascii="宋体" w:hAnsi="宋体" w:eastAsia="宋体" w:cs="宋体"/>
          <w:b/>
          <w:bCs/>
          <w:color w:val="auto"/>
          <w:sz w:val="32"/>
          <w:szCs w:val="32"/>
          <w:highlight w:val="none"/>
        </w:rPr>
        <w:t>的格式及其内容</w:t>
      </w:r>
      <w:bookmarkEnd w:id="163"/>
      <w:bookmarkEnd w:id="164"/>
      <w:bookmarkEnd w:id="165"/>
      <w:bookmarkEnd w:id="166"/>
      <w:bookmarkEnd w:id="167"/>
    </w:p>
    <w:bookmarkEnd w:id="168"/>
    <w:p w14:paraId="484787BB">
      <w:pPr>
        <w:pStyle w:val="38"/>
        <w:tabs>
          <w:tab w:val="left" w:pos="5527"/>
        </w:tabs>
        <w:spacing w:line="480" w:lineRule="exact"/>
        <w:jc w:val="both"/>
        <w:outlineLvl w:val="9"/>
        <w:rPr>
          <w:rFonts w:hint="eastAsia" w:ascii="宋体" w:hAnsi="宋体" w:eastAsia="宋体" w:cs="宋体"/>
          <w:b/>
          <w:color w:val="auto"/>
          <w:sz w:val="28"/>
          <w:szCs w:val="28"/>
          <w:highlight w:val="none"/>
        </w:rPr>
      </w:pPr>
    </w:p>
    <w:p w14:paraId="6542D60C">
      <w:pPr>
        <w:pStyle w:val="38"/>
        <w:tabs>
          <w:tab w:val="left" w:pos="5527"/>
        </w:tabs>
        <w:spacing w:line="480" w:lineRule="exact"/>
        <w:jc w:val="both"/>
        <w:outlineLvl w:val="9"/>
        <w:rPr>
          <w:rFonts w:hint="eastAsia" w:ascii="宋体" w:hAnsi="宋体" w:eastAsia="宋体" w:cs="宋体"/>
          <w:b/>
          <w:color w:val="auto"/>
          <w:sz w:val="28"/>
          <w:szCs w:val="28"/>
          <w:highlight w:val="none"/>
        </w:rPr>
      </w:pPr>
    </w:p>
    <w:p w14:paraId="34144D06">
      <w:pPr>
        <w:tabs>
          <w:tab w:val="left" w:pos="5527"/>
        </w:tabs>
        <w:bidi w:val="0"/>
        <w:jc w:val="center"/>
        <w:outlineLvl w:val="9"/>
        <w:rPr>
          <w:rFonts w:hint="eastAsia" w:ascii="宋体" w:hAnsi="宋体" w:eastAsia="宋体" w:cs="宋体"/>
          <w:b/>
          <w:bCs/>
          <w:color w:val="auto"/>
          <w:sz w:val="11"/>
          <w:szCs w:val="40"/>
          <w:highlight w:val="none"/>
        </w:rPr>
      </w:pPr>
      <w:bookmarkStart w:id="169" w:name="_Toc25249"/>
      <w:bookmarkStart w:id="170" w:name="_Toc5678"/>
      <w:bookmarkStart w:id="171" w:name="_Toc5923"/>
      <w:bookmarkStart w:id="172" w:name="_Toc20332"/>
      <w:bookmarkStart w:id="173" w:name="_Toc30405"/>
      <w:bookmarkStart w:id="174" w:name="_Toc8708"/>
      <w:bookmarkStart w:id="175" w:name="_Toc21730"/>
      <w:bookmarkStart w:id="176" w:name="_Toc10519"/>
      <w:bookmarkStart w:id="177" w:name="_Toc18213"/>
      <w:r>
        <w:rPr>
          <w:rFonts w:hint="eastAsia" w:ascii="宋体" w:hAnsi="宋体" w:eastAsia="宋体" w:cs="宋体"/>
          <w:b/>
          <w:bCs/>
          <w:color w:val="auto"/>
          <w:sz w:val="40"/>
          <w:szCs w:val="40"/>
          <w:highlight w:val="none"/>
        </w:rPr>
        <w:t>（项目名称+标项号）</w:t>
      </w:r>
      <w:bookmarkEnd w:id="169"/>
      <w:bookmarkEnd w:id="170"/>
      <w:bookmarkEnd w:id="171"/>
      <w:bookmarkEnd w:id="172"/>
      <w:bookmarkEnd w:id="173"/>
      <w:bookmarkEnd w:id="174"/>
      <w:bookmarkEnd w:id="175"/>
      <w:bookmarkEnd w:id="176"/>
      <w:bookmarkEnd w:id="177"/>
    </w:p>
    <w:p w14:paraId="0EB16D4B">
      <w:pPr>
        <w:pStyle w:val="38"/>
        <w:tabs>
          <w:tab w:val="left" w:pos="5527"/>
        </w:tabs>
        <w:spacing w:line="480" w:lineRule="exact"/>
        <w:jc w:val="center"/>
        <w:outlineLvl w:val="9"/>
        <w:rPr>
          <w:rFonts w:hint="eastAsia" w:ascii="宋体" w:hAnsi="宋体" w:eastAsia="宋体" w:cs="宋体"/>
          <w:b/>
          <w:color w:val="auto"/>
          <w:sz w:val="44"/>
          <w:szCs w:val="44"/>
          <w:highlight w:val="none"/>
        </w:rPr>
      </w:pPr>
    </w:p>
    <w:p w14:paraId="523870A3">
      <w:pPr>
        <w:pStyle w:val="38"/>
        <w:tabs>
          <w:tab w:val="left" w:pos="5527"/>
        </w:tabs>
        <w:spacing w:line="480" w:lineRule="exact"/>
        <w:jc w:val="both"/>
        <w:outlineLvl w:val="9"/>
        <w:rPr>
          <w:rFonts w:hint="eastAsia" w:ascii="宋体" w:hAnsi="宋体" w:eastAsia="宋体" w:cs="宋体"/>
          <w:b/>
          <w:color w:val="auto"/>
          <w:sz w:val="44"/>
          <w:szCs w:val="44"/>
          <w:highlight w:val="none"/>
        </w:rPr>
      </w:pPr>
    </w:p>
    <w:p w14:paraId="09B11F21">
      <w:pPr>
        <w:pStyle w:val="38"/>
        <w:tabs>
          <w:tab w:val="left" w:pos="5527"/>
        </w:tabs>
        <w:spacing w:line="480" w:lineRule="exact"/>
        <w:jc w:val="center"/>
        <w:outlineLvl w:val="9"/>
        <w:rPr>
          <w:rFonts w:hint="eastAsia" w:ascii="宋体" w:hAnsi="宋体" w:eastAsia="宋体" w:cs="宋体"/>
          <w:b/>
          <w:color w:val="auto"/>
          <w:sz w:val="44"/>
          <w:szCs w:val="44"/>
          <w:highlight w:val="none"/>
        </w:rPr>
      </w:pPr>
    </w:p>
    <w:p w14:paraId="3DEBEB7A">
      <w:pPr>
        <w:pStyle w:val="38"/>
        <w:tabs>
          <w:tab w:val="left" w:pos="5527"/>
        </w:tabs>
        <w:spacing w:line="360" w:lineRule="auto"/>
        <w:jc w:val="center"/>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sz w:val="32"/>
          <w:szCs w:val="32"/>
          <w:highlight w:val="none"/>
          <w:lang w:val="en-US" w:eastAsia="zh-CN"/>
        </w:rPr>
        <w:t>项目编号</w:t>
      </w:r>
      <w:r>
        <w:rPr>
          <w:rFonts w:hint="eastAsia" w:ascii="宋体" w:hAnsi="宋体" w:eastAsia="宋体" w:cs="宋体"/>
          <w:b/>
          <w:bCs/>
          <w:color w:val="auto"/>
          <w:kern w:val="2"/>
          <w:sz w:val="32"/>
          <w:szCs w:val="32"/>
          <w:highlight w:val="none"/>
          <w:lang w:val="en-US" w:eastAsia="zh-CN" w:bidi="ar-SA"/>
        </w:rPr>
        <w:t>：</w:t>
      </w:r>
    </w:p>
    <w:p w14:paraId="7B13B97E">
      <w:pPr>
        <w:pStyle w:val="38"/>
        <w:tabs>
          <w:tab w:val="left" w:pos="5527"/>
        </w:tabs>
        <w:spacing w:line="360" w:lineRule="auto"/>
        <w:jc w:val="center"/>
        <w:outlineLvl w:val="9"/>
        <w:rPr>
          <w:rFonts w:hint="eastAsia" w:ascii="宋体" w:hAnsi="宋体" w:eastAsia="宋体" w:cs="宋体"/>
          <w:b/>
          <w:bCs/>
          <w:color w:val="auto"/>
          <w:sz w:val="32"/>
          <w:szCs w:val="32"/>
          <w:highlight w:val="none"/>
          <w:lang w:val="en-US" w:eastAsia="zh-CN"/>
        </w:rPr>
      </w:pPr>
    </w:p>
    <w:p w14:paraId="276969F4">
      <w:pPr>
        <w:pStyle w:val="38"/>
        <w:tabs>
          <w:tab w:val="left" w:pos="5527"/>
        </w:tabs>
        <w:spacing w:line="360" w:lineRule="auto"/>
        <w:jc w:val="center"/>
        <w:outlineLvl w:val="9"/>
        <w:rPr>
          <w:rFonts w:hint="eastAsia" w:ascii="宋体" w:hAnsi="宋体" w:eastAsia="宋体" w:cs="宋体"/>
          <w:b/>
          <w:bCs/>
          <w:color w:val="auto"/>
          <w:sz w:val="32"/>
          <w:szCs w:val="32"/>
          <w:highlight w:val="none"/>
          <w:lang w:val="en-US" w:eastAsia="zh-CN"/>
        </w:rPr>
      </w:pPr>
    </w:p>
    <w:p w14:paraId="2EBEE1C5">
      <w:pPr>
        <w:pStyle w:val="38"/>
        <w:tabs>
          <w:tab w:val="left" w:pos="5527"/>
        </w:tabs>
        <w:spacing w:line="720" w:lineRule="auto"/>
        <w:jc w:val="center"/>
        <w:outlineLvl w:val="9"/>
        <w:rPr>
          <w:rFonts w:hint="eastAsia" w:ascii="宋体" w:hAnsi="宋体" w:eastAsia="宋体" w:cs="宋体"/>
          <w:color w:val="auto"/>
          <w:sz w:val="72"/>
          <w:szCs w:val="72"/>
          <w:highlight w:val="none"/>
          <w:lang w:eastAsia="zh-CN"/>
        </w:rPr>
      </w:pPr>
      <w:bookmarkStart w:id="178" w:name="_Toc337"/>
      <w:r>
        <w:rPr>
          <w:rFonts w:hint="eastAsia" w:ascii="宋体" w:hAnsi="宋体" w:eastAsia="宋体" w:cs="宋体"/>
          <w:b/>
          <w:color w:val="auto"/>
          <w:sz w:val="72"/>
          <w:szCs w:val="72"/>
          <w:highlight w:val="none"/>
          <w:lang w:eastAsia="zh-CN"/>
        </w:rPr>
        <w:t>投标文件</w:t>
      </w:r>
      <w:bookmarkEnd w:id="178"/>
    </w:p>
    <w:p w14:paraId="18232880">
      <w:pPr>
        <w:pStyle w:val="38"/>
        <w:tabs>
          <w:tab w:val="left" w:pos="5527"/>
        </w:tabs>
        <w:spacing w:line="480" w:lineRule="exact"/>
        <w:jc w:val="both"/>
        <w:outlineLvl w:val="9"/>
        <w:rPr>
          <w:rFonts w:hint="eastAsia" w:ascii="宋体" w:hAnsi="宋体" w:eastAsia="宋体" w:cs="宋体"/>
          <w:color w:val="auto"/>
          <w:sz w:val="28"/>
          <w:szCs w:val="28"/>
          <w:highlight w:val="none"/>
        </w:rPr>
      </w:pPr>
    </w:p>
    <w:p w14:paraId="0E6B2905">
      <w:pPr>
        <w:pStyle w:val="38"/>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4D265DF0">
      <w:pPr>
        <w:pStyle w:val="38"/>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0AE0BF02">
      <w:pPr>
        <w:pStyle w:val="38"/>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19673D03">
      <w:pPr>
        <w:pStyle w:val="38"/>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3DA94AFF">
      <w:pPr>
        <w:pStyle w:val="38"/>
        <w:tabs>
          <w:tab w:val="left" w:pos="5527"/>
        </w:tabs>
        <w:spacing w:line="480" w:lineRule="exact"/>
        <w:jc w:val="both"/>
        <w:outlineLvl w:val="9"/>
        <w:rPr>
          <w:rFonts w:hint="eastAsia" w:ascii="宋体" w:hAnsi="宋体" w:eastAsia="宋体" w:cs="宋体"/>
          <w:color w:val="auto"/>
          <w:sz w:val="28"/>
          <w:szCs w:val="28"/>
          <w:highlight w:val="none"/>
        </w:rPr>
      </w:pPr>
    </w:p>
    <w:p w14:paraId="57B75A57">
      <w:pPr>
        <w:pStyle w:val="38"/>
        <w:tabs>
          <w:tab w:val="left" w:pos="5527"/>
        </w:tabs>
        <w:spacing w:line="360" w:lineRule="auto"/>
        <w:jc w:val="both"/>
        <w:outlineLvl w:val="9"/>
        <w:rPr>
          <w:rFonts w:hint="eastAsia" w:ascii="宋体" w:hAnsi="宋体" w:eastAsia="宋体" w:cs="宋体"/>
          <w:b/>
          <w:bCs/>
          <w:color w:val="auto"/>
          <w:sz w:val="32"/>
          <w:szCs w:val="32"/>
          <w:highlight w:val="none"/>
        </w:rPr>
      </w:pPr>
      <w:bookmarkStart w:id="179" w:name="_Toc29140"/>
      <w:bookmarkStart w:id="180" w:name="_Toc10223"/>
      <w:r>
        <w:rPr>
          <w:rFonts w:hint="eastAsia" w:ascii="宋体" w:hAnsi="宋体" w:eastAsia="宋体" w:cs="宋体"/>
          <w:b/>
          <w:bCs/>
          <w:color w:val="auto"/>
          <w:sz w:val="32"/>
          <w:szCs w:val="32"/>
          <w:highlight w:val="none"/>
        </w:rPr>
        <w:t>供应商名称（盖章）：</w:t>
      </w:r>
    </w:p>
    <w:p w14:paraId="76C76B49">
      <w:pPr>
        <w:pStyle w:val="38"/>
        <w:tabs>
          <w:tab w:val="left" w:pos="5527"/>
        </w:tabs>
        <w:spacing w:line="360" w:lineRule="auto"/>
        <w:ind w:firstLine="567"/>
        <w:jc w:val="both"/>
        <w:outlineLvl w:val="9"/>
        <w:rPr>
          <w:rFonts w:hint="eastAsia" w:ascii="宋体" w:hAnsi="宋体" w:eastAsia="宋体" w:cs="宋体"/>
          <w:b/>
          <w:bCs/>
          <w:color w:val="auto"/>
          <w:sz w:val="32"/>
          <w:szCs w:val="32"/>
          <w:highlight w:val="none"/>
        </w:rPr>
      </w:pPr>
    </w:p>
    <w:p w14:paraId="04580969">
      <w:pPr>
        <w:pStyle w:val="38"/>
        <w:tabs>
          <w:tab w:val="left" w:pos="5527"/>
        </w:tabs>
        <w:spacing w:line="360" w:lineRule="auto"/>
        <w:jc w:val="both"/>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法定代表人或委托代理人（签字或盖章）：</w:t>
      </w:r>
    </w:p>
    <w:p w14:paraId="5BE7F044">
      <w:pPr>
        <w:pStyle w:val="38"/>
        <w:tabs>
          <w:tab w:val="left" w:pos="5527"/>
        </w:tabs>
        <w:spacing w:line="360" w:lineRule="auto"/>
        <w:ind w:firstLine="567"/>
        <w:jc w:val="both"/>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w:t>
      </w:r>
    </w:p>
    <w:p w14:paraId="35003F1C">
      <w:pPr>
        <w:pStyle w:val="38"/>
        <w:tabs>
          <w:tab w:val="left" w:pos="5527"/>
        </w:tabs>
        <w:spacing w:line="360" w:lineRule="auto"/>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日期：     年   月   日</w:t>
      </w:r>
    </w:p>
    <w:p w14:paraId="0126BDA2">
      <w:pPr>
        <w:tabs>
          <w:tab w:val="left" w:pos="5527"/>
        </w:tabs>
        <w:outlineLvl w:val="9"/>
        <w:rPr>
          <w:rFonts w:hint="eastAsia" w:ascii="宋体" w:hAnsi="宋体" w:eastAsia="宋体" w:cs="宋体"/>
          <w:b/>
          <w:bCs/>
          <w:color w:val="auto"/>
          <w:kern w:val="2"/>
          <w:sz w:val="32"/>
          <w:szCs w:val="21"/>
          <w:highlight w:val="none"/>
          <w:lang w:val="en-US" w:eastAsia="zh-CN"/>
        </w:rPr>
      </w:pPr>
      <w:bookmarkStart w:id="181" w:name="_Toc6990"/>
      <w:r>
        <w:rPr>
          <w:rFonts w:hint="eastAsia" w:ascii="宋体" w:hAnsi="宋体" w:eastAsia="宋体" w:cs="宋体"/>
          <w:b/>
          <w:bCs/>
          <w:color w:val="auto"/>
          <w:kern w:val="2"/>
          <w:sz w:val="32"/>
          <w:szCs w:val="21"/>
          <w:highlight w:val="none"/>
          <w:lang w:val="en-US" w:eastAsia="zh-CN"/>
        </w:rPr>
        <w:br w:type="page"/>
      </w:r>
    </w:p>
    <w:p w14:paraId="1634C148">
      <w:pPr>
        <w:keepNext w:val="0"/>
        <w:tabs>
          <w:tab w:val="left" w:pos="5527"/>
        </w:tabs>
        <w:jc w:val="left"/>
        <w:outlineLvl w:val="9"/>
        <w:rPr>
          <w:rFonts w:hint="eastAsia" w:ascii="宋体" w:hAnsi="宋体" w:eastAsia="宋体" w:cs="宋体"/>
          <w:b/>
          <w:bCs/>
          <w:color w:val="auto"/>
          <w:kern w:val="2"/>
          <w:sz w:val="32"/>
          <w:szCs w:val="21"/>
          <w:highlight w:val="none"/>
          <w:lang w:val="en-US" w:eastAsia="zh-CN"/>
        </w:rPr>
      </w:pPr>
      <w:bookmarkStart w:id="182" w:name="_Toc25986"/>
      <w:r>
        <w:rPr>
          <w:rFonts w:hint="eastAsia" w:ascii="宋体" w:hAnsi="宋体" w:eastAsia="宋体" w:cs="宋体"/>
          <w:b/>
          <w:bCs/>
          <w:color w:val="auto"/>
          <w:kern w:val="2"/>
          <w:sz w:val="32"/>
          <w:szCs w:val="21"/>
          <w:highlight w:val="none"/>
          <w:lang w:val="en-US" w:eastAsia="zh-CN"/>
        </w:rPr>
        <w:t>附件1</w:t>
      </w:r>
      <w:bookmarkEnd w:id="179"/>
      <w:bookmarkEnd w:id="180"/>
      <w:r>
        <w:rPr>
          <w:rFonts w:hint="eastAsia" w:ascii="宋体" w:hAnsi="宋体" w:eastAsia="宋体" w:cs="宋体"/>
          <w:b/>
          <w:bCs/>
          <w:color w:val="auto"/>
          <w:kern w:val="2"/>
          <w:sz w:val="32"/>
          <w:szCs w:val="21"/>
          <w:highlight w:val="none"/>
          <w:lang w:val="en-US" w:eastAsia="zh-CN"/>
        </w:rPr>
        <w:t>:</w:t>
      </w:r>
      <w:bookmarkEnd w:id="181"/>
      <w:bookmarkEnd w:id="182"/>
    </w:p>
    <w:p w14:paraId="7B29468E">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183" w:name="_Toc7812"/>
      <w:bookmarkStart w:id="184" w:name="_Toc9427"/>
      <w:bookmarkStart w:id="185" w:name="_Toc11981"/>
      <w:bookmarkStart w:id="186" w:name="_Toc10525"/>
      <w:r>
        <w:rPr>
          <w:rFonts w:hint="eastAsia" w:ascii="宋体" w:hAnsi="宋体" w:eastAsia="宋体" w:cs="宋体"/>
          <w:b/>
          <w:bCs/>
          <w:color w:val="auto"/>
          <w:kern w:val="2"/>
          <w:sz w:val="32"/>
          <w:szCs w:val="21"/>
          <w:highlight w:val="none"/>
          <w:lang w:val="en-US" w:eastAsia="zh-CN"/>
        </w:rPr>
        <w:t>投 标 函</w:t>
      </w:r>
      <w:bookmarkEnd w:id="183"/>
      <w:bookmarkEnd w:id="184"/>
      <w:bookmarkEnd w:id="185"/>
      <w:bookmarkEnd w:id="186"/>
    </w:p>
    <w:p w14:paraId="7E7EF063">
      <w:pPr>
        <w:keepNext w:val="0"/>
        <w:keepLines w:val="0"/>
        <w:pageBreakBefore w:val="0"/>
        <w:widowControl w:val="0"/>
        <w:tabs>
          <w:tab w:val="left" w:pos="5527"/>
        </w:tabs>
        <w:kinsoku/>
        <w:wordWrap/>
        <w:overflowPunct/>
        <w:topLinePunct w:val="0"/>
        <w:autoSpaceDE/>
        <w:autoSpaceDN/>
        <w:bidi w:val="0"/>
        <w:adjustRightInd/>
        <w:snapToGrid/>
        <w:spacing w:line="336"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（采购人名称）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8877FE7">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我公司收到贵单位</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eastAsia="zh-CN"/>
        </w:rPr>
        <w:t>项目名称+标项号</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，经认真研究，我们决定参加本项目投标。</w:t>
      </w:r>
    </w:p>
    <w:p w14:paraId="68E7B56E">
      <w:pPr>
        <w:keepNext w:val="0"/>
        <w:keepLines w:val="0"/>
        <w:pageBreakBefore w:val="0"/>
        <w:widowControl w:val="0"/>
        <w:numPr>
          <w:ilvl w:val="0"/>
          <w:numId w:val="0"/>
        </w:numPr>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中的一切要求，我方完全接受</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的规定和要求愿以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合同履行期限（供货期限）</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完成上述项目的所有工作。</w:t>
      </w:r>
    </w:p>
    <w:p w14:paraId="588916D6">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如果我们的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被接受，我们将履行</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中规定的每一项要求，按期、按质、按量完成交货和完工任务。</w:t>
      </w:r>
    </w:p>
    <w:p w14:paraId="5EF6EA9A">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我们同意按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的规定，本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的有效期为投标截止时间后</w:t>
      </w:r>
      <w:r>
        <w:rPr>
          <w:rFonts w:hint="eastAsia" w:ascii="宋体" w:hAnsi="宋体" w:eastAsia="宋体" w:cs="宋体"/>
          <w:color w:val="auto"/>
          <w:sz w:val="24"/>
          <w:szCs w:val="24"/>
          <w:highlight w:val="none"/>
          <w:u w:val="single"/>
        </w:rPr>
        <w:t xml:space="preserve"> 90 </w:t>
      </w:r>
      <w:r>
        <w:rPr>
          <w:rFonts w:hint="eastAsia" w:ascii="宋体" w:hAnsi="宋体" w:eastAsia="宋体" w:cs="宋体"/>
          <w:color w:val="auto"/>
          <w:sz w:val="24"/>
          <w:szCs w:val="24"/>
          <w:highlight w:val="none"/>
        </w:rPr>
        <w:t>天。</w:t>
      </w:r>
    </w:p>
    <w:p w14:paraId="46DEFE1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我们愿意提供采购人在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中要求的所有资料。</w:t>
      </w:r>
    </w:p>
    <w:p w14:paraId="74D2E79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我们认为采购人有选择或拒绝任何供应商中标的权力。我们理解，最低报价不是中标的唯一条件。</w:t>
      </w:r>
    </w:p>
    <w:p w14:paraId="6E98D5A1">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我们愿按合同法履行自己的全部责任。</w:t>
      </w:r>
    </w:p>
    <w:p w14:paraId="1C85FBAE">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我方愿意遵守</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中规定的收费标准，承付采购代理服务费。</w:t>
      </w:r>
    </w:p>
    <w:p w14:paraId="2CD1394B">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60"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8.</w:t>
      </w:r>
      <w:r>
        <w:rPr>
          <w:rFonts w:hint="eastAsia" w:ascii="宋体" w:hAnsi="宋体" w:eastAsia="宋体" w:cs="宋体"/>
          <w:color w:val="auto"/>
          <w:spacing w:val="-6"/>
          <w:sz w:val="24"/>
          <w:szCs w:val="24"/>
          <w:highlight w:val="none"/>
        </w:rPr>
        <w:t>该项投标在投标截止时间后的投标有效期内保持有效，不作任何更改和变动。</w:t>
      </w:r>
    </w:p>
    <w:p w14:paraId="2EF2BB30">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我们同意按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规定，交纳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）的投标保证金。</w:t>
      </w:r>
    </w:p>
    <w:p w14:paraId="073A51A2">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所有有关本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的函电，请按下列地址联系：</w:t>
      </w:r>
    </w:p>
    <w:p w14:paraId="7030B296">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p w14:paraId="4FC6D6BA">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p>
    <w:p w14:paraId="2949A9A3">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p w14:paraId="0A000940">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p>
    <w:p w14:paraId="02ECB5A7">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lang w:val="en-US" w:eastAsia="zh-CN"/>
        </w:rPr>
        <w:t xml:space="preserve">                 </w:t>
      </w:r>
    </w:p>
    <w:p w14:paraId="013D1C6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p>
    <w:p w14:paraId="2FDF54B9">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p w14:paraId="2DA9E519">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供应商名称（盖章）：</w:t>
      </w:r>
    </w:p>
    <w:p w14:paraId="533F827A">
      <w:pPr>
        <w:tabs>
          <w:tab w:val="left" w:pos="5527"/>
        </w:tabs>
        <w:bidi w:val="0"/>
        <w:spacing w:line="360" w:lineRule="auto"/>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法定代表人或委托代理人（签字或盖章）：</w:t>
      </w:r>
    </w:p>
    <w:p w14:paraId="4CF3A14B">
      <w:pPr>
        <w:tabs>
          <w:tab w:val="left" w:pos="5527"/>
        </w:tabs>
        <w:bidi w:val="0"/>
        <w:spacing w:line="360" w:lineRule="auto"/>
        <w:jc w:val="right"/>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日期：     年   月   日</w:t>
      </w:r>
    </w:p>
    <w:p w14:paraId="1755E8B7">
      <w:pPr>
        <w:keepNext w:val="0"/>
        <w:tabs>
          <w:tab w:val="left" w:pos="5527"/>
        </w:tabs>
        <w:jc w:val="both"/>
        <w:outlineLvl w:val="9"/>
        <w:rPr>
          <w:rFonts w:hint="eastAsia" w:ascii="宋体" w:hAnsi="宋体" w:eastAsia="宋体" w:cs="宋体"/>
          <w:b/>
          <w:bCs/>
          <w:color w:val="auto"/>
          <w:kern w:val="2"/>
          <w:sz w:val="32"/>
          <w:szCs w:val="21"/>
          <w:highlight w:val="none"/>
          <w:lang w:val="en-US" w:eastAsia="zh-CN"/>
        </w:rPr>
      </w:pPr>
      <w:bookmarkStart w:id="187" w:name="_Toc4872"/>
      <w:bookmarkStart w:id="188" w:name="_Toc4412"/>
      <w:r>
        <w:rPr>
          <w:rFonts w:hint="eastAsia" w:ascii="宋体" w:hAnsi="宋体" w:eastAsia="宋体" w:cs="宋体"/>
          <w:b/>
          <w:bCs/>
          <w:color w:val="auto"/>
          <w:kern w:val="2"/>
          <w:sz w:val="32"/>
          <w:szCs w:val="21"/>
          <w:highlight w:val="none"/>
          <w:lang w:val="en-US" w:eastAsia="zh-CN"/>
        </w:rPr>
        <w:br w:type="page"/>
      </w:r>
      <w:bookmarkStart w:id="189" w:name="_Toc31597"/>
      <w:bookmarkStart w:id="190" w:name="_Toc21398"/>
      <w:r>
        <w:rPr>
          <w:rFonts w:hint="eastAsia" w:ascii="宋体" w:hAnsi="宋体" w:eastAsia="宋体" w:cs="宋体"/>
          <w:b/>
          <w:bCs/>
          <w:color w:val="auto"/>
          <w:kern w:val="2"/>
          <w:sz w:val="32"/>
          <w:szCs w:val="32"/>
          <w:highlight w:val="none"/>
          <w:lang w:val="en-US" w:eastAsia="zh-CN"/>
        </w:rPr>
        <w:t>附件2</w:t>
      </w:r>
      <w:bookmarkEnd w:id="187"/>
      <w:bookmarkEnd w:id="188"/>
      <w:r>
        <w:rPr>
          <w:rFonts w:hint="eastAsia" w:ascii="宋体" w:hAnsi="宋体" w:eastAsia="宋体" w:cs="宋体"/>
          <w:b/>
          <w:color w:val="auto"/>
          <w:sz w:val="32"/>
          <w:szCs w:val="32"/>
          <w:highlight w:val="none"/>
          <w:lang w:val="en-US" w:eastAsia="zh-CN"/>
        </w:rPr>
        <w:t>:</w:t>
      </w:r>
      <w:bookmarkEnd w:id="189"/>
      <w:bookmarkEnd w:id="190"/>
    </w:p>
    <w:p w14:paraId="037BC67A">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191" w:name="_Toc25307"/>
      <w:bookmarkStart w:id="192" w:name="_Toc28542"/>
      <w:bookmarkStart w:id="193" w:name="_Toc8520"/>
      <w:bookmarkStart w:id="194" w:name="_Toc12935"/>
      <w:r>
        <w:rPr>
          <w:rFonts w:hint="eastAsia" w:ascii="宋体" w:hAnsi="宋体" w:eastAsia="宋体" w:cs="宋体"/>
          <w:b/>
          <w:bCs/>
          <w:color w:val="auto"/>
          <w:kern w:val="2"/>
          <w:sz w:val="32"/>
          <w:szCs w:val="21"/>
          <w:highlight w:val="none"/>
          <w:lang w:val="en-US" w:eastAsia="zh-CN"/>
        </w:rPr>
        <w:t>法定代表人身份证明书</w:t>
      </w:r>
      <w:bookmarkEnd w:id="191"/>
      <w:bookmarkEnd w:id="192"/>
      <w:bookmarkEnd w:id="193"/>
      <w:bookmarkEnd w:id="194"/>
    </w:p>
    <w:p w14:paraId="59AB0650">
      <w:pPr>
        <w:tabs>
          <w:tab w:val="left" w:pos="5527"/>
        </w:tabs>
        <w:bidi w:val="0"/>
        <w:spacing w:line="360" w:lineRule="auto"/>
        <w:outlineLvl w:val="9"/>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单位名称：</w:t>
      </w:r>
      <w:r>
        <w:rPr>
          <w:rFonts w:hint="eastAsia" w:ascii="宋体" w:hAnsi="宋体" w:eastAsia="宋体" w:cs="宋体"/>
          <w:color w:val="auto"/>
          <w:sz w:val="24"/>
          <w:szCs w:val="24"/>
          <w:highlight w:val="none"/>
          <w:u w:val="none"/>
        </w:rPr>
        <w:t xml:space="preserve">                                            </w:t>
      </w:r>
    </w:p>
    <w:p w14:paraId="6AF59423">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    址：            </w:t>
      </w:r>
    </w:p>
    <w:p w14:paraId="20EA0FE8">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姓    名：        性别：      年龄：       职务：                            </w:t>
      </w:r>
    </w:p>
    <w:p w14:paraId="25946B32">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的法定代表人。</w:t>
      </w:r>
    </w:p>
    <w:p w14:paraId="5F803B8A">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tbl>
      <w:tblPr>
        <w:tblStyle w:val="27"/>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5"/>
        <w:gridCol w:w="4363"/>
      </w:tblGrid>
      <w:tr w14:paraId="57C7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2" w:hRule="atLeast"/>
          <w:jc w:val="center"/>
        </w:trPr>
        <w:tc>
          <w:tcPr>
            <w:tcW w:w="4385" w:type="dxa"/>
            <w:vAlign w:val="center"/>
          </w:tcPr>
          <w:p w14:paraId="38D9B4D2">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w:t>
            </w:r>
            <w:r>
              <w:rPr>
                <w:rFonts w:hint="eastAsia" w:ascii="宋体" w:hAnsi="宋体" w:cs="宋体"/>
                <w:color w:val="auto"/>
                <w:sz w:val="24"/>
                <w:szCs w:val="24"/>
                <w:highlight w:val="none"/>
                <w:lang w:val="en-US" w:eastAsia="zh-CN"/>
              </w:rPr>
              <w:t>人像面</w:t>
            </w:r>
            <w:r>
              <w:rPr>
                <w:rFonts w:hint="eastAsia" w:ascii="宋体" w:hAnsi="宋体" w:eastAsia="宋体" w:cs="宋体"/>
                <w:color w:val="auto"/>
                <w:sz w:val="24"/>
                <w:szCs w:val="24"/>
                <w:highlight w:val="none"/>
              </w:rPr>
              <w:t>）</w:t>
            </w:r>
          </w:p>
        </w:tc>
        <w:tc>
          <w:tcPr>
            <w:tcW w:w="4363" w:type="dxa"/>
            <w:vAlign w:val="center"/>
          </w:tcPr>
          <w:p w14:paraId="650A2335">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w:t>
            </w:r>
            <w:r>
              <w:rPr>
                <w:rFonts w:hint="eastAsia" w:ascii="宋体" w:hAnsi="宋体" w:eastAsia="宋体" w:cs="宋体"/>
                <w:color w:val="auto"/>
                <w:sz w:val="24"/>
                <w:szCs w:val="24"/>
                <w:highlight w:val="none"/>
                <w:lang w:val="en-US" w:eastAsia="zh-CN"/>
              </w:rPr>
              <w:t>定代表人身份证（</w:t>
            </w:r>
            <w:r>
              <w:rPr>
                <w:rFonts w:hint="eastAsia" w:ascii="宋体" w:hAnsi="宋体" w:cs="宋体"/>
                <w:color w:val="auto"/>
                <w:sz w:val="24"/>
                <w:szCs w:val="24"/>
                <w:highlight w:val="none"/>
                <w:lang w:val="en-US" w:eastAsia="zh-CN"/>
              </w:rPr>
              <w:t>国徽面</w:t>
            </w:r>
            <w:r>
              <w:rPr>
                <w:rFonts w:hint="eastAsia" w:ascii="宋体" w:hAnsi="宋体" w:eastAsia="宋体" w:cs="宋体"/>
                <w:color w:val="auto"/>
                <w:sz w:val="24"/>
                <w:szCs w:val="24"/>
                <w:highlight w:val="none"/>
                <w:lang w:val="en-US" w:eastAsia="zh-CN"/>
              </w:rPr>
              <w:t>）</w:t>
            </w:r>
          </w:p>
        </w:tc>
      </w:tr>
    </w:tbl>
    <w:p w14:paraId="0607ADA8">
      <w:pPr>
        <w:pStyle w:val="23"/>
        <w:tabs>
          <w:tab w:val="left" w:pos="5527"/>
        </w:tabs>
        <w:spacing w:line="360" w:lineRule="auto"/>
        <w:ind w:left="0" w:firstLine="0" w:firstLineChars="0"/>
        <w:outlineLvl w:val="9"/>
        <w:rPr>
          <w:rFonts w:hint="eastAsia" w:ascii="宋体" w:hAnsi="宋体" w:eastAsia="宋体" w:cs="宋体"/>
          <w:color w:val="auto"/>
          <w:sz w:val="24"/>
          <w:szCs w:val="24"/>
          <w:highlight w:val="none"/>
        </w:rPr>
      </w:pPr>
    </w:p>
    <w:p w14:paraId="19074506">
      <w:pPr>
        <w:pStyle w:val="18"/>
        <w:tabs>
          <w:tab w:val="left" w:pos="5527"/>
        </w:tabs>
        <w:spacing w:line="360" w:lineRule="auto"/>
        <w:ind w:left="838" w:firstLine="484" w:firstLineChars="20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1E6D462">
      <w:pPr>
        <w:pStyle w:val="18"/>
        <w:tabs>
          <w:tab w:val="left" w:pos="5527"/>
        </w:tabs>
        <w:spacing w:line="360" w:lineRule="auto"/>
        <w:ind w:left="838" w:firstLine="484" w:firstLineChars="20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供应商名称（盖章）：</w:t>
      </w:r>
    </w:p>
    <w:p w14:paraId="655F7937">
      <w:pPr>
        <w:pStyle w:val="38"/>
        <w:tabs>
          <w:tab w:val="left" w:pos="5527"/>
        </w:tabs>
        <w:wordWrap w:val="0"/>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6699D29">
      <w:pPr>
        <w:pStyle w:val="38"/>
        <w:tabs>
          <w:tab w:val="left" w:pos="5527"/>
        </w:tabs>
        <w:wordWrap w:val="0"/>
        <w:spacing w:line="360" w:lineRule="auto"/>
        <w:ind w:firstLine="567"/>
        <w:jc w:val="right"/>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日期：     年   月   日</w:t>
      </w:r>
    </w:p>
    <w:p w14:paraId="628BC37A">
      <w:pPr>
        <w:pStyle w:val="45"/>
        <w:tabs>
          <w:tab w:val="left" w:pos="5527"/>
        </w:tabs>
        <w:spacing w:line="312" w:lineRule="auto"/>
        <w:jc w:val="right"/>
        <w:outlineLvl w:val="9"/>
        <w:rPr>
          <w:rFonts w:hint="eastAsia" w:ascii="宋体" w:hAnsi="宋体" w:eastAsia="宋体" w:cs="宋体"/>
          <w:color w:val="auto"/>
          <w:sz w:val="24"/>
          <w:szCs w:val="24"/>
          <w:highlight w:val="none"/>
        </w:rPr>
      </w:pPr>
    </w:p>
    <w:p w14:paraId="2C9684D9">
      <w:pPr>
        <w:keepNext w:val="0"/>
        <w:numPr>
          <w:ilvl w:val="0"/>
          <w:numId w:val="0"/>
        </w:numPr>
        <w:tabs>
          <w:tab w:val="left" w:pos="420"/>
          <w:tab w:val="left" w:pos="5527"/>
        </w:tabs>
        <w:jc w:val="center"/>
        <w:outlineLvl w:val="2"/>
        <w:rPr>
          <w:rFonts w:hint="eastAsia" w:ascii="宋体" w:hAnsi="宋体" w:eastAsia="宋体" w:cs="宋体"/>
          <w:color w:val="auto"/>
          <w:sz w:val="30"/>
          <w:szCs w:val="30"/>
          <w:highlight w:val="none"/>
          <w:lang w:val="en-US" w:eastAsia="zh-CN"/>
        </w:rPr>
      </w:pPr>
      <w:r>
        <w:rPr>
          <w:rStyle w:val="39"/>
          <w:rFonts w:hint="eastAsia" w:ascii="宋体" w:hAnsi="宋体" w:eastAsia="宋体" w:cs="宋体"/>
          <w:color w:val="auto"/>
          <w:sz w:val="32"/>
          <w:szCs w:val="28"/>
          <w:highlight w:val="none"/>
          <w:lang w:val="en-US" w:eastAsia="zh-CN"/>
        </w:rPr>
        <w:br w:type="page"/>
      </w:r>
      <w:bookmarkStart w:id="195" w:name="_Toc16485"/>
      <w:bookmarkStart w:id="196" w:name="_Toc11379"/>
      <w:bookmarkStart w:id="197" w:name="_Toc12354"/>
      <w:bookmarkStart w:id="198" w:name="_Toc12505"/>
      <w:r>
        <w:rPr>
          <w:rFonts w:hint="eastAsia" w:ascii="宋体" w:hAnsi="宋体" w:eastAsia="宋体" w:cs="宋体"/>
          <w:b/>
          <w:bCs/>
          <w:color w:val="auto"/>
          <w:kern w:val="2"/>
          <w:sz w:val="32"/>
          <w:szCs w:val="21"/>
          <w:highlight w:val="none"/>
          <w:lang w:val="en-US" w:eastAsia="zh-CN"/>
        </w:rPr>
        <w:t>授权委托书</w:t>
      </w:r>
      <w:bookmarkEnd w:id="195"/>
      <w:bookmarkEnd w:id="196"/>
      <w:bookmarkEnd w:id="197"/>
      <w:bookmarkEnd w:id="198"/>
    </w:p>
    <w:p w14:paraId="0B1C2D6A">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本授权委托书声明：我</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（姓名）</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系</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（供应商名称）</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的法定代表人，现授权委托</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（供应商名称）</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 xml:space="preserve">的 </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（姓名、身份证号）</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我</w:t>
      </w:r>
      <w:r>
        <w:rPr>
          <w:rFonts w:hint="eastAsia" w:ascii="宋体" w:hAnsi="宋体" w:eastAsia="宋体" w:cs="宋体"/>
          <w:color w:val="auto"/>
          <w:sz w:val="24"/>
          <w:szCs w:val="22"/>
          <w:highlight w:val="none"/>
          <w:lang w:val="en-US" w:eastAsia="zh-CN"/>
        </w:rPr>
        <w:t>公司</w:t>
      </w:r>
      <w:r>
        <w:rPr>
          <w:rFonts w:hint="eastAsia" w:ascii="宋体" w:hAnsi="宋体" w:eastAsia="宋体" w:cs="宋体"/>
          <w:color w:val="auto"/>
          <w:sz w:val="24"/>
          <w:szCs w:val="22"/>
          <w:highlight w:val="none"/>
        </w:rPr>
        <w:t>代理人，以本</w:t>
      </w:r>
      <w:r>
        <w:rPr>
          <w:rFonts w:hint="eastAsia" w:ascii="宋体" w:hAnsi="宋体" w:eastAsia="宋体" w:cs="宋体"/>
          <w:color w:val="auto"/>
          <w:sz w:val="24"/>
          <w:szCs w:val="22"/>
          <w:highlight w:val="none"/>
          <w:lang w:val="en-US" w:eastAsia="zh-CN"/>
        </w:rPr>
        <w:t>公司</w:t>
      </w:r>
      <w:r>
        <w:rPr>
          <w:rFonts w:hint="eastAsia" w:ascii="宋体" w:hAnsi="宋体" w:eastAsia="宋体" w:cs="宋体"/>
          <w:color w:val="auto"/>
          <w:sz w:val="24"/>
          <w:szCs w:val="22"/>
          <w:highlight w:val="none"/>
        </w:rPr>
        <w:t>的名义参加</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w:t>
      </w:r>
      <w:r>
        <w:rPr>
          <w:rFonts w:hint="eastAsia" w:ascii="宋体" w:hAnsi="宋体" w:cs="宋体"/>
          <w:color w:val="auto"/>
          <w:sz w:val="24"/>
          <w:szCs w:val="22"/>
          <w:highlight w:val="none"/>
          <w:u w:val="single"/>
          <w:lang w:eastAsia="zh-CN"/>
        </w:rPr>
        <w:t>项目名称+标项号</w:t>
      </w:r>
      <w:r>
        <w:rPr>
          <w:rFonts w:hint="eastAsia" w:ascii="宋体" w:hAnsi="宋体" w:eastAsia="宋体" w:cs="宋体"/>
          <w:color w:val="auto"/>
          <w:sz w:val="24"/>
          <w:szCs w:val="22"/>
          <w:highlight w:val="none"/>
          <w:u w:val="single"/>
        </w:rPr>
        <w:t>）</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的投标活动。</w:t>
      </w:r>
    </w:p>
    <w:p w14:paraId="6CD91A00">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代理人在处理投标的过程中所签署的一切文件和处理与之有关的一切事务，我均予以承认。</w:t>
      </w:r>
    </w:p>
    <w:p w14:paraId="28822AC9">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授权期限</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日至</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日</w:t>
      </w:r>
    </w:p>
    <w:p w14:paraId="03C3C964">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bookmarkStart w:id="199" w:name="_Toc6017"/>
      <w:bookmarkStart w:id="200" w:name="_Toc23318"/>
      <w:r>
        <w:rPr>
          <w:rFonts w:hint="eastAsia" w:ascii="宋体" w:hAnsi="宋体" w:eastAsia="宋体" w:cs="宋体"/>
          <w:color w:val="auto"/>
          <w:sz w:val="24"/>
          <w:szCs w:val="22"/>
          <w:highlight w:val="none"/>
        </w:rPr>
        <w:t>委托代理人无转委权。特此委托。</w:t>
      </w:r>
    </w:p>
    <w:p w14:paraId="2AB2F9FF">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委托代理人：            性  别：</w:t>
      </w:r>
    </w:p>
    <w:p w14:paraId="27B3A81D">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身份证号码：            电  话：</w:t>
      </w:r>
    </w:p>
    <w:p w14:paraId="33F14CC6">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 xml:space="preserve">部  门：                职  务： </w:t>
      </w:r>
    </w:p>
    <w:tbl>
      <w:tblPr>
        <w:tblStyle w:val="27"/>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0"/>
        <w:gridCol w:w="4290"/>
      </w:tblGrid>
      <w:tr w14:paraId="5986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4290" w:type="dxa"/>
            <w:vAlign w:val="center"/>
          </w:tcPr>
          <w:p w14:paraId="2E084FF3">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w:t>
            </w:r>
            <w:r>
              <w:rPr>
                <w:rFonts w:hint="eastAsia" w:ascii="宋体" w:hAnsi="宋体" w:cs="宋体"/>
                <w:color w:val="auto"/>
                <w:sz w:val="24"/>
                <w:szCs w:val="24"/>
                <w:highlight w:val="none"/>
                <w:lang w:eastAsia="zh-CN"/>
              </w:rPr>
              <w:t>人像面</w:t>
            </w:r>
            <w:r>
              <w:rPr>
                <w:rFonts w:hint="eastAsia" w:ascii="宋体" w:hAnsi="宋体" w:eastAsia="宋体" w:cs="宋体"/>
                <w:color w:val="auto"/>
                <w:sz w:val="24"/>
                <w:szCs w:val="24"/>
                <w:highlight w:val="none"/>
              </w:rPr>
              <w:t>）</w:t>
            </w:r>
          </w:p>
        </w:tc>
        <w:tc>
          <w:tcPr>
            <w:tcW w:w="4290" w:type="dxa"/>
            <w:vAlign w:val="center"/>
          </w:tcPr>
          <w:p w14:paraId="57ECDCCD">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w:t>
            </w:r>
            <w:r>
              <w:rPr>
                <w:rFonts w:hint="eastAsia" w:ascii="宋体" w:hAnsi="宋体" w:cs="宋体"/>
                <w:color w:val="auto"/>
                <w:sz w:val="24"/>
                <w:szCs w:val="24"/>
                <w:highlight w:val="none"/>
                <w:lang w:eastAsia="zh-CN"/>
              </w:rPr>
              <w:t>国徽面</w:t>
            </w:r>
            <w:r>
              <w:rPr>
                <w:rFonts w:hint="eastAsia" w:ascii="宋体" w:hAnsi="宋体" w:eastAsia="宋体" w:cs="宋体"/>
                <w:color w:val="auto"/>
                <w:sz w:val="24"/>
                <w:szCs w:val="24"/>
                <w:highlight w:val="none"/>
              </w:rPr>
              <w:t>）</w:t>
            </w:r>
          </w:p>
        </w:tc>
      </w:tr>
      <w:tr w14:paraId="5495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4290" w:type="dxa"/>
            <w:vAlign w:val="center"/>
          </w:tcPr>
          <w:p w14:paraId="4E369023">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委托代理人身份证（</w:t>
            </w:r>
            <w:r>
              <w:rPr>
                <w:rFonts w:hint="eastAsia" w:ascii="宋体" w:hAnsi="宋体" w:cs="宋体"/>
                <w:color w:val="auto"/>
                <w:sz w:val="24"/>
                <w:szCs w:val="24"/>
                <w:highlight w:val="none"/>
                <w:lang w:eastAsia="zh-CN"/>
              </w:rPr>
              <w:t>人像面</w:t>
            </w:r>
            <w:r>
              <w:rPr>
                <w:rFonts w:hint="eastAsia" w:ascii="宋体" w:hAnsi="宋体" w:eastAsia="宋体" w:cs="宋体"/>
                <w:color w:val="auto"/>
                <w:sz w:val="24"/>
                <w:szCs w:val="24"/>
                <w:highlight w:val="none"/>
              </w:rPr>
              <w:t>）</w:t>
            </w:r>
          </w:p>
        </w:tc>
        <w:tc>
          <w:tcPr>
            <w:tcW w:w="4290" w:type="dxa"/>
            <w:vAlign w:val="center"/>
          </w:tcPr>
          <w:p w14:paraId="0C621463">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委托代理人身份证（</w:t>
            </w:r>
            <w:r>
              <w:rPr>
                <w:rFonts w:hint="eastAsia" w:ascii="宋体" w:hAnsi="宋体" w:cs="宋体"/>
                <w:color w:val="auto"/>
                <w:sz w:val="24"/>
                <w:szCs w:val="24"/>
                <w:highlight w:val="none"/>
                <w:lang w:eastAsia="zh-CN"/>
              </w:rPr>
              <w:t>国徽面</w:t>
            </w:r>
            <w:r>
              <w:rPr>
                <w:rFonts w:hint="eastAsia" w:ascii="宋体" w:hAnsi="宋体" w:eastAsia="宋体" w:cs="宋体"/>
                <w:color w:val="auto"/>
                <w:sz w:val="24"/>
                <w:szCs w:val="24"/>
                <w:highlight w:val="none"/>
              </w:rPr>
              <w:t>）</w:t>
            </w:r>
          </w:p>
        </w:tc>
      </w:tr>
    </w:tbl>
    <w:p w14:paraId="13D84C91">
      <w:pPr>
        <w:tabs>
          <w:tab w:val="left" w:pos="5527"/>
        </w:tabs>
        <w:bidi w:val="0"/>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66B10AD7">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供应商名称（盖章）：</w:t>
      </w:r>
    </w:p>
    <w:p w14:paraId="180C27DD">
      <w:pPr>
        <w:pStyle w:val="23"/>
        <w:tabs>
          <w:tab w:val="left" w:pos="5527"/>
        </w:tabs>
        <w:outlineLvl w:val="9"/>
        <w:rPr>
          <w:rFonts w:hint="eastAsia" w:ascii="宋体" w:hAnsi="宋体" w:eastAsia="宋体" w:cs="宋体"/>
          <w:color w:val="auto"/>
          <w:highlight w:val="none"/>
        </w:rPr>
      </w:pPr>
    </w:p>
    <w:p w14:paraId="0A337466">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法定代表人（签字或盖章）：</w:t>
      </w:r>
    </w:p>
    <w:p w14:paraId="2B6C0BFB">
      <w:pPr>
        <w:pStyle w:val="23"/>
        <w:tabs>
          <w:tab w:val="left" w:pos="5527"/>
        </w:tabs>
        <w:outlineLvl w:val="9"/>
        <w:rPr>
          <w:rFonts w:hint="eastAsia" w:ascii="宋体" w:hAnsi="宋体" w:eastAsia="宋体" w:cs="宋体"/>
          <w:color w:val="auto"/>
          <w:highlight w:val="none"/>
        </w:rPr>
      </w:pPr>
    </w:p>
    <w:p w14:paraId="4F6CD190">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委托代理人（签字或盖章）：</w:t>
      </w:r>
    </w:p>
    <w:p w14:paraId="294D17AE">
      <w:pPr>
        <w:pStyle w:val="23"/>
        <w:tabs>
          <w:tab w:val="left" w:pos="5527"/>
        </w:tabs>
        <w:outlineLvl w:val="9"/>
        <w:rPr>
          <w:rFonts w:hint="eastAsia" w:ascii="宋体" w:hAnsi="宋体" w:eastAsia="宋体" w:cs="宋体"/>
          <w:color w:val="auto"/>
          <w:highlight w:val="none"/>
        </w:rPr>
      </w:pPr>
    </w:p>
    <w:p w14:paraId="453E2ADE">
      <w:pPr>
        <w:tabs>
          <w:tab w:val="left" w:pos="5527"/>
        </w:tabs>
        <w:bidi w:val="0"/>
        <w:spacing w:line="360" w:lineRule="auto"/>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14:paraId="34D09AA9">
      <w:pPr>
        <w:tabs>
          <w:tab w:val="left" w:pos="5527"/>
        </w:tabs>
        <w:bidi w:val="0"/>
        <w:jc w:val="both"/>
        <w:outlineLvl w:val="9"/>
        <w:rPr>
          <w:rStyle w:val="39"/>
          <w:rFonts w:hint="eastAsia" w:ascii="宋体" w:hAnsi="宋体" w:eastAsia="宋体" w:cs="宋体"/>
          <w:color w:val="auto"/>
          <w:szCs w:val="28"/>
          <w:highlight w:val="none"/>
          <w:lang w:val="en-US" w:eastAsia="zh-CN"/>
        </w:rPr>
      </w:pPr>
      <w:r>
        <w:rPr>
          <w:rFonts w:hint="eastAsia" w:ascii="宋体" w:hAnsi="宋体" w:eastAsia="宋体" w:cs="宋体"/>
          <w:color w:val="auto"/>
          <w:sz w:val="28"/>
          <w:szCs w:val="28"/>
          <w:highlight w:val="none"/>
        </w:rPr>
        <w:br w:type="page"/>
      </w:r>
      <w:bookmarkStart w:id="201" w:name="_Toc3111"/>
      <w:bookmarkStart w:id="202" w:name="_Toc614"/>
      <w:bookmarkStart w:id="203" w:name="_Toc12373"/>
      <w:bookmarkStart w:id="204" w:name="_Toc22081"/>
      <w:bookmarkStart w:id="205" w:name="_Toc32261"/>
      <w:bookmarkStart w:id="206" w:name="_Toc6312"/>
      <w:bookmarkStart w:id="207" w:name="_Toc12583"/>
      <w:r>
        <w:rPr>
          <w:rStyle w:val="39"/>
          <w:rFonts w:hint="eastAsia" w:ascii="宋体" w:hAnsi="宋体" w:eastAsia="宋体" w:cs="宋体"/>
          <w:b/>
          <w:bCs/>
          <w:color w:val="auto"/>
          <w:szCs w:val="28"/>
          <w:highlight w:val="none"/>
          <w:lang w:val="en-US" w:eastAsia="zh-CN"/>
        </w:rPr>
        <w:t>附件3</w:t>
      </w:r>
      <w:bookmarkEnd w:id="199"/>
      <w:bookmarkEnd w:id="200"/>
      <w:bookmarkEnd w:id="201"/>
      <w:bookmarkEnd w:id="202"/>
      <w:bookmarkEnd w:id="203"/>
      <w:bookmarkEnd w:id="204"/>
      <w:bookmarkEnd w:id="205"/>
      <w:bookmarkEnd w:id="206"/>
      <w:bookmarkEnd w:id="207"/>
      <w:r>
        <w:rPr>
          <w:rFonts w:hint="eastAsia" w:ascii="宋体" w:hAnsi="宋体" w:eastAsia="宋体" w:cs="宋体"/>
          <w:b/>
          <w:bCs/>
          <w:color w:val="auto"/>
          <w:szCs w:val="28"/>
          <w:highlight w:val="none"/>
          <w:lang w:val="en-US" w:eastAsia="zh-CN"/>
        </w:rPr>
        <w:t>:</w:t>
      </w:r>
    </w:p>
    <w:p w14:paraId="5EE1CB8D">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08" w:name="_Toc19616"/>
      <w:bookmarkStart w:id="209" w:name="_Toc29902"/>
      <w:bookmarkStart w:id="210" w:name="_Toc26519"/>
      <w:bookmarkStart w:id="211" w:name="_Toc293"/>
      <w:bookmarkStart w:id="212" w:name="_Toc3953"/>
      <w:r>
        <w:rPr>
          <w:rFonts w:hint="eastAsia" w:ascii="宋体" w:hAnsi="宋体" w:eastAsia="宋体" w:cs="宋体"/>
          <w:b/>
          <w:bCs/>
          <w:color w:val="auto"/>
          <w:kern w:val="2"/>
          <w:sz w:val="32"/>
          <w:szCs w:val="21"/>
          <w:highlight w:val="none"/>
          <w:lang w:val="en-US" w:eastAsia="zh-CN"/>
        </w:rPr>
        <w:t>报价一览表</w:t>
      </w:r>
      <w:bookmarkEnd w:id="208"/>
      <w:bookmarkEnd w:id="209"/>
      <w:bookmarkEnd w:id="210"/>
      <w:bookmarkEnd w:id="211"/>
    </w:p>
    <w:bookmarkEnd w:id="212"/>
    <w:tbl>
      <w:tblPr>
        <w:tblStyle w:val="27"/>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6493"/>
      </w:tblGrid>
      <w:tr w14:paraId="0335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tcBorders>
              <w:bottom w:val="single" w:color="auto" w:sz="4" w:space="0"/>
            </w:tcBorders>
            <w:vAlign w:val="center"/>
          </w:tcPr>
          <w:p w14:paraId="775B671A">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rPr>
            </w:pPr>
            <w:bookmarkStart w:id="213" w:name="_Toc3980"/>
            <w:bookmarkStart w:id="214" w:name="_Toc14063"/>
            <w:r>
              <w:rPr>
                <w:rFonts w:hint="eastAsia" w:ascii="宋体" w:hAnsi="宋体" w:eastAsia="宋体" w:cs="宋体"/>
                <w:b/>
                <w:bCs/>
                <w:color w:val="auto"/>
                <w:sz w:val="24"/>
                <w:szCs w:val="24"/>
                <w:highlight w:val="none"/>
              </w:rPr>
              <w:t>供应商名称</w:t>
            </w:r>
          </w:p>
        </w:tc>
        <w:tc>
          <w:tcPr>
            <w:tcW w:w="6493" w:type="dxa"/>
            <w:tcBorders>
              <w:bottom w:val="single" w:color="auto" w:sz="4" w:space="0"/>
            </w:tcBorders>
            <w:vAlign w:val="center"/>
          </w:tcPr>
          <w:p w14:paraId="0CEFDE1D">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p>
        </w:tc>
      </w:tr>
      <w:tr w14:paraId="56C6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tcBorders>
              <w:bottom w:val="single" w:color="auto" w:sz="4" w:space="0"/>
            </w:tcBorders>
            <w:vAlign w:val="center"/>
          </w:tcPr>
          <w:p w14:paraId="177E8048">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项目名称+标项号</w:t>
            </w:r>
          </w:p>
        </w:tc>
        <w:tc>
          <w:tcPr>
            <w:tcW w:w="6493" w:type="dxa"/>
            <w:tcBorders>
              <w:bottom w:val="single" w:color="auto" w:sz="4" w:space="0"/>
            </w:tcBorders>
            <w:vAlign w:val="center"/>
          </w:tcPr>
          <w:p w14:paraId="1D9C501F">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p>
        </w:tc>
      </w:tr>
      <w:tr w14:paraId="7D09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vAlign w:val="center"/>
          </w:tcPr>
          <w:p w14:paraId="460F95CC">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投标报价</w:t>
            </w:r>
          </w:p>
        </w:tc>
        <w:tc>
          <w:tcPr>
            <w:tcW w:w="6493" w:type="dxa"/>
            <w:vAlign w:val="center"/>
          </w:tcPr>
          <w:p w14:paraId="3770EA9C">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157" w:beforeLines="50" w:beforeAutospacing="0" w:after="0" w:afterAutospacing="0" w:line="240"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w:t>
            </w:r>
          </w:p>
          <w:p w14:paraId="37959793">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157" w:beforeLines="50" w:beforeAutospacing="0" w:after="0" w:afterAutospacing="0" w:line="240"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w:t>
            </w:r>
          </w:p>
        </w:tc>
      </w:tr>
      <w:tr w14:paraId="0029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vAlign w:val="center"/>
          </w:tcPr>
          <w:p w14:paraId="577B987C">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合同履行期限（供货期限）</w:t>
            </w:r>
          </w:p>
        </w:tc>
        <w:tc>
          <w:tcPr>
            <w:tcW w:w="6493" w:type="dxa"/>
            <w:vAlign w:val="center"/>
          </w:tcPr>
          <w:p w14:paraId="664319FF">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p>
        </w:tc>
      </w:tr>
      <w:tr w14:paraId="2C1F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vAlign w:val="center"/>
          </w:tcPr>
          <w:p w14:paraId="00A83CD5">
            <w:pPr>
              <w:keepNext w:val="0"/>
              <w:keepLines w:val="0"/>
              <w:suppressLineNumbers w:val="0"/>
              <w:tabs>
                <w:tab w:val="left" w:pos="5527"/>
              </w:tabs>
              <w:bidi w:val="0"/>
              <w:spacing w:before="0" w:beforeAutospacing="0" w:after="0" w:afterAutospacing="0" w:line="240" w:lineRule="auto"/>
              <w:ind w:left="0" w:right="0"/>
              <w:jc w:val="center"/>
              <w:outlineLvl w:val="9"/>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质保期</w:t>
            </w:r>
          </w:p>
        </w:tc>
        <w:tc>
          <w:tcPr>
            <w:tcW w:w="6493" w:type="dxa"/>
            <w:vAlign w:val="center"/>
          </w:tcPr>
          <w:p w14:paraId="0BE4B428">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p>
        </w:tc>
      </w:tr>
      <w:tr w14:paraId="4F85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vAlign w:val="center"/>
          </w:tcPr>
          <w:p w14:paraId="5C9A3C08">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    注</w:t>
            </w:r>
          </w:p>
        </w:tc>
        <w:tc>
          <w:tcPr>
            <w:tcW w:w="6493" w:type="dxa"/>
            <w:vAlign w:val="center"/>
          </w:tcPr>
          <w:p w14:paraId="43B56FEC">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投标报价不得高于最高限价金额，否则将按无效投标处理</w:t>
            </w:r>
            <w:r>
              <w:rPr>
                <w:rFonts w:hint="eastAsia" w:ascii="宋体" w:hAnsi="宋体" w:eastAsia="宋体" w:cs="宋体"/>
                <w:b/>
                <w:bCs/>
                <w:color w:val="auto"/>
                <w:sz w:val="24"/>
                <w:szCs w:val="24"/>
                <w:highlight w:val="none"/>
                <w:lang w:val="en-US" w:eastAsia="zh-CN"/>
              </w:rPr>
              <w:t>。</w:t>
            </w:r>
          </w:p>
        </w:tc>
      </w:tr>
    </w:tbl>
    <w:p w14:paraId="5CD34699">
      <w:pPr>
        <w:tabs>
          <w:tab w:val="left" w:pos="5527"/>
        </w:tabs>
        <w:spacing w:line="360" w:lineRule="auto"/>
        <w:jc w:val="left"/>
        <w:outlineLvl w:val="9"/>
        <w:rPr>
          <w:rFonts w:hint="eastAsia" w:ascii="宋体" w:hAnsi="宋体" w:eastAsia="宋体" w:cs="宋体"/>
          <w:b/>
          <w:bCs/>
          <w:color w:val="auto"/>
          <w:sz w:val="24"/>
          <w:szCs w:val="24"/>
          <w:highlight w:val="none"/>
        </w:rPr>
      </w:pPr>
    </w:p>
    <w:p w14:paraId="6B02C5D8">
      <w:pPr>
        <w:tabs>
          <w:tab w:val="left" w:pos="5527"/>
        </w:tabs>
        <w:bidi w:val="0"/>
        <w:spacing w:line="360" w:lineRule="auto"/>
        <w:jc w:val="center"/>
        <w:outlineLvl w:val="9"/>
        <w:rPr>
          <w:rFonts w:hint="eastAsia" w:ascii="宋体" w:hAnsi="宋体" w:eastAsia="宋体" w:cs="宋体"/>
          <w:bCs/>
          <w:color w:val="auto"/>
          <w:sz w:val="20"/>
          <w:szCs w:val="18"/>
          <w:highlight w:val="none"/>
          <w:lang w:val="en-US" w:eastAsia="zh-CN"/>
        </w:rPr>
      </w:pPr>
      <w:r>
        <w:rPr>
          <w:rFonts w:hint="eastAsia" w:ascii="宋体" w:hAnsi="宋体" w:eastAsia="宋体" w:cs="宋体"/>
          <w:bCs/>
          <w:color w:val="auto"/>
          <w:sz w:val="20"/>
          <w:szCs w:val="18"/>
          <w:highlight w:val="none"/>
        </w:rPr>
        <w:t xml:space="preserve">    </w:t>
      </w:r>
      <w:r>
        <w:rPr>
          <w:rFonts w:hint="eastAsia" w:ascii="宋体" w:hAnsi="宋体" w:eastAsia="宋体" w:cs="宋体"/>
          <w:bCs/>
          <w:color w:val="auto"/>
          <w:sz w:val="20"/>
          <w:szCs w:val="18"/>
          <w:highlight w:val="none"/>
          <w:lang w:val="en-US" w:eastAsia="zh-CN"/>
        </w:rPr>
        <w:t xml:space="preserve">            </w:t>
      </w:r>
    </w:p>
    <w:p w14:paraId="4751C4EE">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0"/>
          <w:szCs w:val="18"/>
          <w:highlight w:val="none"/>
          <w:lang w:val="en-US" w:eastAsia="zh-CN"/>
        </w:rPr>
        <w:t xml:space="preserve">                     </w:t>
      </w:r>
      <w:r>
        <w:rPr>
          <w:rFonts w:hint="eastAsia" w:ascii="宋体" w:hAnsi="宋体" w:eastAsia="宋体" w:cs="宋体"/>
          <w:color w:val="auto"/>
          <w:sz w:val="24"/>
          <w:szCs w:val="24"/>
          <w:highlight w:val="none"/>
        </w:rPr>
        <w:t>供应商名称（盖章）：</w:t>
      </w:r>
    </w:p>
    <w:p w14:paraId="095AFF4B">
      <w:pPr>
        <w:tabs>
          <w:tab w:val="left" w:pos="5527"/>
        </w:tabs>
        <w:bidi w:val="0"/>
        <w:spacing w:line="360" w:lineRule="auto"/>
        <w:jc w:val="right"/>
        <w:outlineLvl w:val="9"/>
        <w:rPr>
          <w:rFonts w:hint="eastAsia" w:ascii="宋体" w:hAnsi="宋体" w:eastAsia="宋体" w:cs="宋体"/>
          <w:color w:val="auto"/>
          <w:sz w:val="24"/>
          <w:szCs w:val="24"/>
          <w:highlight w:val="none"/>
        </w:rPr>
      </w:pPr>
    </w:p>
    <w:p w14:paraId="6E1D2E35">
      <w:pPr>
        <w:tabs>
          <w:tab w:val="left" w:pos="5527"/>
        </w:tabs>
        <w:bidi w:val="0"/>
        <w:spacing w:line="360" w:lineRule="auto"/>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法定代表人或委托代理人（签字或盖章）：</w:t>
      </w:r>
    </w:p>
    <w:p w14:paraId="5F4598AE">
      <w:pPr>
        <w:tabs>
          <w:tab w:val="left" w:pos="5527"/>
        </w:tabs>
        <w:bidi w:val="0"/>
        <w:spacing w:line="360" w:lineRule="auto"/>
        <w:jc w:val="right"/>
        <w:outlineLvl w:val="9"/>
        <w:rPr>
          <w:rFonts w:hint="eastAsia" w:ascii="宋体" w:hAnsi="宋体" w:eastAsia="宋体" w:cs="宋体"/>
          <w:color w:val="auto"/>
          <w:sz w:val="24"/>
          <w:szCs w:val="24"/>
          <w:highlight w:val="none"/>
        </w:rPr>
      </w:pPr>
    </w:p>
    <w:p w14:paraId="412FB106">
      <w:pPr>
        <w:tabs>
          <w:tab w:val="left" w:pos="5527"/>
        </w:tabs>
        <w:bidi w:val="0"/>
        <w:spacing w:line="36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日期：     年   月   日</w:t>
      </w:r>
    </w:p>
    <w:p w14:paraId="13017372">
      <w:pPr>
        <w:pStyle w:val="5"/>
        <w:tabs>
          <w:tab w:val="left" w:pos="5527"/>
        </w:tabs>
        <w:ind w:firstLine="0"/>
        <w:jc w:val="right"/>
        <w:outlineLvl w:val="9"/>
        <w:rPr>
          <w:rFonts w:hint="eastAsia" w:ascii="宋体" w:hAnsi="宋体" w:eastAsia="宋体" w:cs="宋体"/>
          <w:color w:val="auto"/>
          <w:highlight w:val="none"/>
        </w:rPr>
      </w:pPr>
    </w:p>
    <w:p w14:paraId="4E4E3675">
      <w:pPr>
        <w:keepNext w:val="0"/>
        <w:numPr>
          <w:ilvl w:val="0"/>
          <w:numId w:val="0"/>
        </w:numPr>
        <w:tabs>
          <w:tab w:val="left" w:pos="420"/>
          <w:tab w:val="left" w:pos="5527"/>
        </w:tabs>
        <w:jc w:val="left"/>
        <w:outlineLvl w:val="9"/>
        <w:rPr>
          <w:rStyle w:val="39"/>
          <w:rFonts w:hint="eastAsia" w:ascii="宋体" w:hAnsi="宋体" w:eastAsia="宋体" w:cs="宋体"/>
          <w:color w:val="auto"/>
          <w:sz w:val="32"/>
          <w:szCs w:val="28"/>
          <w:highlight w:val="none"/>
          <w:lang w:val="en-US" w:eastAsia="zh-CN"/>
        </w:rPr>
      </w:pPr>
      <w:r>
        <w:rPr>
          <w:rStyle w:val="39"/>
          <w:rFonts w:hint="eastAsia" w:ascii="宋体" w:hAnsi="宋体" w:eastAsia="宋体" w:cs="宋体"/>
          <w:color w:val="auto"/>
          <w:sz w:val="32"/>
          <w:szCs w:val="28"/>
          <w:highlight w:val="none"/>
          <w:lang w:val="en-US" w:eastAsia="zh-CN"/>
        </w:rPr>
        <w:br w:type="page"/>
      </w:r>
      <w:bookmarkStart w:id="215" w:name="_Toc7405"/>
      <w:bookmarkStart w:id="216" w:name="_Toc25294"/>
      <w:bookmarkStart w:id="217" w:name="_Toc30475"/>
      <w:bookmarkStart w:id="218" w:name="_Toc16510"/>
      <w:bookmarkStart w:id="219" w:name="_Toc21807"/>
      <w:bookmarkStart w:id="220" w:name="_Toc22056"/>
      <w:bookmarkStart w:id="221" w:name="_Toc21365"/>
      <w:r>
        <w:rPr>
          <w:rStyle w:val="39"/>
          <w:rFonts w:hint="eastAsia" w:ascii="宋体" w:hAnsi="宋体" w:eastAsia="宋体" w:cs="宋体"/>
          <w:color w:val="auto"/>
          <w:sz w:val="32"/>
          <w:szCs w:val="28"/>
          <w:highlight w:val="none"/>
          <w:lang w:val="en-US" w:eastAsia="zh-CN"/>
        </w:rPr>
        <w:t>附件3.1</w:t>
      </w:r>
      <w:bookmarkEnd w:id="213"/>
      <w:bookmarkEnd w:id="214"/>
      <w:bookmarkEnd w:id="215"/>
      <w:bookmarkEnd w:id="216"/>
    </w:p>
    <w:bookmarkEnd w:id="217"/>
    <w:bookmarkEnd w:id="218"/>
    <w:bookmarkEnd w:id="219"/>
    <w:bookmarkEnd w:id="220"/>
    <w:bookmarkEnd w:id="221"/>
    <w:p w14:paraId="3D2345B8">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22" w:name="_Toc10756"/>
      <w:bookmarkStart w:id="223" w:name="_Toc71803754"/>
      <w:bookmarkStart w:id="224" w:name="_Toc3145"/>
      <w:bookmarkStart w:id="225" w:name="_Toc15432"/>
      <w:bookmarkStart w:id="226" w:name="_Toc23701"/>
      <w:bookmarkStart w:id="227" w:name="_Toc22472"/>
      <w:bookmarkStart w:id="228" w:name="_Toc8623"/>
      <w:bookmarkStart w:id="229" w:name="_Toc22103"/>
      <w:bookmarkStart w:id="230" w:name="_Toc7675"/>
      <w:bookmarkStart w:id="231" w:name="_Toc21598"/>
      <w:r>
        <w:rPr>
          <w:rFonts w:hint="eastAsia" w:ascii="宋体" w:hAnsi="宋体" w:eastAsia="宋体" w:cs="宋体"/>
          <w:b/>
          <w:bCs/>
          <w:color w:val="auto"/>
          <w:kern w:val="2"/>
          <w:sz w:val="32"/>
          <w:szCs w:val="21"/>
          <w:highlight w:val="none"/>
          <w:lang w:val="en-US" w:eastAsia="zh-CN"/>
        </w:rPr>
        <w:t>分项报价明细表</w:t>
      </w:r>
      <w:bookmarkEnd w:id="222"/>
      <w:bookmarkEnd w:id="223"/>
      <w:bookmarkEnd w:id="224"/>
    </w:p>
    <w:bookmarkEnd w:id="225"/>
    <w:bookmarkEnd w:id="226"/>
    <w:tbl>
      <w:tblPr>
        <w:tblStyle w:val="27"/>
        <w:tblW w:w="10543" w:type="dxa"/>
        <w:jc w:val="center"/>
        <w:tblLayout w:type="fixed"/>
        <w:tblCellMar>
          <w:top w:w="0" w:type="dxa"/>
          <w:left w:w="108" w:type="dxa"/>
          <w:bottom w:w="0" w:type="dxa"/>
          <w:right w:w="108" w:type="dxa"/>
        </w:tblCellMar>
      </w:tblPr>
      <w:tblGrid>
        <w:gridCol w:w="1048"/>
        <w:gridCol w:w="1689"/>
        <w:gridCol w:w="1595"/>
        <w:gridCol w:w="803"/>
        <w:gridCol w:w="865"/>
        <w:gridCol w:w="825"/>
        <w:gridCol w:w="1047"/>
        <w:gridCol w:w="929"/>
        <w:gridCol w:w="900"/>
        <w:gridCol w:w="842"/>
      </w:tblGrid>
      <w:tr w14:paraId="16422C21">
        <w:tblPrEx>
          <w:tblCellMar>
            <w:top w:w="0" w:type="dxa"/>
            <w:left w:w="108" w:type="dxa"/>
            <w:bottom w:w="0" w:type="dxa"/>
            <w:right w:w="108" w:type="dxa"/>
          </w:tblCellMar>
        </w:tblPrEx>
        <w:trPr>
          <w:trHeight w:val="664" w:hRule="atLeast"/>
          <w:jc w:val="center"/>
        </w:trPr>
        <w:tc>
          <w:tcPr>
            <w:tcW w:w="1048" w:type="dxa"/>
            <w:tcBorders>
              <w:top w:val="single" w:color="000000" w:sz="4" w:space="0"/>
              <w:left w:val="single" w:color="000000" w:sz="4" w:space="0"/>
              <w:right w:val="single" w:color="000000" w:sz="4" w:space="0"/>
            </w:tcBorders>
            <w:vAlign w:val="center"/>
          </w:tcPr>
          <w:p w14:paraId="3A849F3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689" w:type="dxa"/>
            <w:tcBorders>
              <w:top w:val="single" w:color="000000" w:sz="4" w:space="0"/>
              <w:left w:val="single" w:color="000000" w:sz="4" w:space="0"/>
              <w:right w:val="single" w:color="000000" w:sz="4" w:space="0"/>
            </w:tcBorders>
            <w:vAlign w:val="center"/>
          </w:tcPr>
          <w:p w14:paraId="1ABAB0B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名称</w:t>
            </w:r>
          </w:p>
        </w:tc>
        <w:tc>
          <w:tcPr>
            <w:tcW w:w="1595" w:type="dxa"/>
            <w:tcBorders>
              <w:top w:val="single" w:color="000000" w:sz="4" w:space="0"/>
              <w:left w:val="single" w:color="000000" w:sz="4" w:space="0"/>
              <w:right w:val="single" w:color="000000" w:sz="4" w:space="0"/>
            </w:tcBorders>
            <w:vAlign w:val="center"/>
          </w:tcPr>
          <w:p w14:paraId="2C9BCD0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lang w:val="en-US" w:eastAsia="zh-CN"/>
              </w:rPr>
              <w:t>规格</w:t>
            </w:r>
          </w:p>
        </w:tc>
        <w:tc>
          <w:tcPr>
            <w:tcW w:w="803" w:type="dxa"/>
            <w:tcBorders>
              <w:top w:val="single" w:color="000000" w:sz="4" w:space="0"/>
              <w:left w:val="single" w:color="000000" w:sz="4" w:space="0"/>
              <w:right w:val="single" w:color="000000" w:sz="4" w:space="0"/>
            </w:tcBorders>
            <w:vAlign w:val="center"/>
          </w:tcPr>
          <w:p w14:paraId="79F1433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单位</w:t>
            </w:r>
          </w:p>
        </w:tc>
        <w:tc>
          <w:tcPr>
            <w:tcW w:w="865" w:type="dxa"/>
            <w:tcBorders>
              <w:top w:val="single" w:color="000000" w:sz="4" w:space="0"/>
              <w:left w:val="single" w:color="000000" w:sz="4" w:space="0"/>
              <w:right w:val="single" w:color="000000" w:sz="4" w:space="0"/>
            </w:tcBorders>
            <w:vAlign w:val="center"/>
          </w:tcPr>
          <w:p w14:paraId="480663E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数量</w:t>
            </w:r>
          </w:p>
        </w:tc>
        <w:tc>
          <w:tcPr>
            <w:tcW w:w="825" w:type="dxa"/>
            <w:tcBorders>
              <w:top w:val="single" w:color="000000" w:sz="4" w:space="0"/>
              <w:left w:val="single" w:color="000000" w:sz="4" w:space="0"/>
              <w:right w:val="single" w:color="000000" w:sz="4" w:space="0"/>
            </w:tcBorders>
            <w:vAlign w:val="center"/>
          </w:tcPr>
          <w:p w14:paraId="0897392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单价</w:t>
            </w:r>
          </w:p>
        </w:tc>
        <w:tc>
          <w:tcPr>
            <w:tcW w:w="1047" w:type="dxa"/>
            <w:tcBorders>
              <w:top w:val="single" w:color="000000" w:sz="4" w:space="0"/>
              <w:left w:val="single" w:color="000000" w:sz="4" w:space="0"/>
              <w:right w:val="single" w:color="000000" w:sz="4" w:space="0"/>
            </w:tcBorders>
            <w:vAlign w:val="center"/>
          </w:tcPr>
          <w:p w14:paraId="21FDB5B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default"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总价</w:t>
            </w:r>
          </w:p>
        </w:tc>
        <w:tc>
          <w:tcPr>
            <w:tcW w:w="929" w:type="dxa"/>
            <w:tcBorders>
              <w:top w:val="single" w:color="000000" w:sz="4" w:space="0"/>
              <w:left w:val="single" w:color="000000" w:sz="4" w:space="0"/>
              <w:right w:val="single" w:color="000000" w:sz="4" w:space="0"/>
            </w:tcBorders>
            <w:vAlign w:val="center"/>
          </w:tcPr>
          <w:p w14:paraId="7C9655B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default"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品牌</w:t>
            </w:r>
          </w:p>
        </w:tc>
        <w:tc>
          <w:tcPr>
            <w:tcW w:w="900" w:type="dxa"/>
            <w:tcBorders>
              <w:top w:val="single" w:color="000000" w:sz="4" w:space="0"/>
              <w:left w:val="single" w:color="000000" w:sz="4" w:space="0"/>
              <w:right w:val="single" w:color="000000" w:sz="4" w:space="0"/>
            </w:tcBorders>
            <w:vAlign w:val="center"/>
          </w:tcPr>
          <w:p w14:paraId="173C41C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型号</w:t>
            </w:r>
          </w:p>
        </w:tc>
        <w:tc>
          <w:tcPr>
            <w:tcW w:w="842" w:type="dxa"/>
            <w:tcBorders>
              <w:top w:val="single" w:color="000000" w:sz="4" w:space="0"/>
              <w:left w:val="single" w:color="000000" w:sz="4" w:space="0"/>
              <w:right w:val="single" w:color="000000" w:sz="4" w:space="0"/>
            </w:tcBorders>
            <w:vAlign w:val="center"/>
          </w:tcPr>
          <w:p w14:paraId="56E7E62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备注</w:t>
            </w:r>
          </w:p>
        </w:tc>
      </w:tr>
      <w:tr w14:paraId="72F667C1">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368637B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6EC7BAB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41921B70">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6C5921C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37EB40B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2A83866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3BF91C6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2CD2647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7A547F9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54133A0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75314B3B">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2BE8964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076405A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291377E9">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209EA47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41B3D68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4F548E2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3053350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534E47F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55BABED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134A65B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7B307217">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7B6524F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6CF89F3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1C69B5B5">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7C1150B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08B5BD9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7F74786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75346DB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0EBA0CD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338830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777F559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51A15107">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6F0C721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395EC4A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3F63FA2F">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11C7E95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078D700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6204D84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3D3F103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57B6F97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C692EB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4E7FF6E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7F524FDA">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4AC50A2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4274406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2A27C00B">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0E43A22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7112E99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1BD71CF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5F5996B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05BBADD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38AA66A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5929B79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6C3E1EEE">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22DED03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603F5BF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5320C76A">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62CC71B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1861460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234432A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28D4E60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118FEF7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004405B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5F1F64C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5763E1D8">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75EE5A6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6FFFBDF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6FA785A5">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3BD4A97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29F90E8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34DE16B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35DB83F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38E7225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3692A3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1361DF2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377B46E5">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25F707D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12A15CF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0C786F3D">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6661530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2286423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5A5B342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5B79CA1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7655443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5167337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36C04B8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7782C253">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370A6B3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689" w:type="dxa"/>
            <w:tcBorders>
              <w:top w:val="single" w:color="000000" w:sz="4" w:space="0"/>
              <w:left w:val="single" w:color="000000" w:sz="4" w:space="0"/>
              <w:bottom w:val="single" w:color="000000" w:sz="4" w:space="0"/>
              <w:right w:val="single" w:color="000000" w:sz="4" w:space="0"/>
            </w:tcBorders>
            <w:vAlign w:val="center"/>
          </w:tcPr>
          <w:p w14:paraId="4326AAD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auto" w:sz="4" w:space="0"/>
            </w:tcBorders>
            <w:vAlign w:val="center"/>
          </w:tcPr>
          <w:p w14:paraId="65ECC64A">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sz w:val="24"/>
                <w:szCs w:val="24"/>
                <w:highlight w:val="none"/>
              </w:rPr>
            </w:pPr>
          </w:p>
        </w:tc>
        <w:tc>
          <w:tcPr>
            <w:tcW w:w="803" w:type="dxa"/>
            <w:tcBorders>
              <w:top w:val="single" w:color="000000" w:sz="4" w:space="0"/>
              <w:left w:val="single" w:color="auto" w:sz="4" w:space="0"/>
              <w:bottom w:val="single" w:color="000000" w:sz="4" w:space="0"/>
              <w:right w:val="single" w:color="000000" w:sz="4" w:space="0"/>
            </w:tcBorders>
            <w:vAlign w:val="center"/>
          </w:tcPr>
          <w:p w14:paraId="4E4CCCB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1A6798E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2CA24D1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5BBF3F1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0D9466A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6F02DD9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75A5CC6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44757CF7">
        <w:tblPrEx>
          <w:tblCellMar>
            <w:top w:w="0" w:type="dxa"/>
            <w:left w:w="108" w:type="dxa"/>
            <w:bottom w:w="0" w:type="dxa"/>
            <w:right w:w="108" w:type="dxa"/>
          </w:tblCellMar>
        </w:tblPrEx>
        <w:trPr>
          <w:trHeight w:val="61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4817C5E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合计</w:t>
            </w:r>
          </w:p>
        </w:tc>
        <w:tc>
          <w:tcPr>
            <w:tcW w:w="1689" w:type="dxa"/>
            <w:tcBorders>
              <w:top w:val="single" w:color="000000" w:sz="4" w:space="0"/>
              <w:left w:val="single" w:color="000000" w:sz="4" w:space="0"/>
              <w:bottom w:val="single" w:color="000000" w:sz="4" w:space="0"/>
              <w:right w:val="single" w:color="000000" w:sz="4" w:space="0"/>
            </w:tcBorders>
            <w:vAlign w:val="center"/>
          </w:tcPr>
          <w:p w14:paraId="6C54F53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auto" w:sz="4" w:space="0"/>
            </w:tcBorders>
            <w:vAlign w:val="center"/>
          </w:tcPr>
          <w:p w14:paraId="5DBCABCF">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sz w:val="24"/>
                <w:szCs w:val="24"/>
                <w:highlight w:val="none"/>
              </w:rPr>
            </w:pPr>
          </w:p>
        </w:tc>
        <w:tc>
          <w:tcPr>
            <w:tcW w:w="803" w:type="dxa"/>
            <w:tcBorders>
              <w:top w:val="single" w:color="000000" w:sz="4" w:space="0"/>
              <w:left w:val="single" w:color="auto" w:sz="4" w:space="0"/>
              <w:bottom w:val="single" w:color="000000" w:sz="4" w:space="0"/>
              <w:right w:val="single" w:color="000000" w:sz="4" w:space="0"/>
            </w:tcBorders>
            <w:vAlign w:val="center"/>
          </w:tcPr>
          <w:p w14:paraId="0702005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4898960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7C13B6F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670AABE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24C0AC0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5525E76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132B6C5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bl>
    <w:p w14:paraId="53F2CCB7">
      <w:pPr>
        <w:pStyle w:val="18"/>
        <w:tabs>
          <w:tab w:val="left" w:pos="5527"/>
        </w:tabs>
        <w:ind w:firstLine="0"/>
        <w:jc w:val="left"/>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1.供应商根据</w:t>
      </w:r>
      <w:r>
        <w:rPr>
          <w:rFonts w:hint="eastAsia" w:ascii="宋体" w:hAnsi="宋体" w:eastAsia="宋体" w:cs="宋体"/>
          <w:b/>
          <w:bCs/>
          <w:color w:val="auto"/>
          <w:sz w:val="24"/>
          <w:szCs w:val="24"/>
          <w:highlight w:val="none"/>
        </w:rPr>
        <w:t xml:space="preserve">“第三章 </w:t>
      </w:r>
      <w:r>
        <w:rPr>
          <w:rFonts w:hint="eastAsia" w:ascii="宋体" w:hAnsi="宋体" w:eastAsia="宋体" w:cs="宋体"/>
          <w:b/>
          <w:bCs/>
          <w:color w:val="auto"/>
          <w:sz w:val="24"/>
          <w:szCs w:val="24"/>
          <w:highlight w:val="none"/>
          <w:lang w:val="en-US" w:eastAsia="zh-CN"/>
        </w:rPr>
        <w:t xml:space="preserve">采购清单 </w:t>
      </w:r>
      <w:r>
        <w:rPr>
          <w:rFonts w:hint="eastAsia" w:ascii="宋体" w:hAnsi="宋体" w:eastAsia="宋体" w:cs="宋体"/>
          <w:b/>
          <w:bCs/>
          <w:color w:val="auto"/>
          <w:sz w:val="24"/>
          <w:szCs w:val="24"/>
          <w:highlight w:val="none"/>
        </w:rPr>
        <w:t>”</w:t>
      </w:r>
      <w:r>
        <w:rPr>
          <w:rFonts w:hint="eastAsia" w:ascii="宋体" w:hAnsi="宋体" w:eastAsia="宋体" w:cs="宋体"/>
          <w:b w:val="0"/>
          <w:bCs w:val="0"/>
          <w:color w:val="auto"/>
          <w:sz w:val="24"/>
          <w:szCs w:val="24"/>
          <w:highlight w:val="none"/>
          <w:lang w:val="en-US" w:eastAsia="zh-CN"/>
        </w:rPr>
        <w:t>自行编辑并完全</w:t>
      </w:r>
      <w:r>
        <w:rPr>
          <w:rFonts w:hint="eastAsia" w:ascii="宋体" w:hAnsi="宋体" w:eastAsia="宋体" w:cs="宋体"/>
          <w:b w:val="0"/>
          <w:bCs w:val="0"/>
          <w:color w:val="auto"/>
          <w:sz w:val="24"/>
          <w:szCs w:val="24"/>
          <w:highlight w:val="none"/>
        </w:rPr>
        <w:t>响应</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如表格数量不足可延伸</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rPr>
        <w:t>不得少项漏项，</w:t>
      </w:r>
      <w:r>
        <w:rPr>
          <w:rFonts w:hint="eastAsia" w:ascii="宋体" w:hAnsi="宋体" w:eastAsia="宋体" w:cs="宋体"/>
          <w:b/>
          <w:bCs/>
          <w:color w:val="auto"/>
          <w:sz w:val="24"/>
          <w:szCs w:val="24"/>
          <w:highlight w:val="none"/>
          <w:lang w:val="en-US" w:eastAsia="zh-CN"/>
        </w:rPr>
        <w:t>报</w:t>
      </w:r>
      <w:r>
        <w:rPr>
          <w:rFonts w:hint="eastAsia" w:ascii="宋体" w:hAnsi="宋体" w:eastAsia="宋体" w:cs="宋体"/>
          <w:b/>
          <w:bCs/>
          <w:color w:val="auto"/>
          <w:sz w:val="24"/>
          <w:szCs w:val="24"/>
          <w:highlight w:val="none"/>
        </w:rPr>
        <w:t>价保留小数点后两位数。</w:t>
      </w:r>
    </w:p>
    <w:p w14:paraId="62002F3B">
      <w:pPr>
        <w:pStyle w:val="18"/>
        <w:tabs>
          <w:tab w:val="left" w:pos="5527"/>
        </w:tabs>
        <w:ind w:firstLine="0"/>
        <w:jc w:val="left"/>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投标规格以投标产品和服务所能达到的内容予以填写</w:t>
      </w:r>
      <w:r>
        <w:rPr>
          <w:rFonts w:hint="eastAsia" w:ascii="宋体" w:hAnsi="宋体" w:eastAsia="宋体" w:cs="宋体"/>
          <w:b/>
          <w:bCs/>
          <w:color w:val="auto"/>
          <w:sz w:val="24"/>
          <w:szCs w:val="24"/>
          <w:highlight w:val="none"/>
          <w:lang w:eastAsia="zh-CN"/>
        </w:rPr>
        <w:t>。</w:t>
      </w:r>
    </w:p>
    <w:p w14:paraId="7F1422D7">
      <w:pPr>
        <w:pStyle w:val="18"/>
        <w:tabs>
          <w:tab w:val="left" w:pos="5527"/>
        </w:tabs>
        <w:ind w:firstLine="0"/>
        <w:jc w:val="left"/>
        <w:outlineLvl w:val="9"/>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 xml:space="preserve">  </w:t>
      </w:r>
    </w:p>
    <w:p w14:paraId="14423B45">
      <w:pPr>
        <w:tabs>
          <w:tab w:val="left" w:pos="5527"/>
        </w:tabs>
        <w:spacing w:line="480" w:lineRule="auto"/>
        <w:jc w:val="center"/>
        <w:outlineLvl w:val="9"/>
        <w:rPr>
          <w:rFonts w:hint="eastAsia" w:ascii="宋体" w:hAnsi="宋体" w:eastAsia="宋体" w:cs="宋体"/>
          <w:color w:val="auto"/>
          <w:sz w:val="28"/>
          <w:szCs w:val="28"/>
          <w:highlight w:val="none"/>
        </w:rPr>
      </w:pPr>
      <w:r>
        <w:rPr>
          <w:rFonts w:hint="eastAsia" w:ascii="宋体" w:hAnsi="宋体" w:eastAsia="宋体" w:cs="宋体"/>
          <w:bCs/>
          <w:color w:val="auto"/>
          <w:highlight w:val="none"/>
        </w:rPr>
        <w:t xml:space="preserve">  </w:t>
      </w:r>
      <w:r>
        <w:rPr>
          <w:rFonts w:hint="eastAsia" w:ascii="宋体" w:hAnsi="宋体" w:eastAsia="宋体" w:cs="宋体"/>
          <w:color w:val="auto"/>
          <w:sz w:val="28"/>
          <w:szCs w:val="28"/>
          <w:highlight w:val="none"/>
        </w:rPr>
        <w:t>供应商名称（盖章）：</w:t>
      </w:r>
    </w:p>
    <w:p w14:paraId="7DAA8488">
      <w:pPr>
        <w:tabs>
          <w:tab w:val="left" w:pos="5527"/>
        </w:tabs>
        <w:spacing w:line="48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33506BD3">
      <w:pPr>
        <w:tabs>
          <w:tab w:val="left" w:pos="5527"/>
        </w:tabs>
        <w:wordWrap w:val="0"/>
        <w:spacing w:line="48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6C62AC58">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14:paraId="3E6D6F61">
      <w:pPr>
        <w:pStyle w:val="47"/>
        <w:rPr>
          <w:rStyle w:val="39"/>
          <w:rFonts w:hint="eastAsia" w:ascii="宋体" w:hAnsi="宋体" w:cs="宋体"/>
          <w:color w:val="auto"/>
          <w:sz w:val="32"/>
          <w:szCs w:val="28"/>
          <w:highlight w:val="none"/>
          <w:lang w:val="en-US" w:eastAsia="zh-CN"/>
        </w:rPr>
      </w:pPr>
      <w:r>
        <w:rPr>
          <w:rStyle w:val="39"/>
          <w:rFonts w:hint="eastAsia" w:ascii="宋体" w:hAnsi="宋体" w:eastAsia="宋体" w:cs="宋体"/>
          <w:color w:val="auto"/>
          <w:sz w:val="32"/>
          <w:szCs w:val="28"/>
          <w:highlight w:val="none"/>
          <w:lang w:val="en-US" w:eastAsia="zh-CN"/>
        </w:rPr>
        <w:t>附件3.</w:t>
      </w:r>
      <w:r>
        <w:rPr>
          <w:rStyle w:val="39"/>
          <w:rFonts w:hint="eastAsia" w:ascii="宋体" w:hAnsi="宋体" w:cs="宋体"/>
          <w:color w:val="auto"/>
          <w:sz w:val="32"/>
          <w:szCs w:val="28"/>
          <w:highlight w:val="none"/>
          <w:lang w:val="en-US" w:eastAsia="zh-CN"/>
        </w:rPr>
        <w:t>2</w:t>
      </w:r>
    </w:p>
    <w:p w14:paraId="31A06780">
      <w:pPr>
        <w:keepNext w:val="0"/>
        <w:tabs>
          <w:tab w:val="left" w:pos="5527"/>
        </w:tabs>
        <w:spacing w:line="480" w:lineRule="auto"/>
        <w:jc w:val="center"/>
        <w:outlineLvl w:val="1"/>
        <w:rPr>
          <w:rFonts w:hint="eastAsia" w:ascii="宋体" w:hAnsi="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备品备件清单</w:t>
      </w:r>
      <w:r>
        <w:rPr>
          <w:rFonts w:hint="eastAsia" w:ascii="宋体" w:hAnsi="宋体" w:cs="宋体"/>
          <w:b/>
          <w:bCs/>
          <w:color w:val="auto"/>
          <w:kern w:val="2"/>
          <w:sz w:val="32"/>
          <w:szCs w:val="21"/>
          <w:highlight w:val="none"/>
          <w:lang w:val="en-US" w:eastAsia="zh-CN"/>
        </w:rPr>
        <w:t>（如有）</w:t>
      </w:r>
    </w:p>
    <w:tbl>
      <w:tblPr>
        <w:tblStyle w:val="28"/>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2350"/>
        <w:gridCol w:w="2350"/>
        <w:gridCol w:w="2350"/>
      </w:tblGrid>
      <w:tr w14:paraId="11B1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400" w:type="dxa"/>
            <w:gridSpan w:val="4"/>
          </w:tcPr>
          <w:p w14:paraId="71977B37">
            <w:pPr>
              <w:pStyle w:val="5"/>
              <w:keepNext w:val="0"/>
              <w:keepLines w:val="0"/>
              <w:suppressLineNumbers w:val="0"/>
              <w:tabs>
                <w:tab w:val="center" w:pos="4532"/>
              </w:tabs>
              <w:spacing w:before="0" w:beforeAutospacing="0" w:after="0" w:afterAutospacing="0"/>
              <w:ind w:left="0" w:right="0" w:firstLine="0"/>
              <w:jc w:val="center"/>
              <w:rPr>
                <w:rFonts w:hint="default"/>
                <w:b/>
                <w:bCs/>
                <w:color w:val="auto"/>
                <w:sz w:val="24"/>
                <w:szCs w:val="22"/>
                <w:highlight w:val="none"/>
              </w:rPr>
            </w:pPr>
            <w:bookmarkStart w:id="232" w:name="_Toc5595"/>
            <w:bookmarkStart w:id="233" w:name="_Toc7767"/>
            <w:bookmarkStart w:id="234" w:name="_Toc32751"/>
            <w:bookmarkStart w:id="235" w:name="_Toc5660"/>
            <w:bookmarkStart w:id="236" w:name="_Toc6308"/>
            <w:bookmarkStart w:id="237" w:name="_Toc1905"/>
            <w:r>
              <w:rPr>
                <w:rFonts w:hint="eastAsia"/>
                <w:b/>
                <w:bCs/>
                <w:color w:val="auto"/>
                <w:sz w:val="24"/>
                <w:szCs w:val="22"/>
                <w:highlight w:val="none"/>
              </w:rPr>
              <w:t>免费提供备损耗件备品备件及耗材清单</w:t>
            </w:r>
          </w:p>
        </w:tc>
      </w:tr>
      <w:tr w14:paraId="0682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vAlign w:val="center"/>
          </w:tcPr>
          <w:p w14:paraId="5E809AF2">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序号</w:t>
            </w:r>
          </w:p>
        </w:tc>
        <w:tc>
          <w:tcPr>
            <w:tcW w:w="2350" w:type="dxa"/>
            <w:vAlign w:val="center"/>
          </w:tcPr>
          <w:p w14:paraId="2300EA34">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备品备件名称</w:t>
            </w:r>
          </w:p>
        </w:tc>
        <w:tc>
          <w:tcPr>
            <w:tcW w:w="2350" w:type="dxa"/>
            <w:vAlign w:val="center"/>
          </w:tcPr>
          <w:p w14:paraId="57028A03">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价格</w:t>
            </w:r>
          </w:p>
        </w:tc>
        <w:tc>
          <w:tcPr>
            <w:tcW w:w="2350" w:type="dxa"/>
            <w:vAlign w:val="center"/>
          </w:tcPr>
          <w:p w14:paraId="0A4FC048">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备注</w:t>
            </w:r>
          </w:p>
        </w:tc>
      </w:tr>
      <w:tr w14:paraId="4848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1C6E6602">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0C2929C4">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9C802D0">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6CAB241A">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0F12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299D3982">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47681AA">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3F4DC0A">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B35C686">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3C0F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353DD99C">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349DC250">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0F3AF446">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6F31E031">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4314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326ED147">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320AC361">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5EB72DB3">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5798DC6E">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4054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2997A07E">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C66D3BC">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64EA1150">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40AE8D80">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5281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6A297BCB">
            <w:pPr>
              <w:pStyle w:val="5"/>
              <w:keepNext w:val="0"/>
              <w:keepLines w:val="0"/>
              <w:suppressLineNumbers w:val="0"/>
              <w:spacing w:before="0" w:beforeAutospacing="0" w:after="0" w:afterAutospacing="0"/>
              <w:ind w:left="0" w:right="0"/>
              <w:rPr>
                <w:rFonts w:hint="default"/>
                <w:b/>
                <w:bCs/>
                <w:color w:val="auto"/>
                <w:sz w:val="24"/>
                <w:szCs w:val="22"/>
                <w:highlight w:val="none"/>
              </w:rPr>
            </w:pPr>
            <w:r>
              <w:rPr>
                <w:rFonts w:hint="eastAsia"/>
                <w:b/>
                <w:bCs/>
                <w:color w:val="auto"/>
                <w:sz w:val="24"/>
                <w:szCs w:val="22"/>
                <w:highlight w:val="none"/>
              </w:rPr>
              <w:t>...</w:t>
            </w:r>
          </w:p>
        </w:tc>
        <w:tc>
          <w:tcPr>
            <w:tcW w:w="2350" w:type="dxa"/>
          </w:tcPr>
          <w:p w14:paraId="7180F003">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735D3084">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5866181">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1EC7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400" w:type="dxa"/>
            <w:gridSpan w:val="4"/>
          </w:tcPr>
          <w:p w14:paraId="7978A52B">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收费损耗备品备件清单</w:t>
            </w:r>
          </w:p>
        </w:tc>
      </w:tr>
      <w:tr w14:paraId="2233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vAlign w:val="center"/>
          </w:tcPr>
          <w:p w14:paraId="19ADB2CB">
            <w:pPr>
              <w:pStyle w:val="5"/>
              <w:keepNext w:val="0"/>
              <w:keepLines w:val="0"/>
              <w:suppressLineNumbers w:val="0"/>
              <w:spacing w:before="0" w:beforeAutospacing="0" w:after="0" w:afterAutospacing="0"/>
              <w:ind w:left="0" w:right="0" w:firstLine="0"/>
              <w:rPr>
                <w:rFonts w:hint="default"/>
                <w:b/>
                <w:bCs/>
                <w:color w:val="auto"/>
                <w:sz w:val="24"/>
                <w:szCs w:val="22"/>
                <w:highlight w:val="none"/>
              </w:rPr>
            </w:pPr>
            <w:r>
              <w:rPr>
                <w:rFonts w:hint="eastAsia"/>
                <w:b/>
                <w:bCs/>
                <w:color w:val="auto"/>
                <w:sz w:val="24"/>
                <w:szCs w:val="22"/>
                <w:highlight w:val="none"/>
              </w:rPr>
              <w:t>序号</w:t>
            </w:r>
          </w:p>
        </w:tc>
        <w:tc>
          <w:tcPr>
            <w:tcW w:w="2350" w:type="dxa"/>
            <w:vAlign w:val="center"/>
          </w:tcPr>
          <w:p w14:paraId="5362EB54">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备品备件名称</w:t>
            </w:r>
          </w:p>
        </w:tc>
        <w:tc>
          <w:tcPr>
            <w:tcW w:w="2350" w:type="dxa"/>
            <w:vAlign w:val="center"/>
          </w:tcPr>
          <w:p w14:paraId="78208BD1">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价格</w:t>
            </w:r>
          </w:p>
        </w:tc>
        <w:tc>
          <w:tcPr>
            <w:tcW w:w="2350" w:type="dxa"/>
            <w:vAlign w:val="center"/>
          </w:tcPr>
          <w:p w14:paraId="4E7C58F3">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备注</w:t>
            </w:r>
          </w:p>
        </w:tc>
      </w:tr>
      <w:tr w14:paraId="3B0E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344079CA">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186FDCB1">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1FB49A7D">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14D7FF14">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3CF1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76E06A34">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51ABF92B">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3FDAD140">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799C60CD">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5A8E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78A6A087">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142E8A92">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7755D6B4">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139A83F8">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4E0A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350" w:type="dxa"/>
          </w:tcPr>
          <w:p w14:paraId="425D7C3B">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667C3ED8">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3924E4D">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4E62610F">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3062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350" w:type="dxa"/>
          </w:tcPr>
          <w:p w14:paraId="4ACABA98">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3A50695E">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5A7E7364">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4C3FF996">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bl>
    <w:p w14:paraId="0D522C80">
      <w:pPr>
        <w:pStyle w:val="5"/>
        <w:rPr>
          <w:color w:val="auto"/>
          <w:highlight w:val="none"/>
        </w:rPr>
      </w:pPr>
    </w:p>
    <w:p w14:paraId="5F313CB6">
      <w:pPr>
        <w:pStyle w:val="6"/>
        <w:spacing w:line="240" w:lineRule="auto"/>
        <w:ind w:left="0" w:leftChars="0" w:firstLine="0" w:firstLineChars="0"/>
        <w:rPr>
          <w:color w:val="auto"/>
          <w:highlight w:val="none"/>
        </w:rPr>
      </w:pPr>
      <w:r>
        <w:rPr>
          <w:rFonts w:hint="eastAsia" w:ascii="宋体" w:hAnsi="宋体" w:eastAsia="宋体" w:cs="宋体"/>
          <w:color w:val="auto"/>
          <w:sz w:val="24"/>
          <w:szCs w:val="18"/>
          <w:highlight w:val="none"/>
        </w:rPr>
        <w:t>服务质保期内免费提供损耗件备品备件，如有耗材需提供配套耗材价格表。</w:t>
      </w:r>
    </w:p>
    <w:p w14:paraId="3DBD8CDD">
      <w:pPr>
        <w:rPr>
          <w:rStyle w:val="39"/>
          <w:rFonts w:hint="eastAsia" w:ascii="宋体" w:hAnsi="宋体" w:eastAsia="宋体" w:cs="宋体"/>
          <w:b/>
          <w:bCs/>
          <w:color w:val="auto"/>
          <w:sz w:val="32"/>
          <w:szCs w:val="28"/>
          <w:highlight w:val="none"/>
          <w:lang w:val="en-US" w:eastAsia="zh-CN"/>
        </w:rPr>
      </w:pPr>
      <w:r>
        <w:rPr>
          <w:rStyle w:val="39"/>
          <w:rFonts w:hint="eastAsia" w:ascii="宋体" w:hAnsi="宋体" w:eastAsia="宋体" w:cs="宋体"/>
          <w:b/>
          <w:bCs/>
          <w:color w:val="auto"/>
          <w:sz w:val="32"/>
          <w:szCs w:val="28"/>
          <w:highlight w:val="none"/>
          <w:lang w:val="en-US" w:eastAsia="zh-CN"/>
        </w:rPr>
        <w:br w:type="page"/>
      </w:r>
    </w:p>
    <w:p w14:paraId="51ED0BFD">
      <w:pPr>
        <w:pStyle w:val="5"/>
        <w:tabs>
          <w:tab w:val="left" w:pos="5527"/>
        </w:tabs>
        <w:jc w:val="left"/>
        <w:outlineLvl w:val="9"/>
        <w:rPr>
          <w:rStyle w:val="39"/>
          <w:rFonts w:hint="eastAsia" w:ascii="宋体" w:hAnsi="宋体" w:eastAsia="宋体" w:cs="宋体"/>
          <w:color w:val="auto"/>
          <w:sz w:val="32"/>
          <w:szCs w:val="28"/>
          <w:highlight w:val="none"/>
          <w:lang w:val="en-US" w:eastAsia="zh-CN"/>
        </w:rPr>
      </w:pPr>
      <w:r>
        <w:rPr>
          <w:rStyle w:val="39"/>
          <w:rFonts w:hint="eastAsia" w:ascii="宋体" w:hAnsi="宋体" w:eastAsia="宋体" w:cs="宋体"/>
          <w:b/>
          <w:bCs/>
          <w:color w:val="auto"/>
          <w:sz w:val="32"/>
          <w:szCs w:val="28"/>
          <w:highlight w:val="none"/>
          <w:lang w:val="en-US" w:eastAsia="zh-CN"/>
        </w:rPr>
        <w:t>附件4:</w:t>
      </w:r>
      <w:bookmarkEnd w:id="227"/>
      <w:bookmarkEnd w:id="228"/>
    </w:p>
    <w:bookmarkEnd w:id="229"/>
    <w:bookmarkEnd w:id="232"/>
    <w:bookmarkEnd w:id="233"/>
    <w:bookmarkEnd w:id="234"/>
    <w:bookmarkEnd w:id="235"/>
    <w:bookmarkEnd w:id="236"/>
    <w:bookmarkEnd w:id="237"/>
    <w:p w14:paraId="30F5D59D">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38" w:name="_Toc18659"/>
      <w:bookmarkStart w:id="239" w:name="_Toc18133"/>
      <w:bookmarkStart w:id="240" w:name="_Toc25246"/>
      <w:bookmarkStart w:id="241" w:name="_Toc27427"/>
      <w:bookmarkStart w:id="242" w:name="_Toc11446"/>
      <w:bookmarkStart w:id="243" w:name="_Toc15203"/>
      <w:bookmarkStart w:id="244" w:name="_Toc24267"/>
      <w:r>
        <w:rPr>
          <w:rFonts w:hint="eastAsia" w:ascii="宋体" w:hAnsi="宋体" w:eastAsia="宋体" w:cs="宋体"/>
          <w:b/>
          <w:bCs/>
          <w:color w:val="auto"/>
          <w:kern w:val="2"/>
          <w:sz w:val="32"/>
          <w:szCs w:val="21"/>
          <w:highlight w:val="none"/>
          <w:lang w:val="en-US" w:eastAsia="zh-CN"/>
        </w:rPr>
        <w:t>供应商概况表</w:t>
      </w:r>
      <w:bookmarkEnd w:id="238"/>
      <w:bookmarkEnd w:id="239"/>
      <w:bookmarkEnd w:id="240"/>
      <w:bookmarkEnd w:id="241"/>
      <w:bookmarkEnd w:id="242"/>
      <w:bookmarkEnd w:id="243"/>
    </w:p>
    <w:bookmarkEnd w:id="244"/>
    <w:tbl>
      <w:tblPr>
        <w:tblStyle w:val="27"/>
        <w:tblW w:w="8699" w:type="dxa"/>
        <w:jc w:val="center"/>
        <w:tblLayout w:type="fixed"/>
        <w:tblCellMar>
          <w:top w:w="0" w:type="dxa"/>
          <w:left w:w="108" w:type="dxa"/>
          <w:bottom w:w="0" w:type="dxa"/>
          <w:right w:w="108" w:type="dxa"/>
        </w:tblCellMar>
      </w:tblPr>
      <w:tblGrid>
        <w:gridCol w:w="2051"/>
        <w:gridCol w:w="2965"/>
        <w:gridCol w:w="1446"/>
        <w:gridCol w:w="2237"/>
      </w:tblGrid>
      <w:tr w14:paraId="7216B271">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1FF9E84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7EB2B77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3AE02FDA">
        <w:tblPrEx>
          <w:tblCellMar>
            <w:top w:w="0" w:type="dxa"/>
            <w:left w:w="108" w:type="dxa"/>
            <w:bottom w:w="0" w:type="dxa"/>
            <w:right w:w="108" w:type="dxa"/>
          </w:tblCellMar>
        </w:tblPrEx>
        <w:trPr>
          <w:trHeight w:val="933"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1478EC1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企业法人营业</w:t>
            </w:r>
          </w:p>
          <w:p w14:paraId="3AC0E96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执照注册号</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78816BC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3E538CED">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34F8953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址</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0C08E82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07DC9415">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4816ED3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注册资本</w:t>
            </w:r>
          </w:p>
        </w:tc>
        <w:tc>
          <w:tcPr>
            <w:tcW w:w="2965" w:type="dxa"/>
            <w:tcBorders>
              <w:top w:val="single" w:color="auto" w:sz="4" w:space="0"/>
              <w:left w:val="single" w:color="auto" w:sz="4" w:space="0"/>
              <w:bottom w:val="single" w:color="auto" w:sz="4" w:space="0"/>
              <w:right w:val="single" w:color="auto" w:sz="4" w:space="0"/>
            </w:tcBorders>
            <w:vAlign w:val="center"/>
          </w:tcPr>
          <w:p w14:paraId="4EB667D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583DF7F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企业类型</w:t>
            </w:r>
          </w:p>
        </w:tc>
        <w:tc>
          <w:tcPr>
            <w:tcW w:w="2237" w:type="dxa"/>
            <w:tcBorders>
              <w:top w:val="single" w:color="auto" w:sz="4" w:space="0"/>
              <w:left w:val="single" w:color="auto" w:sz="4" w:space="0"/>
              <w:bottom w:val="single" w:color="auto" w:sz="4" w:space="0"/>
              <w:right w:val="single" w:color="auto" w:sz="4" w:space="0"/>
            </w:tcBorders>
            <w:vAlign w:val="center"/>
          </w:tcPr>
          <w:p w14:paraId="20DC4C4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both"/>
              <w:textAlignment w:val="auto"/>
              <w:outlineLvl w:val="9"/>
              <w:rPr>
                <w:rFonts w:hint="eastAsia" w:ascii="宋体" w:hAnsi="宋体" w:eastAsia="宋体" w:cs="宋体"/>
                <w:color w:val="auto"/>
                <w:sz w:val="24"/>
                <w:szCs w:val="24"/>
                <w:highlight w:val="none"/>
              </w:rPr>
            </w:pPr>
          </w:p>
        </w:tc>
      </w:tr>
      <w:tr w14:paraId="439A7EF3">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4B69313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2965" w:type="dxa"/>
            <w:tcBorders>
              <w:top w:val="single" w:color="auto" w:sz="4" w:space="0"/>
              <w:left w:val="single" w:color="auto" w:sz="4" w:space="0"/>
              <w:bottom w:val="single" w:color="auto" w:sz="4" w:space="0"/>
              <w:right w:val="single" w:color="auto" w:sz="4" w:space="0"/>
            </w:tcBorders>
            <w:vAlign w:val="center"/>
          </w:tcPr>
          <w:p w14:paraId="63F3327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496454C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2237" w:type="dxa"/>
            <w:tcBorders>
              <w:top w:val="single" w:color="auto" w:sz="4" w:space="0"/>
              <w:left w:val="single" w:color="auto" w:sz="4" w:space="0"/>
              <w:bottom w:val="single" w:color="auto" w:sz="4" w:space="0"/>
              <w:right w:val="single" w:color="auto" w:sz="4" w:space="0"/>
            </w:tcBorders>
            <w:vAlign w:val="center"/>
          </w:tcPr>
          <w:p w14:paraId="077F379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both"/>
              <w:textAlignment w:val="auto"/>
              <w:outlineLvl w:val="9"/>
              <w:rPr>
                <w:rFonts w:hint="eastAsia" w:ascii="宋体" w:hAnsi="宋体" w:eastAsia="宋体" w:cs="宋体"/>
                <w:color w:val="auto"/>
                <w:sz w:val="24"/>
                <w:szCs w:val="24"/>
                <w:highlight w:val="none"/>
              </w:rPr>
            </w:pPr>
          </w:p>
        </w:tc>
      </w:tr>
      <w:tr w14:paraId="3E34E1C9">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5070E66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资质类型</w:t>
            </w:r>
          </w:p>
        </w:tc>
        <w:tc>
          <w:tcPr>
            <w:tcW w:w="2965" w:type="dxa"/>
            <w:tcBorders>
              <w:top w:val="single" w:color="auto" w:sz="4" w:space="0"/>
              <w:left w:val="single" w:color="auto" w:sz="4" w:space="0"/>
              <w:bottom w:val="single" w:color="auto" w:sz="4" w:space="0"/>
              <w:right w:val="single" w:color="auto" w:sz="4" w:space="0"/>
            </w:tcBorders>
            <w:vAlign w:val="center"/>
          </w:tcPr>
          <w:p w14:paraId="44A3BD6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1BAB5F3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资质等级</w:t>
            </w:r>
          </w:p>
        </w:tc>
        <w:tc>
          <w:tcPr>
            <w:tcW w:w="2237" w:type="dxa"/>
            <w:tcBorders>
              <w:top w:val="single" w:color="auto" w:sz="4" w:space="0"/>
              <w:left w:val="single" w:color="auto" w:sz="4" w:space="0"/>
              <w:bottom w:val="single" w:color="auto" w:sz="4" w:space="0"/>
              <w:right w:val="single" w:color="auto" w:sz="4" w:space="0"/>
            </w:tcBorders>
            <w:vAlign w:val="center"/>
          </w:tcPr>
          <w:p w14:paraId="1C1CB93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textAlignment w:val="auto"/>
              <w:outlineLvl w:val="9"/>
              <w:rPr>
                <w:rFonts w:hint="eastAsia" w:ascii="宋体" w:hAnsi="宋体" w:eastAsia="宋体" w:cs="宋体"/>
                <w:color w:val="auto"/>
                <w:sz w:val="24"/>
                <w:szCs w:val="24"/>
                <w:highlight w:val="none"/>
              </w:rPr>
            </w:pPr>
          </w:p>
        </w:tc>
      </w:tr>
      <w:tr w14:paraId="251CBCC5">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1BB9549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开户银行</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58E60FF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r>
      <w:tr w14:paraId="48E44312">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26761F7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开户行号</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4AF4672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r>
      <w:tr w14:paraId="4BF613D3">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412BC4E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银行账号</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56AE378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r>
      <w:tr w14:paraId="7420972D">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6F5F5BB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主营业务</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46443CF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73F89625">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5FB64F4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人</w:t>
            </w:r>
          </w:p>
        </w:tc>
        <w:tc>
          <w:tcPr>
            <w:tcW w:w="2965" w:type="dxa"/>
            <w:tcBorders>
              <w:top w:val="single" w:color="auto" w:sz="4" w:space="0"/>
              <w:left w:val="single" w:color="auto" w:sz="4" w:space="0"/>
              <w:bottom w:val="single" w:color="auto" w:sz="4" w:space="0"/>
              <w:right w:val="single" w:color="auto" w:sz="4" w:space="0"/>
            </w:tcBorders>
            <w:vAlign w:val="center"/>
          </w:tcPr>
          <w:p w14:paraId="1BD939B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1DC11FA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2237" w:type="dxa"/>
            <w:tcBorders>
              <w:top w:val="single" w:color="auto" w:sz="4" w:space="0"/>
              <w:left w:val="single" w:color="auto" w:sz="4" w:space="0"/>
              <w:bottom w:val="single" w:color="auto" w:sz="4" w:space="0"/>
              <w:right w:val="single" w:color="auto" w:sz="4" w:space="0"/>
            </w:tcBorders>
            <w:vAlign w:val="center"/>
          </w:tcPr>
          <w:p w14:paraId="54929E5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textAlignment w:val="auto"/>
              <w:outlineLvl w:val="9"/>
              <w:rPr>
                <w:rFonts w:hint="eastAsia" w:ascii="宋体" w:hAnsi="宋体" w:eastAsia="宋体" w:cs="宋体"/>
                <w:color w:val="auto"/>
                <w:sz w:val="24"/>
                <w:szCs w:val="24"/>
                <w:highlight w:val="none"/>
              </w:rPr>
            </w:pPr>
          </w:p>
        </w:tc>
      </w:tr>
      <w:tr w14:paraId="7C53BD8D">
        <w:tblPrEx>
          <w:tblCellMar>
            <w:top w:w="0" w:type="dxa"/>
            <w:left w:w="108" w:type="dxa"/>
            <w:bottom w:w="0" w:type="dxa"/>
            <w:right w:w="108" w:type="dxa"/>
          </w:tblCellMar>
        </w:tblPrEx>
        <w:trPr>
          <w:trHeight w:val="676"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4D13C1C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邮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箱</w:t>
            </w:r>
          </w:p>
        </w:tc>
        <w:tc>
          <w:tcPr>
            <w:tcW w:w="2965" w:type="dxa"/>
            <w:tcBorders>
              <w:top w:val="single" w:color="auto" w:sz="4" w:space="0"/>
              <w:left w:val="single" w:color="auto" w:sz="4" w:space="0"/>
              <w:bottom w:val="single" w:color="auto" w:sz="4" w:space="0"/>
              <w:right w:val="single" w:color="auto" w:sz="4" w:space="0"/>
            </w:tcBorders>
            <w:vAlign w:val="center"/>
          </w:tcPr>
          <w:p w14:paraId="71CEBC3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580F883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传    真</w:t>
            </w:r>
          </w:p>
        </w:tc>
        <w:tc>
          <w:tcPr>
            <w:tcW w:w="2237" w:type="dxa"/>
            <w:tcBorders>
              <w:top w:val="single" w:color="auto" w:sz="4" w:space="0"/>
              <w:left w:val="single" w:color="auto" w:sz="4" w:space="0"/>
              <w:bottom w:val="single" w:color="auto" w:sz="4" w:space="0"/>
              <w:right w:val="single" w:color="auto" w:sz="4" w:space="0"/>
            </w:tcBorders>
            <w:vAlign w:val="center"/>
          </w:tcPr>
          <w:p w14:paraId="54F6296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textAlignment w:val="auto"/>
              <w:outlineLvl w:val="9"/>
              <w:rPr>
                <w:rFonts w:hint="eastAsia" w:ascii="宋体" w:hAnsi="宋体" w:eastAsia="宋体" w:cs="宋体"/>
                <w:color w:val="auto"/>
                <w:sz w:val="24"/>
                <w:szCs w:val="24"/>
                <w:highlight w:val="none"/>
              </w:rPr>
            </w:pPr>
          </w:p>
        </w:tc>
      </w:tr>
    </w:tbl>
    <w:p w14:paraId="3326A985">
      <w:pPr>
        <w:pStyle w:val="5"/>
        <w:tabs>
          <w:tab w:val="left" w:pos="5527"/>
        </w:tabs>
        <w:ind w:firstLine="0"/>
        <w:outlineLvl w:val="9"/>
        <w:rPr>
          <w:rFonts w:hint="eastAsia" w:ascii="宋体" w:hAnsi="宋体" w:eastAsia="宋体" w:cs="宋体"/>
          <w:color w:val="auto"/>
          <w:highlight w:val="none"/>
        </w:rPr>
      </w:pPr>
    </w:p>
    <w:p w14:paraId="40755511">
      <w:pPr>
        <w:tabs>
          <w:tab w:val="left" w:pos="5527"/>
        </w:tabs>
        <w:bidi w:val="0"/>
        <w:spacing w:line="360" w:lineRule="auto"/>
        <w:jc w:val="center"/>
        <w:outlineLvl w:val="9"/>
        <w:rPr>
          <w:rFonts w:hint="eastAsia" w:ascii="宋体" w:hAnsi="宋体" w:eastAsia="宋体" w:cs="宋体"/>
          <w:color w:val="auto"/>
          <w:sz w:val="28"/>
          <w:szCs w:val="28"/>
          <w:highlight w:val="none"/>
        </w:rPr>
      </w:pPr>
      <w:bookmarkStart w:id="245" w:name="_Toc24382"/>
      <w:bookmarkStart w:id="246" w:name="_Toc20796"/>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8"/>
          <w:szCs w:val="28"/>
          <w:highlight w:val="none"/>
        </w:rPr>
        <w:t>供应商名称（盖章）：</w:t>
      </w:r>
    </w:p>
    <w:p w14:paraId="74F9B40D">
      <w:pPr>
        <w:tabs>
          <w:tab w:val="left" w:pos="5527"/>
        </w:tabs>
        <w:bidi w:val="0"/>
        <w:spacing w:line="36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法定代表人或委托代理人（签字或盖章）：</w:t>
      </w:r>
    </w:p>
    <w:p w14:paraId="05D4958C">
      <w:pPr>
        <w:keepNext w:val="0"/>
        <w:numPr>
          <w:ilvl w:val="0"/>
          <w:numId w:val="0"/>
        </w:numPr>
        <w:tabs>
          <w:tab w:val="left" w:pos="420"/>
          <w:tab w:val="left" w:pos="5527"/>
        </w:tabs>
        <w:jc w:val="center"/>
        <w:outlineLvl w:val="9"/>
        <w:rPr>
          <w:rFonts w:hint="eastAsia" w:ascii="宋体" w:hAnsi="宋体" w:eastAsia="宋体" w:cs="宋体"/>
          <w:b w:val="0"/>
          <w:color w:val="auto"/>
          <w:kern w:val="2"/>
          <w:sz w:val="28"/>
          <w:szCs w:val="28"/>
          <w:highlight w:val="none"/>
          <w:lang w:val="en-US" w:eastAsia="zh-CN" w:bidi="ar-SA"/>
        </w:rPr>
      </w:pPr>
      <w:bookmarkStart w:id="247" w:name="_Toc6732"/>
      <w:bookmarkStart w:id="248" w:name="_Toc16984"/>
      <w:bookmarkStart w:id="249" w:name="_Toc6597"/>
      <w:bookmarkStart w:id="250" w:name="_Toc626"/>
      <w:bookmarkStart w:id="251" w:name="_Toc31872"/>
      <w:r>
        <w:rPr>
          <w:rFonts w:hint="eastAsia" w:ascii="宋体" w:hAnsi="宋体" w:eastAsia="宋体" w:cs="宋体"/>
          <w:b w:val="0"/>
          <w:color w:val="auto"/>
          <w:kern w:val="2"/>
          <w:sz w:val="28"/>
          <w:szCs w:val="28"/>
          <w:highlight w:val="none"/>
          <w:lang w:val="en-US" w:eastAsia="zh-CN" w:bidi="ar-SA"/>
        </w:rPr>
        <w:t xml:space="preserve">           日期：     年   月   日</w:t>
      </w:r>
      <w:bookmarkEnd w:id="247"/>
      <w:bookmarkEnd w:id="248"/>
      <w:bookmarkEnd w:id="249"/>
      <w:bookmarkEnd w:id="250"/>
      <w:bookmarkEnd w:id="251"/>
    </w:p>
    <w:p w14:paraId="13765DC2">
      <w:pPr>
        <w:tabs>
          <w:tab w:val="left" w:pos="5527"/>
        </w:tabs>
        <w:outlineLvl w:val="9"/>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br w:type="page"/>
      </w:r>
    </w:p>
    <w:bookmarkEnd w:id="230"/>
    <w:bookmarkEnd w:id="231"/>
    <w:bookmarkEnd w:id="245"/>
    <w:bookmarkEnd w:id="246"/>
    <w:p w14:paraId="0780E2D3">
      <w:pPr>
        <w:keepNext w:val="0"/>
        <w:numPr>
          <w:ilvl w:val="0"/>
          <w:numId w:val="0"/>
        </w:numPr>
        <w:tabs>
          <w:tab w:val="left" w:pos="420"/>
          <w:tab w:val="left" w:pos="5527"/>
        </w:tabs>
        <w:jc w:val="left"/>
        <w:outlineLvl w:val="9"/>
        <w:rPr>
          <w:rStyle w:val="41"/>
          <w:rFonts w:hint="eastAsia" w:ascii="宋体" w:hAnsi="宋体" w:eastAsia="宋体" w:cs="宋体"/>
          <w:color w:val="auto"/>
          <w:sz w:val="32"/>
          <w:szCs w:val="28"/>
          <w:highlight w:val="none"/>
        </w:rPr>
      </w:pPr>
      <w:bookmarkStart w:id="252" w:name="_Toc30623"/>
      <w:bookmarkStart w:id="253" w:name="_Toc27272"/>
      <w:bookmarkStart w:id="254" w:name="_Toc9308"/>
      <w:bookmarkStart w:id="255" w:name="_Toc11040"/>
      <w:bookmarkStart w:id="256" w:name="_Toc7587"/>
      <w:bookmarkStart w:id="257" w:name="_Toc14734"/>
      <w:bookmarkStart w:id="258" w:name="_Toc25996"/>
      <w:bookmarkStart w:id="259" w:name="_Toc22473"/>
      <w:bookmarkStart w:id="260" w:name="_Toc15866"/>
      <w:bookmarkStart w:id="261" w:name="_Toc5939"/>
      <w:r>
        <w:rPr>
          <w:rStyle w:val="41"/>
          <w:rFonts w:hint="eastAsia" w:ascii="宋体" w:hAnsi="宋体" w:eastAsia="宋体" w:cs="宋体"/>
          <w:color w:val="auto"/>
          <w:sz w:val="32"/>
          <w:szCs w:val="28"/>
          <w:highlight w:val="none"/>
        </w:rPr>
        <w:t>附件</w:t>
      </w:r>
      <w:r>
        <w:rPr>
          <w:rStyle w:val="41"/>
          <w:rFonts w:hint="eastAsia" w:ascii="宋体" w:hAnsi="宋体" w:cs="宋体"/>
          <w:color w:val="auto"/>
          <w:sz w:val="32"/>
          <w:szCs w:val="28"/>
          <w:highlight w:val="none"/>
          <w:lang w:val="en-US" w:eastAsia="zh-CN"/>
        </w:rPr>
        <w:t>5</w:t>
      </w:r>
      <w:r>
        <w:rPr>
          <w:rStyle w:val="41"/>
          <w:rFonts w:hint="eastAsia" w:ascii="宋体" w:hAnsi="宋体" w:eastAsia="宋体" w:cs="宋体"/>
          <w:color w:val="auto"/>
          <w:sz w:val="32"/>
          <w:szCs w:val="28"/>
          <w:highlight w:val="none"/>
        </w:rPr>
        <w:t>：</w:t>
      </w:r>
      <w:bookmarkEnd w:id="252"/>
      <w:bookmarkEnd w:id="253"/>
    </w:p>
    <w:bookmarkEnd w:id="254"/>
    <w:bookmarkEnd w:id="255"/>
    <w:bookmarkEnd w:id="256"/>
    <w:bookmarkEnd w:id="257"/>
    <w:bookmarkEnd w:id="258"/>
    <w:p w14:paraId="7151688C">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62" w:name="_Toc627"/>
      <w:bookmarkStart w:id="263" w:name="_Toc31215"/>
      <w:bookmarkStart w:id="264" w:name="_Toc10269"/>
      <w:bookmarkStart w:id="265" w:name="_Toc16420"/>
      <w:bookmarkStart w:id="266" w:name="_Toc2347"/>
      <w:r>
        <w:rPr>
          <w:rFonts w:hint="eastAsia" w:ascii="宋体" w:hAnsi="宋体" w:eastAsia="宋体" w:cs="宋体"/>
          <w:b/>
          <w:bCs/>
          <w:color w:val="auto"/>
          <w:kern w:val="2"/>
          <w:sz w:val="32"/>
          <w:szCs w:val="21"/>
          <w:highlight w:val="none"/>
          <w:lang w:val="en-US" w:eastAsia="zh-CN"/>
        </w:rPr>
        <w:t>资格证明文件</w:t>
      </w:r>
      <w:bookmarkEnd w:id="262"/>
      <w:bookmarkEnd w:id="263"/>
      <w:bookmarkEnd w:id="264"/>
      <w:bookmarkEnd w:id="265"/>
    </w:p>
    <w:bookmarkEnd w:id="266"/>
    <w:p w14:paraId="19D9E618">
      <w:pPr>
        <w:tabs>
          <w:tab w:val="left" w:pos="5527"/>
        </w:tabs>
        <w:outlineLvl w:val="9"/>
        <w:rPr>
          <w:rFonts w:hint="eastAsia" w:ascii="宋体" w:hAnsi="宋体" w:eastAsia="宋体" w:cs="宋体"/>
          <w:color w:val="auto"/>
          <w:highlight w:val="none"/>
        </w:rPr>
      </w:pPr>
    </w:p>
    <w:p w14:paraId="4297BF3A">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128" w:firstLineChars="400"/>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①有效的的营业执照原件扫描件；</w:t>
      </w:r>
    </w:p>
    <w:p w14:paraId="530935BB">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128" w:firstLineChars="400"/>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②诚信声明（附件5.1）</w:t>
      </w:r>
    </w:p>
    <w:p w14:paraId="16C4B9AF">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128" w:firstLineChars="400"/>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③财务状况报告，依法缴纳税收和社会保障资金的相关材料（详见附件5.2）</w:t>
      </w:r>
    </w:p>
    <w:p w14:paraId="6E51AF18">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128" w:firstLineChars="400"/>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④须提供具备履行合同所必需的设备和专业技术能力的证明材料或书面声明；（格式自拟）</w:t>
      </w:r>
    </w:p>
    <w:p w14:paraId="55ECD320">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128" w:firstLineChars="400"/>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⑤无重大违法记录的书面声明（详见附件5.3）</w:t>
      </w:r>
    </w:p>
    <w:p w14:paraId="53A1E42A">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128" w:firstLineChars="400"/>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⑥“信用中国”、“中国政府采购网”查询截图</w:t>
      </w:r>
    </w:p>
    <w:p w14:paraId="67DE8533">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128" w:firstLineChars="400"/>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⑦投标保证金缴纳证明（详见附件5.4）</w:t>
      </w:r>
    </w:p>
    <w:p w14:paraId="312B763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128" w:firstLineChars="400"/>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⑧主要股东或出资人信息（详见附件5.5）</w:t>
      </w:r>
    </w:p>
    <w:p w14:paraId="4953DDCF">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128" w:firstLineChars="400"/>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⑨其它应提供的资料</w:t>
      </w:r>
    </w:p>
    <w:p w14:paraId="47456808">
      <w:pPr>
        <w:keepNext w:val="0"/>
        <w:numPr>
          <w:ilvl w:val="0"/>
          <w:numId w:val="0"/>
        </w:numPr>
        <w:tabs>
          <w:tab w:val="left" w:pos="420"/>
          <w:tab w:val="left" w:pos="5527"/>
        </w:tabs>
        <w:jc w:val="left"/>
        <w:outlineLvl w:val="9"/>
        <w:rPr>
          <w:rStyle w:val="41"/>
          <w:rFonts w:hint="eastAsia" w:ascii="宋体" w:hAnsi="宋体" w:eastAsia="宋体" w:cs="宋体"/>
          <w:color w:val="auto"/>
          <w:sz w:val="32"/>
          <w:szCs w:val="28"/>
          <w:highlight w:val="none"/>
        </w:rPr>
      </w:pPr>
      <w:r>
        <w:rPr>
          <w:rStyle w:val="41"/>
          <w:rFonts w:hint="eastAsia" w:ascii="宋体" w:hAnsi="宋体" w:eastAsia="宋体" w:cs="宋体"/>
          <w:b w:val="0"/>
          <w:color w:val="auto"/>
          <w:kern w:val="2"/>
          <w:sz w:val="24"/>
          <w:szCs w:val="22"/>
          <w:highlight w:val="none"/>
          <w:lang w:val="en-US" w:eastAsia="zh-CN" w:bidi="ar-SA"/>
        </w:rPr>
        <w:br w:type="page"/>
      </w:r>
    </w:p>
    <w:p w14:paraId="45FBC38D">
      <w:pPr>
        <w:keepNext w:val="0"/>
        <w:numPr>
          <w:ilvl w:val="0"/>
          <w:numId w:val="0"/>
        </w:numPr>
        <w:tabs>
          <w:tab w:val="left" w:pos="420"/>
          <w:tab w:val="left" w:pos="5527"/>
        </w:tabs>
        <w:jc w:val="both"/>
        <w:outlineLvl w:val="9"/>
        <w:rPr>
          <w:rStyle w:val="41"/>
          <w:rFonts w:hint="eastAsia" w:ascii="宋体" w:hAnsi="宋体" w:eastAsia="宋体" w:cs="宋体"/>
          <w:color w:val="auto"/>
          <w:sz w:val="32"/>
          <w:szCs w:val="28"/>
          <w:highlight w:val="none"/>
          <w:lang w:val="en-US" w:eastAsia="zh-CN"/>
        </w:rPr>
      </w:pPr>
      <w:r>
        <w:rPr>
          <w:rStyle w:val="41"/>
          <w:rFonts w:hint="eastAsia" w:ascii="宋体" w:hAnsi="宋体" w:eastAsia="宋体" w:cs="宋体"/>
          <w:color w:val="auto"/>
          <w:sz w:val="32"/>
          <w:szCs w:val="28"/>
          <w:highlight w:val="none"/>
          <w:lang w:val="en-US" w:eastAsia="zh-CN"/>
        </w:rPr>
        <w:t>附件</w:t>
      </w:r>
      <w:r>
        <w:rPr>
          <w:rStyle w:val="41"/>
          <w:rFonts w:hint="eastAsia" w:ascii="宋体" w:hAnsi="宋体" w:cs="宋体"/>
          <w:color w:val="auto"/>
          <w:sz w:val="32"/>
          <w:szCs w:val="28"/>
          <w:highlight w:val="none"/>
          <w:lang w:val="en-US" w:eastAsia="zh-CN"/>
        </w:rPr>
        <w:t>5</w:t>
      </w:r>
      <w:r>
        <w:rPr>
          <w:rStyle w:val="41"/>
          <w:rFonts w:hint="eastAsia" w:ascii="宋体" w:hAnsi="宋体" w:eastAsia="宋体" w:cs="宋体"/>
          <w:color w:val="auto"/>
          <w:sz w:val="32"/>
          <w:szCs w:val="28"/>
          <w:highlight w:val="none"/>
          <w:lang w:val="en-US" w:eastAsia="zh-CN"/>
        </w:rPr>
        <w:t>.1：</w:t>
      </w:r>
    </w:p>
    <w:p w14:paraId="7D7964C4">
      <w:pPr>
        <w:keepNext w:val="0"/>
        <w:tabs>
          <w:tab w:val="left" w:pos="5527"/>
        </w:tabs>
        <w:jc w:val="center"/>
        <w:outlineLvl w:val="2"/>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诚信声明</w:t>
      </w:r>
    </w:p>
    <w:p w14:paraId="4D07E352">
      <w:pPr>
        <w:tabs>
          <w:tab w:val="left" w:pos="5527"/>
        </w:tabs>
        <w:snapToGrid w:val="0"/>
        <w:spacing w:line="312" w:lineRule="auto"/>
        <w:ind w:firstLine="570"/>
        <w:outlineLvl w:val="9"/>
        <w:rPr>
          <w:rFonts w:hint="eastAsia" w:ascii="宋体" w:hAnsi="宋体" w:eastAsia="宋体" w:cs="宋体"/>
          <w:color w:val="auto"/>
          <w:sz w:val="24"/>
          <w:szCs w:val="24"/>
          <w:highlight w:val="none"/>
          <w:lang w:eastAsia="zh-CN"/>
        </w:rPr>
      </w:pPr>
    </w:p>
    <w:p w14:paraId="07D4DD24">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致：（采购人名称）：</w:t>
      </w:r>
    </w:p>
    <w:p w14:paraId="37B57525">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firstLine="564"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郑重声明，我公司具有良好的商业信誉和健全的财务会计制度，具有履行合同所必需的设备和专业技术能力，有依法缴纳税收和社会保障资金的良好记录，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的检查验证，符合《政府采购法》规定的</w:t>
      </w:r>
      <w:r>
        <w:rPr>
          <w:rFonts w:hint="eastAsia" w:ascii="宋体" w:hAnsi="宋体" w:eastAsia="宋体" w:cs="宋体"/>
          <w:color w:val="auto"/>
          <w:sz w:val="28"/>
          <w:szCs w:val="28"/>
          <w:highlight w:val="none"/>
          <w:lang w:eastAsia="zh-CN"/>
        </w:rPr>
        <w:t>投标供应商</w:t>
      </w:r>
      <w:r>
        <w:rPr>
          <w:rFonts w:hint="eastAsia" w:ascii="宋体" w:hAnsi="宋体" w:eastAsia="宋体" w:cs="宋体"/>
          <w:color w:val="auto"/>
          <w:sz w:val="28"/>
          <w:szCs w:val="28"/>
          <w:highlight w:val="none"/>
        </w:rPr>
        <w:t>资格条件。我方对以上声明负全部法律责任。</w:t>
      </w:r>
    </w:p>
    <w:p w14:paraId="02549564">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firstLine="564"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特此声明。</w:t>
      </w:r>
    </w:p>
    <w:p w14:paraId="128C6237">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4" w:firstLineChars="200"/>
        <w:textAlignment w:val="auto"/>
        <w:outlineLvl w:val="9"/>
        <w:rPr>
          <w:rFonts w:hint="eastAsia" w:ascii="宋体" w:hAnsi="宋体" w:eastAsia="宋体" w:cs="宋体"/>
          <w:color w:val="auto"/>
          <w:sz w:val="28"/>
          <w:szCs w:val="28"/>
          <w:highlight w:val="none"/>
        </w:rPr>
      </w:pPr>
    </w:p>
    <w:p w14:paraId="657B0901">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4" w:firstLineChars="200"/>
        <w:textAlignment w:val="auto"/>
        <w:outlineLvl w:val="9"/>
        <w:rPr>
          <w:rFonts w:hint="eastAsia" w:ascii="宋体" w:hAnsi="宋体" w:eastAsia="宋体" w:cs="宋体"/>
          <w:color w:val="auto"/>
          <w:sz w:val="28"/>
          <w:szCs w:val="28"/>
          <w:highlight w:val="none"/>
        </w:rPr>
      </w:pPr>
    </w:p>
    <w:p w14:paraId="692B2F6D">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4"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59876BAF">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4"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54EDD21C">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4"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日</w:t>
      </w:r>
    </w:p>
    <w:p w14:paraId="61A2BA77">
      <w:pPr>
        <w:pStyle w:val="13"/>
        <w:tabs>
          <w:tab w:val="left" w:pos="5527"/>
        </w:tabs>
        <w:outlineLvl w:val="9"/>
        <w:rPr>
          <w:rFonts w:hint="eastAsia" w:ascii="宋体" w:hAnsi="宋体" w:eastAsia="宋体" w:cs="宋体"/>
          <w:color w:val="auto"/>
          <w:sz w:val="28"/>
          <w:szCs w:val="28"/>
          <w:highlight w:val="none"/>
          <w:lang w:val="en-US" w:eastAsia="zh-CN"/>
        </w:rPr>
      </w:pPr>
    </w:p>
    <w:p w14:paraId="54953168">
      <w:pPr>
        <w:keepNext w:val="0"/>
        <w:numPr>
          <w:ilvl w:val="0"/>
          <w:numId w:val="0"/>
        </w:numPr>
        <w:tabs>
          <w:tab w:val="left" w:pos="420"/>
          <w:tab w:val="left" w:pos="5527"/>
        </w:tabs>
        <w:jc w:val="left"/>
        <w:outlineLvl w:val="9"/>
        <w:rPr>
          <w:rStyle w:val="39"/>
          <w:rFonts w:hint="default" w:ascii="宋体" w:hAnsi="宋体" w:eastAsia="宋体" w:cs="宋体"/>
          <w:color w:val="auto"/>
          <w:sz w:val="32"/>
          <w:szCs w:val="28"/>
          <w:highlight w:val="none"/>
          <w:lang w:val="en-US" w:eastAsia="zh-CN"/>
        </w:rPr>
      </w:pPr>
      <w:r>
        <w:rPr>
          <w:rStyle w:val="39"/>
          <w:rFonts w:hint="eastAsia" w:ascii="宋体" w:hAnsi="宋体" w:eastAsia="宋体" w:cs="宋体"/>
          <w:color w:val="auto"/>
          <w:sz w:val="32"/>
          <w:szCs w:val="28"/>
          <w:highlight w:val="none"/>
          <w:lang w:val="en-US" w:eastAsia="zh-CN"/>
        </w:rPr>
        <w:br w:type="page"/>
      </w:r>
      <w:r>
        <w:rPr>
          <w:rStyle w:val="39"/>
          <w:rFonts w:hint="eastAsia" w:ascii="宋体" w:hAnsi="宋体" w:eastAsia="宋体" w:cs="宋体"/>
          <w:color w:val="auto"/>
          <w:sz w:val="32"/>
          <w:szCs w:val="28"/>
          <w:highlight w:val="none"/>
          <w:lang w:val="en-US" w:eastAsia="zh-CN"/>
        </w:rPr>
        <w:t>附件</w:t>
      </w:r>
      <w:r>
        <w:rPr>
          <w:rStyle w:val="39"/>
          <w:rFonts w:hint="eastAsia" w:ascii="宋体" w:hAnsi="宋体" w:cs="宋体"/>
          <w:color w:val="auto"/>
          <w:sz w:val="32"/>
          <w:szCs w:val="28"/>
          <w:highlight w:val="none"/>
          <w:lang w:val="en-US" w:eastAsia="zh-CN"/>
        </w:rPr>
        <w:t>5</w:t>
      </w:r>
      <w:r>
        <w:rPr>
          <w:rStyle w:val="39"/>
          <w:rFonts w:hint="eastAsia" w:ascii="宋体" w:hAnsi="宋体" w:eastAsia="宋体" w:cs="宋体"/>
          <w:color w:val="auto"/>
          <w:sz w:val="32"/>
          <w:szCs w:val="28"/>
          <w:highlight w:val="none"/>
          <w:lang w:val="en-US" w:eastAsia="zh-CN"/>
        </w:rPr>
        <w:t>.2</w:t>
      </w:r>
    </w:p>
    <w:p w14:paraId="042DAB58">
      <w:pPr>
        <w:keepNext w:val="0"/>
        <w:tabs>
          <w:tab w:val="left" w:pos="5527"/>
        </w:tabs>
        <w:jc w:val="center"/>
        <w:outlineLvl w:val="2"/>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财务状况报告，依法缴纳税收和社会保障资金的相关材料</w:t>
      </w:r>
    </w:p>
    <w:p w14:paraId="6A1CEB28">
      <w:pPr>
        <w:tabs>
          <w:tab w:val="left" w:pos="5527"/>
        </w:tabs>
        <w:spacing w:line="360" w:lineRule="auto"/>
        <w:ind w:firstLine="484" w:firstLineChars="200"/>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（1）财务状况报告提供</w:t>
      </w:r>
      <w:r>
        <w:rPr>
          <w:rFonts w:hint="eastAsia" w:ascii="宋体" w:hAnsi="宋体" w:cs="宋体"/>
          <w:b/>
          <w:bCs/>
          <w:color w:val="auto"/>
          <w:kern w:val="0"/>
          <w:sz w:val="24"/>
          <w:szCs w:val="24"/>
          <w:highlight w:val="none"/>
        </w:rPr>
        <w:t>近</w:t>
      </w:r>
      <w:r>
        <w:rPr>
          <w:rFonts w:hint="eastAsia" w:ascii="宋体" w:hAnsi="宋体" w:cs="宋体"/>
          <w:b/>
          <w:bCs/>
          <w:color w:val="auto"/>
          <w:kern w:val="0"/>
          <w:sz w:val="24"/>
          <w:szCs w:val="24"/>
          <w:highlight w:val="none"/>
          <w:lang w:val="en-US" w:eastAsia="zh-CN"/>
        </w:rPr>
        <w:t>一</w:t>
      </w:r>
      <w:r>
        <w:rPr>
          <w:rFonts w:hint="eastAsia" w:ascii="宋体" w:hAnsi="宋体" w:cs="宋体"/>
          <w:b/>
          <w:bCs/>
          <w:color w:val="auto"/>
          <w:kern w:val="0"/>
          <w:sz w:val="24"/>
          <w:szCs w:val="24"/>
          <w:highlight w:val="none"/>
        </w:rPr>
        <w:t>年</w:t>
      </w: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2024</w:t>
      </w:r>
      <w:r>
        <w:rPr>
          <w:rFonts w:hint="eastAsia" w:ascii="宋体" w:hAnsi="宋体" w:cs="宋体"/>
          <w:b/>
          <w:bCs/>
          <w:color w:val="auto"/>
          <w:kern w:val="0"/>
          <w:sz w:val="24"/>
          <w:szCs w:val="24"/>
          <w:highlight w:val="none"/>
        </w:rPr>
        <w:t>年</w:t>
      </w:r>
      <w:r>
        <w:rPr>
          <w:rFonts w:hint="eastAsia" w:ascii="宋体" w:hAnsi="宋体" w:cs="宋体"/>
          <w:b/>
          <w:bCs/>
          <w:color w:val="auto"/>
          <w:kern w:val="0"/>
          <w:sz w:val="24"/>
          <w:szCs w:val="24"/>
          <w:highlight w:val="none"/>
          <w:lang w:eastAsia="zh-CN"/>
        </w:rPr>
        <w:t>）</w:t>
      </w:r>
      <w:r>
        <w:rPr>
          <w:rFonts w:hint="eastAsia" w:ascii="宋体" w:hAnsi="宋体" w:cs="宋体"/>
          <w:b w:val="0"/>
          <w:bCs w:val="0"/>
          <w:color w:val="auto"/>
          <w:kern w:val="0"/>
          <w:sz w:val="24"/>
          <w:szCs w:val="24"/>
          <w:highlight w:val="none"/>
        </w:rPr>
        <w:t>经会计事务所或审计机构审计的财务会计报表，包括资产负债表、利润表、现金流量表、所有者权益变动（如有）及其附注（</w:t>
      </w:r>
      <w:r>
        <w:rPr>
          <w:rFonts w:hint="eastAsia" w:ascii="宋体" w:hAnsi="宋体" w:cs="宋体"/>
          <w:b w:val="0"/>
          <w:bCs w:val="0"/>
          <w:color w:val="auto"/>
          <w:kern w:val="0"/>
          <w:sz w:val="24"/>
          <w:szCs w:val="24"/>
          <w:highlight w:val="none"/>
          <w:lang w:eastAsia="zh-CN"/>
        </w:rPr>
        <w:t>扫描件</w:t>
      </w:r>
      <w:r>
        <w:rPr>
          <w:rFonts w:hint="eastAsia" w:ascii="宋体" w:hAnsi="宋体" w:cs="宋体"/>
          <w:b w:val="0"/>
          <w:bCs w:val="0"/>
          <w:color w:val="auto"/>
          <w:kern w:val="0"/>
          <w:sz w:val="24"/>
          <w:szCs w:val="24"/>
          <w:highlight w:val="none"/>
        </w:rPr>
        <w:t>并加盖本单位公章）。（注：若无会计事务所或审计机构审计的财务会计报表，可提供公司内部财务报表</w:t>
      </w:r>
      <w:r>
        <w:rPr>
          <w:rFonts w:hint="eastAsia" w:ascii="宋体" w:hAnsi="宋体" w:cs="宋体"/>
          <w:b w:val="0"/>
          <w:bCs w:val="0"/>
          <w:color w:val="auto"/>
          <w:kern w:val="0"/>
          <w:sz w:val="24"/>
          <w:szCs w:val="24"/>
          <w:highlight w:val="none"/>
          <w:lang w:eastAsia="zh-CN"/>
        </w:rPr>
        <w:t>扫描件</w:t>
      </w:r>
      <w:r>
        <w:rPr>
          <w:rFonts w:hint="eastAsia" w:ascii="宋体" w:hAnsi="宋体" w:cs="宋体"/>
          <w:b w:val="0"/>
          <w:bCs w:val="0"/>
          <w:color w:val="auto"/>
          <w:kern w:val="0"/>
          <w:sz w:val="24"/>
          <w:szCs w:val="24"/>
          <w:highlight w:val="none"/>
        </w:rPr>
        <w:t>加盖公章）；</w:t>
      </w:r>
    </w:p>
    <w:p w14:paraId="779D471C">
      <w:pPr>
        <w:tabs>
          <w:tab w:val="left" w:pos="5527"/>
        </w:tabs>
        <w:spacing w:line="360" w:lineRule="auto"/>
        <w:ind w:firstLine="484" w:firstLineChars="200"/>
        <w:rPr>
          <w:rStyle w:val="39"/>
          <w:rFonts w:ascii="宋体" w:hAnsi="宋体" w:eastAsia="宋体" w:cs="宋体"/>
          <w:b w:val="0"/>
          <w:bCs w:val="0"/>
          <w:color w:val="auto"/>
          <w:sz w:val="24"/>
          <w:szCs w:val="24"/>
          <w:highlight w:val="none"/>
        </w:rPr>
      </w:pPr>
      <w:r>
        <w:rPr>
          <w:rStyle w:val="39"/>
          <w:rFonts w:hint="eastAsia" w:ascii="宋体" w:hAnsi="宋体" w:eastAsia="宋体" w:cs="宋体"/>
          <w:b w:val="0"/>
          <w:bCs w:val="0"/>
          <w:color w:val="auto"/>
          <w:sz w:val="24"/>
          <w:szCs w:val="24"/>
          <w:highlight w:val="none"/>
        </w:rPr>
        <w:t>（2）投标人须提供响应文件递交截止日期之前六个月内任意</w:t>
      </w:r>
      <w:r>
        <w:rPr>
          <w:rStyle w:val="39"/>
          <w:rFonts w:hint="eastAsia" w:ascii="宋体" w:hAnsi="宋体" w:eastAsia="宋体" w:cs="宋体"/>
          <w:b w:val="0"/>
          <w:bCs w:val="0"/>
          <w:color w:val="auto"/>
          <w:sz w:val="24"/>
          <w:szCs w:val="24"/>
          <w:highlight w:val="none"/>
          <w:lang w:val="en-US" w:eastAsia="zh-CN"/>
        </w:rPr>
        <w:t>1</w:t>
      </w:r>
      <w:r>
        <w:rPr>
          <w:rStyle w:val="39"/>
          <w:rFonts w:hint="eastAsia" w:ascii="宋体" w:hAnsi="宋体" w:eastAsia="宋体" w:cs="宋体"/>
          <w:b w:val="0"/>
          <w:bCs w:val="0"/>
          <w:color w:val="auto"/>
          <w:sz w:val="24"/>
          <w:szCs w:val="24"/>
          <w:highlight w:val="none"/>
        </w:rPr>
        <w:t>个月的纳税记录或证明文件</w:t>
      </w:r>
      <w:r>
        <w:rPr>
          <w:rStyle w:val="39"/>
          <w:rFonts w:hint="eastAsia" w:ascii="宋体" w:hAnsi="宋体" w:eastAsia="宋体" w:cs="宋体"/>
          <w:b w:val="0"/>
          <w:bCs w:val="0"/>
          <w:color w:val="auto"/>
          <w:sz w:val="24"/>
          <w:szCs w:val="24"/>
          <w:highlight w:val="none"/>
          <w:lang w:eastAsia="zh-CN"/>
        </w:rPr>
        <w:t>扫描件</w:t>
      </w:r>
      <w:r>
        <w:rPr>
          <w:rStyle w:val="39"/>
          <w:rFonts w:hint="eastAsia" w:ascii="宋体" w:hAnsi="宋体" w:eastAsia="宋体" w:cs="宋体"/>
          <w:b w:val="0"/>
          <w:bCs w:val="0"/>
          <w:color w:val="auto"/>
          <w:sz w:val="24"/>
          <w:szCs w:val="24"/>
          <w:highlight w:val="none"/>
        </w:rPr>
        <w:t>加盖公章。</w:t>
      </w:r>
    </w:p>
    <w:p w14:paraId="75D1591C">
      <w:pPr>
        <w:tabs>
          <w:tab w:val="left" w:pos="5527"/>
        </w:tabs>
        <w:spacing w:line="360" w:lineRule="auto"/>
        <w:ind w:firstLine="484" w:firstLineChars="200"/>
        <w:rPr>
          <w:rStyle w:val="39"/>
          <w:rFonts w:hint="eastAsia" w:ascii="宋体" w:hAnsi="宋体" w:eastAsia="宋体" w:cs="宋体"/>
          <w:b w:val="0"/>
          <w:bCs w:val="0"/>
          <w:color w:val="auto"/>
          <w:sz w:val="24"/>
          <w:szCs w:val="24"/>
          <w:highlight w:val="none"/>
        </w:rPr>
      </w:pPr>
      <w:r>
        <w:rPr>
          <w:rStyle w:val="39"/>
          <w:rFonts w:hint="eastAsia" w:ascii="宋体" w:hAnsi="宋体" w:eastAsia="宋体" w:cs="宋体"/>
          <w:b w:val="0"/>
          <w:bCs w:val="0"/>
          <w:color w:val="auto"/>
          <w:sz w:val="24"/>
          <w:szCs w:val="24"/>
          <w:highlight w:val="none"/>
        </w:rPr>
        <w:t>【依法免税的投标人应提供相应文件证明其依法免税。</w:t>
      </w:r>
    </w:p>
    <w:p w14:paraId="4F525625">
      <w:pPr>
        <w:tabs>
          <w:tab w:val="left" w:pos="5527"/>
        </w:tabs>
        <w:spacing w:line="360" w:lineRule="auto"/>
        <w:ind w:firstLine="484" w:firstLineChars="200"/>
        <w:rPr>
          <w:rStyle w:val="39"/>
          <w:rFonts w:ascii="宋体" w:hAnsi="宋体" w:eastAsia="宋体" w:cs="宋体"/>
          <w:b w:val="0"/>
          <w:bCs w:val="0"/>
          <w:color w:val="auto"/>
          <w:sz w:val="24"/>
          <w:szCs w:val="24"/>
          <w:highlight w:val="none"/>
        </w:rPr>
      </w:pPr>
      <w:r>
        <w:rPr>
          <w:rStyle w:val="39"/>
          <w:rFonts w:hint="eastAsia" w:ascii="宋体" w:hAnsi="宋体" w:eastAsia="宋体" w:cs="宋体"/>
          <w:b w:val="0"/>
          <w:bCs w:val="0"/>
          <w:color w:val="auto"/>
          <w:sz w:val="24"/>
          <w:szCs w:val="24"/>
          <w:highlight w:val="none"/>
        </w:rPr>
        <w:t>新成立不足3个月的按实际情况发生提供，成立时间超过3个月的零申报的需提供依法报税资料】</w:t>
      </w:r>
    </w:p>
    <w:p w14:paraId="5EBD6865">
      <w:pPr>
        <w:tabs>
          <w:tab w:val="left" w:pos="5527"/>
        </w:tabs>
        <w:spacing w:line="360" w:lineRule="auto"/>
        <w:ind w:firstLine="484" w:firstLineChars="200"/>
        <w:rPr>
          <w:rStyle w:val="39"/>
          <w:rFonts w:hint="eastAsia" w:ascii="宋体" w:hAnsi="宋体" w:eastAsia="宋体" w:cs="宋体"/>
          <w:b w:val="0"/>
          <w:bCs w:val="0"/>
          <w:color w:val="auto"/>
          <w:sz w:val="24"/>
          <w:szCs w:val="24"/>
          <w:highlight w:val="none"/>
        </w:rPr>
      </w:pPr>
      <w:r>
        <w:rPr>
          <w:rStyle w:val="39"/>
          <w:rFonts w:hint="eastAsia" w:ascii="宋体" w:hAnsi="宋体" w:eastAsia="宋体" w:cs="宋体"/>
          <w:b w:val="0"/>
          <w:bCs w:val="0"/>
          <w:color w:val="auto"/>
          <w:sz w:val="24"/>
          <w:szCs w:val="24"/>
          <w:highlight w:val="none"/>
        </w:rPr>
        <w:t>（3）投标人须提供响应文件递交截止日期之前六个月内任意</w:t>
      </w:r>
      <w:r>
        <w:rPr>
          <w:rStyle w:val="39"/>
          <w:rFonts w:hint="eastAsia" w:ascii="宋体" w:hAnsi="宋体" w:eastAsia="宋体" w:cs="宋体"/>
          <w:b w:val="0"/>
          <w:bCs w:val="0"/>
          <w:color w:val="auto"/>
          <w:sz w:val="24"/>
          <w:szCs w:val="24"/>
          <w:highlight w:val="none"/>
          <w:lang w:val="en-US" w:eastAsia="zh-CN"/>
        </w:rPr>
        <w:t>3</w:t>
      </w:r>
      <w:r>
        <w:rPr>
          <w:rStyle w:val="39"/>
          <w:rFonts w:hint="eastAsia" w:ascii="宋体" w:hAnsi="宋体" w:eastAsia="宋体" w:cs="宋体"/>
          <w:b w:val="0"/>
          <w:bCs w:val="0"/>
          <w:color w:val="auto"/>
          <w:sz w:val="24"/>
          <w:szCs w:val="24"/>
          <w:highlight w:val="none"/>
        </w:rPr>
        <w:t>个月为员工缴纳社会保障资金的证明材料</w:t>
      </w:r>
      <w:r>
        <w:rPr>
          <w:rStyle w:val="39"/>
          <w:rFonts w:hint="eastAsia" w:ascii="宋体" w:hAnsi="宋体" w:eastAsia="宋体" w:cs="宋体"/>
          <w:b w:val="0"/>
          <w:bCs w:val="0"/>
          <w:color w:val="auto"/>
          <w:sz w:val="24"/>
          <w:szCs w:val="24"/>
          <w:highlight w:val="none"/>
          <w:lang w:eastAsia="zh-CN"/>
        </w:rPr>
        <w:t>扫描件</w:t>
      </w:r>
      <w:r>
        <w:rPr>
          <w:rStyle w:val="39"/>
          <w:rFonts w:hint="eastAsia" w:ascii="宋体" w:hAnsi="宋体" w:eastAsia="宋体" w:cs="宋体"/>
          <w:b w:val="0"/>
          <w:bCs w:val="0"/>
          <w:color w:val="auto"/>
          <w:sz w:val="24"/>
          <w:szCs w:val="24"/>
          <w:highlight w:val="none"/>
        </w:rPr>
        <w:t>加盖公章，证明材料是缴纳社会保险的凭据（专用收据或社会保险缴纳清单）。</w:t>
      </w:r>
    </w:p>
    <w:p w14:paraId="0A5EB301">
      <w:pPr>
        <w:tabs>
          <w:tab w:val="left" w:pos="5527"/>
        </w:tabs>
        <w:spacing w:line="360" w:lineRule="auto"/>
        <w:ind w:firstLine="484" w:firstLineChars="200"/>
        <w:rPr>
          <w:rFonts w:ascii="宋体" w:hAnsi="宋体" w:cs="宋体"/>
          <w:b w:val="0"/>
          <w:bCs w:val="0"/>
          <w:color w:val="auto"/>
          <w:sz w:val="24"/>
          <w:szCs w:val="24"/>
          <w:highlight w:val="none"/>
        </w:rPr>
      </w:pPr>
      <w:r>
        <w:rPr>
          <w:rStyle w:val="39"/>
          <w:rFonts w:hint="eastAsia" w:ascii="宋体" w:hAnsi="宋体" w:eastAsia="宋体" w:cs="宋体"/>
          <w:b w:val="0"/>
          <w:bCs w:val="0"/>
          <w:color w:val="auto"/>
          <w:sz w:val="24"/>
          <w:szCs w:val="24"/>
          <w:highlight w:val="none"/>
        </w:rPr>
        <w:t>【依法不需要缴纳社保的投标人应做书面说明和证明文件。】</w:t>
      </w:r>
    </w:p>
    <w:p w14:paraId="7E916C41">
      <w:pPr>
        <w:tabs>
          <w:tab w:val="left" w:pos="5527"/>
        </w:tabs>
        <w:spacing w:line="600" w:lineRule="auto"/>
        <w:ind w:leftChars="1600"/>
        <w:jc w:val="both"/>
        <w:outlineLvl w:val="9"/>
        <w:rPr>
          <w:rFonts w:hint="eastAsia" w:ascii="宋体" w:hAnsi="宋体" w:eastAsia="宋体" w:cs="宋体"/>
          <w:color w:val="auto"/>
          <w:sz w:val="24"/>
          <w:szCs w:val="24"/>
          <w:highlight w:val="none"/>
        </w:rPr>
      </w:pPr>
    </w:p>
    <w:p w14:paraId="2E775C70">
      <w:pPr>
        <w:tabs>
          <w:tab w:val="left" w:pos="5527"/>
        </w:tabs>
        <w:spacing w:line="600" w:lineRule="auto"/>
        <w:ind w:leftChars="16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供应商名称（盖章）：</w:t>
      </w:r>
    </w:p>
    <w:p w14:paraId="49BAD0DE">
      <w:pPr>
        <w:tabs>
          <w:tab w:val="left" w:pos="5527"/>
        </w:tabs>
        <w:spacing w:line="600" w:lineRule="auto"/>
        <w:ind w:leftChars="16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法定代表人或委托代理人（签字或盖章）：</w:t>
      </w:r>
    </w:p>
    <w:p w14:paraId="59D54AF3">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8"/>
          <w:szCs w:val="28"/>
          <w:highlight w:val="none"/>
        </w:rPr>
        <w:t>日</w:t>
      </w:r>
    </w:p>
    <w:p w14:paraId="395BBE1D">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0" w:firstLineChars="0"/>
        <w:textAlignment w:val="auto"/>
        <w:outlineLvl w:val="9"/>
        <w:rPr>
          <w:rStyle w:val="39"/>
          <w:rFonts w:hint="eastAsia" w:ascii="宋体" w:hAnsi="宋体" w:eastAsia="宋体" w:cs="宋体"/>
          <w:b/>
          <w:color w:val="auto"/>
          <w:kern w:val="2"/>
          <w:sz w:val="32"/>
          <w:szCs w:val="28"/>
          <w:highlight w:val="none"/>
          <w:lang w:val="en-US" w:eastAsia="zh-CN" w:bidi="ar-SA"/>
        </w:rPr>
      </w:pPr>
      <w:r>
        <w:rPr>
          <w:rStyle w:val="39"/>
          <w:rFonts w:hint="eastAsia" w:ascii="宋体" w:hAnsi="宋体" w:eastAsia="宋体" w:cs="宋体"/>
          <w:color w:val="auto"/>
          <w:sz w:val="32"/>
          <w:szCs w:val="28"/>
          <w:highlight w:val="none"/>
          <w:lang w:val="en-US" w:eastAsia="zh-CN"/>
        </w:rPr>
        <w:br w:type="page"/>
      </w:r>
      <w:r>
        <w:rPr>
          <w:rStyle w:val="39"/>
          <w:rFonts w:hint="eastAsia" w:ascii="宋体" w:hAnsi="宋体" w:eastAsia="宋体" w:cs="宋体"/>
          <w:b/>
          <w:color w:val="auto"/>
          <w:kern w:val="2"/>
          <w:sz w:val="32"/>
          <w:szCs w:val="28"/>
          <w:highlight w:val="none"/>
          <w:lang w:val="en-US" w:eastAsia="zh-CN" w:bidi="ar-SA"/>
        </w:rPr>
        <w:t>附件</w:t>
      </w:r>
      <w:r>
        <w:rPr>
          <w:rStyle w:val="39"/>
          <w:rFonts w:hint="eastAsia" w:ascii="宋体" w:hAnsi="宋体" w:cs="宋体"/>
          <w:b/>
          <w:color w:val="auto"/>
          <w:kern w:val="2"/>
          <w:sz w:val="32"/>
          <w:szCs w:val="28"/>
          <w:highlight w:val="none"/>
          <w:lang w:val="en-US" w:eastAsia="zh-CN" w:bidi="ar-SA"/>
        </w:rPr>
        <w:t>5</w:t>
      </w:r>
      <w:r>
        <w:rPr>
          <w:rStyle w:val="39"/>
          <w:rFonts w:hint="eastAsia" w:ascii="宋体" w:hAnsi="宋体" w:eastAsia="宋体" w:cs="宋体"/>
          <w:b/>
          <w:color w:val="auto"/>
          <w:kern w:val="2"/>
          <w:sz w:val="32"/>
          <w:szCs w:val="28"/>
          <w:highlight w:val="none"/>
          <w:lang w:val="en-US" w:eastAsia="zh-CN" w:bidi="ar-SA"/>
        </w:rPr>
        <w:t>.3：</w:t>
      </w:r>
    </w:p>
    <w:p w14:paraId="0F33FEED">
      <w:pPr>
        <w:keepNext w:val="0"/>
        <w:tabs>
          <w:tab w:val="left" w:pos="5527"/>
        </w:tabs>
        <w:jc w:val="center"/>
        <w:outlineLvl w:val="2"/>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无重大违法记录的书面声明</w:t>
      </w:r>
    </w:p>
    <w:p w14:paraId="1B12F8E6">
      <w:pPr>
        <w:tabs>
          <w:tab w:val="left" w:pos="5527"/>
        </w:tabs>
        <w:spacing w:line="360" w:lineRule="auto"/>
        <w:ind w:firstLine="564" w:firstLineChars="200"/>
        <w:outlineLvl w:val="9"/>
        <w:rPr>
          <w:rFonts w:hint="eastAsia" w:ascii="宋体" w:hAnsi="宋体" w:eastAsia="宋体" w:cs="宋体"/>
          <w:color w:val="auto"/>
          <w:kern w:val="0"/>
          <w:sz w:val="28"/>
          <w:szCs w:val="28"/>
          <w:highlight w:val="none"/>
        </w:rPr>
      </w:pPr>
    </w:p>
    <w:p w14:paraId="66A0DCAD">
      <w:pPr>
        <w:tabs>
          <w:tab w:val="left" w:pos="5527"/>
        </w:tabs>
        <w:spacing w:line="360" w:lineRule="auto"/>
        <w:ind w:firstLine="564" w:firstLineChars="200"/>
        <w:outlineLvl w:val="9"/>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供应商应当提供参加政府采购活动前3年内在经营活动中没有重大违法记录的书面声明。</w:t>
      </w:r>
    </w:p>
    <w:p w14:paraId="07CCE8B2">
      <w:pPr>
        <w:tabs>
          <w:tab w:val="left" w:pos="5527"/>
        </w:tabs>
        <w:spacing w:line="600" w:lineRule="auto"/>
        <w:ind w:leftChars="1600"/>
        <w:jc w:val="both"/>
        <w:outlineLvl w:val="9"/>
        <w:rPr>
          <w:rFonts w:hint="eastAsia" w:ascii="宋体" w:hAnsi="宋体" w:eastAsia="宋体" w:cs="宋体"/>
          <w:color w:val="auto"/>
          <w:sz w:val="28"/>
          <w:szCs w:val="28"/>
          <w:highlight w:val="none"/>
        </w:rPr>
      </w:pPr>
    </w:p>
    <w:p w14:paraId="3DC07D02">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1FDF897C">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515E4EAE">
      <w:pPr>
        <w:tabs>
          <w:tab w:val="left" w:pos="5527"/>
        </w:tabs>
        <w:spacing w:line="600" w:lineRule="auto"/>
        <w:ind w:leftChars="1600"/>
        <w:jc w:val="both"/>
        <w:outlineLvl w:val="9"/>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32"/>
          <w:szCs w:val="32"/>
          <w:highlight w:val="none"/>
        </w:rPr>
        <w:t>日</w:t>
      </w:r>
    </w:p>
    <w:p w14:paraId="499FEF37">
      <w:pPr>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br w:type="page"/>
      </w:r>
    </w:p>
    <w:p w14:paraId="39A2D577">
      <w:pPr>
        <w:keepNext w:val="0"/>
        <w:tabs>
          <w:tab w:val="left" w:pos="5527"/>
        </w:tabs>
        <w:jc w:val="left"/>
        <w:outlineLvl w:val="9"/>
        <w:rPr>
          <w:rFonts w:hint="default"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附件</w:t>
      </w:r>
      <w:r>
        <w:rPr>
          <w:rFonts w:hint="eastAsia" w:ascii="宋体" w:hAnsi="宋体" w:cs="宋体"/>
          <w:b/>
          <w:bCs/>
          <w:color w:val="auto"/>
          <w:kern w:val="2"/>
          <w:sz w:val="32"/>
          <w:szCs w:val="21"/>
          <w:highlight w:val="none"/>
          <w:lang w:val="en-US" w:eastAsia="zh-CN"/>
        </w:rPr>
        <w:t>5.</w:t>
      </w:r>
      <w:r>
        <w:rPr>
          <w:rFonts w:hint="eastAsia" w:ascii="宋体" w:hAnsi="宋体" w:eastAsia="宋体" w:cs="宋体"/>
          <w:b/>
          <w:bCs/>
          <w:color w:val="auto"/>
          <w:kern w:val="2"/>
          <w:sz w:val="32"/>
          <w:szCs w:val="21"/>
          <w:highlight w:val="none"/>
          <w:lang w:val="en-US" w:eastAsia="zh-CN"/>
        </w:rPr>
        <w:t>4：</w:t>
      </w:r>
    </w:p>
    <w:p w14:paraId="061A6251">
      <w:pPr>
        <w:keepNext w:val="0"/>
        <w:tabs>
          <w:tab w:val="left" w:pos="5527"/>
        </w:tabs>
        <w:jc w:val="center"/>
        <w:outlineLvl w:val="2"/>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投标保证金缴纳证明</w:t>
      </w:r>
    </w:p>
    <w:p w14:paraId="2BC58C98">
      <w:pPr>
        <w:tabs>
          <w:tab w:val="left" w:pos="5527"/>
        </w:tabs>
        <w:spacing w:line="600" w:lineRule="auto"/>
        <w:ind w:leftChars="1600"/>
        <w:jc w:val="both"/>
        <w:outlineLvl w:val="9"/>
        <w:rPr>
          <w:rFonts w:hint="eastAsia" w:ascii="宋体" w:hAnsi="宋体" w:eastAsia="宋体" w:cs="宋体"/>
          <w:color w:val="auto"/>
          <w:sz w:val="24"/>
          <w:szCs w:val="24"/>
          <w:highlight w:val="none"/>
        </w:rPr>
      </w:pPr>
    </w:p>
    <w:p w14:paraId="5322825A">
      <w:pPr>
        <w:pStyle w:val="5"/>
        <w:outlineLvl w:val="9"/>
        <w:rPr>
          <w:rFonts w:hint="eastAsia" w:ascii="宋体" w:hAnsi="宋体" w:eastAsia="宋体" w:cs="宋体"/>
          <w:color w:val="auto"/>
          <w:sz w:val="24"/>
          <w:szCs w:val="24"/>
          <w:highlight w:val="none"/>
        </w:rPr>
      </w:pPr>
    </w:p>
    <w:p w14:paraId="244D1D9F">
      <w:pPr>
        <w:outlineLvl w:val="9"/>
        <w:rPr>
          <w:rFonts w:hint="eastAsia" w:ascii="宋体" w:hAnsi="宋体" w:eastAsia="宋体" w:cs="宋体"/>
          <w:color w:val="auto"/>
          <w:sz w:val="24"/>
          <w:szCs w:val="24"/>
          <w:highlight w:val="none"/>
        </w:rPr>
      </w:pPr>
    </w:p>
    <w:p w14:paraId="063813FA">
      <w:pPr>
        <w:pStyle w:val="5"/>
        <w:outlineLvl w:val="9"/>
        <w:rPr>
          <w:rFonts w:hint="eastAsia" w:ascii="宋体" w:hAnsi="宋体" w:eastAsia="宋体" w:cs="宋体"/>
          <w:color w:val="auto"/>
          <w:sz w:val="24"/>
          <w:szCs w:val="24"/>
          <w:highlight w:val="none"/>
        </w:rPr>
      </w:pPr>
    </w:p>
    <w:p w14:paraId="43F67447">
      <w:pPr>
        <w:outlineLvl w:val="9"/>
        <w:rPr>
          <w:rFonts w:hint="eastAsia" w:ascii="宋体" w:hAnsi="宋体" w:eastAsia="宋体" w:cs="宋体"/>
          <w:color w:val="auto"/>
          <w:sz w:val="24"/>
          <w:szCs w:val="24"/>
          <w:highlight w:val="none"/>
        </w:rPr>
      </w:pPr>
    </w:p>
    <w:p w14:paraId="5489BD5D">
      <w:pPr>
        <w:pStyle w:val="5"/>
        <w:outlineLvl w:val="9"/>
        <w:rPr>
          <w:rFonts w:hint="eastAsia" w:ascii="宋体" w:hAnsi="宋体" w:eastAsia="宋体" w:cs="宋体"/>
          <w:color w:val="auto"/>
          <w:sz w:val="24"/>
          <w:szCs w:val="24"/>
          <w:highlight w:val="none"/>
        </w:rPr>
      </w:pPr>
    </w:p>
    <w:p w14:paraId="59A1A50B">
      <w:pPr>
        <w:outlineLvl w:val="9"/>
        <w:rPr>
          <w:rFonts w:hint="eastAsia" w:ascii="宋体" w:hAnsi="宋体" w:eastAsia="宋体" w:cs="宋体"/>
          <w:color w:val="auto"/>
          <w:sz w:val="24"/>
          <w:szCs w:val="24"/>
          <w:highlight w:val="none"/>
        </w:rPr>
      </w:pPr>
    </w:p>
    <w:p w14:paraId="5928C7A7">
      <w:pPr>
        <w:pStyle w:val="5"/>
        <w:outlineLvl w:val="9"/>
        <w:rPr>
          <w:rFonts w:hint="eastAsia" w:ascii="宋体" w:hAnsi="宋体" w:eastAsia="宋体" w:cs="宋体"/>
          <w:color w:val="auto"/>
          <w:sz w:val="24"/>
          <w:szCs w:val="24"/>
          <w:highlight w:val="none"/>
        </w:rPr>
      </w:pPr>
    </w:p>
    <w:p w14:paraId="22E731B7">
      <w:pPr>
        <w:outlineLvl w:val="9"/>
        <w:rPr>
          <w:rFonts w:hint="eastAsia" w:ascii="宋体" w:hAnsi="宋体" w:eastAsia="宋体" w:cs="宋体"/>
          <w:color w:val="auto"/>
          <w:sz w:val="24"/>
          <w:szCs w:val="24"/>
          <w:highlight w:val="none"/>
        </w:rPr>
      </w:pPr>
    </w:p>
    <w:p w14:paraId="08CC72E4">
      <w:pPr>
        <w:pStyle w:val="5"/>
        <w:outlineLvl w:val="9"/>
        <w:rPr>
          <w:rFonts w:hint="eastAsia" w:ascii="宋体" w:hAnsi="宋体" w:eastAsia="宋体" w:cs="宋体"/>
          <w:color w:val="auto"/>
          <w:sz w:val="24"/>
          <w:szCs w:val="24"/>
          <w:highlight w:val="none"/>
        </w:rPr>
      </w:pPr>
    </w:p>
    <w:p w14:paraId="323D4DED">
      <w:pPr>
        <w:outlineLvl w:val="9"/>
        <w:rPr>
          <w:rFonts w:hint="eastAsia" w:ascii="宋体" w:hAnsi="宋体" w:eastAsia="宋体" w:cs="宋体"/>
          <w:color w:val="auto"/>
          <w:sz w:val="24"/>
          <w:szCs w:val="24"/>
          <w:highlight w:val="none"/>
        </w:rPr>
      </w:pPr>
    </w:p>
    <w:p w14:paraId="5F37C90A">
      <w:pPr>
        <w:pStyle w:val="5"/>
        <w:outlineLvl w:val="9"/>
        <w:rPr>
          <w:rFonts w:hint="eastAsia" w:ascii="宋体" w:hAnsi="宋体" w:eastAsia="宋体" w:cs="宋体"/>
          <w:color w:val="auto"/>
          <w:sz w:val="24"/>
          <w:szCs w:val="24"/>
          <w:highlight w:val="none"/>
        </w:rPr>
      </w:pPr>
    </w:p>
    <w:p w14:paraId="44604991">
      <w:pPr>
        <w:outlineLvl w:val="9"/>
        <w:rPr>
          <w:rFonts w:hint="eastAsia" w:ascii="宋体" w:hAnsi="宋体" w:eastAsia="宋体" w:cs="宋体"/>
          <w:color w:val="auto"/>
          <w:sz w:val="24"/>
          <w:szCs w:val="24"/>
          <w:highlight w:val="none"/>
        </w:rPr>
      </w:pPr>
    </w:p>
    <w:p w14:paraId="5864207E">
      <w:pPr>
        <w:pStyle w:val="5"/>
        <w:outlineLvl w:val="9"/>
        <w:rPr>
          <w:rFonts w:hint="eastAsia" w:ascii="宋体" w:hAnsi="宋体" w:eastAsia="宋体" w:cs="宋体"/>
          <w:color w:val="auto"/>
          <w:sz w:val="24"/>
          <w:szCs w:val="24"/>
          <w:highlight w:val="none"/>
        </w:rPr>
      </w:pPr>
    </w:p>
    <w:p w14:paraId="29C1E1A9">
      <w:pPr>
        <w:outlineLvl w:val="9"/>
        <w:rPr>
          <w:rFonts w:hint="eastAsia" w:ascii="宋体" w:hAnsi="宋体" w:eastAsia="宋体" w:cs="宋体"/>
          <w:color w:val="auto"/>
          <w:sz w:val="24"/>
          <w:szCs w:val="24"/>
          <w:highlight w:val="none"/>
        </w:rPr>
      </w:pPr>
    </w:p>
    <w:p w14:paraId="2AC07B49">
      <w:pPr>
        <w:pStyle w:val="5"/>
        <w:outlineLvl w:val="9"/>
        <w:rPr>
          <w:rFonts w:hint="eastAsia" w:ascii="宋体" w:hAnsi="宋体" w:eastAsia="宋体" w:cs="宋体"/>
          <w:color w:val="auto"/>
          <w:sz w:val="24"/>
          <w:szCs w:val="24"/>
          <w:highlight w:val="none"/>
        </w:rPr>
      </w:pPr>
    </w:p>
    <w:p w14:paraId="2C6990A6">
      <w:pPr>
        <w:outlineLvl w:val="9"/>
        <w:rPr>
          <w:rFonts w:hint="eastAsia" w:ascii="宋体" w:hAnsi="宋体" w:eastAsia="宋体" w:cs="宋体"/>
          <w:color w:val="auto"/>
          <w:sz w:val="24"/>
          <w:szCs w:val="24"/>
          <w:highlight w:val="none"/>
        </w:rPr>
      </w:pPr>
    </w:p>
    <w:p w14:paraId="59F88613">
      <w:pPr>
        <w:pStyle w:val="5"/>
        <w:outlineLvl w:val="9"/>
        <w:rPr>
          <w:rFonts w:hint="eastAsia" w:ascii="宋体" w:hAnsi="宋体" w:eastAsia="宋体" w:cs="宋体"/>
          <w:color w:val="auto"/>
          <w:sz w:val="24"/>
          <w:szCs w:val="24"/>
          <w:highlight w:val="none"/>
        </w:rPr>
      </w:pPr>
    </w:p>
    <w:p w14:paraId="50233989">
      <w:pPr>
        <w:outlineLvl w:val="9"/>
        <w:rPr>
          <w:rFonts w:hint="eastAsia" w:ascii="宋体" w:hAnsi="宋体" w:eastAsia="宋体" w:cs="宋体"/>
          <w:color w:val="auto"/>
          <w:sz w:val="24"/>
          <w:szCs w:val="24"/>
          <w:highlight w:val="none"/>
        </w:rPr>
      </w:pPr>
    </w:p>
    <w:p w14:paraId="6B40B6BD">
      <w:pPr>
        <w:pStyle w:val="5"/>
        <w:outlineLvl w:val="9"/>
        <w:rPr>
          <w:rFonts w:hint="eastAsia" w:ascii="宋体" w:hAnsi="宋体" w:eastAsia="宋体" w:cs="宋体"/>
          <w:color w:val="auto"/>
          <w:highlight w:val="none"/>
        </w:rPr>
      </w:pPr>
    </w:p>
    <w:p w14:paraId="25FF0EB3">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2B5AA1E7">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6403329A">
      <w:pPr>
        <w:tabs>
          <w:tab w:val="left" w:pos="5527"/>
        </w:tabs>
        <w:spacing w:line="600" w:lineRule="auto"/>
        <w:ind w:leftChars="1600"/>
        <w:jc w:val="both"/>
        <w:outlineLvl w:val="9"/>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32"/>
          <w:szCs w:val="32"/>
          <w:highlight w:val="none"/>
        </w:rPr>
        <w:t>日</w:t>
      </w:r>
    </w:p>
    <w:p w14:paraId="5A02CF3F">
      <w:pPr>
        <w:rPr>
          <w:rFonts w:hint="eastAsia" w:ascii="宋体" w:hAnsi="宋体" w:eastAsia="宋体" w:cs="宋体"/>
          <w:b/>
          <w:bCs/>
          <w:color w:val="auto"/>
          <w:kern w:val="2"/>
          <w:sz w:val="32"/>
          <w:szCs w:val="21"/>
          <w:highlight w:val="none"/>
          <w:lang w:val="en-US" w:eastAsia="zh-CN"/>
        </w:rPr>
      </w:pPr>
    </w:p>
    <w:p w14:paraId="7852CE66">
      <w:pPr>
        <w:keepNext w:val="0"/>
        <w:keepLines w:val="0"/>
        <w:pageBreakBefore w:val="0"/>
        <w:widowControl w:val="0"/>
        <w:tabs>
          <w:tab w:val="left" w:pos="5527"/>
        </w:tabs>
        <w:kinsoku/>
        <w:wordWrap/>
        <w:overflowPunct/>
        <w:topLinePunct w:val="0"/>
        <w:bidi w:val="0"/>
        <w:snapToGrid/>
        <w:spacing w:line="336" w:lineRule="auto"/>
        <w:ind w:firstLine="1128" w:firstLineChars="400"/>
        <w:textAlignment w:val="auto"/>
        <w:outlineLvl w:val="9"/>
        <w:rPr>
          <w:rFonts w:hint="eastAsia" w:ascii="宋体" w:hAnsi="宋体" w:eastAsia="宋体" w:cs="宋体"/>
          <w:b/>
          <w:bCs/>
          <w:color w:val="auto"/>
          <w:sz w:val="28"/>
          <w:szCs w:val="28"/>
          <w:highlight w:val="none"/>
          <w:lang w:val="en-US" w:eastAsia="zh-CN"/>
        </w:rPr>
      </w:pPr>
    </w:p>
    <w:p w14:paraId="1F770E61">
      <w:pPr>
        <w:keepNext w:val="0"/>
        <w:keepLines w:val="0"/>
        <w:pageBreakBefore w:val="0"/>
        <w:widowControl w:val="0"/>
        <w:tabs>
          <w:tab w:val="left" w:pos="5527"/>
        </w:tabs>
        <w:kinsoku/>
        <w:wordWrap/>
        <w:overflowPunct/>
        <w:topLinePunct w:val="0"/>
        <w:bidi w:val="0"/>
        <w:snapToGrid/>
        <w:spacing w:line="336" w:lineRule="auto"/>
        <w:textAlignment w:val="auto"/>
        <w:outlineLvl w:val="9"/>
        <w:rPr>
          <w:rStyle w:val="41"/>
          <w:rFonts w:hint="eastAsia" w:ascii="宋体" w:hAnsi="宋体" w:eastAsia="宋体" w:cs="宋体"/>
          <w:b/>
          <w:bCs/>
          <w:color w:val="auto"/>
          <w:sz w:val="32"/>
          <w:szCs w:val="28"/>
          <w:highlight w:val="none"/>
        </w:rPr>
      </w:pPr>
      <w:r>
        <w:rPr>
          <w:rFonts w:hint="eastAsia" w:ascii="宋体" w:hAnsi="宋体" w:eastAsia="宋体" w:cs="宋体"/>
          <w:b/>
          <w:bCs/>
          <w:color w:val="auto"/>
          <w:sz w:val="28"/>
          <w:szCs w:val="28"/>
          <w:highlight w:val="none"/>
          <w:lang w:val="en-US" w:eastAsia="zh-CN"/>
        </w:rPr>
        <w:br w:type="page"/>
      </w:r>
      <w:r>
        <w:rPr>
          <w:rStyle w:val="41"/>
          <w:rFonts w:hint="eastAsia" w:ascii="宋体" w:hAnsi="宋体" w:eastAsia="宋体" w:cs="宋体"/>
          <w:b/>
          <w:bCs/>
          <w:color w:val="auto"/>
          <w:sz w:val="32"/>
          <w:szCs w:val="28"/>
          <w:highlight w:val="none"/>
        </w:rPr>
        <w:t>附件</w:t>
      </w:r>
      <w:r>
        <w:rPr>
          <w:rStyle w:val="41"/>
          <w:rFonts w:hint="eastAsia" w:ascii="宋体" w:hAnsi="宋体" w:cs="宋体"/>
          <w:b/>
          <w:bCs/>
          <w:color w:val="auto"/>
          <w:sz w:val="32"/>
          <w:szCs w:val="28"/>
          <w:highlight w:val="none"/>
          <w:lang w:val="en-US" w:eastAsia="zh-CN"/>
        </w:rPr>
        <w:t>5.5</w:t>
      </w:r>
      <w:r>
        <w:rPr>
          <w:rStyle w:val="41"/>
          <w:rFonts w:hint="eastAsia" w:ascii="宋体" w:hAnsi="宋体" w:eastAsia="宋体" w:cs="宋体"/>
          <w:b/>
          <w:bCs/>
          <w:color w:val="auto"/>
          <w:sz w:val="32"/>
          <w:szCs w:val="28"/>
          <w:highlight w:val="none"/>
        </w:rPr>
        <w:t>：</w:t>
      </w:r>
    </w:p>
    <w:p w14:paraId="4B4D583C">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主要股东或出资人信息</w:t>
      </w:r>
    </w:p>
    <w:tbl>
      <w:tblPr>
        <w:tblStyle w:val="27"/>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87"/>
        <w:gridCol w:w="2340"/>
        <w:gridCol w:w="1404"/>
        <w:gridCol w:w="1493"/>
        <w:gridCol w:w="1315"/>
        <w:gridCol w:w="957"/>
      </w:tblGrid>
      <w:tr w14:paraId="0E27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810" w:type="dxa"/>
            <w:vAlign w:val="center"/>
          </w:tcPr>
          <w:p w14:paraId="0AA58FD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87" w:type="dxa"/>
            <w:vAlign w:val="center"/>
          </w:tcPr>
          <w:p w14:paraId="4451E6C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p w14:paraId="783B68F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2340" w:type="dxa"/>
            <w:vAlign w:val="center"/>
          </w:tcPr>
          <w:p w14:paraId="5F1256E1">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p w14:paraId="7125791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p>
        </w:tc>
        <w:tc>
          <w:tcPr>
            <w:tcW w:w="1404" w:type="dxa"/>
            <w:vAlign w:val="center"/>
          </w:tcPr>
          <w:p w14:paraId="40AC87C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出资方式</w:t>
            </w:r>
          </w:p>
        </w:tc>
        <w:tc>
          <w:tcPr>
            <w:tcW w:w="1493" w:type="dxa"/>
            <w:vAlign w:val="center"/>
          </w:tcPr>
          <w:p w14:paraId="071E6B5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出资金额</w:t>
            </w:r>
          </w:p>
          <w:p w14:paraId="652692C2">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1315" w:type="dxa"/>
            <w:vAlign w:val="center"/>
          </w:tcPr>
          <w:p w14:paraId="0377DA7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占全部股份比例</w:t>
            </w:r>
          </w:p>
        </w:tc>
        <w:tc>
          <w:tcPr>
            <w:tcW w:w="957" w:type="dxa"/>
            <w:vAlign w:val="center"/>
          </w:tcPr>
          <w:p w14:paraId="21B3C3F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6122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0" w:type="dxa"/>
            <w:vAlign w:val="center"/>
          </w:tcPr>
          <w:p w14:paraId="476DEB6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287" w:type="dxa"/>
            <w:vAlign w:val="center"/>
          </w:tcPr>
          <w:p w14:paraId="4A11768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2340" w:type="dxa"/>
            <w:vAlign w:val="center"/>
          </w:tcPr>
          <w:p w14:paraId="0AE4D4C2">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04" w:type="dxa"/>
            <w:vAlign w:val="center"/>
          </w:tcPr>
          <w:p w14:paraId="7F94BD2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93" w:type="dxa"/>
            <w:vAlign w:val="center"/>
          </w:tcPr>
          <w:p w14:paraId="019DB1A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315" w:type="dxa"/>
            <w:vAlign w:val="center"/>
          </w:tcPr>
          <w:p w14:paraId="43FBD1D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957" w:type="dxa"/>
            <w:vAlign w:val="center"/>
          </w:tcPr>
          <w:p w14:paraId="39AD2C5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r>
      <w:tr w14:paraId="04CA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0" w:type="dxa"/>
            <w:vAlign w:val="center"/>
          </w:tcPr>
          <w:p w14:paraId="4F0D6FBF">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287" w:type="dxa"/>
            <w:vAlign w:val="center"/>
          </w:tcPr>
          <w:p w14:paraId="40A17A1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2340" w:type="dxa"/>
            <w:vAlign w:val="center"/>
          </w:tcPr>
          <w:p w14:paraId="5BA9655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04" w:type="dxa"/>
            <w:vAlign w:val="center"/>
          </w:tcPr>
          <w:p w14:paraId="7B72374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93" w:type="dxa"/>
            <w:vAlign w:val="center"/>
          </w:tcPr>
          <w:p w14:paraId="5729914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315" w:type="dxa"/>
            <w:vAlign w:val="center"/>
          </w:tcPr>
          <w:p w14:paraId="5A4B8B2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957" w:type="dxa"/>
            <w:vAlign w:val="center"/>
          </w:tcPr>
          <w:p w14:paraId="380E8F9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r>
      <w:tr w14:paraId="563F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0" w:type="dxa"/>
            <w:vAlign w:val="center"/>
          </w:tcPr>
          <w:p w14:paraId="3B70270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287" w:type="dxa"/>
            <w:vAlign w:val="center"/>
          </w:tcPr>
          <w:p w14:paraId="56CFC25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2340" w:type="dxa"/>
            <w:vAlign w:val="center"/>
          </w:tcPr>
          <w:p w14:paraId="337EEB8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04" w:type="dxa"/>
            <w:vAlign w:val="center"/>
          </w:tcPr>
          <w:p w14:paraId="1F3FA94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93" w:type="dxa"/>
            <w:vAlign w:val="center"/>
          </w:tcPr>
          <w:p w14:paraId="34619DA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315" w:type="dxa"/>
            <w:vAlign w:val="center"/>
          </w:tcPr>
          <w:p w14:paraId="330D59E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957" w:type="dxa"/>
            <w:vAlign w:val="center"/>
          </w:tcPr>
          <w:p w14:paraId="26DA7EB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r>
      <w:tr w14:paraId="7588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0" w:type="dxa"/>
            <w:vAlign w:val="center"/>
          </w:tcPr>
          <w:p w14:paraId="0F67E7E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287" w:type="dxa"/>
            <w:vAlign w:val="center"/>
          </w:tcPr>
          <w:p w14:paraId="1185B1E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2340" w:type="dxa"/>
            <w:vAlign w:val="center"/>
          </w:tcPr>
          <w:p w14:paraId="642FB68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04" w:type="dxa"/>
            <w:vAlign w:val="center"/>
          </w:tcPr>
          <w:p w14:paraId="2C31233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93" w:type="dxa"/>
            <w:vAlign w:val="center"/>
          </w:tcPr>
          <w:p w14:paraId="50AA27A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315" w:type="dxa"/>
            <w:vAlign w:val="center"/>
          </w:tcPr>
          <w:p w14:paraId="058B06C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957" w:type="dxa"/>
            <w:vAlign w:val="center"/>
          </w:tcPr>
          <w:p w14:paraId="59FFDF4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r>
      <w:tr w14:paraId="2027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0" w:type="dxa"/>
            <w:vAlign w:val="center"/>
          </w:tcPr>
          <w:p w14:paraId="209E218F">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287" w:type="dxa"/>
            <w:vAlign w:val="center"/>
          </w:tcPr>
          <w:p w14:paraId="00A9628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2340" w:type="dxa"/>
            <w:vAlign w:val="center"/>
          </w:tcPr>
          <w:p w14:paraId="7F838C35">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04" w:type="dxa"/>
            <w:vAlign w:val="center"/>
          </w:tcPr>
          <w:p w14:paraId="5A1608B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93" w:type="dxa"/>
            <w:vAlign w:val="center"/>
          </w:tcPr>
          <w:p w14:paraId="2A27A43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315" w:type="dxa"/>
            <w:vAlign w:val="center"/>
          </w:tcPr>
          <w:p w14:paraId="6667EDC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957" w:type="dxa"/>
            <w:vAlign w:val="center"/>
          </w:tcPr>
          <w:p w14:paraId="61CFD0B5">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r>
    </w:tbl>
    <w:p w14:paraId="7A555A11">
      <w:pPr>
        <w:tabs>
          <w:tab w:val="left" w:pos="5527"/>
        </w:tabs>
        <w:spacing w:line="480" w:lineRule="exact"/>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我方承诺，以上信息真实可靠；如填报的股东出资额、出资比例等与实际不符，视为放弃中标资格。</w:t>
      </w:r>
    </w:p>
    <w:p w14:paraId="132EC880">
      <w:pPr>
        <w:tabs>
          <w:tab w:val="left" w:pos="5527"/>
        </w:tabs>
        <w:spacing w:line="480" w:lineRule="exact"/>
        <w:ind w:left="720" w:hanging="666" w:hangingChars="300"/>
        <w:outlineLvl w:val="9"/>
        <w:rPr>
          <w:rFonts w:hint="eastAsia" w:ascii="宋体" w:hAnsi="宋体" w:eastAsia="宋体" w:cs="宋体"/>
          <w:color w:val="auto"/>
          <w:sz w:val="22"/>
          <w:szCs w:val="21"/>
          <w:highlight w:val="none"/>
        </w:rPr>
      </w:pPr>
    </w:p>
    <w:p w14:paraId="43B16FFD">
      <w:pPr>
        <w:tabs>
          <w:tab w:val="left" w:pos="5527"/>
        </w:tabs>
        <w:spacing w:line="480" w:lineRule="exact"/>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注：1.主要股东或出资人为法人的，填写法人全称及统一社会信用代码（尚未办理三证合一的填写组织机构代码）；为自然人的，填写自然人姓名和身份证号。</w:t>
      </w:r>
    </w:p>
    <w:p w14:paraId="1EFDB1FD">
      <w:pPr>
        <w:tabs>
          <w:tab w:val="left" w:pos="5527"/>
        </w:tabs>
        <w:spacing w:line="480" w:lineRule="exact"/>
        <w:ind w:firstLine="1128" w:firstLineChars="4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2.出资方式填写货币、实物、工艺产权和非专利技术、土地使用权等。</w:t>
      </w:r>
    </w:p>
    <w:p w14:paraId="0E8E6396">
      <w:pPr>
        <w:tabs>
          <w:tab w:val="left" w:pos="5527"/>
        </w:tabs>
        <w:spacing w:line="480" w:lineRule="exact"/>
        <w:ind w:firstLine="1128" w:firstLineChars="4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eastAsia="zh-CN"/>
        </w:rPr>
        <w:t>投标供应商</w:t>
      </w:r>
      <w:r>
        <w:rPr>
          <w:rFonts w:hint="eastAsia" w:ascii="宋体" w:hAnsi="宋体" w:eastAsia="宋体" w:cs="宋体"/>
          <w:color w:val="auto"/>
          <w:sz w:val="28"/>
          <w:szCs w:val="28"/>
          <w:highlight w:val="none"/>
        </w:rPr>
        <w:t>应按照占全部股份比例从大到小依次逐个股东填写。</w:t>
      </w:r>
    </w:p>
    <w:p w14:paraId="42A34250">
      <w:pPr>
        <w:tabs>
          <w:tab w:val="left" w:pos="5527"/>
        </w:tabs>
        <w:spacing w:line="480" w:lineRule="exact"/>
        <w:ind w:left="535" w:leftChars="200" w:hanging="111" w:hangingChars="50"/>
        <w:outlineLvl w:val="9"/>
        <w:rPr>
          <w:rFonts w:hint="eastAsia" w:ascii="宋体" w:hAnsi="宋体" w:eastAsia="宋体" w:cs="宋体"/>
          <w:color w:val="auto"/>
          <w:sz w:val="22"/>
          <w:szCs w:val="21"/>
          <w:highlight w:val="none"/>
        </w:rPr>
      </w:pPr>
    </w:p>
    <w:p w14:paraId="20671EF7">
      <w:pPr>
        <w:tabs>
          <w:tab w:val="left" w:pos="5527"/>
        </w:tabs>
        <w:spacing w:line="480" w:lineRule="exact"/>
        <w:ind w:left="565" w:leftChars="200" w:hanging="141" w:hangingChars="50"/>
        <w:outlineLvl w:val="9"/>
        <w:rPr>
          <w:rFonts w:hint="eastAsia" w:ascii="宋体" w:hAnsi="宋体" w:eastAsia="宋体" w:cs="宋体"/>
          <w:color w:val="auto"/>
          <w:sz w:val="28"/>
          <w:szCs w:val="28"/>
          <w:highlight w:val="none"/>
        </w:rPr>
      </w:pPr>
    </w:p>
    <w:p w14:paraId="479EE3FD">
      <w:pPr>
        <w:tabs>
          <w:tab w:val="left" w:pos="5527"/>
        </w:tabs>
        <w:spacing w:line="600" w:lineRule="auto"/>
        <w:ind w:leftChars="1600"/>
        <w:jc w:val="both"/>
        <w:outlineLvl w:val="9"/>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供应商名称（盖章）：</w:t>
      </w:r>
    </w:p>
    <w:p w14:paraId="3F2FE412">
      <w:pPr>
        <w:tabs>
          <w:tab w:val="left" w:pos="5527"/>
        </w:tabs>
        <w:spacing w:line="600" w:lineRule="auto"/>
        <w:ind w:leftChars="1600"/>
        <w:jc w:val="both"/>
        <w:outlineLvl w:val="9"/>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法定代表人或委托代理人（签字或盖章）：</w:t>
      </w:r>
    </w:p>
    <w:p w14:paraId="745C183A">
      <w:pPr>
        <w:tabs>
          <w:tab w:val="left" w:pos="5527"/>
        </w:tabs>
        <w:spacing w:line="600" w:lineRule="auto"/>
        <w:ind w:leftChars="1600"/>
        <w:jc w:val="both"/>
        <w:outlineLvl w:val="9"/>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28"/>
          <w:szCs w:val="28"/>
          <w:highlight w:val="none"/>
        </w:rPr>
        <w:t>日期：</w:t>
      </w:r>
      <w:r>
        <w:rPr>
          <w:rFonts w:hint="eastAsia" w:ascii="宋体" w:hAnsi="宋体" w:eastAsia="宋体" w:cs="宋体"/>
          <w:b w:val="0"/>
          <w:bCs w:val="0"/>
          <w:color w:val="auto"/>
          <w:sz w:val="28"/>
          <w:szCs w:val="28"/>
          <w:highlight w:val="none"/>
          <w:lang w:val="en-US" w:eastAsia="zh-CN"/>
        </w:rPr>
        <w:t xml:space="preserve">    </w:t>
      </w:r>
      <w:r>
        <w:rPr>
          <w:rFonts w:hint="eastAsia" w:ascii="宋体" w:hAnsi="宋体" w:eastAsia="宋体" w:cs="宋体"/>
          <w:b w:val="0"/>
          <w:bCs w:val="0"/>
          <w:color w:val="auto"/>
          <w:sz w:val="28"/>
          <w:szCs w:val="28"/>
          <w:highlight w:val="none"/>
        </w:rPr>
        <w:t>年</w:t>
      </w:r>
      <w:r>
        <w:rPr>
          <w:rFonts w:hint="eastAsia" w:ascii="宋体" w:hAnsi="宋体" w:eastAsia="宋体" w:cs="宋体"/>
          <w:b w:val="0"/>
          <w:bCs w:val="0"/>
          <w:color w:val="auto"/>
          <w:sz w:val="28"/>
          <w:szCs w:val="28"/>
          <w:highlight w:val="none"/>
          <w:lang w:val="en-US" w:eastAsia="zh-CN"/>
        </w:rPr>
        <w:t xml:space="preserve">  </w:t>
      </w:r>
      <w:r>
        <w:rPr>
          <w:rFonts w:hint="eastAsia" w:ascii="宋体" w:hAnsi="宋体" w:eastAsia="宋体" w:cs="宋体"/>
          <w:b w:val="0"/>
          <w:bCs w:val="0"/>
          <w:color w:val="auto"/>
          <w:sz w:val="28"/>
          <w:szCs w:val="28"/>
          <w:highlight w:val="none"/>
        </w:rPr>
        <w:t>月</w:t>
      </w:r>
      <w:r>
        <w:rPr>
          <w:rFonts w:hint="eastAsia" w:ascii="宋体" w:hAnsi="宋体" w:eastAsia="宋体" w:cs="宋体"/>
          <w:b w:val="0"/>
          <w:bCs w:val="0"/>
          <w:color w:val="auto"/>
          <w:sz w:val="28"/>
          <w:szCs w:val="28"/>
          <w:highlight w:val="none"/>
          <w:lang w:val="en-US" w:eastAsia="zh-CN"/>
        </w:rPr>
        <w:t xml:space="preserve">  </w:t>
      </w:r>
      <w:r>
        <w:rPr>
          <w:rFonts w:hint="eastAsia" w:ascii="宋体" w:hAnsi="宋体" w:eastAsia="宋体" w:cs="宋体"/>
          <w:b w:val="0"/>
          <w:bCs w:val="0"/>
          <w:color w:val="auto"/>
          <w:sz w:val="32"/>
          <w:szCs w:val="32"/>
          <w:highlight w:val="none"/>
        </w:rPr>
        <w:t>日</w:t>
      </w:r>
    </w:p>
    <w:p w14:paraId="7B782721">
      <w:pPr>
        <w:keepNext w:val="0"/>
        <w:keepLines w:val="0"/>
        <w:pageBreakBefore w:val="0"/>
        <w:widowControl w:val="0"/>
        <w:tabs>
          <w:tab w:val="left" w:pos="5527"/>
        </w:tabs>
        <w:kinsoku/>
        <w:wordWrap/>
        <w:overflowPunct/>
        <w:topLinePunct w:val="0"/>
        <w:bidi w:val="0"/>
        <w:snapToGrid/>
        <w:spacing w:line="336" w:lineRule="auto"/>
        <w:ind w:firstLine="1128" w:firstLineChars="400"/>
        <w:textAlignment w:val="auto"/>
        <w:outlineLvl w:val="9"/>
        <w:rPr>
          <w:rFonts w:hint="eastAsia" w:ascii="宋体" w:hAnsi="宋体" w:eastAsia="宋体" w:cs="宋体"/>
          <w:b/>
          <w:bCs/>
          <w:color w:val="auto"/>
          <w:sz w:val="28"/>
          <w:szCs w:val="28"/>
          <w:highlight w:val="none"/>
          <w:lang w:val="en-US" w:eastAsia="zh-CN"/>
        </w:rPr>
      </w:pPr>
    </w:p>
    <w:p w14:paraId="0ABF524A">
      <w:pPr>
        <w:keepNext w:val="0"/>
        <w:numPr>
          <w:ilvl w:val="0"/>
          <w:numId w:val="0"/>
        </w:numPr>
        <w:tabs>
          <w:tab w:val="left" w:pos="420"/>
          <w:tab w:val="left" w:pos="5527"/>
        </w:tabs>
        <w:jc w:val="left"/>
        <w:outlineLvl w:val="9"/>
        <w:rPr>
          <w:rStyle w:val="39"/>
          <w:rFonts w:hint="eastAsia" w:ascii="宋体" w:hAnsi="宋体" w:eastAsia="宋体" w:cs="宋体"/>
          <w:color w:val="auto"/>
          <w:sz w:val="32"/>
          <w:szCs w:val="28"/>
          <w:highlight w:val="none"/>
          <w:lang w:val="en-US" w:eastAsia="zh-CN"/>
        </w:rPr>
      </w:pPr>
      <w:r>
        <w:rPr>
          <w:rFonts w:hint="eastAsia" w:ascii="宋体" w:hAnsi="宋体" w:eastAsia="宋体" w:cs="宋体"/>
          <w:b/>
          <w:bCs/>
          <w:color w:val="auto"/>
          <w:sz w:val="28"/>
          <w:szCs w:val="28"/>
          <w:highlight w:val="none"/>
          <w:lang w:val="en-US" w:eastAsia="zh-CN"/>
        </w:rPr>
        <w:br w:type="page"/>
      </w:r>
      <w:bookmarkStart w:id="267" w:name="_Toc2823"/>
      <w:bookmarkStart w:id="268" w:name="_Toc3838"/>
      <w:bookmarkStart w:id="269" w:name="_Toc13819"/>
      <w:bookmarkStart w:id="270" w:name="_Toc24425"/>
      <w:bookmarkStart w:id="271" w:name="_Toc32377"/>
      <w:bookmarkStart w:id="272" w:name="_Toc4149"/>
      <w:bookmarkStart w:id="273" w:name="_Toc4146"/>
      <w:bookmarkStart w:id="274" w:name="_Toc16327"/>
      <w:bookmarkStart w:id="275" w:name="_Toc26562"/>
      <w:r>
        <w:rPr>
          <w:rStyle w:val="39"/>
          <w:rFonts w:hint="eastAsia" w:ascii="宋体" w:hAnsi="宋体" w:eastAsia="宋体" w:cs="宋体"/>
          <w:color w:val="auto"/>
          <w:sz w:val="32"/>
          <w:szCs w:val="28"/>
          <w:highlight w:val="none"/>
          <w:lang w:val="en-US" w:eastAsia="zh-CN"/>
        </w:rPr>
        <w:t>附件</w:t>
      </w:r>
      <w:bookmarkEnd w:id="267"/>
      <w:bookmarkEnd w:id="268"/>
      <w:r>
        <w:rPr>
          <w:rStyle w:val="39"/>
          <w:rFonts w:hint="eastAsia" w:ascii="宋体" w:hAnsi="宋体" w:cs="宋体"/>
          <w:color w:val="auto"/>
          <w:sz w:val="32"/>
          <w:szCs w:val="28"/>
          <w:highlight w:val="none"/>
          <w:lang w:val="en-US" w:eastAsia="zh-CN"/>
        </w:rPr>
        <w:t>6</w:t>
      </w:r>
      <w:r>
        <w:rPr>
          <w:rStyle w:val="39"/>
          <w:rFonts w:hint="eastAsia" w:ascii="宋体" w:hAnsi="宋体" w:eastAsia="宋体" w:cs="宋体"/>
          <w:b/>
          <w:color w:val="auto"/>
          <w:kern w:val="2"/>
          <w:sz w:val="32"/>
          <w:szCs w:val="28"/>
          <w:highlight w:val="none"/>
          <w:lang w:val="en-US" w:eastAsia="zh-CN" w:bidi="ar-SA"/>
        </w:rPr>
        <w:t>：</w:t>
      </w:r>
      <w:bookmarkEnd w:id="269"/>
      <w:bookmarkEnd w:id="270"/>
    </w:p>
    <w:bookmarkEnd w:id="271"/>
    <w:bookmarkEnd w:id="272"/>
    <w:bookmarkEnd w:id="273"/>
    <w:bookmarkEnd w:id="274"/>
    <w:bookmarkEnd w:id="275"/>
    <w:p w14:paraId="6E8756FB">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76" w:name="_Toc5616"/>
      <w:bookmarkStart w:id="277" w:name="_Toc11037"/>
      <w:bookmarkStart w:id="278" w:name="_Toc24088"/>
      <w:bookmarkStart w:id="279" w:name="_Toc122"/>
      <w:bookmarkStart w:id="280" w:name="_Toc22602"/>
      <w:bookmarkStart w:id="281" w:name="_Toc2268"/>
      <w:bookmarkStart w:id="282" w:name="_Toc16880"/>
      <w:r>
        <w:rPr>
          <w:rFonts w:hint="eastAsia" w:ascii="宋体" w:hAnsi="宋体" w:eastAsia="宋体" w:cs="宋体"/>
          <w:b/>
          <w:bCs/>
          <w:color w:val="auto"/>
          <w:kern w:val="2"/>
          <w:sz w:val="32"/>
          <w:szCs w:val="21"/>
          <w:highlight w:val="none"/>
          <w:lang w:val="en-US" w:eastAsia="zh-CN"/>
        </w:rPr>
        <w:t>“重法纪、讲诚信”承诺书</w:t>
      </w:r>
      <w:bookmarkEnd w:id="276"/>
      <w:bookmarkEnd w:id="277"/>
      <w:bookmarkEnd w:id="278"/>
      <w:bookmarkEnd w:id="279"/>
      <w:bookmarkEnd w:id="280"/>
      <w:bookmarkEnd w:id="281"/>
    </w:p>
    <w:bookmarkEnd w:id="282"/>
    <w:p w14:paraId="02E94F41">
      <w:pPr>
        <w:tabs>
          <w:tab w:val="left" w:pos="5527"/>
        </w:tabs>
        <w:bidi w:val="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val="zh-CN"/>
        </w:rPr>
        <w:t>（采购人名称）</w:t>
      </w:r>
      <w:r>
        <w:rPr>
          <w:rFonts w:hint="eastAsia" w:ascii="宋体" w:hAnsi="宋体" w:eastAsia="宋体" w:cs="宋体"/>
          <w:color w:val="auto"/>
          <w:sz w:val="28"/>
          <w:szCs w:val="28"/>
          <w:highlight w:val="none"/>
        </w:rPr>
        <w:t>：</w:t>
      </w:r>
    </w:p>
    <w:p w14:paraId="195446F7">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为积极配合防范和遏制招投标活动中不公平竞争和违规违纪行为的发生，确保招标工作公平、公正、公开、有序进行，我公司在参与贵公司</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eastAsia="zh-CN"/>
        </w:rPr>
        <w:t>项目名称+标项号</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采购活动中，保证自觉遵守《中华人民共和国政府采购法》、《中华人民共和国政府采购法实施条例》 等国家法律法规以及廉洁自律有关规章制度，并向贵公司承诺如下事项：</w:t>
      </w:r>
    </w:p>
    <w:p w14:paraId="4D54A7CC">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不以任何形式通过社会上的“代理”、“中介”、“掮客”等采取不正当手段谋取中标；</w:t>
      </w:r>
    </w:p>
    <w:p w14:paraId="28D03DB4">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不以任何形式打着领导及其亲友旗号或冒充领导及其亲友等采取不正当手段谋取中标；</w:t>
      </w:r>
    </w:p>
    <w:p w14:paraId="0FFD084C">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不以任何名义向参与采购活动、评标工作的有关人员赠送回扣、红包、礼金、购物卡、有价证券、贵重物品和好处费、感谢费等；不以任何名义向参与采购活动、评标工作的有关人员提供高消费宴请及娱乐活动；</w:t>
      </w:r>
    </w:p>
    <w:p w14:paraId="08FD4EA7">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不以任何名义为参与采购活动、评标工作的有关人员报销应由参与采购活动、评标工作的有关人员支付的任何费用；</w:t>
      </w:r>
    </w:p>
    <w:p w14:paraId="739256F1">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不以谋取非正当利益为目的，与参与采购活动、评标工作的有关人员就业务问题进行私下商谈或者达成利益默契；</w:t>
      </w:r>
    </w:p>
    <w:p w14:paraId="1EC9CE1D">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不以任何名义接受或暗示为参与采购活动、评标工作的有关人员装修住房、婚丧嫁娶以及境内外旅游等提供方便；</w:t>
      </w:r>
    </w:p>
    <w:p w14:paraId="24F1DE5E">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不与采购人、采购代理机构工作人员串通投标，损害国家利益、企业利益以及他人的合法利益；</w:t>
      </w:r>
    </w:p>
    <w:p w14:paraId="2519ECE7">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rPr>
        <w:t>不以任何方式与其他供应商相互串通投标，不排挤其他供应商，不损害采购人或其他供应商的合法权益；</w:t>
      </w:r>
    </w:p>
    <w:p w14:paraId="2FFBDC1F">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9.</w:t>
      </w:r>
      <w:r>
        <w:rPr>
          <w:rFonts w:hint="eastAsia" w:ascii="宋体" w:hAnsi="宋体" w:eastAsia="宋体" w:cs="宋体"/>
          <w:color w:val="auto"/>
          <w:sz w:val="28"/>
          <w:szCs w:val="28"/>
          <w:highlight w:val="none"/>
        </w:rPr>
        <w:t>不采取捏造事实或者提供虚假投诉材料，恶意投诉、诋毁、排挤其他供应商；</w:t>
      </w:r>
    </w:p>
    <w:p w14:paraId="64857C9F">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10.</w:t>
      </w:r>
      <w:r>
        <w:rPr>
          <w:rFonts w:hint="eastAsia" w:ascii="宋体" w:hAnsi="宋体" w:eastAsia="宋体" w:cs="宋体"/>
          <w:color w:val="auto"/>
          <w:sz w:val="28"/>
          <w:szCs w:val="28"/>
          <w:highlight w:val="none"/>
        </w:rPr>
        <w:t>参与采购活动时不以任何形式提供任何虚假信息或证明文件。</w:t>
      </w:r>
    </w:p>
    <w:p w14:paraId="603A6942">
      <w:pPr>
        <w:tabs>
          <w:tab w:val="left" w:pos="5527"/>
        </w:tabs>
        <w:bidi w:val="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贵单位既可根据国家有关单位的判决、裁定等有效文书认定我公司是否违反承诺，也有权通过对贵公司相关人员的调查来认定我公司是否违反承诺。如违反以上承诺，我公司自愿接受贵公司依据有关规定对我公司的处理（包括但不限于实施市场禁入、取消投、中标资格以及终止合同等），给贵公司造成损失的，予以赔偿。</w:t>
      </w:r>
    </w:p>
    <w:p w14:paraId="03A7B0B2">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本承诺函为我公司</w:t>
      </w:r>
      <w:r>
        <w:rPr>
          <w:rFonts w:hint="eastAsia" w:ascii="宋体" w:hAnsi="宋体" w:cs="宋体"/>
          <w:color w:val="auto"/>
          <w:sz w:val="28"/>
          <w:szCs w:val="28"/>
          <w:highlight w:val="none"/>
          <w:lang w:eastAsia="zh-CN"/>
        </w:rPr>
        <w:t>响应</w:t>
      </w:r>
      <w:r>
        <w:rPr>
          <w:rFonts w:hint="eastAsia" w:ascii="宋体" w:hAnsi="宋体" w:eastAsia="宋体" w:cs="宋体"/>
          <w:color w:val="auto"/>
          <w:sz w:val="28"/>
          <w:szCs w:val="28"/>
          <w:highlight w:val="none"/>
        </w:rPr>
        <w:t>此次采购项目正式文件的附件，与其他</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具有同等法律效力，经我公司盖章后立即生效。</w:t>
      </w:r>
    </w:p>
    <w:p w14:paraId="754BDE89">
      <w:pPr>
        <w:tabs>
          <w:tab w:val="left" w:pos="5527"/>
        </w:tabs>
        <w:bidi w:val="0"/>
        <w:outlineLvl w:val="9"/>
        <w:rPr>
          <w:rFonts w:hint="eastAsia" w:ascii="宋体" w:hAnsi="宋体" w:eastAsia="宋体" w:cs="宋体"/>
          <w:color w:val="auto"/>
          <w:sz w:val="28"/>
          <w:szCs w:val="28"/>
          <w:highlight w:val="none"/>
        </w:rPr>
      </w:pPr>
    </w:p>
    <w:p w14:paraId="08727C51">
      <w:pPr>
        <w:tabs>
          <w:tab w:val="left" w:pos="5527"/>
        </w:tabs>
        <w:bidi w:val="0"/>
        <w:outlineLvl w:val="9"/>
        <w:rPr>
          <w:rFonts w:hint="eastAsia" w:ascii="宋体" w:hAnsi="宋体" w:eastAsia="宋体" w:cs="宋体"/>
          <w:color w:val="auto"/>
          <w:sz w:val="28"/>
          <w:szCs w:val="28"/>
          <w:highlight w:val="none"/>
        </w:rPr>
      </w:pPr>
    </w:p>
    <w:p w14:paraId="1DF5B8D2">
      <w:pPr>
        <w:tabs>
          <w:tab w:val="left" w:pos="5527"/>
        </w:tabs>
        <w:bidi w:val="0"/>
        <w:spacing w:line="600" w:lineRule="auto"/>
        <w:jc w:val="center"/>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供应商名称（盖章）：</w:t>
      </w:r>
    </w:p>
    <w:p w14:paraId="5638612D">
      <w:pPr>
        <w:tabs>
          <w:tab w:val="left" w:pos="5527"/>
        </w:tabs>
        <w:bidi w:val="0"/>
        <w:spacing w:line="60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6D7CECF2">
      <w:pPr>
        <w:tabs>
          <w:tab w:val="left" w:pos="5527"/>
        </w:tabs>
        <w:bidi w:val="0"/>
        <w:spacing w:line="60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078DE5BB">
      <w:pPr>
        <w:tabs>
          <w:tab w:val="left" w:pos="5527"/>
        </w:tabs>
        <w:bidi w:val="0"/>
        <w:outlineLvl w:val="9"/>
        <w:rPr>
          <w:rFonts w:hint="eastAsia" w:ascii="宋体" w:hAnsi="宋体" w:eastAsia="宋体" w:cs="宋体"/>
          <w:color w:val="auto"/>
          <w:sz w:val="28"/>
          <w:szCs w:val="28"/>
          <w:highlight w:val="none"/>
        </w:rPr>
      </w:pPr>
    </w:p>
    <w:p w14:paraId="225FDBBA">
      <w:pPr>
        <w:keepNext w:val="0"/>
        <w:numPr>
          <w:ilvl w:val="0"/>
          <w:numId w:val="0"/>
        </w:numPr>
        <w:tabs>
          <w:tab w:val="left" w:pos="420"/>
          <w:tab w:val="left" w:pos="5527"/>
        </w:tabs>
        <w:jc w:val="left"/>
        <w:outlineLvl w:val="9"/>
        <w:rPr>
          <w:rStyle w:val="39"/>
          <w:rFonts w:hint="eastAsia" w:ascii="宋体" w:hAnsi="宋体" w:eastAsia="宋体" w:cs="宋体"/>
          <w:b/>
          <w:bCs/>
          <w:color w:val="auto"/>
          <w:sz w:val="32"/>
          <w:szCs w:val="28"/>
          <w:highlight w:val="none"/>
          <w:lang w:val="en-US" w:eastAsia="zh-CN"/>
        </w:rPr>
      </w:pPr>
      <w:bookmarkStart w:id="283" w:name="_Toc30133"/>
      <w:bookmarkStart w:id="284" w:name="_Toc24465"/>
      <w:r>
        <w:rPr>
          <w:rStyle w:val="39"/>
          <w:rFonts w:hint="eastAsia" w:ascii="宋体" w:hAnsi="宋体" w:eastAsia="宋体" w:cs="宋体"/>
          <w:color w:val="auto"/>
          <w:sz w:val="32"/>
          <w:szCs w:val="28"/>
          <w:highlight w:val="none"/>
          <w:lang w:val="en-US" w:eastAsia="zh-CN"/>
        </w:rPr>
        <w:br w:type="page"/>
      </w:r>
      <w:bookmarkStart w:id="285" w:name="_Toc4663"/>
      <w:bookmarkStart w:id="286" w:name="_Toc24590"/>
      <w:bookmarkStart w:id="287" w:name="_Toc13644"/>
      <w:bookmarkStart w:id="288" w:name="_Toc13711"/>
      <w:bookmarkStart w:id="289" w:name="_Toc12233"/>
      <w:bookmarkStart w:id="290" w:name="_Toc17732"/>
      <w:bookmarkStart w:id="291" w:name="_Toc19980"/>
      <w:r>
        <w:rPr>
          <w:rStyle w:val="39"/>
          <w:rFonts w:hint="eastAsia" w:ascii="宋体" w:hAnsi="宋体" w:eastAsia="宋体" w:cs="宋体"/>
          <w:b/>
          <w:bCs/>
          <w:color w:val="auto"/>
          <w:sz w:val="32"/>
          <w:szCs w:val="28"/>
          <w:highlight w:val="none"/>
          <w:lang w:val="en-US" w:eastAsia="zh-CN"/>
        </w:rPr>
        <w:t>附件</w:t>
      </w:r>
      <w:bookmarkEnd w:id="283"/>
      <w:bookmarkEnd w:id="284"/>
      <w:r>
        <w:rPr>
          <w:rStyle w:val="39"/>
          <w:rFonts w:hint="eastAsia" w:ascii="宋体" w:hAnsi="宋体" w:cs="宋体"/>
          <w:b/>
          <w:bCs/>
          <w:color w:val="auto"/>
          <w:sz w:val="32"/>
          <w:szCs w:val="28"/>
          <w:highlight w:val="none"/>
          <w:lang w:val="en-US" w:eastAsia="zh-CN"/>
        </w:rPr>
        <w:t>7</w:t>
      </w:r>
      <w:r>
        <w:rPr>
          <w:rStyle w:val="39"/>
          <w:rFonts w:hint="eastAsia" w:ascii="宋体" w:hAnsi="宋体" w:eastAsia="宋体" w:cs="宋体"/>
          <w:b/>
          <w:bCs/>
          <w:color w:val="auto"/>
          <w:kern w:val="2"/>
          <w:sz w:val="32"/>
          <w:szCs w:val="28"/>
          <w:highlight w:val="none"/>
          <w:lang w:val="en-US" w:eastAsia="zh-CN" w:bidi="ar-SA"/>
        </w:rPr>
        <w:t>：</w:t>
      </w:r>
      <w:bookmarkEnd w:id="285"/>
      <w:bookmarkEnd w:id="286"/>
    </w:p>
    <w:bookmarkEnd w:id="287"/>
    <w:bookmarkEnd w:id="288"/>
    <w:bookmarkEnd w:id="289"/>
    <w:bookmarkEnd w:id="290"/>
    <w:bookmarkEnd w:id="291"/>
    <w:p w14:paraId="473A315D">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92" w:name="_Toc25088"/>
      <w:bookmarkStart w:id="293" w:name="_Toc11427"/>
      <w:bookmarkStart w:id="294" w:name="_Toc8673"/>
      <w:bookmarkStart w:id="295" w:name="_Toc32330"/>
      <w:bookmarkStart w:id="296" w:name="_Toc10393"/>
      <w:bookmarkStart w:id="297" w:name="_Toc17566"/>
      <w:bookmarkStart w:id="298" w:name="_Toc20770"/>
      <w:r>
        <w:rPr>
          <w:rFonts w:hint="eastAsia" w:ascii="宋体" w:hAnsi="宋体" w:eastAsia="宋体" w:cs="宋体"/>
          <w:b/>
          <w:bCs/>
          <w:color w:val="auto"/>
          <w:kern w:val="2"/>
          <w:sz w:val="32"/>
          <w:szCs w:val="21"/>
          <w:highlight w:val="none"/>
          <w:lang w:val="en-US" w:eastAsia="zh-CN"/>
        </w:rPr>
        <w:t>反商业贿赂承诺书</w:t>
      </w:r>
      <w:bookmarkEnd w:id="292"/>
      <w:bookmarkEnd w:id="293"/>
      <w:bookmarkEnd w:id="294"/>
      <w:bookmarkEnd w:id="295"/>
      <w:bookmarkEnd w:id="296"/>
      <w:bookmarkEnd w:id="297"/>
    </w:p>
    <w:bookmarkEnd w:id="298"/>
    <w:p w14:paraId="36EFBDC1">
      <w:pPr>
        <w:tabs>
          <w:tab w:val="left" w:pos="5527"/>
        </w:tabs>
        <w:adjustRightInd w:val="0"/>
        <w:snapToGrid w:val="0"/>
        <w:spacing w:line="360" w:lineRule="auto"/>
        <w:ind w:firstLine="564" w:firstLineChars="200"/>
        <w:jc w:val="left"/>
        <w:outlineLvl w:val="9"/>
        <w:rPr>
          <w:rFonts w:hint="eastAsia" w:ascii="宋体" w:hAnsi="宋体" w:eastAsia="宋体" w:cs="宋体"/>
          <w:color w:val="auto"/>
          <w:sz w:val="28"/>
          <w:szCs w:val="28"/>
          <w:highlight w:val="none"/>
        </w:rPr>
      </w:pPr>
    </w:p>
    <w:p w14:paraId="1714CAA8">
      <w:pPr>
        <w:tabs>
          <w:tab w:val="left" w:pos="5527"/>
        </w:tabs>
        <w:adjustRightInd w:val="0"/>
        <w:snapToGrid w:val="0"/>
        <w:spacing w:line="360" w:lineRule="auto"/>
        <w:ind w:firstLine="564"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为了从源头上防治腐败，杜绝商业贿赂行为的发生，更好地配合采购代理机构的工作，我们供应商承诺如下：</w:t>
      </w:r>
    </w:p>
    <w:p w14:paraId="43801327">
      <w:pPr>
        <w:tabs>
          <w:tab w:val="left" w:pos="5527"/>
        </w:tabs>
        <w:adjustRightInd w:val="0"/>
        <w:snapToGrid w:val="0"/>
        <w:spacing w:line="360" w:lineRule="auto"/>
        <w:ind w:firstLine="564"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1、不以各种名义给采购代理工作人员借或送现金、有价证券及物品。</w:t>
      </w:r>
    </w:p>
    <w:p w14:paraId="0197A459">
      <w:pPr>
        <w:tabs>
          <w:tab w:val="left" w:pos="5527"/>
        </w:tabs>
        <w:adjustRightInd w:val="0"/>
        <w:snapToGrid w:val="0"/>
        <w:spacing w:line="360" w:lineRule="auto"/>
        <w:ind w:firstLine="564"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2、不以个人名义邀请采购代理工作人员参与考察旅游活动和宴请活动。</w:t>
      </w:r>
    </w:p>
    <w:p w14:paraId="018F9729">
      <w:pPr>
        <w:tabs>
          <w:tab w:val="left" w:pos="5527"/>
        </w:tabs>
        <w:adjustRightInd w:val="0"/>
        <w:snapToGrid w:val="0"/>
        <w:spacing w:line="360" w:lineRule="auto"/>
        <w:ind w:firstLine="564"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3、不发生与采购事项有关的其他违规违纪行为。</w:t>
      </w:r>
    </w:p>
    <w:p w14:paraId="63FA9ED0">
      <w:pPr>
        <w:tabs>
          <w:tab w:val="left" w:pos="5527"/>
        </w:tabs>
        <w:adjustRightInd w:val="0"/>
        <w:snapToGrid w:val="0"/>
        <w:spacing w:line="360" w:lineRule="auto"/>
        <w:ind w:firstLine="56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4、如违反其中一项，同意将我公司列入政府采购黑名单并终止投标资格，今后不得参与</w:t>
      </w:r>
      <w:r>
        <w:rPr>
          <w:rFonts w:hint="eastAsia" w:ascii="宋体" w:hAnsi="宋体" w:eastAsia="宋体" w:cs="宋体"/>
          <w:color w:val="auto"/>
          <w:sz w:val="28"/>
          <w:szCs w:val="28"/>
          <w:highlight w:val="none"/>
          <w:lang w:val="en-US" w:eastAsia="zh-CN"/>
        </w:rPr>
        <w:t>本地区</w:t>
      </w:r>
      <w:r>
        <w:rPr>
          <w:rFonts w:hint="eastAsia" w:ascii="宋体" w:hAnsi="宋体" w:eastAsia="宋体" w:cs="宋体"/>
          <w:color w:val="auto"/>
          <w:sz w:val="28"/>
          <w:szCs w:val="28"/>
          <w:highlight w:val="none"/>
        </w:rPr>
        <w:t>政府采购活动，触犯法律由司法部门处理。</w:t>
      </w:r>
    </w:p>
    <w:p w14:paraId="16C71F30">
      <w:pPr>
        <w:tabs>
          <w:tab w:val="left" w:pos="5527"/>
        </w:tabs>
        <w:bidi w:val="0"/>
        <w:spacing w:line="600" w:lineRule="auto"/>
        <w:jc w:val="center"/>
        <w:outlineLvl w:val="9"/>
        <w:rPr>
          <w:rFonts w:hint="eastAsia" w:ascii="宋体" w:hAnsi="宋体" w:eastAsia="宋体" w:cs="宋体"/>
          <w:bCs/>
          <w:color w:val="auto"/>
          <w:highlight w:val="none"/>
        </w:rPr>
      </w:pPr>
    </w:p>
    <w:p w14:paraId="2AC5BD33">
      <w:pPr>
        <w:tabs>
          <w:tab w:val="left" w:pos="5527"/>
        </w:tabs>
        <w:bidi w:val="0"/>
        <w:spacing w:line="600" w:lineRule="auto"/>
        <w:jc w:val="center"/>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供应商名称（盖章）：</w:t>
      </w:r>
    </w:p>
    <w:p w14:paraId="2DACC4F8">
      <w:pPr>
        <w:tabs>
          <w:tab w:val="left" w:pos="5527"/>
        </w:tabs>
        <w:bidi w:val="0"/>
        <w:spacing w:line="60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1A79322C">
      <w:pPr>
        <w:tabs>
          <w:tab w:val="left" w:pos="5527"/>
        </w:tabs>
        <w:wordWrap w:val="0"/>
        <w:bidi w:val="0"/>
        <w:spacing w:line="600" w:lineRule="auto"/>
        <w:jc w:val="right"/>
        <w:outlineLvl w:val="9"/>
        <w:rPr>
          <w:rFonts w:hint="eastAsia" w:ascii="宋体" w:hAnsi="宋体" w:eastAsia="宋体" w:cs="宋体"/>
          <w:color w:val="auto"/>
          <w:sz w:val="28"/>
          <w:szCs w:val="28"/>
          <w:highlight w:val="none"/>
          <w:lang w:val="en-US" w:eastAsia="zh-CN"/>
        </w:rPr>
        <w:sectPr>
          <w:pgSz w:w="11906" w:h="16838"/>
          <w:pgMar w:top="1417" w:right="1417" w:bottom="1417" w:left="1417" w:header="851" w:footer="850" w:gutter="0"/>
          <w:pgBorders>
            <w:top w:val="none" w:sz="0" w:space="0"/>
            <w:left w:val="none" w:sz="0" w:space="0"/>
            <w:bottom w:val="none" w:sz="0" w:space="0"/>
            <w:right w:val="none" w:sz="0" w:space="0"/>
          </w:pgBorders>
          <w:pgNumType w:fmt="numberInDash"/>
          <w:cols w:space="0" w:num="1"/>
          <w:titlePg/>
          <w:rtlGutter w:val="0"/>
          <w:docGrid w:type="linesAndChars" w:linePitch="312" w:charSpace="530"/>
        </w:sectPr>
      </w:pPr>
      <w:r>
        <w:rPr>
          <w:rFonts w:hint="eastAsia" w:ascii="宋体" w:hAnsi="宋体" w:eastAsia="宋体" w:cs="宋体"/>
          <w:color w:val="auto"/>
          <w:sz w:val="28"/>
          <w:szCs w:val="28"/>
          <w:highlight w:val="none"/>
        </w:rPr>
        <w:t>日期：     年   月</w:t>
      </w:r>
      <w:r>
        <w:rPr>
          <w:rFonts w:hint="eastAsia" w:ascii="宋体" w:hAnsi="宋体" w:eastAsia="宋体" w:cs="宋体"/>
          <w:color w:val="auto"/>
          <w:sz w:val="28"/>
          <w:szCs w:val="28"/>
          <w:highlight w:val="none"/>
          <w:lang w:val="en-US" w:eastAsia="zh-CN"/>
        </w:rPr>
        <w:t xml:space="preserve">   日</w:t>
      </w:r>
    </w:p>
    <w:p w14:paraId="5EEF75C8">
      <w:pPr>
        <w:tabs>
          <w:tab w:val="left" w:pos="5527"/>
        </w:tabs>
        <w:bidi w:val="0"/>
        <w:spacing w:line="600" w:lineRule="auto"/>
        <w:jc w:val="both"/>
        <w:outlineLvl w:val="9"/>
        <w:rPr>
          <w:rStyle w:val="39"/>
          <w:rFonts w:hint="eastAsia" w:ascii="宋体" w:hAnsi="宋体" w:eastAsia="宋体" w:cs="宋体"/>
          <w:b/>
          <w:bCs/>
          <w:color w:val="auto"/>
          <w:sz w:val="32"/>
          <w:szCs w:val="28"/>
          <w:highlight w:val="none"/>
          <w:lang w:val="en-US" w:eastAsia="zh-CN"/>
        </w:rPr>
      </w:pPr>
      <w:bookmarkStart w:id="299" w:name="_Toc2791"/>
      <w:bookmarkStart w:id="300" w:name="_Toc27806"/>
      <w:bookmarkStart w:id="301" w:name="_Toc10265"/>
      <w:bookmarkStart w:id="302" w:name="_Toc2951"/>
      <w:bookmarkStart w:id="303" w:name="_Toc30778"/>
      <w:bookmarkStart w:id="304" w:name="_Toc18853"/>
      <w:bookmarkStart w:id="305" w:name="_Toc17300"/>
      <w:r>
        <w:rPr>
          <w:rStyle w:val="39"/>
          <w:rFonts w:hint="eastAsia" w:ascii="宋体" w:hAnsi="宋体" w:eastAsia="宋体" w:cs="宋体"/>
          <w:b/>
          <w:bCs/>
          <w:color w:val="auto"/>
          <w:sz w:val="32"/>
          <w:szCs w:val="28"/>
          <w:highlight w:val="none"/>
          <w:lang w:val="en-US" w:eastAsia="zh-CN"/>
        </w:rPr>
        <w:t>附件</w:t>
      </w:r>
      <w:r>
        <w:rPr>
          <w:rStyle w:val="39"/>
          <w:rFonts w:hint="eastAsia" w:ascii="宋体" w:hAnsi="宋体" w:cs="宋体"/>
          <w:b/>
          <w:bCs/>
          <w:color w:val="auto"/>
          <w:sz w:val="32"/>
          <w:szCs w:val="28"/>
          <w:highlight w:val="none"/>
          <w:lang w:val="en-US" w:eastAsia="zh-CN"/>
        </w:rPr>
        <w:t>8</w:t>
      </w:r>
      <w:r>
        <w:rPr>
          <w:rStyle w:val="39"/>
          <w:rFonts w:hint="eastAsia" w:ascii="宋体" w:hAnsi="宋体" w:eastAsia="宋体" w:cs="宋体"/>
          <w:b/>
          <w:color w:val="auto"/>
          <w:kern w:val="2"/>
          <w:sz w:val="32"/>
          <w:szCs w:val="28"/>
          <w:highlight w:val="none"/>
          <w:lang w:val="en-US" w:eastAsia="zh-CN" w:bidi="ar-SA"/>
        </w:rPr>
        <w:t>：</w:t>
      </w:r>
    </w:p>
    <w:bookmarkEnd w:id="299"/>
    <w:bookmarkEnd w:id="300"/>
    <w:bookmarkEnd w:id="301"/>
    <w:bookmarkEnd w:id="302"/>
    <w:bookmarkEnd w:id="303"/>
    <w:bookmarkEnd w:id="304"/>
    <w:bookmarkEnd w:id="305"/>
    <w:p w14:paraId="1A975ECC">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06" w:name="_Toc6467"/>
      <w:bookmarkStart w:id="307" w:name="_Toc27259"/>
      <w:bookmarkStart w:id="308" w:name="_Toc20023"/>
      <w:bookmarkStart w:id="309" w:name="_Toc30262"/>
      <w:bookmarkStart w:id="310" w:name="_Toc13267"/>
      <w:bookmarkStart w:id="311" w:name="_Toc24684"/>
      <w:bookmarkStart w:id="312" w:name="_Toc12982"/>
      <w:r>
        <w:rPr>
          <w:rFonts w:hint="eastAsia" w:ascii="宋体" w:hAnsi="宋体" w:eastAsia="宋体" w:cs="宋体"/>
          <w:b/>
          <w:bCs/>
          <w:color w:val="auto"/>
          <w:kern w:val="2"/>
          <w:sz w:val="32"/>
          <w:szCs w:val="21"/>
          <w:highlight w:val="none"/>
          <w:lang w:val="en-US" w:eastAsia="zh-CN"/>
        </w:rPr>
        <w:t>商务条款偏离表</w:t>
      </w:r>
      <w:bookmarkEnd w:id="306"/>
      <w:bookmarkEnd w:id="307"/>
      <w:bookmarkEnd w:id="308"/>
      <w:bookmarkEnd w:id="309"/>
      <w:bookmarkEnd w:id="310"/>
      <w:bookmarkEnd w:id="311"/>
    </w:p>
    <w:bookmarkEnd w:id="312"/>
    <w:p w14:paraId="77FD0B52">
      <w:pPr>
        <w:pStyle w:val="38"/>
        <w:tabs>
          <w:tab w:val="left" w:pos="5527"/>
        </w:tabs>
        <w:spacing w:line="480" w:lineRule="exact"/>
        <w:ind w:firstLine="120" w:firstLineChars="43"/>
        <w:jc w:val="both"/>
        <w:outlineLvl w:val="9"/>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项目名称+标项号</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kern w:val="2"/>
          <w:sz w:val="28"/>
          <w:szCs w:val="28"/>
          <w:highlight w:val="none"/>
          <w:lang w:val="en-US" w:eastAsia="zh-CN" w:bidi="ar-SA"/>
        </w:rPr>
        <w:t xml:space="preserve"> </w:t>
      </w:r>
    </w:p>
    <w:tbl>
      <w:tblPr>
        <w:tblStyle w:val="27"/>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695"/>
        <w:gridCol w:w="2232"/>
        <w:gridCol w:w="2157"/>
        <w:gridCol w:w="1368"/>
        <w:gridCol w:w="1112"/>
      </w:tblGrid>
      <w:tr w14:paraId="7DF8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874" w:type="dxa"/>
            <w:vAlign w:val="center"/>
          </w:tcPr>
          <w:p w14:paraId="552EA88A">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695" w:type="dxa"/>
            <w:vAlign w:val="center"/>
          </w:tcPr>
          <w:p w14:paraId="6C73F32D">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条目号</w:t>
            </w:r>
          </w:p>
        </w:tc>
        <w:tc>
          <w:tcPr>
            <w:tcW w:w="2232" w:type="dxa"/>
            <w:vAlign w:val="center"/>
          </w:tcPr>
          <w:p w14:paraId="57D11400">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的商务条款</w:t>
            </w:r>
          </w:p>
        </w:tc>
        <w:tc>
          <w:tcPr>
            <w:tcW w:w="2157" w:type="dxa"/>
            <w:vAlign w:val="center"/>
          </w:tcPr>
          <w:p w14:paraId="3E251BC7">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lang w:eastAsia="zh-CN"/>
              </w:rPr>
              <w:t>文件</w:t>
            </w:r>
            <w:r>
              <w:rPr>
                <w:rFonts w:hint="eastAsia" w:ascii="宋体" w:hAnsi="宋体" w:eastAsia="宋体" w:cs="宋体"/>
                <w:b/>
                <w:bCs/>
                <w:color w:val="auto"/>
                <w:sz w:val="24"/>
                <w:szCs w:val="24"/>
                <w:highlight w:val="none"/>
              </w:rPr>
              <w:t>的商务条款</w:t>
            </w:r>
          </w:p>
        </w:tc>
        <w:tc>
          <w:tcPr>
            <w:tcW w:w="1368" w:type="dxa"/>
            <w:vAlign w:val="center"/>
          </w:tcPr>
          <w:p w14:paraId="42042D98">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偏离</w:t>
            </w:r>
          </w:p>
        </w:tc>
        <w:tc>
          <w:tcPr>
            <w:tcW w:w="1112" w:type="dxa"/>
            <w:vAlign w:val="center"/>
          </w:tcPr>
          <w:p w14:paraId="3B17CB4F">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5709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74" w:type="dxa"/>
            <w:vAlign w:val="top"/>
          </w:tcPr>
          <w:p w14:paraId="355B2505">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695" w:type="dxa"/>
            <w:vAlign w:val="top"/>
          </w:tcPr>
          <w:p w14:paraId="01ADB60B">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6ADE9BA5">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61E16176">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6A71898B">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45C5002C">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r w14:paraId="19E0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74" w:type="dxa"/>
            <w:vAlign w:val="top"/>
          </w:tcPr>
          <w:p w14:paraId="1F4D6083">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695" w:type="dxa"/>
            <w:vAlign w:val="top"/>
          </w:tcPr>
          <w:p w14:paraId="4DBC97C5">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1916A06B">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0AB47E29">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44D84444">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6004AF28">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r w14:paraId="422E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74" w:type="dxa"/>
            <w:vAlign w:val="top"/>
          </w:tcPr>
          <w:p w14:paraId="33891837">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695" w:type="dxa"/>
            <w:vAlign w:val="top"/>
          </w:tcPr>
          <w:p w14:paraId="75EEECE2">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6FAB4F0A">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047BAF16">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7EAD20B1">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1619C2FE">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r w14:paraId="1D99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74" w:type="dxa"/>
            <w:vAlign w:val="top"/>
          </w:tcPr>
          <w:p w14:paraId="11424276">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695" w:type="dxa"/>
            <w:vAlign w:val="top"/>
          </w:tcPr>
          <w:p w14:paraId="000ADC7C">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518ACCD8">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455CF443">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4D852DCB">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52AD6E53">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r w14:paraId="5D6E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74" w:type="dxa"/>
            <w:vAlign w:val="top"/>
          </w:tcPr>
          <w:p w14:paraId="6ECD94E4">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695" w:type="dxa"/>
            <w:vAlign w:val="top"/>
          </w:tcPr>
          <w:p w14:paraId="6521B599">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75D5FBF8">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0D8271A0">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10093776">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7369A460">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r w14:paraId="1BE4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874" w:type="dxa"/>
            <w:vAlign w:val="top"/>
          </w:tcPr>
          <w:p w14:paraId="4DA89B59">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695" w:type="dxa"/>
            <w:vAlign w:val="top"/>
          </w:tcPr>
          <w:p w14:paraId="7AF5CDF5">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3B9941F4">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0B3C2D71">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77D563DA">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6F2B01BE">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bl>
    <w:p w14:paraId="5D001827">
      <w:pPr>
        <w:tabs>
          <w:tab w:val="left" w:pos="5527"/>
        </w:tabs>
        <w:bidi w:val="0"/>
        <w:spacing w:line="360" w:lineRule="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注</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若有偏离</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请将具体偏离条款在“偏离”一栏中详细说明</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若无偏离</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请在“偏离”一栏中标注“无”字样。</w:t>
      </w:r>
    </w:p>
    <w:p w14:paraId="1BE9A899">
      <w:pPr>
        <w:tabs>
          <w:tab w:val="left" w:pos="5527"/>
        </w:tabs>
        <w:bidi w:val="0"/>
        <w:spacing w:line="600" w:lineRule="auto"/>
        <w:ind w:leftChars="1600"/>
        <w:outlineLvl w:val="9"/>
        <w:rPr>
          <w:rFonts w:hint="eastAsia" w:ascii="宋体" w:hAnsi="宋体" w:eastAsia="宋体" w:cs="宋体"/>
          <w:color w:val="auto"/>
          <w:sz w:val="28"/>
          <w:szCs w:val="28"/>
          <w:highlight w:val="none"/>
        </w:rPr>
      </w:pPr>
    </w:p>
    <w:p w14:paraId="00801A1F">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377630C4">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5DA0D543">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bookmarkStart w:id="313" w:name="_Toc2824"/>
      <w:bookmarkStart w:id="314" w:name="_Toc5781"/>
    </w:p>
    <w:p w14:paraId="01ACBC3C">
      <w:pPr>
        <w:tabs>
          <w:tab w:val="left" w:pos="5527"/>
        </w:tabs>
        <w:bidi w:val="0"/>
        <w:spacing w:line="600" w:lineRule="auto"/>
        <w:outlineLvl w:val="9"/>
        <w:rPr>
          <w:rStyle w:val="39"/>
          <w:rFonts w:hint="eastAsia" w:ascii="宋体" w:hAnsi="宋体" w:eastAsia="宋体" w:cs="宋体"/>
          <w:color w:val="auto"/>
          <w:sz w:val="32"/>
          <w:szCs w:val="28"/>
          <w:highlight w:val="none"/>
          <w:lang w:val="en-US" w:eastAsia="zh-CN"/>
        </w:rPr>
      </w:pPr>
      <w:r>
        <w:rPr>
          <w:rFonts w:hint="eastAsia" w:ascii="宋体" w:hAnsi="宋体" w:eastAsia="宋体" w:cs="宋体"/>
          <w:color w:val="auto"/>
          <w:sz w:val="28"/>
          <w:szCs w:val="28"/>
          <w:highlight w:val="none"/>
        </w:rPr>
        <w:br w:type="page"/>
      </w:r>
      <w:bookmarkStart w:id="315" w:name="_Toc25564"/>
      <w:bookmarkStart w:id="316" w:name="_Toc19177"/>
      <w:bookmarkStart w:id="317" w:name="_Toc15792"/>
      <w:bookmarkStart w:id="318" w:name="_Toc13300"/>
      <w:bookmarkStart w:id="319" w:name="_Toc1360"/>
      <w:bookmarkStart w:id="320" w:name="_Toc16505"/>
      <w:bookmarkStart w:id="321" w:name="_Toc3729"/>
      <w:r>
        <w:rPr>
          <w:rStyle w:val="39"/>
          <w:rFonts w:hint="eastAsia" w:ascii="宋体" w:hAnsi="宋体" w:eastAsia="宋体" w:cs="宋体"/>
          <w:b/>
          <w:bCs/>
          <w:color w:val="auto"/>
          <w:sz w:val="32"/>
          <w:szCs w:val="28"/>
          <w:highlight w:val="none"/>
          <w:lang w:val="en-US" w:eastAsia="zh-CN"/>
        </w:rPr>
        <w:t>附件</w:t>
      </w:r>
      <w:bookmarkEnd w:id="313"/>
      <w:bookmarkEnd w:id="314"/>
      <w:r>
        <w:rPr>
          <w:rStyle w:val="39"/>
          <w:rFonts w:hint="eastAsia" w:ascii="宋体" w:hAnsi="宋体" w:cs="宋体"/>
          <w:b/>
          <w:bCs/>
          <w:color w:val="auto"/>
          <w:sz w:val="32"/>
          <w:szCs w:val="28"/>
          <w:highlight w:val="none"/>
          <w:lang w:val="en-US" w:eastAsia="zh-CN"/>
        </w:rPr>
        <w:t>9</w:t>
      </w:r>
      <w:r>
        <w:rPr>
          <w:rStyle w:val="39"/>
          <w:rFonts w:hint="eastAsia" w:ascii="宋体" w:hAnsi="宋体" w:eastAsia="宋体" w:cs="宋体"/>
          <w:b/>
          <w:color w:val="auto"/>
          <w:kern w:val="2"/>
          <w:sz w:val="32"/>
          <w:szCs w:val="28"/>
          <w:highlight w:val="none"/>
          <w:lang w:val="en-US" w:eastAsia="zh-CN" w:bidi="ar-SA"/>
        </w:rPr>
        <w:t>：</w:t>
      </w:r>
    </w:p>
    <w:bookmarkEnd w:id="315"/>
    <w:bookmarkEnd w:id="316"/>
    <w:bookmarkEnd w:id="317"/>
    <w:bookmarkEnd w:id="318"/>
    <w:bookmarkEnd w:id="319"/>
    <w:bookmarkEnd w:id="320"/>
    <w:bookmarkEnd w:id="321"/>
    <w:p w14:paraId="1235367A">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22" w:name="_Toc22625"/>
      <w:bookmarkStart w:id="323" w:name="_Toc8532"/>
      <w:bookmarkStart w:id="324" w:name="_Toc29247"/>
      <w:bookmarkStart w:id="325" w:name="_Toc16533"/>
      <w:bookmarkStart w:id="326" w:name="_Toc8429"/>
      <w:bookmarkStart w:id="327" w:name="_Toc31360"/>
      <w:bookmarkStart w:id="328" w:name="_Toc26256"/>
      <w:r>
        <w:rPr>
          <w:rFonts w:hint="eastAsia" w:ascii="宋体" w:hAnsi="宋体" w:eastAsia="宋体" w:cs="宋体"/>
          <w:b/>
          <w:bCs/>
          <w:color w:val="auto"/>
          <w:kern w:val="2"/>
          <w:sz w:val="32"/>
          <w:szCs w:val="21"/>
          <w:highlight w:val="none"/>
          <w:lang w:val="en-US" w:eastAsia="zh-CN"/>
        </w:rPr>
        <w:t>技术规格偏离表</w:t>
      </w:r>
      <w:bookmarkEnd w:id="322"/>
      <w:bookmarkEnd w:id="323"/>
      <w:bookmarkEnd w:id="324"/>
      <w:bookmarkEnd w:id="325"/>
      <w:bookmarkEnd w:id="326"/>
      <w:bookmarkEnd w:id="327"/>
    </w:p>
    <w:bookmarkEnd w:id="328"/>
    <w:p w14:paraId="28B993BA">
      <w:pPr>
        <w:pStyle w:val="38"/>
        <w:tabs>
          <w:tab w:val="left" w:pos="5527"/>
        </w:tabs>
        <w:spacing w:line="480" w:lineRule="exact"/>
        <w:ind w:firstLine="564" w:firstLineChars="200"/>
        <w:jc w:val="both"/>
        <w:outlineLvl w:val="9"/>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项目名称+标项号</w:t>
      </w:r>
      <w:r>
        <w:rPr>
          <w:rFonts w:hint="eastAsia" w:ascii="宋体" w:hAnsi="宋体" w:eastAsia="宋体" w:cs="宋体"/>
          <w:color w:val="auto"/>
          <w:sz w:val="28"/>
          <w:szCs w:val="28"/>
          <w:highlight w:val="none"/>
          <w:lang w:val="en-US" w:eastAsia="zh-CN"/>
        </w:rPr>
        <w:t>：</w:t>
      </w:r>
    </w:p>
    <w:tbl>
      <w:tblPr>
        <w:tblStyle w:val="27"/>
        <w:tblW w:w="9118" w:type="dxa"/>
        <w:tblInd w:w="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2634"/>
        <w:gridCol w:w="1884"/>
        <w:gridCol w:w="1447"/>
        <w:gridCol w:w="1168"/>
        <w:gridCol w:w="1101"/>
      </w:tblGrid>
      <w:tr w14:paraId="10F0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84" w:type="dxa"/>
            <w:vAlign w:val="center"/>
          </w:tcPr>
          <w:p w14:paraId="60956EA5">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634" w:type="dxa"/>
            <w:vAlign w:val="center"/>
          </w:tcPr>
          <w:p w14:paraId="785ACCB0">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条目号</w:t>
            </w:r>
          </w:p>
        </w:tc>
        <w:tc>
          <w:tcPr>
            <w:tcW w:w="1884" w:type="dxa"/>
            <w:vAlign w:val="center"/>
          </w:tcPr>
          <w:p w14:paraId="2CA23592">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招标规格</w:t>
            </w:r>
          </w:p>
        </w:tc>
        <w:tc>
          <w:tcPr>
            <w:tcW w:w="1447" w:type="dxa"/>
            <w:vAlign w:val="center"/>
          </w:tcPr>
          <w:p w14:paraId="5AD339E8">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投标规格</w:t>
            </w:r>
          </w:p>
        </w:tc>
        <w:tc>
          <w:tcPr>
            <w:tcW w:w="1168" w:type="dxa"/>
            <w:vAlign w:val="center"/>
          </w:tcPr>
          <w:p w14:paraId="25AFB615">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偏离</w:t>
            </w:r>
          </w:p>
        </w:tc>
        <w:tc>
          <w:tcPr>
            <w:tcW w:w="1101" w:type="dxa"/>
            <w:vAlign w:val="center"/>
          </w:tcPr>
          <w:p w14:paraId="05FD0B34">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4E63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884" w:type="dxa"/>
            <w:vAlign w:val="top"/>
          </w:tcPr>
          <w:p w14:paraId="647071BB">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4C8E9ADA">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1F154CE3">
            <w:pPr>
              <w:keepNext w:val="0"/>
              <w:keepLines w:val="0"/>
              <w:suppressLineNumbers w:val="0"/>
              <w:tabs>
                <w:tab w:val="left" w:pos="5527"/>
              </w:tabs>
              <w:spacing w:before="0" w:beforeAutospacing="0" w:after="0" w:afterAutospacing="0" w:line="480" w:lineRule="exact"/>
              <w:ind w:left="0" w:right="0"/>
              <w:jc w:val="left"/>
              <w:outlineLvl w:val="9"/>
              <w:rPr>
                <w:rFonts w:hint="eastAsia" w:ascii="宋体" w:hAnsi="宋体" w:eastAsia="宋体" w:cs="宋体"/>
                <w:color w:val="auto"/>
                <w:kern w:val="0"/>
                <w:sz w:val="24"/>
                <w:szCs w:val="24"/>
                <w:highlight w:val="none"/>
              </w:rPr>
            </w:pPr>
          </w:p>
          <w:p w14:paraId="61454EE2">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00A6B210">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2513CF2C">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1D21FECB">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2820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884" w:type="dxa"/>
            <w:vAlign w:val="top"/>
          </w:tcPr>
          <w:p w14:paraId="68D4CC98">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093D5ACA">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2B495E8F">
            <w:pPr>
              <w:keepNext w:val="0"/>
              <w:keepLines w:val="0"/>
              <w:suppressLineNumbers w:val="0"/>
              <w:tabs>
                <w:tab w:val="left" w:pos="5527"/>
              </w:tabs>
              <w:spacing w:before="0" w:beforeAutospacing="0" w:after="0" w:afterAutospacing="0" w:line="480" w:lineRule="exact"/>
              <w:ind w:left="0" w:right="0"/>
              <w:jc w:val="left"/>
              <w:outlineLvl w:val="9"/>
              <w:rPr>
                <w:rFonts w:hint="eastAsia" w:ascii="宋体" w:hAnsi="宋体" w:eastAsia="宋体" w:cs="宋体"/>
                <w:color w:val="auto"/>
                <w:kern w:val="0"/>
                <w:sz w:val="24"/>
                <w:szCs w:val="24"/>
                <w:highlight w:val="none"/>
              </w:rPr>
            </w:pPr>
          </w:p>
          <w:p w14:paraId="4036B0F2">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5639324D">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3245E972">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61D3629A">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4EC8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884" w:type="dxa"/>
            <w:vAlign w:val="top"/>
          </w:tcPr>
          <w:p w14:paraId="08280BA2">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1D95FD63">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739AFCE2">
            <w:pPr>
              <w:keepNext w:val="0"/>
              <w:keepLines w:val="0"/>
              <w:suppressLineNumbers w:val="0"/>
              <w:tabs>
                <w:tab w:val="left" w:pos="5527"/>
              </w:tabs>
              <w:spacing w:before="0" w:beforeAutospacing="0" w:after="0" w:afterAutospacing="0" w:line="480" w:lineRule="exact"/>
              <w:ind w:left="0" w:right="0"/>
              <w:jc w:val="left"/>
              <w:outlineLvl w:val="9"/>
              <w:rPr>
                <w:rFonts w:hint="eastAsia" w:ascii="宋体" w:hAnsi="宋体" w:eastAsia="宋体" w:cs="宋体"/>
                <w:color w:val="auto"/>
                <w:kern w:val="0"/>
                <w:sz w:val="24"/>
                <w:szCs w:val="24"/>
                <w:highlight w:val="none"/>
              </w:rPr>
            </w:pPr>
          </w:p>
          <w:p w14:paraId="3800A769">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782B8759">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1178DEE9">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428917F9">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10BF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884" w:type="dxa"/>
            <w:vAlign w:val="top"/>
          </w:tcPr>
          <w:p w14:paraId="548E4B64">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bookmarkStart w:id="329" w:name="_Toc19858"/>
            <w:bookmarkStart w:id="330" w:name="_Toc32067"/>
          </w:p>
        </w:tc>
        <w:tc>
          <w:tcPr>
            <w:tcW w:w="2634" w:type="dxa"/>
            <w:vAlign w:val="top"/>
          </w:tcPr>
          <w:p w14:paraId="5E9A4F95">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2DAF30E3">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5A26862C">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48581BA0">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1287DAA0">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1BF9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84" w:type="dxa"/>
            <w:vAlign w:val="top"/>
          </w:tcPr>
          <w:p w14:paraId="1892D2B2">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7263D96C">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3D02CA3E">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10FF9B2B">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1B141667">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6982E587">
            <w:pPr>
              <w:pStyle w:val="38"/>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bl>
    <w:p w14:paraId="25819BF7">
      <w:pPr>
        <w:tabs>
          <w:tab w:val="left" w:pos="5527"/>
        </w:tabs>
        <w:bidi w:val="0"/>
        <w:spacing w:line="360" w:lineRule="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注</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1、投标人应对招标文件第三章“</w:t>
      </w:r>
      <w:r>
        <w:rPr>
          <w:rFonts w:hint="eastAsia" w:ascii="宋体" w:hAnsi="宋体" w:cs="宋体"/>
          <w:b/>
          <w:bCs/>
          <w:color w:val="auto"/>
          <w:sz w:val="24"/>
          <w:szCs w:val="24"/>
          <w:highlight w:val="none"/>
          <w:lang w:val="en-US" w:eastAsia="zh-CN"/>
        </w:rPr>
        <w:t>采购清单</w:t>
      </w:r>
      <w:r>
        <w:rPr>
          <w:rFonts w:hint="eastAsia" w:ascii="宋体" w:hAnsi="宋体" w:eastAsia="宋体" w:cs="宋体"/>
          <w:b/>
          <w:bCs/>
          <w:color w:val="auto"/>
          <w:sz w:val="24"/>
          <w:szCs w:val="24"/>
          <w:highlight w:val="none"/>
        </w:rPr>
        <w:t>”的内容给予逐条响应</w:t>
      </w:r>
      <w:r>
        <w:rPr>
          <w:rFonts w:hint="eastAsia" w:ascii="宋体" w:hAnsi="宋体" w:cs="宋体"/>
          <w:b/>
          <w:bCs/>
          <w:color w:val="auto"/>
          <w:sz w:val="24"/>
          <w:szCs w:val="24"/>
          <w:highlight w:val="none"/>
          <w:lang w:eastAsia="zh-CN"/>
        </w:rPr>
        <w:t>。</w:t>
      </w:r>
    </w:p>
    <w:p w14:paraId="617FAD93">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投标规格以投标产品和服务所能达到的内容予以填写，而不应复印招标</w:t>
      </w:r>
      <w:r>
        <w:rPr>
          <w:rFonts w:hint="eastAsia" w:ascii="宋体" w:hAnsi="宋体" w:cs="宋体"/>
          <w:b/>
          <w:bCs/>
          <w:color w:val="auto"/>
          <w:sz w:val="24"/>
          <w:szCs w:val="24"/>
          <w:highlight w:val="none"/>
          <w:lang w:val="en-US" w:eastAsia="zh-CN"/>
        </w:rPr>
        <w:t>文件</w:t>
      </w:r>
      <w:r>
        <w:rPr>
          <w:rFonts w:hint="eastAsia" w:ascii="宋体" w:hAnsi="宋体" w:eastAsia="宋体" w:cs="宋体"/>
          <w:b/>
          <w:bCs/>
          <w:color w:val="auto"/>
          <w:sz w:val="24"/>
          <w:szCs w:val="24"/>
          <w:highlight w:val="none"/>
        </w:rPr>
        <w:t>的技术要求作为响应内容，有具体参数的应填写具体参数。</w:t>
      </w:r>
    </w:p>
    <w:p w14:paraId="61081F75">
      <w:pPr>
        <w:numPr>
          <w:ilvl w:val="0"/>
          <w:numId w:val="22"/>
        </w:num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若有偏离</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请将具体偏离条款在“偏离”一栏中详细说明</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若无偏离</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请在“偏离”一栏中标注“无”字样。</w:t>
      </w:r>
    </w:p>
    <w:bookmarkEnd w:id="329"/>
    <w:bookmarkEnd w:id="330"/>
    <w:p w14:paraId="65F3749C">
      <w:pPr>
        <w:tabs>
          <w:tab w:val="left" w:pos="5527"/>
        </w:tabs>
        <w:bidi w:val="0"/>
        <w:spacing w:line="600" w:lineRule="auto"/>
        <w:ind w:leftChars="1600"/>
        <w:outlineLvl w:val="9"/>
        <w:rPr>
          <w:rFonts w:hint="eastAsia" w:ascii="宋体" w:hAnsi="宋体" w:eastAsia="宋体" w:cs="宋体"/>
          <w:color w:val="auto"/>
          <w:sz w:val="28"/>
          <w:szCs w:val="28"/>
          <w:highlight w:val="none"/>
        </w:rPr>
      </w:pPr>
      <w:bookmarkStart w:id="331" w:name="_Toc6379"/>
      <w:bookmarkStart w:id="332" w:name="_Toc10091"/>
    </w:p>
    <w:p w14:paraId="2AE476E3">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38B585B4">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1A4BCEF0">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3C146E9D">
      <w:pPr>
        <w:tabs>
          <w:tab w:val="left" w:pos="5527"/>
        </w:tabs>
        <w:outlineLvl w:val="9"/>
        <w:rPr>
          <w:rFonts w:hint="eastAsia" w:ascii="宋体" w:hAnsi="宋体" w:eastAsia="宋体" w:cs="宋体"/>
          <w:b w:val="0"/>
          <w:bCs/>
          <w:color w:val="auto"/>
          <w:sz w:val="28"/>
          <w:szCs w:val="28"/>
          <w:highlight w:val="none"/>
        </w:rPr>
      </w:pPr>
    </w:p>
    <w:p w14:paraId="4F121D80">
      <w:pPr>
        <w:pStyle w:val="14"/>
        <w:tabs>
          <w:tab w:val="left" w:pos="5527"/>
        </w:tabs>
        <w:outlineLvl w:val="9"/>
        <w:rPr>
          <w:rFonts w:hint="eastAsia" w:ascii="宋体" w:hAnsi="宋体" w:eastAsia="宋体" w:cs="宋体"/>
          <w:color w:val="auto"/>
          <w:highlight w:val="none"/>
        </w:rPr>
        <w:sectPr>
          <w:headerReference r:id="rId12" w:type="first"/>
          <w:footerReference r:id="rId14" w:type="first"/>
          <w:headerReference r:id="rId11" w:type="default"/>
          <w:footerReference r:id="rId13" w:type="default"/>
          <w:pgSz w:w="11906" w:h="16838"/>
          <w:pgMar w:top="1417" w:right="1418" w:bottom="1417" w:left="1417" w:header="851" w:footer="850" w:gutter="0"/>
          <w:pgBorders>
            <w:top w:val="none" w:sz="0" w:space="0"/>
            <w:left w:val="none" w:sz="0" w:space="0"/>
            <w:bottom w:val="none" w:sz="0" w:space="0"/>
            <w:right w:val="none" w:sz="0" w:space="0"/>
          </w:pgBorders>
          <w:pgNumType w:fmt="numberInDash"/>
          <w:cols w:space="0" w:num="1"/>
          <w:titlePg/>
          <w:rtlGutter w:val="0"/>
          <w:docGrid w:type="linesAndChars" w:linePitch="312" w:charSpace="530"/>
        </w:sectPr>
      </w:pPr>
    </w:p>
    <w:p w14:paraId="1FE8AA88">
      <w:pPr>
        <w:keepNext w:val="0"/>
        <w:numPr>
          <w:ilvl w:val="0"/>
          <w:numId w:val="0"/>
        </w:numPr>
        <w:tabs>
          <w:tab w:val="left" w:pos="420"/>
          <w:tab w:val="left" w:pos="5527"/>
        </w:tabs>
        <w:jc w:val="left"/>
        <w:outlineLvl w:val="9"/>
        <w:rPr>
          <w:rStyle w:val="39"/>
          <w:rFonts w:hint="eastAsia" w:ascii="宋体" w:hAnsi="宋体" w:eastAsia="宋体" w:cs="宋体"/>
          <w:color w:val="auto"/>
          <w:sz w:val="32"/>
          <w:szCs w:val="28"/>
          <w:highlight w:val="none"/>
          <w:lang w:val="en-US" w:eastAsia="zh-CN"/>
        </w:rPr>
      </w:pPr>
      <w:bookmarkStart w:id="333" w:name="_Toc27743"/>
      <w:bookmarkStart w:id="334" w:name="_Toc14463"/>
      <w:bookmarkStart w:id="335" w:name="_Toc2950"/>
      <w:bookmarkStart w:id="336" w:name="_Toc13891"/>
      <w:bookmarkStart w:id="337" w:name="_Toc10125"/>
      <w:bookmarkStart w:id="338" w:name="_Toc17347"/>
      <w:bookmarkStart w:id="339" w:name="_Toc20068"/>
      <w:r>
        <w:rPr>
          <w:rStyle w:val="39"/>
          <w:rFonts w:hint="eastAsia" w:ascii="宋体" w:hAnsi="宋体" w:eastAsia="宋体" w:cs="宋体"/>
          <w:color w:val="auto"/>
          <w:sz w:val="32"/>
          <w:szCs w:val="28"/>
          <w:highlight w:val="none"/>
          <w:lang w:val="en-US" w:eastAsia="zh-CN"/>
        </w:rPr>
        <w:t>附件1</w:t>
      </w:r>
      <w:bookmarkEnd w:id="331"/>
      <w:bookmarkEnd w:id="332"/>
      <w:r>
        <w:rPr>
          <w:rStyle w:val="39"/>
          <w:rFonts w:hint="eastAsia" w:ascii="宋体" w:hAnsi="宋体" w:cs="宋体"/>
          <w:color w:val="auto"/>
          <w:sz w:val="32"/>
          <w:szCs w:val="28"/>
          <w:highlight w:val="none"/>
          <w:lang w:val="en-US" w:eastAsia="zh-CN"/>
        </w:rPr>
        <w:t>0</w:t>
      </w:r>
      <w:r>
        <w:rPr>
          <w:rStyle w:val="39"/>
          <w:rFonts w:hint="eastAsia" w:ascii="宋体" w:hAnsi="宋体" w:eastAsia="宋体" w:cs="宋体"/>
          <w:b/>
          <w:color w:val="auto"/>
          <w:kern w:val="2"/>
          <w:sz w:val="32"/>
          <w:szCs w:val="28"/>
          <w:highlight w:val="none"/>
          <w:lang w:val="en-US" w:eastAsia="zh-CN" w:bidi="ar-SA"/>
        </w:rPr>
        <w:t>：</w:t>
      </w:r>
      <w:bookmarkEnd w:id="333"/>
      <w:bookmarkEnd w:id="334"/>
    </w:p>
    <w:bookmarkEnd w:id="335"/>
    <w:bookmarkEnd w:id="336"/>
    <w:bookmarkEnd w:id="337"/>
    <w:bookmarkEnd w:id="338"/>
    <w:bookmarkEnd w:id="339"/>
    <w:p w14:paraId="7EDD9AA2">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40" w:name="_Toc15107"/>
      <w:bookmarkStart w:id="341" w:name="_Toc4069"/>
      <w:bookmarkStart w:id="342" w:name="_Toc25331"/>
      <w:bookmarkStart w:id="343" w:name="_Toc7717"/>
      <w:bookmarkStart w:id="344" w:name="_Toc25290"/>
      <w:bookmarkStart w:id="345" w:name="_Toc32245"/>
      <w:bookmarkStart w:id="346" w:name="_Toc1745"/>
      <w:r>
        <w:rPr>
          <w:rFonts w:hint="eastAsia" w:ascii="宋体" w:hAnsi="宋体" w:eastAsia="宋体" w:cs="宋体"/>
          <w:b/>
          <w:bCs/>
          <w:color w:val="auto"/>
          <w:kern w:val="2"/>
          <w:sz w:val="32"/>
          <w:szCs w:val="21"/>
          <w:highlight w:val="none"/>
          <w:lang w:val="en-US" w:eastAsia="zh-CN"/>
        </w:rPr>
        <w:t>近三年业绩表</w:t>
      </w:r>
      <w:bookmarkEnd w:id="340"/>
      <w:bookmarkEnd w:id="341"/>
      <w:bookmarkEnd w:id="342"/>
      <w:bookmarkEnd w:id="343"/>
      <w:bookmarkEnd w:id="344"/>
      <w:bookmarkEnd w:id="345"/>
    </w:p>
    <w:bookmarkEnd w:id="346"/>
    <w:tbl>
      <w:tblPr>
        <w:tblStyle w:val="27"/>
        <w:tblW w:w="85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83"/>
        <w:gridCol w:w="1684"/>
        <w:gridCol w:w="1642"/>
        <w:gridCol w:w="1269"/>
        <w:gridCol w:w="1638"/>
        <w:gridCol w:w="1544"/>
      </w:tblGrid>
      <w:tr w14:paraId="0DF83B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00EB726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1684" w:type="dxa"/>
            <w:vAlign w:val="center"/>
          </w:tcPr>
          <w:p w14:paraId="1912BD17">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项目名称</w:t>
            </w:r>
          </w:p>
        </w:tc>
        <w:tc>
          <w:tcPr>
            <w:tcW w:w="1642" w:type="dxa"/>
            <w:vAlign w:val="center"/>
          </w:tcPr>
          <w:p w14:paraId="13F901B1">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完成时间</w:t>
            </w:r>
          </w:p>
        </w:tc>
        <w:tc>
          <w:tcPr>
            <w:tcW w:w="1269" w:type="dxa"/>
            <w:vAlign w:val="center"/>
          </w:tcPr>
          <w:p w14:paraId="31ED536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合同金额</w:t>
            </w:r>
          </w:p>
        </w:tc>
        <w:tc>
          <w:tcPr>
            <w:tcW w:w="1638" w:type="dxa"/>
            <w:vAlign w:val="center"/>
          </w:tcPr>
          <w:p w14:paraId="2AA44BD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采购人名称</w:t>
            </w:r>
          </w:p>
        </w:tc>
        <w:tc>
          <w:tcPr>
            <w:tcW w:w="1544" w:type="dxa"/>
            <w:tcBorders>
              <w:left w:val="single" w:color="auto" w:sz="4" w:space="0"/>
            </w:tcBorders>
            <w:vAlign w:val="center"/>
          </w:tcPr>
          <w:p w14:paraId="4C32C16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p>
        </w:tc>
      </w:tr>
      <w:tr w14:paraId="68CCD8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469B473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78414497">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5C8FFD7F">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75CB7BC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5BCA7D35">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5DE12FA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734C5E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4EB250C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14F0454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429EC50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66C40B8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41E3122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4506891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69AE73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2E58F55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34BA520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73FAFFB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2AC10531">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652C036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5E207B4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4FF4AC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5C97107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03E516F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5716368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37C7191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42CB4C2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630FC8A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086445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49DD3B7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13CB1E6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1AF94548">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011DDBA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6853EBD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709CC352">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29B033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tcBorders>
            <w:vAlign w:val="center"/>
          </w:tcPr>
          <w:p w14:paraId="0C89FA28">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c>
          <w:tcPr>
            <w:tcW w:w="1684" w:type="dxa"/>
            <w:vAlign w:val="center"/>
          </w:tcPr>
          <w:p w14:paraId="112FAAA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1FB8986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621519A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3E207D5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727A419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bl>
    <w:p w14:paraId="4C9CD507">
      <w:pPr>
        <w:tabs>
          <w:tab w:val="left" w:pos="5527"/>
        </w:tabs>
        <w:bidi w:val="0"/>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注：附业绩证明资料（如中标</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成交</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通知书</w:t>
      </w:r>
      <w:r>
        <w:rPr>
          <w:rFonts w:hint="eastAsia" w:ascii="宋体" w:hAnsi="宋体" w:cs="宋体"/>
          <w:b/>
          <w:bCs/>
          <w:color w:val="auto"/>
          <w:sz w:val="28"/>
          <w:szCs w:val="28"/>
          <w:highlight w:val="none"/>
          <w:lang w:val="en-US" w:eastAsia="zh-CN"/>
        </w:rPr>
        <w:t>或</w:t>
      </w:r>
      <w:r>
        <w:rPr>
          <w:rFonts w:hint="eastAsia" w:ascii="宋体" w:hAnsi="宋体" w:eastAsia="宋体" w:cs="宋体"/>
          <w:b/>
          <w:bCs/>
          <w:color w:val="auto"/>
          <w:sz w:val="28"/>
          <w:szCs w:val="28"/>
          <w:highlight w:val="none"/>
        </w:rPr>
        <w:t>合同</w:t>
      </w:r>
      <w:r>
        <w:rPr>
          <w:rFonts w:hint="eastAsia" w:ascii="宋体" w:hAnsi="宋体" w:cs="宋体"/>
          <w:b/>
          <w:bCs/>
          <w:color w:val="auto"/>
          <w:sz w:val="28"/>
          <w:szCs w:val="28"/>
          <w:highlight w:val="none"/>
          <w:lang w:eastAsia="zh-CN"/>
        </w:rPr>
        <w:t>扫描件</w:t>
      </w:r>
      <w:r>
        <w:rPr>
          <w:rFonts w:hint="eastAsia" w:ascii="宋体" w:hAnsi="宋体" w:eastAsia="宋体" w:cs="宋体"/>
          <w:b/>
          <w:bCs/>
          <w:color w:val="auto"/>
          <w:sz w:val="28"/>
          <w:szCs w:val="28"/>
          <w:highlight w:val="none"/>
        </w:rPr>
        <w:t>）</w:t>
      </w:r>
    </w:p>
    <w:p w14:paraId="5C9041C3">
      <w:pPr>
        <w:tabs>
          <w:tab w:val="left" w:pos="5527"/>
        </w:tabs>
        <w:spacing w:line="500" w:lineRule="exact"/>
        <w:outlineLvl w:val="9"/>
        <w:rPr>
          <w:rFonts w:hint="eastAsia" w:ascii="宋体" w:hAnsi="宋体" w:eastAsia="宋体" w:cs="宋体"/>
          <w:b/>
          <w:bCs/>
          <w:color w:val="auto"/>
          <w:sz w:val="28"/>
          <w:szCs w:val="28"/>
          <w:highlight w:val="none"/>
        </w:rPr>
      </w:pPr>
    </w:p>
    <w:p w14:paraId="459DB447">
      <w:pPr>
        <w:tabs>
          <w:tab w:val="left" w:pos="5527"/>
        </w:tabs>
        <w:spacing w:line="500" w:lineRule="exact"/>
        <w:outlineLvl w:val="9"/>
        <w:rPr>
          <w:rFonts w:hint="eastAsia" w:ascii="宋体" w:hAnsi="宋体" w:eastAsia="宋体" w:cs="宋体"/>
          <w:b/>
          <w:bCs/>
          <w:color w:val="auto"/>
          <w:sz w:val="28"/>
          <w:szCs w:val="28"/>
          <w:highlight w:val="none"/>
        </w:rPr>
      </w:pPr>
    </w:p>
    <w:p w14:paraId="76637DB9">
      <w:pPr>
        <w:tabs>
          <w:tab w:val="left" w:pos="5527"/>
        </w:tabs>
        <w:bidi w:val="0"/>
        <w:spacing w:line="600" w:lineRule="auto"/>
        <w:ind w:leftChars="1600"/>
        <w:outlineLvl w:val="9"/>
        <w:rPr>
          <w:rFonts w:hint="eastAsia" w:ascii="宋体" w:hAnsi="宋体" w:eastAsia="宋体" w:cs="宋体"/>
          <w:color w:val="auto"/>
          <w:sz w:val="28"/>
          <w:szCs w:val="28"/>
          <w:highlight w:val="none"/>
        </w:rPr>
      </w:pPr>
      <w:bookmarkStart w:id="347" w:name="_Toc27572"/>
      <w:bookmarkStart w:id="348" w:name="_Toc597"/>
      <w:r>
        <w:rPr>
          <w:rFonts w:hint="eastAsia" w:ascii="宋体" w:hAnsi="宋体" w:eastAsia="宋体" w:cs="宋体"/>
          <w:color w:val="auto"/>
          <w:sz w:val="28"/>
          <w:szCs w:val="28"/>
          <w:highlight w:val="none"/>
        </w:rPr>
        <w:t>供应商名称（盖章）：</w:t>
      </w:r>
    </w:p>
    <w:p w14:paraId="3D04BA1D">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6FDA8055">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4E7A2060">
      <w:pPr>
        <w:tabs>
          <w:tab w:val="left" w:pos="5527"/>
        </w:tabs>
        <w:spacing w:line="500" w:lineRule="exact"/>
        <w:jc w:val="right"/>
        <w:outlineLvl w:val="9"/>
        <w:rPr>
          <w:rFonts w:hint="eastAsia" w:ascii="宋体" w:hAnsi="宋体" w:eastAsia="宋体" w:cs="宋体"/>
          <w:color w:val="auto"/>
          <w:sz w:val="28"/>
          <w:szCs w:val="28"/>
          <w:highlight w:val="none"/>
        </w:rPr>
      </w:pPr>
    </w:p>
    <w:p w14:paraId="148ED48F">
      <w:pPr>
        <w:tabs>
          <w:tab w:val="left" w:pos="5527"/>
        </w:tabs>
        <w:spacing w:line="500" w:lineRule="exact"/>
        <w:jc w:val="both"/>
        <w:outlineLvl w:val="9"/>
        <w:rPr>
          <w:rStyle w:val="39"/>
          <w:rFonts w:hint="eastAsia" w:ascii="宋体" w:hAnsi="宋体" w:eastAsia="宋体" w:cs="宋体"/>
          <w:b/>
          <w:bCs/>
          <w:color w:val="auto"/>
          <w:sz w:val="32"/>
          <w:szCs w:val="28"/>
          <w:highlight w:val="none"/>
          <w:lang w:val="en-US" w:eastAsia="zh-CN"/>
        </w:rPr>
        <w:sectPr>
          <w:headerReference r:id="rId16" w:type="first"/>
          <w:footerReference r:id="rId18" w:type="first"/>
          <w:headerReference r:id="rId15" w:type="default"/>
          <w:footerReference r:id="rId17" w:type="default"/>
          <w:pgSz w:w="11906" w:h="16838"/>
          <w:pgMar w:top="1417" w:right="1701" w:bottom="1417" w:left="1701" w:header="851" w:footer="850" w:gutter="0"/>
          <w:pgBorders>
            <w:top w:val="none" w:sz="0" w:space="0"/>
            <w:left w:val="none" w:sz="0" w:space="0"/>
            <w:bottom w:val="none" w:sz="0" w:space="0"/>
            <w:right w:val="none" w:sz="0" w:space="0"/>
          </w:pgBorders>
          <w:pgNumType w:fmt="numberInDash"/>
          <w:cols w:space="0" w:num="1"/>
          <w:titlePg/>
          <w:rtlGutter w:val="0"/>
          <w:docGrid w:type="linesAndChars" w:linePitch="312" w:charSpace="530"/>
        </w:sectPr>
      </w:pPr>
      <w:bookmarkStart w:id="349" w:name="_Toc13151"/>
      <w:bookmarkStart w:id="350" w:name="_Toc4298"/>
      <w:bookmarkStart w:id="351" w:name="_Toc15132"/>
    </w:p>
    <w:p w14:paraId="75527AE3">
      <w:pPr>
        <w:tabs>
          <w:tab w:val="left" w:pos="5527"/>
        </w:tabs>
        <w:spacing w:line="500" w:lineRule="exact"/>
        <w:jc w:val="both"/>
        <w:outlineLvl w:val="9"/>
        <w:rPr>
          <w:rStyle w:val="39"/>
          <w:rFonts w:hint="eastAsia" w:ascii="宋体" w:hAnsi="宋体" w:eastAsia="宋体" w:cs="宋体"/>
          <w:color w:val="auto"/>
          <w:sz w:val="32"/>
          <w:szCs w:val="28"/>
          <w:highlight w:val="none"/>
          <w:lang w:val="en-US" w:eastAsia="zh-CN"/>
        </w:rPr>
      </w:pPr>
      <w:bookmarkStart w:id="352" w:name="_Toc30052"/>
      <w:bookmarkStart w:id="353" w:name="_Toc15108"/>
      <w:bookmarkStart w:id="354" w:name="_Toc6835"/>
      <w:bookmarkStart w:id="355" w:name="_Toc16822"/>
      <w:bookmarkStart w:id="356" w:name="_Toc25435"/>
      <w:bookmarkStart w:id="357" w:name="_Toc8347"/>
      <w:r>
        <w:rPr>
          <w:rStyle w:val="39"/>
          <w:rFonts w:hint="eastAsia" w:ascii="宋体" w:hAnsi="宋体" w:eastAsia="宋体" w:cs="宋体"/>
          <w:b/>
          <w:bCs/>
          <w:color w:val="auto"/>
          <w:sz w:val="32"/>
          <w:szCs w:val="28"/>
          <w:highlight w:val="none"/>
          <w:lang w:val="en-US" w:eastAsia="zh-CN"/>
        </w:rPr>
        <w:t>附件1</w:t>
      </w:r>
      <w:r>
        <w:rPr>
          <w:rStyle w:val="39"/>
          <w:rFonts w:hint="eastAsia" w:ascii="宋体" w:hAnsi="宋体" w:cs="宋体"/>
          <w:b/>
          <w:bCs/>
          <w:color w:val="auto"/>
          <w:sz w:val="32"/>
          <w:szCs w:val="28"/>
          <w:highlight w:val="none"/>
          <w:lang w:val="en-US" w:eastAsia="zh-CN"/>
        </w:rPr>
        <w:t>1</w:t>
      </w:r>
      <w:r>
        <w:rPr>
          <w:rStyle w:val="39"/>
          <w:rFonts w:hint="eastAsia" w:ascii="宋体" w:hAnsi="宋体" w:eastAsia="宋体" w:cs="宋体"/>
          <w:b/>
          <w:color w:val="auto"/>
          <w:kern w:val="2"/>
          <w:sz w:val="32"/>
          <w:szCs w:val="28"/>
          <w:highlight w:val="none"/>
          <w:lang w:val="en-US" w:eastAsia="zh-CN" w:bidi="ar-SA"/>
        </w:rPr>
        <w:t>：</w:t>
      </w:r>
    </w:p>
    <w:bookmarkEnd w:id="349"/>
    <w:bookmarkEnd w:id="352"/>
    <w:bookmarkEnd w:id="353"/>
    <w:bookmarkEnd w:id="354"/>
    <w:bookmarkEnd w:id="355"/>
    <w:bookmarkEnd w:id="356"/>
    <w:bookmarkEnd w:id="357"/>
    <w:p w14:paraId="49B310DC">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58" w:name="_Toc20699"/>
      <w:bookmarkStart w:id="359" w:name="_Toc29946"/>
      <w:bookmarkStart w:id="360" w:name="_Toc13662"/>
      <w:bookmarkStart w:id="361" w:name="_Toc23630"/>
      <w:bookmarkStart w:id="362" w:name="_Toc4526"/>
      <w:r>
        <w:rPr>
          <w:rFonts w:hint="eastAsia" w:ascii="宋体" w:hAnsi="宋体" w:eastAsia="宋体" w:cs="宋体"/>
          <w:b/>
          <w:bCs/>
          <w:color w:val="auto"/>
          <w:kern w:val="2"/>
          <w:sz w:val="32"/>
          <w:szCs w:val="21"/>
          <w:highlight w:val="none"/>
          <w:lang w:val="en-US" w:eastAsia="zh-CN"/>
        </w:rPr>
        <w:t>拟派项目负责人简历表</w:t>
      </w:r>
      <w:bookmarkEnd w:id="350"/>
      <w:bookmarkEnd w:id="351"/>
      <w:bookmarkEnd w:id="358"/>
      <w:bookmarkEnd w:id="359"/>
      <w:bookmarkEnd w:id="360"/>
      <w:bookmarkEnd w:id="361"/>
    </w:p>
    <w:bookmarkEnd w:id="362"/>
    <w:tbl>
      <w:tblPr>
        <w:tblStyle w:val="27"/>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07"/>
        <w:gridCol w:w="867"/>
        <w:gridCol w:w="960"/>
        <w:gridCol w:w="656"/>
        <w:gridCol w:w="1282"/>
        <w:gridCol w:w="2631"/>
        <w:gridCol w:w="1188"/>
      </w:tblGrid>
      <w:tr w14:paraId="705A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14:paraId="15CF3B6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姓名</w:t>
            </w:r>
          </w:p>
        </w:tc>
        <w:tc>
          <w:tcPr>
            <w:tcW w:w="1174" w:type="dxa"/>
            <w:gridSpan w:val="2"/>
            <w:tcBorders>
              <w:top w:val="single" w:color="auto" w:sz="4" w:space="0"/>
              <w:left w:val="single" w:color="auto" w:sz="4" w:space="0"/>
              <w:bottom w:val="single" w:color="auto" w:sz="4" w:space="0"/>
              <w:right w:val="single" w:color="auto" w:sz="4" w:space="0"/>
            </w:tcBorders>
            <w:vAlign w:val="center"/>
          </w:tcPr>
          <w:p w14:paraId="68E6D2F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616" w:type="dxa"/>
            <w:gridSpan w:val="2"/>
            <w:tcBorders>
              <w:top w:val="single" w:color="auto" w:sz="4" w:space="0"/>
              <w:left w:val="single" w:color="auto" w:sz="4" w:space="0"/>
              <w:bottom w:val="single" w:color="auto" w:sz="4" w:space="0"/>
              <w:right w:val="single" w:color="auto" w:sz="4" w:space="0"/>
            </w:tcBorders>
            <w:vAlign w:val="center"/>
          </w:tcPr>
          <w:p w14:paraId="42663FD7">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性别</w:t>
            </w:r>
          </w:p>
        </w:tc>
        <w:tc>
          <w:tcPr>
            <w:tcW w:w="1282" w:type="dxa"/>
            <w:tcBorders>
              <w:top w:val="single" w:color="auto" w:sz="4" w:space="0"/>
              <w:left w:val="single" w:color="auto" w:sz="4" w:space="0"/>
              <w:bottom w:val="single" w:color="auto" w:sz="4" w:space="0"/>
              <w:right w:val="single" w:color="auto" w:sz="4" w:space="0"/>
            </w:tcBorders>
            <w:vAlign w:val="center"/>
          </w:tcPr>
          <w:p w14:paraId="4B0E656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63A794E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年龄</w:t>
            </w:r>
          </w:p>
        </w:tc>
        <w:tc>
          <w:tcPr>
            <w:tcW w:w="1188" w:type="dxa"/>
            <w:tcBorders>
              <w:top w:val="single" w:color="auto" w:sz="4" w:space="0"/>
              <w:left w:val="single" w:color="auto" w:sz="4" w:space="0"/>
              <w:bottom w:val="single" w:color="auto" w:sz="4" w:space="0"/>
              <w:right w:val="single" w:color="auto" w:sz="4" w:space="0"/>
            </w:tcBorders>
            <w:vAlign w:val="center"/>
          </w:tcPr>
          <w:p w14:paraId="47F0C0A7">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2461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14:paraId="4AC1A7EB">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职务</w:t>
            </w:r>
          </w:p>
        </w:tc>
        <w:tc>
          <w:tcPr>
            <w:tcW w:w="1174" w:type="dxa"/>
            <w:gridSpan w:val="2"/>
            <w:tcBorders>
              <w:top w:val="single" w:color="auto" w:sz="4" w:space="0"/>
              <w:left w:val="single" w:color="auto" w:sz="4" w:space="0"/>
              <w:bottom w:val="single" w:color="auto" w:sz="4" w:space="0"/>
              <w:right w:val="single" w:color="auto" w:sz="4" w:space="0"/>
            </w:tcBorders>
            <w:vAlign w:val="center"/>
          </w:tcPr>
          <w:p w14:paraId="33A78990">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616" w:type="dxa"/>
            <w:gridSpan w:val="2"/>
            <w:tcBorders>
              <w:top w:val="single" w:color="auto" w:sz="4" w:space="0"/>
              <w:left w:val="single" w:color="auto" w:sz="4" w:space="0"/>
              <w:bottom w:val="single" w:color="auto" w:sz="4" w:space="0"/>
              <w:right w:val="single" w:color="auto" w:sz="4" w:space="0"/>
            </w:tcBorders>
            <w:vAlign w:val="center"/>
          </w:tcPr>
          <w:p w14:paraId="45D1F4F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职称</w:t>
            </w:r>
          </w:p>
        </w:tc>
        <w:tc>
          <w:tcPr>
            <w:tcW w:w="1282" w:type="dxa"/>
            <w:tcBorders>
              <w:top w:val="single" w:color="auto" w:sz="4" w:space="0"/>
              <w:left w:val="single" w:color="auto" w:sz="4" w:space="0"/>
              <w:bottom w:val="single" w:color="auto" w:sz="4" w:space="0"/>
              <w:right w:val="single" w:color="auto" w:sz="4" w:space="0"/>
            </w:tcBorders>
            <w:vAlign w:val="center"/>
          </w:tcPr>
          <w:p w14:paraId="03660B4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3ADB570C">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拟在本项目担任职务</w:t>
            </w:r>
          </w:p>
        </w:tc>
        <w:tc>
          <w:tcPr>
            <w:tcW w:w="1188" w:type="dxa"/>
            <w:tcBorders>
              <w:top w:val="single" w:color="auto" w:sz="4" w:space="0"/>
              <w:left w:val="single" w:color="auto" w:sz="4" w:space="0"/>
              <w:bottom w:val="single" w:color="auto" w:sz="4" w:space="0"/>
              <w:right w:val="single" w:color="auto" w:sz="4" w:space="0"/>
            </w:tcBorders>
            <w:vAlign w:val="center"/>
          </w:tcPr>
          <w:p w14:paraId="4790914F">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1837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59" w:type="dxa"/>
            <w:gridSpan w:val="3"/>
            <w:tcBorders>
              <w:top w:val="single" w:color="auto" w:sz="4" w:space="0"/>
              <w:left w:val="single" w:color="auto" w:sz="4" w:space="0"/>
              <w:bottom w:val="single" w:color="auto" w:sz="4" w:space="0"/>
              <w:right w:val="single" w:color="auto" w:sz="4" w:space="0"/>
            </w:tcBorders>
            <w:vAlign w:val="center"/>
          </w:tcPr>
          <w:p w14:paraId="6CE5F676">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参加工作时间</w:t>
            </w:r>
          </w:p>
        </w:tc>
        <w:tc>
          <w:tcPr>
            <w:tcW w:w="1616" w:type="dxa"/>
            <w:gridSpan w:val="2"/>
            <w:tcBorders>
              <w:top w:val="single" w:color="auto" w:sz="4" w:space="0"/>
              <w:left w:val="single" w:color="auto" w:sz="4" w:space="0"/>
              <w:bottom w:val="single" w:color="auto" w:sz="4" w:space="0"/>
              <w:right w:val="single" w:color="auto" w:sz="4" w:space="0"/>
            </w:tcBorders>
            <w:vAlign w:val="center"/>
          </w:tcPr>
          <w:p w14:paraId="1671E90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3913" w:type="dxa"/>
            <w:gridSpan w:val="2"/>
            <w:tcBorders>
              <w:top w:val="single" w:color="auto" w:sz="4" w:space="0"/>
              <w:left w:val="single" w:color="auto" w:sz="4" w:space="0"/>
              <w:bottom w:val="single" w:color="auto" w:sz="4" w:space="0"/>
              <w:right w:val="single" w:color="auto" w:sz="4" w:space="0"/>
            </w:tcBorders>
            <w:vAlign w:val="center"/>
          </w:tcPr>
          <w:p w14:paraId="7320EF24">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从事本专业工作时间</w:t>
            </w:r>
          </w:p>
        </w:tc>
        <w:tc>
          <w:tcPr>
            <w:tcW w:w="1188" w:type="dxa"/>
            <w:tcBorders>
              <w:top w:val="single" w:color="auto" w:sz="4" w:space="0"/>
              <w:left w:val="single" w:color="auto" w:sz="4" w:space="0"/>
              <w:bottom w:val="single" w:color="auto" w:sz="4" w:space="0"/>
              <w:right w:val="single" w:color="auto" w:sz="4" w:space="0"/>
            </w:tcBorders>
            <w:vAlign w:val="center"/>
          </w:tcPr>
          <w:p w14:paraId="2E7D942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0E52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876" w:type="dxa"/>
            <w:gridSpan w:val="8"/>
            <w:tcBorders>
              <w:top w:val="single" w:color="auto" w:sz="4" w:space="0"/>
              <w:left w:val="single" w:color="auto" w:sz="4" w:space="0"/>
              <w:bottom w:val="single" w:color="auto" w:sz="4" w:space="0"/>
              <w:right w:val="single" w:color="auto" w:sz="4" w:space="0"/>
            </w:tcBorders>
            <w:vAlign w:val="center"/>
          </w:tcPr>
          <w:p w14:paraId="3245A77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经    历</w:t>
            </w:r>
          </w:p>
        </w:tc>
      </w:tr>
      <w:tr w14:paraId="68C3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20B7DD5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年份</w:t>
            </w: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4DF7BFC6">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参加过的</w:t>
            </w:r>
          </w:p>
          <w:p w14:paraId="0F9F80D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项目名称</w:t>
            </w: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76F9BAD1">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采购内容</w:t>
            </w:r>
          </w:p>
        </w:tc>
        <w:tc>
          <w:tcPr>
            <w:tcW w:w="2631" w:type="dxa"/>
            <w:tcBorders>
              <w:top w:val="single" w:color="auto" w:sz="4" w:space="0"/>
              <w:left w:val="single" w:color="auto" w:sz="4" w:space="0"/>
              <w:bottom w:val="single" w:color="auto" w:sz="4" w:space="0"/>
              <w:right w:val="single" w:color="auto" w:sz="4" w:space="0"/>
            </w:tcBorders>
            <w:vAlign w:val="center"/>
          </w:tcPr>
          <w:p w14:paraId="452EDD3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担任职务</w:t>
            </w:r>
          </w:p>
        </w:tc>
        <w:tc>
          <w:tcPr>
            <w:tcW w:w="1188" w:type="dxa"/>
            <w:tcBorders>
              <w:top w:val="single" w:color="auto" w:sz="4" w:space="0"/>
              <w:left w:val="single" w:color="auto" w:sz="4" w:space="0"/>
              <w:bottom w:val="single" w:color="auto" w:sz="4" w:space="0"/>
              <w:right w:val="single" w:color="auto" w:sz="4" w:space="0"/>
            </w:tcBorders>
            <w:vAlign w:val="center"/>
          </w:tcPr>
          <w:p w14:paraId="5F19EDA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备注</w:t>
            </w:r>
          </w:p>
        </w:tc>
      </w:tr>
      <w:tr w14:paraId="00B6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13439F58">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126F9B7C">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511EC610">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17D52F51">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0A3A0EC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6840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2C9F5D8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72487CE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1A54322F">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779C3F4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7523848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25D3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4395933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73D5846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5A2ED934">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488B5C5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480C8FB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32A5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6C11818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61AD57B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18C722F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38472CC0">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1069E9AB">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2E02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52EFA83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05BF7CBF">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10026C4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0BCAF8B1">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42FEE3E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15F5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6D4A9BF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06612B6A">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32DD8B64">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5121DBB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27DD2F8B">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bl>
    <w:p w14:paraId="15BF9164">
      <w:pPr>
        <w:tabs>
          <w:tab w:val="left" w:pos="5527"/>
        </w:tabs>
        <w:bidi w:val="0"/>
        <w:spacing w:line="360" w:lineRule="auto"/>
        <w:outlineLvl w:val="9"/>
        <w:rPr>
          <w:rFonts w:hint="eastAsia" w:ascii="宋体" w:hAnsi="宋体" w:eastAsia="宋体" w:cs="宋体"/>
          <w:color w:val="auto"/>
          <w:sz w:val="28"/>
          <w:szCs w:val="28"/>
          <w:highlight w:val="none"/>
        </w:rPr>
      </w:pPr>
      <w:bookmarkStart w:id="363" w:name="_Toc25963"/>
      <w:bookmarkStart w:id="364" w:name="_Toc27273"/>
      <w:bookmarkStart w:id="365" w:name="_Toc23652"/>
      <w:r>
        <w:rPr>
          <w:rFonts w:hint="eastAsia" w:ascii="宋体" w:hAnsi="宋体" w:eastAsia="宋体" w:cs="宋体"/>
          <w:color w:val="auto"/>
          <w:sz w:val="28"/>
          <w:szCs w:val="28"/>
          <w:highlight w:val="none"/>
        </w:rPr>
        <w:t>注：附项目负责人相关</w:t>
      </w:r>
      <w:r>
        <w:rPr>
          <w:rFonts w:hint="eastAsia" w:ascii="宋体" w:hAnsi="宋体" w:cs="宋体"/>
          <w:color w:val="auto"/>
          <w:sz w:val="28"/>
          <w:szCs w:val="28"/>
          <w:highlight w:val="none"/>
          <w:lang w:val="en-US" w:eastAsia="zh-CN"/>
        </w:rPr>
        <w:t>证件</w:t>
      </w:r>
      <w:r>
        <w:rPr>
          <w:rFonts w:hint="eastAsia" w:ascii="宋体" w:hAnsi="宋体" w:eastAsia="宋体" w:cs="宋体"/>
          <w:color w:val="auto"/>
          <w:sz w:val="28"/>
          <w:szCs w:val="28"/>
          <w:highlight w:val="none"/>
        </w:rPr>
        <w:t>，作为本表的附件。</w:t>
      </w:r>
    </w:p>
    <w:bookmarkEnd w:id="363"/>
    <w:bookmarkEnd w:id="364"/>
    <w:bookmarkEnd w:id="365"/>
    <w:p w14:paraId="5CA96103">
      <w:pPr>
        <w:tabs>
          <w:tab w:val="left" w:pos="5527"/>
        </w:tabs>
        <w:bidi w:val="0"/>
        <w:spacing w:line="600" w:lineRule="auto"/>
        <w:ind w:leftChars="1600"/>
        <w:outlineLvl w:val="9"/>
        <w:rPr>
          <w:rFonts w:hint="eastAsia" w:ascii="宋体" w:hAnsi="宋体" w:eastAsia="宋体" w:cs="宋体"/>
          <w:color w:val="auto"/>
          <w:sz w:val="28"/>
          <w:szCs w:val="28"/>
          <w:highlight w:val="none"/>
        </w:rPr>
      </w:pPr>
    </w:p>
    <w:p w14:paraId="041EF051">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058E283A">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424DFEA6">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1309FA5C">
      <w:pPr>
        <w:keepLines w:val="0"/>
        <w:pageBreakBefore w:val="0"/>
        <w:tabs>
          <w:tab w:val="left" w:pos="5527"/>
        </w:tabs>
        <w:kinsoku/>
        <w:overflowPunct/>
        <w:bidi w:val="0"/>
        <w:spacing w:line="440" w:lineRule="exact"/>
        <w:jc w:val="right"/>
        <w:textAlignment w:val="auto"/>
        <w:outlineLvl w:val="9"/>
        <w:rPr>
          <w:rFonts w:hint="eastAsia" w:ascii="宋体" w:hAnsi="宋体" w:eastAsia="宋体" w:cs="宋体"/>
          <w:color w:val="auto"/>
          <w:sz w:val="28"/>
          <w:szCs w:val="28"/>
          <w:highlight w:val="none"/>
        </w:rPr>
      </w:pPr>
    </w:p>
    <w:p w14:paraId="1198F90A">
      <w:pPr>
        <w:tabs>
          <w:tab w:val="left" w:pos="5527"/>
        </w:tabs>
        <w:spacing w:line="500" w:lineRule="exact"/>
        <w:jc w:val="both"/>
        <w:outlineLvl w:val="9"/>
        <w:rPr>
          <w:rStyle w:val="39"/>
          <w:rFonts w:hint="eastAsia" w:ascii="宋体" w:hAnsi="宋体" w:eastAsia="宋体" w:cs="宋体"/>
          <w:b/>
          <w:bCs/>
          <w:color w:val="auto"/>
          <w:sz w:val="32"/>
          <w:szCs w:val="28"/>
          <w:highlight w:val="none"/>
          <w:lang w:val="en-US" w:eastAsia="zh-CN"/>
        </w:rPr>
      </w:pPr>
    </w:p>
    <w:p w14:paraId="29C530D3">
      <w:pPr>
        <w:tabs>
          <w:tab w:val="left" w:pos="5527"/>
        </w:tabs>
        <w:spacing w:line="500" w:lineRule="exact"/>
        <w:jc w:val="both"/>
        <w:outlineLvl w:val="9"/>
        <w:rPr>
          <w:rStyle w:val="39"/>
          <w:rFonts w:hint="eastAsia" w:ascii="宋体" w:hAnsi="宋体" w:eastAsia="宋体" w:cs="宋体"/>
          <w:b/>
          <w:bCs/>
          <w:color w:val="auto"/>
          <w:sz w:val="32"/>
          <w:szCs w:val="28"/>
          <w:highlight w:val="none"/>
          <w:lang w:val="en-US" w:eastAsia="zh-CN"/>
        </w:rPr>
      </w:pPr>
    </w:p>
    <w:p w14:paraId="101CE794">
      <w:pPr>
        <w:rPr>
          <w:rStyle w:val="39"/>
          <w:rFonts w:hint="eastAsia" w:ascii="宋体" w:hAnsi="宋体" w:eastAsia="宋体" w:cs="宋体"/>
          <w:b/>
          <w:bCs/>
          <w:color w:val="auto"/>
          <w:sz w:val="32"/>
          <w:szCs w:val="28"/>
          <w:highlight w:val="none"/>
          <w:lang w:val="en-US" w:eastAsia="zh-CN"/>
        </w:rPr>
      </w:pPr>
      <w:bookmarkStart w:id="366" w:name="_Toc9529"/>
      <w:bookmarkStart w:id="367" w:name="_Toc5820"/>
      <w:bookmarkStart w:id="368" w:name="_Toc7884"/>
      <w:bookmarkStart w:id="369" w:name="_Toc9896"/>
      <w:bookmarkStart w:id="370" w:name="_Toc31933"/>
      <w:bookmarkStart w:id="371" w:name="_Toc28105"/>
      <w:bookmarkStart w:id="372" w:name="_Toc7241"/>
      <w:r>
        <w:rPr>
          <w:rStyle w:val="39"/>
          <w:rFonts w:hint="eastAsia" w:ascii="宋体" w:hAnsi="宋体" w:eastAsia="宋体" w:cs="宋体"/>
          <w:b/>
          <w:bCs/>
          <w:color w:val="auto"/>
          <w:sz w:val="32"/>
          <w:szCs w:val="28"/>
          <w:highlight w:val="none"/>
          <w:lang w:val="en-US" w:eastAsia="zh-CN"/>
        </w:rPr>
        <w:br w:type="page"/>
      </w:r>
    </w:p>
    <w:p w14:paraId="63E50198">
      <w:pPr>
        <w:tabs>
          <w:tab w:val="left" w:pos="5527"/>
        </w:tabs>
        <w:spacing w:line="500" w:lineRule="exact"/>
        <w:jc w:val="both"/>
        <w:outlineLvl w:val="9"/>
        <w:rPr>
          <w:rStyle w:val="39"/>
          <w:rFonts w:hint="eastAsia" w:ascii="宋体" w:hAnsi="宋体" w:eastAsia="宋体" w:cs="宋体"/>
          <w:color w:val="auto"/>
          <w:sz w:val="32"/>
          <w:szCs w:val="28"/>
          <w:highlight w:val="none"/>
          <w:lang w:val="en-US" w:eastAsia="zh-CN"/>
        </w:rPr>
      </w:pPr>
      <w:r>
        <w:rPr>
          <w:rStyle w:val="39"/>
          <w:rFonts w:hint="eastAsia" w:ascii="宋体" w:hAnsi="宋体" w:eastAsia="宋体" w:cs="宋体"/>
          <w:b/>
          <w:bCs/>
          <w:color w:val="auto"/>
          <w:sz w:val="32"/>
          <w:szCs w:val="28"/>
          <w:highlight w:val="none"/>
          <w:lang w:val="en-US" w:eastAsia="zh-CN"/>
        </w:rPr>
        <w:t>附件</w:t>
      </w:r>
      <w:bookmarkEnd w:id="347"/>
      <w:bookmarkEnd w:id="348"/>
      <w:r>
        <w:rPr>
          <w:rStyle w:val="39"/>
          <w:rFonts w:hint="eastAsia" w:ascii="宋体" w:hAnsi="宋体" w:eastAsia="宋体" w:cs="宋体"/>
          <w:b/>
          <w:bCs/>
          <w:color w:val="auto"/>
          <w:sz w:val="32"/>
          <w:szCs w:val="28"/>
          <w:highlight w:val="none"/>
          <w:lang w:val="en-US" w:eastAsia="zh-CN"/>
        </w:rPr>
        <w:t>1</w:t>
      </w:r>
      <w:r>
        <w:rPr>
          <w:rStyle w:val="39"/>
          <w:rFonts w:hint="eastAsia" w:ascii="宋体" w:hAnsi="宋体" w:cs="宋体"/>
          <w:b/>
          <w:bCs/>
          <w:color w:val="auto"/>
          <w:sz w:val="32"/>
          <w:szCs w:val="28"/>
          <w:highlight w:val="none"/>
          <w:lang w:val="en-US" w:eastAsia="zh-CN"/>
        </w:rPr>
        <w:t>2</w:t>
      </w:r>
      <w:r>
        <w:rPr>
          <w:rStyle w:val="39"/>
          <w:rFonts w:hint="eastAsia" w:ascii="宋体" w:hAnsi="宋体" w:eastAsia="宋体" w:cs="宋体"/>
          <w:b/>
          <w:color w:val="auto"/>
          <w:kern w:val="2"/>
          <w:sz w:val="32"/>
          <w:szCs w:val="28"/>
          <w:highlight w:val="none"/>
          <w:lang w:val="en-US" w:eastAsia="zh-CN" w:bidi="ar-SA"/>
        </w:rPr>
        <w:t>：</w:t>
      </w:r>
    </w:p>
    <w:bookmarkEnd w:id="366"/>
    <w:bookmarkEnd w:id="367"/>
    <w:bookmarkEnd w:id="368"/>
    <w:bookmarkEnd w:id="369"/>
    <w:bookmarkEnd w:id="370"/>
    <w:bookmarkEnd w:id="371"/>
    <w:bookmarkEnd w:id="372"/>
    <w:p w14:paraId="7FF25433">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73" w:name="_Toc445"/>
      <w:bookmarkStart w:id="374" w:name="_Toc24975"/>
      <w:bookmarkStart w:id="375" w:name="_Toc15935"/>
      <w:bookmarkStart w:id="376" w:name="_Toc3025"/>
      <w:bookmarkStart w:id="377" w:name="_Toc2396"/>
      <w:bookmarkStart w:id="378" w:name="_Toc3171"/>
      <w:bookmarkStart w:id="379" w:name="_Toc17246"/>
      <w:r>
        <w:rPr>
          <w:rFonts w:hint="eastAsia" w:ascii="宋体" w:hAnsi="宋体" w:eastAsia="宋体" w:cs="宋体"/>
          <w:b/>
          <w:bCs/>
          <w:color w:val="auto"/>
          <w:kern w:val="2"/>
          <w:sz w:val="32"/>
          <w:szCs w:val="21"/>
          <w:highlight w:val="none"/>
          <w:lang w:val="en-US" w:eastAsia="zh-CN"/>
        </w:rPr>
        <w:t>拟投入人员配置情况表</w:t>
      </w:r>
      <w:bookmarkEnd w:id="373"/>
      <w:bookmarkEnd w:id="374"/>
      <w:bookmarkEnd w:id="375"/>
      <w:bookmarkEnd w:id="376"/>
      <w:bookmarkEnd w:id="377"/>
      <w:bookmarkEnd w:id="378"/>
    </w:p>
    <w:bookmarkEnd w:id="379"/>
    <w:tbl>
      <w:tblPr>
        <w:tblStyle w:val="27"/>
        <w:tblW w:w="8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326"/>
        <w:gridCol w:w="2024"/>
        <w:gridCol w:w="1304"/>
        <w:gridCol w:w="1065"/>
        <w:gridCol w:w="1089"/>
      </w:tblGrid>
      <w:tr w14:paraId="0F07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889" w:type="dxa"/>
            <w:tcBorders>
              <w:top w:val="single" w:color="auto" w:sz="8" w:space="0"/>
              <w:left w:val="single" w:color="auto" w:sz="8" w:space="0"/>
            </w:tcBorders>
            <w:vAlign w:val="center"/>
          </w:tcPr>
          <w:p w14:paraId="095173E3">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职务</w:t>
            </w:r>
          </w:p>
        </w:tc>
        <w:tc>
          <w:tcPr>
            <w:tcW w:w="1326" w:type="dxa"/>
            <w:tcBorders>
              <w:top w:val="single" w:color="auto" w:sz="8" w:space="0"/>
            </w:tcBorders>
            <w:vAlign w:val="center"/>
          </w:tcPr>
          <w:p w14:paraId="1C3A7A02">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姓名</w:t>
            </w:r>
          </w:p>
        </w:tc>
        <w:tc>
          <w:tcPr>
            <w:tcW w:w="2024" w:type="dxa"/>
            <w:tcBorders>
              <w:top w:val="single" w:color="auto" w:sz="8" w:space="0"/>
              <w:right w:val="single" w:color="auto" w:sz="8" w:space="0"/>
            </w:tcBorders>
            <w:vAlign w:val="center"/>
          </w:tcPr>
          <w:p w14:paraId="3F98CA43">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证书名称</w:t>
            </w:r>
          </w:p>
        </w:tc>
        <w:tc>
          <w:tcPr>
            <w:tcW w:w="1304" w:type="dxa"/>
            <w:tcBorders>
              <w:top w:val="single" w:color="auto" w:sz="8" w:space="0"/>
              <w:right w:val="single" w:color="auto" w:sz="8" w:space="0"/>
            </w:tcBorders>
            <w:vAlign w:val="center"/>
          </w:tcPr>
          <w:p w14:paraId="7F456679">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证号</w:t>
            </w:r>
          </w:p>
        </w:tc>
        <w:tc>
          <w:tcPr>
            <w:tcW w:w="1065" w:type="dxa"/>
            <w:tcBorders>
              <w:top w:val="single" w:color="auto" w:sz="8" w:space="0"/>
              <w:right w:val="single" w:color="auto" w:sz="8" w:space="0"/>
            </w:tcBorders>
            <w:vAlign w:val="center"/>
          </w:tcPr>
          <w:p w14:paraId="4E500B6E">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专业</w:t>
            </w:r>
          </w:p>
        </w:tc>
        <w:tc>
          <w:tcPr>
            <w:tcW w:w="1089" w:type="dxa"/>
            <w:tcBorders>
              <w:top w:val="single" w:color="auto" w:sz="8" w:space="0"/>
              <w:right w:val="single" w:color="auto" w:sz="8" w:space="0"/>
            </w:tcBorders>
            <w:vAlign w:val="center"/>
          </w:tcPr>
          <w:p w14:paraId="4C6BB192">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备注</w:t>
            </w:r>
          </w:p>
        </w:tc>
      </w:tr>
      <w:tr w14:paraId="2DFD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4CA3C297">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3A167AE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108DEED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7063A26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5DB583B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73B44ADD">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61F5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4A00FEC9">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679F8847">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482B975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3C9D043A">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6D46BF4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46233A1B">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2850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14C06A8B">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15E4BD3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50A3B6BE">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5CB97F0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6D655CC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5511C8A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609D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49EE3B8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32F3830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7487B9BA">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2188B46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7DBEC3E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320E4899">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0D85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36835C2D">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671E9A2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303C930A">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304EFD1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6906D0C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4A8B98AE">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3886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7C444FC1">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6CD88E8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4B537B2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5DA9BB8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15C5E31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582D11C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0F86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113BD5B0">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7E5CC85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31F8701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107D8E2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024E51C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5CDD5DCD">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45C7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2D9E1CA4">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788DC28F">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4372B10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29F4200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1194AF4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58989AE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5B83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593F8DB0">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2E1C20FA">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7D1EEA6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348DA965">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7213B42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0825148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3051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39DA135D">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72354E4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3F39EE2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429DDC49">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5752A80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516FDAA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2068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3BB84F7B">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lang w:val="en-US" w:eastAsia="zh-CN"/>
              </w:rPr>
            </w:pPr>
            <w:bookmarkStart w:id="380" w:name="_Toc20218"/>
            <w:bookmarkStart w:id="381" w:name="_Toc2551"/>
            <w:bookmarkStart w:id="382" w:name="_Toc11835"/>
            <w:bookmarkStart w:id="383" w:name="_Toc15516"/>
            <w:bookmarkStart w:id="384" w:name="_Toc14073"/>
            <w:bookmarkStart w:id="385" w:name="_Toc235"/>
            <w:r>
              <w:rPr>
                <w:rFonts w:hint="eastAsia" w:ascii="宋体" w:hAnsi="宋体" w:eastAsia="宋体" w:cs="宋体"/>
                <w:b w:val="0"/>
                <w:bCs w:val="0"/>
                <w:color w:val="auto"/>
                <w:sz w:val="24"/>
                <w:szCs w:val="24"/>
                <w:highlight w:val="none"/>
              </w:rPr>
              <w:t>......</w:t>
            </w:r>
            <w:bookmarkEnd w:id="380"/>
            <w:bookmarkEnd w:id="381"/>
            <w:bookmarkEnd w:id="382"/>
            <w:bookmarkEnd w:id="383"/>
            <w:bookmarkEnd w:id="384"/>
            <w:bookmarkEnd w:id="385"/>
          </w:p>
        </w:tc>
        <w:tc>
          <w:tcPr>
            <w:tcW w:w="1326" w:type="dxa"/>
            <w:vAlign w:val="center"/>
          </w:tcPr>
          <w:p w14:paraId="3C8FA21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4292F26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58208285">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4AE79FAB">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6037617F">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1640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697" w:type="dxa"/>
            <w:gridSpan w:val="6"/>
            <w:tcBorders>
              <w:left w:val="single" w:color="auto" w:sz="8" w:space="0"/>
              <w:right w:val="single" w:color="auto" w:sz="8" w:space="0"/>
            </w:tcBorders>
            <w:vAlign w:val="center"/>
          </w:tcPr>
          <w:p w14:paraId="2FD4A24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both"/>
              <w:outlineLvl w:val="9"/>
              <w:rPr>
                <w:rFonts w:hint="eastAsia" w:ascii="宋体" w:hAnsi="宋体" w:eastAsia="宋体" w:cs="宋体"/>
                <w:b w:val="0"/>
                <w:bCs w:val="0"/>
                <w:color w:val="auto"/>
                <w:sz w:val="24"/>
                <w:szCs w:val="24"/>
                <w:highlight w:val="none"/>
              </w:rPr>
            </w:pPr>
            <w:bookmarkStart w:id="386" w:name="_Toc4089"/>
            <w:bookmarkStart w:id="387" w:name="_Toc18266"/>
            <w:bookmarkStart w:id="388" w:name="_Toc27757"/>
            <w:bookmarkStart w:id="389" w:name="_Toc4716"/>
            <w:bookmarkStart w:id="390" w:name="_Toc10338"/>
            <w:bookmarkStart w:id="391" w:name="_Toc17401"/>
            <w:bookmarkStart w:id="392" w:name="_Toc31026"/>
            <w:bookmarkStart w:id="393" w:name="_Toc9923"/>
            <w:bookmarkStart w:id="394" w:name="_Toc31409"/>
            <w:r>
              <w:rPr>
                <w:rFonts w:hint="eastAsia" w:ascii="宋体" w:hAnsi="宋体" w:eastAsia="宋体" w:cs="宋体"/>
                <w:b w:val="0"/>
                <w:bCs w:val="0"/>
                <w:color w:val="auto"/>
                <w:sz w:val="24"/>
                <w:szCs w:val="24"/>
                <w:highlight w:val="none"/>
              </w:rPr>
              <w:t>注：未做说明的人员资料由供应商自行考虑提供</w:t>
            </w:r>
            <w:r>
              <w:rPr>
                <w:rFonts w:hint="eastAsia" w:ascii="宋体" w:hAnsi="宋体" w:eastAsia="宋体" w:cs="宋体"/>
                <w:b w:val="0"/>
                <w:bCs w:val="0"/>
                <w:color w:val="auto"/>
                <w:sz w:val="24"/>
                <w:szCs w:val="24"/>
                <w:highlight w:val="none"/>
                <w:lang w:val="en-US" w:eastAsia="zh-CN"/>
              </w:rPr>
              <w:t>并附相关</w:t>
            </w:r>
            <w:r>
              <w:rPr>
                <w:rFonts w:hint="eastAsia" w:ascii="宋体" w:hAnsi="宋体" w:cs="宋体"/>
                <w:b w:val="0"/>
                <w:bCs w:val="0"/>
                <w:color w:val="auto"/>
                <w:sz w:val="24"/>
                <w:szCs w:val="24"/>
                <w:highlight w:val="none"/>
                <w:lang w:val="en-US" w:eastAsia="zh-CN"/>
              </w:rPr>
              <w:t>证件</w:t>
            </w:r>
            <w:r>
              <w:rPr>
                <w:rFonts w:hint="eastAsia" w:ascii="宋体" w:hAnsi="宋体" w:eastAsia="宋体" w:cs="宋体"/>
                <w:b w:val="0"/>
                <w:bCs w:val="0"/>
                <w:color w:val="auto"/>
                <w:sz w:val="24"/>
                <w:szCs w:val="24"/>
                <w:highlight w:val="none"/>
                <w:lang w:val="en-US" w:eastAsia="zh-CN"/>
              </w:rPr>
              <w:t>。</w:t>
            </w:r>
            <w:bookmarkEnd w:id="386"/>
            <w:bookmarkEnd w:id="387"/>
            <w:bookmarkEnd w:id="388"/>
            <w:bookmarkEnd w:id="389"/>
            <w:r>
              <w:rPr>
                <w:rFonts w:hint="eastAsia" w:ascii="宋体" w:hAnsi="宋体" w:eastAsia="宋体" w:cs="宋体"/>
                <w:b w:val="0"/>
                <w:bCs w:val="0"/>
                <w:color w:val="auto"/>
                <w:sz w:val="24"/>
                <w:szCs w:val="24"/>
                <w:highlight w:val="none"/>
              </w:rPr>
              <w:t>所提供的</w:t>
            </w:r>
            <w:r>
              <w:rPr>
                <w:rFonts w:hint="eastAsia" w:ascii="宋体" w:hAnsi="宋体" w:cs="宋体"/>
                <w:b w:val="0"/>
                <w:bCs w:val="0"/>
                <w:color w:val="auto"/>
                <w:sz w:val="24"/>
                <w:szCs w:val="24"/>
                <w:highlight w:val="none"/>
                <w:lang w:val="en-US" w:eastAsia="zh-CN"/>
              </w:rPr>
              <w:t>证件</w:t>
            </w:r>
            <w:r>
              <w:rPr>
                <w:rFonts w:hint="eastAsia" w:ascii="宋体" w:hAnsi="宋体" w:eastAsia="宋体" w:cs="宋体"/>
                <w:b w:val="0"/>
                <w:bCs w:val="0"/>
                <w:color w:val="auto"/>
                <w:sz w:val="24"/>
                <w:szCs w:val="24"/>
                <w:highlight w:val="none"/>
              </w:rPr>
              <w:t>均附于本表后，作为本表的附件。</w:t>
            </w:r>
            <w:bookmarkEnd w:id="390"/>
            <w:bookmarkEnd w:id="391"/>
            <w:bookmarkEnd w:id="392"/>
            <w:bookmarkEnd w:id="393"/>
            <w:bookmarkEnd w:id="394"/>
          </w:p>
        </w:tc>
      </w:tr>
    </w:tbl>
    <w:p w14:paraId="27806681">
      <w:pPr>
        <w:pStyle w:val="18"/>
        <w:tabs>
          <w:tab w:val="left" w:pos="5527"/>
        </w:tabs>
        <w:ind w:firstLine="0"/>
        <w:jc w:val="center"/>
        <w:outlineLvl w:val="9"/>
        <w:rPr>
          <w:rFonts w:hint="eastAsia" w:ascii="宋体" w:hAnsi="宋体" w:eastAsia="宋体" w:cs="宋体"/>
          <w:bCs/>
          <w:color w:val="auto"/>
          <w:highlight w:val="none"/>
        </w:rPr>
      </w:pPr>
      <w:r>
        <w:rPr>
          <w:rFonts w:hint="eastAsia" w:ascii="宋体" w:hAnsi="宋体" w:eastAsia="宋体" w:cs="宋体"/>
          <w:bCs/>
          <w:color w:val="auto"/>
          <w:highlight w:val="none"/>
        </w:rPr>
        <w:t xml:space="preserve">        </w:t>
      </w:r>
    </w:p>
    <w:p w14:paraId="0F7112C9">
      <w:pPr>
        <w:tabs>
          <w:tab w:val="left" w:pos="5527"/>
        </w:tabs>
        <w:bidi w:val="0"/>
        <w:spacing w:line="600" w:lineRule="auto"/>
        <w:ind w:leftChars="1600"/>
        <w:outlineLvl w:val="9"/>
        <w:rPr>
          <w:rFonts w:hint="eastAsia" w:ascii="宋体" w:hAnsi="宋体" w:eastAsia="宋体" w:cs="宋体"/>
          <w:color w:val="auto"/>
          <w:sz w:val="28"/>
          <w:szCs w:val="28"/>
          <w:highlight w:val="none"/>
        </w:rPr>
      </w:pPr>
      <w:bookmarkStart w:id="395" w:name="_Toc2493"/>
      <w:bookmarkStart w:id="396" w:name="_Toc7251"/>
      <w:r>
        <w:rPr>
          <w:rFonts w:hint="eastAsia" w:ascii="宋体" w:hAnsi="宋体" w:eastAsia="宋体" w:cs="宋体"/>
          <w:color w:val="auto"/>
          <w:sz w:val="28"/>
          <w:szCs w:val="28"/>
          <w:highlight w:val="none"/>
        </w:rPr>
        <w:t>供应商名称（盖章）：</w:t>
      </w:r>
    </w:p>
    <w:p w14:paraId="452FFE03">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0799245A">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6E92EC0C">
      <w:pPr>
        <w:outlineLvl w:val="9"/>
        <w:rPr>
          <w:rStyle w:val="39"/>
          <w:rFonts w:hint="eastAsia" w:ascii="宋体" w:hAnsi="宋体" w:eastAsia="宋体" w:cs="宋体"/>
          <w:b/>
          <w:bCs/>
          <w:color w:val="auto"/>
          <w:sz w:val="32"/>
          <w:szCs w:val="28"/>
          <w:highlight w:val="none"/>
          <w:lang w:val="en-US" w:eastAsia="zh-CN"/>
        </w:rPr>
      </w:pPr>
      <w:r>
        <w:rPr>
          <w:rFonts w:hint="eastAsia" w:ascii="宋体" w:hAnsi="宋体" w:eastAsia="宋体" w:cs="宋体"/>
          <w:color w:val="auto"/>
          <w:sz w:val="28"/>
          <w:szCs w:val="28"/>
          <w:highlight w:val="none"/>
        </w:rPr>
        <w:br w:type="page"/>
      </w:r>
      <w:bookmarkStart w:id="397" w:name="_Toc31275"/>
    </w:p>
    <w:p w14:paraId="738F8D1C">
      <w:pPr>
        <w:tabs>
          <w:tab w:val="left" w:pos="5527"/>
        </w:tabs>
        <w:spacing w:line="500" w:lineRule="exact"/>
        <w:jc w:val="both"/>
        <w:outlineLvl w:val="9"/>
        <w:rPr>
          <w:rStyle w:val="39"/>
          <w:rFonts w:hint="eastAsia" w:ascii="宋体" w:hAnsi="宋体" w:eastAsia="宋体" w:cs="宋体"/>
          <w:b/>
          <w:bCs/>
          <w:color w:val="auto"/>
          <w:sz w:val="32"/>
          <w:szCs w:val="28"/>
          <w:highlight w:val="none"/>
          <w:lang w:val="en-US" w:eastAsia="zh-CN"/>
        </w:rPr>
      </w:pPr>
      <w:bookmarkStart w:id="398" w:name="_Toc11312"/>
      <w:bookmarkStart w:id="399" w:name="_Toc2088"/>
      <w:bookmarkStart w:id="400" w:name="_Toc30721"/>
      <w:bookmarkStart w:id="401" w:name="_Toc32169"/>
      <w:bookmarkStart w:id="402" w:name="_Toc23163"/>
      <w:bookmarkStart w:id="403" w:name="_Toc5179"/>
      <w:r>
        <w:rPr>
          <w:rStyle w:val="39"/>
          <w:rFonts w:hint="eastAsia" w:ascii="宋体" w:hAnsi="宋体" w:eastAsia="宋体" w:cs="宋体"/>
          <w:b/>
          <w:bCs/>
          <w:color w:val="auto"/>
          <w:sz w:val="32"/>
          <w:szCs w:val="28"/>
          <w:highlight w:val="none"/>
          <w:lang w:val="en-US" w:eastAsia="zh-CN"/>
        </w:rPr>
        <w:t>附件</w:t>
      </w:r>
      <w:bookmarkEnd w:id="395"/>
      <w:bookmarkEnd w:id="396"/>
      <w:r>
        <w:rPr>
          <w:rStyle w:val="39"/>
          <w:rFonts w:hint="eastAsia" w:ascii="宋体" w:hAnsi="宋体" w:eastAsia="宋体" w:cs="宋体"/>
          <w:b/>
          <w:bCs/>
          <w:color w:val="auto"/>
          <w:sz w:val="32"/>
          <w:szCs w:val="28"/>
          <w:highlight w:val="none"/>
          <w:lang w:val="en-US" w:eastAsia="zh-CN"/>
        </w:rPr>
        <w:t>1</w:t>
      </w:r>
      <w:r>
        <w:rPr>
          <w:rStyle w:val="39"/>
          <w:rFonts w:hint="eastAsia" w:ascii="宋体" w:hAnsi="宋体" w:cs="宋体"/>
          <w:b/>
          <w:bCs/>
          <w:color w:val="auto"/>
          <w:sz w:val="32"/>
          <w:szCs w:val="28"/>
          <w:highlight w:val="none"/>
          <w:lang w:val="en-US" w:eastAsia="zh-CN"/>
        </w:rPr>
        <w:t>3</w:t>
      </w:r>
      <w:r>
        <w:rPr>
          <w:rStyle w:val="39"/>
          <w:rFonts w:hint="eastAsia" w:ascii="宋体" w:hAnsi="宋体" w:eastAsia="宋体" w:cs="宋体"/>
          <w:b/>
          <w:bCs/>
          <w:color w:val="auto"/>
          <w:sz w:val="32"/>
          <w:szCs w:val="28"/>
          <w:highlight w:val="none"/>
          <w:lang w:val="en-US" w:eastAsia="zh-CN"/>
        </w:rPr>
        <w:t>：</w:t>
      </w:r>
      <w:bookmarkEnd w:id="397"/>
    </w:p>
    <w:bookmarkEnd w:id="398"/>
    <w:bookmarkEnd w:id="399"/>
    <w:bookmarkEnd w:id="400"/>
    <w:bookmarkEnd w:id="401"/>
    <w:bookmarkEnd w:id="402"/>
    <w:bookmarkEnd w:id="403"/>
    <w:p w14:paraId="0C544372">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404" w:name="_Toc5671"/>
      <w:bookmarkStart w:id="405" w:name="_Toc5649"/>
      <w:bookmarkStart w:id="406" w:name="_Toc11356"/>
      <w:bookmarkStart w:id="407" w:name="_Toc1771"/>
      <w:bookmarkStart w:id="408" w:name="_Toc16106"/>
      <w:r>
        <w:rPr>
          <w:rFonts w:hint="eastAsia" w:ascii="宋体" w:hAnsi="宋体" w:eastAsia="宋体" w:cs="宋体"/>
          <w:b/>
          <w:bCs/>
          <w:color w:val="auto"/>
          <w:kern w:val="2"/>
          <w:sz w:val="32"/>
          <w:szCs w:val="21"/>
          <w:highlight w:val="none"/>
          <w:lang w:val="en-US" w:eastAsia="zh-CN"/>
        </w:rPr>
        <w:t>供货方案</w:t>
      </w:r>
      <w:bookmarkEnd w:id="404"/>
      <w:bookmarkEnd w:id="405"/>
    </w:p>
    <w:bookmarkEnd w:id="406"/>
    <w:bookmarkEnd w:id="407"/>
    <w:p w14:paraId="448097F3">
      <w:pPr>
        <w:outlineLvl w:val="9"/>
        <w:rPr>
          <w:rStyle w:val="39"/>
          <w:rFonts w:hint="eastAsia" w:ascii="宋体" w:hAnsi="宋体" w:eastAsia="宋体" w:cs="宋体"/>
          <w:b/>
          <w:bCs/>
          <w:color w:val="auto"/>
          <w:sz w:val="32"/>
          <w:szCs w:val="28"/>
          <w:highlight w:val="none"/>
          <w:lang w:val="en-US" w:eastAsia="zh-CN"/>
        </w:rPr>
      </w:pPr>
      <w:r>
        <w:rPr>
          <w:rStyle w:val="39"/>
          <w:rFonts w:hint="eastAsia" w:ascii="宋体" w:hAnsi="宋体" w:eastAsia="宋体" w:cs="宋体"/>
          <w:b/>
          <w:bCs/>
          <w:color w:val="auto"/>
          <w:sz w:val="32"/>
          <w:szCs w:val="28"/>
          <w:highlight w:val="none"/>
          <w:lang w:val="en-US" w:eastAsia="zh-CN"/>
        </w:rPr>
        <w:br w:type="page"/>
      </w:r>
    </w:p>
    <w:p w14:paraId="62B66169">
      <w:pPr>
        <w:tabs>
          <w:tab w:val="left" w:pos="5527"/>
        </w:tabs>
        <w:spacing w:line="500" w:lineRule="exact"/>
        <w:jc w:val="both"/>
        <w:outlineLvl w:val="9"/>
        <w:rPr>
          <w:rStyle w:val="39"/>
          <w:rFonts w:hint="eastAsia" w:ascii="宋体" w:hAnsi="宋体" w:eastAsia="宋体" w:cs="宋体"/>
          <w:b/>
          <w:bCs/>
          <w:color w:val="auto"/>
          <w:sz w:val="32"/>
          <w:szCs w:val="28"/>
          <w:highlight w:val="none"/>
          <w:lang w:val="en-US" w:eastAsia="zh-CN"/>
        </w:rPr>
      </w:pPr>
      <w:bookmarkStart w:id="409" w:name="_Toc6030"/>
      <w:bookmarkStart w:id="410" w:name="_Toc28507"/>
      <w:bookmarkStart w:id="411" w:name="_Toc4106"/>
      <w:bookmarkStart w:id="412" w:name="_Toc25922"/>
      <w:bookmarkStart w:id="413" w:name="_Toc1141"/>
      <w:r>
        <w:rPr>
          <w:rStyle w:val="39"/>
          <w:rFonts w:hint="eastAsia" w:ascii="宋体" w:hAnsi="宋体" w:eastAsia="宋体" w:cs="宋体"/>
          <w:b/>
          <w:bCs/>
          <w:color w:val="auto"/>
          <w:sz w:val="32"/>
          <w:szCs w:val="28"/>
          <w:highlight w:val="none"/>
          <w:lang w:val="en-US" w:eastAsia="zh-CN"/>
        </w:rPr>
        <w:t>附件1</w:t>
      </w:r>
      <w:r>
        <w:rPr>
          <w:rStyle w:val="39"/>
          <w:rFonts w:hint="eastAsia" w:ascii="宋体" w:hAnsi="宋体" w:cs="宋体"/>
          <w:b/>
          <w:bCs/>
          <w:color w:val="auto"/>
          <w:sz w:val="32"/>
          <w:szCs w:val="28"/>
          <w:highlight w:val="none"/>
          <w:lang w:val="en-US" w:eastAsia="zh-CN"/>
        </w:rPr>
        <w:t>4</w:t>
      </w:r>
      <w:r>
        <w:rPr>
          <w:rStyle w:val="39"/>
          <w:rFonts w:hint="eastAsia" w:ascii="宋体" w:hAnsi="宋体" w:eastAsia="宋体" w:cs="宋体"/>
          <w:b/>
          <w:bCs/>
          <w:color w:val="auto"/>
          <w:sz w:val="32"/>
          <w:szCs w:val="28"/>
          <w:highlight w:val="none"/>
          <w:lang w:val="en-US" w:eastAsia="zh-CN"/>
        </w:rPr>
        <w:t>：</w:t>
      </w:r>
    </w:p>
    <w:bookmarkEnd w:id="408"/>
    <w:bookmarkEnd w:id="409"/>
    <w:bookmarkEnd w:id="410"/>
    <w:bookmarkEnd w:id="411"/>
    <w:bookmarkEnd w:id="412"/>
    <w:bookmarkEnd w:id="413"/>
    <w:p w14:paraId="417B64A8">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414" w:name="_Toc14083"/>
      <w:r>
        <w:rPr>
          <w:rFonts w:hint="eastAsia" w:ascii="宋体" w:hAnsi="宋体" w:eastAsia="宋体" w:cs="宋体"/>
          <w:b/>
          <w:bCs/>
          <w:color w:val="auto"/>
          <w:kern w:val="2"/>
          <w:sz w:val="32"/>
          <w:szCs w:val="21"/>
          <w:highlight w:val="none"/>
          <w:lang w:val="en-US" w:eastAsia="zh-CN"/>
        </w:rPr>
        <w:t xml:space="preserve">中小企业声明函（货物） </w:t>
      </w:r>
    </w:p>
    <w:bookmarkEnd w:id="414"/>
    <w:p w14:paraId="27108F3B">
      <w:pPr>
        <w:keepNext w:val="0"/>
        <w:keepLines w:val="0"/>
        <w:widowControl/>
        <w:suppressLineNumbers w:val="0"/>
        <w:spacing w:line="240" w:lineRule="auto"/>
        <w:ind w:firstLine="564" w:firstLineChars="200"/>
        <w:jc w:val="left"/>
        <w:rPr>
          <w:rFonts w:hint="eastAsia" w:ascii="宋体" w:hAnsi="宋体" w:cs="宋体"/>
          <w:color w:val="auto"/>
          <w:kern w:val="0"/>
          <w:sz w:val="28"/>
          <w:szCs w:val="28"/>
          <w:highlight w:val="none"/>
          <w:u w:val="single"/>
          <w:lang w:val="en-US" w:eastAsia="zh-CN" w:bidi="ar"/>
        </w:rPr>
      </w:pPr>
      <w:r>
        <w:rPr>
          <w:rFonts w:hint="eastAsia" w:ascii="宋体" w:hAnsi="宋体" w:eastAsia="宋体" w:cs="宋体"/>
          <w:color w:val="auto"/>
          <w:kern w:val="0"/>
          <w:sz w:val="28"/>
          <w:szCs w:val="28"/>
          <w:highlight w:val="none"/>
          <w:lang w:val="en-US" w:eastAsia="zh-CN" w:bidi="ar"/>
        </w:rPr>
        <w:t>本公司（联合体）郑重声明，根据《政府采购促进中小企业发展管理办法》（财库﹝2020﹞46 号）的规定，本公司（联合体）参加</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cs="宋体"/>
          <w:color w:val="auto"/>
          <w:kern w:val="0"/>
          <w:sz w:val="28"/>
          <w:szCs w:val="28"/>
          <w:highlight w:val="none"/>
          <w:u w:val="single"/>
          <w:lang w:val="en-US" w:eastAsia="zh-CN" w:bidi="ar"/>
        </w:rPr>
        <w:t xml:space="preserve"> </w:t>
      </w:r>
    </w:p>
    <w:p w14:paraId="07958FB1">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（单位名称）</w:t>
      </w:r>
      <w:r>
        <w:rPr>
          <w:rFonts w:hint="eastAsia" w:ascii="宋体" w:hAnsi="宋体" w:eastAsia="宋体" w:cs="宋体"/>
          <w:color w:val="auto"/>
          <w:kern w:val="0"/>
          <w:sz w:val="28"/>
          <w:szCs w:val="28"/>
          <w:highlight w:val="none"/>
          <w:lang w:val="en-US" w:eastAsia="zh-CN" w:bidi="ar"/>
        </w:rPr>
        <w:t>的</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w:t>
      </w:r>
      <w:r>
        <w:rPr>
          <w:rFonts w:hint="eastAsia" w:ascii="宋体" w:hAnsi="宋体" w:cs="宋体"/>
          <w:i/>
          <w:iCs/>
          <w:color w:val="auto"/>
          <w:kern w:val="0"/>
          <w:sz w:val="28"/>
          <w:szCs w:val="28"/>
          <w:highlight w:val="none"/>
          <w:lang w:val="en-US" w:eastAsia="zh-CN" w:bidi="ar"/>
        </w:rPr>
        <w:t>项目名称</w:t>
      </w:r>
      <w:r>
        <w:rPr>
          <w:rFonts w:hint="eastAsia" w:ascii="宋体" w:hAnsi="宋体" w:eastAsia="宋体" w:cs="宋体"/>
          <w:i/>
          <w:iCs/>
          <w:color w:val="auto"/>
          <w:kern w:val="0"/>
          <w:sz w:val="28"/>
          <w:szCs w:val="28"/>
          <w:highlight w:val="none"/>
          <w:lang w:val="en-US" w:eastAsia="zh-CN" w:bidi="ar"/>
        </w:rPr>
        <w:t>）</w:t>
      </w:r>
      <w:r>
        <w:rPr>
          <w:rFonts w:hint="eastAsia" w:ascii="宋体" w:hAnsi="宋体" w:eastAsia="宋体" w:cs="宋体"/>
          <w:color w:val="auto"/>
          <w:kern w:val="0"/>
          <w:sz w:val="28"/>
          <w:szCs w:val="28"/>
          <w:highlight w:val="none"/>
          <w:lang w:val="en-US" w:eastAsia="zh-CN" w:bidi="ar"/>
        </w:rPr>
        <w:t xml:space="preserve">采购活动，提供的货物全部由符合政策要求的中小企业制造。相关企业（含联合体中的中小企业、签订分包意向协议的中小企业）的具体情况如下： </w:t>
      </w:r>
    </w:p>
    <w:p w14:paraId="7FE2C1E1">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1.</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 xml:space="preserve">（标的名称） </w:t>
      </w:r>
      <w:r>
        <w:rPr>
          <w:rFonts w:hint="eastAsia" w:ascii="宋体" w:hAnsi="宋体" w:eastAsia="宋体" w:cs="宋体"/>
          <w:color w:val="auto"/>
          <w:kern w:val="0"/>
          <w:sz w:val="28"/>
          <w:szCs w:val="28"/>
          <w:highlight w:val="none"/>
          <w:lang w:val="en-US" w:eastAsia="zh-CN" w:bidi="ar"/>
        </w:rPr>
        <w:t>，属于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（采购文件中明确的所属行业）</w:t>
      </w:r>
      <w:r>
        <w:rPr>
          <w:rFonts w:hint="eastAsia" w:ascii="宋体" w:hAnsi="宋体" w:eastAsia="宋体" w:cs="宋体"/>
          <w:i w:val="0"/>
          <w:iCs w:val="0"/>
          <w:color w:val="auto"/>
          <w:kern w:val="0"/>
          <w:sz w:val="28"/>
          <w:szCs w:val="28"/>
          <w:highlight w:val="none"/>
          <w:lang w:val="en-US" w:eastAsia="zh-CN" w:bidi="ar"/>
        </w:rPr>
        <w:t>行业</w:t>
      </w:r>
      <w:r>
        <w:rPr>
          <w:rFonts w:hint="eastAsia" w:ascii="宋体" w:hAnsi="宋体" w:eastAsia="宋体" w:cs="宋体"/>
          <w:color w:val="auto"/>
          <w:kern w:val="0"/>
          <w:sz w:val="28"/>
          <w:szCs w:val="28"/>
          <w:highlight w:val="none"/>
          <w:lang w:val="en-US" w:eastAsia="zh-CN" w:bidi="ar"/>
        </w:rPr>
        <w:t>；制造商为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（企业名称）</w:t>
      </w:r>
      <w:r>
        <w:rPr>
          <w:rFonts w:hint="eastAsia" w:ascii="宋体" w:hAnsi="宋体" w:eastAsia="宋体" w:cs="宋体"/>
          <w:color w:val="auto"/>
          <w:kern w:val="0"/>
          <w:sz w:val="28"/>
          <w:szCs w:val="28"/>
          <w:highlight w:val="none"/>
          <w:lang w:val="en-US" w:eastAsia="zh-CN" w:bidi="ar"/>
        </w:rPr>
        <w:t>，从业人员</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人，营业收入为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万元，资产总额为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 ，属于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（中型企业、小型企业、微型企业）</w:t>
      </w:r>
      <w:r>
        <w:rPr>
          <w:rFonts w:hint="eastAsia" w:ascii="宋体" w:hAnsi="宋体" w:eastAsia="宋体" w:cs="宋体"/>
          <w:color w:val="auto"/>
          <w:kern w:val="0"/>
          <w:sz w:val="28"/>
          <w:szCs w:val="28"/>
          <w:highlight w:val="none"/>
          <w:lang w:val="en-US" w:eastAsia="zh-CN" w:bidi="ar"/>
        </w:rPr>
        <w:t xml:space="preserve">； </w:t>
      </w:r>
    </w:p>
    <w:p w14:paraId="66C61D17">
      <w:pPr>
        <w:keepNext w:val="0"/>
        <w:keepLines w:val="0"/>
        <w:widowControl/>
        <w:suppressLineNumbers w:val="0"/>
        <w:spacing w:line="240" w:lineRule="auto"/>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2.</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 xml:space="preserve">（标的名称） </w:t>
      </w:r>
      <w:r>
        <w:rPr>
          <w:rFonts w:hint="eastAsia" w:ascii="宋体" w:hAnsi="宋体" w:eastAsia="宋体" w:cs="宋体"/>
          <w:color w:val="auto"/>
          <w:kern w:val="0"/>
          <w:sz w:val="28"/>
          <w:szCs w:val="28"/>
          <w:highlight w:val="none"/>
          <w:lang w:val="en-US" w:eastAsia="zh-CN" w:bidi="ar"/>
        </w:rPr>
        <w:t>，属于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（采购文件中明确的所属行业）</w:t>
      </w:r>
      <w:r>
        <w:rPr>
          <w:rFonts w:hint="eastAsia" w:ascii="宋体" w:hAnsi="宋体" w:eastAsia="宋体" w:cs="宋体"/>
          <w:i w:val="0"/>
          <w:iCs w:val="0"/>
          <w:color w:val="auto"/>
          <w:kern w:val="0"/>
          <w:sz w:val="28"/>
          <w:szCs w:val="28"/>
          <w:highlight w:val="none"/>
          <w:lang w:val="en-US" w:eastAsia="zh-CN" w:bidi="ar"/>
        </w:rPr>
        <w:t>行业</w:t>
      </w:r>
      <w:r>
        <w:rPr>
          <w:rFonts w:hint="eastAsia" w:ascii="宋体" w:hAnsi="宋体" w:eastAsia="宋体" w:cs="宋体"/>
          <w:color w:val="auto"/>
          <w:kern w:val="0"/>
          <w:sz w:val="28"/>
          <w:szCs w:val="28"/>
          <w:highlight w:val="none"/>
          <w:lang w:val="en-US" w:eastAsia="zh-CN" w:bidi="ar"/>
        </w:rPr>
        <w:t>；制造商为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（企业名称）</w:t>
      </w:r>
      <w:r>
        <w:rPr>
          <w:rFonts w:hint="eastAsia" w:ascii="宋体" w:hAnsi="宋体" w:eastAsia="宋体" w:cs="宋体"/>
          <w:color w:val="auto"/>
          <w:kern w:val="0"/>
          <w:sz w:val="28"/>
          <w:szCs w:val="28"/>
          <w:highlight w:val="none"/>
          <w:lang w:val="en-US" w:eastAsia="zh-CN" w:bidi="ar"/>
        </w:rPr>
        <w:t>，从业人员</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人，营业收入为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万元，资产总额为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（中型企业、小型企业、微型企业）</w:t>
      </w:r>
      <w:r>
        <w:rPr>
          <w:rFonts w:hint="eastAsia" w:ascii="宋体" w:hAnsi="宋体" w:eastAsia="宋体" w:cs="宋体"/>
          <w:color w:val="auto"/>
          <w:kern w:val="0"/>
          <w:sz w:val="28"/>
          <w:szCs w:val="28"/>
          <w:highlight w:val="none"/>
          <w:lang w:val="en-US" w:eastAsia="zh-CN" w:bidi="ar"/>
        </w:rPr>
        <w:t>；</w:t>
      </w:r>
    </w:p>
    <w:p w14:paraId="5B80321D">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 xml:space="preserve">…… </w:t>
      </w:r>
    </w:p>
    <w:p w14:paraId="2F4265DD">
      <w:pPr>
        <w:keepNext w:val="0"/>
        <w:keepLines w:val="0"/>
        <w:widowControl/>
        <w:suppressLineNumbers w:val="0"/>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以上企业，不属于大企业的分支机构，不存在控股股东为大企业的情形，也不存在与大企业的负责人为同一人的情形。 </w:t>
      </w:r>
    </w:p>
    <w:p w14:paraId="5C7EED07">
      <w:pPr>
        <w:keepNext w:val="0"/>
        <w:keepLines w:val="0"/>
        <w:widowControl/>
        <w:suppressLineNumbers w:val="0"/>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本企业对上述声明内容的真实性负责。如有虚假，将依法承担相应责任。 </w:t>
      </w:r>
    </w:p>
    <w:p w14:paraId="006574CE">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 xml:space="preserve">企业名称（盖章）： </w:t>
      </w:r>
    </w:p>
    <w:p w14:paraId="6F795ABE">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 xml:space="preserve">日 期： </w:t>
      </w:r>
    </w:p>
    <w:p w14:paraId="67DBC3CD">
      <w:pPr>
        <w:keepNext w:val="0"/>
        <w:keepLines w:val="0"/>
        <w:pageBreakBefore w:val="0"/>
        <w:widowControl w:val="0"/>
        <w:tabs>
          <w:tab w:val="left" w:pos="5527"/>
        </w:tabs>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注：①声明函将可能对外公开，请认真、慎重填写。</w:t>
      </w:r>
    </w:p>
    <w:p w14:paraId="7FEB2CA9">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4"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②从业人员、营业收入、资产总额填报上一年度数据，无上一年度数据的新成立企业可不填报。</w:t>
      </w:r>
    </w:p>
    <w:p w14:paraId="2F13DEC8">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4" w:firstLineChars="200"/>
        <w:textAlignment w:val="auto"/>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③不满足以上条件的供应商，可不提供《中小企业声明函》，声明函所载内容必需真实，如有虚假，将依法承担相应责任，包括取消成交资格等。</w:t>
      </w:r>
    </w:p>
    <w:p w14:paraId="68187529">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4" w:firstLineChars="200"/>
        <w:textAlignment w:val="auto"/>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④.</w:t>
      </w:r>
      <w:r>
        <w:rPr>
          <w:rFonts w:hint="eastAsia" w:ascii="宋体" w:hAnsi="宋体" w:cs="宋体"/>
          <w:b/>
          <w:bCs w:val="0"/>
          <w:color w:val="auto"/>
          <w:kern w:val="2"/>
          <w:sz w:val="24"/>
          <w:szCs w:val="24"/>
          <w:highlight w:val="none"/>
          <w:u w:val="none"/>
          <w:lang w:val="en-US" w:eastAsia="zh-CN" w:bidi="ar-SA"/>
        </w:rPr>
        <w:t>本项目以货物类为主，采购清单中标的物为货物类须在《中小企业声明函》中一一列明，</w:t>
      </w:r>
      <w:r>
        <w:rPr>
          <w:rFonts w:hint="eastAsia" w:ascii="宋体" w:hAnsi="宋体" w:eastAsia="宋体" w:cs="宋体"/>
          <w:b w:val="0"/>
          <w:bCs w:val="0"/>
          <w:color w:val="auto"/>
          <w:kern w:val="0"/>
          <w:sz w:val="24"/>
          <w:szCs w:val="24"/>
          <w:highlight w:val="none"/>
        </w:rPr>
        <w:t>上述“标的名称”</w:t>
      </w:r>
      <w:bookmarkStart w:id="415" w:name="OLE_LINK3"/>
      <w:r>
        <w:rPr>
          <w:rFonts w:hint="eastAsia" w:ascii="宋体" w:hAnsi="宋体" w:eastAsia="宋体" w:cs="宋体"/>
          <w:b w:val="0"/>
          <w:bCs w:val="0"/>
          <w:color w:val="auto"/>
          <w:kern w:val="0"/>
          <w:sz w:val="24"/>
          <w:szCs w:val="24"/>
          <w:highlight w:val="none"/>
          <w:lang w:val="en-US" w:eastAsia="zh-CN"/>
        </w:rPr>
        <w:t>详见第三章 采购清单中明确的</w:t>
      </w:r>
      <w:bookmarkEnd w:id="415"/>
      <w:r>
        <w:rPr>
          <w:rFonts w:hint="eastAsia" w:ascii="宋体" w:hAnsi="宋体" w:eastAsia="宋体" w:cs="宋体"/>
          <w:b w:val="0"/>
          <w:bCs w:val="0"/>
          <w:color w:val="auto"/>
          <w:kern w:val="0"/>
          <w:sz w:val="24"/>
          <w:szCs w:val="24"/>
          <w:highlight w:val="none"/>
          <w:lang w:val="en-US" w:eastAsia="zh-CN"/>
        </w:rPr>
        <w:t>“货物名称”</w:t>
      </w:r>
      <w:r>
        <w:rPr>
          <w:rFonts w:hint="eastAsia" w:ascii="宋体" w:hAnsi="宋体" w:eastAsia="宋体" w:cs="宋体"/>
          <w:b w:val="0"/>
          <w:bCs w:val="0"/>
          <w:color w:val="auto"/>
          <w:kern w:val="0"/>
          <w:sz w:val="24"/>
          <w:szCs w:val="24"/>
          <w:highlight w:val="none"/>
        </w:rPr>
        <w:t>。</w:t>
      </w:r>
    </w:p>
    <w:p w14:paraId="1C1C94F9">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4" w:firstLineChars="200"/>
        <w:textAlignment w:val="auto"/>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⑤</w:t>
      </w:r>
      <w:r>
        <w:rPr>
          <w:rFonts w:hint="eastAsia" w:ascii="宋体" w:hAnsi="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上述“采购文件中明确的所属行业”，</w:t>
      </w:r>
      <w:r>
        <w:rPr>
          <w:rFonts w:hint="eastAsia" w:ascii="宋体" w:hAnsi="宋体" w:eastAsia="宋体" w:cs="宋体"/>
          <w:b w:val="0"/>
          <w:bCs w:val="0"/>
          <w:color w:val="auto"/>
          <w:kern w:val="0"/>
          <w:sz w:val="24"/>
          <w:szCs w:val="24"/>
          <w:highlight w:val="none"/>
          <w:lang w:val="en-US" w:eastAsia="zh-CN"/>
        </w:rPr>
        <w:t>详见第三章 采购清单中明确的</w:t>
      </w:r>
      <w:r>
        <w:rPr>
          <w:rFonts w:hint="eastAsia" w:ascii="宋体" w:hAnsi="宋体" w:eastAsia="宋体" w:cs="宋体"/>
          <w:b w:val="0"/>
          <w:bCs w:val="0"/>
          <w:color w:val="auto"/>
          <w:kern w:val="0"/>
          <w:sz w:val="24"/>
          <w:szCs w:val="24"/>
          <w:highlight w:val="none"/>
        </w:rPr>
        <w:t>“中小企业行业划分”。</w:t>
      </w:r>
    </w:p>
    <w:p w14:paraId="3D6F81CC">
      <w:pPr>
        <w:pStyle w:val="14"/>
        <w:rPr>
          <w:rFonts w:hint="eastAsia" w:eastAsia="宋体"/>
          <w:color w:val="auto"/>
          <w:highlight w:val="none"/>
          <w:lang w:val="en-US" w:eastAsia="zh-CN"/>
        </w:rPr>
      </w:pPr>
      <w:r>
        <w:rPr>
          <w:rFonts w:hint="eastAsia" w:ascii="宋体" w:hAnsi="宋体" w:cs="宋体"/>
          <w:b w:val="0"/>
          <w:bCs w:val="0"/>
          <w:color w:val="auto"/>
          <w:kern w:val="0"/>
          <w:sz w:val="24"/>
          <w:szCs w:val="24"/>
          <w:highlight w:val="none"/>
          <w:lang w:val="en-US" w:eastAsia="zh-CN"/>
        </w:rPr>
        <w:t>⑥</w:t>
      </w:r>
      <w:r>
        <w:rPr>
          <w:rFonts w:hint="eastAsia" w:ascii="宋体" w:hAnsi="宋体" w:cs="宋体"/>
          <w:b/>
          <w:bCs w:val="0"/>
          <w:color w:val="auto"/>
          <w:kern w:val="2"/>
          <w:sz w:val="24"/>
          <w:szCs w:val="24"/>
          <w:highlight w:val="none"/>
          <w:u w:val="none"/>
          <w:lang w:val="en-US" w:eastAsia="zh-CN" w:bidi="ar-SA"/>
        </w:rPr>
        <w:t>在货物采购项目中，货物由中小企业制造，即货物由中小企业生产且使用该中小企业商号或者注册商标，不对其中涉及的工程承建商和服务的承接商作出要求；</w:t>
      </w:r>
    </w:p>
    <w:p w14:paraId="45192202">
      <w:pPr>
        <w:pStyle w:val="23"/>
        <w:keepNext w:val="0"/>
        <w:keepLines w:val="0"/>
        <w:pageBreakBefore w:val="0"/>
        <w:widowControl w:val="0"/>
        <w:tabs>
          <w:tab w:val="left" w:pos="5527"/>
        </w:tabs>
        <w:kinsoku/>
        <w:wordWrap/>
        <w:overflowPunct/>
        <w:topLinePunct w:val="0"/>
        <w:autoSpaceDE/>
        <w:autoSpaceDN/>
        <w:bidi w:val="0"/>
        <w:adjustRightInd/>
        <w:snapToGrid/>
        <w:textAlignment w:val="auto"/>
        <w:outlineLvl w:val="9"/>
        <w:rPr>
          <w:rFonts w:hint="eastAsia" w:ascii="宋体" w:hAnsi="宋体" w:eastAsia="宋体" w:cs="宋体"/>
          <w:bCs/>
          <w:color w:val="auto"/>
          <w:sz w:val="28"/>
          <w:szCs w:val="28"/>
          <w:highlight w:val="none"/>
        </w:rPr>
      </w:pPr>
    </w:p>
    <w:p w14:paraId="24307D26">
      <w:pPr>
        <w:pStyle w:val="23"/>
        <w:tabs>
          <w:tab w:val="left" w:pos="5527"/>
        </w:tabs>
        <w:outlineLvl w:val="9"/>
        <w:rPr>
          <w:rFonts w:hint="eastAsia" w:ascii="宋体" w:hAnsi="宋体" w:eastAsia="宋体" w:cs="宋体"/>
          <w:bCs/>
          <w:color w:val="auto"/>
          <w:sz w:val="28"/>
          <w:szCs w:val="28"/>
          <w:highlight w:val="none"/>
        </w:rPr>
      </w:pPr>
    </w:p>
    <w:p w14:paraId="626A8A00">
      <w:pPr>
        <w:pStyle w:val="23"/>
        <w:tabs>
          <w:tab w:val="left" w:pos="5527"/>
        </w:tabs>
        <w:outlineLvl w:val="9"/>
        <w:rPr>
          <w:rFonts w:hint="eastAsia" w:ascii="宋体" w:hAnsi="宋体" w:eastAsia="宋体" w:cs="宋体"/>
          <w:bCs/>
          <w:color w:val="auto"/>
          <w:sz w:val="28"/>
          <w:szCs w:val="28"/>
          <w:highlight w:val="none"/>
        </w:rPr>
      </w:pPr>
    </w:p>
    <w:p w14:paraId="1D2AB4C7">
      <w:pPr>
        <w:pStyle w:val="23"/>
        <w:tabs>
          <w:tab w:val="left" w:pos="5527"/>
        </w:tabs>
        <w:outlineLvl w:val="9"/>
        <w:rPr>
          <w:rFonts w:hint="eastAsia" w:ascii="宋体" w:hAnsi="宋体" w:eastAsia="宋体" w:cs="宋体"/>
          <w:bCs/>
          <w:color w:val="auto"/>
          <w:sz w:val="28"/>
          <w:szCs w:val="28"/>
          <w:highlight w:val="none"/>
        </w:rPr>
      </w:pPr>
    </w:p>
    <w:p w14:paraId="135448A0">
      <w:pPr>
        <w:pStyle w:val="23"/>
        <w:tabs>
          <w:tab w:val="left" w:pos="5527"/>
        </w:tabs>
        <w:outlineLvl w:val="9"/>
        <w:rPr>
          <w:rFonts w:hint="eastAsia" w:ascii="宋体" w:hAnsi="宋体" w:eastAsia="宋体" w:cs="宋体"/>
          <w:bCs/>
          <w:color w:val="auto"/>
          <w:sz w:val="28"/>
          <w:szCs w:val="28"/>
          <w:highlight w:val="none"/>
        </w:rPr>
      </w:pPr>
    </w:p>
    <w:p w14:paraId="005E082F">
      <w:pPr>
        <w:pStyle w:val="23"/>
        <w:tabs>
          <w:tab w:val="left" w:pos="5527"/>
        </w:tabs>
        <w:outlineLvl w:val="9"/>
        <w:rPr>
          <w:rFonts w:hint="eastAsia" w:ascii="宋体" w:hAnsi="宋体" w:eastAsia="宋体" w:cs="宋体"/>
          <w:bCs/>
          <w:color w:val="auto"/>
          <w:sz w:val="28"/>
          <w:szCs w:val="28"/>
          <w:highlight w:val="none"/>
        </w:rPr>
      </w:pPr>
    </w:p>
    <w:p w14:paraId="15207330">
      <w:pPr>
        <w:pStyle w:val="23"/>
        <w:tabs>
          <w:tab w:val="left" w:pos="5527"/>
        </w:tabs>
        <w:outlineLvl w:val="9"/>
        <w:rPr>
          <w:rFonts w:hint="eastAsia" w:ascii="宋体" w:hAnsi="宋体" w:eastAsia="宋体" w:cs="宋体"/>
          <w:bCs/>
          <w:color w:val="auto"/>
          <w:sz w:val="28"/>
          <w:szCs w:val="28"/>
          <w:highlight w:val="none"/>
        </w:rPr>
      </w:pPr>
    </w:p>
    <w:p w14:paraId="41861405">
      <w:pPr>
        <w:pStyle w:val="23"/>
        <w:tabs>
          <w:tab w:val="left" w:pos="5527"/>
        </w:tabs>
        <w:outlineLvl w:val="9"/>
        <w:rPr>
          <w:rFonts w:hint="eastAsia" w:ascii="宋体" w:hAnsi="宋体" w:eastAsia="宋体" w:cs="宋体"/>
          <w:bCs/>
          <w:color w:val="auto"/>
          <w:sz w:val="28"/>
          <w:szCs w:val="28"/>
          <w:highlight w:val="none"/>
        </w:rPr>
      </w:pPr>
    </w:p>
    <w:p w14:paraId="10C8D3AF">
      <w:pPr>
        <w:pStyle w:val="23"/>
        <w:tabs>
          <w:tab w:val="left" w:pos="5527"/>
        </w:tabs>
        <w:outlineLvl w:val="9"/>
        <w:rPr>
          <w:rFonts w:hint="eastAsia" w:ascii="宋体" w:hAnsi="宋体" w:eastAsia="宋体" w:cs="宋体"/>
          <w:bCs/>
          <w:color w:val="auto"/>
          <w:sz w:val="28"/>
          <w:szCs w:val="28"/>
          <w:highlight w:val="none"/>
        </w:rPr>
      </w:pPr>
    </w:p>
    <w:p w14:paraId="5FB37FD8">
      <w:pPr>
        <w:pStyle w:val="23"/>
        <w:tabs>
          <w:tab w:val="left" w:pos="5527"/>
        </w:tabs>
        <w:outlineLvl w:val="9"/>
        <w:rPr>
          <w:rFonts w:hint="eastAsia" w:ascii="宋体" w:hAnsi="宋体" w:eastAsia="宋体" w:cs="宋体"/>
          <w:bCs/>
          <w:color w:val="auto"/>
          <w:sz w:val="28"/>
          <w:szCs w:val="28"/>
          <w:highlight w:val="none"/>
        </w:rPr>
      </w:pPr>
    </w:p>
    <w:p w14:paraId="57FBBEED">
      <w:pPr>
        <w:pStyle w:val="23"/>
        <w:tabs>
          <w:tab w:val="left" w:pos="5527"/>
        </w:tabs>
        <w:outlineLvl w:val="9"/>
        <w:rPr>
          <w:rFonts w:hint="eastAsia" w:ascii="宋体" w:hAnsi="宋体" w:eastAsia="宋体" w:cs="宋体"/>
          <w:bCs/>
          <w:color w:val="auto"/>
          <w:sz w:val="28"/>
          <w:szCs w:val="28"/>
          <w:highlight w:val="none"/>
        </w:rPr>
      </w:pPr>
    </w:p>
    <w:p w14:paraId="3D5B6D13">
      <w:pPr>
        <w:pStyle w:val="23"/>
        <w:tabs>
          <w:tab w:val="left" w:pos="5527"/>
        </w:tabs>
        <w:outlineLvl w:val="9"/>
        <w:rPr>
          <w:rFonts w:hint="eastAsia" w:ascii="宋体" w:hAnsi="宋体" w:eastAsia="宋体" w:cs="宋体"/>
          <w:bCs/>
          <w:color w:val="auto"/>
          <w:sz w:val="28"/>
          <w:szCs w:val="28"/>
          <w:highlight w:val="none"/>
        </w:rPr>
      </w:pPr>
    </w:p>
    <w:p w14:paraId="408F313C">
      <w:pPr>
        <w:pStyle w:val="23"/>
        <w:tabs>
          <w:tab w:val="left" w:pos="5527"/>
        </w:tabs>
        <w:outlineLvl w:val="9"/>
        <w:rPr>
          <w:rFonts w:hint="eastAsia" w:ascii="宋体" w:hAnsi="宋体" w:eastAsia="宋体" w:cs="宋体"/>
          <w:bCs/>
          <w:color w:val="auto"/>
          <w:sz w:val="28"/>
          <w:szCs w:val="28"/>
          <w:highlight w:val="none"/>
        </w:rPr>
      </w:pPr>
    </w:p>
    <w:p w14:paraId="324B2F41">
      <w:pPr>
        <w:pStyle w:val="23"/>
        <w:tabs>
          <w:tab w:val="left" w:pos="5527"/>
        </w:tabs>
        <w:outlineLvl w:val="9"/>
        <w:rPr>
          <w:rFonts w:hint="eastAsia" w:ascii="宋体" w:hAnsi="宋体" w:eastAsia="宋体" w:cs="宋体"/>
          <w:bCs/>
          <w:color w:val="auto"/>
          <w:sz w:val="28"/>
          <w:szCs w:val="28"/>
          <w:highlight w:val="none"/>
        </w:rPr>
      </w:pPr>
    </w:p>
    <w:p w14:paraId="0476DDA8">
      <w:pPr>
        <w:pStyle w:val="23"/>
        <w:tabs>
          <w:tab w:val="left" w:pos="5527"/>
        </w:tabs>
        <w:ind w:left="0" w:leftChars="0" w:firstLine="0" w:firstLineChars="0"/>
        <w:outlineLvl w:val="9"/>
        <w:rPr>
          <w:rFonts w:hint="eastAsia" w:ascii="宋体" w:hAnsi="宋体" w:eastAsia="宋体" w:cs="宋体"/>
          <w:bCs/>
          <w:color w:val="auto"/>
          <w:sz w:val="28"/>
          <w:szCs w:val="28"/>
          <w:highlight w:val="none"/>
        </w:rPr>
      </w:pPr>
    </w:p>
    <w:p w14:paraId="43878E64">
      <w:pPr>
        <w:pStyle w:val="24"/>
        <w:tabs>
          <w:tab w:val="left" w:pos="5527"/>
        </w:tabs>
        <w:spacing w:line="360" w:lineRule="auto"/>
        <w:outlineLvl w:val="9"/>
        <w:rPr>
          <w:rFonts w:hint="eastAsia" w:ascii="宋体" w:hAnsi="宋体" w:eastAsia="宋体" w:cs="宋体"/>
          <w:color w:val="auto"/>
          <w:sz w:val="28"/>
          <w:szCs w:val="36"/>
          <w:highlight w:val="none"/>
        </w:rPr>
      </w:pPr>
      <w:bookmarkStart w:id="416" w:name="_Toc29607"/>
      <w:r>
        <w:rPr>
          <w:rStyle w:val="39"/>
          <w:rFonts w:hint="eastAsia" w:ascii="宋体" w:hAnsi="宋体" w:eastAsia="宋体" w:cs="宋体"/>
          <w:color w:val="auto"/>
          <w:sz w:val="32"/>
          <w:szCs w:val="28"/>
          <w:highlight w:val="none"/>
          <w:lang w:val="en-US" w:eastAsia="zh-CN"/>
        </w:rPr>
        <w:br w:type="page"/>
      </w:r>
      <w:bookmarkStart w:id="417" w:name="_Toc6305"/>
      <w:bookmarkStart w:id="418" w:name="_Toc31715"/>
      <w:bookmarkStart w:id="419" w:name="_Toc8596"/>
      <w:bookmarkStart w:id="420" w:name="_Toc26530"/>
      <w:bookmarkStart w:id="421" w:name="_Toc8595"/>
      <w:bookmarkStart w:id="422" w:name="_Toc28333"/>
      <w:r>
        <w:rPr>
          <w:rStyle w:val="39"/>
          <w:rFonts w:hint="eastAsia" w:ascii="宋体" w:hAnsi="宋体" w:eastAsia="宋体" w:cs="宋体"/>
          <w:b/>
          <w:bCs/>
          <w:color w:val="auto"/>
          <w:sz w:val="32"/>
          <w:szCs w:val="28"/>
          <w:highlight w:val="none"/>
          <w:lang w:val="en-US" w:eastAsia="zh-CN"/>
        </w:rPr>
        <w:t>附件15：</w:t>
      </w:r>
      <w:bookmarkEnd w:id="417"/>
      <w:bookmarkEnd w:id="418"/>
      <w:bookmarkEnd w:id="419"/>
      <w:bookmarkEnd w:id="420"/>
      <w:bookmarkEnd w:id="421"/>
      <w:bookmarkEnd w:id="422"/>
    </w:p>
    <w:bookmarkEnd w:id="416"/>
    <w:p w14:paraId="1FB6F6BA">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423" w:name="_Toc9420"/>
      <w:bookmarkStart w:id="424" w:name="_Toc10706"/>
      <w:bookmarkStart w:id="425" w:name="_Toc14590"/>
      <w:bookmarkStart w:id="426" w:name="_Toc29487"/>
      <w:r>
        <w:rPr>
          <w:rFonts w:hint="eastAsia" w:ascii="宋体" w:hAnsi="宋体" w:eastAsia="宋体" w:cs="宋体"/>
          <w:b/>
          <w:bCs/>
          <w:color w:val="auto"/>
          <w:kern w:val="2"/>
          <w:sz w:val="32"/>
          <w:szCs w:val="21"/>
          <w:highlight w:val="none"/>
          <w:lang w:val="en-US" w:eastAsia="zh-CN"/>
        </w:rPr>
        <w:t>要求提供的其它材料以及供应商认为需要提交的材料</w:t>
      </w:r>
      <w:bookmarkEnd w:id="259"/>
      <w:bookmarkEnd w:id="260"/>
      <w:bookmarkEnd w:id="261"/>
      <w:bookmarkEnd w:id="423"/>
      <w:bookmarkEnd w:id="424"/>
      <w:bookmarkEnd w:id="425"/>
      <w:bookmarkEnd w:id="426"/>
    </w:p>
    <w:p w14:paraId="69A00B08">
      <w:pPr>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br w:type="page"/>
      </w:r>
    </w:p>
    <w:p w14:paraId="704FE1BE">
      <w:pPr>
        <w:spacing w:before="154" w:line="360" w:lineRule="auto"/>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pacing w:val="10"/>
          <w:position w:val="-2"/>
          <w:sz w:val="32"/>
          <w:szCs w:val="32"/>
          <w:highlight w:val="none"/>
        </w:rPr>
        <w:t>政府采购活动现场确认声明书</w:t>
      </w:r>
    </w:p>
    <w:p w14:paraId="5D54BB6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新疆德泰工程项目管理服务有限公司 :</w:t>
      </w:r>
    </w:p>
    <w:p w14:paraId="0CCDDA1F">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（授权代表姓名），经由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（法定代表人姓名）合法授权参加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项目名称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编号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）政府采购活动．经与本单位法人代表（负责人）联系确认，现就有关公平竞争事项郑重声明如下:</w:t>
      </w:r>
    </w:p>
    <w:p w14:paraId="643EA92F">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一、本单位与采购人之间口不存在利害关系口存在下列利害关系:</w:t>
      </w:r>
    </w:p>
    <w:p w14:paraId="13A15FFB">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A．投资关系</w:t>
      </w:r>
    </w:p>
    <w:p w14:paraId="746AF46E">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行政隶属关系</w:t>
      </w:r>
    </w:p>
    <w:p w14:paraId="6CB7A6C9">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C．业务指导关系</w:t>
      </w:r>
    </w:p>
    <w:p w14:paraId="1A21DB99">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D．其他可能影响采购公正的利害关系（如有，请如实说明）。</w:t>
      </w:r>
    </w:p>
    <w:p w14:paraId="45E2685A">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二、现己清楚知道参加本项目采购活动的其他所有供应商名称，本单位</w:t>
      </w:r>
    </w:p>
    <w:p w14:paraId="5A3AD2D3">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口</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与其他所有供应商之间均不存在利害关系</w:t>
      </w:r>
    </w:p>
    <w:p w14:paraId="747AA195">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口</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（供应商名称）之间存在下列利害关系:</w:t>
      </w:r>
    </w:p>
    <w:p w14:paraId="4245F55B">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A．法定代表人或负责人或实际控制人是同一人</w:t>
      </w:r>
    </w:p>
    <w:p w14:paraId="09EDC98C">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B．法定代表人或负责人或实际控制人是夫妻关系</w:t>
      </w:r>
    </w:p>
    <w:p w14:paraId="6C84BD47">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C．法定代表人或负责人或实际控制人是直系血亲关系</w:t>
      </w:r>
    </w:p>
    <w:p w14:paraId="3FB37EDD">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D．法定代表人或负责人或实际控制人存在三代以内旁系血亲关系</w:t>
      </w:r>
    </w:p>
    <w:p w14:paraId="65CED0D8">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E．法定代表人或负责人或实际控制人存在近姻亲关系</w:t>
      </w:r>
    </w:p>
    <w:p w14:paraId="761E4ADD">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F．法定代表人或负责人或实际控制人存在股份控制或实际控制关系</w:t>
      </w:r>
    </w:p>
    <w:p w14:paraId="085F5431">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G．存在共同直接或间接投资设立子公司、联营企业和合营企业情况</w:t>
      </w:r>
    </w:p>
    <w:p w14:paraId="11844667">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H．存在分级代理或代销关系、同一生产制造商关系、管理关系、重要业务（ 占主营业务收入 50 % 以上）或重要财务往来关系（如融资）等其他实质性控制关系</w:t>
      </w:r>
    </w:p>
    <w:p w14:paraId="2DEBAA63">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I．其他利害关系情况</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4D7DC7F">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三、现己清楚知道并严格遵守政府采购法律法规和现场纪律。</w:t>
      </w:r>
    </w:p>
    <w:p w14:paraId="49391B94">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四、我发现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供应商之间存在或可能存在上述第二条第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项利害关系。</w:t>
      </w:r>
    </w:p>
    <w:p w14:paraId="28B00B0B">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供应商代表签名：</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日</w:t>
      </w:r>
    </w:p>
    <w:sectPr>
      <w:footerReference r:id="rId21" w:type="first"/>
      <w:headerReference r:id="rId19" w:type="default"/>
      <w:footerReference r:id="rId20" w:type="default"/>
      <w:pgSz w:w="11906" w:h="16838"/>
      <w:pgMar w:top="1417" w:right="1701" w:bottom="1417" w:left="1701" w:header="851" w:footer="850" w:gutter="0"/>
      <w:pgBorders>
        <w:top w:val="none" w:sz="0" w:space="0"/>
        <w:left w:val="none" w:sz="0" w:space="0"/>
        <w:bottom w:val="none" w:sz="0" w:space="0"/>
        <w:right w:val="none" w:sz="0" w:space="0"/>
      </w:pgBorders>
      <w:pgNumType w:fmt="numberInDash"/>
      <w:cols w:space="0" w:num="1"/>
      <w:rtlGutter w:val="0"/>
      <w:docGrid w:type="linesAndChars" w:linePitch="312" w:charSpace="5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Verdana">
    <w:panose1 w:val="020B0604030504040204"/>
    <w:charset w:val="00"/>
    <w:family w:val="auto"/>
    <w:pitch w:val="default"/>
    <w:sig w:usb0="A00006FF" w:usb1="4000205B" w:usb2="00000010" w:usb3="00000000" w:csb0="2000019F" w:csb1="00000000"/>
  </w:font>
  <w:font w:name="新宋体">
    <w:panose1 w:val="02010609030101010101"/>
    <w:charset w:val="86"/>
    <w:family w:val="auto"/>
    <w:pitch w:val="default"/>
    <w:sig w:usb0="00000203" w:usb1="288F0000" w:usb2="00000006" w:usb3="00000000" w:csb0="00040001"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82BD1">
    <w:pPr>
      <w:pStyle w:val="20"/>
      <w:pBdr>
        <w:bottom w:val="dashDotStroked" w:color="auto" w:sz="24" w:space="1"/>
      </w:pBdr>
      <w:rPr>
        <w:rFonts w:hint="eastAsia" w:ascii="宋体" w:hAnsi="宋体" w:eastAsia="宋体" w:cs="宋体"/>
      </w:rPr>
    </w:pPr>
  </w:p>
  <w:p w14:paraId="46473BE6">
    <w:pPr>
      <w:pStyle w:val="19"/>
      <w:jc w:val="right"/>
      <w:rPr>
        <w:rFonts w:hint="eastAsia" w:ascii="宋体" w:hAnsi="宋体" w:eastAsia="宋体" w:cs="宋体"/>
        <w:lang w:val="en-US" w:eastAsia="zh-CN"/>
      </w:rPr>
    </w:pP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18"/>
        <w:szCs w:val="18"/>
        <w:lang w:val="en-US" w:eastAsia="zh-CN"/>
      </w:rPr>
      <w:t>编制</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2EDD7">
    <w:pPr>
      <w:pStyle w:val="20"/>
      <w:pBdr>
        <w:bottom w:val="dashDotStroked" w:color="auto" w:sz="24" w:space="1"/>
      </w:pBdr>
    </w:pPr>
    <w:r>
      <w:rPr>
        <w:sz w:val="18"/>
      </w:rPr>
      <mc:AlternateContent>
        <mc:Choice Requires="wps">
          <w:drawing>
            <wp:anchor distT="0" distB="0" distL="114300" distR="114300" simplePos="0" relativeHeight="251663360" behindDoc="0" locked="0" layoutInCell="1" allowOverlap="1">
              <wp:simplePos x="0" y="0"/>
              <wp:positionH relativeFrom="margin">
                <wp:posOffset>2611120</wp:posOffset>
              </wp:positionH>
              <wp:positionV relativeFrom="paragraph">
                <wp:posOffset>137795</wp:posOffset>
              </wp:positionV>
              <wp:extent cx="189865" cy="219075"/>
              <wp:effectExtent l="0" t="0" r="0" b="0"/>
              <wp:wrapNone/>
              <wp:docPr id="7" name="文本框 7"/>
              <wp:cNvGraphicFramePr/>
              <a:graphic xmlns:a="http://schemas.openxmlformats.org/drawingml/2006/main">
                <a:graphicData uri="http://schemas.microsoft.com/office/word/2010/wordprocessingShape">
                  <wps:wsp>
                    <wps:cNvSpPr txBox="1"/>
                    <wps:spPr>
                      <a:xfrm flipV="1">
                        <a:off x="0" y="0"/>
                        <a:ext cx="189865" cy="219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A2421">
                          <w:pPr>
                            <w:pStyle w:val="19"/>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y;margin-left:205.6pt;margin-top:10.85pt;height:17.25pt;width:14.95pt;mso-position-horizontal-relative:margin;z-index:251663360;mso-width-relative:page;mso-height-relative:page;" filled="f" stroked="f" coordsize="21600,21600" o:gfxdata="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An1L3YAAAACQEAAA8AAAAAAAAAAQAgAAAAIgAAAGRy&#10;cy9kb3ducmV2LnhtbFBLAQIUABQAAAAIAIdO4kB8UN9BPgIAAGsEAAAOAAAAAAAAAAEAIAAAACcB&#10;AABkcnMvZTJvRG9jLnhtbFBLBQYAAAAABgAGAFkBAADXBQAAAAA=&#10;">
              <v:fill on="f" focussize="0,0"/>
              <v:stroke on="f" weight="0.5pt"/>
              <v:imagedata o:title=""/>
              <o:lock v:ext="edit" aspectratio="f"/>
              <v:textbox inset="0mm,0mm,0mm,0mm">
                <w:txbxContent>
                  <w:p w14:paraId="509A2421">
                    <w:pPr>
                      <w:pStyle w:val="19"/>
                    </w:pPr>
                    <w:r>
                      <w:fldChar w:fldCharType="begin"/>
                    </w:r>
                    <w:r>
                      <w:instrText xml:space="preserve"> PAGE  \* MERGEFORMAT </w:instrText>
                    </w:r>
                    <w:r>
                      <w:fldChar w:fldCharType="separate"/>
                    </w:r>
                    <w:r>
                      <w:t>126</w:t>
                    </w:r>
                    <w:r>
                      <w:fldChar w:fldCharType="end"/>
                    </w:r>
                  </w:p>
                </w:txbxContent>
              </v:textbox>
            </v:shape>
          </w:pict>
        </mc:Fallback>
      </mc:AlternateContent>
    </w:r>
  </w:p>
  <w:p w14:paraId="35A374B9">
    <w:pPr>
      <w:pStyle w:val="19"/>
      <w:jc w:val="right"/>
    </w:pPr>
    <w:r>
      <w:rPr>
        <w:rFonts w:hint="eastAsia" w:ascii="仿宋" w:hAnsi="仿宋" w:eastAsia="仿宋" w:cs="仿宋"/>
        <w:b/>
        <w:bCs/>
        <w:sz w:val="18"/>
        <w:szCs w:val="18"/>
        <w:lang w:eastAsia="zh-CN"/>
      </w:rPr>
      <w:t>新疆德泰</w:t>
    </w:r>
    <w:r>
      <w:rPr>
        <w:rFonts w:hint="eastAsia" w:ascii="仿宋" w:hAnsi="仿宋" w:eastAsia="仿宋" w:cs="仿宋"/>
        <w:b/>
        <w:bCs/>
        <w:sz w:val="18"/>
        <w:szCs w:val="18"/>
      </w:rPr>
      <w:t>工程项目管理服务有限公司</w:t>
    </w:r>
    <w:r>
      <w:rPr>
        <w:rFonts w:hint="eastAsia" w:ascii="仿宋" w:hAnsi="仿宋" w:eastAsia="仿宋" w:cs="仿宋"/>
        <w:b/>
        <w:bCs/>
        <w:sz w:val="18"/>
        <w:szCs w:val="18"/>
        <w:lang w:val="en-US" w:eastAsia="zh-CN"/>
      </w:rPr>
      <w:t>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3F1F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8CE8A">
    <w:pPr>
      <w:pStyle w:val="20"/>
      <w:pBdr>
        <w:bottom w:val="dashDotStroked" w:color="auto" w:sz="24" w:space="1"/>
      </w:pBd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4B050">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964B050">
                    <w:pPr>
                      <w:pStyle w:val="19"/>
                    </w:pPr>
                    <w:r>
                      <w:fldChar w:fldCharType="begin"/>
                    </w:r>
                    <w:r>
                      <w:instrText xml:space="preserve"> PAGE  \* MERGEFORMAT </w:instrText>
                    </w:r>
                    <w:r>
                      <w:fldChar w:fldCharType="separate"/>
                    </w:r>
                    <w:r>
                      <w:t>2</w:t>
                    </w:r>
                    <w:r>
                      <w:fldChar w:fldCharType="end"/>
                    </w:r>
                  </w:p>
                </w:txbxContent>
              </v:textbox>
            </v:shape>
          </w:pict>
        </mc:Fallback>
      </mc:AlternateContent>
    </w:r>
  </w:p>
  <w:p w14:paraId="15B19760">
    <w:pPr>
      <w:pStyle w:val="19"/>
      <w:jc w:val="right"/>
    </w:pPr>
    <w:r>
      <w:rPr>
        <w:rFonts w:hint="eastAsia" w:ascii="仿宋" w:hAnsi="仿宋" w:eastAsia="仿宋" w:cs="仿宋"/>
        <w:b/>
        <w:bCs/>
        <w:sz w:val="18"/>
        <w:szCs w:val="18"/>
        <w:lang w:eastAsia="zh-CN"/>
      </w:rPr>
      <w:t>新疆德泰工程项目管理服务有限公司</w:t>
    </w:r>
    <w:r>
      <w:rPr>
        <w:rFonts w:hint="eastAsia" w:ascii="仿宋" w:hAnsi="仿宋" w:eastAsia="仿宋" w:cs="仿宋"/>
        <w:b/>
        <w:bCs/>
        <w:sz w:val="18"/>
        <w:szCs w:val="18"/>
        <w:lang w:val="en-US" w:eastAsia="zh-CN"/>
      </w:rPr>
      <w:t>编制</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0A378">
    <w:pPr>
      <w:pStyle w:val="20"/>
      <w:pBdr>
        <w:bottom w:val="dashDotStroked" w:color="auto" w:sz="24" w:space="1"/>
      </w:pBd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99BE2">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7299BE2">
                    <w:pPr>
                      <w:pStyle w:val="19"/>
                    </w:pPr>
                    <w:r>
                      <w:fldChar w:fldCharType="begin"/>
                    </w:r>
                    <w:r>
                      <w:instrText xml:space="preserve"> PAGE  \* MERGEFORMAT </w:instrText>
                    </w:r>
                    <w:r>
                      <w:fldChar w:fldCharType="separate"/>
                    </w:r>
                    <w:r>
                      <w:t>1</w:t>
                    </w:r>
                    <w:r>
                      <w:fldChar w:fldCharType="end"/>
                    </w:r>
                  </w:p>
                </w:txbxContent>
              </v:textbox>
            </v:shape>
          </w:pict>
        </mc:Fallback>
      </mc:AlternateContent>
    </w:r>
  </w:p>
  <w:p w14:paraId="4A621A58">
    <w:pPr>
      <w:pStyle w:val="19"/>
      <w:jc w:val="right"/>
      <w:rPr>
        <w:rFonts w:hint="eastAsia" w:eastAsia="仿宋"/>
        <w:lang w:val="en-US" w:eastAsia="zh-CN"/>
      </w:rPr>
    </w:pPr>
    <w:r>
      <w:rPr>
        <w:rFonts w:hint="eastAsia" w:ascii="仿宋" w:hAnsi="仿宋" w:eastAsia="仿宋" w:cs="仿宋"/>
        <w:b/>
        <w:bCs/>
        <w:sz w:val="18"/>
        <w:szCs w:val="18"/>
        <w:lang w:eastAsia="zh-CN"/>
      </w:rPr>
      <w:t xml:space="preserve">新疆德泰工程项目管理服务有限公司 </w:t>
    </w:r>
    <w:r>
      <w:rPr>
        <w:rFonts w:hint="eastAsia" w:ascii="仿宋" w:hAnsi="仿宋" w:eastAsia="仿宋" w:cs="仿宋"/>
        <w:b/>
        <w:bCs/>
        <w:sz w:val="18"/>
        <w:szCs w:val="18"/>
        <w:lang w:val="en-US" w:eastAsia="zh-CN"/>
      </w:rPr>
      <w:t>编制</w:t>
    </w:r>
  </w:p>
  <w:p w14:paraId="36BF00EC">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9003E">
    <w:pPr>
      <w:pStyle w:val="20"/>
      <w:pBdr>
        <w:bottom w:val="dashDotStroked" w:color="auto" w:sz="24" w:space="1"/>
      </w:pBd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1BC34">
                          <w:pPr>
                            <w:pStyle w:val="19"/>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9A1BC34">
                    <w:pPr>
                      <w:pStyle w:val="19"/>
                    </w:pPr>
                    <w:r>
                      <w:fldChar w:fldCharType="begin"/>
                    </w:r>
                    <w:r>
                      <w:instrText xml:space="preserve"> PAGE  \* MERGEFORMAT </w:instrText>
                    </w:r>
                    <w:r>
                      <w:fldChar w:fldCharType="separate"/>
                    </w:r>
                    <w:r>
                      <w:t>146</w:t>
                    </w:r>
                    <w:r>
                      <w:fldChar w:fldCharType="end"/>
                    </w:r>
                  </w:p>
                </w:txbxContent>
              </v:textbox>
            </v:shape>
          </w:pict>
        </mc:Fallback>
      </mc:AlternateContent>
    </w:r>
  </w:p>
  <w:p w14:paraId="7901B353">
    <w:pPr>
      <w:pStyle w:val="19"/>
      <w:jc w:val="right"/>
    </w:pPr>
    <w:r>
      <w:rPr>
        <w:rFonts w:hint="eastAsia" w:ascii="仿宋" w:hAnsi="仿宋" w:eastAsia="仿宋" w:cs="仿宋"/>
        <w:b/>
        <w:bCs/>
        <w:sz w:val="18"/>
        <w:szCs w:val="18"/>
        <w:lang w:eastAsia="zh-CN"/>
      </w:rPr>
      <w:t xml:space="preserve">新疆德泰工程项目管理服务有限公司 </w:t>
    </w:r>
    <w:r>
      <w:rPr>
        <w:rFonts w:hint="eastAsia" w:ascii="仿宋" w:hAnsi="仿宋" w:eastAsia="仿宋" w:cs="仿宋"/>
        <w:b/>
        <w:bCs/>
        <w:sz w:val="18"/>
        <w:szCs w:val="18"/>
        <w:lang w:val="en-US" w:eastAsia="zh-CN"/>
      </w:rPr>
      <w:t>编制</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ED037">
    <w:pPr>
      <w:pStyle w:val="20"/>
      <w:pBdr>
        <w:bottom w:val="dashDotStroked" w:color="auto" w:sz="24" w:space="1"/>
      </w:pBd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17609">
                          <w:pPr>
                            <w:pStyle w:val="19"/>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6117609">
                    <w:pPr>
                      <w:pStyle w:val="19"/>
                    </w:pPr>
                    <w:r>
                      <w:fldChar w:fldCharType="begin"/>
                    </w:r>
                    <w:r>
                      <w:instrText xml:space="preserve"> PAGE  \* MERGEFORMAT </w:instrText>
                    </w:r>
                    <w:r>
                      <w:fldChar w:fldCharType="separate"/>
                    </w:r>
                    <w:r>
                      <w:t>145</w:t>
                    </w:r>
                    <w:r>
                      <w:fldChar w:fldCharType="end"/>
                    </w:r>
                  </w:p>
                </w:txbxContent>
              </v:textbox>
            </v:shape>
          </w:pict>
        </mc:Fallback>
      </mc:AlternateContent>
    </w:r>
  </w:p>
  <w:p w14:paraId="05C8D936">
    <w:pPr>
      <w:pStyle w:val="19"/>
      <w:jc w:val="right"/>
    </w:pPr>
    <w:r>
      <w:rPr>
        <w:rFonts w:hint="eastAsia" w:ascii="仿宋" w:hAnsi="仿宋" w:eastAsia="仿宋" w:cs="仿宋"/>
        <w:b/>
        <w:bCs/>
        <w:sz w:val="18"/>
        <w:szCs w:val="18"/>
        <w:lang w:eastAsia="zh-CN"/>
      </w:rPr>
      <w:t xml:space="preserve">新疆德泰工程项目管理服务有限公司 </w:t>
    </w:r>
    <w:r>
      <w:rPr>
        <w:rFonts w:hint="eastAsia" w:ascii="仿宋" w:hAnsi="仿宋" w:eastAsia="仿宋" w:cs="仿宋"/>
        <w:b/>
        <w:bCs/>
        <w:sz w:val="18"/>
        <w:szCs w:val="18"/>
        <w:lang w:val="en-US" w:eastAsia="zh-CN"/>
      </w:rPr>
      <w:t>编制</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AB4D7">
    <w:pPr>
      <w:pStyle w:val="20"/>
      <w:pBdr>
        <w:bottom w:val="dashDotStroked" w:color="auto" w:sz="24" w:space="1"/>
      </w:pBdr>
      <w:rPr>
        <w:rFonts w:hint="eastAsia" w:ascii="宋体" w:hAnsi="宋体" w:eastAsia="宋体" w:cs="宋体"/>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37AF8">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6B37AF8">
                    <w:pPr>
                      <w:pStyle w:val="19"/>
                    </w:pPr>
                    <w:r>
                      <w:fldChar w:fldCharType="begin"/>
                    </w:r>
                    <w:r>
                      <w:instrText xml:space="preserve"> PAGE  \* MERGEFORMAT </w:instrText>
                    </w:r>
                    <w:r>
                      <w:fldChar w:fldCharType="separate"/>
                    </w:r>
                    <w:r>
                      <w:t>1</w:t>
                    </w:r>
                    <w:r>
                      <w:fldChar w:fldCharType="end"/>
                    </w:r>
                  </w:p>
                </w:txbxContent>
              </v:textbox>
            </v:shape>
          </w:pict>
        </mc:Fallback>
      </mc:AlternateContent>
    </w:r>
  </w:p>
  <w:p w14:paraId="26E2CE47">
    <w:pPr>
      <w:pStyle w:val="19"/>
      <w:jc w:val="right"/>
      <w:rPr>
        <w:rFonts w:hint="eastAsia" w:ascii="宋体" w:hAnsi="宋体" w:eastAsia="宋体" w:cs="宋体"/>
      </w:rPr>
    </w:pP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18"/>
        <w:szCs w:val="18"/>
        <w:lang w:val="en-US" w:eastAsia="zh-CN"/>
      </w:rPr>
      <w:t>编制</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F5D79">
    <w:pPr>
      <w:pStyle w:val="20"/>
      <w:pBdr>
        <w:bottom w:val="dashDotStroked" w:color="auto" w:sz="24" w:space="1"/>
      </w:pBd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74C1F">
                          <w:pPr>
                            <w:pStyle w:val="19"/>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4D74C1F">
                    <w:pPr>
                      <w:pStyle w:val="19"/>
                    </w:pPr>
                    <w:r>
                      <w:fldChar w:fldCharType="begin"/>
                    </w:r>
                    <w:r>
                      <w:instrText xml:space="preserve"> PAGE  \* MERGEFORMAT </w:instrText>
                    </w:r>
                    <w:r>
                      <w:fldChar w:fldCharType="separate"/>
                    </w:r>
                    <w:r>
                      <w:t>147</w:t>
                    </w:r>
                    <w:r>
                      <w:fldChar w:fldCharType="end"/>
                    </w:r>
                  </w:p>
                </w:txbxContent>
              </v:textbox>
            </v:shape>
          </w:pict>
        </mc:Fallback>
      </mc:AlternateContent>
    </w:r>
  </w:p>
  <w:p w14:paraId="7FB90648">
    <w:pPr>
      <w:pStyle w:val="19"/>
      <w:jc w:val="right"/>
    </w:pPr>
    <w:r>
      <w:rPr>
        <w:rFonts w:hint="eastAsia" w:ascii="仿宋" w:hAnsi="仿宋" w:eastAsia="仿宋" w:cs="仿宋"/>
        <w:b/>
        <w:bCs/>
        <w:sz w:val="18"/>
        <w:szCs w:val="18"/>
        <w:lang w:eastAsia="zh-CN"/>
      </w:rPr>
      <w:t>新疆德泰</w:t>
    </w:r>
    <w:r>
      <w:rPr>
        <w:rFonts w:hint="eastAsia" w:ascii="仿宋" w:hAnsi="仿宋" w:eastAsia="仿宋" w:cs="仿宋"/>
        <w:b/>
        <w:bCs/>
        <w:sz w:val="18"/>
        <w:szCs w:val="18"/>
      </w:rPr>
      <w:t>工程项目管理服务有限公司</w:t>
    </w:r>
    <w:r>
      <w:rPr>
        <w:rFonts w:hint="eastAsia" w:ascii="仿宋" w:hAnsi="仿宋" w:eastAsia="仿宋" w:cs="仿宋"/>
        <w:b/>
        <w:bCs/>
        <w:sz w:val="18"/>
        <w:szCs w:val="18"/>
        <w:lang w:val="en-US" w:eastAsia="zh-CN"/>
      </w:rPr>
      <w:t>编制</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CB97C">
    <w:pPr>
      <w:pStyle w:val="20"/>
      <w:pBdr>
        <w:bottom w:val="dashDotStroked" w:color="auto" w:sz="24" w:space="1"/>
      </w:pBdr>
      <w:rPr>
        <w:rFonts w:hint="eastAsia" w:ascii="宋体" w:hAnsi="宋体" w:eastAsia="宋体" w:cs="宋体"/>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8D996">
                          <w:pPr>
                            <w:pStyle w:val="19"/>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BE8D996">
                    <w:pPr>
                      <w:pStyle w:val="19"/>
                    </w:pPr>
                    <w:r>
                      <w:fldChar w:fldCharType="begin"/>
                    </w:r>
                    <w:r>
                      <w:instrText xml:space="preserve"> PAGE  \* MERGEFORMAT </w:instrText>
                    </w:r>
                    <w:r>
                      <w:fldChar w:fldCharType="separate"/>
                    </w:r>
                    <w:r>
                      <w:t>148</w:t>
                    </w:r>
                    <w:r>
                      <w:fldChar w:fldCharType="end"/>
                    </w:r>
                  </w:p>
                </w:txbxContent>
              </v:textbox>
            </v:shape>
          </w:pict>
        </mc:Fallback>
      </mc:AlternateContent>
    </w:r>
  </w:p>
  <w:p w14:paraId="30984B3F">
    <w:pPr>
      <w:pStyle w:val="19"/>
      <w:jc w:val="right"/>
      <w:rPr>
        <w:rFonts w:hint="eastAsia" w:ascii="宋体" w:hAnsi="宋体" w:eastAsia="宋体" w:cs="宋体"/>
      </w:rPr>
    </w:pP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18"/>
        <w:szCs w:val="18"/>
        <w:lang w:val="en-US" w:eastAsia="zh-CN"/>
      </w:rPr>
      <w:t>编制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E3484">
    <w:pPr>
      <w:pStyle w:val="20"/>
      <w:pBdr>
        <w:bottom w:val="thinThickSmallGap" w:color="auto" w:sz="12" w:space="1"/>
      </w:pBdr>
      <w:ind w:firstLine="723" w:firstLineChars="400"/>
      <w:jc w:val="center"/>
      <w:rPr>
        <w:rFonts w:hint="default" w:ascii="宋体" w:hAnsi="宋体" w:eastAsia="宋体" w:cs="宋体"/>
        <w:sz w:val="21"/>
        <w:szCs w:val="22"/>
        <w:lang w:val="en-US" w:eastAsia="zh-CN"/>
      </w:rPr>
    </w:pPr>
    <w:r>
      <w:rPr>
        <w:rFonts w:hint="eastAsia" w:ascii="宋体" w:hAnsi="宋体" w:eastAsia="宋体" w:cs="宋体"/>
        <w:b/>
        <w:bCs/>
        <w:sz w:val="18"/>
        <w:szCs w:val="18"/>
      </w:rPr>
      <w:drawing>
        <wp:anchor distT="0" distB="0" distL="114300" distR="114300" simplePos="0" relativeHeight="251661312" behindDoc="0" locked="0" layoutInCell="1" allowOverlap="1">
          <wp:simplePos x="0" y="0"/>
          <wp:positionH relativeFrom="column">
            <wp:posOffset>2540</wp:posOffset>
          </wp:positionH>
          <wp:positionV relativeFrom="paragraph">
            <wp:posOffset>-248285</wp:posOffset>
          </wp:positionV>
          <wp:extent cx="539750" cy="431800"/>
          <wp:effectExtent l="0" t="0" r="12700" b="5080"/>
          <wp:wrapSquare wrapText="bothSides"/>
          <wp:docPr id="9" name="图片 1" descr="德泰LOGO"/>
          <wp:cNvGraphicFramePr/>
          <a:graphic xmlns:a="http://schemas.openxmlformats.org/drawingml/2006/main">
            <a:graphicData uri="http://schemas.openxmlformats.org/drawingml/2006/picture">
              <pic:pic xmlns:pic="http://schemas.openxmlformats.org/drawingml/2006/picture">
                <pic:nvPicPr>
                  <pic:cNvPr id="9" name="图片 1" descr="德泰LOGO"/>
                  <pic:cNvPicPr/>
                </pic:nvPicPr>
                <pic:blipFill>
                  <a:blip r:embed="rId1">
                    <a:clrChange>
                      <a:clrFrom>
                        <a:srgbClr val="FFFFFF"/>
                      </a:clrFrom>
                      <a:clrTo>
                        <a:srgbClr val="FFFFFF">
                          <a:alpha val="0"/>
                        </a:srgbClr>
                      </a:clrTo>
                    </a:clrChange>
                  </a:blip>
                  <a:srcRect t="5670" b="17787"/>
                  <a:stretch>
                    <a:fillRect/>
                  </a:stretch>
                </pic:blipFill>
                <pic:spPr>
                  <a:xfrm>
                    <a:off x="0" y="0"/>
                    <a:ext cx="539750" cy="431800"/>
                  </a:xfrm>
                  <a:prstGeom prst="rect">
                    <a:avLst/>
                  </a:prstGeom>
                  <a:noFill/>
                  <a:ln>
                    <a:noFill/>
                  </a:ln>
                </pic:spPr>
              </pic:pic>
            </a:graphicData>
          </a:graphic>
        </wp:anchor>
      </w:drawing>
    </w:r>
    <w:r>
      <w:rPr>
        <w:rFonts w:hint="eastAsia" w:ascii="宋体" w:hAnsi="宋体" w:cs="宋体"/>
        <w:b/>
        <w:bCs/>
        <w:sz w:val="18"/>
        <w:szCs w:val="18"/>
        <w:lang w:val="en-US" w:eastAsia="zh-CN"/>
      </w:rPr>
      <w:t xml:space="preserve"> </w:t>
    </w: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21"/>
        <w:szCs w:val="22"/>
        <w:lang w:val="en-US" w:eastAsia="zh-CN"/>
      </w:rPr>
      <w:t xml:space="preserve">                     </w:t>
    </w:r>
    <w:r>
      <w:rPr>
        <w:rFonts w:hint="eastAsia" w:ascii="宋体" w:hAnsi="宋体" w:cs="宋体"/>
        <w:b/>
        <w:bCs/>
        <w:sz w:val="21"/>
        <w:szCs w:val="22"/>
        <w:lang w:val="en-US" w:eastAsia="zh-CN"/>
      </w:rPr>
      <w:t xml:space="preserve"> </w:t>
    </w:r>
    <w:r>
      <w:rPr>
        <w:rFonts w:hint="eastAsia" w:ascii="宋体" w:hAnsi="宋体" w:eastAsia="宋体" w:cs="宋体"/>
        <w:b/>
        <w:bCs/>
        <w:sz w:val="21"/>
        <w:szCs w:val="22"/>
        <w:lang w:val="en-US" w:eastAsia="zh-CN"/>
      </w:rPr>
      <w:t xml:space="preserve">  </w:t>
    </w:r>
    <w:r>
      <w:rPr>
        <w:rFonts w:hint="eastAsia" w:ascii="宋体" w:hAnsi="宋体" w:eastAsia="宋体" w:cs="宋体"/>
        <w:b/>
        <w:bCs/>
        <w:sz w:val="18"/>
        <w:szCs w:val="18"/>
        <w:lang w:val="en-US" w:eastAsia="zh-CN"/>
      </w:rPr>
      <w:t>联系电话：</w:t>
    </w:r>
    <w:r>
      <w:rPr>
        <w:rFonts w:hint="eastAsia" w:ascii="宋体" w:hAnsi="宋体" w:cs="宋体"/>
        <w:b/>
        <w:bCs/>
        <w:sz w:val="18"/>
        <w:szCs w:val="18"/>
        <w:lang w:val="en-US" w:eastAsia="zh-CN"/>
      </w:rPr>
      <w:t>13070001570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52CE3">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94C81">
    <w:pPr>
      <w:pStyle w:val="20"/>
      <w:pBdr>
        <w:bottom w:val="thinThickSmallGap" w:color="auto" w:sz="12" w:space="1"/>
      </w:pBdr>
      <w:ind w:firstLine="723" w:firstLineChars="400"/>
      <w:jc w:val="lef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5408" behindDoc="0" locked="0" layoutInCell="1" allowOverlap="1">
          <wp:simplePos x="0" y="0"/>
          <wp:positionH relativeFrom="column">
            <wp:posOffset>-16510</wp:posOffset>
          </wp:positionH>
          <wp:positionV relativeFrom="paragraph">
            <wp:posOffset>-267335</wp:posOffset>
          </wp:positionV>
          <wp:extent cx="539750" cy="431800"/>
          <wp:effectExtent l="0" t="0" r="12700" b="6350"/>
          <wp:wrapSquare wrapText="bothSides"/>
          <wp:docPr id="12" name="图片 10"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val="en-US" w:eastAsia="zh-CN"/>
      </w:rPr>
      <w:t xml:space="preserve"> </w:t>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联系电话：13070001570</w:t>
    </w:r>
  </w:p>
  <w:p w14:paraId="5490EDFE">
    <w:pPr>
      <w:pStyle w:val="20"/>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6B4C3">
    <w:pPr>
      <w:pStyle w:val="20"/>
      <w:pBdr>
        <w:bottom w:val="thinThickSmallGap" w:color="auto" w:sz="12" w:space="1"/>
      </w:pBdr>
      <w:ind w:firstLine="723" w:firstLineChars="400"/>
      <w:jc w:val="righ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4384" behindDoc="0" locked="0" layoutInCell="1" allowOverlap="1">
          <wp:simplePos x="0" y="0"/>
          <wp:positionH relativeFrom="column">
            <wp:posOffset>-16510</wp:posOffset>
          </wp:positionH>
          <wp:positionV relativeFrom="paragraph">
            <wp:posOffset>-276860</wp:posOffset>
          </wp:positionV>
          <wp:extent cx="539750" cy="431800"/>
          <wp:effectExtent l="0" t="0" r="12700" b="6350"/>
          <wp:wrapSquare wrapText="bothSides"/>
          <wp:docPr id="5" name="图片 8"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val="en-US" w:eastAsia="zh-CN"/>
      </w:rPr>
      <w:t xml:space="preserve"> </w:t>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联系电话：13070001570</w:t>
    </w:r>
  </w:p>
  <w:p w14:paraId="5401658B">
    <w:pPr>
      <w:pStyle w:val="20"/>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47CB8">
    <w:pPr>
      <w:pStyle w:val="20"/>
      <w:pBdr>
        <w:bottom w:val="thinThickSmallGap" w:color="auto" w:sz="12" w:space="1"/>
      </w:pBdr>
      <w:ind w:firstLine="723" w:firstLineChars="400"/>
      <w:jc w:val="lef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1312" behindDoc="0" locked="0" layoutInCell="1" allowOverlap="1">
          <wp:simplePos x="0" y="0"/>
          <wp:positionH relativeFrom="column">
            <wp:posOffset>-16510</wp:posOffset>
          </wp:positionH>
          <wp:positionV relativeFrom="paragraph">
            <wp:posOffset>-210185</wp:posOffset>
          </wp:positionV>
          <wp:extent cx="539750" cy="431800"/>
          <wp:effectExtent l="0" t="0" r="12700" b="6350"/>
          <wp:wrapSquare wrapText="bothSides"/>
          <wp:docPr id="13" name="图片 14"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联系电话：13070001570</w:t>
    </w:r>
  </w:p>
  <w:p w14:paraId="52F3254A">
    <w:pPr>
      <w:pStyle w:val="20"/>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FA103">
    <w:pPr>
      <w:pStyle w:val="20"/>
      <w:pBdr>
        <w:bottom w:val="thinThickSmallGap" w:color="auto" w:sz="12" w:space="1"/>
      </w:pBdr>
      <w:ind w:firstLine="723" w:firstLineChars="400"/>
      <w:jc w:val="lef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0288" behindDoc="0" locked="0" layoutInCell="1" allowOverlap="1">
          <wp:simplePos x="0" y="0"/>
          <wp:positionH relativeFrom="column">
            <wp:posOffset>-16510</wp:posOffset>
          </wp:positionH>
          <wp:positionV relativeFrom="paragraph">
            <wp:posOffset>-210185</wp:posOffset>
          </wp:positionV>
          <wp:extent cx="539750" cy="431800"/>
          <wp:effectExtent l="0" t="0" r="12700" b="6350"/>
          <wp:wrapSquare wrapText="bothSides"/>
          <wp:docPr id="15" name="图片 12"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联系电话：13070001570</w:t>
    </w:r>
  </w:p>
  <w:p w14:paraId="7EC76304">
    <w:pPr>
      <w:pStyle w:val="20"/>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68DCD">
    <w:pPr>
      <w:pStyle w:val="20"/>
      <w:pBdr>
        <w:bottom w:val="thinThickSmallGap" w:color="auto" w:sz="12" w:space="1"/>
      </w:pBdr>
      <w:ind w:firstLine="723" w:firstLineChars="400"/>
      <w:jc w:val="right"/>
      <w:rPr>
        <w:rFonts w:hint="eastAsia" w:ascii="宋体" w:hAnsi="宋体" w:eastAsia="宋体" w:cs="宋体"/>
        <w:sz w:val="21"/>
        <w:szCs w:val="22"/>
        <w:lang w:val="en-US" w:eastAsia="zh-CN"/>
      </w:rPr>
    </w:pPr>
    <w:r>
      <w:rPr>
        <w:rFonts w:hint="eastAsia" w:ascii="宋体" w:hAnsi="宋体" w:eastAsia="宋体" w:cs="宋体"/>
        <w:b/>
        <w:bCs/>
        <w:sz w:val="18"/>
        <w:szCs w:val="18"/>
      </w:rPr>
      <w:drawing>
        <wp:anchor distT="0" distB="0" distL="114300" distR="114300" simplePos="0" relativeHeight="251661312" behindDoc="0" locked="0" layoutInCell="1" allowOverlap="1">
          <wp:simplePos x="0" y="0"/>
          <wp:positionH relativeFrom="column">
            <wp:posOffset>-16510</wp:posOffset>
          </wp:positionH>
          <wp:positionV relativeFrom="paragraph">
            <wp:posOffset>-238760</wp:posOffset>
          </wp:positionV>
          <wp:extent cx="539750" cy="431800"/>
          <wp:effectExtent l="0" t="0" r="12700" b="5080"/>
          <wp:wrapSquare wrapText="bothSides"/>
          <wp:docPr id="1" name="图片 8" descr="德泰LOGO"/>
          <wp:cNvGraphicFramePr/>
          <a:graphic xmlns:a="http://schemas.openxmlformats.org/drawingml/2006/main">
            <a:graphicData uri="http://schemas.openxmlformats.org/drawingml/2006/picture">
              <pic:pic xmlns:pic="http://schemas.openxmlformats.org/drawingml/2006/picture">
                <pic:nvPicPr>
                  <pic:cNvPr id="1" name="图片 8" descr="德泰LOGO"/>
                  <pic:cNvPicPr/>
                </pic:nvPicPr>
                <pic:blipFill>
                  <a:blip r:embed="rId1">
                    <a:clrChange>
                      <a:clrFrom>
                        <a:srgbClr val="FFFFFF"/>
                      </a:clrFrom>
                      <a:clrTo>
                        <a:srgbClr val="FFFFFF">
                          <a:alpha val="0"/>
                        </a:srgbClr>
                      </a:clrTo>
                    </a:clrChange>
                  </a:blip>
                  <a:srcRect t="5670" b="17787"/>
                  <a:stretch>
                    <a:fillRect/>
                  </a:stretch>
                </pic:blipFill>
                <pic:spPr>
                  <a:xfrm>
                    <a:off x="0" y="0"/>
                    <a:ext cx="539750" cy="431800"/>
                  </a:xfrm>
                  <a:prstGeom prst="rect">
                    <a:avLst/>
                  </a:prstGeom>
                  <a:noFill/>
                  <a:ln>
                    <a:noFill/>
                  </a:ln>
                </pic:spPr>
              </pic:pic>
            </a:graphicData>
          </a:graphic>
        </wp:anchor>
      </w:drawing>
    </w: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21"/>
        <w:szCs w:val="22"/>
        <w:lang w:val="en-US" w:eastAsia="zh-CN"/>
      </w:rPr>
      <w:t xml:space="preserve">                             </w:t>
    </w:r>
    <w:r>
      <w:rPr>
        <w:rFonts w:hint="eastAsia" w:ascii="宋体" w:hAnsi="宋体" w:eastAsia="宋体" w:cs="宋体"/>
        <w:b/>
        <w:bCs/>
        <w:sz w:val="18"/>
        <w:szCs w:val="18"/>
        <w:lang w:val="en-US" w:eastAsia="zh-CN"/>
      </w:rPr>
      <w:t>联系电话：</w:t>
    </w:r>
    <w:r>
      <w:rPr>
        <w:rFonts w:hint="eastAsia" w:ascii="宋体" w:hAnsi="宋体" w:cs="宋体"/>
        <w:b/>
        <w:bCs/>
        <w:sz w:val="18"/>
        <w:szCs w:val="18"/>
        <w:lang w:val="en-US" w:eastAsia="zh-CN"/>
      </w:rPr>
      <w:t>13070001570</w:t>
    </w:r>
  </w:p>
  <w:p w14:paraId="2EDCDD8F">
    <w:pPr>
      <w:pStyle w:val="20"/>
      <w:pBdr>
        <w:bottom w:val="none" w:color="auto" w:sz="0" w:space="1"/>
      </w:pBdr>
      <w:rPr>
        <w:rFonts w:hint="eastAsia" w:ascii="宋体" w:hAnsi="宋体" w:eastAsia="宋体" w:cs="宋体"/>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9D0C8">
    <w:pPr>
      <w:pStyle w:val="20"/>
      <w:pBdr>
        <w:bottom w:val="thinThickSmallGap" w:color="auto" w:sz="12" w:space="1"/>
      </w:pBdr>
      <w:ind w:firstLine="723" w:firstLineChars="400"/>
      <w:jc w:val="righ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2336" behindDoc="0" locked="0" layoutInCell="1" allowOverlap="1">
          <wp:simplePos x="0" y="0"/>
          <wp:positionH relativeFrom="column">
            <wp:posOffset>-16510</wp:posOffset>
          </wp:positionH>
          <wp:positionV relativeFrom="paragraph">
            <wp:posOffset>-238760</wp:posOffset>
          </wp:positionV>
          <wp:extent cx="539750" cy="431800"/>
          <wp:effectExtent l="0" t="0" r="12700" b="5080"/>
          <wp:wrapSquare wrapText="bothSides"/>
          <wp:docPr id="4" name="图片 6" descr="德泰LOGO"/>
          <wp:cNvGraphicFramePr/>
          <a:graphic xmlns:a="http://schemas.openxmlformats.org/drawingml/2006/main">
            <a:graphicData uri="http://schemas.openxmlformats.org/drawingml/2006/picture">
              <pic:pic xmlns:pic="http://schemas.openxmlformats.org/drawingml/2006/picture">
                <pic:nvPicPr>
                  <pic:cNvPr id="4" name="图片 6" descr="德泰LOGO"/>
                  <pic:cNvPicPr/>
                </pic:nvPicPr>
                <pic:blipFill>
                  <a:blip r:embed="rId1">
                    <a:clrChange>
                      <a:clrFrom>
                        <a:srgbClr val="FFFFFF"/>
                      </a:clrFrom>
                      <a:clrTo>
                        <a:srgbClr val="FFFFFF">
                          <a:alpha val="0"/>
                        </a:srgbClr>
                      </a:clrTo>
                    </a:clrChange>
                  </a:blip>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eastAsia="zh-CN"/>
      </w:rPr>
      <w:t>新疆德泰</w:t>
    </w:r>
    <w:r>
      <w:rPr>
        <w:rFonts w:hint="eastAsia" w:ascii="仿宋" w:hAnsi="仿宋" w:eastAsia="仿宋" w:cs="仿宋"/>
        <w:b/>
        <w:bCs/>
        <w:sz w:val="18"/>
        <w:szCs w:val="18"/>
      </w:rPr>
      <w:t>工程项目管理服务有限公司</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联系电话：13070001570</w:t>
    </w:r>
  </w:p>
  <w:p w14:paraId="526123ED">
    <w:pPr>
      <w:pStyle w:val="20"/>
      <w:pBdr>
        <w:bottom w:val="none" w:color="auto" w:sz="0" w:space="1"/>
      </w:pBd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154CF">
    <w:pPr>
      <w:pStyle w:val="20"/>
      <w:pBdr>
        <w:bottom w:val="thinThickSmallGap" w:color="auto" w:sz="12" w:space="1"/>
      </w:pBdr>
      <w:ind w:firstLine="723" w:firstLineChars="400"/>
      <w:jc w:val="right"/>
      <w:rPr>
        <w:rFonts w:hint="eastAsia" w:ascii="宋体" w:hAnsi="宋体" w:eastAsia="宋体" w:cs="宋体"/>
        <w:sz w:val="21"/>
        <w:szCs w:val="22"/>
        <w:lang w:val="en-US" w:eastAsia="zh-CN"/>
      </w:rPr>
    </w:pPr>
    <w:r>
      <w:rPr>
        <w:rFonts w:hint="eastAsia" w:ascii="宋体" w:hAnsi="宋体" w:eastAsia="宋体" w:cs="宋体"/>
        <w:b/>
        <w:bCs/>
        <w:sz w:val="18"/>
        <w:szCs w:val="18"/>
      </w:rPr>
      <w:drawing>
        <wp:anchor distT="0" distB="0" distL="114300" distR="114300" simplePos="0" relativeHeight="251661312" behindDoc="0" locked="0" layoutInCell="1" allowOverlap="1">
          <wp:simplePos x="0" y="0"/>
          <wp:positionH relativeFrom="column">
            <wp:posOffset>-16510</wp:posOffset>
          </wp:positionH>
          <wp:positionV relativeFrom="paragraph">
            <wp:posOffset>-238760</wp:posOffset>
          </wp:positionV>
          <wp:extent cx="539750" cy="431800"/>
          <wp:effectExtent l="0" t="0" r="12700" b="5080"/>
          <wp:wrapSquare wrapText="bothSides"/>
          <wp:docPr id="2" name="图片 8" descr="德泰LOGO"/>
          <wp:cNvGraphicFramePr/>
          <a:graphic xmlns:a="http://schemas.openxmlformats.org/drawingml/2006/main">
            <a:graphicData uri="http://schemas.openxmlformats.org/drawingml/2006/picture">
              <pic:pic xmlns:pic="http://schemas.openxmlformats.org/drawingml/2006/picture">
                <pic:nvPicPr>
                  <pic:cNvPr id="2" name="图片 8" descr="德泰LOGO"/>
                  <pic:cNvPicPr/>
                </pic:nvPicPr>
                <pic:blipFill>
                  <a:blip r:embed="rId1">
                    <a:clrChange>
                      <a:clrFrom>
                        <a:srgbClr val="FFFFFF"/>
                      </a:clrFrom>
                      <a:clrTo>
                        <a:srgbClr val="FFFFFF">
                          <a:alpha val="0"/>
                        </a:srgbClr>
                      </a:clrTo>
                    </a:clrChange>
                  </a:blip>
                  <a:srcRect t="5670" b="17787"/>
                  <a:stretch>
                    <a:fillRect/>
                  </a:stretch>
                </pic:blipFill>
                <pic:spPr>
                  <a:xfrm>
                    <a:off x="0" y="0"/>
                    <a:ext cx="539750" cy="431800"/>
                  </a:xfrm>
                  <a:prstGeom prst="rect">
                    <a:avLst/>
                  </a:prstGeom>
                  <a:noFill/>
                  <a:ln>
                    <a:noFill/>
                  </a:ln>
                </pic:spPr>
              </pic:pic>
            </a:graphicData>
          </a:graphic>
        </wp:anchor>
      </w:drawing>
    </w: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21"/>
        <w:szCs w:val="22"/>
        <w:lang w:val="en-US" w:eastAsia="zh-CN"/>
      </w:rPr>
      <w:t xml:space="preserve">                             </w:t>
    </w:r>
    <w:r>
      <w:rPr>
        <w:rFonts w:hint="eastAsia" w:ascii="宋体" w:hAnsi="宋体" w:eastAsia="宋体" w:cs="宋体"/>
        <w:b/>
        <w:bCs/>
        <w:sz w:val="18"/>
        <w:szCs w:val="18"/>
        <w:lang w:val="en-US" w:eastAsia="zh-CN"/>
      </w:rPr>
      <w:t>联系电话：</w:t>
    </w:r>
    <w:r>
      <w:rPr>
        <w:rFonts w:hint="eastAsia" w:ascii="宋体" w:hAnsi="宋体" w:cs="宋体"/>
        <w:b/>
        <w:bCs/>
        <w:sz w:val="18"/>
        <w:szCs w:val="18"/>
        <w:lang w:val="en-US" w:eastAsia="zh-CN"/>
      </w:rPr>
      <w:t>13070001570</w:t>
    </w:r>
  </w:p>
  <w:p w14:paraId="4A77FC00">
    <w:pPr>
      <w:pStyle w:val="20"/>
      <w:pBdr>
        <w:bottom w:val="none" w:color="auto" w:sz="0" w:space="1"/>
      </w:pBdr>
      <w:rPr>
        <w:rFonts w:hint="eastAsia" w:ascii="宋体" w:hAnsi="宋体" w:eastAsia="宋体" w:cs="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9C6A3"/>
    <w:multiLevelType w:val="singleLevel"/>
    <w:tmpl w:val="9469C6A3"/>
    <w:lvl w:ilvl="0" w:tentative="0">
      <w:start w:val="1"/>
      <w:numFmt w:val="chineseCounting"/>
      <w:suff w:val="space"/>
      <w:lvlText w:val="%1、"/>
      <w:lvlJc w:val="left"/>
      <w:rPr>
        <w:rFonts w:hint="eastAsia"/>
      </w:rPr>
    </w:lvl>
  </w:abstractNum>
  <w:abstractNum w:abstractNumId="1">
    <w:nsid w:val="B6C17A11"/>
    <w:multiLevelType w:val="singleLevel"/>
    <w:tmpl w:val="B6C17A11"/>
    <w:lvl w:ilvl="0" w:tentative="0">
      <w:start w:val="1"/>
      <w:numFmt w:val="chineseCounting"/>
      <w:suff w:val="nothing"/>
      <w:lvlText w:val="%1、"/>
      <w:lvlJc w:val="left"/>
      <w:rPr>
        <w:rFonts w:hint="eastAsia"/>
      </w:rPr>
    </w:lvl>
  </w:abstractNum>
  <w:abstractNum w:abstractNumId="2">
    <w:nsid w:val="C959468E"/>
    <w:multiLevelType w:val="singleLevel"/>
    <w:tmpl w:val="C959468E"/>
    <w:lvl w:ilvl="0" w:tentative="0">
      <w:start w:val="1"/>
      <w:numFmt w:val="decimal"/>
      <w:lvlText w:val="%1."/>
      <w:lvlJc w:val="left"/>
      <w:pPr>
        <w:ind w:left="425" w:hanging="425"/>
      </w:pPr>
      <w:rPr>
        <w:rFonts w:hint="default"/>
      </w:rPr>
    </w:lvl>
  </w:abstractNum>
  <w:abstractNum w:abstractNumId="3">
    <w:nsid w:val="D17FD1D4"/>
    <w:multiLevelType w:val="singleLevel"/>
    <w:tmpl w:val="D17FD1D4"/>
    <w:lvl w:ilvl="0" w:tentative="0">
      <w:start w:val="16"/>
      <w:numFmt w:val="decimal"/>
      <w:suff w:val="space"/>
      <w:lvlText w:val="%1."/>
      <w:lvlJc w:val="left"/>
    </w:lvl>
  </w:abstractNum>
  <w:abstractNum w:abstractNumId="4">
    <w:nsid w:val="DEF7DEA7"/>
    <w:multiLevelType w:val="singleLevel"/>
    <w:tmpl w:val="DEF7DEA7"/>
    <w:lvl w:ilvl="0" w:tentative="0">
      <w:start w:val="1"/>
      <w:numFmt w:val="decimal"/>
      <w:lvlText w:val="%1."/>
      <w:lvlJc w:val="left"/>
      <w:pPr>
        <w:tabs>
          <w:tab w:val="left" w:pos="312"/>
        </w:tabs>
      </w:pPr>
    </w:lvl>
  </w:abstractNum>
  <w:abstractNum w:abstractNumId="5">
    <w:nsid w:val="E0372C20"/>
    <w:multiLevelType w:val="singleLevel"/>
    <w:tmpl w:val="E0372C20"/>
    <w:lvl w:ilvl="0" w:tentative="0">
      <w:start w:val="1"/>
      <w:numFmt w:val="decimal"/>
      <w:lvlText w:val="%1."/>
      <w:lvlJc w:val="left"/>
      <w:pPr>
        <w:ind w:left="425" w:hanging="425"/>
      </w:pPr>
      <w:rPr>
        <w:rFonts w:hint="default"/>
      </w:rPr>
    </w:lvl>
  </w:abstractNum>
  <w:abstractNum w:abstractNumId="6">
    <w:nsid w:val="E76F9E31"/>
    <w:multiLevelType w:val="singleLevel"/>
    <w:tmpl w:val="E76F9E31"/>
    <w:lvl w:ilvl="0" w:tentative="0">
      <w:start w:val="3"/>
      <w:numFmt w:val="decimal"/>
      <w:lvlText w:val="%1."/>
      <w:lvlJc w:val="left"/>
      <w:pPr>
        <w:tabs>
          <w:tab w:val="left" w:pos="312"/>
        </w:tabs>
      </w:pPr>
    </w:lvl>
  </w:abstractNum>
  <w:abstractNum w:abstractNumId="7">
    <w:nsid w:val="EE6D9495"/>
    <w:multiLevelType w:val="singleLevel"/>
    <w:tmpl w:val="EE6D9495"/>
    <w:lvl w:ilvl="0" w:tentative="0">
      <w:start w:val="3"/>
      <w:numFmt w:val="chineseCounting"/>
      <w:suff w:val="space"/>
      <w:lvlText w:val="第%1章"/>
      <w:lvlJc w:val="left"/>
      <w:rPr>
        <w:rFonts w:hint="eastAsia"/>
      </w:rPr>
    </w:lvl>
  </w:abstractNum>
  <w:abstractNum w:abstractNumId="8">
    <w:nsid w:val="F0F6D0DE"/>
    <w:multiLevelType w:val="singleLevel"/>
    <w:tmpl w:val="F0F6D0DE"/>
    <w:lvl w:ilvl="0" w:tentative="0">
      <w:start w:val="1"/>
      <w:numFmt w:val="decimal"/>
      <w:lvlText w:val="%1."/>
      <w:lvlJc w:val="left"/>
      <w:pPr>
        <w:ind w:left="425" w:hanging="425"/>
      </w:pPr>
      <w:rPr>
        <w:rFonts w:hint="default"/>
      </w:rPr>
    </w:lvl>
  </w:abstractNum>
  <w:abstractNum w:abstractNumId="9">
    <w:nsid w:val="FFFA0991"/>
    <w:multiLevelType w:val="singleLevel"/>
    <w:tmpl w:val="FFFA0991"/>
    <w:lvl w:ilvl="0" w:tentative="0">
      <w:start w:val="7"/>
      <w:numFmt w:val="decimal"/>
      <w:suff w:val="space"/>
      <w:lvlText w:val="%1."/>
      <w:lvlJc w:val="left"/>
    </w:lvl>
  </w:abstractNum>
  <w:abstractNum w:abstractNumId="10">
    <w:nsid w:val="00000003"/>
    <w:multiLevelType w:val="singleLevel"/>
    <w:tmpl w:val="00000003"/>
    <w:lvl w:ilvl="0" w:tentative="0">
      <w:start w:val="1"/>
      <w:numFmt w:val="upperLetter"/>
      <w:pStyle w:val="3"/>
      <w:lvlText w:val="%1."/>
      <w:lvlJc w:val="left"/>
      <w:pPr>
        <w:tabs>
          <w:tab w:val="left" w:pos="330"/>
        </w:tabs>
        <w:ind w:left="330" w:hanging="330"/>
      </w:pPr>
    </w:lvl>
  </w:abstractNum>
  <w:abstractNum w:abstractNumId="11">
    <w:nsid w:val="00000009"/>
    <w:multiLevelType w:val="multilevel"/>
    <w:tmpl w:val="00000009"/>
    <w:lvl w:ilvl="0" w:tentative="0">
      <w:start w:val="1"/>
      <w:numFmt w:val="upperLetter"/>
      <w:pStyle w:val="4"/>
      <w:lvlText w:val="%1."/>
      <w:lvlJc w:val="left"/>
      <w:pPr>
        <w:tabs>
          <w:tab w:val="left" w:pos="752"/>
        </w:tabs>
        <w:ind w:left="752" w:hanging="468"/>
      </w:pPr>
    </w:lvl>
    <w:lvl w:ilvl="1" w:tentative="0">
      <w:start w:val="1"/>
      <w:numFmt w:val="decimal"/>
      <w:lvlText w:val="%2."/>
      <w:lvlJc w:val="left"/>
      <w:pPr>
        <w:tabs>
          <w:tab w:val="left" w:pos="1724"/>
        </w:tabs>
        <w:ind w:left="1724" w:hanging="360"/>
      </w:pPr>
    </w:lvl>
    <w:lvl w:ilvl="2" w:tentative="0">
      <w:start w:val="1"/>
      <w:numFmt w:val="decimal"/>
      <w:lvlText w:val="%3."/>
      <w:lvlJc w:val="left"/>
      <w:pPr>
        <w:tabs>
          <w:tab w:val="left" w:pos="644"/>
        </w:tabs>
        <w:ind w:left="644" w:hanging="360"/>
      </w:pPr>
    </w:lvl>
    <w:lvl w:ilvl="3" w:tentative="0">
      <w:start w:val="1"/>
      <w:numFmt w:val="decimal"/>
      <w:lvlText w:val="%4."/>
      <w:lvlJc w:val="left"/>
      <w:pPr>
        <w:tabs>
          <w:tab w:val="left" w:pos="3164"/>
        </w:tabs>
        <w:ind w:left="3164" w:hanging="360"/>
      </w:pPr>
    </w:lvl>
    <w:lvl w:ilvl="4" w:tentative="0">
      <w:start w:val="1"/>
      <w:numFmt w:val="decimal"/>
      <w:lvlText w:val="%5."/>
      <w:lvlJc w:val="left"/>
      <w:pPr>
        <w:tabs>
          <w:tab w:val="left" w:pos="3884"/>
        </w:tabs>
        <w:ind w:left="3884" w:hanging="360"/>
      </w:pPr>
    </w:lvl>
    <w:lvl w:ilvl="5" w:tentative="0">
      <w:start w:val="1"/>
      <w:numFmt w:val="decimal"/>
      <w:lvlText w:val="%6."/>
      <w:lvlJc w:val="left"/>
      <w:pPr>
        <w:tabs>
          <w:tab w:val="left" w:pos="4604"/>
        </w:tabs>
        <w:ind w:left="4604" w:hanging="360"/>
      </w:pPr>
    </w:lvl>
    <w:lvl w:ilvl="6" w:tentative="0">
      <w:start w:val="1"/>
      <w:numFmt w:val="decimal"/>
      <w:lvlText w:val="%7."/>
      <w:lvlJc w:val="left"/>
      <w:pPr>
        <w:tabs>
          <w:tab w:val="left" w:pos="5324"/>
        </w:tabs>
        <w:ind w:left="5324" w:hanging="360"/>
      </w:pPr>
    </w:lvl>
    <w:lvl w:ilvl="7" w:tentative="0">
      <w:start w:val="1"/>
      <w:numFmt w:val="decimal"/>
      <w:lvlText w:val="%8."/>
      <w:lvlJc w:val="left"/>
      <w:pPr>
        <w:tabs>
          <w:tab w:val="left" w:pos="6044"/>
        </w:tabs>
        <w:ind w:left="6044" w:hanging="360"/>
      </w:pPr>
    </w:lvl>
    <w:lvl w:ilvl="8" w:tentative="0">
      <w:start w:val="1"/>
      <w:numFmt w:val="decimal"/>
      <w:lvlText w:val="%9."/>
      <w:lvlJc w:val="left"/>
      <w:pPr>
        <w:tabs>
          <w:tab w:val="left" w:pos="6764"/>
        </w:tabs>
        <w:ind w:left="6764" w:hanging="360"/>
      </w:pPr>
    </w:lvl>
  </w:abstractNum>
  <w:abstractNum w:abstractNumId="12">
    <w:nsid w:val="0000000D"/>
    <w:multiLevelType w:val="multilevel"/>
    <w:tmpl w:val="0000000D"/>
    <w:lvl w:ilvl="0" w:tentative="0">
      <w:start w:val="1"/>
      <w:numFmt w:val="upperLetter"/>
      <w:pStyle w:val="7"/>
      <w:lvlText w:val="%1."/>
      <w:lvlJc w:val="left"/>
      <w:pPr>
        <w:tabs>
          <w:tab w:val="left" w:pos="435"/>
        </w:tabs>
        <w:ind w:left="435" w:hanging="435"/>
      </w:pPr>
      <w:rPr>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0EB613E9"/>
    <w:multiLevelType w:val="multilevel"/>
    <w:tmpl w:val="0EB613E9"/>
    <w:lvl w:ilvl="0" w:tentative="0">
      <w:start w:val="1"/>
      <w:numFmt w:val="decimal"/>
      <w:pStyle w:val="8"/>
      <w:lvlText w:val="1.%1"/>
      <w:lvlJc w:val="left"/>
      <w:pPr>
        <w:ind w:left="420" w:firstLine="0"/>
      </w:pPr>
      <w:rPr>
        <w:rFonts w:hint="eastAsia" w:ascii="宋体" w:hAnsi="宋体" w:eastAsia="宋体"/>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4">
    <w:nsid w:val="325096C9"/>
    <w:multiLevelType w:val="singleLevel"/>
    <w:tmpl w:val="325096C9"/>
    <w:lvl w:ilvl="0" w:tentative="0">
      <w:start w:val="1"/>
      <w:numFmt w:val="decimal"/>
      <w:suff w:val="nothing"/>
      <w:lvlText w:val="%1．"/>
      <w:lvlJc w:val="left"/>
    </w:lvl>
  </w:abstractNum>
  <w:abstractNum w:abstractNumId="15">
    <w:nsid w:val="326CF815"/>
    <w:multiLevelType w:val="singleLevel"/>
    <w:tmpl w:val="326CF815"/>
    <w:lvl w:ilvl="0" w:tentative="0">
      <w:start w:val="1"/>
      <w:numFmt w:val="decimal"/>
      <w:lvlText w:val="%1."/>
      <w:lvlJc w:val="left"/>
      <w:pPr>
        <w:ind w:left="425" w:hanging="425"/>
      </w:pPr>
      <w:rPr>
        <w:rFonts w:hint="default"/>
      </w:rPr>
    </w:lvl>
  </w:abstractNum>
  <w:abstractNum w:abstractNumId="16">
    <w:nsid w:val="385088E8"/>
    <w:multiLevelType w:val="singleLevel"/>
    <w:tmpl w:val="385088E8"/>
    <w:lvl w:ilvl="0" w:tentative="0">
      <w:start w:val="1"/>
      <w:numFmt w:val="decimal"/>
      <w:lvlText w:val="%1."/>
      <w:lvlJc w:val="left"/>
      <w:pPr>
        <w:tabs>
          <w:tab w:val="left" w:pos="312"/>
        </w:tabs>
      </w:pPr>
    </w:lvl>
  </w:abstractNum>
  <w:abstractNum w:abstractNumId="17">
    <w:nsid w:val="3A20C37F"/>
    <w:multiLevelType w:val="singleLevel"/>
    <w:tmpl w:val="3A20C37F"/>
    <w:lvl w:ilvl="0" w:tentative="0">
      <w:start w:val="1"/>
      <w:numFmt w:val="bullet"/>
      <w:pStyle w:val="9"/>
      <w:lvlText w:val=""/>
      <w:lvlJc w:val="left"/>
      <w:pPr>
        <w:tabs>
          <w:tab w:val="left" w:pos="360"/>
        </w:tabs>
        <w:ind w:left="360" w:hanging="360"/>
      </w:pPr>
      <w:rPr>
        <w:rFonts w:hint="default" w:ascii="Wingdings" w:hAnsi="Wingdings"/>
      </w:rPr>
    </w:lvl>
  </w:abstractNum>
  <w:abstractNum w:abstractNumId="18">
    <w:nsid w:val="3B02AB02"/>
    <w:multiLevelType w:val="singleLevel"/>
    <w:tmpl w:val="3B02AB02"/>
    <w:lvl w:ilvl="0" w:tentative="0">
      <w:start w:val="2"/>
      <w:numFmt w:val="decimal"/>
      <w:suff w:val="nothing"/>
      <w:lvlText w:val="%1、"/>
      <w:lvlJc w:val="left"/>
    </w:lvl>
  </w:abstractNum>
  <w:abstractNum w:abstractNumId="19">
    <w:nsid w:val="45951A56"/>
    <w:multiLevelType w:val="singleLevel"/>
    <w:tmpl w:val="45951A56"/>
    <w:lvl w:ilvl="0" w:tentative="0">
      <w:start w:val="1"/>
      <w:numFmt w:val="bullet"/>
      <w:lvlText w:val=""/>
      <w:lvlJc w:val="left"/>
      <w:pPr>
        <w:tabs>
          <w:tab w:val="left" w:pos="0"/>
        </w:tabs>
        <w:ind w:left="420" w:hanging="420"/>
      </w:pPr>
      <w:rPr>
        <w:rFonts w:hint="default" w:ascii="Wingdings" w:hAnsi="Wingdings"/>
      </w:rPr>
    </w:lvl>
  </w:abstractNum>
  <w:abstractNum w:abstractNumId="20">
    <w:nsid w:val="6A30319D"/>
    <w:multiLevelType w:val="singleLevel"/>
    <w:tmpl w:val="6A30319D"/>
    <w:lvl w:ilvl="0" w:tentative="0">
      <w:start w:val="1"/>
      <w:numFmt w:val="decimal"/>
      <w:lvlText w:val="%1."/>
      <w:lvlJc w:val="left"/>
      <w:pPr>
        <w:ind w:left="425" w:hanging="425"/>
      </w:pPr>
      <w:rPr>
        <w:rFonts w:hint="default"/>
      </w:rPr>
    </w:lvl>
  </w:abstractNum>
  <w:abstractNum w:abstractNumId="21">
    <w:nsid w:val="6FD59290"/>
    <w:multiLevelType w:val="singleLevel"/>
    <w:tmpl w:val="6FD59290"/>
    <w:lvl w:ilvl="0" w:tentative="0">
      <w:start w:val="4"/>
      <w:numFmt w:val="chineseCounting"/>
      <w:suff w:val="nothing"/>
      <w:lvlText w:val="%1、"/>
      <w:lvlJc w:val="left"/>
      <w:rPr>
        <w:rFonts w:hint="eastAsia"/>
      </w:rPr>
    </w:lvl>
  </w:abstractNum>
  <w:num w:numId="1">
    <w:abstractNumId w:val="10"/>
  </w:num>
  <w:num w:numId="2">
    <w:abstractNumId w:val="11"/>
  </w:num>
  <w:num w:numId="3">
    <w:abstractNumId w:val="12"/>
  </w:num>
  <w:num w:numId="4">
    <w:abstractNumId w:val="13"/>
  </w:num>
  <w:num w:numId="5">
    <w:abstractNumId w:val="17"/>
  </w:num>
  <w:num w:numId="6">
    <w:abstractNumId w:val="1"/>
  </w:num>
  <w:num w:numId="7">
    <w:abstractNumId w:val="0"/>
  </w:num>
  <w:num w:numId="8">
    <w:abstractNumId w:val="19"/>
  </w:num>
  <w:num w:numId="9">
    <w:abstractNumId w:val="7"/>
  </w:num>
  <w:num w:numId="10">
    <w:abstractNumId w:val="15"/>
  </w:num>
  <w:num w:numId="11">
    <w:abstractNumId w:val="8"/>
  </w:num>
  <w:num w:numId="12">
    <w:abstractNumId w:val="5"/>
  </w:num>
  <w:num w:numId="13">
    <w:abstractNumId w:val="21"/>
  </w:num>
  <w:num w:numId="14">
    <w:abstractNumId w:val="16"/>
  </w:num>
  <w:num w:numId="15">
    <w:abstractNumId w:val="6"/>
  </w:num>
  <w:num w:numId="16">
    <w:abstractNumId w:val="9"/>
  </w:num>
  <w:num w:numId="17">
    <w:abstractNumId w:val="3"/>
  </w:num>
  <w:num w:numId="18">
    <w:abstractNumId w:val="14"/>
  </w:num>
  <w:num w:numId="19">
    <w:abstractNumId w:val="2"/>
  </w:num>
  <w:num w:numId="20">
    <w:abstractNumId w:val="4"/>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566"/>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2NGUzNmMyZWJiYWMwZDZiNTc4MDIyMmNjMDQ0YzYifQ=="/>
  </w:docVars>
  <w:rsids>
    <w:rsidRoot w:val="00000000"/>
    <w:rsid w:val="000C487B"/>
    <w:rsid w:val="001C66E0"/>
    <w:rsid w:val="002E3D19"/>
    <w:rsid w:val="003D21B2"/>
    <w:rsid w:val="003F2CDC"/>
    <w:rsid w:val="004D53C4"/>
    <w:rsid w:val="00920750"/>
    <w:rsid w:val="00B05D6B"/>
    <w:rsid w:val="00C14B91"/>
    <w:rsid w:val="00DE3995"/>
    <w:rsid w:val="00E865C2"/>
    <w:rsid w:val="01620359"/>
    <w:rsid w:val="016829A7"/>
    <w:rsid w:val="01B34E22"/>
    <w:rsid w:val="01C42B8B"/>
    <w:rsid w:val="01FF0067"/>
    <w:rsid w:val="02175E3E"/>
    <w:rsid w:val="021F4265"/>
    <w:rsid w:val="02290C40"/>
    <w:rsid w:val="027D288D"/>
    <w:rsid w:val="028D5673"/>
    <w:rsid w:val="02902A6D"/>
    <w:rsid w:val="02D82533"/>
    <w:rsid w:val="030D7F39"/>
    <w:rsid w:val="0348159A"/>
    <w:rsid w:val="0379139B"/>
    <w:rsid w:val="03920A67"/>
    <w:rsid w:val="03B4069D"/>
    <w:rsid w:val="03DA2C38"/>
    <w:rsid w:val="041224D1"/>
    <w:rsid w:val="0431202E"/>
    <w:rsid w:val="043D4E77"/>
    <w:rsid w:val="04423854"/>
    <w:rsid w:val="045B7473"/>
    <w:rsid w:val="045F303F"/>
    <w:rsid w:val="047D72D7"/>
    <w:rsid w:val="04912ACD"/>
    <w:rsid w:val="049C7DEF"/>
    <w:rsid w:val="04A51E71"/>
    <w:rsid w:val="04AE18D1"/>
    <w:rsid w:val="04CD3FDF"/>
    <w:rsid w:val="04EA6DAD"/>
    <w:rsid w:val="04F16063"/>
    <w:rsid w:val="05137986"/>
    <w:rsid w:val="052971A9"/>
    <w:rsid w:val="05557F9E"/>
    <w:rsid w:val="056F1060"/>
    <w:rsid w:val="05B64EE1"/>
    <w:rsid w:val="05DB04A3"/>
    <w:rsid w:val="05E84AE6"/>
    <w:rsid w:val="05F533C7"/>
    <w:rsid w:val="05F5754B"/>
    <w:rsid w:val="06043E9E"/>
    <w:rsid w:val="06A607C0"/>
    <w:rsid w:val="06E710CA"/>
    <w:rsid w:val="06F07F7E"/>
    <w:rsid w:val="071566C7"/>
    <w:rsid w:val="071B60D3"/>
    <w:rsid w:val="074E2EF7"/>
    <w:rsid w:val="07610E7C"/>
    <w:rsid w:val="076646E5"/>
    <w:rsid w:val="076F404A"/>
    <w:rsid w:val="07745FD1"/>
    <w:rsid w:val="07746E01"/>
    <w:rsid w:val="07BC60B3"/>
    <w:rsid w:val="07F933E3"/>
    <w:rsid w:val="0807009B"/>
    <w:rsid w:val="080A5070"/>
    <w:rsid w:val="08167EB9"/>
    <w:rsid w:val="083D71F3"/>
    <w:rsid w:val="08626C5A"/>
    <w:rsid w:val="08683F9E"/>
    <w:rsid w:val="0889664C"/>
    <w:rsid w:val="08A41020"/>
    <w:rsid w:val="08BF5E5A"/>
    <w:rsid w:val="08D833C0"/>
    <w:rsid w:val="08F01FE3"/>
    <w:rsid w:val="09242161"/>
    <w:rsid w:val="093228B7"/>
    <w:rsid w:val="095C5B0B"/>
    <w:rsid w:val="095F390F"/>
    <w:rsid w:val="09927176"/>
    <w:rsid w:val="099948FD"/>
    <w:rsid w:val="09AF4121"/>
    <w:rsid w:val="09D5345C"/>
    <w:rsid w:val="09DA6CC4"/>
    <w:rsid w:val="09EE4050"/>
    <w:rsid w:val="09F124DC"/>
    <w:rsid w:val="0A157CFC"/>
    <w:rsid w:val="0A165F4E"/>
    <w:rsid w:val="0A1C5118"/>
    <w:rsid w:val="0A256191"/>
    <w:rsid w:val="0A334D52"/>
    <w:rsid w:val="0A402FCB"/>
    <w:rsid w:val="0A5B7557"/>
    <w:rsid w:val="0A634F0B"/>
    <w:rsid w:val="0A682522"/>
    <w:rsid w:val="0AAA48E8"/>
    <w:rsid w:val="0AAD573D"/>
    <w:rsid w:val="0AC0410C"/>
    <w:rsid w:val="0AC219C7"/>
    <w:rsid w:val="0AEC6174"/>
    <w:rsid w:val="0AF3489C"/>
    <w:rsid w:val="0AFD2C6A"/>
    <w:rsid w:val="0B7207E3"/>
    <w:rsid w:val="0B734693"/>
    <w:rsid w:val="0B745622"/>
    <w:rsid w:val="0B7D3DAB"/>
    <w:rsid w:val="0B9A3783"/>
    <w:rsid w:val="0BA13F3D"/>
    <w:rsid w:val="0BAB0918"/>
    <w:rsid w:val="0BB04180"/>
    <w:rsid w:val="0C0847F2"/>
    <w:rsid w:val="0C115073"/>
    <w:rsid w:val="0C193AD3"/>
    <w:rsid w:val="0C510DDC"/>
    <w:rsid w:val="0C62191E"/>
    <w:rsid w:val="0C6D2071"/>
    <w:rsid w:val="0C825B1D"/>
    <w:rsid w:val="0C931AD8"/>
    <w:rsid w:val="0CE71E24"/>
    <w:rsid w:val="0CF167FE"/>
    <w:rsid w:val="0D0C56C5"/>
    <w:rsid w:val="0D1644B7"/>
    <w:rsid w:val="0D4463E0"/>
    <w:rsid w:val="0D533015"/>
    <w:rsid w:val="0D660F9A"/>
    <w:rsid w:val="0D6B7368"/>
    <w:rsid w:val="0D6C2329"/>
    <w:rsid w:val="0D813558"/>
    <w:rsid w:val="0D887163"/>
    <w:rsid w:val="0D960C75"/>
    <w:rsid w:val="0DDE205B"/>
    <w:rsid w:val="0E034A3B"/>
    <w:rsid w:val="0E370B89"/>
    <w:rsid w:val="0E6B25E0"/>
    <w:rsid w:val="0E71409B"/>
    <w:rsid w:val="0E832BFC"/>
    <w:rsid w:val="0ECA37AB"/>
    <w:rsid w:val="0EDE123B"/>
    <w:rsid w:val="0F270E64"/>
    <w:rsid w:val="0F532408"/>
    <w:rsid w:val="0F6239E3"/>
    <w:rsid w:val="0F803E6A"/>
    <w:rsid w:val="0F8D5FFF"/>
    <w:rsid w:val="0F8D6806"/>
    <w:rsid w:val="0FA67B86"/>
    <w:rsid w:val="0FB029A1"/>
    <w:rsid w:val="0FCB3337"/>
    <w:rsid w:val="0FD52407"/>
    <w:rsid w:val="103627B1"/>
    <w:rsid w:val="10501A8E"/>
    <w:rsid w:val="105F60A5"/>
    <w:rsid w:val="106C50FC"/>
    <w:rsid w:val="108A31F2"/>
    <w:rsid w:val="10C87ACB"/>
    <w:rsid w:val="10D92CCC"/>
    <w:rsid w:val="10F93ED3"/>
    <w:rsid w:val="10FE173F"/>
    <w:rsid w:val="11036B00"/>
    <w:rsid w:val="112A22DF"/>
    <w:rsid w:val="113F222E"/>
    <w:rsid w:val="11504113"/>
    <w:rsid w:val="116E51C9"/>
    <w:rsid w:val="116F4196"/>
    <w:rsid w:val="118C2E25"/>
    <w:rsid w:val="119A56B6"/>
    <w:rsid w:val="11C7100E"/>
    <w:rsid w:val="11DE546D"/>
    <w:rsid w:val="12033C42"/>
    <w:rsid w:val="123E12D1"/>
    <w:rsid w:val="124E024F"/>
    <w:rsid w:val="1274141C"/>
    <w:rsid w:val="12751C80"/>
    <w:rsid w:val="127A1044"/>
    <w:rsid w:val="12955E7E"/>
    <w:rsid w:val="129E09C2"/>
    <w:rsid w:val="12B91D38"/>
    <w:rsid w:val="12BE3627"/>
    <w:rsid w:val="12C7072D"/>
    <w:rsid w:val="12CA3D79"/>
    <w:rsid w:val="12FF2436"/>
    <w:rsid w:val="131C20FB"/>
    <w:rsid w:val="13653AA2"/>
    <w:rsid w:val="13BE7DA2"/>
    <w:rsid w:val="13DD7ADC"/>
    <w:rsid w:val="13E96481"/>
    <w:rsid w:val="13F607E5"/>
    <w:rsid w:val="13F8694C"/>
    <w:rsid w:val="14380E6B"/>
    <w:rsid w:val="14766128"/>
    <w:rsid w:val="149569C4"/>
    <w:rsid w:val="14BE346A"/>
    <w:rsid w:val="14CE1A6A"/>
    <w:rsid w:val="14E32ED1"/>
    <w:rsid w:val="14E54E9B"/>
    <w:rsid w:val="14FE20BF"/>
    <w:rsid w:val="150271CA"/>
    <w:rsid w:val="15981F0D"/>
    <w:rsid w:val="15A07014"/>
    <w:rsid w:val="15B35F47"/>
    <w:rsid w:val="16106F8B"/>
    <w:rsid w:val="161A6DC6"/>
    <w:rsid w:val="161F618A"/>
    <w:rsid w:val="1643796A"/>
    <w:rsid w:val="16663026"/>
    <w:rsid w:val="169F5CB4"/>
    <w:rsid w:val="16A73330"/>
    <w:rsid w:val="16BC60CF"/>
    <w:rsid w:val="16CA33C8"/>
    <w:rsid w:val="16DE1BA1"/>
    <w:rsid w:val="17515488"/>
    <w:rsid w:val="1770087C"/>
    <w:rsid w:val="178169D1"/>
    <w:rsid w:val="17832749"/>
    <w:rsid w:val="17852965"/>
    <w:rsid w:val="17926E49"/>
    <w:rsid w:val="17A024F1"/>
    <w:rsid w:val="17A2551D"/>
    <w:rsid w:val="17E31439"/>
    <w:rsid w:val="181635BD"/>
    <w:rsid w:val="181B6E25"/>
    <w:rsid w:val="18260484"/>
    <w:rsid w:val="183E3F7C"/>
    <w:rsid w:val="18452291"/>
    <w:rsid w:val="186C142F"/>
    <w:rsid w:val="188E5849"/>
    <w:rsid w:val="189F7A56"/>
    <w:rsid w:val="18AF5EEB"/>
    <w:rsid w:val="18B76B4E"/>
    <w:rsid w:val="18CE65B0"/>
    <w:rsid w:val="18E13BCB"/>
    <w:rsid w:val="18E92A80"/>
    <w:rsid w:val="18F51424"/>
    <w:rsid w:val="190B50EC"/>
    <w:rsid w:val="19232435"/>
    <w:rsid w:val="19312479"/>
    <w:rsid w:val="193208CA"/>
    <w:rsid w:val="193A152D"/>
    <w:rsid w:val="195C14A3"/>
    <w:rsid w:val="196547FC"/>
    <w:rsid w:val="196A0064"/>
    <w:rsid w:val="198804EA"/>
    <w:rsid w:val="19962C07"/>
    <w:rsid w:val="199944A6"/>
    <w:rsid w:val="19DB7BF4"/>
    <w:rsid w:val="19E54C84"/>
    <w:rsid w:val="19E821F8"/>
    <w:rsid w:val="19EA4D01"/>
    <w:rsid w:val="1A2F5F56"/>
    <w:rsid w:val="1A55661F"/>
    <w:rsid w:val="1A5F2FF9"/>
    <w:rsid w:val="1A736AA5"/>
    <w:rsid w:val="1AB21BC2"/>
    <w:rsid w:val="1AB23BA7"/>
    <w:rsid w:val="1AB772D9"/>
    <w:rsid w:val="1AE34FD1"/>
    <w:rsid w:val="1AEB325C"/>
    <w:rsid w:val="1AF57E02"/>
    <w:rsid w:val="1B304996"/>
    <w:rsid w:val="1B5543FC"/>
    <w:rsid w:val="1B5C39DD"/>
    <w:rsid w:val="1B5E1503"/>
    <w:rsid w:val="1B612DA1"/>
    <w:rsid w:val="1B697EA8"/>
    <w:rsid w:val="1B777EC3"/>
    <w:rsid w:val="1B800F9B"/>
    <w:rsid w:val="1B830F69"/>
    <w:rsid w:val="1B8D4B58"/>
    <w:rsid w:val="1BAD6444"/>
    <w:rsid w:val="1BB61BD8"/>
    <w:rsid w:val="1C4E34A4"/>
    <w:rsid w:val="1C511068"/>
    <w:rsid w:val="1C626DD1"/>
    <w:rsid w:val="1C6568C1"/>
    <w:rsid w:val="1C6F5318"/>
    <w:rsid w:val="1C767EBC"/>
    <w:rsid w:val="1C986C96"/>
    <w:rsid w:val="1C9A0C60"/>
    <w:rsid w:val="1CB3587E"/>
    <w:rsid w:val="1CCF7699"/>
    <w:rsid w:val="1CE7377A"/>
    <w:rsid w:val="1CED0B8B"/>
    <w:rsid w:val="1CF86D9E"/>
    <w:rsid w:val="1D3D6906"/>
    <w:rsid w:val="1D3F7112"/>
    <w:rsid w:val="1D4B419C"/>
    <w:rsid w:val="1DAF24EA"/>
    <w:rsid w:val="1DB01DBE"/>
    <w:rsid w:val="1DD106B2"/>
    <w:rsid w:val="1DD737EE"/>
    <w:rsid w:val="1DE20722"/>
    <w:rsid w:val="1DEB4911"/>
    <w:rsid w:val="1DF37CA1"/>
    <w:rsid w:val="1E0F2F88"/>
    <w:rsid w:val="1E334EC9"/>
    <w:rsid w:val="1E3D18A3"/>
    <w:rsid w:val="1E426EBA"/>
    <w:rsid w:val="1E450758"/>
    <w:rsid w:val="1E57048B"/>
    <w:rsid w:val="1E6F1C79"/>
    <w:rsid w:val="1E8A39BC"/>
    <w:rsid w:val="1EB3600A"/>
    <w:rsid w:val="1ED1023E"/>
    <w:rsid w:val="1EFA1543"/>
    <w:rsid w:val="1EFC2CBE"/>
    <w:rsid w:val="1F0514E0"/>
    <w:rsid w:val="1F212F73"/>
    <w:rsid w:val="1F2C6E50"/>
    <w:rsid w:val="1F3A4035"/>
    <w:rsid w:val="1FB27690"/>
    <w:rsid w:val="1FBA7A42"/>
    <w:rsid w:val="1FCB2EDF"/>
    <w:rsid w:val="1FCB3705"/>
    <w:rsid w:val="1FD75D28"/>
    <w:rsid w:val="1FF22B62"/>
    <w:rsid w:val="200D1749"/>
    <w:rsid w:val="20210D51"/>
    <w:rsid w:val="202A2351"/>
    <w:rsid w:val="204F58BE"/>
    <w:rsid w:val="20D02EA3"/>
    <w:rsid w:val="20DA5ACF"/>
    <w:rsid w:val="20EF1D4B"/>
    <w:rsid w:val="21132D8F"/>
    <w:rsid w:val="21156B08"/>
    <w:rsid w:val="21352D06"/>
    <w:rsid w:val="21354AB4"/>
    <w:rsid w:val="2144119B"/>
    <w:rsid w:val="21537630"/>
    <w:rsid w:val="2157287A"/>
    <w:rsid w:val="21843C8D"/>
    <w:rsid w:val="218872DA"/>
    <w:rsid w:val="21937A2C"/>
    <w:rsid w:val="21D37B49"/>
    <w:rsid w:val="21D5708A"/>
    <w:rsid w:val="21DD3C61"/>
    <w:rsid w:val="22031056"/>
    <w:rsid w:val="22521696"/>
    <w:rsid w:val="2277734E"/>
    <w:rsid w:val="22B26B81"/>
    <w:rsid w:val="22C205C9"/>
    <w:rsid w:val="22D622C7"/>
    <w:rsid w:val="22DC255A"/>
    <w:rsid w:val="22DE0975"/>
    <w:rsid w:val="22F36206"/>
    <w:rsid w:val="23616034"/>
    <w:rsid w:val="236E24FF"/>
    <w:rsid w:val="237C10C0"/>
    <w:rsid w:val="23D6056F"/>
    <w:rsid w:val="23EE3640"/>
    <w:rsid w:val="240B41F2"/>
    <w:rsid w:val="243454F7"/>
    <w:rsid w:val="24547676"/>
    <w:rsid w:val="247578BD"/>
    <w:rsid w:val="249146F7"/>
    <w:rsid w:val="24FE78B3"/>
    <w:rsid w:val="25076767"/>
    <w:rsid w:val="25357778"/>
    <w:rsid w:val="254774AC"/>
    <w:rsid w:val="256707F1"/>
    <w:rsid w:val="256F3C1D"/>
    <w:rsid w:val="25BC0988"/>
    <w:rsid w:val="25C86490"/>
    <w:rsid w:val="2624349A"/>
    <w:rsid w:val="26390ADC"/>
    <w:rsid w:val="2644546E"/>
    <w:rsid w:val="26467763"/>
    <w:rsid w:val="26B62374"/>
    <w:rsid w:val="26C16DEA"/>
    <w:rsid w:val="26DE174A"/>
    <w:rsid w:val="26FE3B9A"/>
    <w:rsid w:val="2724235F"/>
    <w:rsid w:val="273B6B9C"/>
    <w:rsid w:val="275859A0"/>
    <w:rsid w:val="276E0422"/>
    <w:rsid w:val="27B92902"/>
    <w:rsid w:val="27CF5DEA"/>
    <w:rsid w:val="27E41914"/>
    <w:rsid w:val="281C4C20"/>
    <w:rsid w:val="28250126"/>
    <w:rsid w:val="28325963"/>
    <w:rsid w:val="283F26BC"/>
    <w:rsid w:val="284321AC"/>
    <w:rsid w:val="286E4D4F"/>
    <w:rsid w:val="28A075FF"/>
    <w:rsid w:val="28C8445F"/>
    <w:rsid w:val="28EA087A"/>
    <w:rsid w:val="29191227"/>
    <w:rsid w:val="29300663"/>
    <w:rsid w:val="29583A35"/>
    <w:rsid w:val="297B7724"/>
    <w:rsid w:val="29B9024C"/>
    <w:rsid w:val="29E1193C"/>
    <w:rsid w:val="29E25CE2"/>
    <w:rsid w:val="29F37C02"/>
    <w:rsid w:val="29F53B22"/>
    <w:rsid w:val="29F85218"/>
    <w:rsid w:val="2A0451E6"/>
    <w:rsid w:val="2A103E0D"/>
    <w:rsid w:val="2A1A6F3D"/>
    <w:rsid w:val="2A475858"/>
    <w:rsid w:val="2A4B5348"/>
    <w:rsid w:val="2A5B4410"/>
    <w:rsid w:val="2A6B7798"/>
    <w:rsid w:val="2A7A5C2D"/>
    <w:rsid w:val="2AA40C82"/>
    <w:rsid w:val="2AA84549"/>
    <w:rsid w:val="2B0A6FB1"/>
    <w:rsid w:val="2B0C0F7B"/>
    <w:rsid w:val="2B122406"/>
    <w:rsid w:val="2B2107BC"/>
    <w:rsid w:val="2B563FA5"/>
    <w:rsid w:val="2B5B66C2"/>
    <w:rsid w:val="2B886128"/>
    <w:rsid w:val="2BB94533"/>
    <w:rsid w:val="2BD32C68"/>
    <w:rsid w:val="2BE710A1"/>
    <w:rsid w:val="2BEE73B9"/>
    <w:rsid w:val="2BF612E4"/>
    <w:rsid w:val="2C0B6B98"/>
    <w:rsid w:val="2C337C11"/>
    <w:rsid w:val="2C5D1363"/>
    <w:rsid w:val="2C82701B"/>
    <w:rsid w:val="2C9C4430"/>
    <w:rsid w:val="2CF3012F"/>
    <w:rsid w:val="2D3518F2"/>
    <w:rsid w:val="2D744BB6"/>
    <w:rsid w:val="2D986AF6"/>
    <w:rsid w:val="2DAD62B0"/>
    <w:rsid w:val="2DDF4725"/>
    <w:rsid w:val="2DE0224B"/>
    <w:rsid w:val="2E0979F4"/>
    <w:rsid w:val="2E2A34C6"/>
    <w:rsid w:val="2E404EE0"/>
    <w:rsid w:val="2E474A29"/>
    <w:rsid w:val="2EAE13E8"/>
    <w:rsid w:val="2ED578D6"/>
    <w:rsid w:val="2EDD5526"/>
    <w:rsid w:val="2EF0181A"/>
    <w:rsid w:val="2EF7784D"/>
    <w:rsid w:val="2EFF68B0"/>
    <w:rsid w:val="2F1E74CF"/>
    <w:rsid w:val="2F1F0B51"/>
    <w:rsid w:val="2F2B7153"/>
    <w:rsid w:val="2F4C4A27"/>
    <w:rsid w:val="2F4F58DB"/>
    <w:rsid w:val="2F50459E"/>
    <w:rsid w:val="2F61560E"/>
    <w:rsid w:val="2F6A44C2"/>
    <w:rsid w:val="2F8A246F"/>
    <w:rsid w:val="2FA21B63"/>
    <w:rsid w:val="2FFD0AFA"/>
    <w:rsid w:val="30442F65"/>
    <w:rsid w:val="30601421"/>
    <w:rsid w:val="30833F5B"/>
    <w:rsid w:val="309061AB"/>
    <w:rsid w:val="30980BBB"/>
    <w:rsid w:val="30A13F14"/>
    <w:rsid w:val="30FF0C3A"/>
    <w:rsid w:val="314A231E"/>
    <w:rsid w:val="3169563F"/>
    <w:rsid w:val="319E48F7"/>
    <w:rsid w:val="31B82057"/>
    <w:rsid w:val="31ED1F75"/>
    <w:rsid w:val="320E6C0A"/>
    <w:rsid w:val="32146967"/>
    <w:rsid w:val="3219248F"/>
    <w:rsid w:val="32BA2DF9"/>
    <w:rsid w:val="32CB7123"/>
    <w:rsid w:val="32DC390A"/>
    <w:rsid w:val="32DF2E22"/>
    <w:rsid w:val="33323549"/>
    <w:rsid w:val="33925D96"/>
    <w:rsid w:val="33DC5263"/>
    <w:rsid w:val="33E34843"/>
    <w:rsid w:val="340F05EB"/>
    <w:rsid w:val="3469433F"/>
    <w:rsid w:val="346E546B"/>
    <w:rsid w:val="34733E19"/>
    <w:rsid w:val="347831DE"/>
    <w:rsid w:val="348E2A01"/>
    <w:rsid w:val="349C3FC4"/>
    <w:rsid w:val="34B306BA"/>
    <w:rsid w:val="34B7092E"/>
    <w:rsid w:val="34D4715C"/>
    <w:rsid w:val="351153E0"/>
    <w:rsid w:val="35246EC1"/>
    <w:rsid w:val="352B0250"/>
    <w:rsid w:val="3532636B"/>
    <w:rsid w:val="353763C2"/>
    <w:rsid w:val="3566572C"/>
    <w:rsid w:val="356B4AF0"/>
    <w:rsid w:val="358257B6"/>
    <w:rsid w:val="35B73253"/>
    <w:rsid w:val="35D46B3A"/>
    <w:rsid w:val="35E328D9"/>
    <w:rsid w:val="35ED3757"/>
    <w:rsid w:val="363F0F2E"/>
    <w:rsid w:val="36432BB5"/>
    <w:rsid w:val="36593F1B"/>
    <w:rsid w:val="365D6B2F"/>
    <w:rsid w:val="36981915"/>
    <w:rsid w:val="36E7289C"/>
    <w:rsid w:val="36F17277"/>
    <w:rsid w:val="370276D6"/>
    <w:rsid w:val="3727738D"/>
    <w:rsid w:val="37321D6A"/>
    <w:rsid w:val="37385D4E"/>
    <w:rsid w:val="3768578B"/>
    <w:rsid w:val="37841E99"/>
    <w:rsid w:val="37BA1D5F"/>
    <w:rsid w:val="37E063E8"/>
    <w:rsid w:val="37FF59C4"/>
    <w:rsid w:val="38010942"/>
    <w:rsid w:val="381A5981"/>
    <w:rsid w:val="381C04B5"/>
    <w:rsid w:val="382C6099"/>
    <w:rsid w:val="386341A5"/>
    <w:rsid w:val="38796AC8"/>
    <w:rsid w:val="387F672B"/>
    <w:rsid w:val="388008B3"/>
    <w:rsid w:val="388F0AF6"/>
    <w:rsid w:val="38AD4C0A"/>
    <w:rsid w:val="38F6728A"/>
    <w:rsid w:val="38F800D1"/>
    <w:rsid w:val="39022BD9"/>
    <w:rsid w:val="390239BE"/>
    <w:rsid w:val="392A081F"/>
    <w:rsid w:val="392B63BF"/>
    <w:rsid w:val="394915ED"/>
    <w:rsid w:val="395A7356"/>
    <w:rsid w:val="395C19B8"/>
    <w:rsid w:val="395E6187"/>
    <w:rsid w:val="397A3554"/>
    <w:rsid w:val="397F6DBC"/>
    <w:rsid w:val="399B2397"/>
    <w:rsid w:val="399B2EBC"/>
    <w:rsid w:val="39C80763"/>
    <w:rsid w:val="3A0A0D7C"/>
    <w:rsid w:val="3A0C637C"/>
    <w:rsid w:val="3A695377"/>
    <w:rsid w:val="3A7C6534"/>
    <w:rsid w:val="3A9063FC"/>
    <w:rsid w:val="3AA443B0"/>
    <w:rsid w:val="3AAA7D23"/>
    <w:rsid w:val="3ABB3E24"/>
    <w:rsid w:val="3AC727C9"/>
    <w:rsid w:val="3B657339"/>
    <w:rsid w:val="3BBF475C"/>
    <w:rsid w:val="3BF01595"/>
    <w:rsid w:val="3BF84C04"/>
    <w:rsid w:val="3C3F0A85"/>
    <w:rsid w:val="3C526A0A"/>
    <w:rsid w:val="3C720E5A"/>
    <w:rsid w:val="3C8D359E"/>
    <w:rsid w:val="3CBC3E83"/>
    <w:rsid w:val="3CBD0327"/>
    <w:rsid w:val="3CC66AB0"/>
    <w:rsid w:val="3CD63197"/>
    <w:rsid w:val="3D137E7B"/>
    <w:rsid w:val="3D17730C"/>
    <w:rsid w:val="3D1C4922"/>
    <w:rsid w:val="3D791D75"/>
    <w:rsid w:val="3D793B23"/>
    <w:rsid w:val="3D85696B"/>
    <w:rsid w:val="3DA8054D"/>
    <w:rsid w:val="3DB8342E"/>
    <w:rsid w:val="3DCB25D0"/>
    <w:rsid w:val="3DCC00F6"/>
    <w:rsid w:val="3DE43692"/>
    <w:rsid w:val="3E0932D7"/>
    <w:rsid w:val="3E3F4D6C"/>
    <w:rsid w:val="3E921340"/>
    <w:rsid w:val="3EA370A9"/>
    <w:rsid w:val="3EBC016B"/>
    <w:rsid w:val="3F0A537A"/>
    <w:rsid w:val="3F0F4C63"/>
    <w:rsid w:val="3F147FA7"/>
    <w:rsid w:val="3F2B709E"/>
    <w:rsid w:val="3F3423F7"/>
    <w:rsid w:val="3F3C12AC"/>
    <w:rsid w:val="3F587BC8"/>
    <w:rsid w:val="3F7E3672"/>
    <w:rsid w:val="3F894719"/>
    <w:rsid w:val="3FD4205C"/>
    <w:rsid w:val="3FFB6826"/>
    <w:rsid w:val="4024421A"/>
    <w:rsid w:val="402765C1"/>
    <w:rsid w:val="40324B88"/>
    <w:rsid w:val="404E1296"/>
    <w:rsid w:val="40786313"/>
    <w:rsid w:val="40A9471F"/>
    <w:rsid w:val="40AE6260"/>
    <w:rsid w:val="40AE7F87"/>
    <w:rsid w:val="40C20BE4"/>
    <w:rsid w:val="40E125FF"/>
    <w:rsid w:val="40EA5463"/>
    <w:rsid w:val="40F304B2"/>
    <w:rsid w:val="410B7187"/>
    <w:rsid w:val="411A73CB"/>
    <w:rsid w:val="415753EA"/>
    <w:rsid w:val="416845DA"/>
    <w:rsid w:val="41CF4659"/>
    <w:rsid w:val="41D37CA5"/>
    <w:rsid w:val="42066996"/>
    <w:rsid w:val="42071629"/>
    <w:rsid w:val="420C1409"/>
    <w:rsid w:val="420E4FFD"/>
    <w:rsid w:val="42165DE4"/>
    <w:rsid w:val="42A454CF"/>
    <w:rsid w:val="42D31134"/>
    <w:rsid w:val="42D67595"/>
    <w:rsid w:val="431A39DA"/>
    <w:rsid w:val="431B7F41"/>
    <w:rsid w:val="433168CD"/>
    <w:rsid w:val="43465511"/>
    <w:rsid w:val="435E7A42"/>
    <w:rsid w:val="436F33FC"/>
    <w:rsid w:val="439F2596"/>
    <w:rsid w:val="43B65AD0"/>
    <w:rsid w:val="43FB34E3"/>
    <w:rsid w:val="440950CF"/>
    <w:rsid w:val="440E1469"/>
    <w:rsid w:val="44195A78"/>
    <w:rsid w:val="444535B2"/>
    <w:rsid w:val="444C1F91"/>
    <w:rsid w:val="445A46AE"/>
    <w:rsid w:val="447D214A"/>
    <w:rsid w:val="44B9344A"/>
    <w:rsid w:val="44D37FBC"/>
    <w:rsid w:val="45280BA9"/>
    <w:rsid w:val="45372C41"/>
    <w:rsid w:val="45516A28"/>
    <w:rsid w:val="455C6204"/>
    <w:rsid w:val="455F23B5"/>
    <w:rsid w:val="457D6348"/>
    <w:rsid w:val="458F42E8"/>
    <w:rsid w:val="45965BB9"/>
    <w:rsid w:val="459E681C"/>
    <w:rsid w:val="45D21CF5"/>
    <w:rsid w:val="46127295"/>
    <w:rsid w:val="46333408"/>
    <w:rsid w:val="463E16D3"/>
    <w:rsid w:val="46492C2C"/>
    <w:rsid w:val="468361BB"/>
    <w:rsid w:val="46BA7686"/>
    <w:rsid w:val="46EE37D3"/>
    <w:rsid w:val="46F20EAA"/>
    <w:rsid w:val="471548BC"/>
    <w:rsid w:val="471F1BDF"/>
    <w:rsid w:val="47307948"/>
    <w:rsid w:val="473F534F"/>
    <w:rsid w:val="47401F87"/>
    <w:rsid w:val="475E2707"/>
    <w:rsid w:val="4792415F"/>
    <w:rsid w:val="47BB1907"/>
    <w:rsid w:val="47E10C42"/>
    <w:rsid w:val="4800731A"/>
    <w:rsid w:val="48013092"/>
    <w:rsid w:val="4806210D"/>
    <w:rsid w:val="484F704F"/>
    <w:rsid w:val="488B2930"/>
    <w:rsid w:val="489108BA"/>
    <w:rsid w:val="48A17531"/>
    <w:rsid w:val="48B56357"/>
    <w:rsid w:val="48C77E38"/>
    <w:rsid w:val="48DA2BA9"/>
    <w:rsid w:val="48FA645F"/>
    <w:rsid w:val="48FB5D34"/>
    <w:rsid w:val="495A5150"/>
    <w:rsid w:val="495F016F"/>
    <w:rsid w:val="497E2BEC"/>
    <w:rsid w:val="49861AA1"/>
    <w:rsid w:val="49926698"/>
    <w:rsid w:val="49B4660E"/>
    <w:rsid w:val="49B72FF8"/>
    <w:rsid w:val="49C83E68"/>
    <w:rsid w:val="49CF3448"/>
    <w:rsid w:val="49F70BF1"/>
    <w:rsid w:val="4A11580F"/>
    <w:rsid w:val="4A1452FF"/>
    <w:rsid w:val="4A1672C9"/>
    <w:rsid w:val="4A17397A"/>
    <w:rsid w:val="4A275032"/>
    <w:rsid w:val="4A280DAA"/>
    <w:rsid w:val="4A361719"/>
    <w:rsid w:val="4A370FED"/>
    <w:rsid w:val="4A5077BE"/>
    <w:rsid w:val="4A560A42"/>
    <w:rsid w:val="4A993A56"/>
    <w:rsid w:val="4AD8632C"/>
    <w:rsid w:val="4ADD7DE7"/>
    <w:rsid w:val="4AF26104"/>
    <w:rsid w:val="4B3A6FE7"/>
    <w:rsid w:val="4B58121B"/>
    <w:rsid w:val="4B86222C"/>
    <w:rsid w:val="4BA6709D"/>
    <w:rsid w:val="4BAB57EF"/>
    <w:rsid w:val="4BC57002"/>
    <w:rsid w:val="4BDC1E4C"/>
    <w:rsid w:val="4BE9586A"/>
    <w:rsid w:val="4C180FBA"/>
    <w:rsid w:val="4C4C033D"/>
    <w:rsid w:val="4C61040C"/>
    <w:rsid w:val="4CB701C3"/>
    <w:rsid w:val="4CBE77A4"/>
    <w:rsid w:val="4CCE5C39"/>
    <w:rsid w:val="4CD81DED"/>
    <w:rsid w:val="4CF02BAE"/>
    <w:rsid w:val="4CFD02CC"/>
    <w:rsid w:val="4D487331"/>
    <w:rsid w:val="4D6D760B"/>
    <w:rsid w:val="4D956757"/>
    <w:rsid w:val="4DB42944"/>
    <w:rsid w:val="4DC25072"/>
    <w:rsid w:val="4DF53699"/>
    <w:rsid w:val="4E296E9F"/>
    <w:rsid w:val="4E404914"/>
    <w:rsid w:val="4E54216E"/>
    <w:rsid w:val="4E5656AA"/>
    <w:rsid w:val="4E571C5E"/>
    <w:rsid w:val="4E766588"/>
    <w:rsid w:val="4E9530CB"/>
    <w:rsid w:val="4E9B7D9D"/>
    <w:rsid w:val="4EA604F0"/>
    <w:rsid w:val="4EB15812"/>
    <w:rsid w:val="4EC72940"/>
    <w:rsid w:val="4ED27537"/>
    <w:rsid w:val="4EF456FF"/>
    <w:rsid w:val="4EF664DD"/>
    <w:rsid w:val="4F0D48D8"/>
    <w:rsid w:val="4F111E0D"/>
    <w:rsid w:val="4F31425D"/>
    <w:rsid w:val="4F7B1EE8"/>
    <w:rsid w:val="4FA7451F"/>
    <w:rsid w:val="4FB1539E"/>
    <w:rsid w:val="4FC60E49"/>
    <w:rsid w:val="4FD265EF"/>
    <w:rsid w:val="4FEE2462"/>
    <w:rsid w:val="4FF254C9"/>
    <w:rsid w:val="501871CB"/>
    <w:rsid w:val="50224539"/>
    <w:rsid w:val="50493828"/>
    <w:rsid w:val="5052092F"/>
    <w:rsid w:val="50546455"/>
    <w:rsid w:val="5074444A"/>
    <w:rsid w:val="507E7976"/>
    <w:rsid w:val="50827466"/>
    <w:rsid w:val="50E17F44"/>
    <w:rsid w:val="50E83041"/>
    <w:rsid w:val="513242BC"/>
    <w:rsid w:val="5143680B"/>
    <w:rsid w:val="518A5EA7"/>
    <w:rsid w:val="51AC406F"/>
    <w:rsid w:val="51B42E84"/>
    <w:rsid w:val="51B502E6"/>
    <w:rsid w:val="51E269DA"/>
    <w:rsid w:val="51FE6812"/>
    <w:rsid w:val="5217598C"/>
    <w:rsid w:val="523302EC"/>
    <w:rsid w:val="52482740"/>
    <w:rsid w:val="524A3FB4"/>
    <w:rsid w:val="52730BE7"/>
    <w:rsid w:val="528B1ED6"/>
    <w:rsid w:val="52A5315E"/>
    <w:rsid w:val="52A5505E"/>
    <w:rsid w:val="52AD5C32"/>
    <w:rsid w:val="52B96A43"/>
    <w:rsid w:val="52EC3399"/>
    <w:rsid w:val="52FB705C"/>
    <w:rsid w:val="53071AA0"/>
    <w:rsid w:val="530A21EF"/>
    <w:rsid w:val="5325232B"/>
    <w:rsid w:val="5340253A"/>
    <w:rsid w:val="53491D7F"/>
    <w:rsid w:val="53B536AF"/>
    <w:rsid w:val="53C102A5"/>
    <w:rsid w:val="53C658BC"/>
    <w:rsid w:val="53D0540C"/>
    <w:rsid w:val="53DB1569"/>
    <w:rsid w:val="53E73A84"/>
    <w:rsid w:val="53EC109A"/>
    <w:rsid w:val="53FD0BB2"/>
    <w:rsid w:val="5402441A"/>
    <w:rsid w:val="54210D44"/>
    <w:rsid w:val="54240834"/>
    <w:rsid w:val="54273E81"/>
    <w:rsid w:val="54996B2C"/>
    <w:rsid w:val="54BD083A"/>
    <w:rsid w:val="54C87412"/>
    <w:rsid w:val="54CE3AA7"/>
    <w:rsid w:val="54F621D1"/>
    <w:rsid w:val="55456CB4"/>
    <w:rsid w:val="554A7E27"/>
    <w:rsid w:val="554C0043"/>
    <w:rsid w:val="556233C2"/>
    <w:rsid w:val="55676C2B"/>
    <w:rsid w:val="55887E86"/>
    <w:rsid w:val="558C48E3"/>
    <w:rsid w:val="55904008"/>
    <w:rsid w:val="55C45E2B"/>
    <w:rsid w:val="55CC4CE0"/>
    <w:rsid w:val="55F80DE6"/>
    <w:rsid w:val="563A7E9B"/>
    <w:rsid w:val="564B20A8"/>
    <w:rsid w:val="565A053D"/>
    <w:rsid w:val="56815ACA"/>
    <w:rsid w:val="568A7075"/>
    <w:rsid w:val="56BA309F"/>
    <w:rsid w:val="56FE536D"/>
    <w:rsid w:val="5707276E"/>
    <w:rsid w:val="578F2469"/>
    <w:rsid w:val="579E445A"/>
    <w:rsid w:val="57BD79EE"/>
    <w:rsid w:val="57D8796C"/>
    <w:rsid w:val="57E02CC4"/>
    <w:rsid w:val="57FA1FD8"/>
    <w:rsid w:val="58134E48"/>
    <w:rsid w:val="582B03E3"/>
    <w:rsid w:val="585969EE"/>
    <w:rsid w:val="587F1376"/>
    <w:rsid w:val="58E16CF4"/>
    <w:rsid w:val="591440CB"/>
    <w:rsid w:val="593E5EF4"/>
    <w:rsid w:val="59590F80"/>
    <w:rsid w:val="597B2CA5"/>
    <w:rsid w:val="59875AED"/>
    <w:rsid w:val="599B6EA3"/>
    <w:rsid w:val="59BA2DF2"/>
    <w:rsid w:val="59D16D68"/>
    <w:rsid w:val="59E00D5A"/>
    <w:rsid w:val="59E52814"/>
    <w:rsid w:val="59F40A90"/>
    <w:rsid w:val="5A0A04CC"/>
    <w:rsid w:val="5A4E2167"/>
    <w:rsid w:val="5A6668F8"/>
    <w:rsid w:val="5B0B62AA"/>
    <w:rsid w:val="5B3227F7"/>
    <w:rsid w:val="5B70610D"/>
    <w:rsid w:val="5B7200D7"/>
    <w:rsid w:val="5B863B83"/>
    <w:rsid w:val="5BAA7933"/>
    <w:rsid w:val="5C5B4BE0"/>
    <w:rsid w:val="5C8C3F19"/>
    <w:rsid w:val="5CBF734C"/>
    <w:rsid w:val="5CD03307"/>
    <w:rsid w:val="5D0D6309"/>
    <w:rsid w:val="5D184CAE"/>
    <w:rsid w:val="5D464A81"/>
    <w:rsid w:val="5D4F0AB0"/>
    <w:rsid w:val="5D713453"/>
    <w:rsid w:val="5D902A97"/>
    <w:rsid w:val="5D973E25"/>
    <w:rsid w:val="5DA67488"/>
    <w:rsid w:val="5DC310BE"/>
    <w:rsid w:val="5DC34C1A"/>
    <w:rsid w:val="5E2C30D6"/>
    <w:rsid w:val="5E40270F"/>
    <w:rsid w:val="5E435D5B"/>
    <w:rsid w:val="5E6C430F"/>
    <w:rsid w:val="5E7545F0"/>
    <w:rsid w:val="5E787040"/>
    <w:rsid w:val="5E9F7435"/>
    <w:rsid w:val="5EC46E9C"/>
    <w:rsid w:val="5ECE1AC8"/>
    <w:rsid w:val="5ED15115"/>
    <w:rsid w:val="5EDC0456"/>
    <w:rsid w:val="5EF41669"/>
    <w:rsid w:val="5EF62DCD"/>
    <w:rsid w:val="5F1B3EB3"/>
    <w:rsid w:val="5F211443"/>
    <w:rsid w:val="5F2142EE"/>
    <w:rsid w:val="5F5A15AE"/>
    <w:rsid w:val="5F6B7317"/>
    <w:rsid w:val="5F6D308F"/>
    <w:rsid w:val="5F7009F3"/>
    <w:rsid w:val="5F8B5C0B"/>
    <w:rsid w:val="5F97635E"/>
    <w:rsid w:val="5FA171DD"/>
    <w:rsid w:val="60017C7C"/>
    <w:rsid w:val="602D6CC3"/>
    <w:rsid w:val="602E2050"/>
    <w:rsid w:val="605B21F0"/>
    <w:rsid w:val="606A5821"/>
    <w:rsid w:val="608B091C"/>
    <w:rsid w:val="6090299C"/>
    <w:rsid w:val="60B43EBD"/>
    <w:rsid w:val="60CA62C0"/>
    <w:rsid w:val="60CB21A4"/>
    <w:rsid w:val="610C6227"/>
    <w:rsid w:val="61167757"/>
    <w:rsid w:val="611C2FBF"/>
    <w:rsid w:val="6151078F"/>
    <w:rsid w:val="615E35D8"/>
    <w:rsid w:val="6162474A"/>
    <w:rsid w:val="61691F7C"/>
    <w:rsid w:val="61B76844"/>
    <w:rsid w:val="61C32B70"/>
    <w:rsid w:val="621127B9"/>
    <w:rsid w:val="623B719A"/>
    <w:rsid w:val="626E1634"/>
    <w:rsid w:val="62970423"/>
    <w:rsid w:val="62D47AE0"/>
    <w:rsid w:val="62E55633"/>
    <w:rsid w:val="62EE2739"/>
    <w:rsid w:val="62FB09B2"/>
    <w:rsid w:val="63520F1A"/>
    <w:rsid w:val="637A221F"/>
    <w:rsid w:val="638D1BDF"/>
    <w:rsid w:val="63A23524"/>
    <w:rsid w:val="63AD5DD7"/>
    <w:rsid w:val="63BC6393"/>
    <w:rsid w:val="63FA378C"/>
    <w:rsid w:val="645804F4"/>
    <w:rsid w:val="64C33752"/>
    <w:rsid w:val="64DE2EB8"/>
    <w:rsid w:val="64E35BA2"/>
    <w:rsid w:val="64F943AD"/>
    <w:rsid w:val="6502427A"/>
    <w:rsid w:val="650C50F9"/>
    <w:rsid w:val="651069C0"/>
    <w:rsid w:val="651A3680"/>
    <w:rsid w:val="65533539"/>
    <w:rsid w:val="65925B5C"/>
    <w:rsid w:val="65C6174B"/>
    <w:rsid w:val="65E816C2"/>
    <w:rsid w:val="65FC33BF"/>
    <w:rsid w:val="66044A64"/>
    <w:rsid w:val="66061B48"/>
    <w:rsid w:val="6618187B"/>
    <w:rsid w:val="662D3578"/>
    <w:rsid w:val="663761A5"/>
    <w:rsid w:val="663A7A43"/>
    <w:rsid w:val="664B39FF"/>
    <w:rsid w:val="664F5205"/>
    <w:rsid w:val="66624557"/>
    <w:rsid w:val="66805D9E"/>
    <w:rsid w:val="66A650D9"/>
    <w:rsid w:val="66CB4B3F"/>
    <w:rsid w:val="66E63727"/>
    <w:rsid w:val="6703077D"/>
    <w:rsid w:val="670C13E0"/>
    <w:rsid w:val="672A7AB8"/>
    <w:rsid w:val="673232D2"/>
    <w:rsid w:val="673B1CC5"/>
    <w:rsid w:val="67501E9D"/>
    <w:rsid w:val="678A6944"/>
    <w:rsid w:val="67AE693B"/>
    <w:rsid w:val="67CE2B39"/>
    <w:rsid w:val="67D31EFE"/>
    <w:rsid w:val="67EB7247"/>
    <w:rsid w:val="68183DB4"/>
    <w:rsid w:val="68212C69"/>
    <w:rsid w:val="68356714"/>
    <w:rsid w:val="684B418A"/>
    <w:rsid w:val="68500BA5"/>
    <w:rsid w:val="68617509"/>
    <w:rsid w:val="6864524C"/>
    <w:rsid w:val="68664B20"/>
    <w:rsid w:val="686F52C0"/>
    <w:rsid w:val="688B7DAF"/>
    <w:rsid w:val="689C6793"/>
    <w:rsid w:val="68C90380"/>
    <w:rsid w:val="68C9518F"/>
    <w:rsid w:val="68D777CC"/>
    <w:rsid w:val="68DE3EA5"/>
    <w:rsid w:val="68E60CA0"/>
    <w:rsid w:val="68EB3277"/>
    <w:rsid w:val="690A62AB"/>
    <w:rsid w:val="691427CE"/>
    <w:rsid w:val="691722BE"/>
    <w:rsid w:val="695E693D"/>
    <w:rsid w:val="699A6175"/>
    <w:rsid w:val="69AA00CC"/>
    <w:rsid w:val="69BA1A91"/>
    <w:rsid w:val="69D43D6C"/>
    <w:rsid w:val="69E95A08"/>
    <w:rsid w:val="6A2353BE"/>
    <w:rsid w:val="6A5D01A4"/>
    <w:rsid w:val="6A715EFF"/>
    <w:rsid w:val="6A812FE3"/>
    <w:rsid w:val="6AB724ED"/>
    <w:rsid w:val="6AFE7291"/>
    <w:rsid w:val="6B09321A"/>
    <w:rsid w:val="6B241EE6"/>
    <w:rsid w:val="6B43383E"/>
    <w:rsid w:val="6B440119"/>
    <w:rsid w:val="6B4A45E8"/>
    <w:rsid w:val="6B655563"/>
    <w:rsid w:val="6B735ED1"/>
    <w:rsid w:val="6B9C7F9F"/>
    <w:rsid w:val="6C054650"/>
    <w:rsid w:val="6C271881"/>
    <w:rsid w:val="6C57134F"/>
    <w:rsid w:val="6C5C2300"/>
    <w:rsid w:val="6C670D68"/>
    <w:rsid w:val="6C7A3290"/>
    <w:rsid w:val="6C861C34"/>
    <w:rsid w:val="6C8639E2"/>
    <w:rsid w:val="6C89702F"/>
    <w:rsid w:val="6C8E0AE9"/>
    <w:rsid w:val="6CA837AD"/>
    <w:rsid w:val="6CF05300"/>
    <w:rsid w:val="6D100E7E"/>
    <w:rsid w:val="6D3C6797"/>
    <w:rsid w:val="6D4C69DA"/>
    <w:rsid w:val="6D9B34BE"/>
    <w:rsid w:val="6DAA54AF"/>
    <w:rsid w:val="6DBA4861"/>
    <w:rsid w:val="6DBD1686"/>
    <w:rsid w:val="6DEC77F6"/>
    <w:rsid w:val="6DF652D6"/>
    <w:rsid w:val="6E0077C5"/>
    <w:rsid w:val="6E1868BC"/>
    <w:rsid w:val="6E232B26"/>
    <w:rsid w:val="6E2702A0"/>
    <w:rsid w:val="6E2C174D"/>
    <w:rsid w:val="6E333D17"/>
    <w:rsid w:val="6E5042A8"/>
    <w:rsid w:val="6E565636"/>
    <w:rsid w:val="6E831696"/>
    <w:rsid w:val="6E8606A6"/>
    <w:rsid w:val="6E8B3532"/>
    <w:rsid w:val="6E9A5523"/>
    <w:rsid w:val="6EA345F3"/>
    <w:rsid w:val="6EA6211A"/>
    <w:rsid w:val="6EB83BFB"/>
    <w:rsid w:val="6EFE1F56"/>
    <w:rsid w:val="6F1A5974"/>
    <w:rsid w:val="6F20011E"/>
    <w:rsid w:val="6F40631D"/>
    <w:rsid w:val="6F43795F"/>
    <w:rsid w:val="6F542790"/>
    <w:rsid w:val="6F611903"/>
    <w:rsid w:val="6F72024E"/>
    <w:rsid w:val="6F8C011E"/>
    <w:rsid w:val="6F9208F0"/>
    <w:rsid w:val="6FC00FB9"/>
    <w:rsid w:val="6FC7059A"/>
    <w:rsid w:val="6FD44A65"/>
    <w:rsid w:val="6FD53F4C"/>
    <w:rsid w:val="6FDB4045"/>
    <w:rsid w:val="7048036F"/>
    <w:rsid w:val="707324D0"/>
    <w:rsid w:val="708F4F73"/>
    <w:rsid w:val="709F5073"/>
    <w:rsid w:val="70A7078C"/>
    <w:rsid w:val="70DB6A9F"/>
    <w:rsid w:val="70DC1E23"/>
    <w:rsid w:val="70DE203F"/>
    <w:rsid w:val="70E92792"/>
    <w:rsid w:val="70FF3ACD"/>
    <w:rsid w:val="711C4EE4"/>
    <w:rsid w:val="7138050E"/>
    <w:rsid w:val="71396B13"/>
    <w:rsid w:val="71512933"/>
    <w:rsid w:val="719F3D05"/>
    <w:rsid w:val="71B92164"/>
    <w:rsid w:val="71CF1988"/>
    <w:rsid w:val="71DD6A85"/>
    <w:rsid w:val="71E80C9B"/>
    <w:rsid w:val="71FE7A8B"/>
    <w:rsid w:val="72273572"/>
    <w:rsid w:val="72357D04"/>
    <w:rsid w:val="723B0DCB"/>
    <w:rsid w:val="72430D76"/>
    <w:rsid w:val="726C367A"/>
    <w:rsid w:val="72850298"/>
    <w:rsid w:val="72892454"/>
    <w:rsid w:val="72A252EE"/>
    <w:rsid w:val="72AA6A6D"/>
    <w:rsid w:val="72DA05E4"/>
    <w:rsid w:val="730D0E03"/>
    <w:rsid w:val="733817AF"/>
    <w:rsid w:val="73EB05CF"/>
    <w:rsid w:val="73EF11D1"/>
    <w:rsid w:val="73F86FD9"/>
    <w:rsid w:val="7400407A"/>
    <w:rsid w:val="7439758C"/>
    <w:rsid w:val="74CE23CA"/>
    <w:rsid w:val="74EC2851"/>
    <w:rsid w:val="74F90479"/>
    <w:rsid w:val="74FD680C"/>
    <w:rsid w:val="7524134F"/>
    <w:rsid w:val="753C7334"/>
    <w:rsid w:val="759E3B4B"/>
    <w:rsid w:val="75B25848"/>
    <w:rsid w:val="75BF1D13"/>
    <w:rsid w:val="75E95B90"/>
    <w:rsid w:val="75F06371"/>
    <w:rsid w:val="7641097A"/>
    <w:rsid w:val="76630F42"/>
    <w:rsid w:val="7671125F"/>
    <w:rsid w:val="769B62DC"/>
    <w:rsid w:val="76DE441B"/>
    <w:rsid w:val="76E539FB"/>
    <w:rsid w:val="76E77774"/>
    <w:rsid w:val="76E84B65"/>
    <w:rsid w:val="77000835"/>
    <w:rsid w:val="77040325"/>
    <w:rsid w:val="77163BB5"/>
    <w:rsid w:val="772C62C7"/>
    <w:rsid w:val="77336515"/>
    <w:rsid w:val="778154D2"/>
    <w:rsid w:val="778D031B"/>
    <w:rsid w:val="778D20C9"/>
    <w:rsid w:val="779A3C96"/>
    <w:rsid w:val="779B6429"/>
    <w:rsid w:val="77C2072D"/>
    <w:rsid w:val="77E872FF"/>
    <w:rsid w:val="78306EF8"/>
    <w:rsid w:val="784A4AEA"/>
    <w:rsid w:val="786854CC"/>
    <w:rsid w:val="78992912"/>
    <w:rsid w:val="78B95140"/>
    <w:rsid w:val="78EC5693"/>
    <w:rsid w:val="79423F98"/>
    <w:rsid w:val="794C38BE"/>
    <w:rsid w:val="7959789D"/>
    <w:rsid w:val="79607369"/>
    <w:rsid w:val="79677B2E"/>
    <w:rsid w:val="796B01E8"/>
    <w:rsid w:val="797D7F1B"/>
    <w:rsid w:val="798A0AC8"/>
    <w:rsid w:val="7A3A405E"/>
    <w:rsid w:val="7A523156"/>
    <w:rsid w:val="7A546F28"/>
    <w:rsid w:val="7A7430CC"/>
    <w:rsid w:val="7A777060"/>
    <w:rsid w:val="7A903524"/>
    <w:rsid w:val="7A91596F"/>
    <w:rsid w:val="7AC1208A"/>
    <w:rsid w:val="7AE364A4"/>
    <w:rsid w:val="7B000E04"/>
    <w:rsid w:val="7B1D5512"/>
    <w:rsid w:val="7B5573A2"/>
    <w:rsid w:val="7B615D46"/>
    <w:rsid w:val="7B8C2698"/>
    <w:rsid w:val="7B914152"/>
    <w:rsid w:val="7B91581E"/>
    <w:rsid w:val="7B982064"/>
    <w:rsid w:val="7BA7127F"/>
    <w:rsid w:val="7BCB31C0"/>
    <w:rsid w:val="7BFC5A6F"/>
    <w:rsid w:val="7C324FED"/>
    <w:rsid w:val="7C360FFB"/>
    <w:rsid w:val="7C4B2553"/>
    <w:rsid w:val="7C8E41ED"/>
    <w:rsid w:val="7C977546"/>
    <w:rsid w:val="7CF20C20"/>
    <w:rsid w:val="7CFE1373"/>
    <w:rsid w:val="7D4F0A19"/>
    <w:rsid w:val="7D6A4E96"/>
    <w:rsid w:val="7D6E02A7"/>
    <w:rsid w:val="7D7A213C"/>
    <w:rsid w:val="7D7D04EA"/>
    <w:rsid w:val="7DA61DA6"/>
    <w:rsid w:val="7DA954AD"/>
    <w:rsid w:val="7DE467BB"/>
    <w:rsid w:val="7DE7505A"/>
    <w:rsid w:val="7E1018EE"/>
    <w:rsid w:val="7E1F77F3"/>
    <w:rsid w:val="7E3C17BB"/>
    <w:rsid w:val="7E885398"/>
    <w:rsid w:val="7EB37821"/>
    <w:rsid w:val="7EC16FCE"/>
    <w:rsid w:val="7ED61CDB"/>
    <w:rsid w:val="7EDB3B9C"/>
    <w:rsid w:val="7EEC1DCB"/>
    <w:rsid w:val="7F0B7D77"/>
    <w:rsid w:val="7F2A644F"/>
    <w:rsid w:val="7F6D207F"/>
    <w:rsid w:val="7FC543CA"/>
    <w:rsid w:val="7FCC7507"/>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1"/>
    <w:autoRedefine/>
    <w:qFormat/>
    <w:uiPriority w:val="0"/>
    <w:pPr>
      <w:keepNext/>
      <w:jc w:val="center"/>
      <w:outlineLvl w:val="0"/>
    </w:pPr>
    <w:rPr>
      <w:rFonts w:ascii="仿宋_GB2312" w:eastAsia="仿宋_GB2312"/>
      <w:kern w:val="0"/>
      <w:sz w:val="28"/>
    </w:rPr>
  </w:style>
  <w:style w:type="paragraph" w:styleId="3">
    <w:name w:val="heading 2"/>
    <w:basedOn w:val="1"/>
    <w:next w:val="1"/>
    <w:link w:val="70"/>
    <w:autoRedefine/>
    <w:qFormat/>
    <w:uiPriority w:val="99"/>
    <w:pPr>
      <w:keepNext/>
      <w:numPr>
        <w:ilvl w:val="0"/>
        <w:numId w:val="1"/>
      </w:numPr>
      <w:tabs>
        <w:tab w:val="left" w:pos="420"/>
        <w:tab w:val="clear" w:pos="330"/>
      </w:tabs>
      <w:spacing w:line="360" w:lineRule="auto"/>
      <w:outlineLvl w:val="1"/>
    </w:pPr>
    <w:rPr>
      <w:b/>
      <w:sz w:val="24"/>
      <w:szCs w:val="24"/>
    </w:rPr>
  </w:style>
  <w:style w:type="paragraph" w:styleId="4">
    <w:name w:val="heading 3"/>
    <w:basedOn w:val="1"/>
    <w:next w:val="5"/>
    <w:autoRedefine/>
    <w:qFormat/>
    <w:uiPriority w:val="0"/>
    <w:pPr>
      <w:keepNext/>
      <w:numPr>
        <w:ilvl w:val="0"/>
        <w:numId w:val="2"/>
      </w:numPr>
      <w:tabs>
        <w:tab w:val="left" w:pos="468"/>
      </w:tabs>
      <w:outlineLvl w:val="2"/>
    </w:pPr>
    <w:rPr>
      <w:b/>
      <w:bCs/>
      <w:sz w:val="28"/>
      <w:szCs w:val="24"/>
    </w:rPr>
  </w:style>
  <w:style w:type="paragraph" w:styleId="7">
    <w:name w:val="heading 4"/>
    <w:basedOn w:val="8"/>
    <w:next w:val="1"/>
    <w:autoRedefine/>
    <w:qFormat/>
    <w:uiPriority w:val="0"/>
    <w:pPr>
      <w:keepNext/>
      <w:numPr>
        <w:ilvl w:val="0"/>
        <w:numId w:val="3"/>
      </w:numPr>
      <w:outlineLvl w:val="3"/>
    </w:pPr>
    <w:rPr>
      <w:b/>
      <w:color w:val="000000"/>
      <w:sz w:val="28"/>
      <w:szCs w:val="24"/>
      <w:u w:val="single"/>
    </w:rPr>
  </w:style>
  <w:style w:type="character" w:default="1" w:styleId="29">
    <w:name w:val="Default Paragraph Font"/>
    <w:autoRedefine/>
    <w:semiHidden/>
    <w:qFormat/>
    <w:uiPriority w:val="0"/>
  </w:style>
  <w:style w:type="table" w:default="1" w:styleId="27">
    <w:name w:val="Normal Table"/>
    <w:autoRedefine/>
    <w:semiHidden/>
    <w:qFormat/>
    <w:uiPriority w:val="0"/>
    <w:pPr>
      <w:keepNext w:val="0"/>
      <w:keepLines w:val="0"/>
      <w:widowControl/>
      <w:suppressLineNumbers w:val="0"/>
      <w:spacing w:before="0" w:beforeAutospacing="0" w:after="0" w:afterAutospacing="0"/>
      <w:ind w:left="0" w:right="0"/>
    </w:pPr>
    <w:rPr>
      <w:rFonts w:hint="default" w:ascii="Arial" w:hAnsi="Arial" w:cs="Arial"/>
      <w:sz w:val="20"/>
      <w:szCs w:val="20"/>
    </w:rPr>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style>
  <w:style w:type="paragraph" w:styleId="6">
    <w:name w:val="Body Text Indent"/>
    <w:basedOn w:val="1"/>
    <w:next w:val="5"/>
    <w:autoRedefine/>
    <w:qFormat/>
    <w:uiPriority w:val="0"/>
    <w:pPr>
      <w:spacing w:line="800" w:lineRule="exact"/>
      <w:ind w:left="315" w:leftChars="150" w:firstLine="664" w:firstLineChars="237"/>
    </w:pPr>
    <w:rPr>
      <w:rFonts w:ascii="仿宋_GB2312" w:eastAsia="仿宋_GB2312"/>
      <w:sz w:val="28"/>
    </w:rPr>
  </w:style>
  <w:style w:type="paragraph" w:customStyle="1" w:styleId="8">
    <w:name w:val="二级标题"/>
    <w:basedOn w:val="2"/>
    <w:next w:val="1"/>
    <w:autoRedefine/>
    <w:qFormat/>
    <w:uiPriority w:val="0"/>
    <w:pPr>
      <w:numPr>
        <w:ilvl w:val="0"/>
        <w:numId w:val="4"/>
      </w:numPr>
      <w:spacing w:line="415" w:lineRule="auto"/>
      <w:ind w:left="226" w:hanging="226" w:hangingChars="75"/>
      <w:outlineLvl w:val="1"/>
    </w:pPr>
    <w:rPr>
      <w:sz w:val="30"/>
    </w:rPr>
  </w:style>
  <w:style w:type="paragraph" w:styleId="9">
    <w:name w:val="List Bullet"/>
    <w:basedOn w:val="1"/>
    <w:next w:val="10"/>
    <w:autoRedefine/>
    <w:qFormat/>
    <w:uiPriority w:val="0"/>
    <w:pPr>
      <w:numPr>
        <w:ilvl w:val="0"/>
        <w:numId w:val="5"/>
      </w:numPr>
    </w:pPr>
  </w:style>
  <w:style w:type="paragraph" w:styleId="10">
    <w:name w:val="Normal (Web)"/>
    <w:basedOn w:val="1"/>
    <w:autoRedefine/>
    <w:qFormat/>
    <w:uiPriority w:val="0"/>
    <w:pPr>
      <w:widowControl/>
      <w:jc w:val="left"/>
    </w:pPr>
    <w:rPr>
      <w:rFonts w:ascii="宋体" w:hAnsi="宋体" w:cs="宋体"/>
      <w:kern w:val="0"/>
      <w:sz w:val="24"/>
      <w:szCs w:val="24"/>
    </w:rPr>
  </w:style>
  <w:style w:type="paragraph" w:styleId="11">
    <w:name w:val="toa heading"/>
    <w:basedOn w:val="1"/>
    <w:next w:val="1"/>
    <w:autoRedefine/>
    <w:unhideWhenUsed/>
    <w:qFormat/>
    <w:uiPriority w:val="99"/>
    <w:pPr>
      <w:widowControl/>
      <w:spacing w:before="100" w:beforeAutospacing="1" w:after="100" w:afterAutospacing="1"/>
      <w:jc w:val="left"/>
    </w:pPr>
    <w:rPr>
      <w:rFonts w:hint="default" w:ascii="宋体" w:hAnsi="宋体" w:cs="宋体"/>
      <w:kern w:val="0"/>
      <w:sz w:val="24"/>
      <w:szCs w:val="24"/>
    </w:rPr>
  </w:style>
  <w:style w:type="paragraph" w:styleId="12">
    <w:name w:val="annotation text"/>
    <w:basedOn w:val="1"/>
    <w:autoRedefine/>
    <w:qFormat/>
    <w:uiPriority w:val="0"/>
    <w:pPr>
      <w:jc w:val="left"/>
    </w:pPr>
  </w:style>
  <w:style w:type="paragraph" w:styleId="13">
    <w:name w:val="Body Text"/>
    <w:basedOn w:val="1"/>
    <w:next w:val="14"/>
    <w:autoRedefine/>
    <w:qFormat/>
    <w:uiPriority w:val="0"/>
    <w:pPr>
      <w:spacing w:after="120" w:afterLines="0"/>
    </w:pPr>
  </w:style>
  <w:style w:type="paragraph" w:styleId="14">
    <w:name w:val="Body Text First Indent"/>
    <w:basedOn w:val="13"/>
    <w:next w:val="1"/>
    <w:autoRedefine/>
    <w:qFormat/>
    <w:uiPriority w:val="0"/>
    <w:pPr>
      <w:spacing w:line="312" w:lineRule="auto"/>
      <w:ind w:firstLine="420"/>
    </w:pPr>
    <w:rPr>
      <w:rFonts w:ascii="Times New Roman" w:hAnsi="Times New Roman" w:eastAsia="宋体" w:cs="Times New Roman"/>
    </w:rPr>
  </w:style>
  <w:style w:type="paragraph" w:styleId="15">
    <w:name w:val="Block Text"/>
    <w:basedOn w:val="1"/>
    <w:unhideWhenUsed/>
    <w:qFormat/>
    <w:uiPriority w:val="99"/>
    <w:pPr>
      <w:spacing w:after="120"/>
      <w:ind w:left="1440" w:leftChars="700" w:right="1440" w:rightChars="700"/>
    </w:pPr>
  </w:style>
  <w:style w:type="paragraph" w:styleId="16">
    <w:name w:val="Plain Text"/>
    <w:basedOn w:val="1"/>
    <w:next w:val="17"/>
    <w:autoRedefine/>
    <w:qFormat/>
    <w:uiPriority w:val="0"/>
    <w:rPr>
      <w:rFonts w:ascii="宋体" w:hAnsi="宋体"/>
    </w:rPr>
  </w:style>
  <w:style w:type="paragraph" w:styleId="17">
    <w:name w:val="toc 2"/>
    <w:basedOn w:val="1"/>
    <w:next w:val="1"/>
    <w:autoRedefine/>
    <w:qFormat/>
    <w:uiPriority w:val="0"/>
    <w:pPr>
      <w:ind w:left="420" w:leftChars="200"/>
    </w:pPr>
  </w:style>
  <w:style w:type="paragraph" w:styleId="18">
    <w:name w:val="Body Text Indent 2"/>
    <w:basedOn w:val="1"/>
    <w:autoRedefine/>
    <w:qFormat/>
    <w:uiPriority w:val="0"/>
    <w:pPr>
      <w:spacing w:line="360" w:lineRule="auto"/>
      <w:ind w:firstLine="555"/>
    </w:pPr>
    <w:rPr>
      <w:rFonts w:ascii="仿宋_GB2312" w:eastAsia="仿宋_GB2312"/>
      <w:sz w:val="28"/>
    </w:rPr>
  </w:style>
  <w:style w:type="paragraph" w:styleId="19">
    <w:name w:val="footer"/>
    <w:basedOn w:val="1"/>
    <w:next w:val="1"/>
    <w:autoRedefine/>
    <w:qFormat/>
    <w:uiPriority w:val="0"/>
    <w:pPr>
      <w:tabs>
        <w:tab w:val="center" w:pos="4153"/>
        <w:tab w:val="right" w:pos="8306"/>
      </w:tabs>
      <w:snapToGrid w:val="0"/>
      <w:jc w:val="left"/>
    </w:pPr>
    <w:rPr>
      <w:sz w:val="18"/>
      <w:szCs w:val="18"/>
    </w:rPr>
  </w:style>
  <w:style w:type="paragraph" w:styleId="20">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21">
    <w:name w:val="toc 1"/>
    <w:basedOn w:val="1"/>
    <w:next w:val="1"/>
    <w:autoRedefine/>
    <w:qFormat/>
    <w:uiPriority w:val="0"/>
  </w:style>
  <w:style w:type="paragraph" w:styleId="22">
    <w:name w:val="Subtitle"/>
    <w:next w:val="1"/>
    <w:autoRedefine/>
    <w:qFormat/>
    <w:uiPriority w:val="0"/>
    <w:pPr>
      <w:wordWrap w:val="0"/>
      <w:spacing w:after="60"/>
      <w:ind w:left="1024" w:firstLine="18"/>
      <w:jc w:val="center"/>
    </w:pPr>
    <w:rPr>
      <w:rFonts w:ascii="Calibri" w:hAnsi="Calibri" w:eastAsia="宋体" w:cs="Times New Roman"/>
      <w:sz w:val="21"/>
      <w:szCs w:val="22"/>
      <w:lang w:val="en-US" w:eastAsia="zh-CN" w:bidi="ar-SA"/>
    </w:rPr>
  </w:style>
  <w:style w:type="paragraph" w:styleId="23">
    <w:name w:val="List"/>
    <w:basedOn w:val="1"/>
    <w:autoRedefine/>
    <w:qFormat/>
    <w:uiPriority w:val="0"/>
    <w:pPr>
      <w:keepNext w:val="0"/>
      <w:keepLines w:val="0"/>
      <w:widowControl w:val="0"/>
      <w:suppressLineNumbers w:val="0"/>
      <w:spacing w:before="0" w:beforeAutospacing="0" w:after="0" w:afterAutospacing="0"/>
      <w:ind w:left="200" w:right="0" w:hanging="200" w:hangingChars="200"/>
      <w:contextualSpacing/>
      <w:jc w:val="both"/>
    </w:pPr>
    <w:rPr>
      <w:rFonts w:hint="default" w:ascii="Calibri" w:hAnsi="Calibri" w:eastAsia="宋体" w:cs="Times New Roman"/>
      <w:kern w:val="2"/>
      <w:sz w:val="21"/>
      <w:szCs w:val="24"/>
      <w:lang w:val="en-US" w:eastAsia="zh-CN" w:bidi="ar"/>
    </w:rPr>
  </w:style>
  <w:style w:type="paragraph" w:styleId="24">
    <w:name w:val="footnote text"/>
    <w:basedOn w:val="1"/>
    <w:next w:val="13"/>
    <w:autoRedefine/>
    <w:qFormat/>
    <w:uiPriority w:val="0"/>
    <w:pPr>
      <w:snapToGrid w:val="0"/>
      <w:jc w:val="left"/>
    </w:pPr>
    <w:rPr>
      <w:rFonts w:eastAsia="楷体_GB2312"/>
      <w:sz w:val="18"/>
      <w:szCs w:val="18"/>
    </w:rPr>
  </w:style>
  <w:style w:type="paragraph" w:styleId="25">
    <w:name w:val="Body Text Indent 3"/>
    <w:basedOn w:val="1"/>
    <w:autoRedefine/>
    <w:qFormat/>
    <w:uiPriority w:val="0"/>
    <w:pPr>
      <w:spacing w:after="120"/>
      <w:ind w:left="420" w:leftChars="200"/>
    </w:pPr>
    <w:rPr>
      <w:rFonts w:ascii="Times New Roman" w:hAnsi="Times New Roman" w:eastAsia="宋体" w:cs="Times New Roman"/>
      <w:sz w:val="16"/>
      <w:szCs w:val="16"/>
    </w:rPr>
  </w:style>
  <w:style w:type="paragraph" w:styleId="26">
    <w:name w:val="Body Text First Indent 2"/>
    <w:basedOn w:val="6"/>
    <w:autoRedefine/>
    <w:qFormat/>
    <w:uiPriority w:val="0"/>
    <w:pPr>
      <w:spacing w:after="120" w:afterLines="0" w:afterAutospacing="0" w:line="240" w:lineRule="auto"/>
      <w:ind w:left="420" w:leftChars="200" w:firstLine="420" w:firstLineChars="200"/>
    </w:pPr>
    <w:rPr>
      <w:sz w:val="21"/>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basedOn w:val="29"/>
    <w:autoRedefine/>
    <w:qFormat/>
    <w:uiPriority w:val="0"/>
    <w:rPr>
      <w:color w:val="0000FF"/>
      <w:u w:val="single"/>
    </w:rPr>
  </w:style>
  <w:style w:type="paragraph" w:customStyle="1" w:styleId="31">
    <w:name w:val="方案  正文"/>
    <w:qFormat/>
    <w:uiPriority w:val="0"/>
    <w:pPr>
      <w:widowControl/>
      <w:adjustRightInd w:val="0"/>
      <w:snapToGrid w:val="0"/>
      <w:spacing w:line="360" w:lineRule="auto"/>
      <w:ind w:firstLine="1041" w:firstLineChars="200"/>
    </w:pPr>
    <w:rPr>
      <w:rFonts w:ascii="宋体" w:hAnsi="宋体" w:eastAsia="宋体" w:cs="宋体"/>
      <w:color w:val="000000"/>
      <w:sz w:val="24"/>
      <w:szCs w:val="24"/>
    </w:rPr>
  </w:style>
  <w:style w:type="paragraph" w:customStyle="1" w:styleId="3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3">
    <w:name w:val="No Spacing"/>
    <w:autoRedefine/>
    <w:qFormat/>
    <w:uiPriority w:val="0"/>
    <w:pPr>
      <w:widowControl w:val="0"/>
      <w:spacing w:line="360" w:lineRule="auto"/>
      <w:jc w:val="both"/>
    </w:pPr>
    <w:rPr>
      <w:rFonts w:ascii="宋体" w:hAnsi="宋体" w:eastAsia="宋体" w:cs="Times New Roman"/>
      <w:kern w:val="2"/>
      <w:sz w:val="21"/>
      <w:szCs w:val="21"/>
      <w:lang w:val="en-US" w:eastAsia="zh-CN" w:bidi="ar-SA"/>
    </w:rPr>
  </w:style>
  <w:style w:type="paragraph" w:customStyle="1" w:styleId="34">
    <w:name w:val="样式 方正小标宋_GBK 二号 居中 行距: 固定值 30 磅"/>
    <w:basedOn w:val="2"/>
    <w:autoRedefine/>
    <w:qFormat/>
    <w:uiPriority w:val="0"/>
    <w:pPr>
      <w:keepNext w:val="0"/>
      <w:spacing w:line="600" w:lineRule="exact"/>
      <w:jc w:val="center"/>
    </w:pPr>
    <w:rPr>
      <w:rFonts w:ascii="方正小标宋_GBK" w:eastAsia="方正小标宋_GBK" w:cs="宋体"/>
      <w:kern w:val="2"/>
    </w:rPr>
  </w:style>
  <w:style w:type="paragraph" w:customStyle="1" w:styleId="35">
    <w:name w:val="正文首行缩进1"/>
    <w:basedOn w:val="13"/>
    <w:next w:val="36"/>
    <w:autoRedefine/>
    <w:qFormat/>
    <w:uiPriority w:val="0"/>
    <w:pPr>
      <w:adjustRightInd w:val="0"/>
      <w:spacing w:after="0" w:line="275" w:lineRule="atLeast"/>
      <w:ind w:firstLine="420"/>
      <w:textAlignment w:val="baseline"/>
    </w:pPr>
    <w:rPr>
      <w:rFonts w:eastAsia="楷体_GB2312"/>
      <w:sz w:val="24"/>
      <w:szCs w:val="20"/>
    </w:rPr>
  </w:style>
  <w:style w:type="paragraph" w:customStyle="1" w:styleId="36">
    <w:name w:val="Normal (Web)1"/>
    <w:basedOn w:val="1"/>
    <w:autoRedefine/>
    <w:qFormat/>
    <w:uiPriority w:val="0"/>
    <w:pPr>
      <w:jc w:val="left"/>
    </w:pPr>
    <w:rPr>
      <w:kern w:val="0"/>
      <w:sz w:val="24"/>
    </w:rPr>
  </w:style>
  <w:style w:type="paragraph" w:customStyle="1" w:styleId="37">
    <w:name w:val="_Style 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
    <w:name w:val="Default Tex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9">
    <w:name w:val="标题 1 Char"/>
    <w:link w:val="2"/>
    <w:autoRedefine/>
    <w:qFormat/>
    <w:uiPriority w:val="0"/>
    <w:rPr>
      <w:rFonts w:ascii="仿宋_GB2312" w:eastAsia="仿宋_GB2312"/>
      <w:kern w:val="0"/>
      <w:sz w:val="28"/>
    </w:rPr>
  </w:style>
  <w:style w:type="character" w:customStyle="1" w:styleId="40">
    <w:name w:val="标题 2 字符"/>
    <w:autoRedefine/>
    <w:qFormat/>
    <w:uiPriority w:val="99"/>
    <w:rPr>
      <w:b/>
      <w:kern w:val="2"/>
      <w:sz w:val="24"/>
      <w:szCs w:val="24"/>
    </w:rPr>
  </w:style>
  <w:style w:type="character" w:customStyle="1" w:styleId="41">
    <w:name w:val="标题 1 字符"/>
    <w:link w:val="2"/>
    <w:autoRedefine/>
    <w:qFormat/>
    <w:uiPriority w:val="0"/>
    <w:rPr>
      <w:rFonts w:ascii="仿宋_GB2312" w:eastAsia="仿宋_GB2312"/>
      <w:sz w:val="28"/>
    </w:rPr>
  </w:style>
  <w:style w:type="character" w:customStyle="1" w:styleId="42">
    <w:name w:val="标题 2 Char"/>
    <w:link w:val="3"/>
    <w:autoRedefine/>
    <w:qFormat/>
    <w:uiPriority w:val="0"/>
    <w:rPr>
      <w:b/>
      <w:sz w:val="24"/>
      <w:szCs w:val="24"/>
    </w:rPr>
  </w:style>
  <w:style w:type="paragraph" w:styleId="43">
    <w:name w:val="List Paragraph"/>
    <w:basedOn w:val="1"/>
    <w:autoRedefine/>
    <w:qFormat/>
    <w:uiPriority w:val="0"/>
    <w:pPr>
      <w:ind w:firstLine="420" w:firstLineChars="200"/>
    </w:pPr>
    <w:rPr>
      <w:szCs w:val="24"/>
    </w:rPr>
  </w:style>
  <w:style w:type="paragraph" w:customStyle="1" w:styleId="44">
    <w:name w:val="_Style 3"/>
    <w:basedOn w:val="1"/>
    <w:autoRedefine/>
    <w:qFormat/>
    <w:uiPriority w:val="99"/>
    <w:pPr>
      <w:autoSpaceDE w:val="0"/>
      <w:autoSpaceDN w:val="0"/>
      <w:spacing w:line="360" w:lineRule="auto"/>
      <w:ind w:firstLine="420" w:firstLineChars="200"/>
      <w:jc w:val="left"/>
    </w:pPr>
    <w:rPr>
      <w:rFonts w:cs="Times New Roman"/>
      <w:color w:val="auto"/>
      <w:kern w:val="0"/>
      <w:sz w:val="24"/>
      <w:szCs w:val="21"/>
      <w:lang w:val="zh-CN"/>
    </w:rPr>
  </w:style>
  <w:style w:type="paragraph" w:customStyle="1" w:styleId="45">
    <w:name w:val="缺省文本"/>
    <w:autoRedefine/>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46">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表格文字"/>
    <w:basedOn w:val="1"/>
    <w:next w:val="13"/>
    <w:autoRedefine/>
    <w:qFormat/>
    <w:uiPriority w:val="0"/>
    <w:pPr>
      <w:spacing w:before="25" w:after="25"/>
      <w:jc w:val="left"/>
    </w:pPr>
    <w:rPr>
      <w:bCs/>
      <w:spacing w:val="10"/>
      <w:kern w:val="0"/>
      <w:sz w:val="24"/>
    </w:rPr>
  </w:style>
  <w:style w:type="paragraph" w:customStyle="1" w:styleId="48">
    <w:name w:val="样式 样式 样式 左侧:  2 字符1 + 首行缩进:  2 字符1 + 首行缩进:  2 字符"/>
    <w:basedOn w:val="1"/>
    <w:autoRedefine/>
    <w:qFormat/>
    <w:uiPriority w:val="0"/>
    <w:pPr>
      <w:adjustRightInd w:val="0"/>
      <w:spacing w:before="60" w:after="120" w:line="440" w:lineRule="atLeast"/>
      <w:ind w:firstLine="480"/>
    </w:pPr>
    <w:rPr>
      <w:color w:val="auto"/>
      <w:sz w:val="24"/>
    </w:rPr>
  </w:style>
  <w:style w:type="character" w:customStyle="1" w:styleId="49">
    <w:name w:val="font61"/>
    <w:basedOn w:val="29"/>
    <w:autoRedefine/>
    <w:qFormat/>
    <w:uiPriority w:val="0"/>
    <w:rPr>
      <w:rFonts w:hint="eastAsia" w:ascii="宋体" w:hAnsi="宋体" w:eastAsia="宋体" w:cs="宋体"/>
      <w:color w:val="000000"/>
      <w:sz w:val="18"/>
      <w:szCs w:val="18"/>
      <w:u w:val="none"/>
    </w:rPr>
  </w:style>
  <w:style w:type="character" w:customStyle="1" w:styleId="50">
    <w:name w:val="font121"/>
    <w:basedOn w:val="29"/>
    <w:autoRedefine/>
    <w:qFormat/>
    <w:uiPriority w:val="0"/>
    <w:rPr>
      <w:rFonts w:ascii="Verdana" w:hAnsi="Verdana" w:cs="Verdana"/>
      <w:color w:val="000000"/>
      <w:sz w:val="18"/>
      <w:szCs w:val="18"/>
      <w:u w:val="none"/>
    </w:rPr>
  </w:style>
  <w:style w:type="character" w:customStyle="1" w:styleId="51">
    <w:name w:val="font51"/>
    <w:basedOn w:val="29"/>
    <w:autoRedefine/>
    <w:qFormat/>
    <w:uiPriority w:val="0"/>
    <w:rPr>
      <w:rFonts w:hint="eastAsia" w:ascii="宋体" w:hAnsi="宋体" w:eastAsia="宋体" w:cs="宋体"/>
      <w:color w:val="000000"/>
      <w:sz w:val="18"/>
      <w:szCs w:val="18"/>
      <w:u w:val="none"/>
    </w:rPr>
  </w:style>
  <w:style w:type="paragraph" w:customStyle="1" w:styleId="52">
    <w:name w:val="标题 2_0_0_0"/>
    <w:basedOn w:val="53"/>
    <w:next w:val="53"/>
    <w:autoRedefine/>
    <w:qFormat/>
    <w:uiPriority w:val="0"/>
    <w:pPr>
      <w:keepNext/>
      <w:keepLines/>
      <w:widowControl w:val="0"/>
      <w:spacing w:before="120" w:after="120" w:line="360" w:lineRule="auto"/>
      <w:jc w:val="center"/>
      <w:outlineLvl w:val="1"/>
    </w:pPr>
    <w:rPr>
      <w:rFonts w:ascii="宋体"/>
      <w:b/>
      <w:bCs/>
      <w:kern w:val="0"/>
      <w:sz w:val="36"/>
      <w:szCs w:val="18"/>
    </w:rPr>
  </w:style>
  <w:style w:type="paragraph" w:customStyle="1" w:styleId="53">
    <w:name w:val="正文_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正文文字缩进"/>
    <w:basedOn w:val="1"/>
    <w:next w:val="1"/>
    <w:autoRedefine/>
    <w:qFormat/>
    <w:uiPriority w:val="0"/>
    <w:pPr>
      <w:spacing w:line="400" w:lineRule="atLeast"/>
      <w:ind w:left="210" w:firstLine="210"/>
      <w:jc w:val="both"/>
    </w:pPr>
    <w:rPr>
      <w:rFonts w:ascii="宋体" w:eastAsia="宋体"/>
      <w:color w:val="000000"/>
      <w:sz w:val="21"/>
    </w:rPr>
  </w:style>
  <w:style w:type="character" w:customStyle="1" w:styleId="55">
    <w:name w:val="font71"/>
    <w:basedOn w:val="29"/>
    <w:autoRedefine/>
    <w:qFormat/>
    <w:uiPriority w:val="0"/>
    <w:rPr>
      <w:rFonts w:hint="eastAsia" w:ascii="宋体" w:hAnsi="宋体" w:eastAsia="宋体" w:cs="宋体"/>
      <w:color w:val="000000"/>
      <w:sz w:val="22"/>
      <w:szCs w:val="22"/>
      <w:u w:val="none"/>
    </w:rPr>
  </w:style>
  <w:style w:type="character" w:customStyle="1" w:styleId="56">
    <w:name w:val="font101"/>
    <w:basedOn w:val="29"/>
    <w:autoRedefine/>
    <w:qFormat/>
    <w:uiPriority w:val="0"/>
    <w:rPr>
      <w:rFonts w:hint="eastAsia" w:ascii="宋体" w:hAnsi="宋体" w:eastAsia="宋体" w:cs="宋体"/>
      <w:color w:val="000000"/>
      <w:sz w:val="22"/>
      <w:szCs w:val="22"/>
      <w:u w:val="none"/>
    </w:rPr>
  </w:style>
  <w:style w:type="character" w:customStyle="1" w:styleId="57">
    <w:name w:val="font81"/>
    <w:basedOn w:val="29"/>
    <w:autoRedefine/>
    <w:qFormat/>
    <w:uiPriority w:val="0"/>
    <w:rPr>
      <w:rFonts w:hint="eastAsia" w:ascii="宋体" w:hAnsi="宋体" w:eastAsia="宋体" w:cs="宋体"/>
      <w:color w:val="FF0000"/>
      <w:sz w:val="21"/>
      <w:szCs w:val="21"/>
      <w:u w:val="none"/>
    </w:rPr>
  </w:style>
  <w:style w:type="character" w:customStyle="1" w:styleId="58">
    <w:name w:val="font21"/>
    <w:basedOn w:val="29"/>
    <w:autoRedefine/>
    <w:qFormat/>
    <w:uiPriority w:val="0"/>
    <w:rPr>
      <w:rFonts w:hint="eastAsia" w:ascii="宋体" w:hAnsi="宋体" w:eastAsia="宋体" w:cs="宋体"/>
      <w:color w:val="FF0000"/>
      <w:sz w:val="22"/>
      <w:szCs w:val="22"/>
      <w:u w:val="none"/>
    </w:rPr>
  </w:style>
  <w:style w:type="character" w:customStyle="1" w:styleId="59">
    <w:name w:val="font41"/>
    <w:basedOn w:val="29"/>
    <w:autoRedefine/>
    <w:qFormat/>
    <w:uiPriority w:val="0"/>
    <w:rPr>
      <w:rFonts w:hint="eastAsia" w:ascii="宋体" w:hAnsi="宋体" w:eastAsia="宋体" w:cs="宋体"/>
      <w:color w:val="000000"/>
      <w:sz w:val="22"/>
      <w:szCs w:val="22"/>
      <w:u w:val="none"/>
    </w:rPr>
  </w:style>
  <w:style w:type="character" w:customStyle="1" w:styleId="60">
    <w:name w:val="font91"/>
    <w:basedOn w:val="29"/>
    <w:autoRedefine/>
    <w:qFormat/>
    <w:uiPriority w:val="0"/>
    <w:rPr>
      <w:rFonts w:hint="eastAsia" w:ascii="宋体" w:hAnsi="宋体" w:eastAsia="宋体" w:cs="宋体"/>
      <w:color w:val="000000"/>
      <w:sz w:val="22"/>
      <w:szCs w:val="22"/>
      <w:u w:val="none"/>
    </w:rPr>
  </w:style>
  <w:style w:type="character" w:customStyle="1" w:styleId="61">
    <w:name w:val="font31"/>
    <w:basedOn w:val="29"/>
    <w:autoRedefine/>
    <w:qFormat/>
    <w:uiPriority w:val="0"/>
    <w:rPr>
      <w:rFonts w:hint="eastAsia" w:ascii="宋体" w:hAnsi="宋体" w:eastAsia="宋体" w:cs="宋体"/>
      <w:color w:val="FF0000"/>
      <w:sz w:val="22"/>
      <w:szCs w:val="22"/>
      <w:u w:val="none"/>
    </w:rPr>
  </w:style>
  <w:style w:type="character" w:customStyle="1" w:styleId="62">
    <w:name w:val="font01"/>
    <w:basedOn w:val="29"/>
    <w:autoRedefine/>
    <w:qFormat/>
    <w:uiPriority w:val="0"/>
    <w:rPr>
      <w:rFonts w:hint="eastAsia" w:ascii="仿宋_GB2312" w:eastAsia="仿宋_GB2312" w:cs="仿宋_GB2312"/>
      <w:color w:val="000000"/>
      <w:sz w:val="20"/>
      <w:szCs w:val="20"/>
      <w:u w:val="none"/>
    </w:rPr>
  </w:style>
  <w:style w:type="character" w:customStyle="1" w:styleId="63">
    <w:name w:val="font11"/>
    <w:basedOn w:val="29"/>
    <w:autoRedefine/>
    <w:qFormat/>
    <w:uiPriority w:val="0"/>
    <w:rPr>
      <w:rFonts w:hint="eastAsia" w:ascii="宋体" w:hAnsi="宋体" w:eastAsia="宋体" w:cs="宋体"/>
      <w:color w:val="000000"/>
      <w:sz w:val="21"/>
      <w:szCs w:val="21"/>
      <w:u w:val="none"/>
    </w:rPr>
  </w:style>
  <w:style w:type="character" w:customStyle="1" w:styleId="64">
    <w:name w:val="font201"/>
    <w:basedOn w:val="29"/>
    <w:autoRedefine/>
    <w:qFormat/>
    <w:uiPriority w:val="0"/>
    <w:rPr>
      <w:rFonts w:hint="eastAsia" w:ascii="宋体" w:hAnsi="宋体" w:eastAsia="宋体" w:cs="宋体"/>
      <w:color w:val="000000"/>
      <w:sz w:val="21"/>
      <w:szCs w:val="21"/>
      <w:u w:val="none"/>
    </w:rPr>
  </w:style>
  <w:style w:type="character" w:customStyle="1" w:styleId="65">
    <w:name w:val="font221"/>
    <w:basedOn w:val="29"/>
    <w:autoRedefine/>
    <w:qFormat/>
    <w:uiPriority w:val="0"/>
    <w:rPr>
      <w:rFonts w:hint="eastAsia" w:ascii="宋体" w:hAnsi="宋体" w:eastAsia="宋体" w:cs="宋体"/>
      <w:color w:val="231F20"/>
      <w:sz w:val="20"/>
      <w:szCs w:val="20"/>
      <w:u w:val="none"/>
    </w:rPr>
  </w:style>
  <w:style w:type="character" w:customStyle="1" w:styleId="66">
    <w:name w:val="font212"/>
    <w:basedOn w:val="29"/>
    <w:autoRedefine/>
    <w:qFormat/>
    <w:uiPriority w:val="0"/>
    <w:rPr>
      <w:rFonts w:hint="eastAsia" w:ascii="宋体" w:hAnsi="宋体" w:eastAsia="宋体" w:cs="宋体"/>
      <w:color w:val="000000"/>
      <w:sz w:val="12"/>
      <w:szCs w:val="12"/>
      <w:u w:val="none"/>
    </w:rPr>
  </w:style>
  <w:style w:type="character" w:customStyle="1" w:styleId="67">
    <w:name w:val="font132"/>
    <w:basedOn w:val="29"/>
    <w:autoRedefine/>
    <w:qFormat/>
    <w:uiPriority w:val="0"/>
    <w:rPr>
      <w:rFonts w:hint="default" w:ascii="Times New Roman" w:hAnsi="Times New Roman" w:cs="Times New Roman"/>
      <w:color w:val="000000"/>
      <w:sz w:val="22"/>
      <w:szCs w:val="22"/>
      <w:u w:val="none"/>
    </w:rPr>
  </w:style>
  <w:style w:type="character" w:customStyle="1" w:styleId="68">
    <w:name w:val="font111"/>
    <w:basedOn w:val="29"/>
    <w:autoRedefine/>
    <w:qFormat/>
    <w:uiPriority w:val="0"/>
    <w:rPr>
      <w:rFonts w:hint="eastAsia" w:ascii="宋体" w:hAnsi="宋体" w:eastAsia="宋体" w:cs="宋体"/>
      <w:color w:val="000000"/>
      <w:sz w:val="21"/>
      <w:szCs w:val="21"/>
      <w:u w:val="none"/>
    </w:rPr>
  </w:style>
  <w:style w:type="character" w:customStyle="1" w:styleId="69">
    <w:name w:val="font13"/>
    <w:basedOn w:val="29"/>
    <w:autoRedefine/>
    <w:qFormat/>
    <w:uiPriority w:val="0"/>
    <w:rPr>
      <w:rFonts w:hint="eastAsia" w:ascii="宋体" w:hAnsi="宋体" w:eastAsia="宋体" w:cs="宋体"/>
      <w:color w:val="000000"/>
      <w:sz w:val="22"/>
      <w:szCs w:val="22"/>
      <w:u w:val="none"/>
    </w:rPr>
  </w:style>
  <w:style w:type="character" w:customStyle="1" w:styleId="70">
    <w:name w:val="标题 2 字符2"/>
    <w:link w:val="3"/>
    <w:autoRedefine/>
    <w:qFormat/>
    <w:uiPriority w:val="99"/>
    <w:rPr>
      <w:b/>
      <w:kern w:val="2"/>
      <w:sz w:val="24"/>
      <w:szCs w:val="24"/>
    </w:rPr>
  </w:style>
  <w:style w:type="paragraph" w:customStyle="1" w:styleId="71">
    <w:name w:val="Table Text"/>
    <w:basedOn w:val="1"/>
    <w:autoRedefine/>
    <w:hidden/>
    <w:qFormat/>
    <w:uiPriority w:val="0"/>
    <w:pPr>
      <w:keepNext w:val="0"/>
      <w:keepLines w:val="0"/>
      <w:widowControl/>
      <w:suppressLineNumbers w:val="0"/>
      <w:kinsoku w:val="0"/>
      <w:autoSpaceDE w:val="0"/>
      <w:autoSpaceDN w:val="0"/>
      <w:adjustRightInd w:val="0"/>
      <w:snapToGrid w:val="0"/>
      <w:spacing w:before="0" w:beforeAutospacing="0" w:after="0" w:afterAutospacing="0"/>
      <w:ind w:left="0" w:right="0"/>
      <w:jc w:val="left"/>
    </w:pPr>
    <w:rPr>
      <w:rFonts w:hint="eastAsia" w:ascii="宋体" w:hAnsi="宋体" w:eastAsia="宋体" w:cs="宋体"/>
      <w:snapToGrid/>
      <w:color w:val="000000"/>
      <w:kern w:val="0"/>
      <w:sz w:val="15"/>
      <w:szCs w:val="15"/>
      <w:lang w:val="en-US" w:eastAsia="zh-CN" w:bidi="ar"/>
    </w:rPr>
  </w:style>
  <w:style w:type="table" w:customStyle="1" w:styleId="72">
    <w:name w:val="Table Normal"/>
    <w:basedOn w:val="27"/>
    <w:autoRedefine/>
    <w:semiHidden/>
    <w:qFormat/>
    <w:uiPriority w:val="0"/>
    <w:pPr>
      <w:keepNext w:val="0"/>
      <w:keepLines w:val="0"/>
      <w:widowControl/>
      <w:suppressLineNumbers w:val="0"/>
      <w:spacing w:before="0" w:beforeAutospacing="0" w:after="0" w:afterAutospacing="0"/>
      <w:ind w:left="0" w:right="0"/>
    </w:pPr>
    <w:rPr>
      <w:rFonts w:hint="default" w:ascii="Arial" w:hAnsi="Arial" w:cs="Arial"/>
      <w:sz w:val="20"/>
      <w:szCs w:val="20"/>
    </w:rPr>
    <w:tblPr>
      <w:tblCellMar>
        <w:top w:w="0" w:type="dxa"/>
        <w:left w:w="0" w:type="dxa"/>
        <w:bottom w:w="0" w:type="dxa"/>
        <w:right w:w="0" w:type="dxa"/>
      </w:tblCellMar>
    </w:tblPr>
  </w:style>
  <w:style w:type="table" w:customStyle="1" w:styleId="73">
    <w:name w:val="TableGrid"/>
    <w:basedOn w:val="27"/>
    <w:autoRedefine/>
    <w:qFormat/>
    <w:uiPriority w:val="0"/>
    <w:rPr>
      <w:rFonts w:hint="eastAsia"/>
      <w:kern w:val="2"/>
      <w:sz w:val="21"/>
      <w:szCs w:val="22"/>
    </w:rPr>
    <w:tblPr>
      <w:tblCellMar>
        <w:top w:w="0" w:type="dxa"/>
        <w:left w:w="0" w:type="dxa"/>
        <w:bottom w:w="0" w:type="dxa"/>
        <w:right w:w="0" w:type="dxa"/>
      </w:tblCellMar>
    </w:tblPr>
  </w:style>
  <w:style w:type="character" w:customStyle="1" w:styleId="74">
    <w:name w:val="font122"/>
    <w:basedOn w:val="29"/>
    <w:qFormat/>
    <w:uiPriority w:val="0"/>
    <w:rPr>
      <w:rFonts w:ascii="新宋体" w:hAnsi="新宋体" w:eastAsia="新宋体" w:cs="新宋体"/>
      <w:color w:val="000000"/>
      <w:sz w:val="20"/>
      <w:szCs w:val="20"/>
      <w:u w:val="none"/>
      <w:vertAlign w:val="subscript"/>
    </w:rPr>
  </w:style>
  <w:style w:type="character" w:customStyle="1" w:styleId="75">
    <w:name w:val="font131"/>
    <w:basedOn w:val="29"/>
    <w:qFormat/>
    <w:uiPriority w:val="0"/>
    <w:rPr>
      <w:rFonts w:hint="eastAsia" w:ascii="新宋体" w:hAnsi="新宋体" w:eastAsia="新宋体" w:cs="新宋体"/>
      <w:color w:val="000000"/>
      <w:sz w:val="20"/>
      <w:szCs w:val="20"/>
      <w:u w:val="none"/>
    </w:rPr>
  </w:style>
  <w:style w:type="character" w:customStyle="1" w:styleId="76">
    <w:name w:val="font141"/>
    <w:basedOn w:val="29"/>
    <w:qFormat/>
    <w:uiPriority w:val="0"/>
    <w:rPr>
      <w:rFonts w:hint="eastAsia" w:ascii="宋体" w:hAnsi="宋体" w:eastAsia="宋体" w:cs="宋体"/>
      <w:color w:val="000000"/>
      <w:sz w:val="20"/>
      <w:szCs w:val="20"/>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jpe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jpeg"/><Relationship Id="rId24" Type="http://schemas.openxmlformats.org/officeDocument/2006/relationships/image" Target="media/image3.png"/><Relationship Id="rId23" Type="http://schemas.openxmlformats.org/officeDocument/2006/relationships/image" Target="media/image2.jpe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27818</Words>
  <Characters>29715</Characters>
  <Lines>0</Lines>
  <Paragraphs>0</Paragraphs>
  <TotalTime>13</TotalTime>
  <ScaleCrop>false</ScaleCrop>
  <LinksUpToDate>false</LinksUpToDate>
  <CharactersWithSpaces>30103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2023-03-20T08:26:00Z</dcterms:created>
  <dc:creator>Administrator</dc:creator>
  <cp:lastModifiedBy>WPS_1613809647</cp:lastModifiedBy>
  <cp:lastPrinted>2024-11-18T09:13:00Z</cp:lastPrinted>
  <dcterms:modified xsi:type="dcterms:W3CDTF">2025-07-14T03:17:50Z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4AA9AD664D9C45AD8BE9654F290B728A_13</vt:lpwstr>
  </property>
  <property fmtid="{D5CDD505-2E9C-101B-9397-08002B2CF9AE}" pid="4" name="KSOTemplateDocerSaveRecord">
    <vt:lpwstr>eyJoZGlkIjoiMzg2NGUzNmMyZWJiYWMwZDZiNTc4MDIyMmNjMDQ0YzYiLCJ1c2VySWQiOiIxMTY3ODQzODk0In0=</vt:lpwstr>
  </property>
</Properties>
</file>