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47FBB">
      <w:pPr>
        <w:pStyle w:val="28"/>
        <w:ind w:firstLine="640"/>
        <w:rPr>
          <w:rFonts w:hint="eastAsia" w:ascii="黑体" w:hAnsi="黑体" w:eastAsia="黑体" w:cs="黑体"/>
          <w:color w:val="auto"/>
          <w:kern w:val="0"/>
          <w:sz w:val="32"/>
          <w:szCs w:val="32"/>
          <w:highlight w:val="none"/>
        </w:rPr>
      </w:pPr>
    </w:p>
    <w:p w14:paraId="2DA5545E">
      <w:pPr>
        <w:pStyle w:val="28"/>
        <w:ind w:firstLine="640"/>
        <w:rPr>
          <w:rFonts w:hint="eastAsia" w:ascii="黑体" w:hAnsi="黑体" w:eastAsia="黑体" w:cs="黑体"/>
          <w:color w:val="auto"/>
          <w:kern w:val="0"/>
          <w:sz w:val="32"/>
          <w:szCs w:val="32"/>
          <w:highlight w:val="none"/>
        </w:rPr>
      </w:pPr>
    </w:p>
    <w:p w14:paraId="60EFFD40">
      <w:pPr>
        <w:pStyle w:val="28"/>
        <w:ind w:firstLine="640"/>
        <w:rPr>
          <w:rFonts w:hint="eastAsia" w:ascii="黑体" w:hAnsi="黑体" w:eastAsia="黑体" w:cs="黑体"/>
          <w:color w:val="auto"/>
          <w:kern w:val="0"/>
          <w:sz w:val="32"/>
          <w:szCs w:val="32"/>
          <w:highlight w:val="none"/>
        </w:rPr>
      </w:pPr>
    </w:p>
    <w:p w14:paraId="1765E687">
      <w:pPr>
        <w:pStyle w:val="28"/>
        <w:ind w:firstLine="640"/>
        <w:rPr>
          <w:rFonts w:hint="eastAsia" w:ascii="黑体" w:hAnsi="黑体" w:eastAsia="黑体" w:cs="黑体"/>
          <w:color w:val="auto"/>
          <w:kern w:val="0"/>
          <w:sz w:val="32"/>
          <w:szCs w:val="32"/>
          <w:highlight w:val="none"/>
        </w:rPr>
      </w:pPr>
    </w:p>
    <w:p w14:paraId="619B8482">
      <w:pPr>
        <w:pStyle w:val="28"/>
        <w:spacing w:line="360" w:lineRule="auto"/>
        <w:ind w:firstLine="640"/>
        <w:jc w:val="center"/>
        <w:rPr>
          <w:rFonts w:hint="eastAsia" w:ascii="黑体" w:hAnsi="黑体" w:eastAsia="黑体" w:cs="黑体"/>
          <w:color w:val="auto"/>
          <w:kern w:val="0"/>
          <w:sz w:val="32"/>
          <w:szCs w:val="32"/>
          <w:highlight w:val="none"/>
        </w:rPr>
      </w:pPr>
    </w:p>
    <w:p w14:paraId="6B0D36E0">
      <w:pPr>
        <w:spacing w:line="360" w:lineRule="auto"/>
        <w:jc w:val="center"/>
        <w:outlineLvl w:val="0"/>
        <w:rPr>
          <w:rFonts w:hint="eastAsia" w:ascii="宋体" w:hAnsi="宋体" w:eastAsia="宋体" w:cs="Times New Roman"/>
          <w:b/>
          <w:color w:val="auto"/>
          <w:sz w:val="56"/>
          <w:szCs w:val="56"/>
          <w:highlight w:val="none"/>
        </w:rPr>
      </w:pPr>
      <w:r>
        <w:rPr>
          <w:rFonts w:hint="eastAsia" w:ascii="宋体" w:hAnsi="宋体" w:cs="Times New Roman"/>
          <w:b/>
          <w:color w:val="auto"/>
          <w:sz w:val="56"/>
          <w:szCs w:val="56"/>
          <w:highlight w:val="none"/>
          <w:lang w:eastAsia="zh-CN"/>
        </w:rPr>
        <w:t>2025年和硕县教育和科学技术局中小学、幼儿园食材采购项目</w:t>
      </w:r>
    </w:p>
    <w:p w14:paraId="78BFBC09">
      <w:pPr>
        <w:pStyle w:val="28"/>
        <w:ind w:firstLine="0" w:firstLineChars="0"/>
        <w:jc w:val="center"/>
        <w:rPr>
          <w:rFonts w:hint="eastAsia" w:ascii="黑体" w:hAnsi="黑体" w:eastAsia="黑体" w:cs="黑体"/>
          <w:color w:val="auto"/>
          <w:kern w:val="0"/>
          <w:sz w:val="56"/>
          <w:szCs w:val="56"/>
          <w:highlight w:val="none"/>
        </w:rPr>
      </w:pPr>
    </w:p>
    <w:p w14:paraId="63B66F6F">
      <w:pPr>
        <w:pStyle w:val="28"/>
        <w:ind w:firstLine="0" w:firstLineChars="0"/>
        <w:jc w:val="center"/>
        <w:rPr>
          <w:rFonts w:hint="eastAsia" w:ascii="黑体" w:hAnsi="黑体" w:eastAsia="黑体" w:cs="黑体"/>
          <w:b/>
          <w:color w:val="auto"/>
          <w:sz w:val="48"/>
          <w:szCs w:val="48"/>
          <w:highlight w:val="none"/>
        </w:rPr>
      </w:pPr>
      <w:r>
        <w:rPr>
          <w:rFonts w:hint="eastAsia" w:ascii="黑体" w:hAnsi="黑体" w:eastAsia="黑体" w:cs="黑体"/>
          <w:color w:val="auto"/>
          <w:kern w:val="0"/>
          <w:sz w:val="72"/>
          <w:szCs w:val="72"/>
          <w:highlight w:val="none"/>
          <w:lang w:val="en-US" w:eastAsia="zh-CN"/>
        </w:rPr>
        <w:t xml:space="preserve">招 标 </w:t>
      </w:r>
      <w:r>
        <w:rPr>
          <w:rFonts w:hint="eastAsia" w:ascii="黑体" w:hAnsi="黑体" w:eastAsia="黑体" w:cs="黑体"/>
          <w:color w:val="auto"/>
          <w:kern w:val="0"/>
          <w:sz w:val="72"/>
          <w:szCs w:val="72"/>
          <w:highlight w:val="none"/>
        </w:rPr>
        <w:t>文</w:t>
      </w:r>
      <w:r>
        <w:rPr>
          <w:rFonts w:hint="eastAsia" w:ascii="黑体" w:hAnsi="黑体" w:eastAsia="黑体" w:cs="黑体"/>
          <w:color w:val="auto"/>
          <w:kern w:val="0"/>
          <w:sz w:val="72"/>
          <w:szCs w:val="72"/>
          <w:highlight w:val="none"/>
          <w:lang w:val="en-US" w:eastAsia="zh-CN"/>
        </w:rPr>
        <w:t xml:space="preserve"> </w:t>
      </w:r>
      <w:r>
        <w:rPr>
          <w:rFonts w:hint="eastAsia" w:ascii="黑体" w:hAnsi="黑体" w:eastAsia="黑体" w:cs="黑体"/>
          <w:color w:val="auto"/>
          <w:kern w:val="0"/>
          <w:sz w:val="72"/>
          <w:szCs w:val="72"/>
          <w:highlight w:val="none"/>
        </w:rPr>
        <w:t>件</w:t>
      </w:r>
    </w:p>
    <w:p w14:paraId="569A91AC">
      <w:pPr>
        <w:spacing w:line="360" w:lineRule="auto"/>
        <w:ind w:left="2525" w:leftChars="299" w:right="-535" w:rightChars="-255" w:hanging="1897" w:hangingChars="525"/>
        <w:rPr>
          <w:rFonts w:hint="eastAsia" w:ascii="黑体" w:hAnsi="黑体" w:eastAsia="黑体" w:cs="黑体"/>
          <w:b/>
          <w:color w:val="auto"/>
          <w:sz w:val="36"/>
          <w:szCs w:val="36"/>
          <w:highlight w:val="none"/>
        </w:rPr>
      </w:pPr>
    </w:p>
    <w:p w14:paraId="138885D1">
      <w:pPr>
        <w:spacing w:line="360" w:lineRule="auto"/>
        <w:jc w:val="center"/>
        <w:outlineLvl w:val="0"/>
        <w:rPr>
          <w:rFonts w:hint="default" w:ascii="宋体" w:hAnsi="宋体" w:eastAsia="宋体" w:cs="Times New Roman"/>
          <w:b/>
          <w:color w:val="auto"/>
          <w:w w:val="90"/>
          <w:sz w:val="36"/>
          <w:szCs w:val="36"/>
          <w:highlight w:val="none"/>
          <w:lang w:val="en-US" w:eastAsia="zh-CN"/>
        </w:rPr>
      </w:pPr>
      <w:bookmarkStart w:id="0" w:name="_Toc25787"/>
      <w:r>
        <w:rPr>
          <w:rFonts w:hint="eastAsia" w:ascii="宋体" w:hAnsi="宋体" w:eastAsia="宋体" w:cs="Times New Roman"/>
          <w:b/>
          <w:color w:val="auto"/>
          <w:w w:val="90"/>
          <w:sz w:val="36"/>
          <w:szCs w:val="36"/>
          <w:highlight w:val="none"/>
          <w:lang w:val="en-US" w:eastAsia="zh-CN"/>
        </w:rPr>
        <w:t>项目编号：</w:t>
      </w:r>
      <w:bookmarkEnd w:id="0"/>
      <w:r>
        <w:rPr>
          <w:rFonts w:hint="eastAsia" w:ascii="宋体" w:hAnsi="宋体" w:eastAsia="宋体" w:cs="Times New Roman"/>
          <w:b/>
          <w:color w:val="auto"/>
          <w:w w:val="90"/>
          <w:sz w:val="36"/>
          <w:szCs w:val="36"/>
          <w:highlight w:val="none"/>
          <w:lang w:val="en-US" w:eastAsia="zh-CN"/>
        </w:rPr>
        <w:t>XJYS(ZFCG)2025-012</w:t>
      </w:r>
    </w:p>
    <w:p w14:paraId="05643385">
      <w:pPr>
        <w:spacing w:line="360" w:lineRule="auto"/>
        <w:ind w:left="2525" w:leftChars="299" w:right="-535" w:rightChars="-255" w:hanging="1897" w:hangingChars="525"/>
        <w:rPr>
          <w:rFonts w:hint="eastAsia" w:ascii="黑体" w:hAnsi="黑体" w:eastAsia="黑体" w:cs="黑体"/>
          <w:b/>
          <w:color w:val="auto"/>
          <w:sz w:val="36"/>
          <w:szCs w:val="36"/>
          <w:highlight w:val="none"/>
        </w:rPr>
      </w:pPr>
    </w:p>
    <w:p w14:paraId="2A4A085D">
      <w:pPr>
        <w:spacing w:line="360" w:lineRule="auto"/>
        <w:ind w:left="2525" w:leftChars="299" w:right="-535" w:rightChars="-255" w:hanging="1897" w:hangingChars="525"/>
        <w:rPr>
          <w:rFonts w:hint="eastAsia" w:ascii="黑体" w:hAnsi="黑体" w:eastAsia="黑体" w:cs="黑体"/>
          <w:b/>
          <w:color w:val="auto"/>
          <w:sz w:val="36"/>
          <w:szCs w:val="36"/>
          <w:highlight w:val="none"/>
        </w:rPr>
      </w:pPr>
    </w:p>
    <w:p w14:paraId="43495C93">
      <w:pPr>
        <w:spacing w:line="360" w:lineRule="auto"/>
        <w:ind w:right="-535" w:rightChars="-255"/>
        <w:rPr>
          <w:rFonts w:hint="eastAsia" w:ascii="黑体" w:hAnsi="黑体" w:eastAsia="黑体" w:cs="黑体"/>
          <w:b/>
          <w:color w:val="auto"/>
          <w:sz w:val="36"/>
          <w:szCs w:val="36"/>
          <w:highlight w:val="none"/>
        </w:rPr>
      </w:pPr>
    </w:p>
    <w:p w14:paraId="5EEF52F8">
      <w:pPr>
        <w:pStyle w:val="10"/>
        <w:rPr>
          <w:rFonts w:hint="eastAsia"/>
          <w:highlight w:val="none"/>
        </w:rPr>
      </w:pPr>
    </w:p>
    <w:p w14:paraId="0A9FB326">
      <w:pPr>
        <w:pStyle w:val="6"/>
        <w:rPr>
          <w:rFonts w:hint="eastAsia" w:ascii="黑体" w:hAnsi="黑体" w:eastAsia="黑体" w:cs="黑体"/>
          <w:color w:val="auto"/>
          <w:sz w:val="15"/>
          <w:szCs w:val="15"/>
          <w:highlight w:val="none"/>
        </w:rPr>
      </w:pPr>
    </w:p>
    <w:p w14:paraId="0EFB2519">
      <w:pPr>
        <w:spacing w:line="360" w:lineRule="auto"/>
        <w:ind w:firstLine="976" w:firstLineChars="300"/>
        <w:jc w:val="both"/>
        <w:rPr>
          <w:rFonts w:hint="eastAsia" w:ascii="宋体" w:hAnsi="宋体" w:eastAsia="宋体"/>
          <w:b/>
          <w:color w:val="auto"/>
          <w:w w:val="90"/>
          <w:sz w:val="36"/>
          <w:szCs w:val="36"/>
          <w:highlight w:val="none"/>
          <w:lang w:eastAsia="zh-CN"/>
        </w:rPr>
      </w:pPr>
      <w:r>
        <w:rPr>
          <w:rFonts w:hint="eastAsia" w:ascii="宋体" w:hAnsi="宋体"/>
          <w:b/>
          <w:color w:val="auto"/>
          <w:w w:val="90"/>
          <w:sz w:val="36"/>
          <w:szCs w:val="36"/>
          <w:highlight w:val="none"/>
          <w:lang w:eastAsia="zh-CN"/>
        </w:rPr>
        <w:t>招标人</w:t>
      </w:r>
      <w:r>
        <w:rPr>
          <w:rFonts w:hint="eastAsia" w:ascii="宋体" w:hAnsi="宋体"/>
          <w:b/>
          <w:color w:val="auto"/>
          <w:w w:val="90"/>
          <w:sz w:val="36"/>
          <w:szCs w:val="36"/>
          <w:highlight w:val="none"/>
        </w:rPr>
        <w:t>：</w:t>
      </w:r>
      <w:r>
        <w:rPr>
          <w:rFonts w:hint="eastAsia" w:ascii="宋体" w:hAnsi="宋体"/>
          <w:b/>
          <w:color w:val="auto"/>
          <w:w w:val="90"/>
          <w:sz w:val="36"/>
          <w:szCs w:val="36"/>
          <w:highlight w:val="none"/>
          <w:lang w:eastAsia="zh-CN"/>
        </w:rPr>
        <w:t>和硕县教育和科学技术局</w:t>
      </w:r>
    </w:p>
    <w:p w14:paraId="7E112E5D">
      <w:pPr>
        <w:spacing w:line="360" w:lineRule="auto"/>
        <w:ind w:firstLine="976" w:firstLineChars="300"/>
        <w:jc w:val="both"/>
        <w:outlineLvl w:val="0"/>
        <w:rPr>
          <w:rFonts w:hint="eastAsia" w:ascii="宋体" w:hAnsi="宋体" w:eastAsia="宋体"/>
          <w:b/>
          <w:color w:val="auto"/>
          <w:w w:val="90"/>
          <w:sz w:val="36"/>
          <w:szCs w:val="36"/>
          <w:highlight w:val="none"/>
          <w:lang w:eastAsia="zh-CN"/>
        </w:rPr>
      </w:pPr>
      <w:bookmarkStart w:id="1" w:name="_Toc24700"/>
      <w:r>
        <w:rPr>
          <w:rFonts w:hint="eastAsia" w:ascii="宋体" w:hAnsi="宋体"/>
          <w:b/>
          <w:color w:val="auto"/>
          <w:w w:val="90"/>
          <w:sz w:val="36"/>
          <w:szCs w:val="36"/>
          <w:highlight w:val="none"/>
        </w:rPr>
        <w:t>代理机构：</w:t>
      </w:r>
      <w:bookmarkEnd w:id="1"/>
      <w:r>
        <w:rPr>
          <w:rFonts w:hint="eastAsia" w:ascii="宋体" w:hAnsi="宋体"/>
          <w:b/>
          <w:color w:val="auto"/>
          <w:w w:val="90"/>
          <w:sz w:val="36"/>
          <w:szCs w:val="36"/>
          <w:highlight w:val="none"/>
          <w:lang w:eastAsia="zh-CN"/>
        </w:rPr>
        <w:t>新疆益双工程管理有限公司</w:t>
      </w:r>
    </w:p>
    <w:p w14:paraId="0351E576">
      <w:pPr>
        <w:pStyle w:val="10"/>
        <w:rPr>
          <w:color w:val="auto"/>
          <w:highlight w:val="none"/>
        </w:rPr>
      </w:pPr>
    </w:p>
    <w:p w14:paraId="3E40D750">
      <w:pPr>
        <w:rPr>
          <w:highlight w:val="none"/>
        </w:rPr>
      </w:pPr>
    </w:p>
    <w:p w14:paraId="32725A4C">
      <w:pPr>
        <w:spacing w:line="720" w:lineRule="exact"/>
        <w:jc w:val="center"/>
        <w:rPr>
          <w:rFonts w:hint="eastAsia" w:ascii="宋体" w:hAnsi="宋体"/>
          <w:b/>
          <w:color w:val="auto"/>
          <w:w w:val="90"/>
          <w:sz w:val="36"/>
          <w:szCs w:val="36"/>
          <w:highlight w:val="none"/>
        </w:rPr>
      </w:pPr>
      <w:r>
        <w:rPr>
          <w:rFonts w:hint="eastAsia" w:ascii="宋体" w:hAnsi="宋体"/>
          <w:b/>
          <w:color w:val="auto"/>
          <w:w w:val="90"/>
          <w:sz w:val="36"/>
          <w:szCs w:val="36"/>
          <w:highlight w:val="none"/>
        </w:rPr>
        <w:t>二○二</w:t>
      </w:r>
      <w:r>
        <w:rPr>
          <w:rFonts w:hint="eastAsia" w:ascii="宋体" w:hAnsi="宋体"/>
          <w:b/>
          <w:color w:val="auto"/>
          <w:w w:val="90"/>
          <w:sz w:val="36"/>
          <w:szCs w:val="36"/>
          <w:highlight w:val="none"/>
          <w:lang w:eastAsia="zh-CN"/>
        </w:rPr>
        <w:t>五</w:t>
      </w:r>
      <w:r>
        <w:rPr>
          <w:rFonts w:hint="eastAsia" w:ascii="宋体" w:hAnsi="宋体"/>
          <w:b/>
          <w:color w:val="auto"/>
          <w:w w:val="90"/>
          <w:sz w:val="36"/>
          <w:szCs w:val="36"/>
          <w:highlight w:val="none"/>
        </w:rPr>
        <w:t>年</w:t>
      </w:r>
      <w:r>
        <w:rPr>
          <w:rFonts w:hint="eastAsia" w:ascii="宋体" w:hAnsi="宋体"/>
          <w:b/>
          <w:color w:val="auto"/>
          <w:w w:val="90"/>
          <w:sz w:val="36"/>
          <w:szCs w:val="36"/>
          <w:highlight w:val="none"/>
          <w:lang w:val="en-US" w:eastAsia="zh-CN"/>
        </w:rPr>
        <w:t>七</w:t>
      </w:r>
      <w:r>
        <w:rPr>
          <w:rFonts w:hint="eastAsia" w:ascii="宋体" w:hAnsi="宋体"/>
          <w:b/>
          <w:color w:val="auto"/>
          <w:w w:val="90"/>
          <w:sz w:val="36"/>
          <w:szCs w:val="36"/>
          <w:highlight w:val="none"/>
        </w:rPr>
        <w:t>月</w:t>
      </w:r>
    </w:p>
    <w:p w14:paraId="76B34D22">
      <w:pPr>
        <w:spacing w:line="360" w:lineRule="auto"/>
        <w:jc w:val="center"/>
        <w:rPr>
          <w:rFonts w:hint="eastAsia" w:ascii="Calibri" w:hAnsi="Calibri" w:eastAsia="宋体" w:cs="Times New Roman"/>
          <w:b/>
          <w:bCs/>
          <w:color w:val="auto"/>
          <w:sz w:val="40"/>
          <w:szCs w:val="48"/>
          <w:highlight w:val="none"/>
        </w:rPr>
        <w:sectPr>
          <w:headerReference r:id="rId3" w:type="default"/>
          <w:footerReference r:id="rId4" w:type="default"/>
          <w:pgSz w:w="11906" w:h="16838"/>
          <w:pgMar w:top="1528" w:right="1080" w:bottom="1440" w:left="1080" w:header="907" w:footer="623" w:gutter="0"/>
          <w:pgBorders>
            <w:top w:val="none" w:sz="0" w:space="0"/>
            <w:left w:val="none" w:sz="0" w:space="0"/>
            <w:bottom w:val="none" w:sz="0" w:space="0"/>
            <w:right w:val="none" w:sz="0" w:space="0"/>
          </w:pgBorders>
          <w:pgNumType w:fmt="decimal"/>
          <w:cols w:space="720" w:num="1"/>
          <w:docGrid w:linePitch="312" w:charSpace="0"/>
        </w:sectPr>
      </w:pPr>
    </w:p>
    <w:p w14:paraId="6CBAED26">
      <w:pPr>
        <w:spacing w:line="720" w:lineRule="exact"/>
        <w:ind w:left="1679" w:leftChars="266" w:hanging="1120" w:hangingChars="400"/>
        <w:rPr>
          <w:rFonts w:hint="eastAsia" w:ascii="宋体" w:hAnsi="宋体" w:cs="仿宋_GB2312"/>
          <w:sz w:val="28"/>
          <w:szCs w:val="28"/>
          <w:highlight w:val="none"/>
        </w:rPr>
      </w:pPr>
    </w:p>
    <w:p w14:paraId="0FD822E3">
      <w:pPr>
        <w:spacing w:line="720" w:lineRule="exact"/>
        <w:ind w:left="1679" w:leftChars="266" w:hanging="1120" w:hangingChars="400"/>
        <w:rPr>
          <w:rFonts w:hint="eastAsia" w:ascii="宋体" w:hAnsi="宋体" w:cs="仿宋_GB2312"/>
          <w:sz w:val="28"/>
          <w:szCs w:val="28"/>
          <w:highlight w:val="none"/>
        </w:rPr>
      </w:pPr>
    </w:p>
    <w:p w14:paraId="2796BC1C">
      <w:pPr>
        <w:spacing w:line="360" w:lineRule="auto"/>
        <w:jc w:val="center"/>
        <w:rPr>
          <w:rFonts w:ascii="宋体"/>
          <w:color w:val="auto"/>
          <w:sz w:val="32"/>
          <w:highlight w:val="none"/>
        </w:rPr>
      </w:pPr>
      <w:r>
        <w:rPr>
          <w:rFonts w:hint="eastAsia" w:ascii="宋体"/>
          <w:b/>
          <w:color w:val="auto"/>
          <w:sz w:val="32"/>
          <w:highlight w:val="none"/>
        </w:rPr>
        <w:t>目  录</w:t>
      </w:r>
    </w:p>
    <w:p w14:paraId="71DF5B5B">
      <w:pPr>
        <w:pStyle w:val="69"/>
        <w:tabs>
          <w:tab w:val="right" w:leader="dot" w:pos="9746"/>
        </w:tabs>
        <w:rPr>
          <w:sz w:val="24"/>
          <w:szCs w:val="24"/>
          <w:highlight w:val="none"/>
        </w:rPr>
      </w:pPr>
      <w:r>
        <w:rPr>
          <w:rFonts w:hint="eastAsia"/>
          <w:color w:val="auto"/>
          <w:sz w:val="24"/>
          <w:szCs w:val="24"/>
          <w:highlight w:val="none"/>
        </w:rPr>
        <w:fldChar w:fldCharType="begin"/>
      </w:r>
      <w:r>
        <w:rPr>
          <w:rFonts w:hint="eastAsia"/>
          <w:sz w:val="24"/>
          <w:szCs w:val="24"/>
          <w:highlight w:val="none"/>
        </w:rPr>
        <w:instrText xml:space="preserve"> HYPERLINK \l _Toc25025 </w:instrText>
      </w:r>
      <w:r>
        <w:rPr>
          <w:rFonts w:hint="eastAsia"/>
          <w:sz w:val="24"/>
          <w:szCs w:val="24"/>
          <w:highlight w:val="none"/>
        </w:rPr>
        <w:fldChar w:fldCharType="separate"/>
      </w:r>
      <w:r>
        <w:rPr>
          <w:rFonts w:hint="eastAsia" w:ascii="宋体" w:hAnsi="宋体" w:eastAsia="宋体"/>
          <w:sz w:val="24"/>
          <w:szCs w:val="24"/>
          <w:highlight w:val="none"/>
        </w:rPr>
        <w:t xml:space="preserve">第一章 </w:t>
      </w:r>
      <w:r>
        <w:rPr>
          <w:rFonts w:hint="eastAsia" w:ascii="宋体" w:hAnsi="宋体" w:eastAsia="宋体"/>
          <w:sz w:val="24"/>
          <w:szCs w:val="24"/>
          <w:highlight w:val="none"/>
          <w:lang w:eastAsia="zh-CN"/>
        </w:rPr>
        <w:t>招标公告</w:t>
      </w:r>
      <w:r>
        <w:rPr>
          <w:sz w:val="24"/>
          <w:szCs w:val="24"/>
          <w:highlight w:val="none"/>
        </w:rPr>
        <w:tab/>
      </w:r>
      <w:r>
        <w:rPr>
          <w:rFonts w:hint="eastAsia"/>
          <w:sz w:val="24"/>
          <w:szCs w:val="24"/>
          <w:highlight w:val="none"/>
          <w:lang w:val="en-US" w:eastAsia="zh-CN"/>
        </w:rPr>
        <w:t>3</w:t>
      </w:r>
      <w:r>
        <w:rPr>
          <w:rFonts w:hint="eastAsia"/>
          <w:color w:val="auto"/>
          <w:sz w:val="24"/>
          <w:szCs w:val="24"/>
          <w:highlight w:val="none"/>
        </w:rPr>
        <w:fldChar w:fldCharType="end"/>
      </w:r>
    </w:p>
    <w:p w14:paraId="1D1BEEB8">
      <w:pPr>
        <w:pStyle w:val="69"/>
        <w:tabs>
          <w:tab w:val="right" w:leader="dot" w:pos="9746"/>
        </w:tabs>
        <w:rPr>
          <w:sz w:val="24"/>
          <w:szCs w:val="24"/>
          <w:highlight w:val="none"/>
        </w:rPr>
      </w:pPr>
      <w:r>
        <w:rPr>
          <w:rFonts w:hint="eastAsia"/>
          <w:color w:val="auto"/>
          <w:sz w:val="24"/>
          <w:szCs w:val="24"/>
          <w:highlight w:val="none"/>
        </w:rPr>
        <w:fldChar w:fldCharType="begin"/>
      </w:r>
      <w:r>
        <w:rPr>
          <w:rFonts w:hint="eastAsia"/>
          <w:sz w:val="24"/>
          <w:szCs w:val="24"/>
          <w:highlight w:val="none"/>
        </w:rPr>
        <w:instrText xml:space="preserve"> HYPERLINK \l _Toc2296 </w:instrText>
      </w:r>
      <w:r>
        <w:rPr>
          <w:rFonts w:hint="eastAsia"/>
          <w:sz w:val="24"/>
          <w:szCs w:val="24"/>
          <w:highlight w:val="none"/>
        </w:rPr>
        <w:fldChar w:fldCharType="separate"/>
      </w:r>
      <w:r>
        <w:rPr>
          <w:rFonts w:hint="eastAsia" w:ascii="宋体" w:hAnsi="宋体" w:eastAsia="宋体"/>
          <w:sz w:val="24"/>
          <w:szCs w:val="24"/>
          <w:highlight w:val="none"/>
        </w:rPr>
        <w:t xml:space="preserve">第二章 </w:t>
      </w:r>
      <w:r>
        <w:rPr>
          <w:rFonts w:hint="eastAsia" w:ascii="宋体" w:hAnsi="宋体"/>
          <w:sz w:val="24"/>
          <w:szCs w:val="24"/>
          <w:highlight w:val="none"/>
          <w:lang w:eastAsia="zh-CN"/>
        </w:rPr>
        <w:t>供应商</w:t>
      </w:r>
      <w:r>
        <w:rPr>
          <w:rFonts w:hint="eastAsia" w:ascii="宋体" w:hAnsi="宋体" w:eastAsia="宋体"/>
          <w:sz w:val="24"/>
          <w:szCs w:val="24"/>
          <w:highlight w:val="none"/>
        </w:rPr>
        <w:t>须知</w:t>
      </w:r>
      <w:r>
        <w:rPr>
          <w:sz w:val="24"/>
          <w:szCs w:val="24"/>
          <w:highlight w:val="none"/>
        </w:rPr>
        <w:tab/>
      </w:r>
      <w:r>
        <w:rPr>
          <w:rFonts w:hint="eastAsia"/>
          <w:sz w:val="24"/>
          <w:szCs w:val="24"/>
          <w:highlight w:val="none"/>
          <w:lang w:val="en-US" w:eastAsia="zh-CN"/>
        </w:rPr>
        <w:t>8</w:t>
      </w:r>
      <w:r>
        <w:rPr>
          <w:rFonts w:hint="eastAsia"/>
          <w:color w:val="auto"/>
          <w:sz w:val="24"/>
          <w:szCs w:val="24"/>
          <w:highlight w:val="none"/>
        </w:rPr>
        <w:fldChar w:fldCharType="end"/>
      </w:r>
    </w:p>
    <w:p w14:paraId="1914CD90">
      <w:pPr>
        <w:pStyle w:val="69"/>
        <w:tabs>
          <w:tab w:val="right" w:leader="dot" w:pos="9746"/>
        </w:tabs>
        <w:rPr>
          <w:rFonts w:hint="eastAsia" w:eastAsia="宋体"/>
          <w:sz w:val="24"/>
          <w:szCs w:val="24"/>
          <w:highlight w:val="none"/>
          <w:lang w:val="en-US" w:eastAsia="zh-CN"/>
        </w:rPr>
      </w:pPr>
      <w:r>
        <w:rPr>
          <w:rFonts w:hint="eastAsia"/>
          <w:color w:val="auto"/>
          <w:sz w:val="24"/>
          <w:szCs w:val="24"/>
          <w:highlight w:val="none"/>
        </w:rPr>
        <w:fldChar w:fldCharType="begin"/>
      </w:r>
      <w:r>
        <w:rPr>
          <w:rFonts w:hint="eastAsia"/>
          <w:sz w:val="24"/>
          <w:szCs w:val="24"/>
          <w:highlight w:val="none"/>
        </w:rPr>
        <w:instrText xml:space="preserve"> HYPERLINK \l _Toc525 </w:instrText>
      </w:r>
      <w:r>
        <w:rPr>
          <w:rFonts w:hint="eastAsia"/>
          <w:sz w:val="24"/>
          <w:szCs w:val="24"/>
          <w:highlight w:val="none"/>
        </w:rPr>
        <w:fldChar w:fldCharType="separate"/>
      </w:r>
      <w:r>
        <w:rPr>
          <w:rFonts w:hint="eastAsia" w:ascii="宋体" w:hAnsi="宋体" w:eastAsia="宋体"/>
          <w:sz w:val="24"/>
          <w:szCs w:val="24"/>
          <w:highlight w:val="none"/>
        </w:rPr>
        <w:t xml:space="preserve">第三章 </w:t>
      </w:r>
      <w:r>
        <w:rPr>
          <w:rFonts w:hint="eastAsia" w:ascii="宋体" w:hAnsi="宋体" w:eastAsia="宋体"/>
          <w:sz w:val="24"/>
          <w:szCs w:val="24"/>
          <w:highlight w:val="none"/>
          <w:lang w:eastAsia="zh-CN"/>
        </w:rPr>
        <w:t>招标人需求</w:t>
      </w:r>
      <w:r>
        <w:rPr>
          <w:sz w:val="24"/>
          <w:szCs w:val="24"/>
          <w:highlight w:val="none"/>
        </w:rPr>
        <w:tab/>
      </w:r>
      <w:r>
        <w:rPr>
          <w:rFonts w:hint="eastAsia"/>
          <w:sz w:val="24"/>
          <w:szCs w:val="24"/>
          <w:highlight w:val="none"/>
          <w:lang w:val="en-US" w:eastAsia="zh-CN"/>
        </w:rPr>
        <w:t>2</w:t>
      </w:r>
      <w:r>
        <w:rPr>
          <w:rFonts w:hint="eastAsia"/>
          <w:color w:val="auto"/>
          <w:sz w:val="24"/>
          <w:szCs w:val="24"/>
          <w:highlight w:val="none"/>
        </w:rPr>
        <w:fldChar w:fldCharType="end"/>
      </w:r>
      <w:r>
        <w:rPr>
          <w:rFonts w:hint="eastAsia"/>
          <w:color w:val="auto"/>
          <w:sz w:val="24"/>
          <w:szCs w:val="24"/>
          <w:highlight w:val="none"/>
          <w:lang w:val="en-US" w:eastAsia="zh-CN"/>
        </w:rPr>
        <w:t>3</w:t>
      </w:r>
    </w:p>
    <w:p w14:paraId="791A225C">
      <w:pPr>
        <w:pStyle w:val="69"/>
        <w:tabs>
          <w:tab w:val="right" w:leader="dot" w:pos="9746"/>
        </w:tabs>
        <w:rPr>
          <w:rFonts w:hint="eastAsia" w:eastAsia="宋体"/>
          <w:sz w:val="24"/>
          <w:szCs w:val="24"/>
          <w:highlight w:val="none"/>
          <w:lang w:val="en-US" w:eastAsia="zh-CN"/>
        </w:rPr>
      </w:pPr>
      <w:r>
        <w:rPr>
          <w:rFonts w:hint="eastAsia"/>
          <w:color w:val="auto"/>
          <w:sz w:val="24"/>
          <w:szCs w:val="24"/>
          <w:highlight w:val="none"/>
        </w:rPr>
        <w:fldChar w:fldCharType="begin"/>
      </w:r>
      <w:r>
        <w:rPr>
          <w:rFonts w:hint="eastAsia"/>
          <w:sz w:val="24"/>
          <w:szCs w:val="24"/>
          <w:highlight w:val="none"/>
        </w:rPr>
        <w:instrText xml:space="preserve"> HYPERLINK \l _Toc14667 </w:instrText>
      </w:r>
      <w:r>
        <w:rPr>
          <w:rFonts w:hint="eastAsia"/>
          <w:sz w:val="24"/>
          <w:szCs w:val="24"/>
          <w:highlight w:val="none"/>
        </w:rPr>
        <w:fldChar w:fldCharType="separate"/>
      </w:r>
      <w:r>
        <w:rPr>
          <w:rFonts w:hint="eastAsia" w:ascii="time of new roman" w:hAnsi="time of new roman" w:eastAsia="宋体"/>
          <w:kern w:val="0"/>
          <w:sz w:val="24"/>
          <w:szCs w:val="24"/>
          <w:highlight w:val="none"/>
        </w:rPr>
        <w:t>第四章 评标文件</w:t>
      </w:r>
      <w:r>
        <w:rPr>
          <w:sz w:val="24"/>
          <w:szCs w:val="24"/>
          <w:highlight w:val="none"/>
        </w:rPr>
        <w:tab/>
      </w:r>
      <w:r>
        <w:rPr>
          <w:rFonts w:hint="eastAsia"/>
          <w:sz w:val="24"/>
          <w:szCs w:val="24"/>
          <w:highlight w:val="none"/>
          <w:lang w:val="en-US" w:eastAsia="zh-CN"/>
        </w:rPr>
        <w:t>2</w:t>
      </w:r>
      <w:r>
        <w:rPr>
          <w:rFonts w:hint="eastAsia"/>
          <w:color w:val="auto"/>
          <w:sz w:val="24"/>
          <w:szCs w:val="24"/>
          <w:highlight w:val="none"/>
        </w:rPr>
        <w:fldChar w:fldCharType="end"/>
      </w:r>
      <w:r>
        <w:rPr>
          <w:rFonts w:hint="eastAsia"/>
          <w:color w:val="auto"/>
          <w:sz w:val="24"/>
          <w:szCs w:val="24"/>
          <w:highlight w:val="none"/>
          <w:lang w:val="en-US" w:eastAsia="zh-CN"/>
        </w:rPr>
        <w:t>6</w:t>
      </w:r>
    </w:p>
    <w:p w14:paraId="1D0B9469">
      <w:pPr>
        <w:pStyle w:val="69"/>
        <w:tabs>
          <w:tab w:val="right" w:leader="dot" w:pos="9746"/>
        </w:tabs>
        <w:rPr>
          <w:rFonts w:hint="eastAsia" w:eastAsia="宋体"/>
          <w:sz w:val="24"/>
          <w:szCs w:val="24"/>
          <w:highlight w:val="none"/>
          <w:lang w:val="en-US" w:eastAsia="zh-CN"/>
        </w:rPr>
      </w:pPr>
      <w:r>
        <w:rPr>
          <w:rFonts w:hint="eastAsia"/>
          <w:color w:val="auto"/>
          <w:sz w:val="24"/>
          <w:szCs w:val="24"/>
          <w:highlight w:val="none"/>
        </w:rPr>
        <w:fldChar w:fldCharType="begin"/>
      </w:r>
      <w:r>
        <w:rPr>
          <w:rFonts w:hint="eastAsia"/>
          <w:sz w:val="24"/>
          <w:szCs w:val="24"/>
          <w:highlight w:val="none"/>
        </w:rPr>
        <w:instrText xml:space="preserve"> HYPERLINK \l _Toc2571 </w:instrText>
      </w:r>
      <w:r>
        <w:rPr>
          <w:rFonts w:hint="eastAsia"/>
          <w:sz w:val="24"/>
          <w:szCs w:val="24"/>
          <w:highlight w:val="none"/>
        </w:rPr>
        <w:fldChar w:fldCharType="separate"/>
      </w:r>
      <w:r>
        <w:rPr>
          <w:rFonts w:hint="eastAsia" w:ascii="宋体" w:hAnsi="宋体" w:eastAsia="宋体"/>
          <w:sz w:val="24"/>
          <w:szCs w:val="24"/>
          <w:highlight w:val="none"/>
        </w:rPr>
        <w:t>第五章 合同（样本）</w:t>
      </w:r>
      <w:r>
        <w:rPr>
          <w:sz w:val="24"/>
          <w:szCs w:val="24"/>
          <w:highlight w:val="none"/>
        </w:rPr>
        <w:tab/>
      </w:r>
      <w:r>
        <w:rPr>
          <w:rFonts w:hint="eastAsia"/>
          <w:sz w:val="24"/>
          <w:szCs w:val="24"/>
          <w:highlight w:val="none"/>
          <w:lang w:val="en-US" w:eastAsia="zh-CN"/>
        </w:rPr>
        <w:t>4</w:t>
      </w:r>
      <w:r>
        <w:rPr>
          <w:rFonts w:hint="eastAsia"/>
          <w:color w:val="auto"/>
          <w:sz w:val="24"/>
          <w:szCs w:val="24"/>
          <w:highlight w:val="none"/>
        </w:rPr>
        <w:fldChar w:fldCharType="end"/>
      </w:r>
      <w:r>
        <w:rPr>
          <w:rFonts w:hint="eastAsia"/>
          <w:color w:val="auto"/>
          <w:sz w:val="24"/>
          <w:szCs w:val="24"/>
          <w:highlight w:val="none"/>
          <w:lang w:val="en-US" w:eastAsia="zh-CN"/>
        </w:rPr>
        <w:t>0</w:t>
      </w:r>
    </w:p>
    <w:p w14:paraId="789174D1">
      <w:pPr>
        <w:pStyle w:val="69"/>
        <w:tabs>
          <w:tab w:val="right" w:leader="dot" w:pos="9746"/>
        </w:tabs>
        <w:rPr>
          <w:rFonts w:hint="eastAsia" w:eastAsia="宋体"/>
          <w:sz w:val="24"/>
          <w:szCs w:val="24"/>
          <w:highlight w:val="none"/>
          <w:lang w:val="en-US" w:eastAsia="zh-CN"/>
        </w:rPr>
      </w:pPr>
      <w:r>
        <w:rPr>
          <w:rFonts w:hint="eastAsia"/>
          <w:color w:val="auto"/>
          <w:sz w:val="24"/>
          <w:szCs w:val="24"/>
          <w:highlight w:val="none"/>
        </w:rPr>
        <w:fldChar w:fldCharType="begin"/>
      </w:r>
      <w:r>
        <w:rPr>
          <w:rFonts w:hint="eastAsia"/>
          <w:sz w:val="24"/>
          <w:szCs w:val="24"/>
          <w:highlight w:val="none"/>
        </w:rPr>
        <w:instrText xml:space="preserve"> HYPERLINK \l _Toc29417 </w:instrText>
      </w:r>
      <w:r>
        <w:rPr>
          <w:rFonts w:hint="eastAsia"/>
          <w:sz w:val="24"/>
          <w:szCs w:val="24"/>
          <w:highlight w:val="none"/>
        </w:rPr>
        <w:fldChar w:fldCharType="separate"/>
      </w:r>
      <w:r>
        <w:rPr>
          <w:rFonts w:hint="eastAsia" w:ascii="宋体" w:hAnsi="宋体" w:eastAsia="宋体"/>
          <w:sz w:val="24"/>
          <w:szCs w:val="24"/>
          <w:highlight w:val="none"/>
        </w:rPr>
        <w:t>第六章 投标文件格式</w:t>
      </w:r>
      <w:r>
        <w:rPr>
          <w:sz w:val="24"/>
          <w:szCs w:val="24"/>
          <w:highlight w:val="none"/>
        </w:rPr>
        <w:tab/>
      </w:r>
      <w:r>
        <w:rPr>
          <w:rFonts w:hint="eastAsia"/>
          <w:sz w:val="24"/>
          <w:szCs w:val="24"/>
          <w:highlight w:val="none"/>
          <w:lang w:val="en-US" w:eastAsia="zh-CN"/>
        </w:rPr>
        <w:t>4</w:t>
      </w:r>
      <w:r>
        <w:rPr>
          <w:rFonts w:hint="eastAsia"/>
          <w:color w:val="auto"/>
          <w:sz w:val="24"/>
          <w:szCs w:val="24"/>
          <w:highlight w:val="none"/>
        </w:rPr>
        <w:fldChar w:fldCharType="end"/>
      </w:r>
      <w:r>
        <w:rPr>
          <w:rFonts w:hint="eastAsia"/>
          <w:color w:val="auto"/>
          <w:sz w:val="24"/>
          <w:szCs w:val="24"/>
          <w:highlight w:val="none"/>
          <w:lang w:val="en-US" w:eastAsia="zh-CN"/>
        </w:rPr>
        <w:t>4</w:t>
      </w:r>
    </w:p>
    <w:p w14:paraId="680EA6D3">
      <w:pPr>
        <w:spacing w:line="360" w:lineRule="auto"/>
        <w:rPr>
          <w:rFonts w:hint="eastAsia"/>
          <w:color w:val="auto"/>
          <w:highlight w:val="none"/>
        </w:rPr>
      </w:pPr>
    </w:p>
    <w:p w14:paraId="419C548F">
      <w:pPr>
        <w:spacing w:line="360" w:lineRule="auto"/>
        <w:rPr>
          <w:rFonts w:hint="eastAsia"/>
          <w:color w:val="auto"/>
          <w:highlight w:val="none"/>
        </w:rPr>
      </w:pPr>
    </w:p>
    <w:p w14:paraId="7270FE52">
      <w:pPr>
        <w:spacing w:line="360" w:lineRule="auto"/>
        <w:rPr>
          <w:rFonts w:hint="eastAsia"/>
          <w:color w:val="auto"/>
          <w:highlight w:val="none"/>
        </w:rPr>
      </w:pPr>
    </w:p>
    <w:p w14:paraId="5AA3175C">
      <w:pPr>
        <w:spacing w:line="360" w:lineRule="auto"/>
        <w:rPr>
          <w:rFonts w:hint="eastAsia"/>
          <w:color w:val="auto"/>
          <w:highlight w:val="none"/>
        </w:rPr>
      </w:pPr>
    </w:p>
    <w:p w14:paraId="57467E76">
      <w:pPr>
        <w:spacing w:line="360" w:lineRule="auto"/>
        <w:rPr>
          <w:rFonts w:hint="eastAsia"/>
          <w:color w:val="auto"/>
          <w:highlight w:val="none"/>
        </w:rPr>
      </w:pPr>
    </w:p>
    <w:p w14:paraId="600EF30C">
      <w:pPr>
        <w:spacing w:line="360" w:lineRule="auto"/>
        <w:rPr>
          <w:rFonts w:hint="eastAsia"/>
          <w:color w:val="auto"/>
          <w:highlight w:val="none"/>
        </w:rPr>
      </w:pPr>
    </w:p>
    <w:p w14:paraId="65DBAA7D">
      <w:pPr>
        <w:spacing w:line="360" w:lineRule="auto"/>
        <w:rPr>
          <w:rFonts w:hint="eastAsia"/>
          <w:color w:val="auto"/>
          <w:highlight w:val="none"/>
        </w:rPr>
      </w:pPr>
    </w:p>
    <w:p w14:paraId="382233E4">
      <w:pPr>
        <w:spacing w:line="360" w:lineRule="auto"/>
        <w:rPr>
          <w:rFonts w:hint="eastAsia"/>
          <w:color w:val="auto"/>
          <w:highlight w:val="none"/>
        </w:rPr>
      </w:pPr>
    </w:p>
    <w:p w14:paraId="60512852">
      <w:pPr>
        <w:spacing w:line="360" w:lineRule="auto"/>
        <w:rPr>
          <w:rFonts w:hint="eastAsia"/>
          <w:color w:val="auto"/>
          <w:highlight w:val="none"/>
        </w:rPr>
      </w:pPr>
    </w:p>
    <w:p w14:paraId="6632790B">
      <w:pPr>
        <w:spacing w:line="360" w:lineRule="auto"/>
        <w:rPr>
          <w:rFonts w:hint="eastAsia"/>
          <w:color w:val="auto"/>
          <w:highlight w:val="none"/>
        </w:rPr>
      </w:pPr>
    </w:p>
    <w:p w14:paraId="6ECC7F74">
      <w:pPr>
        <w:spacing w:line="360" w:lineRule="auto"/>
        <w:rPr>
          <w:rFonts w:hint="eastAsia"/>
          <w:color w:val="auto"/>
          <w:highlight w:val="none"/>
        </w:rPr>
      </w:pPr>
    </w:p>
    <w:p w14:paraId="1ECBF487">
      <w:pPr>
        <w:spacing w:line="360" w:lineRule="auto"/>
        <w:rPr>
          <w:rFonts w:hint="eastAsia"/>
          <w:color w:val="auto"/>
          <w:highlight w:val="none"/>
        </w:rPr>
      </w:pPr>
    </w:p>
    <w:p w14:paraId="546B070D">
      <w:pPr>
        <w:spacing w:line="360" w:lineRule="auto"/>
        <w:rPr>
          <w:rFonts w:hint="default" w:eastAsia="宋体"/>
          <w:color w:val="auto"/>
          <w:highlight w:val="none"/>
          <w:lang w:val="en-US" w:eastAsia="zh-CN"/>
        </w:rPr>
      </w:pPr>
    </w:p>
    <w:p w14:paraId="331A3AF3">
      <w:pPr>
        <w:pStyle w:val="2"/>
        <w:spacing w:line="360" w:lineRule="auto"/>
        <w:jc w:val="center"/>
        <w:rPr>
          <w:rFonts w:hint="eastAsia" w:ascii="宋体" w:hAnsi="宋体" w:eastAsia="宋体"/>
          <w:color w:val="auto"/>
          <w:sz w:val="48"/>
          <w:szCs w:val="48"/>
          <w:highlight w:val="none"/>
        </w:rPr>
        <w:sectPr>
          <w:headerReference r:id="rId5" w:type="default"/>
          <w:footerReference r:id="rId6" w:type="default"/>
          <w:pgSz w:w="11906" w:h="16838"/>
          <w:pgMar w:top="1528" w:right="1080" w:bottom="1440" w:left="1080" w:header="907" w:footer="623" w:gutter="0"/>
          <w:pgBorders>
            <w:top w:val="none" w:sz="0" w:space="0"/>
            <w:left w:val="none" w:sz="0" w:space="0"/>
            <w:bottom w:val="none" w:sz="0" w:space="0"/>
            <w:right w:val="none" w:sz="0" w:space="0"/>
          </w:pgBorders>
          <w:pgNumType w:fmt="decimal"/>
          <w:cols w:space="720" w:num="1"/>
          <w:docGrid w:linePitch="312" w:charSpace="0"/>
        </w:sectPr>
      </w:pPr>
      <w:bookmarkStart w:id="2" w:name="_Toc11582"/>
      <w:bookmarkStart w:id="3" w:name="_Toc297209392"/>
    </w:p>
    <w:p w14:paraId="6657601A">
      <w:pPr>
        <w:rPr>
          <w:rFonts w:hint="eastAsia"/>
          <w:highlight w:val="none"/>
        </w:rPr>
      </w:pPr>
    </w:p>
    <w:p w14:paraId="6E8F1C94">
      <w:pPr>
        <w:pStyle w:val="2"/>
        <w:spacing w:line="360" w:lineRule="auto"/>
        <w:jc w:val="center"/>
        <w:rPr>
          <w:rFonts w:hint="eastAsia" w:ascii="宋体" w:hAnsi="宋体" w:eastAsia="宋体"/>
          <w:color w:val="auto"/>
          <w:sz w:val="48"/>
          <w:szCs w:val="48"/>
          <w:highlight w:val="none"/>
        </w:rPr>
      </w:pPr>
    </w:p>
    <w:p w14:paraId="35CEADA6">
      <w:pPr>
        <w:pStyle w:val="2"/>
        <w:spacing w:line="360" w:lineRule="auto"/>
        <w:jc w:val="center"/>
        <w:rPr>
          <w:rFonts w:hint="eastAsia" w:ascii="宋体" w:hAnsi="宋体" w:eastAsia="宋体"/>
          <w:color w:val="auto"/>
          <w:sz w:val="48"/>
          <w:szCs w:val="48"/>
          <w:highlight w:val="none"/>
        </w:rPr>
      </w:pPr>
    </w:p>
    <w:p w14:paraId="7F647E5D">
      <w:pPr>
        <w:pStyle w:val="2"/>
        <w:spacing w:line="360" w:lineRule="auto"/>
        <w:jc w:val="center"/>
        <w:rPr>
          <w:rFonts w:hint="eastAsia" w:ascii="宋体" w:hAnsi="宋体" w:eastAsia="宋体"/>
          <w:color w:val="auto"/>
          <w:sz w:val="48"/>
          <w:szCs w:val="48"/>
          <w:highlight w:val="none"/>
        </w:rPr>
      </w:pPr>
    </w:p>
    <w:p w14:paraId="3DD2C4CE">
      <w:pPr>
        <w:pStyle w:val="2"/>
        <w:spacing w:line="360" w:lineRule="auto"/>
        <w:jc w:val="center"/>
        <w:rPr>
          <w:rFonts w:hint="eastAsia" w:ascii="宋体" w:hAnsi="宋体" w:eastAsia="宋体"/>
          <w:color w:val="auto"/>
          <w:sz w:val="48"/>
          <w:szCs w:val="48"/>
          <w:highlight w:val="none"/>
          <w:lang w:eastAsia="zh-CN"/>
        </w:rPr>
      </w:pPr>
      <w:r>
        <w:rPr>
          <w:rFonts w:hint="eastAsia" w:ascii="宋体" w:hAnsi="宋体" w:eastAsia="宋体"/>
          <w:color w:val="auto"/>
          <w:sz w:val="48"/>
          <w:szCs w:val="48"/>
          <w:highlight w:val="none"/>
        </w:rPr>
        <w:t xml:space="preserve">第一章 </w:t>
      </w:r>
      <w:bookmarkEnd w:id="2"/>
      <w:bookmarkEnd w:id="3"/>
      <w:r>
        <w:rPr>
          <w:rFonts w:hint="eastAsia" w:ascii="宋体" w:hAnsi="宋体" w:eastAsia="宋体"/>
          <w:color w:val="auto"/>
          <w:sz w:val="48"/>
          <w:szCs w:val="48"/>
          <w:highlight w:val="none"/>
          <w:lang w:eastAsia="zh-CN"/>
        </w:rPr>
        <w:t>招标公告</w:t>
      </w:r>
    </w:p>
    <w:p w14:paraId="1755DD50">
      <w:pPr>
        <w:pStyle w:val="28"/>
        <w:tabs>
          <w:tab w:val="left" w:pos="640"/>
          <w:tab w:val="clear" w:pos="993"/>
        </w:tabs>
        <w:spacing w:line="360" w:lineRule="auto"/>
        <w:ind w:left="0" w:leftChars="0" w:firstLine="0" w:firstLineChars="0"/>
        <w:jc w:val="center"/>
        <w:rPr>
          <w:b/>
          <w:bCs/>
          <w:sz w:val="36"/>
          <w:szCs w:val="36"/>
          <w:highlight w:val="none"/>
        </w:rPr>
      </w:pPr>
      <w:r>
        <w:rPr>
          <w:rFonts w:ascii="宋体"/>
          <w:color w:val="auto"/>
          <w:highlight w:val="none"/>
        </w:rPr>
        <w:br w:type="page"/>
      </w:r>
      <w:r>
        <w:rPr>
          <w:rFonts w:hint="eastAsia" w:ascii="宋体" w:hAnsi="宋体" w:eastAsia="宋体" w:cs="宋体"/>
          <w:b/>
          <w:bCs/>
          <w:sz w:val="32"/>
          <w:szCs w:val="32"/>
          <w:highlight w:val="none"/>
        </w:rPr>
        <w:t>招标公告</w:t>
      </w:r>
    </w:p>
    <w:p w14:paraId="297B4F09">
      <w:pPr>
        <w:pStyle w:val="28"/>
        <w:tabs>
          <w:tab w:val="left" w:pos="640"/>
          <w:tab w:val="clear" w:pos="993"/>
        </w:tabs>
        <w:ind w:left="-840" w:leftChars="-400" w:firstLine="1565" w:firstLineChars="433"/>
        <w:jc w:val="center"/>
        <w:rPr>
          <w:b/>
          <w:bCs/>
          <w:sz w:val="36"/>
          <w:szCs w:val="36"/>
          <w:highlight w:val="none"/>
        </w:rPr>
      </w:pPr>
    </w:p>
    <w:p w14:paraId="7FF27D10">
      <w:pPr>
        <w:pStyle w:val="26"/>
        <w:keepNext w:val="0"/>
        <w:keepLines w:val="0"/>
        <w:widowControl/>
        <w:suppressLineNumbers w:val="0"/>
        <w:spacing w:before="60" w:beforeAutospacing="0" w:after="60" w:afterAutospacing="0" w:line="360" w:lineRule="auto"/>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14:paraId="1F90F9F4">
      <w:pPr>
        <w:pStyle w:val="26"/>
        <w:keepNext w:val="0"/>
        <w:keepLines w:val="0"/>
        <w:widowControl/>
        <w:suppressLineNumbers w:val="0"/>
        <w:shd w:val="clear"/>
        <w:spacing w:before="204" w:beforeAutospacing="0" w:after="0" w:afterLines="0" w:afterAutospacing="0" w:line="360" w:lineRule="auto"/>
        <w:ind w:left="0" w:right="0" w:firstLine="480" w:firstLineChars="200"/>
        <w:jc w:val="both"/>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受</w:t>
      </w:r>
      <w:r>
        <w:rPr>
          <w:rStyle w:val="32"/>
          <w:rFonts w:hint="eastAsia" w:ascii="宋体" w:hAnsi="宋体" w:eastAsia="宋体" w:cs="宋体"/>
          <w:b w:val="0"/>
          <w:bCs w:val="0"/>
          <w:color w:val="auto"/>
          <w:sz w:val="24"/>
          <w:szCs w:val="24"/>
          <w:highlight w:val="none"/>
          <w:lang w:eastAsia="zh-CN"/>
        </w:rPr>
        <w:t>和硕县教育和科学技术局</w:t>
      </w:r>
      <w:r>
        <w:rPr>
          <w:rStyle w:val="32"/>
          <w:rFonts w:hint="eastAsia" w:ascii="宋体" w:hAnsi="宋体" w:eastAsia="宋体" w:cs="宋体"/>
          <w:b w:val="0"/>
          <w:bCs w:val="0"/>
          <w:color w:val="auto"/>
          <w:sz w:val="24"/>
          <w:szCs w:val="24"/>
          <w:highlight w:val="none"/>
        </w:rPr>
        <w:t>的委托，新疆益双工程管理有限公司将对</w:t>
      </w:r>
      <w:r>
        <w:rPr>
          <w:rFonts w:hint="eastAsia" w:cs="宋体"/>
          <w:color w:val="auto"/>
          <w:sz w:val="24"/>
          <w:szCs w:val="24"/>
          <w:highlight w:val="none"/>
          <w:lang w:eastAsia="zh-CN"/>
        </w:rPr>
        <w:t>2025年和硕县教育和科学技术局中小学、幼儿园食材采购项目</w:t>
      </w:r>
      <w:r>
        <w:rPr>
          <w:rStyle w:val="32"/>
          <w:rFonts w:hint="eastAsia" w:ascii="宋体" w:hAnsi="宋体" w:eastAsia="宋体" w:cs="宋体"/>
          <w:b w:val="0"/>
          <w:bCs w:val="0"/>
          <w:color w:val="auto"/>
          <w:sz w:val="24"/>
          <w:szCs w:val="24"/>
          <w:highlight w:val="none"/>
        </w:rPr>
        <w:t>以</w:t>
      </w:r>
      <w:r>
        <w:rPr>
          <w:rStyle w:val="32"/>
          <w:rFonts w:hint="eastAsia" w:cs="宋体"/>
          <w:b w:val="0"/>
          <w:bCs w:val="0"/>
          <w:color w:val="auto"/>
          <w:sz w:val="24"/>
          <w:szCs w:val="24"/>
          <w:highlight w:val="none"/>
          <w:lang w:val="en-US" w:eastAsia="zh-CN"/>
        </w:rPr>
        <w:t>公开招标</w:t>
      </w:r>
      <w:r>
        <w:rPr>
          <w:rStyle w:val="32"/>
          <w:rFonts w:hint="eastAsia" w:ascii="宋体" w:hAnsi="宋体" w:eastAsia="宋体" w:cs="宋体"/>
          <w:b w:val="0"/>
          <w:bCs w:val="0"/>
          <w:color w:val="auto"/>
          <w:sz w:val="24"/>
          <w:szCs w:val="24"/>
          <w:highlight w:val="none"/>
        </w:rPr>
        <w:t>的方式进行招标，现邀请合格的供应商前来报名，并在政采云平台自行下载采购文件。</w:t>
      </w:r>
    </w:p>
    <w:p w14:paraId="2E34DB3D">
      <w:pPr>
        <w:pStyle w:val="26"/>
        <w:keepNext w:val="0"/>
        <w:keepLines w:val="0"/>
        <w:widowControl/>
        <w:suppressLineNumbers w:val="0"/>
        <w:shd w:val="clear"/>
        <w:spacing w:before="204" w:beforeAutospacing="0" w:after="0" w:afterLines="0" w:afterAutospacing="0" w:line="360" w:lineRule="auto"/>
        <w:ind w:left="0" w:right="0"/>
        <w:jc w:val="both"/>
        <w:rPr>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rPr>
        <w:t>一、项目基本情况</w:t>
      </w:r>
    </w:p>
    <w:p w14:paraId="40AE955D">
      <w:pPr>
        <w:pStyle w:val="26"/>
        <w:keepNext w:val="0"/>
        <w:keepLines w:val="0"/>
        <w:widowControl/>
        <w:suppressLineNumbers w:val="0"/>
        <w:shd w:val="clear"/>
        <w:spacing w:before="60" w:beforeAutospacing="0" w:after="60" w:afterAutospacing="0" w:line="360" w:lineRule="auto"/>
        <w:ind w:left="0" w:right="0" w:firstLine="42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项目编号：XJYS(ZFCG)2025-012</w:t>
      </w:r>
    </w:p>
    <w:p w14:paraId="50E6B1C0">
      <w:pPr>
        <w:pStyle w:val="26"/>
        <w:keepNext w:val="0"/>
        <w:keepLines w:val="0"/>
        <w:widowControl/>
        <w:suppressLineNumbers w:val="0"/>
        <w:shd w:val="clear"/>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cs="宋体"/>
          <w:color w:val="auto"/>
          <w:sz w:val="24"/>
          <w:szCs w:val="24"/>
          <w:highlight w:val="none"/>
          <w:lang w:eastAsia="zh-CN"/>
        </w:rPr>
        <w:t>2025年和硕县教育和科学技术局中小学、幼儿园食材采购项目</w:t>
      </w:r>
    </w:p>
    <w:p w14:paraId="7A956936">
      <w:pPr>
        <w:pStyle w:val="26"/>
        <w:keepNext w:val="0"/>
        <w:keepLines w:val="0"/>
        <w:widowControl/>
        <w:suppressLineNumbers w:val="0"/>
        <w:shd w:val="clear"/>
        <w:spacing w:before="60" w:beforeAutospacing="0" w:after="60" w:afterAutospacing="0" w:line="360" w:lineRule="auto"/>
        <w:ind w:left="0" w:right="0"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采购方式：</w:t>
      </w:r>
      <w:r>
        <w:rPr>
          <w:rFonts w:hint="eastAsia" w:cs="宋体"/>
          <w:color w:val="auto"/>
          <w:sz w:val="24"/>
          <w:szCs w:val="24"/>
          <w:highlight w:val="none"/>
          <w:lang w:val="en-US" w:eastAsia="zh-CN"/>
        </w:rPr>
        <w:t>公开招标</w:t>
      </w:r>
    </w:p>
    <w:p w14:paraId="781149CF">
      <w:pPr>
        <w:pStyle w:val="26"/>
        <w:keepNext w:val="0"/>
        <w:keepLines w:val="0"/>
        <w:widowControl/>
        <w:suppressLineNumbers w:val="0"/>
        <w:shd w:val="clear" w:fill="FFFFFF" w:themeFill="background1"/>
        <w:spacing w:before="60" w:beforeAutospacing="0" w:after="60" w:afterAutospacing="0" w:line="360" w:lineRule="auto"/>
        <w:ind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预算金额（元）：4730000.00元</w:t>
      </w:r>
    </w:p>
    <w:p w14:paraId="3F552EE9">
      <w:pPr>
        <w:pStyle w:val="26"/>
        <w:keepNext w:val="0"/>
        <w:keepLines w:val="0"/>
        <w:widowControl/>
        <w:suppressLineNumbers w:val="0"/>
        <w:shd w:val="clear" w:fill="FFFFFF" w:themeFill="background1"/>
        <w:spacing w:before="60" w:beforeAutospacing="0" w:after="60" w:afterAutospacing="0" w:line="360" w:lineRule="auto"/>
        <w:ind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合同履约期限：一年按业主需求进行供货（一学年内）</w:t>
      </w:r>
    </w:p>
    <w:p w14:paraId="1784422E">
      <w:pPr>
        <w:pStyle w:val="26"/>
        <w:keepNext w:val="0"/>
        <w:keepLines w:val="0"/>
        <w:widowControl/>
        <w:suppressLineNumbers w:val="0"/>
        <w:shd w:val="clear" w:fill="FFFFFF" w:themeFill="background1"/>
        <w:spacing w:before="60" w:beforeAutospacing="0" w:after="60" w:afterAutospacing="0" w:line="360" w:lineRule="auto"/>
        <w:ind w:right="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供货地点：和硕县各中小学、幼儿园。</w:t>
      </w:r>
    </w:p>
    <w:p w14:paraId="096CAA80">
      <w:pPr>
        <w:pStyle w:val="26"/>
        <w:keepNext w:val="0"/>
        <w:keepLines w:val="0"/>
        <w:widowControl/>
        <w:suppressLineNumbers w:val="0"/>
        <w:shd w:val="clear"/>
        <w:spacing w:before="60" w:beforeAutospacing="0" w:after="60" w:afterAutospacing="0" w:line="360" w:lineRule="auto"/>
        <w:ind w:left="0" w:right="0"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采购需求：  </w:t>
      </w:r>
    </w:p>
    <w:p w14:paraId="42046BCD">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cs="宋体"/>
          <w:b/>
          <w:bCs/>
          <w:color w:val="auto"/>
          <w:sz w:val="24"/>
          <w:szCs w:val="24"/>
          <w:highlight w:val="none"/>
          <w:lang w:val="en-US" w:eastAsia="zh-CN"/>
        </w:rPr>
      </w:pPr>
      <w:r>
        <w:rPr>
          <w:rFonts w:hint="eastAsia" w:cs="宋体"/>
          <w:b/>
          <w:bCs/>
          <w:color w:val="auto"/>
          <w:sz w:val="24"/>
          <w:szCs w:val="24"/>
          <w:highlight w:val="none"/>
          <w:lang w:val="en-US" w:eastAsia="zh-CN"/>
        </w:rPr>
        <w:t>标项一</w:t>
      </w:r>
    </w:p>
    <w:p w14:paraId="2DF156FC">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cs="宋体"/>
          <w:color w:val="auto"/>
          <w:sz w:val="24"/>
          <w:szCs w:val="24"/>
          <w:highlight w:val="none"/>
          <w:lang w:eastAsia="zh-CN"/>
        </w:rPr>
      </w:pPr>
      <w:r>
        <w:rPr>
          <w:rFonts w:hint="eastAsia" w:cs="宋体"/>
          <w:b w:val="0"/>
          <w:bCs w:val="0"/>
          <w:color w:val="auto"/>
          <w:sz w:val="24"/>
          <w:szCs w:val="24"/>
          <w:highlight w:val="none"/>
          <w:lang w:val="en-US" w:eastAsia="zh-CN"/>
        </w:rPr>
        <w:t>项目名称：</w:t>
      </w:r>
      <w:r>
        <w:rPr>
          <w:rFonts w:hint="eastAsia" w:cs="宋体"/>
          <w:color w:val="auto"/>
          <w:sz w:val="24"/>
          <w:szCs w:val="24"/>
          <w:highlight w:val="none"/>
          <w:lang w:eastAsia="zh-CN"/>
        </w:rPr>
        <w:t>2025年和硕县教育和科学技术局中小学、幼儿园食材采购项目（</w:t>
      </w:r>
      <w:r>
        <w:rPr>
          <w:rFonts w:hint="eastAsia" w:cs="宋体"/>
          <w:color w:val="auto"/>
          <w:sz w:val="24"/>
          <w:szCs w:val="24"/>
          <w:highlight w:val="none"/>
          <w:lang w:val="en-US" w:eastAsia="zh-CN"/>
        </w:rPr>
        <w:t>一标段</w:t>
      </w:r>
      <w:r>
        <w:rPr>
          <w:rFonts w:hint="eastAsia" w:cs="宋体"/>
          <w:color w:val="auto"/>
          <w:sz w:val="24"/>
          <w:szCs w:val="24"/>
          <w:highlight w:val="none"/>
          <w:lang w:eastAsia="zh-CN"/>
        </w:rPr>
        <w:t>）</w:t>
      </w:r>
    </w:p>
    <w:p w14:paraId="432DE1F4">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default" w:cs="宋体"/>
          <w:color w:val="auto"/>
          <w:sz w:val="24"/>
          <w:szCs w:val="24"/>
          <w:highlight w:val="none"/>
          <w:lang w:val="en-US" w:eastAsia="zh-CN"/>
        </w:rPr>
      </w:pPr>
      <w:r>
        <w:rPr>
          <w:rFonts w:hint="eastAsia" w:cs="宋体"/>
          <w:color w:val="auto"/>
          <w:sz w:val="24"/>
          <w:szCs w:val="24"/>
          <w:highlight w:val="none"/>
          <w:lang w:val="en-US" w:eastAsia="zh-CN"/>
        </w:rPr>
        <w:t>预算金额：1700000.00元</w:t>
      </w:r>
    </w:p>
    <w:p w14:paraId="49ADE06B">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rPr>
        <w:t>采购内容：</w:t>
      </w:r>
      <w:r>
        <w:rPr>
          <w:rFonts w:hint="eastAsia" w:ascii="宋体" w:hAnsi="宋体" w:eastAsia="宋体" w:cs="宋体"/>
          <w:color w:val="auto"/>
          <w:sz w:val="24"/>
          <w:szCs w:val="24"/>
          <w:highlight w:val="none"/>
          <w:lang w:val="en-US" w:eastAsia="zh-CN"/>
        </w:rPr>
        <w:t>奶制品、糕点、米面油、副食调料等采购配送</w:t>
      </w:r>
      <w:r>
        <w:rPr>
          <w:rStyle w:val="32"/>
          <w:rFonts w:hint="eastAsia" w:ascii="宋体" w:hAnsi="宋体" w:eastAsia="宋体" w:cs="宋体"/>
          <w:b w:val="0"/>
          <w:bCs w:val="0"/>
          <w:color w:val="auto"/>
          <w:sz w:val="24"/>
          <w:szCs w:val="24"/>
          <w:highlight w:val="none"/>
        </w:rPr>
        <w:t>。</w:t>
      </w:r>
    </w:p>
    <w:p w14:paraId="1DECF36A">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cs="宋体"/>
          <w:b/>
          <w:bCs/>
          <w:color w:val="auto"/>
          <w:sz w:val="24"/>
          <w:szCs w:val="24"/>
          <w:highlight w:val="none"/>
          <w:lang w:val="en-US" w:eastAsia="zh-CN"/>
        </w:rPr>
      </w:pPr>
      <w:r>
        <w:rPr>
          <w:rFonts w:hint="eastAsia" w:cs="宋体"/>
          <w:b/>
          <w:bCs/>
          <w:color w:val="auto"/>
          <w:sz w:val="24"/>
          <w:szCs w:val="24"/>
          <w:highlight w:val="none"/>
          <w:lang w:val="en-US" w:eastAsia="zh-CN"/>
        </w:rPr>
        <w:t>标项二</w:t>
      </w:r>
    </w:p>
    <w:p w14:paraId="38EB6598">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cs="宋体"/>
          <w:color w:val="auto"/>
          <w:sz w:val="24"/>
          <w:szCs w:val="24"/>
          <w:highlight w:val="none"/>
          <w:lang w:eastAsia="zh-CN"/>
        </w:rPr>
      </w:pPr>
      <w:r>
        <w:rPr>
          <w:rFonts w:hint="eastAsia" w:cs="宋体"/>
          <w:b w:val="0"/>
          <w:bCs w:val="0"/>
          <w:color w:val="auto"/>
          <w:sz w:val="24"/>
          <w:szCs w:val="24"/>
          <w:highlight w:val="none"/>
          <w:lang w:val="en-US" w:eastAsia="zh-CN"/>
        </w:rPr>
        <w:t>项目名称：</w:t>
      </w:r>
      <w:r>
        <w:rPr>
          <w:rFonts w:hint="eastAsia" w:cs="宋体"/>
          <w:color w:val="auto"/>
          <w:sz w:val="24"/>
          <w:szCs w:val="24"/>
          <w:highlight w:val="none"/>
          <w:lang w:eastAsia="zh-CN"/>
        </w:rPr>
        <w:t>2025年和硕县教育和科学技术局中小学、幼儿园食材采购项目（</w:t>
      </w:r>
      <w:r>
        <w:rPr>
          <w:rFonts w:hint="eastAsia" w:cs="宋体"/>
          <w:color w:val="auto"/>
          <w:sz w:val="24"/>
          <w:szCs w:val="24"/>
          <w:highlight w:val="none"/>
          <w:lang w:val="en-US" w:eastAsia="zh-CN"/>
        </w:rPr>
        <w:t>二标段</w:t>
      </w:r>
      <w:r>
        <w:rPr>
          <w:rFonts w:hint="eastAsia" w:cs="宋体"/>
          <w:color w:val="auto"/>
          <w:sz w:val="24"/>
          <w:szCs w:val="24"/>
          <w:highlight w:val="none"/>
          <w:lang w:eastAsia="zh-CN"/>
        </w:rPr>
        <w:t>）</w:t>
      </w:r>
    </w:p>
    <w:p w14:paraId="7A3802B2">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cs="宋体"/>
          <w:color w:val="auto"/>
          <w:sz w:val="24"/>
          <w:szCs w:val="24"/>
          <w:highlight w:val="none"/>
          <w:lang w:val="en-US" w:eastAsia="zh-CN"/>
        </w:rPr>
      </w:pPr>
      <w:r>
        <w:rPr>
          <w:rFonts w:hint="eastAsia" w:cs="宋体"/>
          <w:color w:val="auto"/>
          <w:sz w:val="24"/>
          <w:szCs w:val="24"/>
          <w:highlight w:val="none"/>
          <w:lang w:val="en-US" w:eastAsia="zh-CN"/>
        </w:rPr>
        <w:t>预算金额：1610000.00元</w:t>
      </w:r>
    </w:p>
    <w:p w14:paraId="47C96B43">
      <w:pPr>
        <w:pStyle w:val="26"/>
        <w:keepNext w:val="0"/>
        <w:keepLines w:val="0"/>
        <w:widowControl/>
        <w:suppressLineNumbers w:val="0"/>
        <w:shd w:val="clear" w:color="auto" w:fill="FFFFFF"/>
        <w:spacing w:before="60" w:beforeAutospacing="0" w:after="60" w:afterAutospacing="0" w:line="360" w:lineRule="auto"/>
        <w:ind w:left="0" w:right="0" w:firstLine="420"/>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rPr>
        <w:t>采购内容：</w:t>
      </w:r>
      <w:r>
        <w:rPr>
          <w:rFonts w:hint="eastAsia" w:cs="宋体"/>
          <w:color w:val="auto"/>
          <w:sz w:val="24"/>
          <w:szCs w:val="24"/>
          <w:highlight w:val="none"/>
          <w:lang w:val="en-US" w:eastAsia="zh-CN"/>
        </w:rPr>
        <w:t>牛羊肉、鸡肉、鱼肉等肉类采购配送</w:t>
      </w:r>
      <w:r>
        <w:rPr>
          <w:rStyle w:val="32"/>
          <w:rFonts w:hint="eastAsia" w:ascii="宋体" w:hAnsi="宋体" w:eastAsia="宋体" w:cs="宋体"/>
          <w:b w:val="0"/>
          <w:bCs w:val="0"/>
          <w:color w:val="auto"/>
          <w:sz w:val="24"/>
          <w:szCs w:val="24"/>
          <w:highlight w:val="none"/>
        </w:rPr>
        <w:t>。</w:t>
      </w:r>
    </w:p>
    <w:p w14:paraId="44C353E0">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标项三</w:t>
      </w:r>
    </w:p>
    <w:p w14:paraId="7CD4FD25">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cs="宋体"/>
          <w:color w:val="auto"/>
          <w:sz w:val="24"/>
          <w:szCs w:val="24"/>
          <w:highlight w:val="none"/>
          <w:lang w:eastAsia="zh-CN"/>
        </w:rPr>
      </w:pPr>
      <w:r>
        <w:rPr>
          <w:rFonts w:hint="eastAsia" w:cs="宋体"/>
          <w:b w:val="0"/>
          <w:bCs w:val="0"/>
          <w:color w:val="auto"/>
          <w:sz w:val="24"/>
          <w:szCs w:val="24"/>
          <w:highlight w:val="none"/>
          <w:lang w:val="en-US" w:eastAsia="zh-CN"/>
        </w:rPr>
        <w:t>项目名称：</w:t>
      </w:r>
      <w:r>
        <w:rPr>
          <w:rFonts w:hint="eastAsia" w:cs="宋体"/>
          <w:color w:val="auto"/>
          <w:sz w:val="24"/>
          <w:szCs w:val="24"/>
          <w:highlight w:val="none"/>
          <w:lang w:eastAsia="zh-CN"/>
        </w:rPr>
        <w:t>2025年和硕县教育和科学技术局中小学、幼儿园食材采购项目（</w:t>
      </w:r>
      <w:r>
        <w:rPr>
          <w:rFonts w:hint="eastAsia" w:cs="宋体"/>
          <w:color w:val="auto"/>
          <w:sz w:val="24"/>
          <w:szCs w:val="24"/>
          <w:highlight w:val="none"/>
          <w:lang w:val="en-US" w:eastAsia="zh-CN"/>
        </w:rPr>
        <w:t>三标段</w:t>
      </w:r>
      <w:r>
        <w:rPr>
          <w:rFonts w:hint="eastAsia" w:cs="宋体"/>
          <w:color w:val="auto"/>
          <w:sz w:val="24"/>
          <w:szCs w:val="24"/>
          <w:highlight w:val="none"/>
          <w:lang w:eastAsia="zh-CN"/>
        </w:rPr>
        <w:t>）</w:t>
      </w:r>
    </w:p>
    <w:p w14:paraId="241973B3">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预算金额：1420000.00元</w:t>
      </w:r>
    </w:p>
    <w:p w14:paraId="4281B45C">
      <w:pPr>
        <w:pStyle w:val="26"/>
        <w:keepNext w:val="0"/>
        <w:keepLines w:val="0"/>
        <w:widowControl/>
        <w:suppressLineNumbers w:val="0"/>
        <w:shd w:val="clear" w:fill="FFFFFF" w:themeFill="background1"/>
        <w:spacing w:before="60" w:beforeAutospacing="0" w:after="60" w:afterAutospacing="0" w:line="360" w:lineRule="auto"/>
        <w:ind w:left="0" w:right="0" w:firstLine="420"/>
        <w:rPr>
          <w:rStyle w:val="32"/>
          <w:rFonts w:hint="eastAsia" w:ascii="宋体" w:hAnsi="宋体" w:eastAsia="宋体" w:cs="宋体"/>
          <w:color w:val="auto"/>
          <w:sz w:val="24"/>
          <w:szCs w:val="24"/>
          <w:highlight w:val="none"/>
        </w:rPr>
      </w:pPr>
      <w:r>
        <w:rPr>
          <w:rFonts w:hint="eastAsia" w:ascii="宋体" w:hAnsi="宋体" w:eastAsia="宋体" w:cs="宋体"/>
          <w:sz w:val="24"/>
          <w:szCs w:val="24"/>
        </w:rPr>
        <w:t>采购内容</w:t>
      </w:r>
      <w:r>
        <w:rPr>
          <w:rFonts w:hint="eastAsia" w:ascii="宋体" w:hAnsi="宋体" w:eastAsia="宋体" w:cs="宋体"/>
          <w:color w:val="auto"/>
          <w:sz w:val="24"/>
          <w:szCs w:val="24"/>
          <w:highlight w:val="none"/>
          <w:lang w:val="en-US" w:eastAsia="zh-CN"/>
        </w:rPr>
        <w:t>：蔬菜、水果、干果、蛋类等采购配送</w:t>
      </w:r>
      <w:r>
        <w:rPr>
          <w:rStyle w:val="32"/>
          <w:rFonts w:hint="eastAsia" w:ascii="宋体" w:hAnsi="宋体" w:eastAsia="宋体" w:cs="宋体"/>
          <w:b w:val="0"/>
          <w:bCs w:val="0"/>
          <w:color w:val="auto"/>
          <w:sz w:val="24"/>
          <w:szCs w:val="24"/>
          <w:highlight w:val="none"/>
        </w:rPr>
        <w:t>。</w:t>
      </w:r>
    </w:p>
    <w:p w14:paraId="59C3DE40">
      <w:pPr>
        <w:pStyle w:val="26"/>
        <w:keepNext w:val="0"/>
        <w:keepLines w:val="0"/>
        <w:widowControl/>
        <w:suppressLineNumbers w:val="0"/>
        <w:shd w:val="clear" w:fill="FFFFFF" w:themeFill="background1"/>
        <w:spacing w:before="60" w:beforeAutospacing="0" w:after="60" w:afterAutospacing="0" w:line="360" w:lineRule="auto"/>
        <w:ind w:left="0" w:right="0"/>
        <w:rPr>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rPr>
        <w:t>二、申请人的资格要求：</w:t>
      </w:r>
    </w:p>
    <w:p w14:paraId="05E262EB">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r>
        <w:rPr>
          <w:rFonts w:hint="eastAsia" w:eastAsia="宋体" w:cs="宋体"/>
          <w:color w:val="auto"/>
          <w:sz w:val="24"/>
          <w:szCs w:val="24"/>
          <w:highlight w:val="none"/>
          <w:lang w:eastAsia="zh-CN"/>
        </w:rPr>
        <w:t>：</w:t>
      </w:r>
    </w:p>
    <w:p w14:paraId="4975C430">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76151FB0">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25D94C54">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）具有依法缴纳税收和社会保障资金的良好记录；</w:t>
      </w:r>
    </w:p>
    <w:p w14:paraId="1DE92BA9">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）具有履行合同所必需的</w:t>
      </w:r>
      <w:r>
        <w:rPr>
          <w:rFonts w:hint="eastAsia" w:eastAsia="宋体" w:cs="宋体"/>
          <w:color w:val="auto"/>
          <w:sz w:val="24"/>
          <w:szCs w:val="24"/>
          <w:highlight w:val="none"/>
          <w:lang w:eastAsia="zh-CN"/>
        </w:rPr>
        <w:t>货物</w:t>
      </w:r>
      <w:r>
        <w:rPr>
          <w:rFonts w:hint="eastAsia" w:ascii="宋体" w:hAnsi="宋体" w:eastAsia="宋体" w:cs="宋体"/>
          <w:color w:val="auto"/>
          <w:sz w:val="24"/>
          <w:szCs w:val="24"/>
          <w:highlight w:val="none"/>
        </w:rPr>
        <w:t>和专业技术能力；</w:t>
      </w:r>
    </w:p>
    <w:p w14:paraId="0BEE64A1">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）参加政府采购活动前三年内，在经营活动中没有重大违法记录；</w:t>
      </w:r>
    </w:p>
    <w:p w14:paraId="1FE116F0">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）法律、行政法规规定的其他条件。</w:t>
      </w:r>
    </w:p>
    <w:p w14:paraId="20A09EA7">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2.</w:t>
      </w:r>
      <w:r>
        <w:rPr>
          <w:rFonts w:hint="eastAsia" w:ascii="宋体" w:hAnsi="宋体" w:eastAsia="宋体" w:cs="宋体"/>
          <w:b w:val="0"/>
          <w:bCs w:val="0"/>
          <w:sz w:val="24"/>
          <w:szCs w:val="24"/>
        </w:rPr>
        <w:t>本项目资格要求：</w:t>
      </w:r>
    </w:p>
    <w:p w14:paraId="6D7E7DCE">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在中华人民共和国境内依法注册的、具有独立承担民事责任的能力，提供有效的营业执照</w:t>
      </w:r>
      <w:r>
        <w:rPr>
          <w:rFonts w:hint="eastAsia" w:ascii="宋体" w:hAnsi="宋体" w:eastAsia="宋体" w:cs="宋体"/>
          <w:sz w:val="24"/>
          <w:szCs w:val="24"/>
        </w:rPr>
        <w:t xml:space="preserve">； </w:t>
      </w:r>
    </w:p>
    <w:p w14:paraId="799EF86D">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（2）法定代表人资格证明书及身份证或法人授权委托书及被授权人身份证；</w:t>
      </w:r>
    </w:p>
    <w:p w14:paraId="4D346669">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（3）具有履行合同所必需的机械设备和专业技术力量，并在人员、运输、资金等方面具有相应的能力；</w:t>
      </w:r>
    </w:p>
    <w:p w14:paraId="675477F6">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（4）未被“信用中国”（www.creditchina.gov.cn）、中国政府采购网（www.ccgp.gov.cn）列入失信被执行人、重大税收违法案件当事人名单、政府采购严重违法失信行为记录名单；</w:t>
      </w:r>
    </w:p>
    <w:p w14:paraId="01FFB56C">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（5）单位负责人为同一人或者存在直接控股、管理关系的不同供应商，不得参加同一合同项下的政府采购活动。</w:t>
      </w:r>
    </w:p>
    <w:p w14:paraId="2D7863AE">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（6）本项目（不接受）联合体投标。</w:t>
      </w:r>
    </w:p>
    <w:p w14:paraId="549EDE73">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.本项目的特定资格要求：</w:t>
      </w:r>
    </w:p>
    <w:p w14:paraId="66FD8F68">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eastAsia="宋体" w:cs="宋体"/>
          <w:b/>
          <w:bCs/>
          <w:color w:val="auto"/>
          <w:sz w:val="24"/>
          <w:szCs w:val="24"/>
          <w:highlight w:val="none"/>
          <w:lang w:eastAsia="zh-CN"/>
        </w:rPr>
      </w:pPr>
      <w:r>
        <w:rPr>
          <w:rFonts w:hint="eastAsia" w:cs="宋体"/>
          <w:b/>
          <w:bCs/>
          <w:color w:val="auto"/>
          <w:sz w:val="24"/>
          <w:szCs w:val="24"/>
          <w:highlight w:val="none"/>
          <w:lang w:val="en-US" w:eastAsia="zh-CN"/>
        </w:rPr>
        <w:t>（1）标项一至标项三供应商具有有效的《食品经营许可证》或《食品生产许可证》。</w:t>
      </w:r>
    </w:p>
    <w:p w14:paraId="3D66762E">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default" w:ascii="宋体" w:hAnsi="宋体" w:eastAsia="宋体" w:cs="宋体"/>
          <w:color w:val="auto"/>
          <w:sz w:val="24"/>
          <w:szCs w:val="24"/>
          <w:highlight w:val="none"/>
          <w:lang w:val="en-US" w:eastAsia="zh-CN"/>
        </w:rPr>
      </w:pPr>
      <w:r>
        <w:rPr>
          <w:rFonts w:hint="eastAsia" w:cs="宋体"/>
          <w:b/>
          <w:bCs/>
          <w:color w:val="auto"/>
          <w:sz w:val="24"/>
          <w:szCs w:val="24"/>
          <w:highlight w:val="none"/>
          <w:lang w:val="en-US" w:eastAsia="zh-CN"/>
        </w:rPr>
        <w:t>（2）标项二供应商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w:t>
      </w:r>
    </w:p>
    <w:p w14:paraId="50CB91C6">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.落实政府采购政策需满足的资格要求：</w:t>
      </w:r>
    </w:p>
    <w:p w14:paraId="420024FE">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（1）财政部、国家发展改革委、生态环境部、市场监管总局《关于调整优化节能产品、环境标志产品政府采购执行机制的通知》（财库[2019]9 号文）；</w:t>
      </w:r>
    </w:p>
    <w:p w14:paraId="51B2E26F">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（2）财政部、生态环境部《关于印发环境标志产品政府采购品目清单的通知》（财库[2019]18 号文）；</w:t>
      </w:r>
    </w:p>
    <w:p w14:paraId="35C887B0">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（3）财政部、发展改革委《关于印发节能产品政府采购品目清单的通知》（财库[2019]19 号文）；</w:t>
      </w:r>
    </w:p>
    <w:p w14:paraId="71123965">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（4）市场监管总局《市场监管总局关于发布参与实施政府采购节能产品、环境标志产品认证机构名录的公告》（2019 年第 16 号）；</w:t>
      </w:r>
    </w:p>
    <w:p w14:paraId="37240E87">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（5）财政部、工业和信息化部《关于印发《政府采购促进中小企业展暂行办法》的通知》（财库[2020]46号文）；</w:t>
      </w:r>
    </w:p>
    <w:p w14:paraId="5D1DFDC1">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（6）财政部、民政部、中国残疾人联合会《关于促进残疾人就业政府采购政策的通知》（财库[2017]141 号）；</w:t>
      </w:r>
    </w:p>
    <w:p w14:paraId="757E700E">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（7）财政部、司法部《关于政府采购支持监狱企业发展有关问题的通知》（财库[2014]68 号文）。（中小企业优惠、监狱企业、节能产品、环境标志产品等）。</w:t>
      </w:r>
    </w:p>
    <w:p w14:paraId="4DA3424E">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（8）扶持中小企业政策：</w:t>
      </w:r>
      <w:r>
        <w:rPr>
          <w:rFonts w:hint="eastAsia" w:ascii="宋体" w:hAnsi="宋体" w:eastAsia="宋体" w:cs="宋体"/>
          <w:b/>
          <w:bCs/>
          <w:color w:val="auto"/>
          <w:sz w:val="24"/>
          <w:szCs w:val="24"/>
          <w:highlight w:val="none"/>
        </w:rPr>
        <w:t>本项目为专门面向中小企业</w:t>
      </w:r>
      <w:r>
        <w:rPr>
          <w:rFonts w:hint="eastAsia" w:ascii="宋体" w:hAnsi="宋体" w:eastAsia="宋体" w:cs="宋体"/>
          <w:color w:val="auto"/>
          <w:sz w:val="24"/>
          <w:szCs w:val="24"/>
          <w:highlight w:val="none"/>
        </w:rPr>
        <w:t>（含中型、小型、微型企业）采购项目。中小企业是工业和信息化部、国家统计局、发展改革委、财政部《中小企业划型标准规定》（工信部联企业〔2011〕300号）中划分的中、小、微型企业。评审时小型和微型企业产品享受10%的价格折扣。监狱企业、残疾人福利组织视同小型、微型企业。</w:t>
      </w:r>
    </w:p>
    <w:p w14:paraId="2E9C2716">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（9）《关于运用政府采购政策支持脱贫攻坚的通知》（财库【2019】27号文）。  </w:t>
      </w:r>
    </w:p>
    <w:p w14:paraId="00A75F19">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Style w:val="32"/>
          <w:rFonts w:hint="eastAsia" w:ascii="宋体" w:hAnsi="宋体" w:eastAsia="宋体" w:cs="宋体"/>
          <w:color w:val="auto"/>
          <w:sz w:val="24"/>
          <w:szCs w:val="24"/>
          <w:highlight w:val="none"/>
        </w:rPr>
        <w:t>三、获取招标文件（下载）时间、地址、售价:</w:t>
      </w:r>
    </w:p>
    <w:p w14:paraId="455B31CD">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1、时</w:t>
      </w:r>
      <w:r>
        <w:rPr>
          <w:rFonts w:hint="eastAsia" w:ascii="宋体" w:hAnsi="宋体" w:eastAsia="宋体" w:cs="宋体"/>
          <w:sz w:val="24"/>
          <w:szCs w:val="24"/>
          <w:highlight w:val="none"/>
        </w:rPr>
        <w:t>间：2025年</w:t>
      </w:r>
      <w:r>
        <w:rPr>
          <w:rFonts w:hint="eastAsia" w:ascii="宋体" w:eastAsia="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eastAsia="宋体" w:cs="宋体"/>
          <w:sz w:val="24"/>
          <w:szCs w:val="24"/>
          <w:highlight w:val="none"/>
          <w:lang w:val="en-US" w:eastAsia="zh-CN"/>
        </w:rPr>
        <w:t>11</w:t>
      </w:r>
      <w:r>
        <w:rPr>
          <w:rFonts w:hint="eastAsia" w:ascii="宋体" w:hAnsi="宋体" w:eastAsia="宋体" w:cs="宋体"/>
          <w:sz w:val="24"/>
          <w:szCs w:val="24"/>
          <w:highlight w:val="none"/>
        </w:rPr>
        <w:t>日至2025年</w:t>
      </w:r>
      <w:r>
        <w:rPr>
          <w:rFonts w:hint="eastAsia" w:ascii="宋体" w:eastAsia="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eastAsia="宋体" w:cs="宋体"/>
          <w:sz w:val="24"/>
          <w:szCs w:val="24"/>
          <w:highlight w:val="none"/>
          <w:lang w:val="en-US" w:eastAsia="zh-CN"/>
        </w:rPr>
        <w:t>18</w:t>
      </w:r>
      <w:r>
        <w:rPr>
          <w:rFonts w:hint="eastAsia" w:ascii="宋体" w:hAnsi="宋体" w:eastAsia="宋体" w:cs="宋体"/>
          <w:sz w:val="24"/>
          <w:szCs w:val="24"/>
          <w:highlight w:val="none"/>
        </w:rPr>
        <w:t>日</w:t>
      </w:r>
      <w:r>
        <w:rPr>
          <w:rFonts w:hint="eastAsia" w:ascii="宋体" w:hAnsi="宋体" w:eastAsia="宋体" w:cs="宋体"/>
          <w:sz w:val="24"/>
          <w:szCs w:val="24"/>
          <w:highlight w:val="none"/>
        </w:rPr>
        <w:t>，每</w:t>
      </w:r>
      <w:r>
        <w:rPr>
          <w:rFonts w:hint="eastAsia" w:ascii="宋体" w:hAnsi="宋体" w:eastAsia="宋体" w:cs="宋体"/>
          <w:sz w:val="24"/>
          <w:szCs w:val="24"/>
        </w:rPr>
        <w:t>天上午10:00至13:30，下午16:00至19:30（北京时间，线上获取法定节假日除外）</w:t>
      </w:r>
    </w:p>
    <w:p w14:paraId="16914F23">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2、地点（网址）：供应商登陆政采云平台http://www.zcygov.cn/，在线申请获取采购文件（登录政府采购云平台 → 项目采购 → 获取采购文件 → 申请，审核通过后可下载</w:t>
      </w:r>
      <w:r>
        <w:rPr>
          <w:rFonts w:hint="eastAsia" w:ascii="宋体" w:eastAsia="宋体" w:cs="宋体"/>
          <w:sz w:val="24"/>
          <w:szCs w:val="24"/>
          <w:lang w:val="en-US" w:eastAsia="zh-CN"/>
        </w:rPr>
        <w:t>招标</w:t>
      </w:r>
      <w:r>
        <w:rPr>
          <w:rFonts w:hint="eastAsia" w:ascii="宋体" w:hAnsi="宋体" w:eastAsia="宋体" w:cs="宋体"/>
          <w:sz w:val="24"/>
          <w:szCs w:val="24"/>
        </w:rPr>
        <w:t>文件，如有操作性问题，可与政采云在线客服进行咨询，咨询电话：95763） </w:t>
      </w:r>
    </w:p>
    <w:p w14:paraId="7A2BEA70">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3、获取方式：供应商登录政采云平台自行获取。</w:t>
      </w:r>
    </w:p>
    <w:p w14:paraId="74801D8D">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4、售价（元）：0元</w:t>
      </w:r>
    </w:p>
    <w:p w14:paraId="62A49FF2">
      <w:pPr>
        <w:pStyle w:val="26"/>
        <w:keepNext w:val="0"/>
        <w:keepLines w:val="0"/>
        <w:widowControl/>
        <w:suppressLineNumbers w:val="0"/>
        <w:shd w:val="clear" w:fill="FFFFFF" w:themeFill="background1"/>
        <w:spacing w:before="74" w:beforeLines="0" w:beforeAutospacing="0" w:after="74" w:afterLines="0" w:afterAutospacing="0" w:line="360" w:lineRule="auto"/>
        <w:ind w:left="0" w:right="0"/>
        <w:jc w:val="both"/>
        <w:rPr>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rPr>
        <w:t>四、提交投标文件截止时间、开标时间和地点</w:t>
      </w:r>
    </w:p>
    <w:p w14:paraId="1709797A">
      <w:pPr>
        <w:pStyle w:val="26"/>
        <w:keepNext w:val="0"/>
        <w:keepLines w:val="0"/>
        <w:widowControl/>
        <w:suppressLineNumbers w:val="0"/>
        <w:shd w:val="clear" w:fill="FFFFFF" w:themeFill="background1"/>
        <w:spacing w:before="0" w:beforeLines="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cs="宋体"/>
          <w:color w:val="auto"/>
          <w:sz w:val="24"/>
          <w:szCs w:val="24"/>
          <w:highlight w:val="none"/>
          <w:lang w:eastAsia="zh-CN"/>
        </w:rPr>
        <w:t>2025年0</w:t>
      </w:r>
      <w:r>
        <w:rPr>
          <w:rFonts w:hint="eastAsia" w:cs="宋体"/>
          <w:color w:val="auto"/>
          <w:sz w:val="24"/>
          <w:szCs w:val="24"/>
          <w:highlight w:val="none"/>
          <w:lang w:val="en-US" w:eastAsia="zh-CN"/>
        </w:rPr>
        <w:t>7</w:t>
      </w:r>
      <w:r>
        <w:rPr>
          <w:rFonts w:hint="eastAsia" w:cs="宋体"/>
          <w:color w:val="auto"/>
          <w:sz w:val="24"/>
          <w:szCs w:val="24"/>
          <w:highlight w:val="none"/>
          <w:lang w:eastAsia="zh-CN"/>
        </w:rPr>
        <w:t>月</w:t>
      </w:r>
      <w:r>
        <w:rPr>
          <w:rFonts w:hint="eastAsia" w:cs="宋体"/>
          <w:color w:val="auto"/>
          <w:sz w:val="24"/>
          <w:szCs w:val="24"/>
          <w:highlight w:val="none"/>
          <w:lang w:val="en-US" w:eastAsia="zh-CN"/>
        </w:rPr>
        <w:t>31</w:t>
      </w:r>
      <w:r>
        <w:rPr>
          <w:rFonts w:hint="eastAsia" w:cs="宋体"/>
          <w:color w:val="auto"/>
          <w:sz w:val="24"/>
          <w:szCs w:val="24"/>
          <w:highlight w:val="none"/>
          <w:lang w:eastAsia="zh-CN"/>
        </w:rPr>
        <w:t>日</w:t>
      </w:r>
      <w:r>
        <w:rPr>
          <w:rFonts w:hint="eastAsia" w:cs="宋体"/>
          <w:color w:val="auto"/>
          <w:sz w:val="24"/>
          <w:szCs w:val="24"/>
          <w:highlight w:val="none"/>
          <w:lang w:eastAsia="zh-CN"/>
        </w:rPr>
        <w:t xml:space="preserve"> 1</w:t>
      </w:r>
      <w:r>
        <w:rPr>
          <w:rFonts w:hint="eastAsia" w:cs="宋体"/>
          <w:color w:val="auto"/>
          <w:sz w:val="24"/>
          <w:szCs w:val="24"/>
          <w:highlight w:val="none"/>
          <w:lang w:val="en-US" w:eastAsia="zh-CN"/>
        </w:rPr>
        <w:t>0</w:t>
      </w:r>
      <w:r>
        <w:rPr>
          <w:rFonts w:hint="eastAsia" w:cs="宋体"/>
          <w:color w:val="auto"/>
          <w:sz w:val="24"/>
          <w:szCs w:val="24"/>
          <w:highlight w:val="none"/>
          <w:lang w:eastAsia="zh-CN"/>
        </w:rPr>
        <w:t>:</w:t>
      </w:r>
      <w:r>
        <w:rPr>
          <w:rFonts w:hint="eastAsia" w:cs="宋体"/>
          <w:color w:val="auto"/>
          <w:sz w:val="24"/>
          <w:szCs w:val="24"/>
          <w:highlight w:val="none"/>
          <w:lang w:val="en-US" w:eastAsia="zh-CN"/>
        </w:rPr>
        <w:t>3</w:t>
      </w:r>
      <w:r>
        <w:rPr>
          <w:rFonts w:hint="eastAsia" w:cs="宋体"/>
          <w:color w:val="auto"/>
          <w:sz w:val="24"/>
          <w:szCs w:val="24"/>
          <w:highlight w:val="none"/>
          <w:lang w:eastAsia="zh-CN"/>
        </w:rPr>
        <w:t>0</w:t>
      </w:r>
      <w:r>
        <w:rPr>
          <w:rFonts w:hint="eastAsia" w:eastAsia="宋体" w:cs="宋体"/>
          <w:color w:val="auto"/>
          <w:sz w:val="24"/>
          <w:szCs w:val="24"/>
          <w:highlight w:val="none"/>
          <w:lang w:eastAsia="zh-CN"/>
        </w:rPr>
        <w:t>（北京时间）</w:t>
      </w:r>
    </w:p>
    <w:p w14:paraId="79733588">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w:t>
      </w:r>
      <w:r>
        <w:rPr>
          <w:rFonts w:hint="eastAsia" w:ascii="宋体" w:hAnsi="宋体" w:eastAsia="宋体" w:cs="宋体"/>
          <w:sz w:val="24"/>
          <w:szCs w:val="24"/>
          <w:highlight w:val="none"/>
        </w:rPr>
        <w:t>政采云开标大厅（https://www.zcygov.cn在线投标），若逾期，届时其投标将被拒绝。</w:t>
      </w:r>
    </w:p>
    <w:p w14:paraId="4722B3FC">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开标时间：</w:t>
      </w:r>
      <w:r>
        <w:rPr>
          <w:rFonts w:hint="eastAsia" w:cs="宋体"/>
          <w:color w:val="auto"/>
          <w:sz w:val="24"/>
          <w:szCs w:val="24"/>
          <w:highlight w:val="none"/>
          <w:lang w:eastAsia="zh-CN"/>
        </w:rPr>
        <w:t>2025年0</w:t>
      </w:r>
      <w:r>
        <w:rPr>
          <w:rFonts w:hint="eastAsia" w:cs="宋体"/>
          <w:color w:val="auto"/>
          <w:sz w:val="24"/>
          <w:szCs w:val="24"/>
          <w:highlight w:val="none"/>
          <w:lang w:val="en-US" w:eastAsia="zh-CN"/>
        </w:rPr>
        <w:t>7</w:t>
      </w:r>
      <w:r>
        <w:rPr>
          <w:rFonts w:hint="eastAsia" w:cs="宋体"/>
          <w:color w:val="auto"/>
          <w:sz w:val="24"/>
          <w:szCs w:val="24"/>
          <w:highlight w:val="none"/>
          <w:lang w:eastAsia="zh-CN"/>
        </w:rPr>
        <w:t>月</w:t>
      </w:r>
      <w:r>
        <w:rPr>
          <w:rFonts w:hint="eastAsia" w:cs="宋体"/>
          <w:color w:val="auto"/>
          <w:sz w:val="24"/>
          <w:szCs w:val="24"/>
          <w:highlight w:val="none"/>
          <w:lang w:val="en-US" w:eastAsia="zh-CN"/>
        </w:rPr>
        <w:t>31</w:t>
      </w:r>
      <w:r>
        <w:rPr>
          <w:rFonts w:hint="eastAsia" w:cs="宋体"/>
          <w:color w:val="auto"/>
          <w:sz w:val="24"/>
          <w:szCs w:val="24"/>
          <w:highlight w:val="none"/>
          <w:lang w:eastAsia="zh-CN"/>
        </w:rPr>
        <w:t>日</w:t>
      </w:r>
      <w:r>
        <w:rPr>
          <w:rFonts w:hint="eastAsia" w:cs="宋体"/>
          <w:color w:val="auto"/>
          <w:sz w:val="24"/>
          <w:szCs w:val="24"/>
          <w:highlight w:val="none"/>
          <w:lang w:eastAsia="zh-CN"/>
        </w:rPr>
        <w:t xml:space="preserve"> 1</w:t>
      </w:r>
      <w:r>
        <w:rPr>
          <w:rFonts w:hint="eastAsia" w:cs="宋体"/>
          <w:color w:val="auto"/>
          <w:sz w:val="24"/>
          <w:szCs w:val="24"/>
          <w:highlight w:val="none"/>
          <w:lang w:val="en-US" w:eastAsia="zh-CN"/>
        </w:rPr>
        <w:t>0</w:t>
      </w:r>
      <w:r>
        <w:rPr>
          <w:rFonts w:hint="eastAsia" w:cs="宋体"/>
          <w:color w:val="auto"/>
          <w:sz w:val="24"/>
          <w:szCs w:val="24"/>
          <w:highlight w:val="none"/>
          <w:lang w:eastAsia="zh-CN"/>
        </w:rPr>
        <w:t>:</w:t>
      </w:r>
      <w:r>
        <w:rPr>
          <w:rFonts w:hint="eastAsia" w:cs="宋体"/>
          <w:color w:val="auto"/>
          <w:sz w:val="24"/>
          <w:szCs w:val="24"/>
          <w:highlight w:val="none"/>
          <w:lang w:val="en-US" w:eastAsia="zh-CN"/>
        </w:rPr>
        <w:t>3</w:t>
      </w:r>
      <w:r>
        <w:rPr>
          <w:rFonts w:hint="eastAsia" w:cs="宋体"/>
          <w:color w:val="auto"/>
          <w:sz w:val="24"/>
          <w:szCs w:val="24"/>
          <w:highlight w:val="none"/>
          <w:lang w:eastAsia="zh-CN"/>
        </w:rPr>
        <w:t>0</w:t>
      </w:r>
      <w:r>
        <w:rPr>
          <w:rFonts w:hint="eastAsia" w:eastAsia="宋体" w:cs="宋体"/>
          <w:color w:val="auto"/>
          <w:sz w:val="24"/>
          <w:szCs w:val="24"/>
          <w:highlight w:val="none"/>
          <w:lang w:eastAsia="zh-CN"/>
        </w:rPr>
        <w:t>（北京时间）</w:t>
      </w:r>
    </w:p>
    <w:p w14:paraId="2EDFDDA8">
      <w:pPr>
        <w:pStyle w:val="26"/>
        <w:keepNext w:val="0"/>
        <w:keepLines w:val="0"/>
        <w:widowControl/>
        <w:suppressLineNumbers w:val="0"/>
        <w:shd w:val="clear" w:fill="FFFFFF" w:themeFill="background1"/>
        <w:spacing w:before="60" w:beforeAutospacing="0" w:after="0" w:afterLines="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开标地点：政采云平台（https://www.zcygov.cn）</w:t>
      </w:r>
    </w:p>
    <w:p w14:paraId="703BC8E2">
      <w:pPr>
        <w:pStyle w:val="26"/>
        <w:keepNext w:val="0"/>
        <w:keepLines w:val="0"/>
        <w:widowControl/>
        <w:suppressLineNumbers w:val="0"/>
        <w:shd w:val="clear" w:fill="FFFFFF" w:themeFill="background1"/>
        <w:spacing w:before="64" w:beforeLines="0" w:beforeAutospacing="0" w:after="64" w:afterLines="0" w:afterAutospacing="0" w:line="360" w:lineRule="auto"/>
        <w:ind w:left="0" w:right="0"/>
        <w:jc w:val="both"/>
        <w:rPr>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rPr>
        <w:t>五、公告期限</w:t>
      </w:r>
    </w:p>
    <w:p w14:paraId="25113C2C">
      <w:pPr>
        <w:pStyle w:val="26"/>
        <w:keepNext w:val="0"/>
        <w:keepLines w:val="0"/>
        <w:widowControl/>
        <w:suppressLineNumbers w:val="0"/>
        <w:shd w:val="clear" w:fill="FFFFFF" w:themeFill="background1"/>
        <w:spacing w:before="0" w:beforeLines="0" w:beforeAutospacing="0" w:after="0" w:afterLines="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个工作日。</w:t>
      </w:r>
    </w:p>
    <w:p w14:paraId="6D361B7B">
      <w:pPr>
        <w:pStyle w:val="26"/>
        <w:keepNext w:val="0"/>
        <w:keepLines w:val="0"/>
        <w:widowControl/>
        <w:suppressLineNumbers w:val="0"/>
        <w:shd w:val="clear" w:fill="FFFFFF" w:themeFill="background1"/>
        <w:spacing w:before="74" w:beforeLines="0" w:beforeAutospacing="0" w:after="74" w:afterLines="0" w:afterAutospacing="0" w:line="360" w:lineRule="auto"/>
        <w:ind w:left="0" w:right="0"/>
        <w:jc w:val="both"/>
        <w:rPr>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rPr>
        <w:t>六、其他补充事宜</w:t>
      </w:r>
    </w:p>
    <w:p w14:paraId="209EBA46">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1.本项目为电子招投标，供应商需要使用CA加密锁，凡参加本项目投标须自行申领CA加密锁。 </w:t>
      </w:r>
    </w:p>
    <w:p w14:paraId="72776168">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2.本项目实行网上投标，采用电子投标文件(供应商须使用CA加密锁通过政采云电子投标客户端制作投标文件)。若供应商参与投标，自行承担投标一切费用。 </w:t>
      </w:r>
    </w:p>
    <w:p w14:paraId="5BE4A4B7">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3.各供应商应确保是新疆维吾尔自治区政府采购网正式注册入库供应商，并完成CA数字证书申领。因未注册入库、未办理CA数字证书等原因造成无法投标或投标失败等后果由供应商自行承担。 </w:t>
      </w:r>
    </w:p>
    <w:p w14:paraId="3357EC7C">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 </w:t>
      </w:r>
    </w:p>
    <w:p w14:paraId="0A8A380E">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5.供应商在开标时须使用制作加密电子投标文件所使用的CA锁及电脑，电脑须提前配置好浏览器（建议使用360浏览器或谷歌浏览器），以便开标时解锁。  </w:t>
      </w:r>
    </w:p>
    <w:p w14:paraId="11089672">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6.投标保证金缴纳及确认时间：凡拟参加本次招标项目的供应商，必须在开标前将投标保证金汇入指定账户。投标保证金汇款凭证上用途栏应注明:</w:t>
      </w:r>
      <w:r>
        <w:rPr>
          <w:rFonts w:hint="eastAsia" w:ascii="宋体" w:hAnsi="宋体" w:eastAsia="宋体" w:cs="宋体"/>
          <w:b/>
          <w:bCs/>
          <w:sz w:val="24"/>
          <w:szCs w:val="24"/>
          <w:lang w:val="zh-CN"/>
        </w:rPr>
        <w:t>投标保证金</w:t>
      </w:r>
      <w:r>
        <w:rPr>
          <w:rFonts w:hint="eastAsia" w:ascii="宋体" w:hAnsi="宋体" w:eastAsia="宋体" w:cs="宋体"/>
          <w:b/>
          <w:bCs/>
          <w:sz w:val="24"/>
          <w:szCs w:val="24"/>
        </w:rPr>
        <w:t>+项目编号+包段号</w:t>
      </w:r>
      <w:r>
        <w:rPr>
          <w:rFonts w:hint="eastAsia" w:ascii="宋体" w:hAnsi="宋体" w:eastAsia="宋体" w:cs="宋体"/>
          <w:sz w:val="24"/>
          <w:szCs w:val="24"/>
        </w:rPr>
        <w:t>。否则，届时其投标将被拒绝。</w:t>
      </w:r>
    </w:p>
    <w:p w14:paraId="600006F6">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03058610">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特别提示：</w:t>
      </w:r>
    </w:p>
    <w:p w14:paraId="2C3812A6">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采购限额标准以上，200万元以下的货物和服务采购项目、400万元以下的工程采购项目，适宜由中小企业提供的，采购人应当专门面向中小企业采购。</w:t>
      </w:r>
    </w:p>
    <w:p w14:paraId="25212F52">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2、超过200万元的货物和服务采购项目，预留该部分采购项目预算总额的30%以上专门面向中小企业采购，其中预留给小微企业的比例不低于60%。</w:t>
      </w:r>
    </w:p>
    <w:p w14:paraId="3087FB1E">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3、超过400万元的工程采购项目中适宜由中小企业提供的，预留该部分采购项目预算总额的40%以上专门面向中小企业采购，其中预留给小微企业的比例不低于60%。</w:t>
      </w:r>
    </w:p>
    <w:p w14:paraId="256FA6D8">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74BE549">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宋体" w:hAnsi="宋体" w:eastAsia="宋体" w:cs="宋体"/>
          <w:sz w:val="24"/>
          <w:szCs w:val="24"/>
        </w:rPr>
      </w:pPr>
      <w:r>
        <w:rPr>
          <w:rFonts w:hint="eastAsia" w:ascii="宋体" w:hAnsi="宋体" w:eastAsia="宋体" w:cs="宋体"/>
          <w:sz w:val="24"/>
          <w:szCs w:val="24"/>
        </w:rPr>
        <w:t>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A2E3A69">
      <w:pPr>
        <w:pStyle w:val="26"/>
        <w:keepNext w:val="0"/>
        <w:keepLines w:val="0"/>
        <w:widowControl/>
        <w:suppressLineNumbers w:val="0"/>
        <w:shd w:val="clear" w:fill="FFFFFF" w:themeFill="background1"/>
        <w:spacing w:before="64" w:beforeLines="0" w:beforeAutospacing="0" w:after="64" w:afterLines="0" w:afterAutospacing="0" w:line="360" w:lineRule="auto"/>
        <w:ind w:left="0" w:right="0"/>
        <w:jc w:val="both"/>
        <w:rPr>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rPr>
        <w:t>七、对本次采购提出询问，请按以下方式联系</w:t>
      </w:r>
    </w:p>
    <w:p w14:paraId="2E876ECB">
      <w:pPr>
        <w:pStyle w:val="26"/>
        <w:keepNext w:val="0"/>
        <w:keepLines w:val="0"/>
        <w:widowControl/>
        <w:suppressLineNumbers w:val="0"/>
        <w:shd w:val="clear" w:fill="FFFFFF" w:themeFill="background1"/>
        <w:spacing w:before="0" w:beforeLines="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cs="宋体"/>
          <w:color w:val="auto"/>
          <w:sz w:val="24"/>
          <w:szCs w:val="24"/>
          <w:highlight w:val="none"/>
          <w:lang w:eastAsia="zh-CN"/>
        </w:rPr>
        <w:t>招标人</w:t>
      </w:r>
      <w:r>
        <w:rPr>
          <w:rFonts w:hint="eastAsia" w:ascii="宋体" w:hAnsi="宋体" w:eastAsia="宋体" w:cs="宋体"/>
          <w:color w:val="auto"/>
          <w:sz w:val="24"/>
          <w:szCs w:val="24"/>
          <w:highlight w:val="none"/>
        </w:rPr>
        <w:t>信息</w:t>
      </w:r>
    </w:p>
    <w:p w14:paraId="6756E39B">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Style w:val="34"/>
          <w:rFonts w:hint="eastAsia" w:cs="宋体"/>
          <w:color w:val="auto"/>
          <w:sz w:val="24"/>
          <w:szCs w:val="24"/>
          <w:highlight w:val="none"/>
          <w:lang w:eastAsia="zh-CN"/>
        </w:rPr>
        <w:t>和硕县教育和科学技术局</w:t>
      </w:r>
    </w:p>
    <w:p w14:paraId="50BC71A5">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cs="宋体"/>
          <w:color w:val="auto"/>
          <w:sz w:val="24"/>
          <w:szCs w:val="24"/>
          <w:highlight w:val="none"/>
          <w:lang w:eastAsia="zh-CN"/>
        </w:rPr>
        <w:t>和硕县</w:t>
      </w:r>
      <w:r>
        <w:rPr>
          <w:rFonts w:hint="eastAsia" w:cs="宋体"/>
          <w:color w:val="auto"/>
          <w:sz w:val="24"/>
          <w:szCs w:val="24"/>
          <w:highlight w:val="none"/>
          <w:lang w:val="en-US" w:eastAsia="zh-CN"/>
        </w:rPr>
        <w:t>石材大道移动公司旁</w:t>
      </w:r>
    </w:p>
    <w:p w14:paraId="445D6271">
      <w:pPr>
        <w:pStyle w:val="26"/>
        <w:keepNext w:val="0"/>
        <w:keepLines w:val="0"/>
        <w:widowControl/>
        <w:suppressLineNumbers w:val="0"/>
        <w:shd w:val="clear" w:color="auto" w:fill="FFFFFF"/>
        <w:spacing w:before="60" w:beforeAutospacing="0" w:after="60" w:afterAutospacing="0" w:line="360" w:lineRule="auto"/>
        <w:ind w:right="0" w:firstLine="480" w:firstLineChars="200"/>
        <w:rPr>
          <w:rFonts w:hint="eastAsia" w:cs="宋体"/>
          <w:color w:val="auto"/>
          <w:sz w:val="24"/>
          <w:szCs w:val="24"/>
          <w:highlight w:val="none"/>
          <w:lang w:val="en-US" w:eastAsia="zh-CN"/>
        </w:rPr>
      </w:pPr>
      <w:r>
        <w:rPr>
          <w:rFonts w:hint="eastAsia" w:cs="宋体"/>
          <w:color w:val="auto"/>
          <w:sz w:val="24"/>
          <w:szCs w:val="24"/>
          <w:highlight w:val="none"/>
          <w:lang w:val="en-US" w:eastAsia="zh-CN"/>
        </w:rPr>
        <w:t>联系人：张郎</w:t>
      </w:r>
    </w:p>
    <w:p w14:paraId="6E32F87E">
      <w:pPr>
        <w:pStyle w:val="26"/>
        <w:keepNext w:val="0"/>
        <w:keepLines w:val="0"/>
        <w:widowControl/>
        <w:suppressLineNumbers w:val="0"/>
        <w:shd w:val="clear" w:color="auto" w:fill="FFFFFF"/>
        <w:spacing w:before="60" w:beforeAutospacing="0" w:after="60" w:afterAutospacing="0" w:line="360" w:lineRule="auto"/>
        <w:ind w:right="0" w:firstLine="480" w:firstLineChars="200"/>
        <w:rPr>
          <w:rFonts w:hint="eastAsia" w:cs="宋体"/>
          <w:color w:val="auto"/>
          <w:sz w:val="24"/>
          <w:szCs w:val="24"/>
          <w:highlight w:val="none"/>
          <w:lang w:val="en-US" w:eastAsia="zh-CN"/>
        </w:rPr>
      </w:pPr>
      <w:r>
        <w:rPr>
          <w:rFonts w:hint="eastAsia" w:cs="宋体"/>
          <w:color w:val="auto"/>
          <w:sz w:val="24"/>
          <w:szCs w:val="24"/>
          <w:highlight w:val="none"/>
          <w:lang w:val="en-US" w:eastAsia="zh-CN"/>
        </w:rPr>
        <w:t>联系电话：18096808200</w:t>
      </w:r>
    </w:p>
    <w:p w14:paraId="41AAD1AE">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5A6DE627">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cs="宋体"/>
          <w:color w:val="auto"/>
          <w:sz w:val="24"/>
          <w:szCs w:val="24"/>
          <w:highlight w:val="none"/>
          <w:lang w:eastAsia="zh-CN"/>
        </w:rPr>
        <w:t>新疆益双工程管理有限公司</w:t>
      </w:r>
    </w:p>
    <w:p w14:paraId="7AF01238">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址：库尔勒市铁克其路冠农汇景台门面房3栋3层</w:t>
      </w:r>
    </w:p>
    <w:p w14:paraId="6BC3038B">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cs="宋体"/>
          <w:color w:val="auto"/>
          <w:sz w:val="24"/>
          <w:szCs w:val="24"/>
          <w:highlight w:val="none"/>
          <w:lang w:val="en-US" w:eastAsia="zh-CN"/>
        </w:rPr>
        <w:t>李文</w:t>
      </w:r>
    </w:p>
    <w:p w14:paraId="6F619B79">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cs="宋体"/>
          <w:color w:val="auto"/>
          <w:sz w:val="24"/>
          <w:szCs w:val="24"/>
          <w:highlight w:val="none"/>
          <w:lang w:val="en-US" w:eastAsia="zh-CN"/>
        </w:rPr>
        <w:t>15209960114</w:t>
      </w:r>
    </w:p>
    <w:p w14:paraId="1764700E">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cs="宋体"/>
          <w:color w:val="auto"/>
          <w:sz w:val="24"/>
          <w:szCs w:val="24"/>
          <w:highlight w:val="none"/>
          <w:lang w:val="en-US" w:eastAsia="zh-CN"/>
        </w:rPr>
      </w:pPr>
    </w:p>
    <w:p w14:paraId="0D7587AC">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cs="宋体"/>
          <w:color w:val="auto"/>
          <w:sz w:val="24"/>
          <w:szCs w:val="24"/>
          <w:highlight w:val="none"/>
          <w:lang w:val="en-US" w:eastAsia="zh-CN"/>
        </w:rPr>
      </w:pPr>
    </w:p>
    <w:p w14:paraId="19107ECC">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cs="宋体"/>
          <w:color w:val="auto"/>
          <w:sz w:val="24"/>
          <w:szCs w:val="24"/>
          <w:highlight w:val="none"/>
          <w:lang w:val="en-US" w:eastAsia="zh-CN"/>
        </w:rPr>
      </w:pPr>
    </w:p>
    <w:p w14:paraId="1AFE8873">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cs="宋体"/>
          <w:color w:val="auto"/>
          <w:sz w:val="24"/>
          <w:szCs w:val="24"/>
          <w:highlight w:val="none"/>
          <w:lang w:val="en-US" w:eastAsia="zh-CN"/>
        </w:rPr>
      </w:pPr>
    </w:p>
    <w:p w14:paraId="2035E734">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cs="宋体"/>
          <w:color w:val="auto"/>
          <w:sz w:val="24"/>
          <w:szCs w:val="24"/>
          <w:highlight w:val="none"/>
          <w:lang w:val="en-US" w:eastAsia="zh-CN"/>
        </w:rPr>
      </w:pPr>
    </w:p>
    <w:p w14:paraId="3AAF363A">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cs="宋体"/>
          <w:color w:val="auto"/>
          <w:sz w:val="24"/>
          <w:szCs w:val="24"/>
          <w:highlight w:val="none"/>
          <w:lang w:val="en-US" w:eastAsia="zh-CN"/>
        </w:rPr>
      </w:pPr>
    </w:p>
    <w:p w14:paraId="5844115D">
      <w:pPr>
        <w:rPr>
          <w:rFonts w:hint="eastAsia" w:cs="宋体"/>
          <w:color w:val="auto"/>
          <w:sz w:val="24"/>
          <w:szCs w:val="24"/>
          <w:highlight w:val="none"/>
          <w:lang w:val="en-US" w:eastAsia="zh-CN"/>
        </w:rPr>
      </w:pPr>
      <w:r>
        <w:rPr>
          <w:rFonts w:hint="eastAsia" w:cs="宋体"/>
          <w:color w:val="auto"/>
          <w:sz w:val="24"/>
          <w:szCs w:val="24"/>
          <w:highlight w:val="none"/>
          <w:lang w:val="en-US" w:eastAsia="zh-CN"/>
        </w:rPr>
        <w:br w:type="page"/>
      </w:r>
    </w:p>
    <w:p w14:paraId="55304F1E">
      <w:pPr>
        <w:pStyle w:val="2"/>
        <w:keepNext/>
        <w:keepLines/>
        <w:pageBreakBefore w:val="0"/>
        <w:widowControl w:val="0"/>
        <w:numPr>
          <w:ilvl w:val="0"/>
          <w:numId w:val="1"/>
        </w:numPr>
        <w:shd w:val="clear" w:fill="FFFFFF" w:themeFill="background1"/>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 w:val="48"/>
          <w:szCs w:val="48"/>
          <w:highlight w:val="none"/>
        </w:rPr>
      </w:pPr>
      <w:bookmarkStart w:id="4" w:name="_Toc12430"/>
      <w:bookmarkStart w:id="5" w:name="_Toc297209393"/>
      <w:r>
        <w:rPr>
          <w:rFonts w:hint="eastAsia" w:ascii="宋体" w:hAnsi="宋体" w:eastAsia="宋体"/>
          <w:color w:val="auto"/>
          <w:sz w:val="48"/>
          <w:szCs w:val="48"/>
          <w:highlight w:val="none"/>
          <w:lang w:eastAsia="zh-CN"/>
        </w:rPr>
        <w:t>供应商</w:t>
      </w:r>
      <w:r>
        <w:rPr>
          <w:rFonts w:hint="eastAsia" w:ascii="宋体" w:hAnsi="宋体" w:eastAsia="宋体"/>
          <w:color w:val="auto"/>
          <w:sz w:val="48"/>
          <w:szCs w:val="48"/>
          <w:highlight w:val="none"/>
        </w:rPr>
        <w:t>须知</w:t>
      </w:r>
      <w:bookmarkEnd w:id="4"/>
      <w:bookmarkEnd w:id="5"/>
      <w:bookmarkStart w:id="6" w:name="_Toc11750"/>
    </w:p>
    <w:p w14:paraId="462F7D82">
      <w:pPr>
        <w:pStyle w:val="2"/>
        <w:keepNext/>
        <w:keepLines/>
        <w:pageBreakBefore w:val="0"/>
        <w:widowControl w:val="0"/>
        <w:numPr>
          <w:ilvl w:val="0"/>
          <w:numId w:val="0"/>
        </w:numPr>
        <w:shd w:val="clear" w:fill="FFFFFF" w:themeFill="background1"/>
        <w:kinsoku/>
        <w:wordWrap/>
        <w:overflowPunct/>
        <w:topLinePunct w:val="0"/>
        <w:autoSpaceDE/>
        <w:autoSpaceDN/>
        <w:bidi w:val="0"/>
        <w:adjustRightInd/>
        <w:snapToGrid/>
        <w:spacing w:line="240" w:lineRule="auto"/>
        <w:jc w:val="center"/>
        <w:textAlignment w:val="auto"/>
        <w:rPr>
          <w:rFonts w:hint="eastAsia" w:ascii="宋体" w:hAnsi="宋体" w:cs="宋体"/>
          <w:color w:val="auto"/>
          <w:sz w:val="36"/>
          <w:szCs w:val="22"/>
          <w:highlight w:val="none"/>
        </w:rPr>
      </w:pPr>
      <w:r>
        <w:rPr>
          <w:rFonts w:hint="eastAsia"/>
          <w:color w:val="auto"/>
          <w:sz w:val="36"/>
          <w:szCs w:val="22"/>
          <w:highlight w:val="none"/>
          <w:lang w:val="en-US" w:eastAsia="zh-CN"/>
        </w:rPr>
        <w:t>一、</w:t>
      </w:r>
      <w:r>
        <w:rPr>
          <w:rFonts w:hint="eastAsia"/>
          <w:color w:val="auto"/>
          <w:sz w:val="36"/>
          <w:szCs w:val="22"/>
          <w:highlight w:val="none"/>
          <w:lang w:eastAsia="zh-CN"/>
        </w:rPr>
        <w:t>供应商</w:t>
      </w:r>
      <w:r>
        <w:rPr>
          <w:rFonts w:hint="eastAsia"/>
          <w:color w:val="auto"/>
          <w:sz w:val="36"/>
          <w:szCs w:val="22"/>
          <w:highlight w:val="none"/>
        </w:rPr>
        <w:t>须知附表</w:t>
      </w:r>
      <w:bookmarkEnd w:id="6"/>
    </w:p>
    <w:tbl>
      <w:tblPr>
        <w:tblStyle w:val="29"/>
        <w:tblW w:w="9750" w:type="dxa"/>
        <w:tblInd w:w="1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0"/>
        <w:gridCol w:w="2160"/>
        <w:gridCol w:w="6470"/>
      </w:tblGrid>
      <w:tr w14:paraId="5CD48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120" w:type="dxa"/>
            <w:tcBorders>
              <w:tl2br w:val="nil"/>
              <w:tr2bl w:val="nil"/>
            </w:tcBorders>
            <w:shd w:val="clear" w:color="auto" w:fill="D7D7D7"/>
            <w:noWrap w:val="0"/>
            <w:vAlign w:val="center"/>
          </w:tcPr>
          <w:p w14:paraId="265789FC">
            <w:pPr>
              <w:pStyle w:val="41"/>
              <w:shd w:val="clear" w:fill="FFFFFF" w:themeFill="background1"/>
              <w:spacing w:beforeAutospacing="0" w:line="360" w:lineRule="auto"/>
              <w:ind w:left="42" w:leftChars="20" w:right="42" w:rightChars="20"/>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序号</w:t>
            </w:r>
          </w:p>
        </w:tc>
        <w:tc>
          <w:tcPr>
            <w:tcW w:w="2160" w:type="dxa"/>
            <w:tcBorders>
              <w:tl2br w:val="nil"/>
              <w:tr2bl w:val="nil"/>
            </w:tcBorders>
            <w:shd w:val="clear" w:color="auto" w:fill="D7D7D7"/>
            <w:noWrap w:val="0"/>
            <w:vAlign w:val="center"/>
          </w:tcPr>
          <w:p w14:paraId="51B80F11">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条款名称</w:t>
            </w:r>
          </w:p>
        </w:tc>
        <w:tc>
          <w:tcPr>
            <w:tcW w:w="6470" w:type="dxa"/>
            <w:tcBorders>
              <w:tl2br w:val="nil"/>
              <w:tr2bl w:val="nil"/>
            </w:tcBorders>
            <w:shd w:val="clear" w:color="auto" w:fill="D7D7D7"/>
            <w:noWrap w:val="0"/>
            <w:vAlign w:val="center"/>
          </w:tcPr>
          <w:p w14:paraId="7F2B909E">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b/>
                <w:color w:val="auto"/>
                <w:kern w:val="2"/>
                <w:sz w:val="24"/>
                <w:szCs w:val="24"/>
                <w:highlight w:val="none"/>
                <w:lang w:val="en-US" w:bidi="ar-SA"/>
              </w:rPr>
            </w:pPr>
            <w:r>
              <w:rPr>
                <w:rFonts w:hint="eastAsia" w:asciiTheme="minorEastAsia" w:hAnsiTheme="minorEastAsia" w:eastAsiaTheme="minorEastAsia" w:cstheme="minorEastAsia"/>
                <w:b/>
                <w:color w:val="auto"/>
                <w:kern w:val="2"/>
                <w:sz w:val="24"/>
                <w:szCs w:val="24"/>
                <w:highlight w:val="none"/>
                <w:lang w:val="en-US" w:bidi="ar-SA"/>
              </w:rPr>
              <w:t>编列内容</w:t>
            </w:r>
          </w:p>
        </w:tc>
      </w:tr>
      <w:tr w14:paraId="3A5C5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120" w:type="dxa"/>
            <w:tcBorders>
              <w:tl2br w:val="nil"/>
              <w:tr2bl w:val="nil"/>
            </w:tcBorders>
            <w:noWrap w:val="0"/>
            <w:vAlign w:val="center"/>
          </w:tcPr>
          <w:p w14:paraId="2FF5FF2F">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2160" w:type="dxa"/>
            <w:tcBorders>
              <w:tl2br w:val="nil"/>
              <w:tr2bl w:val="nil"/>
            </w:tcBorders>
            <w:noWrap w:val="0"/>
            <w:vAlign w:val="center"/>
          </w:tcPr>
          <w:p w14:paraId="3B265517">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招标人</w:t>
            </w:r>
          </w:p>
        </w:tc>
        <w:tc>
          <w:tcPr>
            <w:tcW w:w="6470" w:type="dxa"/>
            <w:tcBorders>
              <w:tl2br w:val="nil"/>
              <w:tr2bl w:val="nil"/>
            </w:tcBorders>
            <w:noWrap w:val="0"/>
            <w:vAlign w:val="center"/>
          </w:tcPr>
          <w:p w14:paraId="35587E09">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单位名称</w:t>
            </w:r>
            <w:r>
              <w:rPr>
                <w:rFonts w:hint="eastAsia" w:asciiTheme="minorEastAsia" w:hAnsiTheme="minorEastAsia" w:eastAsiaTheme="minorEastAsia" w:cstheme="minorEastAsia"/>
                <w:color w:val="auto"/>
                <w:kern w:val="2"/>
                <w:sz w:val="24"/>
                <w:szCs w:val="24"/>
                <w:highlight w:val="none"/>
                <w:lang w:val="en-US" w:eastAsia="zh-CN" w:bidi="ar-SA"/>
              </w:rPr>
              <w:t>:和硕县教育和科学技术局</w:t>
            </w:r>
          </w:p>
          <w:p w14:paraId="36E1C9D9">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eastAsia="zh-CN"/>
              </w:rPr>
              <w:t>：张郎</w:t>
            </w:r>
            <w:r>
              <w:rPr>
                <w:rFonts w:hint="eastAsia" w:asciiTheme="minorEastAsia" w:hAnsiTheme="minorEastAsia" w:eastAsiaTheme="minorEastAsia" w:cstheme="minorEastAsia"/>
                <w:color w:val="auto"/>
                <w:sz w:val="24"/>
                <w:szCs w:val="24"/>
                <w:highlight w:val="none"/>
                <w:lang w:val="en-US" w:eastAsia="zh-CN"/>
              </w:rPr>
              <w:t xml:space="preserve">  </w:t>
            </w:r>
          </w:p>
          <w:p w14:paraId="2CD85E68">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lang w:val="en-US" w:eastAsia="zh-CN"/>
              </w:rPr>
              <w:t>18096808200</w:t>
            </w:r>
          </w:p>
          <w:p w14:paraId="38077C2B">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rPr>
              <w:t>单位地址</w:t>
            </w:r>
            <w:r>
              <w:rPr>
                <w:rFonts w:hint="eastAsia" w:asciiTheme="minorEastAsia" w:hAnsiTheme="minorEastAsia" w:eastAsiaTheme="minorEastAsia" w:cstheme="minorEastAsia"/>
                <w:color w:val="auto"/>
                <w:sz w:val="24"/>
                <w:szCs w:val="24"/>
                <w:highlight w:val="none"/>
                <w:shd w:val="clear" w:color="auto" w:fill="FFFFFF"/>
                <w:lang w:val="en-US" w:eastAsia="zh-CN"/>
              </w:rPr>
              <w:t>:</w:t>
            </w:r>
            <w:r>
              <w:rPr>
                <w:rFonts w:hint="eastAsia" w:asciiTheme="minorEastAsia" w:hAnsiTheme="minorEastAsia" w:eastAsiaTheme="minorEastAsia" w:cstheme="minorEastAsia"/>
                <w:color w:val="auto"/>
                <w:sz w:val="24"/>
                <w:szCs w:val="24"/>
                <w:highlight w:val="none"/>
                <w:lang w:eastAsia="zh-CN"/>
              </w:rPr>
              <w:t>和硕县</w:t>
            </w:r>
            <w:r>
              <w:rPr>
                <w:rFonts w:hint="eastAsia" w:asciiTheme="minorEastAsia" w:hAnsiTheme="minorEastAsia" w:eastAsiaTheme="minorEastAsia" w:cstheme="minorEastAsia"/>
                <w:color w:val="auto"/>
                <w:sz w:val="24"/>
                <w:szCs w:val="24"/>
                <w:highlight w:val="none"/>
                <w:lang w:val="en-US" w:eastAsia="zh-CN"/>
              </w:rPr>
              <w:t>石材大道移动公司旁</w:t>
            </w:r>
          </w:p>
        </w:tc>
      </w:tr>
      <w:tr w14:paraId="336A8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120" w:type="dxa"/>
            <w:tcBorders>
              <w:tl2br w:val="nil"/>
              <w:tr2bl w:val="nil"/>
            </w:tcBorders>
            <w:noWrap w:val="0"/>
            <w:vAlign w:val="center"/>
          </w:tcPr>
          <w:p w14:paraId="3AA45A57">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2160" w:type="dxa"/>
            <w:tcBorders>
              <w:tl2br w:val="nil"/>
              <w:tr2bl w:val="nil"/>
            </w:tcBorders>
            <w:noWrap w:val="0"/>
            <w:vAlign w:val="center"/>
          </w:tcPr>
          <w:p w14:paraId="043B2A2B">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代理机构</w:t>
            </w:r>
          </w:p>
        </w:tc>
        <w:tc>
          <w:tcPr>
            <w:tcW w:w="6470" w:type="dxa"/>
            <w:tcBorders>
              <w:tl2br w:val="nil"/>
              <w:tr2bl w:val="nil"/>
            </w:tcBorders>
            <w:noWrap w:val="0"/>
            <w:vAlign w:val="center"/>
          </w:tcPr>
          <w:p w14:paraId="321BCF14">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代理机构</w:t>
            </w:r>
            <w:r>
              <w:rPr>
                <w:rFonts w:hint="eastAsia" w:asciiTheme="minorEastAsia" w:hAnsiTheme="minorEastAsia" w:eastAsiaTheme="minorEastAsia" w:cstheme="minorEastAsia"/>
                <w:color w:val="auto"/>
                <w:kern w:val="2"/>
                <w:sz w:val="24"/>
                <w:szCs w:val="24"/>
                <w:highlight w:val="none"/>
                <w:lang w:val="en-US" w:bidi="ar-SA"/>
              </w:rPr>
              <w:t>名称</w:t>
            </w:r>
            <w:r>
              <w:rPr>
                <w:rFonts w:hint="eastAsia" w:asciiTheme="minorEastAsia" w:hAnsiTheme="minorEastAsia" w:eastAsiaTheme="minorEastAsia" w:cstheme="minorEastAsia"/>
                <w:color w:val="auto"/>
                <w:kern w:val="2"/>
                <w:sz w:val="24"/>
                <w:szCs w:val="24"/>
                <w:highlight w:val="none"/>
                <w:lang w:val="en-US" w:eastAsia="zh-CN" w:bidi="ar-SA"/>
              </w:rPr>
              <w:t>：新疆益双工程管理有限公司</w:t>
            </w:r>
          </w:p>
          <w:p w14:paraId="75664631">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联系人：</w:t>
            </w:r>
            <w:r>
              <w:rPr>
                <w:rFonts w:hint="eastAsia" w:asciiTheme="minorEastAsia" w:hAnsiTheme="minorEastAsia" w:eastAsiaTheme="minorEastAsia" w:cstheme="minorEastAsia"/>
                <w:color w:val="auto"/>
                <w:kern w:val="2"/>
                <w:sz w:val="24"/>
                <w:szCs w:val="24"/>
                <w:highlight w:val="none"/>
                <w:lang w:val="en-US" w:eastAsia="zh-CN" w:bidi="ar-SA"/>
              </w:rPr>
              <w:t>李文</w:t>
            </w:r>
            <w:r>
              <w:rPr>
                <w:rFonts w:hint="eastAsia" w:asciiTheme="minorEastAsia" w:hAnsiTheme="minorEastAsia" w:eastAsiaTheme="minorEastAsia" w:cstheme="minorEastAsia"/>
                <w:color w:val="auto"/>
                <w:kern w:val="2"/>
                <w:sz w:val="24"/>
                <w:szCs w:val="24"/>
                <w:highlight w:val="none"/>
                <w:lang w:val="en-US" w:bidi="ar-SA"/>
              </w:rPr>
              <w:t xml:space="preserve">      </w:t>
            </w:r>
          </w:p>
          <w:p w14:paraId="142DB918">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2"/>
                <w:sz w:val="24"/>
                <w:szCs w:val="24"/>
                <w:highlight w:val="none"/>
                <w:lang w:val="en-US" w:eastAsia="zh-CN" w:bidi="ar-SA"/>
              </w:rPr>
              <w:t>15209960114</w:t>
            </w:r>
          </w:p>
          <w:p w14:paraId="1FD34478">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地址</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0"/>
                <w:sz w:val="24"/>
                <w:szCs w:val="24"/>
              </w:rPr>
              <w:t>库尔勒市铁克其路冠农汇景台门面房3栋3层</w:t>
            </w:r>
          </w:p>
        </w:tc>
      </w:tr>
      <w:tr w14:paraId="6EB31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1120" w:type="dxa"/>
            <w:tcBorders>
              <w:tl2br w:val="nil"/>
              <w:tr2bl w:val="nil"/>
            </w:tcBorders>
            <w:noWrap w:val="0"/>
            <w:vAlign w:val="center"/>
          </w:tcPr>
          <w:p w14:paraId="3E6358A7">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2160" w:type="dxa"/>
            <w:tcBorders>
              <w:tl2br w:val="nil"/>
              <w:tr2bl w:val="nil"/>
            </w:tcBorders>
            <w:noWrap w:val="0"/>
            <w:vAlign w:val="center"/>
          </w:tcPr>
          <w:p w14:paraId="77919FB2">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及</w:t>
            </w:r>
            <w:r>
              <w:rPr>
                <w:rFonts w:hint="eastAsia" w:asciiTheme="minorEastAsia" w:hAnsiTheme="minorEastAsia" w:eastAsiaTheme="minorEastAsia" w:cstheme="minorEastAsia"/>
                <w:color w:val="auto"/>
                <w:kern w:val="0"/>
                <w:sz w:val="24"/>
                <w:szCs w:val="24"/>
              </w:rPr>
              <w:t>本项目所属行业</w:t>
            </w:r>
          </w:p>
        </w:tc>
        <w:tc>
          <w:tcPr>
            <w:tcW w:w="6470" w:type="dxa"/>
            <w:tcBorders>
              <w:tl2br w:val="nil"/>
              <w:tr2bl w:val="nil"/>
            </w:tcBorders>
            <w:noWrap w:val="0"/>
            <w:vAlign w:val="center"/>
          </w:tcPr>
          <w:p w14:paraId="08074FCA">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bidi="ar-SA"/>
              </w:rPr>
              <w:t>2025年和硕县教育和科学技术局中小学、幼儿园食材采购项目</w:t>
            </w:r>
          </w:p>
          <w:p w14:paraId="3668E18F">
            <w:pPr>
              <w:pStyle w:val="26"/>
              <w:keepNext w:val="0"/>
              <w:keepLines w:val="0"/>
              <w:widowControl/>
              <w:suppressLineNumbers w:val="0"/>
              <w:shd w:val="clear"/>
              <w:spacing w:before="60" w:beforeAutospacing="0" w:after="60" w:afterAutospacing="0" w:line="360" w:lineRule="auto"/>
              <w:ind w:right="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color w:val="auto"/>
                <w:sz w:val="24"/>
                <w:szCs w:val="24"/>
                <w:highlight w:val="none"/>
              </w:rPr>
              <w:t>项目编号：XJYS(ZFCG)2025-012</w:t>
            </w:r>
          </w:p>
          <w:p w14:paraId="27BAF187">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rPr>
              <w:t>本项目所属行业</w:t>
            </w:r>
            <w:r>
              <w:rPr>
                <w:rFonts w:hint="eastAsia" w:asciiTheme="minorEastAsia" w:hAnsiTheme="minorEastAsia" w:eastAsiaTheme="minorEastAsia" w:cstheme="minorEastAsia"/>
                <w:b w:val="0"/>
                <w:bCs w:val="0"/>
                <w:color w:val="auto"/>
                <w:kern w:val="0"/>
                <w:sz w:val="24"/>
                <w:szCs w:val="24"/>
                <w:lang w:eastAsia="zh-CN"/>
              </w:rPr>
              <w:t>：零售业</w:t>
            </w:r>
          </w:p>
        </w:tc>
      </w:tr>
      <w:tr w14:paraId="213F0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3FB12D3B">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2160" w:type="dxa"/>
            <w:tcBorders>
              <w:tl2br w:val="nil"/>
              <w:tr2bl w:val="nil"/>
            </w:tcBorders>
            <w:noWrap w:val="0"/>
            <w:vAlign w:val="center"/>
          </w:tcPr>
          <w:p w14:paraId="260A6CDD">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预算</w:t>
            </w:r>
            <w:r>
              <w:rPr>
                <w:rFonts w:hint="eastAsia" w:asciiTheme="minorEastAsia" w:hAnsiTheme="minorEastAsia" w:eastAsiaTheme="minorEastAsia" w:cstheme="minorEastAsia"/>
                <w:color w:val="auto"/>
                <w:sz w:val="24"/>
                <w:szCs w:val="24"/>
                <w:highlight w:val="none"/>
                <w:lang w:eastAsia="zh-CN"/>
              </w:rPr>
              <w:t>总</w:t>
            </w:r>
            <w:r>
              <w:rPr>
                <w:rFonts w:hint="eastAsia" w:asciiTheme="minorEastAsia" w:hAnsiTheme="minorEastAsia" w:eastAsiaTheme="minorEastAsia" w:cstheme="minorEastAsia"/>
                <w:color w:val="auto"/>
                <w:sz w:val="24"/>
                <w:szCs w:val="24"/>
                <w:highlight w:val="none"/>
              </w:rPr>
              <w:t>金额</w:t>
            </w:r>
          </w:p>
        </w:tc>
        <w:tc>
          <w:tcPr>
            <w:tcW w:w="6470" w:type="dxa"/>
            <w:tcBorders>
              <w:tl2br w:val="nil"/>
              <w:tr2bl w:val="nil"/>
            </w:tcBorders>
            <w:shd w:val="clear" w:color="auto" w:fill="FFFFFF" w:themeFill="background1"/>
            <w:noWrap w:val="0"/>
            <w:vAlign w:val="center"/>
          </w:tcPr>
          <w:p w14:paraId="50DBF564">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4730000.00元</w:t>
            </w:r>
          </w:p>
          <w:p w14:paraId="5772019D">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b w:val="0"/>
                <w:bCs w:val="0"/>
                <w:color w:val="auto"/>
                <w:sz w:val="24"/>
                <w:highlight w:val="none"/>
              </w:rPr>
              <w:t>资金来源</w:t>
            </w:r>
            <w:r>
              <w:rPr>
                <w:rFonts w:hint="eastAsia" w:ascii="宋体" w:hAnsi="宋体"/>
                <w:b w:val="0"/>
                <w:bCs w:val="0"/>
                <w:color w:val="auto"/>
                <w:sz w:val="24"/>
                <w:highlight w:val="none"/>
                <w:lang w:eastAsia="zh-CN"/>
              </w:rPr>
              <w:t>：</w:t>
            </w:r>
            <w:r>
              <w:rPr>
                <w:rFonts w:hint="eastAsia" w:ascii="宋体" w:cs="宋体"/>
                <w:b w:val="0"/>
                <w:bCs w:val="0"/>
                <w:color w:val="auto"/>
                <w:kern w:val="0"/>
                <w:sz w:val="24"/>
                <w:szCs w:val="24"/>
                <w:highlight w:val="none"/>
                <w:lang w:val="en-US" w:eastAsia="zh-CN"/>
              </w:rPr>
              <w:t>财政资金</w:t>
            </w:r>
          </w:p>
        </w:tc>
      </w:tr>
      <w:tr w14:paraId="14868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120" w:type="dxa"/>
            <w:tcBorders>
              <w:tl2br w:val="nil"/>
              <w:tr2bl w:val="nil"/>
            </w:tcBorders>
            <w:noWrap w:val="0"/>
            <w:vAlign w:val="center"/>
          </w:tcPr>
          <w:p w14:paraId="00177D3B">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2160" w:type="dxa"/>
            <w:tcBorders>
              <w:tl2br w:val="nil"/>
              <w:tr2bl w:val="nil"/>
            </w:tcBorders>
            <w:noWrap w:val="0"/>
            <w:vAlign w:val="center"/>
          </w:tcPr>
          <w:p w14:paraId="101F57D0">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限价</w:t>
            </w:r>
          </w:p>
          <w:p w14:paraId="6AAA08DB">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下浮率</w:t>
            </w:r>
            <w:r>
              <w:rPr>
                <w:rFonts w:hint="eastAsia" w:asciiTheme="minorEastAsia" w:hAnsiTheme="minorEastAsia" w:eastAsiaTheme="minorEastAsia" w:cstheme="minorEastAsia"/>
                <w:color w:val="auto"/>
                <w:sz w:val="24"/>
                <w:szCs w:val="24"/>
                <w:highlight w:val="none"/>
                <w:lang w:eastAsia="zh-CN"/>
              </w:rPr>
              <w:t>）</w:t>
            </w:r>
          </w:p>
        </w:tc>
        <w:tc>
          <w:tcPr>
            <w:tcW w:w="6470" w:type="dxa"/>
            <w:tcBorders>
              <w:tl2br w:val="nil"/>
              <w:tr2bl w:val="nil"/>
            </w:tcBorders>
            <w:shd w:val="clear" w:color="auto" w:fill="FFFFFF" w:themeFill="background1"/>
            <w:noWrap w:val="0"/>
            <w:vAlign w:val="center"/>
          </w:tcPr>
          <w:p w14:paraId="10743DAC">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下浮率：不得低于8%</w:t>
            </w:r>
          </w:p>
          <w:p w14:paraId="0B8B020E">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注:投标报价应在采购人最低下浮率基础上报价。下浮率以甲方在和硕县家满福超市、乐万家超市、幸福生活超市、亨瑞市场、综合市场等销售商，选取3家进行询价后取平均零售价作为基准(具体以业主询价为准)，下浮率不低于8%。供应商报价低于最低下浮率视为无效响应。</w:t>
            </w:r>
          </w:p>
        </w:tc>
      </w:tr>
      <w:tr w14:paraId="1A0FE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0" w:hRule="atLeast"/>
        </w:trPr>
        <w:tc>
          <w:tcPr>
            <w:tcW w:w="1120" w:type="dxa"/>
            <w:tcBorders>
              <w:tl2br w:val="nil"/>
              <w:tr2bl w:val="nil"/>
            </w:tcBorders>
            <w:noWrap w:val="0"/>
            <w:vAlign w:val="center"/>
          </w:tcPr>
          <w:p w14:paraId="6431078B">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2160" w:type="dxa"/>
            <w:tcBorders>
              <w:tl2br w:val="nil"/>
              <w:tr2bl w:val="nil"/>
            </w:tcBorders>
            <w:noWrap w:val="0"/>
            <w:vAlign w:val="center"/>
          </w:tcPr>
          <w:p w14:paraId="26F877E3">
            <w:pPr>
              <w:shd w:val="clear" w:fill="FFFFFF" w:themeFill="background1"/>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采购内容</w:t>
            </w:r>
          </w:p>
        </w:tc>
        <w:tc>
          <w:tcPr>
            <w:tcW w:w="6470" w:type="dxa"/>
            <w:tcBorders>
              <w:tl2br w:val="nil"/>
              <w:tr2bl w:val="nil"/>
            </w:tcBorders>
            <w:noWrap w:val="0"/>
            <w:vAlign w:val="center"/>
          </w:tcPr>
          <w:p w14:paraId="4AA01F64">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标项一</w:t>
            </w:r>
          </w:p>
          <w:p w14:paraId="0C6EA874">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项目名称：</w:t>
            </w:r>
            <w:r>
              <w:rPr>
                <w:rFonts w:hint="eastAsia" w:asciiTheme="minorEastAsia" w:hAnsiTheme="minorEastAsia" w:eastAsiaTheme="minorEastAsia" w:cstheme="minorEastAsia"/>
                <w:color w:val="auto"/>
                <w:sz w:val="24"/>
                <w:szCs w:val="24"/>
                <w:highlight w:val="none"/>
                <w:lang w:eastAsia="zh-CN"/>
              </w:rPr>
              <w:t>2025年和硕县教育和科学技术局中小学、幼儿园食材采购项目（</w:t>
            </w:r>
            <w:r>
              <w:rPr>
                <w:rFonts w:hint="eastAsia" w:asciiTheme="minorEastAsia" w:hAnsiTheme="minorEastAsia" w:eastAsiaTheme="minorEastAsia" w:cstheme="minorEastAsia"/>
                <w:color w:val="auto"/>
                <w:sz w:val="24"/>
                <w:szCs w:val="24"/>
                <w:highlight w:val="none"/>
                <w:lang w:val="en-US" w:eastAsia="zh-CN"/>
              </w:rPr>
              <w:t>一标段</w:t>
            </w:r>
            <w:r>
              <w:rPr>
                <w:rFonts w:hint="eastAsia" w:asciiTheme="minorEastAsia" w:hAnsiTheme="minorEastAsia" w:eastAsiaTheme="minorEastAsia" w:cstheme="minorEastAsia"/>
                <w:color w:val="auto"/>
                <w:sz w:val="24"/>
                <w:szCs w:val="24"/>
                <w:highlight w:val="none"/>
                <w:lang w:eastAsia="zh-CN"/>
              </w:rPr>
              <w:t>）</w:t>
            </w:r>
          </w:p>
          <w:p w14:paraId="1E60EBD7">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预算金额：1700000.00元</w:t>
            </w:r>
          </w:p>
          <w:p w14:paraId="62034AF6">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rPr>
              <w:t>采购内容：</w:t>
            </w:r>
            <w:r>
              <w:rPr>
                <w:rFonts w:hint="eastAsia" w:asciiTheme="minorEastAsia" w:hAnsiTheme="minorEastAsia" w:eastAsiaTheme="minorEastAsia" w:cstheme="minorEastAsia"/>
                <w:color w:val="auto"/>
                <w:sz w:val="24"/>
                <w:szCs w:val="24"/>
                <w:highlight w:val="none"/>
                <w:lang w:val="en-US" w:eastAsia="zh-CN"/>
              </w:rPr>
              <w:t>奶制品、糕点、米面油、副食调料等采购配送</w:t>
            </w:r>
            <w:r>
              <w:rPr>
                <w:rStyle w:val="32"/>
                <w:rFonts w:hint="eastAsia" w:asciiTheme="minorEastAsia" w:hAnsiTheme="minorEastAsia" w:eastAsiaTheme="minorEastAsia" w:cstheme="minorEastAsia"/>
                <w:b w:val="0"/>
                <w:bCs w:val="0"/>
                <w:color w:val="auto"/>
                <w:sz w:val="24"/>
                <w:szCs w:val="24"/>
                <w:highlight w:val="none"/>
              </w:rPr>
              <w:t>。</w:t>
            </w:r>
          </w:p>
          <w:p w14:paraId="3AF8A878">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标项二</w:t>
            </w:r>
          </w:p>
          <w:p w14:paraId="3ED3AA70">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项目名称：</w:t>
            </w:r>
            <w:r>
              <w:rPr>
                <w:rFonts w:hint="eastAsia" w:asciiTheme="minorEastAsia" w:hAnsiTheme="minorEastAsia" w:eastAsiaTheme="minorEastAsia" w:cstheme="minorEastAsia"/>
                <w:color w:val="auto"/>
                <w:sz w:val="24"/>
                <w:szCs w:val="24"/>
                <w:highlight w:val="none"/>
                <w:lang w:eastAsia="zh-CN"/>
              </w:rPr>
              <w:t>2025年和硕县教育和科学技术局中小学、幼儿园食材采购项目（</w:t>
            </w:r>
            <w:r>
              <w:rPr>
                <w:rFonts w:hint="eastAsia" w:asciiTheme="minorEastAsia" w:hAnsiTheme="minorEastAsia" w:eastAsiaTheme="minorEastAsia" w:cstheme="minorEastAsia"/>
                <w:color w:val="auto"/>
                <w:sz w:val="24"/>
                <w:szCs w:val="24"/>
                <w:highlight w:val="none"/>
                <w:lang w:val="en-US" w:eastAsia="zh-CN"/>
              </w:rPr>
              <w:t>二标段</w:t>
            </w:r>
            <w:r>
              <w:rPr>
                <w:rFonts w:hint="eastAsia" w:asciiTheme="minorEastAsia" w:hAnsiTheme="minorEastAsia" w:eastAsiaTheme="minorEastAsia" w:cstheme="minorEastAsia"/>
                <w:color w:val="auto"/>
                <w:sz w:val="24"/>
                <w:szCs w:val="24"/>
                <w:highlight w:val="none"/>
                <w:lang w:eastAsia="zh-CN"/>
              </w:rPr>
              <w:t>）</w:t>
            </w:r>
          </w:p>
          <w:p w14:paraId="1A2BB7E9">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预算金额：1610000.00元</w:t>
            </w:r>
          </w:p>
          <w:p w14:paraId="5AFDF1D0">
            <w:pPr>
              <w:pStyle w:val="26"/>
              <w:keepNext w:val="0"/>
              <w:keepLines w:val="0"/>
              <w:widowControl/>
              <w:suppressLineNumbers w:val="0"/>
              <w:shd w:val="clear" w:color="auto" w:fill="FFFFFF"/>
              <w:spacing w:before="60" w:beforeAutospacing="0" w:after="60" w:afterAutospacing="0" w:line="360" w:lineRule="auto"/>
              <w:ind w:left="0" w:right="0"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采购内容：</w:t>
            </w:r>
            <w:r>
              <w:rPr>
                <w:rFonts w:hint="eastAsia" w:asciiTheme="minorEastAsia" w:hAnsiTheme="minorEastAsia" w:eastAsiaTheme="minorEastAsia" w:cstheme="minorEastAsia"/>
                <w:color w:val="auto"/>
                <w:sz w:val="24"/>
                <w:szCs w:val="24"/>
                <w:highlight w:val="none"/>
                <w:lang w:val="en-US" w:eastAsia="zh-CN"/>
              </w:rPr>
              <w:t>牛羊肉、鸡肉、鱼肉等肉类采购配送</w:t>
            </w:r>
            <w:r>
              <w:rPr>
                <w:rStyle w:val="32"/>
                <w:rFonts w:hint="eastAsia" w:asciiTheme="minorEastAsia" w:hAnsiTheme="minorEastAsia" w:eastAsiaTheme="minorEastAsia" w:cstheme="minorEastAsia"/>
                <w:b w:val="0"/>
                <w:bCs w:val="0"/>
                <w:color w:val="auto"/>
                <w:sz w:val="24"/>
                <w:szCs w:val="24"/>
                <w:highlight w:val="none"/>
              </w:rPr>
              <w:t>。</w:t>
            </w:r>
          </w:p>
          <w:p w14:paraId="79D49E5E">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标项三</w:t>
            </w:r>
          </w:p>
          <w:p w14:paraId="0C5EB9ED">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项目名称：</w:t>
            </w:r>
            <w:r>
              <w:rPr>
                <w:rFonts w:hint="eastAsia" w:asciiTheme="minorEastAsia" w:hAnsiTheme="minorEastAsia" w:eastAsiaTheme="minorEastAsia" w:cstheme="minorEastAsia"/>
                <w:color w:val="auto"/>
                <w:sz w:val="24"/>
                <w:szCs w:val="24"/>
                <w:highlight w:val="none"/>
                <w:lang w:eastAsia="zh-CN"/>
              </w:rPr>
              <w:t>2025年和硕县教育和科学技术局中小学、幼儿园食材采购项目（</w:t>
            </w:r>
            <w:r>
              <w:rPr>
                <w:rFonts w:hint="eastAsia" w:asciiTheme="minorEastAsia" w:hAnsiTheme="minorEastAsia" w:eastAsiaTheme="minorEastAsia" w:cstheme="minorEastAsia"/>
                <w:color w:val="auto"/>
                <w:sz w:val="24"/>
                <w:szCs w:val="24"/>
                <w:highlight w:val="none"/>
                <w:lang w:val="en-US" w:eastAsia="zh-CN"/>
              </w:rPr>
              <w:t>三标段</w:t>
            </w:r>
            <w:r>
              <w:rPr>
                <w:rFonts w:hint="eastAsia" w:asciiTheme="minorEastAsia" w:hAnsiTheme="minorEastAsia" w:eastAsiaTheme="minorEastAsia" w:cstheme="minorEastAsia"/>
                <w:color w:val="auto"/>
                <w:sz w:val="24"/>
                <w:szCs w:val="24"/>
                <w:highlight w:val="none"/>
                <w:lang w:eastAsia="zh-CN"/>
              </w:rPr>
              <w:t>）</w:t>
            </w:r>
          </w:p>
          <w:p w14:paraId="73D0742F">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预算金额：1420000.00元</w:t>
            </w:r>
          </w:p>
          <w:p w14:paraId="70F7F3BA">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rPr>
              <w:t>采购内容</w:t>
            </w:r>
            <w:r>
              <w:rPr>
                <w:rFonts w:hint="eastAsia" w:asciiTheme="minorEastAsia" w:hAnsiTheme="minorEastAsia" w:eastAsiaTheme="minorEastAsia" w:cstheme="minorEastAsia"/>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蔬菜、水果、干果、蛋类等采购配送</w:t>
            </w:r>
            <w:r>
              <w:rPr>
                <w:rStyle w:val="32"/>
                <w:rFonts w:hint="eastAsia" w:asciiTheme="minorEastAsia" w:hAnsiTheme="minorEastAsia" w:eastAsiaTheme="minorEastAsia" w:cstheme="minorEastAsia"/>
                <w:b w:val="0"/>
                <w:bCs w:val="0"/>
                <w:color w:val="auto"/>
                <w:sz w:val="24"/>
                <w:szCs w:val="24"/>
                <w:highlight w:val="none"/>
              </w:rPr>
              <w:t>。</w:t>
            </w:r>
          </w:p>
        </w:tc>
      </w:tr>
      <w:tr w14:paraId="5DE0E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2500612E">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2160" w:type="dxa"/>
            <w:tcBorders>
              <w:tl2br w:val="nil"/>
              <w:tr2bl w:val="nil"/>
            </w:tcBorders>
            <w:noWrap w:val="0"/>
            <w:vAlign w:val="center"/>
          </w:tcPr>
          <w:p w14:paraId="02EA0EDF">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供货期限</w:t>
            </w:r>
          </w:p>
          <w:p w14:paraId="00682B7F">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val="en-US" w:eastAsia="zh-CN"/>
              </w:rPr>
              <w:t>（实质性要求）</w:t>
            </w:r>
          </w:p>
        </w:tc>
        <w:tc>
          <w:tcPr>
            <w:tcW w:w="6470" w:type="dxa"/>
            <w:tcBorders>
              <w:tl2br w:val="nil"/>
              <w:tr2bl w:val="nil"/>
            </w:tcBorders>
            <w:noWrap w:val="0"/>
            <w:vAlign w:val="center"/>
          </w:tcPr>
          <w:p w14:paraId="22E98E95">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一年按业主需求进行供货（一学年内）</w:t>
            </w:r>
          </w:p>
        </w:tc>
      </w:tr>
      <w:tr w14:paraId="7AD49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586CEB5B">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2160" w:type="dxa"/>
            <w:tcBorders>
              <w:tl2br w:val="nil"/>
              <w:tr2bl w:val="nil"/>
            </w:tcBorders>
            <w:noWrap w:val="0"/>
            <w:vAlign w:val="center"/>
          </w:tcPr>
          <w:p w14:paraId="4D08C3E8">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交货地点</w:t>
            </w:r>
          </w:p>
        </w:tc>
        <w:tc>
          <w:tcPr>
            <w:tcW w:w="6470" w:type="dxa"/>
            <w:tcBorders>
              <w:tl2br w:val="nil"/>
              <w:tr2bl w:val="nil"/>
            </w:tcBorders>
            <w:noWrap w:val="0"/>
            <w:vAlign w:val="center"/>
          </w:tcPr>
          <w:p w14:paraId="3CF82C92">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和硕县各中小学、幼儿园。</w:t>
            </w:r>
          </w:p>
        </w:tc>
      </w:tr>
      <w:tr w14:paraId="20FEB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4D970F37">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2160" w:type="dxa"/>
            <w:tcBorders>
              <w:tl2br w:val="nil"/>
              <w:tr2bl w:val="nil"/>
            </w:tcBorders>
            <w:noWrap w:val="0"/>
            <w:vAlign w:val="center"/>
          </w:tcPr>
          <w:p w14:paraId="20F47CAB">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付款方式</w:t>
            </w:r>
          </w:p>
        </w:tc>
        <w:tc>
          <w:tcPr>
            <w:tcW w:w="6470" w:type="dxa"/>
            <w:tcBorders>
              <w:tl2br w:val="nil"/>
              <w:tr2bl w:val="nil"/>
            </w:tcBorders>
            <w:noWrap w:val="0"/>
            <w:vAlign w:val="center"/>
          </w:tcPr>
          <w:p w14:paraId="55C1EF64">
            <w:pPr>
              <w:pStyle w:val="9"/>
              <w:shd w:val="clear" w:fill="FFFFFF" w:themeFill="background1"/>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月度结账。（具体甲乙双方签订合同自行协商）</w:t>
            </w:r>
          </w:p>
        </w:tc>
      </w:tr>
      <w:tr w14:paraId="06084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4C1310A2">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2160" w:type="dxa"/>
            <w:tcBorders>
              <w:tl2br w:val="nil"/>
              <w:tr2bl w:val="nil"/>
            </w:tcBorders>
            <w:noWrap w:val="0"/>
            <w:vAlign w:val="center"/>
          </w:tcPr>
          <w:p w14:paraId="58A99C15">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资格要求</w:t>
            </w:r>
          </w:p>
        </w:tc>
        <w:tc>
          <w:tcPr>
            <w:tcW w:w="6470" w:type="dxa"/>
            <w:tcBorders>
              <w:tl2br w:val="nil"/>
              <w:tr2bl w:val="nil"/>
            </w:tcBorders>
            <w:noWrap w:val="0"/>
            <w:vAlign w:val="center"/>
          </w:tcPr>
          <w:p w14:paraId="635B9AF3">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r>
              <w:rPr>
                <w:rFonts w:hint="eastAsia" w:asciiTheme="minorEastAsia" w:hAnsiTheme="minorEastAsia" w:eastAsiaTheme="minorEastAsia" w:cstheme="minorEastAsia"/>
                <w:color w:val="auto"/>
                <w:sz w:val="24"/>
                <w:szCs w:val="24"/>
                <w:highlight w:val="none"/>
                <w:lang w:eastAsia="zh-CN"/>
              </w:rPr>
              <w:t>：</w:t>
            </w:r>
          </w:p>
          <w:p w14:paraId="0A0ADB5F">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p>
          <w:p w14:paraId="4EEB9CAC">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（2）具有良好的商业信誉和健全的财务会计制度；</w:t>
            </w:r>
          </w:p>
          <w:p w14:paraId="6994E0F5">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）具有依法缴纳税收和社会保障资金的良好记录；</w:t>
            </w:r>
          </w:p>
          <w:p w14:paraId="38D9A571">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）具有履行合同所必需的</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和专业技术能力；</w:t>
            </w:r>
          </w:p>
          <w:p w14:paraId="43D3FD19">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）参加政府采购活动前三年内，在经营活动中没有重大违法记录；</w:t>
            </w:r>
          </w:p>
          <w:p w14:paraId="3CD67741">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rPr>
              <w:t>）法律、行政法规规定的其他条件。</w:t>
            </w:r>
          </w:p>
          <w:p w14:paraId="1F83DEDF">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sz w:val="24"/>
                <w:szCs w:val="24"/>
              </w:rPr>
              <w:t>本项目资格要求：</w:t>
            </w:r>
          </w:p>
          <w:p w14:paraId="256C0C11">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在中华人民共和国境内依法注册的、具有独立承担民事责任的能力，提供有效的营业执照；</w:t>
            </w:r>
            <w:r>
              <w:rPr>
                <w:rFonts w:hint="eastAsia" w:asciiTheme="minorEastAsia" w:hAnsiTheme="minorEastAsia" w:eastAsiaTheme="minorEastAsia" w:cstheme="minorEastAsia"/>
                <w:sz w:val="24"/>
                <w:szCs w:val="24"/>
              </w:rPr>
              <w:t xml:space="preserve"> </w:t>
            </w:r>
          </w:p>
          <w:p w14:paraId="01D8EF2F">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（2）法定代表人资格证明书及身份证或法人授权委托书及被授权人身份证；</w:t>
            </w:r>
          </w:p>
          <w:p w14:paraId="31281F55">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（3）具有履行合同所必需的机械设备和专业技术力量，并在人员、运输、资金等方面具有相应的能力；</w:t>
            </w:r>
          </w:p>
          <w:p w14:paraId="2DF63A49">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（4）未被“信用中国”（www.creditchina.gov.cn）、中国政府采购网（www.ccgp.gov.cn）列入失信被执行人、重大税收违法案件当事人名单、政府采购严重违法失信行为记录名单；</w:t>
            </w:r>
          </w:p>
          <w:p w14:paraId="0796146E">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（5）单位负责人为同一人或者存在直接控股、管理关系的不同供应商，不得参加同一合同项下的政府采购活动。</w:t>
            </w:r>
          </w:p>
          <w:p w14:paraId="4FC88297">
            <w:pPr>
              <w:pStyle w:val="28"/>
              <w:tabs>
                <w:tab w:val="left" w:pos="720"/>
                <w:tab w:val="left" w:pos="900"/>
                <w:tab w:val="left" w:pos="1260"/>
                <w:tab w:val="left" w:pos="2160"/>
                <w:tab w:val="left" w:pos="2880"/>
                <w:tab w:val="left" w:pos="3600"/>
                <w:tab w:val="left" w:pos="4320"/>
                <w:tab w:val="left" w:pos="5040"/>
                <w:tab w:val="left" w:pos="5760"/>
                <w:tab w:val="clear" w:pos="0"/>
                <w:tab w:val="clear" w:pos="993"/>
                <w:tab w:val="clear" w:pos="1134"/>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（6）本项目（不接受）联合体投标。</w:t>
            </w:r>
          </w:p>
          <w:p w14:paraId="4BB9481E">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.本项目的特定资格要求：</w:t>
            </w:r>
          </w:p>
          <w:p w14:paraId="2F4DED29">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eastAsia="宋体" w:cs="宋体"/>
                <w:b/>
                <w:bCs/>
                <w:color w:val="auto"/>
                <w:sz w:val="24"/>
                <w:szCs w:val="24"/>
                <w:highlight w:val="none"/>
                <w:lang w:eastAsia="zh-CN"/>
              </w:rPr>
            </w:pPr>
            <w:r>
              <w:rPr>
                <w:rFonts w:hint="eastAsia" w:cs="宋体"/>
                <w:b/>
                <w:bCs/>
                <w:color w:val="auto"/>
                <w:sz w:val="24"/>
                <w:szCs w:val="24"/>
                <w:highlight w:val="none"/>
                <w:lang w:val="en-US" w:eastAsia="zh-CN"/>
              </w:rPr>
              <w:t>（1）标项一至标项三供应商具有有效的《食品经营许可证》或《食品生产许可证》。</w:t>
            </w:r>
          </w:p>
          <w:p w14:paraId="5B74F785">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cs="宋体"/>
                <w:b/>
                <w:bCs/>
                <w:color w:val="auto"/>
                <w:sz w:val="24"/>
                <w:szCs w:val="24"/>
                <w:highlight w:val="none"/>
                <w:lang w:val="en-US" w:eastAsia="zh-CN"/>
              </w:rPr>
              <w:t>（2）标项二供应商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w:t>
            </w:r>
          </w:p>
        </w:tc>
      </w:tr>
      <w:tr w14:paraId="2B669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1120" w:type="dxa"/>
            <w:tcBorders>
              <w:tl2br w:val="nil"/>
              <w:tr2bl w:val="nil"/>
            </w:tcBorders>
            <w:noWrap w:val="0"/>
            <w:vAlign w:val="center"/>
          </w:tcPr>
          <w:p w14:paraId="7DA0C4DE">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11</w:t>
            </w:r>
          </w:p>
        </w:tc>
        <w:tc>
          <w:tcPr>
            <w:tcW w:w="2160" w:type="dxa"/>
            <w:tcBorders>
              <w:tl2br w:val="nil"/>
              <w:tr2bl w:val="nil"/>
            </w:tcBorders>
            <w:noWrap w:val="0"/>
            <w:vAlign w:val="center"/>
          </w:tcPr>
          <w:p w14:paraId="4A94297B">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是否接受联合体</w:t>
            </w:r>
          </w:p>
        </w:tc>
        <w:tc>
          <w:tcPr>
            <w:tcW w:w="6470" w:type="dxa"/>
            <w:tcBorders>
              <w:tl2br w:val="nil"/>
              <w:tr2bl w:val="nil"/>
            </w:tcBorders>
            <w:noWrap w:val="0"/>
            <w:vAlign w:val="center"/>
          </w:tcPr>
          <w:p w14:paraId="0A46CCC7">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不接受</w:t>
            </w:r>
          </w:p>
        </w:tc>
      </w:tr>
      <w:tr w14:paraId="70D1B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1120" w:type="dxa"/>
            <w:tcBorders>
              <w:tl2br w:val="nil"/>
              <w:tr2bl w:val="nil"/>
            </w:tcBorders>
            <w:noWrap w:val="0"/>
            <w:vAlign w:val="center"/>
          </w:tcPr>
          <w:p w14:paraId="3BD07CE4">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12</w:t>
            </w:r>
          </w:p>
        </w:tc>
        <w:tc>
          <w:tcPr>
            <w:tcW w:w="2160" w:type="dxa"/>
            <w:tcBorders>
              <w:tl2br w:val="nil"/>
              <w:tr2bl w:val="nil"/>
            </w:tcBorders>
            <w:noWrap w:val="0"/>
            <w:vAlign w:val="center"/>
          </w:tcPr>
          <w:p w14:paraId="1CE0CEE3">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现场考察</w:t>
            </w:r>
          </w:p>
        </w:tc>
        <w:tc>
          <w:tcPr>
            <w:tcW w:w="6470" w:type="dxa"/>
            <w:tcBorders>
              <w:tl2br w:val="nil"/>
              <w:tr2bl w:val="nil"/>
            </w:tcBorders>
            <w:noWrap w:val="0"/>
            <w:vAlign w:val="center"/>
          </w:tcPr>
          <w:p w14:paraId="2C84EC4F">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不组织</w:t>
            </w:r>
            <w:r>
              <w:rPr>
                <w:rFonts w:hint="eastAsia" w:asciiTheme="minorEastAsia" w:hAnsiTheme="minorEastAsia" w:eastAsiaTheme="minorEastAsia" w:cstheme="minorEastAsia"/>
                <w:color w:val="auto"/>
                <w:kern w:val="2"/>
                <w:sz w:val="24"/>
                <w:szCs w:val="24"/>
                <w:highlight w:val="none"/>
                <w:lang w:val="en-US" w:bidi="ar-SA"/>
              </w:rPr>
              <w:t>考察</w:t>
            </w:r>
          </w:p>
        </w:tc>
      </w:tr>
      <w:tr w14:paraId="53092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120" w:type="dxa"/>
            <w:tcBorders>
              <w:tl2br w:val="nil"/>
              <w:tr2bl w:val="nil"/>
            </w:tcBorders>
            <w:noWrap w:val="0"/>
            <w:vAlign w:val="center"/>
          </w:tcPr>
          <w:p w14:paraId="58F4636D">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13</w:t>
            </w:r>
          </w:p>
        </w:tc>
        <w:tc>
          <w:tcPr>
            <w:tcW w:w="2160" w:type="dxa"/>
            <w:tcBorders>
              <w:tl2br w:val="nil"/>
              <w:tr2bl w:val="nil"/>
            </w:tcBorders>
            <w:noWrap w:val="0"/>
            <w:vAlign w:val="center"/>
          </w:tcPr>
          <w:p w14:paraId="6A25E5F9">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开标前答疑会</w:t>
            </w:r>
          </w:p>
        </w:tc>
        <w:tc>
          <w:tcPr>
            <w:tcW w:w="6470" w:type="dxa"/>
            <w:tcBorders>
              <w:tl2br w:val="nil"/>
              <w:tr2bl w:val="nil"/>
            </w:tcBorders>
            <w:noWrap w:val="0"/>
            <w:vAlign w:val="center"/>
          </w:tcPr>
          <w:p w14:paraId="552BA6FE">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不召开</w:t>
            </w:r>
          </w:p>
        </w:tc>
      </w:tr>
      <w:tr w14:paraId="44044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120" w:type="dxa"/>
            <w:tcBorders>
              <w:tl2br w:val="nil"/>
              <w:tr2bl w:val="nil"/>
            </w:tcBorders>
            <w:noWrap w:val="0"/>
            <w:vAlign w:val="center"/>
          </w:tcPr>
          <w:p w14:paraId="67ECDED2">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14</w:t>
            </w:r>
          </w:p>
        </w:tc>
        <w:tc>
          <w:tcPr>
            <w:tcW w:w="2160" w:type="dxa"/>
            <w:tcBorders>
              <w:tl2br w:val="nil"/>
              <w:tr2bl w:val="nil"/>
            </w:tcBorders>
            <w:noWrap w:val="0"/>
            <w:vAlign w:val="center"/>
          </w:tcPr>
          <w:p w14:paraId="56E264A7">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分包转包</w:t>
            </w:r>
          </w:p>
        </w:tc>
        <w:tc>
          <w:tcPr>
            <w:tcW w:w="6470" w:type="dxa"/>
            <w:tcBorders>
              <w:tl2br w:val="nil"/>
              <w:tr2bl w:val="nil"/>
            </w:tcBorders>
            <w:noWrap w:val="0"/>
            <w:vAlign w:val="center"/>
          </w:tcPr>
          <w:p w14:paraId="33C32914">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不允许</w:t>
            </w:r>
          </w:p>
        </w:tc>
      </w:tr>
      <w:tr w14:paraId="7B92A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120" w:type="dxa"/>
            <w:tcBorders>
              <w:tl2br w:val="nil"/>
              <w:tr2bl w:val="nil"/>
            </w:tcBorders>
            <w:noWrap w:val="0"/>
            <w:vAlign w:val="center"/>
          </w:tcPr>
          <w:p w14:paraId="0E81A874">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15</w:t>
            </w:r>
          </w:p>
        </w:tc>
        <w:tc>
          <w:tcPr>
            <w:tcW w:w="2160" w:type="dxa"/>
            <w:tcBorders>
              <w:tl2br w:val="nil"/>
              <w:tr2bl w:val="nil"/>
            </w:tcBorders>
            <w:noWrap w:val="0"/>
            <w:vAlign w:val="center"/>
          </w:tcPr>
          <w:p w14:paraId="29087124">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实质性要求和条件</w:t>
            </w:r>
          </w:p>
        </w:tc>
        <w:tc>
          <w:tcPr>
            <w:tcW w:w="6470" w:type="dxa"/>
            <w:tcBorders>
              <w:tl2br w:val="nil"/>
              <w:tr2bl w:val="nil"/>
            </w:tcBorders>
            <w:noWrap w:val="0"/>
            <w:vAlign w:val="center"/>
          </w:tcPr>
          <w:p w14:paraId="658EB796">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详见全文“</w:t>
            </w:r>
            <w:r>
              <w:rPr>
                <w:rFonts w:hint="eastAsia" w:asciiTheme="minorEastAsia" w:hAnsiTheme="minorEastAsia" w:eastAsiaTheme="minorEastAsia" w:cstheme="minorEastAsia"/>
                <w:b/>
                <w:bCs/>
                <w:color w:val="auto"/>
                <w:kern w:val="0"/>
                <w:sz w:val="24"/>
                <w:szCs w:val="24"/>
                <w:highlight w:val="none"/>
                <w:lang w:val="en-US" w:eastAsia="zh-CN"/>
              </w:rPr>
              <w:t>（实质性要求）</w:t>
            </w:r>
            <w:r>
              <w:rPr>
                <w:rFonts w:hint="eastAsia" w:asciiTheme="minorEastAsia" w:hAnsiTheme="minorEastAsia" w:eastAsiaTheme="minorEastAsia" w:cstheme="minorEastAsia"/>
                <w:color w:val="auto"/>
                <w:kern w:val="2"/>
                <w:sz w:val="24"/>
                <w:szCs w:val="24"/>
                <w:highlight w:val="none"/>
                <w:lang w:val="en-US" w:eastAsia="zh-CN" w:bidi="ar-SA"/>
              </w:rPr>
              <w:t>”</w:t>
            </w:r>
          </w:p>
        </w:tc>
      </w:tr>
      <w:tr w14:paraId="05119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6619DB6F">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16</w:t>
            </w:r>
          </w:p>
        </w:tc>
        <w:tc>
          <w:tcPr>
            <w:tcW w:w="2160" w:type="dxa"/>
            <w:tcBorders>
              <w:tl2br w:val="nil"/>
              <w:tr2bl w:val="nil"/>
            </w:tcBorders>
            <w:noWrap w:val="0"/>
            <w:vAlign w:val="center"/>
          </w:tcPr>
          <w:p w14:paraId="578D16F2">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偏差</w:t>
            </w:r>
          </w:p>
        </w:tc>
        <w:tc>
          <w:tcPr>
            <w:tcW w:w="6470" w:type="dxa"/>
            <w:tcBorders>
              <w:tl2br w:val="nil"/>
              <w:tr2bl w:val="nil"/>
            </w:tcBorders>
            <w:noWrap w:val="0"/>
            <w:vAlign w:val="center"/>
          </w:tcPr>
          <w:p w14:paraId="1862842E">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不允许</w:t>
            </w:r>
          </w:p>
        </w:tc>
      </w:tr>
      <w:tr w14:paraId="7ADF7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120" w:type="dxa"/>
            <w:tcBorders>
              <w:tl2br w:val="nil"/>
              <w:tr2bl w:val="nil"/>
            </w:tcBorders>
            <w:noWrap w:val="0"/>
            <w:vAlign w:val="center"/>
          </w:tcPr>
          <w:p w14:paraId="5A1DEB7F">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17</w:t>
            </w:r>
          </w:p>
        </w:tc>
        <w:tc>
          <w:tcPr>
            <w:tcW w:w="2160" w:type="dxa"/>
            <w:tcBorders>
              <w:tl2br w:val="nil"/>
              <w:tr2bl w:val="nil"/>
            </w:tcBorders>
            <w:noWrap w:val="0"/>
            <w:vAlign w:val="center"/>
          </w:tcPr>
          <w:p w14:paraId="0F1ADF7D">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构成</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的其他资料</w:t>
            </w:r>
          </w:p>
        </w:tc>
        <w:tc>
          <w:tcPr>
            <w:tcW w:w="6470" w:type="dxa"/>
            <w:tcBorders>
              <w:tl2br w:val="nil"/>
              <w:tr2bl w:val="nil"/>
            </w:tcBorders>
            <w:noWrap w:val="0"/>
            <w:vAlign w:val="center"/>
          </w:tcPr>
          <w:p w14:paraId="15CD1AEC">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招标答疑补充文件等</w:t>
            </w:r>
          </w:p>
        </w:tc>
      </w:tr>
      <w:tr w14:paraId="6E073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noWrap w:val="0"/>
            <w:vAlign w:val="center"/>
          </w:tcPr>
          <w:p w14:paraId="50E8063B">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18</w:t>
            </w:r>
          </w:p>
        </w:tc>
        <w:tc>
          <w:tcPr>
            <w:tcW w:w="2160" w:type="dxa"/>
            <w:tcBorders>
              <w:tl2br w:val="nil"/>
              <w:tr2bl w:val="nil"/>
            </w:tcBorders>
            <w:noWrap w:val="0"/>
            <w:vAlign w:val="center"/>
          </w:tcPr>
          <w:p w14:paraId="5DD52133">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构成投标文件的其他资料</w:t>
            </w:r>
          </w:p>
        </w:tc>
        <w:tc>
          <w:tcPr>
            <w:tcW w:w="6470" w:type="dxa"/>
            <w:tcBorders>
              <w:tl2br w:val="nil"/>
              <w:tr2bl w:val="nil"/>
            </w:tcBorders>
            <w:noWrap w:val="0"/>
            <w:vAlign w:val="center"/>
          </w:tcPr>
          <w:p w14:paraId="41585B10">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评审现场根据评标委员会的要求进行的澄清答疑说明文件，澄清答疑说明文件将补充、</w:t>
            </w:r>
            <w:r>
              <w:rPr>
                <w:rFonts w:hint="eastAsia" w:asciiTheme="minorEastAsia" w:hAnsiTheme="minorEastAsia" w:eastAsiaTheme="minorEastAsia" w:cstheme="minorEastAsia"/>
                <w:color w:val="auto"/>
                <w:kern w:val="2"/>
                <w:sz w:val="24"/>
                <w:szCs w:val="24"/>
                <w:highlight w:val="none"/>
                <w:lang w:val="en-US" w:eastAsia="zh-CN" w:bidi="ar-SA"/>
              </w:rPr>
              <w:t>取代</w:t>
            </w:r>
            <w:r>
              <w:rPr>
                <w:rFonts w:hint="eastAsia" w:asciiTheme="minorEastAsia" w:hAnsiTheme="minorEastAsia" w:eastAsiaTheme="minorEastAsia" w:cstheme="minorEastAsia"/>
                <w:color w:val="auto"/>
                <w:kern w:val="2"/>
                <w:sz w:val="24"/>
                <w:szCs w:val="24"/>
                <w:highlight w:val="none"/>
                <w:lang w:val="en-US" w:bidi="ar-SA"/>
              </w:rPr>
              <w:t>投标文件中相应内容</w:t>
            </w:r>
          </w:p>
        </w:tc>
      </w:tr>
      <w:tr w14:paraId="775F4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1E0E6AD4">
            <w:pPr>
              <w:pStyle w:val="41"/>
              <w:shd w:val="clear" w:fill="FFFFFF" w:themeFill="background1"/>
              <w:spacing w:before="74" w:line="360" w:lineRule="auto"/>
              <w:ind w:left="42" w:leftChars="20" w:right="42" w:rightChars="20"/>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19</w:t>
            </w:r>
          </w:p>
        </w:tc>
        <w:tc>
          <w:tcPr>
            <w:tcW w:w="2160" w:type="dxa"/>
            <w:tcBorders>
              <w:tl2br w:val="nil"/>
              <w:tr2bl w:val="nil"/>
            </w:tcBorders>
            <w:noWrap w:val="0"/>
            <w:vAlign w:val="center"/>
          </w:tcPr>
          <w:p w14:paraId="10C8B239">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增值税税金的计算方法</w:t>
            </w:r>
          </w:p>
        </w:tc>
        <w:tc>
          <w:tcPr>
            <w:tcW w:w="6470" w:type="dxa"/>
            <w:tcBorders>
              <w:tl2br w:val="nil"/>
              <w:tr2bl w:val="nil"/>
            </w:tcBorders>
            <w:noWrap w:val="0"/>
            <w:vAlign w:val="center"/>
          </w:tcPr>
          <w:p w14:paraId="313E3F70">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按国家、地区、行业最新规定执行</w:t>
            </w:r>
          </w:p>
        </w:tc>
      </w:tr>
      <w:tr w14:paraId="6A163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1120" w:type="dxa"/>
            <w:tcBorders>
              <w:tl2br w:val="nil"/>
              <w:tr2bl w:val="nil"/>
            </w:tcBorders>
            <w:noWrap w:val="0"/>
            <w:vAlign w:val="center"/>
          </w:tcPr>
          <w:p w14:paraId="06A038D4">
            <w:pPr>
              <w:pStyle w:val="41"/>
              <w:shd w:val="clear" w:fill="FFFFFF" w:themeFill="background1"/>
              <w:spacing w:before="74" w:line="360" w:lineRule="auto"/>
              <w:ind w:left="42" w:leftChars="20" w:right="42" w:rightChars="20"/>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20</w:t>
            </w:r>
          </w:p>
        </w:tc>
        <w:tc>
          <w:tcPr>
            <w:tcW w:w="2160" w:type="dxa"/>
            <w:tcBorders>
              <w:tl2br w:val="nil"/>
              <w:tr2bl w:val="nil"/>
            </w:tcBorders>
            <w:noWrap w:val="0"/>
            <w:vAlign w:val="center"/>
          </w:tcPr>
          <w:p w14:paraId="300AC4C6">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投标报价的其他要求</w:t>
            </w:r>
          </w:p>
          <w:p w14:paraId="058CBEE1">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（实质性要求）</w:t>
            </w:r>
          </w:p>
        </w:tc>
        <w:tc>
          <w:tcPr>
            <w:tcW w:w="6470" w:type="dxa"/>
            <w:tcBorders>
              <w:tl2br w:val="nil"/>
              <w:tr2bl w:val="nil"/>
            </w:tcBorders>
            <w:noWrap w:val="0"/>
            <w:vAlign w:val="center"/>
          </w:tcPr>
          <w:p w14:paraId="6C902973">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投标报价下浮应包括：有关本项目所需货物采购、包装费、运输费、保险费、人员工资、验收、售后服务、税金等。运输途中风险由供应商自行承担；</w:t>
            </w:r>
          </w:p>
          <w:p w14:paraId="71585693">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本项目采用下浮率报价</w:t>
            </w:r>
            <w:r>
              <w:rPr>
                <w:rFonts w:hint="eastAsia" w:asciiTheme="minorEastAsia" w:hAnsiTheme="minorEastAsia" w:eastAsiaTheme="minorEastAsia" w:cstheme="minorEastAsia"/>
                <w:b/>
                <w:bCs/>
                <w:color w:val="auto"/>
                <w:sz w:val="24"/>
                <w:szCs w:val="24"/>
                <w:highlight w:val="none"/>
                <w:lang w:val="en-US"/>
              </w:rPr>
              <w:t>。</w:t>
            </w:r>
          </w:p>
          <w:p w14:paraId="4B753391">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（本项目为一次报价，即一次报价为最终报价）</w:t>
            </w:r>
          </w:p>
        </w:tc>
      </w:tr>
      <w:tr w14:paraId="6A756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6FA3BDE2">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21</w:t>
            </w:r>
          </w:p>
        </w:tc>
        <w:tc>
          <w:tcPr>
            <w:tcW w:w="2160" w:type="dxa"/>
            <w:tcBorders>
              <w:tl2br w:val="nil"/>
              <w:tr2bl w:val="nil"/>
            </w:tcBorders>
            <w:noWrap w:val="0"/>
            <w:vAlign w:val="center"/>
          </w:tcPr>
          <w:p w14:paraId="7FF9FF13">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p w14:paraId="4F880F3E">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（实质性要求）</w:t>
            </w:r>
          </w:p>
        </w:tc>
        <w:tc>
          <w:tcPr>
            <w:tcW w:w="6470" w:type="dxa"/>
            <w:tcBorders>
              <w:tl2br w:val="nil"/>
              <w:tr2bl w:val="nil"/>
            </w:tcBorders>
            <w:noWrap w:val="0"/>
            <w:vAlign w:val="center"/>
          </w:tcPr>
          <w:p w14:paraId="67C57BB3">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自投标截止之日起90</w:t>
            </w:r>
            <w:r>
              <w:rPr>
                <w:rFonts w:hint="eastAsia" w:asciiTheme="minorEastAsia" w:hAnsiTheme="minorEastAsia" w:eastAsiaTheme="minorEastAsia" w:cstheme="minorEastAsia"/>
                <w:color w:val="auto"/>
                <w:kern w:val="2"/>
                <w:sz w:val="24"/>
                <w:szCs w:val="24"/>
                <w:highlight w:val="none"/>
                <w:lang w:val="en-US" w:bidi="ar-SA"/>
              </w:rPr>
              <w:t>日历天</w:t>
            </w:r>
          </w:p>
        </w:tc>
      </w:tr>
      <w:tr w14:paraId="43B3D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20" w:type="dxa"/>
            <w:tcBorders>
              <w:tl2br w:val="nil"/>
              <w:tr2bl w:val="nil"/>
            </w:tcBorders>
            <w:noWrap w:val="0"/>
            <w:vAlign w:val="center"/>
          </w:tcPr>
          <w:p w14:paraId="7B0A153E">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22</w:t>
            </w:r>
          </w:p>
        </w:tc>
        <w:tc>
          <w:tcPr>
            <w:tcW w:w="2160" w:type="dxa"/>
            <w:tcBorders>
              <w:tl2br w:val="nil"/>
              <w:tr2bl w:val="nil"/>
            </w:tcBorders>
            <w:noWrap w:val="0"/>
            <w:vAlign w:val="center"/>
          </w:tcPr>
          <w:p w14:paraId="761BB808">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投标保证金</w:t>
            </w:r>
          </w:p>
          <w:p w14:paraId="5DA8576B">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（实质性要求）</w:t>
            </w:r>
          </w:p>
        </w:tc>
        <w:tc>
          <w:tcPr>
            <w:tcW w:w="6470" w:type="dxa"/>
            <w:tcBorders>
              <w:tl2br w:val="nil"/>
              <w:tr2bl w:val="nil"/>
            </w:tcBorders>
            <w:noWrap w:val="0"/>
            <w:vAlign w:val="center"/>
          </w:tcPr>
          <w:p w14:paraId="1E25E3FA">
            <w:pPr>
              <w:pStyle w:val="10"/>
              <w:spacing w:line="360" w:lineRule="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本项目的投标金为人民币：</w:t>
            </w:r>
          </w:p>
          <w:p w14:paraId="4AA37CA9">
            <w:pPr>
              <w:pStyle w:val="11"/>
              <w:spacing w:line="360" w:lineRule="auto"/>
              <w:ind w:left="0" w:leftChars="0" w:firstLine="0" w:firstLineChars="0"/>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标项一：25000.00元（贰万伍仟元整）</w:t>
            </w:r>
          </w:p>
          <w:p w14:paraId="2D7D0728">
            <w:pPr>
              <w:spacing w:line="360" w:lineRule="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标项二：24000.00元（贰万肆仟元整）</w:t>
            </w:r>
          </w:p>
          <w:p w14:paraId="4AFD1DDB">
            <w:pPr>
              <w:spacing w:line="360" w:lineRule="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标项三：20000.00元（贰万元整）</w:t>
            </w:r>
          </w:p>
          <w:p w14:paraId="7BFE7E5B">
            <w:pPr>
              <w:spacing w:line="360" w:lineRule="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单位名称：新疆益双工程管理有限公司</w:t>
            </w:r>
          </w:p>
          <w:p w14:paraId="10891C77">
            <w:pPr>
              <w:spacing w:line="360" w:lineRule="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开户行：新疆库尔勒富民村镇银行兰干路支行</w:t>
            </w:r>
          </w:p>
          <w:p w14:paraId="28045558">
            <w:pPr>
              <w:spacing w:line="360" w:lineRule="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账号：836050100100009527</w:t>
            </w:r>
          </w:p>
          <w:p w14:paraId="2535A76F">
            <w:pPr>
              <w:spacing w:line="360" w:lineRule="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行号：320888000057</w:t>
            </w:r>
          </w:p>
          <w:p w14:paraId="223A0E6D">
            <w:pPr>
              <w:spacing w:line="360" w:lineRule="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投标保证金缴纳截止</w:t>
            </w:r>
            <w:r>
              <w:rPr>
                <w:rFonts w:hint="eastAsia" w:asciiTheme="minorEastAsia" w:hAnsiTheme="minorEastAsia" w:eastAsiaTheme="minorEastAsia" w:cstheme="minorEastAsia"/>
                <w:color w:val="auto"/>
                <w:kern w:val="0"/>
                <w:sz w:val="24"/>
                <w:szCs w:val="24"/>
                <w:highlight w:val="none"/>
                <w:lang w:val="zh-CN"/>
              </w:rPr>
              <w:t>时间：2025年</w:t>
            </w: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lang w:val="zh-CN"/>
              </w:rPr>
              <w:t>月</w:t>
            </w:r>
            <w:r>
              <w:rPr>
                <w:rFonts w:hint="eastAsia" w:asciiTheme="minorEastAsia" w:hAnsiTheme="minorEastAsia" w:eastAsiaTheme="minorEastAsia" w:cstheme="minorEastAsia"/>
                <w:color w:val="auto"/>
                <w:kern w:val="0"/>
                <w:sz w:val="24"/>
                <w:szCs w:val="24"/>
                <w:highlight w:val="none"/>
                <w:lang w:val="en-US" w:eastAsia="zh-CN"/>
              </w:rPr>
              <w:t>31</w:t>
            </w:r>
            <w:r>
              <w:rPr>
                <w:rFonts w:hint="eastAsia" w:asciiTheme="minorEastAsia" w:hAnsiTheme="minorEastAsia" w:eastAsiaTheme="minorEastAsia" w:cstheme="minorEastAsia"/>
                <w:color w:val="auto"/>
                <w:kern w:val="0"/>
                <w:sz w:val="24"/>
                <w:szCs w:val="24"/>
                <w:highlight w:val="none"/>
                <w:lang w:val="zh-CN"/>
              </w:rPr>
              <w:t>日1</w:t>
            </w:r>
            <w:r>
              <w:rPr>
                <w:rFonts w:hint="eastAsia" w:asciiTheme="minorEastAsia" w:hAnsiTheme="minorEastAsia" w:eastAsiaTheme="minorEastAsia" w:cstheme="minorEastAsia"/>
                <w:color w:val="auto"/>
                <w:kern w:val="0"/>
                <w:sz w:val="24"/>
                <w:szCs w:val="24"/>
                <w:highlight w:val="none"/>
              </w:rPr>
              <w:t>0</w:t>
            </w:r>
            <w:r>
              <w:rPr>
                <w:rFonts w:hint="eastAsia" w:asciiTheme="minorEastAsia" w:hAnsiTheme="minorEastAsia" w:eastAsiaTheme="minorEastAsia" w:cstheme="minorEastAsia"/>
                <w:color w:val="auto"/>
                <w:kern w:val="0"/>
                <w:sz w:val="24"/>
                <w:szCs w:val="24"/>
                <w:highlight w:val="none"/>
                <w:lang w:val="zh-CN"/>
              </w:rPr>
              <w:t>:30</w:t>
            </w:r>
            <w:r>
              <w:rPr>
                <w:rFonts w:hint="eastAsia" w:asciiTheme="minorEastAsia" w:hAnsiTheme="minorEastAsia" w:eastAsiaTheme="minorEastAsia" w:cstheme="minorEastAsia"/>
                <w:color w:val="auto"/>
                <w:kern w:val="0"/>
                <w:sz w:val="24"/>
                <w:szCs w:val="24"/>
                <w:highlight w:val="none"/>
                <w:lang w:val="zh-CN"/>
              </w:rPr>
              <w:t>时之</w:t>
            </w:r>
            <w:r>
              <w:rPr>
                <w:rFonts w:hint="eastAsia" w:asciiTheme="minorEastAsia" w:hAnsiTheme="minorEastAsia" w:eastAsiaTheme="minorEastAsia" w:cstheme="minorEastAsia"/>
                <w:color w:val="auto"/>
                <w:kern w:val="0"/>
                <w:sz w:val="24"/>
                <w:szCs w:val="24"/>
                <w:lang w:val="zh-CN"/>
              </w:rPr>
              <w:t>前（以银行记录确认到账为准）。未按以上要求递交投标保证金及办理确认手续的，其投标保证金视为无效，采购人将拒绝其投标。</w:t>
            </w:r>
          </w:p>
          <w:p w14:paraId="2F314773">
            <w:pPr>
              <w:spacing w:line="360" w:lineRule="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投标保证金的形式：从供应商基本账户公对公转账、支票、汇票、本票或者金融机构、担保机构出具的保函等非现金形式提交。</w:t>
            </w:r>
          </w:p>
          <w:p w14:paraId="7C7329A9">
            <w:pPr>
              <w:spacing w:line="360" w:lineRule="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（汇款时用途栏应注明本项目招标编号[标准格式：</w:t>
            </w:r>
            <w:r>
              <w:rPr>
                <w:rFonts w:hint="eastAsia" w:asciiTheme="minorEastAsia" w:hAnsiTheme="minorEastAsia" w:eastAsiaTheme="minorEastAsia" w:cstheme="minorEastAsia"/>
                <w:b/>
                <w:bCs/>
                <w:color w:val="auto"/>
                <w:kern w:val="0"/>
                <w:sz w:val="24"/>
                <w:szCs w:val="24"/>
                <w:lang w:val="zh-CN"/>
              </w:rPr>
              <w:t>投标保证金+项目编号</w:t>
            </w:r>
            <w:r>
              <w:rPr>
                <w:rFonts w:hint="eastAsia" w:asciiTheme="minorEastAsia" w:hAnsiTheme="minorEastAsia" w:eastAsiaTheme="minorEastAsia" w:cstheme="minorEastAsia"/>
                <w:b/>
                <w:bCs/>
                <w:color w:val="auto"/>
                <w:kern w:val="0"/>
                <w:sz w:val="24"/>
                <w:szCs w:val="24"/>
              </w:rPr>
              <w:t>+包段号</w:t>
            </w:r>
            <w:r>
              <w:rPr>
                <w:rFonts w:hint="eastAsia" w:asciiTheme="minorEastAsia" w:hAnsiTheme="minorEastAsia" w:eastAsiaTheme="minorEastAsia" w:cstheme="minorEastAsia"/>
                <w:b/>
                <w:bCs/>
                <w:color w:val="auto"/>
                <w:kern w:val="0"/>
                <w:sz w:val="24"/>
                <w:szCs w:val="24"/>
                <w:lang w:val="zh-CN"/>
              </w:rPr>
              <w:t>]</w:t>
            </w:r>
            <w:r>
              <w:rPr>
                <w:rFonts w:hint="eastAsia" w:asciiTheme="minorEastAsia" w:hAnsiTheme="minorEastAsia" w:eastAsiaTheme="minorEastAsia" w:cstheme="minorEastAsia"/>
                <w:color w:val="auto"/>
                <w:kern w:val="0"/>
                <w:sz w:val="24"/>
                <w:szCs w:val="24"/>
                <w:lang w:val="zh-CN"/>
              </w:rPr>
              <w:t>，提投标保证金不注明用途的届时其投标将被拒绝。)</w:t>
            </w:r>
          </w:p>
          <w:p w14:paraId="7733DCE9">
            <w:pPr>
              <w:keepNext w:val="0"/>
              <w:keepLines w:val="0"/>
              <w:pageBreakBefore w:val="0"/>
              <w:widowControl w:val="0"/>
              <w:numPr>
                <w:ilvl w:val="0"/>
                <w:numId w:val="0"/>
              </w:numPr>
              <w:shd w:val="clear" w:fill="FFFFFF" w:themeFill="background1"/>
              <w:kinsoku/>
              <w:wordWrap/>
              <w:overflowPunct/>
              <w:topLinePunct w:val="0"/>
              <w:autoSpaceDE/>
              <w:autoSpaceDN/>
              <w:bidi w:val="0"/>
              <w:adjustRightInd w:val="0"/>
              <w:snapToGrid w:val="0"/>
              <w:spacing w:before="120" w:beforeLines="50" w:line="360" w:lineRule="auto"/>
              <w:textAlignment w:val="auto"/>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lang w:val="zh-CN"/>
              </w:rPr>
              <w:t>注：投标保证金以到账信息为准，供应商应充分考虑在途时间，供应商未按照招标文件要求提交投标保证金的，投标无效。</w:t>
            </w:r>
          </w:p>
        </w:tc>
      </w:tr>
      <w:tr w14:paraId="76B78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661F8963">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23</w:t>
            </w:r>
          </w:p>
        </w:tc>
        <w:tc>
          <w:tcPr>
            <w:tcW w:w="2160" w:type="dxa"/>
            <w:tcBorders>
              <w:tl2br w:val="nil"/>
              <w:tr2bl w:val="nil"/>
            </w:tcBorders>
            <w:noWrap w:val="0"/>
            <w:vAlign w:val="center"/>
          </w:tcPr>
          <w:p w14:paraId="030198EC">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近年财务状况的年份要求</w:t>
            </w:r>
          </w:p>
          <w:p w14:paraId="0F400F39">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（实质性要求）</w:t>
            </w:r>
          </w:p>
        </w:tc>
        <w:tc>
          <w:tcPr>
            <w:tcW w:w="6470" w:type="dxa"/>
            <w:tcBorders>
              <w:tl2br w:val="nil"/>
              <w:tr2bl w:val="nil"/>
            </w:tcBorders>
            <w:noWrap w:val="0"/>
            <w:vAlign w:val="center"/>
          </w:tcPr>
          <w:p w14:paraId="321DBA44">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2023年或</w:t>
            </w:r>
            <w:r>
              <w:rPr>
                <w:rFonts w:hint="eastAsia" w:asciiTheme="minorEastAsia" w:hAnsiTheme="minorEastAsia" w:eastAsiaTheme="minorEastAsia" w:cstheme="minorEastAsia"/>
                <w:color w:val="auto"/>
                <w:kern w:val="2"/>
                <w:sz w:val="24"/>
                <w:szCs w:val="24"/>
                <w:highlight w:val="none"/>
                <w:lang w:val="en-US" w:bidi="ar-SA"/>
              </w:rPr>
              <w:t>20</w:t>
            </w:r>
            <w:r>
              <w:rPr>
                <w:rFonts w:hint="eastAsia" w:asciiTheme="minorEastAsia" w:hAnsiTheme="minorEastAsia" w:eastAsiaTheme="minorEastAsia" w:cstheme="minorEastAsia"/>
                <w:color w:val="auto"/>
                <w:kern w:val="2"/>
                <w:sz w:val="24"/>
                <w:szCs w:val="24"/>
                <w:highlight w:val="none"/>
                <w:lang w:val="en-US" w:eastAsia="zh-CN" w:bidi="ar-SA"/>
              </w:rPr>
              <w:t>24</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lang w:val="en-US" w:eastAsia="zh-CN" w:bidi="ar-SA"/>
              </w:rPr>
              <w:t>（新成立企业可不提供）</w:t>
            </w:r>
          </w:p>
        </w:tc>
      </w:tr>
      <w:tr w14:paraId="66B84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120" w:type="dxa"/>
            <w:tcBorders>
              <w:tl2br w:val="nil"/>
              <w:tr2bl w:val="nil"/>
            </w:tcBorders>
            <w:noWrap w:val="0"/>
            <w:vAlign w:val="center"/>
          </w:tcPr>
          <w:p w14:paraId="492E7647">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24</w:t>
            </w:r>
          </w:p>
        </w:tc>
        <w:tc>
          <w:tcPr>
            <w:tcW w:w="2160" w:type="dxa"/>
            <w:tcBorders>
              <w:tl2br w:val="nil"/>
              <w:tr2bl w:val="nil"/>
            </w:tcBorders>
            <w:noWrap w:val="0"/>
            <w:vAlign w:val="center"/>
          </w:tcPr>
          <w:p w14:paraId="5AB8457B">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类似项目的时间要求</w:t>
            </w:r>
          </w:p>
        </w:tc>
        <w:tc>
          <w:tcPr>
            <w:tcW w:w="6470" w:type="dxa"/>
            <w:tcBorders>
              <w:tl2br w:val="nil"/>
              <w:tr2bl w:val="nil"/>
            </w:tcBorders>
            <w:noWrap w:val="0"/>
            <w:vAlign w:val="center"/>
          </w:tcPr>
          <w:p w14:paraId="538ACF3A">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近3年  </w:t>
            </w:r>
            <w:r>
              <w:rPr>
                <w:rFonts w:hint="eastAsia" w:asciiTheme="minorEastAsia" w:hAnsiTheme="minorEastAsia" w:eastAsiaTheme="minorEastAsia" w:cstheme="minorEastAsia"/>
                <w:color w:val="auto"/>
                <w:kern w:val="2"/>
                <w:sz w:val="24"/>
                <w:szCs w:val="24"/>
                <w:highlight w:val="none"/>
                <w:lang w:val="en-US" w:bidi="ar-SA"/>
              </w:rPr>
              <w:t>指20</w:t>
            </w:r>
            <w:r>
              <w:rPr>
                <w:rFonts w:hint="eastAsia" w:asciiTheme="minorEastAsia" w:hAnsiTheme="minorEastAsia" w:eastAsiaTheme="minorEastAsia" w:cstheme="minorEastAsia"/>
                <w:color w:val="auto"/>
                <w:kern w:val="2"/>
                <w:sz w:val="24"/>
                <w:szCs w:val="24"/>
                <w:highlight w:val="none"/>
                <w:lang w:val="en-US" w:eastAsia="zh-CN" w:bidi="ar-SA"/>
              </w:rPr>
              <w:t>22</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lang w:val="en-US" w:eastAsia="zh-CN" w:bidi="ar-SA"/>
              </w:rPr>
              <w:t>7</w:t>
            </w:r>
            <w:r>
              <w:rPr>
                <w:rFonts w:hint="eastAsia" w:asciiTheme="minorEastAsia" w:hAnsiTheme="minorEastAsia" w:eastAsiaTheme="minorEastAsia" w:cstheme="minorEastAsia"/>
                <w:color w:val="auto"/>
                <w:kern w:val="2"/>
                <w:sz w:val="24"/>
                <w:szCs w:val="24"/>
                <w:highlight w:val="none"/>
                <w:lang w:val="en-US" w:bidi="ar-SA"/>
              </w:rPr>
              <w:t>月至</w:t>
            </w:r>
            <w:r>
              <w:rPr>
                <w:rFonts w:hint="eastAsia" w:asciiTheme="minorEastAsia" w:hAnsiTheme="minorEastAsia" w:eastAsiaTheme="minorEastAsia" w:cstheme="minorEastAsia"/>
                <w:color w:val="auto"/>
                <w:kern w:val="2"/>
                <w:sz w:val="24"/>
                <w:szCs w:val="24"/>
                <w:highlight w:val="none"/>
                <w:lang w:val="en-US" w:eastAsia="zh-CN" w:bidi="ar-SA"/>
              </w:rPr>
              <w:t>今</w:t>
            </w:r>
          </w:p>
        </w:tc>
      </w:tr>
      <w:tr w14:paraId="3C6A3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120" w:type="dxa"/>
            <w:tcBorders>
              <w:tl2br w:val="nil"/>
              <w:tr2bl w:val="nil"/>
            </w:tcBorders>
            <w:noWrap w:val="0"/>
            <w:vAlign w:val="center"/>
          </w:tcPr>
          <w:p w14:paraId="541A88B8">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25</w:t>
            </w:r>
          </w:p>
        </w:tc>
        <w:tc>
          <w:tcPr>
            <w:tcW w:w="2160" w:type="dxa"/>
            <w:tcBorders>
              <w:tl2br w:val="nil"/>
              <w:tr2bl w:val="nil"/>
            </w:tcBorders>
            <w:noWrap w:val="0"/>
            <w:vAlign w:val="center"/>
          </w:tcPr>
          <w:p w14:paraId="295CE57B">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是否允许递交备选投标方案</w:t>
            </w:r>
          </w:p>
        </w:tc>
        <w:tc>
          <w:tcPr>
            <w:tcW w:w="6470" w:type="dxa"/>
            <w:tcBorders>
              <w:tl2br w:val="nil"/>
              <w:tr2bl w:val="nil"/>
            </w:tcBorders>
            <w:noWrap w:val="0"/>
            <w:vAlign w:val="center"/>
          </w:tcPr>
          <w:p w14:paraId="6C1F951A">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不允许</w:t>
            </w:r>
          </w:p>
        </w:tc>
      </w:tr>
      <w:tr w14:paraId="3ADAC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1120" w:type="dxa"/>
            <w:tcBorders>
              <w:tl2br w:val="nil"/>
              <w:tr2bl w:val="nil"/>
            </w:tcBorders>
            <w:noWrap w:val="0"/>
            <w:vAlign w:val="center"/>
          </w:tcPr>
          <w:p w14:paraId="49DB51F9">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26</w:t>
            </w:r>
          </w:p>
        </w:tc>
        <w:tc>
          <w:tcPr>
            <w:tcW w:w="2160" w:type="dxa"/>
            <w:tcBorders>
              <w:tl2br w:val="nil"/>
              <w:tr2bl w:val="nil"/>
            </w:tcBorders>
            <w:noWrap w:val="0"/>
            <w:vAlign w:val="center"/>
          </w:tcPr>
          <w:p w14:paraId="210AD989">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履约保证金</w:t>
            </w:r>
          </w:p>
        </w:tc>
        <w:tc>
          <w:tcPr>
            <w:tcW w:w="6470" w:type="dxa"/>
            <w:tcBorders>
              <w:tl2br w:val="nil"/>
              <w:tr2bl w:val="nil"/>
            </w:tcBorders>
            <w:noWrap w:val="0"/>
            <w:vAlign w:val="center"/>
          </w:tcPr>
          <w:p w14:paraId="06E19953">
            <w:pPr>
              <w:pStyle w:val="41"/>
              <w:shd w:val="clear" w:fill="FFFFFF" w:themeFill="background1"/>
              <w:spacing w:before="74" w:line="360" w:lineRule="auto"/>
              <w:ind w:right="42" w:rightChars="2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履约保证金的形式：保函、</w:t>
            </w:r>
            <w:r>
              <w:rPr>
                <w:rFonts w:hint="eastAsia" w:asciiTheme="minorEastAsia" w:hAnsiTheme="minorEastAsia" w:eastAsiaTheme="minorEastAsia" w:cstheme="minorEastAsia"/>
                <w:b w:val="0"/>
                <w:color w:val="auto"/>
                <w:kern w:val="2"/>
                <w:sz w:val="24"/>
                <w:szCs w:val="24"/>
                <w:highlight w:val="none"/>
                <w:lang w:val="en-US" w:eastAsia="zh-CN" w:bidi="ar-SA"/>
              </w:rPr>
              <w:t>电汇、网银等非现金形式提交。</w:t>
            </w:r>
          </w:p>
          <w:p w14:paraId="6C81E641">
            <w:pPr>
              <w:pStyle w:val="41"/>
              <w:shd w:val="clear" w:fill="FFFFFF" w:themeFill="background1"/>
              <w:spacing w:before="74" w:line="360" w:lineRule="auto"/>
              <w:ind w:right="42" w:rightChars="2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履约保证金的金额：项目预计采购金额的10%，在采购人规定期限内，由中标人汇款至采购人指定的账户。服务期满后，无供应商责任事故的，在10个工作日内一次性无息退还。鼓励以金融机构保函替代履约保证金。</w:t>
            </w:r>
          </w:p>
        </w:tc>
      </w:tr>
      <w:tr w14:paraId="09DAC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065E72E5">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27</w:t>
            </w:r>
          </w:p>
        </w:tc>
        <w:tc>
          <w:tcPr>
            <w:tcW w:w="2160" w:type="dxa"/>
            <w:tcBorders>
              <w:tl2br w:val="nil"/>
              <w:tr2bl w:val="nil"/>
            </w:tcBorders>
            <w:noWrap w:val="0"/>
            <w:vAlign w:val="center"/>
          </w:tcPr>
          <w:p w14:paraId="3175A969">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w:t>
            </w:r>
            <w:r>
              <w:rPr>
                <w:rFonts w:hint="eastAsia" w:asciiTheme="minorEastAsia" w:hAnsiTheme="minorEastAsia" w:eastAsiaTheme="minorEastAsia" w:cstheme="minorEastAsia"/>
                <w:color w:val="auto"/>
                <w:sz w:val="24"/>
                <w:szCs w:val="24"/>
                <w:highlight w:val="none"/>
                <w:lang w:val="en-US" w:eastAsia="zh-CN"/>
              </w:rPr>
              <w:t>说明</w:t>
            </w:r>
          </w:p>
        </w:tc>
        <w:tc>
          <w:tcPr>
            <w:tcW w:w="6470" w:type="dxa"/>
            <w:tcBorders>
              <w:tl2br w:val="nil"/>
              <w:tr2bl w:val="nil"/>
            </w:tcBorders>
            <w:noWrap w:val="0"/>
            <w:vAlign w:val="center"/>
          </w:tcPr>
          <w:p w14:paraId="06CAF502">
            <w:pPr>
              <w:pStyle w:val="6"/>
              <w:spacing w:line="360" w:lineRule="auto"/>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1）投标人编制电子响应文件可参考《政府采购项目电子交易管理操作指南-投标人》，在政采云《帮助文档》下载；</w:t>
            </w:r>
          </w:p>
          <w:p w14:paraId="558E7EF8">
            <w:pPr>
              <w:pStyle w:val="6"/>
              <w:spacing w:line="360" w:lineRule="auto"/>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开标时间到达后，开标主持人进行响应文件的解密操作。因投标人原因造成响应文件未解密成功的，视为撤销其响应文件；因投标人之外的原因造成响应文件未解密成功的，视为撤回其响应文件。部分响应文件未解密成功的，其他响应文件的开标可以继续进行。</w:t>
            </w:r>
          </w:p>
          <w:p w14:paraId="559F0C96">
            <w:pPr>
              <w:pStyle w:val="6"/>
              <w:spacing w:line="360" w:lineRule="auto"/>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（3）若递交响应文件家数少于三家或者开标后成功解密的家数少于三家的，将终止该项目的开标。</w:t>
            </w:r>
          </w:p>
          <w:p w14:paraId="4C9B7D3E">
            <w:pPr>
              <w:pStyle w:val="6"/>
              <w:spacing w:line="360" w:lineRule="auto"/>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（4）响应文件中需要分别对资格审查要求、符合性审查要求、开标一览表、响应文件逐一关联响应。</w:t>
            </w:r>
          </w:p>
          <w:p w14:paraId="0144163C">
            <w:pPr>
              <w:pStyle w:val="6"/>
              <w:spacing w:line="360" w:lineRule="auto"/>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请投标单位提前自学线上开标流程；投标截止时间当天，线上开标环节，响应文件解密时长30分钟，请各投标单位请自带笔记本电脑及CA锁网上进行文件解密以及操作投标事项，请投标人提前调试好在线参标电脑各项配置。</w:t>
            </w:r>
          </w:p>
          <w:p w14:paraId="37C87B70">
            <w:pPr>
              <w:pStyle w:val="6"/>
              <w:spacing w:line="360" w:lineRule="auto"/>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招标</w:t>
            </w:r>
            <w:r>
              <w:rPr>
                <w:rFonts w:hint="eastAsia" w:asciiTheme="minorEastAsia" w:hAnsiTheme="minorEastAsia" w:eastAsiaTheme="minorEastAsia" w:cstheme="minorEastAsia"/>
                <w:sz w:val="24"/>
                <w:szCs w:val="24"/>
              </w:rPr>
              <w:t>文件中采购技术要求、技术需求等如有偏差，如有疑义请澄清中及时提出；否则视为充分理解</w:t>
            </w:r>
            <w:r>
              <w:rPr>
                <w:rFonts w:hint="eastAsia" w:asciiTheme="minorEastAsia" w:hAnsiTheme="minorEastAsia" w:eastAsiaTheme="minorEastAsia" w:cstheme="minorEastAsia"/>
                <w:sz w:val="24"/>
                <w:szCs w:val="24"/>
                <w:lang w:val="en-US" w:eastAsia="zh-CN"/>
              </w:rPr>
              <w:t>招标</w:t>
            </w:r>
            <w:r>
              <w:rPr>
                <w:rFonts w:hint="eastAsia" w:asciiTheme="minorEastAsia" w:hAnsiTheme="minorEastAsia" w:eastAsiaTheme="minorEastAsia" w:cstheme="minorEastAsia"/>
                <w:sz w:val="24"/>
                <w:szCs w:val="24"/>
              </w:rPr>
              <w:t>文件各项要求。</w:t>
            </w:r>
          </w:p>
          <w:p w14:paraId="7319197B">
            <w:pPr>
              <w:pStyle w:val="41"/>
              <w:numPr>
                <w:ilvl w:val="0"/>
                <w:numId w:val="0"/>
              </w:numPr>
              <w:shd w:val="clear" w:fill="FFFFFF" w:themeFill="background1"/>
              <w:spacing w:before="74" w:line="360" w:lineRule="auto"/>
              <w:ind w:leftChars="0" w:right="42" w:rightChars="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z w:val="24"/>
                <w:szCs w:val="24"/>
              </w:rPr>
              <w:t>（7）本次采用政府采购云平台线上招标、投标，请各潜在投标人及时办理CA锁和学习政府采购云平台线上投标相关知识。请在政府采购云平台登录后，进行下载</w:t>
            </w:r>
            <w:r>
              <w:rPr>
                <w:rFonts w:hint="eastAsia" w:asciiTheme="minorEastAsia" w:hAnsiTheme="minorEastAsia" w:eastAsiaTheme="minorEastAsia" w:cstheme="minorEastAsia"/>
                <w:sz w:val="24"/>
                <w:szCs w:val="24"/>
                <w:lang w:val="en-US" w:eastAsia="zh-CN"/>
              </w:rPr>
              <w:t>招标</w:t>
            </w:r>
            <w:r>
              <w:rPr>
                <w:rFonts w:hint="eastAsia" w:asciiTheme="minorEastAsia" w:hAnsiTheme="minorEastAsia" w:eastAsiaTheme="minorEastAsia" w:cstheme="minorEastAsia"/>
                <w:sz w:val="24"/>
                <w:szCs w:val="24"/>
              </w:rPr>
              <w:t>文件。请各投标人获取</w:t>
            </w:r>
            <w:r>
              <w:rPr>
                <w:rFonts w:hint="eastAsia" w:asciiTheme="minorEastAsia" w:hAnsiTheme="minorEastAsia" w:eastAsiaTheme="minorEastAsia" w:cstheme="minorEastAsia"/>
                <w:sz w:val="24"/>
                <w:szCs w:val="24"/>
                <w:lang w:val="en-US" w:eastAsia="zh-CN"/>
              </w:rPr>
              <w:t>招标</w:t>
            </w:r>
            <w:r>
              <w:rPr>
                <w:rFonts w:hint="eastAsia" w:asciiTheme="minorEastAsia" w:hAnsiTheme="minorEastAsia" w:eastAsiaTheme="minorEastAsia" w:cstheme="minorEastAsia"/>
                <w:sz w:val="24"/>
                <w:szCs w:val="24"/>
              </w:rPr>
              <w:t>文件后及时关注云平台答疑文件获取栏目。具体相关事宜见政府采购云平台。本项目采用资格后审，请投标人仔细阅读</w:t>
            </w:r>
            <w:r>
              <w:rPr>
                <w:rFonts w:hint="eastAsia" w:asciiTheme="minorEastAsia" w:hAnsiTheme="minorEastAsia" w:eastAsiaTheme="minorEastAsia" w:cstheme="minorEastAsia"/>
                <w:sz w:val="24"/>
                <w:szCs w:val="24"/>
                <w:lang w:val="en-US" w:eastAsia="zh-CN"/>
              </w:rPr>
              <w:t>招标</w:t>
            </w:r>
            <w:r>
              <w:rPr>
                <w:rFonts w:hint="eastAsia" w:asciiTheme="minorEastAsia" w:hAnsiTheme="minorEastAsia" w:eastAsiaTheme="minorEastAsia" w:cstheme="minorEastAsia"/>
                <w:sz w:val="24"/>
                <w:szCs w:val="24"/>
              </w:rPr>
              <w:t>文件和各项要求，制作文件及相关资料过程中，若因投标人资格条件不符、提供资料不全等原因导致响应文件予以退还，责任自负。</w:t>
            </w:r>
          </w:p>
        </w:tc>
      </w:tr>
      <w:tr w14:paraId="56595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34978D0A">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28</w:t>
            </w:r>
          </w:p>
        </w:tc>
        <w:tc>
          <w:tcPr>
            <w:tcW w:w="2160" w:type="dxa"/>
            <w:tcBorders>
              <w:tl2br w:val="nil"/>
              <w:tr2bl w:val="nil"/>
            </w:tcBorders>
            <w:noWrap w:val="0"/>
            <w:vAlign w:val="center"/>
          </w:tcPr>
          <w:p w14:paraId="64DB353A">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响应文件</w:t>
            </w:r>
          </w:p>
          <w:p w14:paraId="1AF93AD8">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bidi="ar-SA"/>
              </w:rPr>
              <w:t>递交上传地址</w:t>
            </w:r>
          </w:p>
        </w:tc>
        <w:tc>
          <w:tcPr>
            <w:tcW w:w="6470" w:type="dxa"/>
            <w:tcBorders>
              <w:tl2br w:val="nil"/>
              <w:tr2bl w:val="nil"/>
            </w:tcBorders>
            <w:noWrap w:val="0"/>
            <w:vAlign w:val="center"/>
          </w:tcPr>
          <w:p w14:paraId="3A50EAD3">
            <w:pPr>
              <w:keepNext w:val="0"/>
              <w:keepLines w:val="0"/>
              <w:pageBreakBefore w:val="0"/>
              <w:widowControl w:val="0"/>
              <w:tabs>
                <w:tab w:val="left" w:pos="2448"/>
              </w:tabs>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投标人</w:t>
            </w:r>
            <w:r>
              <w:rPr>
                <w:rFonts w:hint="eastAsia" w:asciiTheme="minorEastAsia" w:hAnsiTheme="minorEastAsia" w:eastAsiaTheme="minorEastAsia" w:cstheme="minorEastAsia"/>
                <w:kern w:val="2"/>
                <w:sz w:val="24"/>
                <w:szCs w:val="24"/>
                <w:highlight w:val="none"/>
                <w:lang w:val="zh-CN" w:eastAsia="zh-CN" w:bidi="ar-SA"/>
              </w:rPr>
              <w:t>应于202</w:t>
            </w:r>
            <w:r>
              <w:rPr>
                <w:rFonts w:hint="eastAsia" w:asciiTheme="minorEastAsia" w:hAnsiTheme="minorEastAsia" w:eastAsiaTheme="minorEastAsia" w:cstheme="minorEastAsia"/>
                <w:kern w:val="2"/>
                <w:sz w:val="24"/>
                <w:szCs w:val="24"/>
                <w:highlight w:val="none"/>
                <w:lang w:val="en-US" w:eastAsia="zh-CN" w:bidi="ar-SA"/>
              </w:rPr>
              <w:t>5</w:t>
            </w:r>
            <w:r>
              <w:rPr>
                <w:rFonts w:hint="eastAsia" w:asciiTheme="minorEastAsia" w:hAnsiTheme="minorEastAsia" w:eastAsiaTheme="minorEastAsia" w:cstheme="minorEastAsia"/>
                <w:kern w:val="2"/>
                <w:sz w:val="24"/>
                <w:szCs w:val="24"/>
                <w:highlight w:val="none"/>
                <w:lang w:val="zh-CN" w:eastAsia="zh-CN" w:bidi="ar-SA"/>
              </w:rPr>
              <w:t>年</w:t>
            </w:r>
            <w:r>
              <w:rPr>
                <w:rFonts w:hint="eastAsia" w:asciiTheme="minorEastAsia" w:hAnsiTheme="minorEastAsia" w:eastAsiaTheme="minorEastAsia" w:cstheme="minorEastAsia"/>
                <w:kern w:val="2"/>
                <w:sz w:val="24"/>
                <w:szCs w:val="24"/>
                <w:highlight w:val="none"/>
                <w:lang w:val="en-US" w:eastAsia="zh-CN" w:bidi="ar-SA"/>
              </w:rPr>
              <w:t>7</w:t>
            </w:r>
            <w:r>
              <w:rPr>
                <w:rFonts w:hint="eastAsia" w:asciiTheme="minorEastAsia" w:hAnsiTheme="minorEastAsia" w:eastAsiaTheme="minorEastAsia" w:cstheme="minorEastAsia"/>
                <w:kern w:val="2"/>
                <w:sz w:val="24"/>
                <w:szCs w:val="24"/>
                <w:highlight w:val="none"/>
                <w:lang w:val="zh-CN" w:eastAsia="zh-CN" w:bidi="ar-SA"/>
              </w:rPr>
              <w:t>月</w:t>
            </w:r>
            <w:r>
              <w:rPr>
                <w:rFonts w:hint="eastAsia" w:asciiTheme="minorEastAsia" w:hAnsiTheme="minorEastAsia" w:eastAsiaTheme="minorEastAsia" w:cstheme="minorEastAsia"/>
                <w:kern w:val="2"/>
                <w:sz w:val="24"/>
                <w:szCs w:val="24"/>
                <w:highlight w:val="none"/>
                <w:lang w:val="en-US" w:eastAsia="zh-CN" w:bidi="ar-SA"/>
              </w:rPr>
              <w:t>31</w:t>
            </w:r>
            <w:r>
              <w:rPr>
                <w:rFonts w:hint="eastAsia" w:asciiTheme="minorEastAsia" w:hAnsiTheme="minorEastAsia" w:eastAsiaTheme="minorEastAsia" w:cstheme="minorEastAsia"/>
                <w:kern w:val="2"/>
                <w:sz w:val="24"/>
                <w:szCs w:val="24"/>
                <w:highlight w:val="none"/>
                <w:lang w:val="zh-CN" w:eastAsia="zh-CN" w:bidi="ar-SA"/>
              </w:rPr>
              <w:t>日</w:t>
            </w:r>
            <w:r>
              <w:rPr>
                <w:rFonts w:hint="eastAsia" w:asciiTheme="minorEastAsia" w:hAnsiTheme="minorEastAsia" w:eastAsiaTheme="minorEastAsia" w:cstheme="minorEastAsia"/>
                <w:kern w:val="2"/>
                <w:sz w:val="24"/>
                <w:szCs w:val="24"/>
                <w:highlight w:val="none"/>
                <w:lang w:val="en-US" w:eastAsia="zh-CN" w:bidi="ar-SA"/>
              </w:rPr>
              <w:t>10</w:t>
            </w:r>
            <w:r>
              <w:rPr>
                <w:rFonts w:hint="eastAsia" w:asciiTheme="minorEastAsia" w:hAnsiTheme="minorEastAsia" w:eastAsiaTheme="minorEastAsia" w:cstheme="minorEastAsia"/>
                <w:kern w:val="2"/>
                <w:sz w:val="24"/>
                <w:szCs w:val="24"/>
                <w:highlight w:val="none"/>
                <w:lang w:val="zh-CN" w:eastAsia="zh-CN" w:bidi="ar-SA"/>
              </w:rPr>
              <w:t>时</w:t>
            </w:r>
            <w:r>
              <w:rPr>
                <w:rFonts w:hint="eastAsia" w:asciiTheme="minorEastAsia" w:hAnsiTheme="minorEastAsia" w:eastAsiaTheme="minorEastAsia" w:cstheme="minorEastAsia"/>
                <w:kern w:val="2"/>
                <w:sz w:val="24"/>
                <w:szCs w:val="24"/>
                <w:lang w:val="zh-CN" w:eastAsia="zh-CN" w:bidi="ar-SA"/>
              </w:rPr>
              <w:t>30 分之前将电子投标文件上传到“政采云”平台。应按照本项目采购文件和政采云平台的要求编制、加密传输响应文件。供应商在使用系统进行投标的过程中遇到涉及平台使用的任何问题，可致电政采云平台技术支持热线咨询，联系方式：95763。</w:t>
            </w:r>
          </w:p>
          <w:p w14:paraId="402048F0">
            <w:pPr>
              <w:keepNext w:val="0"/>
              <w:keepLines w:val="0"/>
              <w:pageBreakBefore w:val="0"/>
              <w:widowControl w:val="0"/>
              <w:tabs>
                <w:tab w:val="left" w:pos="2448"/>
              </w:tabs>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政采云线上开标大厅（https://www.zcygov.cn在线投标）本次招标采取网上开标方式，所有投标人可准时进入政采云电子招标投标交易平台开标大厅参加在线开标仪式，不组织线下开标仪式。</w:t>
            </w:r>
          </w:p>
          <w:p w14:paraId="56598BB7">
            <w:pPr>
              <w:keepNext w:val="0"/>
              <w:keepLines w:val="0"/>
              <w:pageBreakBefore w:val="0"/>
              <w:widowControl w:val="0"/>
              <w:tabs>
                <w:tab w:val="left" w:pos="2448"/>
              </w:tabs>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b/>
                <w:bCs/>
                <w:kern w:val="2"/>
                <w:sz w:val="24"/>
                <w:szCs w:val="24"/>
                <w:lang w:val="zh-CN" w:eastAsia="zh-CN" w:bidi="ar-SA"/>
              </w:rPr>
            </w:pPr>
            <w:r>
              <w:rPr>
                <w:rFonts w:hint="eastAsia" w:asciiTheme="minorEastAsia" w:hAnsiTheme="minorEastAsia" w:eastAsiaTheme="minorEastAsia" w:cstheme="minorEastAsia"/>
                <w:b/>
                <w:bCs/>
                <w:kern w:val="2"/>
                <w:sz w:val="24"/>
                <w:szCs w:val="24"/>
                <w:lang w:val="zh-CN" w:eastAsia="zh-CN" w:bidi="ar-SA"/>
              </w:rPr>
              <w:t>（注：采用不见面方式开标的，开标结束后，所有投标人须将投标文件（须与上传政采云投标文件一致）电子版U盘一份及纸质版正本一份，副本贰分，盖章处按要求盖章或签字，</w:t>
            </w:r>
            <w:r>
              <w:rPr>
                <w:rFonts w:hint="eastAsia" w:asciiTheme="minorEastAsia" w:hAnsiTheme="minorEastAsia" w:eastAsiaTheme="minorEastAsia" w:cstheme="minorEastAsia"/>
                <w:b/>
                <w:bCs/>
                <w:kern w:val="2"/>
                <w:sz w:val="24"/>
                <w:szCs w:val="24"/>
                <w:lang w:val="en-US" w:eastAsia="zh-CN" w:bidi="ar-SA"/>
              </w:rPr>
              <w:t>现场</w:t>
            </w:r>
            <w:r>
              <w:rPr>
                <w:rFonts w:hint="eastAsia" w:asciiTheme="minorEastAsia" w:hAnsiTheme="minorEastAsia" w:eastAsiaTheme="minorEastAsia" w:cstheme="minorEastAsia"/>
                <w:b/>
                <w:bCs/>
                <w:kern w:val="2"/>
                <w:sz w:val="24"/>
                <w:szCs w:val="24"/>
                <w:lang w:val="zh-CN" w:eastAsia="zh-CN" w:bidi="ar-SA"/>
              </w:rPr>
              <w:t>递交</w:t>
            </w:r>
            <w:r>
              <w:rPr>
                <w:rFonts w:hint="eastAsia" w:asciiTheme="minorEastAsia" w:hAnsiTheme="minorEastAsia" w:eastAsiaTheme="minorEastAsia" w:cstheme="minorEastAsia"/>
                <w:b/>
                <w:bCs/>
                <w:kern w:val="2"/>
                <w:sz w:val="24"/>
                <w:szCs w:val="24"/>
                <w:lang w:val="en-US" w:eastAsia="zh-CN" w:bidi="ar-SA"/>
              </w:rPr>
              <w:t>或邮寄</w:t>
            </w:r>
            <w:r>
              <w:rPr>
                <w:rFonts w:hint="eastAsia" w:asciiTheme="minorEastAsia" w:hAnsiTheme="minorEastAsia" w:eastAsiaTheme="minorEastAsia" w:cstheme="minorEastAsia"/>
                <w:b/>
                <w:bCs/>
                <w:kern w:val="2"/>
                <w:sz w:val="24"/>
                <w:szCs w:val="24"/>
                <w:lang w:val="zh-CN" w:eastAsia="zh-CN" w:bidi="ar-SA"/>
              </w:rPr>
              <w:t>至招标代理公司。</w:t>
            </w:r>
          </w:p>
          <w:p w14:paraId="46495BC3">
            <w:pPr>
              <w:keepNext w:val="0"/>
              <w:keepLines w:val="0"/>
              <w:pageBreakBefore w:val="0"/>
              <w:widowControl w:val="0"/>
              <w:tabs>
                <w:tab w:val="left" w:pos="2448"/>
              </w:tabs>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b/>
                <w:bCs/>
                <w:kern w:val="2"/>
                <w:sz w:val="24"/>
                <w:szCs w:val="24"/>
                <w:lang w:val="zh-CN" w:eastAsia="zh-CN" w:bidi="ar-SA"/>
              </w:rPr>
            </w:pPr>
            <w:r>
              <w:rPr>
                <w:rFonts w:hint="eastAsia" w:asciiTheme="minorEastAsia" w:hAnsiTheme="minorEastAsia" w:eastAsiaTheme="minorEastAsia" w:cstheme="minorEastAsia"/>
                <w:b w:val="0"/>
                <w:bCs w:val="0"/>
                <w:kern w:val="2"/>
                <w:sz w:val="24"/>
                <w:szCs w:val="24"/>
                <w:lang w:val="zh-CN" w:eastAsia="zh-CN" w:bidi="ar-SA"/>
              </w:rPr>
              <w:t>联系人：</w:t>
            </w:r>
            <w:r>
              <w:rPr>
                <w:rFonts w:hint="eastAsia" w:asciiTheme="minorEastAsia" w:hAnsiTheme="minorEastAsia" w:eastAsiaTheme="minorEastAsia" w:cstheme="minorEastAsia"/>
                <w:b w:val="0"/>
                <w:bCs w:val="0"/>
                <w:kern w:val="2"/>
                <w:sz w:val="24"/>
                <w:szCs w:val="24"/>
                <w:lang w:val="en-US" w:eastAsia="zh-CN" w:bidi="ar-SA"/>
              </w:rPr>
              <w:t>李文</w:t>
            </w:r>
            <w:r>
              <w:rPr>
                <w:rFonts w:hint="eastAsia" w:asciiTheme="minorEastAsia" w:hAnsiTheme="minorEastAsia" w:eastAsiaTheme="minorEastAsia" w:cstheme="minorEastAsia"/>
                <w:b w:val="0"/>
                <w:bCs w:val="0"/>
                <w:kern w:val="2"/>
                <w:sz w:val="24"/>
                <w:szCs w:val="24"/>
                <w:lang w:val="zh-CN" w:eastAsia="zh-CN" w:bidi="ar-SA"/>
              </w:rPr>
              <w:t xml:space="preserve"> </w:t>
            </w:r>
            <w:r>
              <w:rPr>
                <w:rFonts w:hint="eastAsia" w:asciiTheme="minorEastAsia" w:hAnsiTheme="minorEastAsia" w:eastAsiaTheme="minorEastAsia" w:cstheme="minorEastAsia"/>
                <w:b/>
                <w:bCs/>
                <w:kern w:val="2"/>
                <w:sz w:val="24"/>
                <w:szCs w:val="24"/>
                <w:lang w:val="zh-CN" w:eastAsia="zh-CN" w:bidi="ar-SA"/>
              </w:rPr>
              <w:t xml:space="preserve"> </w:t>
            </w:r>
          </w:p>
          <w:p w14:paraId="5A134FF6">
            <w:pPr>
              <w:keepNext w:val="0"/>
              <w:keepLines w:val="0"/>
              <w:pageBreakBefore w:val="0"/>
              <w:widowControl w:val="0"/>
              <w:tabs>
                <w:tab w:val="left" w:pos="2448"/>
              </w:tabs>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zh-CN" w:eastAsia="zh-CN" w:bidi="ar-SA"/>
              </w:rPr>
              <w:t>联系电话：</w:t>
            </w:r>
            <w:r>
              <w:rPr>
                <w:rFonts w:hint="eastAsia" w:asciiTheme="minorEastAsia" w:hAnsiTheme="minorEastAsia" w:eastAsiaTheme="minorEastAsia" w:cstheme="minorEastAsia"/>
                <w:kern w:val="2"/>
                <w:sz w:val="24"/>
                <w:szCs w:val="24"/>
                <w:lang w:val="en-US" w:eastAsia="zh-CN" w:bidi="ar-SA"/>
              </w:rPr>
              <w:t>15209960114</w:t>
            </w:r>
          </w:p>
          <w:p w14:paraId="04FB9D4C">
            <w:pPr>
              <w:keepNext w:val="0"/>
              <w:keepLines w:val="0"/>
              <w:pageBreakBefore w:val="0"/>
              <w:widowControl w:val="0"/>
              <w:tabs>
                <w:tab w:val="left" w:pos="2448"/>
              </w:tabs>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zh-CN" w:eastAsia="zh-CN" w:bidi="ar-SA"/>
              </w:rPr>
              <w:t>地址：</w:t>
            </w:r>
            <w:r>
              <w:rPr>
                <w:rFonts w:hint="eastAsia" w:asciiTheme="minorEastAsia" w:hAnsiTheme="minorEastAsia" w:eastAsiaTheme="minorEastAsia" w:cstheme="minorEastAsia"/>
                <w:kern w:val="2"/>
                <w:sz w:val="24"/>
                <w:szCs w:val="24"/>
                <w:lang w:val="en-US" w:eastAsia="zh-CN" w:bidi="ar-SA"/>
              </w:rPr>
              <w:t>库尔勒市铁克其路冠农汇景台门面房3栋3层</w:t>
            </w:r>
          </w:p>
          <w:p w14:paraId="72BC0B25">
            <w:pPr>
              <w:pStyle w:val="22"/>
              <w:spacing w:line="360" w:lineRule="auto"/>
              <w:ind w:left="0" w:leftChars="0" w:firstLine="0" w:firstLineChars="0"/>
              <w:jc w:val="both"/>
              <w:rPr>
                <w:rFonts w:hint="default"/>
                <w:lang w:val="en-US" w:eastAsia="zh-CN"/>
              </w:rPr>
            </w:pPr>
            <w:r>
              <w:rPr>
                <w:rFonts w:hint="eastAsia" w:asciiTheme="minorEastAsia" w:hAnsiTheme="minorEastAsia" w:eastAsiaTheme="minorEastAsia" w:cstheme="minorEastAsia"/>
                <w:b/>
                <w:bCs/>
                <w:kern w:val="2"/>
                <w:sz w:val="24"/>
                <w:szCs w:val="24"/>
                <w:lang w:val="zh-CN" w:eastAsia="zh-CN" w:bidi="ar-SA"/>
              </w:rPr>
              <w:t>纸质版</w:t>
            </w:r>
            <w:r>
              <w:rPr>
                <w:rFonts w:hint="eastAsia" w:asciiTheme="minorEastAsia" w:hAnsiTheme="minorEastAsia" w:eastAsiaTheme="minorEastAsia" w:cstheme="minorEastAsia"/>
                <w:b/>
                <w:bCs/>
                <w:kern w:val="2"/>
                <w:sz w:val="24"/>
                <w:szCs w:val="24"/>
                <w:lang w:val="en-US" w:eastAsia="zh-CN" w:bidi="ar-SA"/>
              </w:rPr>
              <w:t>投标文件封装要求：</w:t>
            </w:r>
            <w:r>
              <w:rPr>
                <w:rFonts w:hint="eastAsia" w:asciiTheme="minorEastAsia" w:hAnsiTheme="minorEastAsia" w:eastAsiaTheme="minorEastAsia" w:cstheme="minorEastAsia"/>
                <w:b w:val="0"/>
                <w:bCs w:val="0"/>
                <w:kern w:val="2"/>
                <w:sz w:val="24"/>
                <w:szCs w:val="24"/>
                <w:lang w:val="en-US" w:eastAsia="zh-CN" w:bidi="ar-SA"/>
              </w:rPr>
              <w:t>正、副本采用左侧胶装方式装订，装订应牢固、不易拆散和换页，不得采用活页夹装订，否则视为无效标处理。</w:t>
            </w:r>
          </w:p>
        </w:tc>
      </w:tr>
      <w:tr w14:paraId="57942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1120" w:type="dxa"/>
            <w:tcBorders>
              <w:tl2br w:val="nil"/>
              <w:tr2bl w:val="nil"/>
            </w:tcBorders>
            <w:noWrap w:val="0"/>
            <w:vAlign w:val="center"/>
          </w:tcPr>
          <w:p w14:paraId="3F25A840">
            <w:pPr>
              <w:pStyle w:val="41"/>
              <w:shd w:val="clear" w:fill="FFFFFF" w:themeFill="background1"/>
              <w:spacing w:before="74" w:line="360" w:lineRule="auto"/>
              <w:ind w:left="42" w:leftChars="20" w:right="42" w:rightChars="20"/>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29</w:t>
            </w:r>
          </w:p>
        </w:tc>
        <w:tc>
          <w:tcPr>
            <w:tcW w:w="2160" w:type="dxa"/>
            <w:tcBorders>
              <w:tl2br w:val="nil"/>
              <w:tr2bl w:val="nil"/>
            </w:tcBorders>
            <w:noWrap w:val="0"/>
            <w:vAlign w:val="center"/>
          </w:tcPr>
          <w:p w14:paraId="022DA874">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投标截止时间</w:t>
            </w:r>
          </w:p>
        </w:tc>
        <w:tc>
          <w:tcPr>
            <w:tcW w:w="6470" w:type="dxa"/>
            <w:tcBorders>
              <w:tl2br w:val="nil"/>
              <w:tr2bl w:val="nil"/>
            </w:tcBorders>
            <w:noWrap w:val="0"/>
            <w:vAlign w:val="center"/>
          </w:tcPr>
          <w:p w14:paraId="7A25C60E">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2025年07月31日 10:30</w:t>
            </w:r>
            <w:r>
              <w:rPr>
                <w:rFonts w:hint="eastAsia" w:asciiTheme="minorEastAsia" w:hAnsiTheme="minorEastAsia" w:eastAsiaTheme="minorEastAsia" w:cstheme="minorEastAsia"/>
                <w:color w:val="auto"/>
                <w:kern w:val="2"/>
                <w:sz w:val="24"/>
                <w:szCs w:val="24"/>
                <w:highlight w:val="none"/>
                <w:lang w:val="en-US" w:eastAsia="zh-CN" w:bidi="ar-SA"/>
              </w:rPr>
              <w:t>（北京时间）供应商应在截止时间前通过政采云电子招标投标交易平台递交电子响应文件；投标截止时间前未完成响应文件传输的，视为撤回响应文件。供应商在使用系统进行投标的过程中遇到涉及平台使用的任何问题，可致电政采云平台技术支持热线咨询，联系方式：95763。</w:t>
            </w:r>
          </w:p>
        </w:tc>
      </w:tr>
      <w:tr w14:paraId="312EE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7F296483">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30</w:t>
            </w:r>
          </w:p>
        </w:tc>
        <w:tc>
          <w:tcPr>
            <w:tcW w:w="2160" w:type="dxa"/>
            <w:tcBorders>
              <w:tl2br w:val="nil"/>
              <w:tr2bl w:val="nil"/>
            </w:tcBorders>
            <w:noWrap w:val="0"/>
            <w:vAlign w:val="center"/>
          </w:tcPr>
          <w:p w14:paraId="2AC2CFDC">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递交投标文件</w:t>
            </w:r>
          </w:p>
        </w:tc>
        <w:tc>
          <w:tcPr>
            <w:tcW w:w="6470" w:type="dxa"/>
            <w:tcBorders>
              <w:tl2br w:val="nil"/>
              <w:tr2bl w:val="nil"/>
            </w:tcBorders>
            <w:noWrap w:val="0"/>
            <w:vAlign w:val="center"/>
          </w:tcPr>
          <w:p w14:paraId="43C6F48C">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政采云线上开标大厅（https://www.zcygov.cn在线投标）</w:t>
            </w:r>
          </w:p>
          <w:p w14:paraId="18A021D8">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注：供应商需将加密的投标文件上传至政采云平台，到达开标时间后，解密投标文件。</w:t>
            </w:r>
          </w:p>
        </w:tc>
      </w:tr>
      <w:tr w14:paraId="4BB5E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noWrap w:val="0"/>
            <w:vAlign w:val="center"/>
          </w:tcPr>
          <w:p w14:paraId="539A6CD9">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31</w:t>
            </w:r>
          </w:p>
        </w:tc>
        <w:tc>
          <w:tcPr>
            <w:tcW w:w="2160" w:type="dxa"/>
            <w:tcBorders>
              <w:tl2br w:val="nil"/>
              <w:tr2bl w:val="nil"/>
            </w:tcBorders>
            <w:noWrap w:val="0"/>
            <w:vAlign w:val="center"/>
          </w:tcPr>
          <w:p w14:paraId="08B41CA1">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6470" w:type="dxa"/>
            <w:tcBorders>
              <w:tl2br w:val="nil"/>
              <w:tr2bl w:val="nil"/>
            </w:tcBorders>
            <w:noWrap w:val="0"/>
            <w:vAlign w:val="center"/>
          </w:tcPr>
          <w:p w14:paraId="70D6A94B">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2025年07月31日 10:30</w:t>
            </w:r>
            <w:r>
              <w:rPr>
                <w:rFonts w:hint="eastAsia" w:asciiTheme="minorEastAsia" w:hAnsiTheme="minorEastAsia" w:eastAsiaTheme="minorEastAsia" w:cstheme="minorEastAsia"/>
                <w:b w:val="0"/>
                <w:bCs/>
                <w:color w:val="auto"/>
                <w:kern w:val="2"/>
                <w:sz w:val="24"/>
                <w:szCs w:val="24"/>
                <w:highlight w:val="none"/>
                <w:lang w:val="en-US" w:eastAsia="zh-CN" w:bidi="ar-SA"/>
              </w:rPr>
              <w:t>（北京时间），开标后30分钟内供应商需在线解密投标文件。（投标人若未在规定时间内完成，所造成的一切后果由投标人自行承担）</w:t>
            </w:r>
          </w:p>
        </w:tc>
      </w:tr>
      <w:tr w14:paraId="54BCA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noWrap w:val="0"/>
            <w:vAlign w:val="center"/>
          </w:tcPr>
          <w:p w14:paraId="786B5B25">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2160" w:type="dxa"/>
            <w:tcBorders>
              <w:tl2br w:val="nil"/>
              <w:tr2bl w:val="nil"/>
            </w:tcBorders>
            <w:noWrap w:val="0"/>
            <w:vAlign w:val="center"/>
          </w:tcPr>
          <w:p w14:paraId="630FC083">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投标人报价确认报价签字时长</w:t>
            </w:r>
          </w:p>
        </w:tc>
        <w:tc>
          <w:tcPr>
            <w:tcW w:w="6470" w:type="dxa"/>
            <w:tcBorders>
              <w:tl2br w:val="nil"/>
              <w:tr2bl w:val="nil"/>
            </w:tcBorders>
            <w:noWrap w:val="0"/>
            <w:vAlign w:val="center"/>
          </w:tcPr>
          <w:p w14:paraId="6E1D0331">
            <w:pPr>
              <w:pStyle w:val="41"/>
              <w:shd w:val="clear" w:fill="FFFFFF" w:themeFill="background1"/>
              <w:spacing w:before="74" w:line="360" w:lineRule="auto"/>
              <w:ind w:left="42" w:leftChars="20" w:right="42" w:rightChars="2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30分钟（投标人若未在规定时间内完成，所造成的一切后果由投标人自行承担）</w:t>
            </w:r>
          </w:p>
        </w:tc>
      </w:tr>
      <w:tr w14:paraId="7B4CC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noWrap w:val="0"/>
            <w:vAlign w:val="center"/>
          </w:tcPr>
          <w:p w14:paraId="5133801E">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32</w:t>
            </w:r>
          </w:p>
        </w:tc>
        <w:tc>
          <w:tcPr>
            <w:tcW w:w="2160" w:type="dxa"/>
            <w:tcBorders>
              <w:tl2br w:val="nil"/>
              <w:tr2bl w:val="nil"/>
            </w:tcBorders>
            <w:noWrap w:val="0"/>
            <w:vAlign w:val="center"/>
          </w:tcPr>
          <w:p w14:paraId="49366EA5">
            <w:pPr>
              <w:shd w:val="clear" w:fill="FFFFFF" w:themeFill="background1"/>
              <w:bidi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通讯联系</w:t>
            </w:r>
          </w:p>
        </w:tc>
        <w:tc>
          <w:tcPr>
            <w:tcW w:w="6470" w:type="dxa"/>
            <w:tcBorders>
              <w:tl2br w:val="nil"/>
              <w:tr2bl w:val="nil"/>
            </w:tcBorders>
            <w:noWrap w:val="0"/>
            <w:vAlign w:val="center"/>
          </w:tcPr>
          <w:p w14:paraId="30F1DCF4">
            <w:pPr>
              <w:shd w:val="clear" w:fill="FFFFFF" w:themeFill="background1"/>
              <w:bidi w:val="0"/>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供应商自递交投标文件之时起至招标结束止，应确保其提供的联系方式一直保持有效和畅通，以保证在招标期间需进行往来函件（投标文件的澄清等）或与招标有关事宜能及时通知或发送给供应商，并能及时反馈信息。否则，招标人（或采购代理机构）不承担由此（提供的联系方式无效或通讯不畅、无法联系等）引起的一切后果。</w:t>
            </w:r>
          </w:p>
        </w:tc>
      </w:tr>
      <w:tr w14:paraId="22309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noWrap w:val="0"/>
            <w:vAlign w:val="center"/>
          </w:tcPr>
          <w:p w14:paraId="3E1A2910">
            <w:pPr>
              <w:pStyle w:val="41"/>
              <w:shd w:val="clear" w:fill="FFFFFF" w:themeFill="background1"/>
              <w:spacing w:before="74" w:line="360" w:lineRule="auto"/>
              <w:ind w:left="42" w:leftChars="20" w:right="42" w:rightChars="2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33</w:t>
            </w:r>
          </w:p>
        </w:tc>
        <w:tc>
          <w:tcPr>
            <w:tcW w:w="2160" w:type="dxa"/>
            <w:vAlign w:val="center"/>
          </w:tcPr>
          <w:p w14:paraId="2F0F718C">
            <w:pPr>
              <w:keepNext w:val="0"/>
              <w:keepLines w:val="0"/>
              <w:widowControl/>
              <w:suppressLineNumbers w:val="0"/>
              <w:shd w:val="clear" w:fill="FFFFFF" w:themeFill="background1"/>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成交结果公示媒体</w:t>
            </w:r>
          </w:p>
        </w:tc>
        <w:tc>
          <w:tcPr>
            <w:tcW w:w="6470" w:type="dxa"/>
            <w:vAlign w:val="center"/>
          </w:tcPr>
          <w:p w14:paraId="4D78A3F8">
            <w:pPr>
              <w:keepNext w:val="0"/>
              <w:keepLines w:val="0"/>
              <w:widowControl/>
              <w:suppressLineNumbers w:val="0"/>
              <w:shd w:val="clear" w:fill="FFFFFF" w:themeFill="background1"/>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在成交通知书发出前，招标人将成交候选人的情况在新疆政府采购网上予以公示，公示期不少于1个工作日。</w:t>
            </w:r>
          </w:p>
        </w:tc>
      </w:tr>
      <w:tr w14:paraId="456A2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noWrap w:val="0"/>
            <w:vAlign w:val="center"/>
          </w:tcPr>
          <w:p w14:paraId="7595FA72">
            <w:pPr>
              <w:pStyle w:val="41"/>
              <w:shd w:val="clear" w:fill="FFFFFF" w:themeFill="background1"/>
              <w:spacing w:before="74" w:line="360" w:lineRule="auto"/>
              <w:ind w:left="42" w:leftChars="20" w:right="42" w:rightChars="2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34</w:t>
            </w:r>
          </w:p>
        </w:tc>
        <w:tc>
          <w:tcPr>
            <w:tcW w:w="2160" w:type="dxa"/>
            <w:vAlign w:val="center"/>
          </w:tcPr>
          <w:p w14:paraId="7EA79A85">
            <w:pPr>
              <w:keepNext w:val="0"/>
              <w:keepLines w:val="0"/>
              <w:widowControl/>
              <w:suppressLineNumbers w:val="0"/>
              <w:shd w:val="clear" w:fill="FFFFFF" w:themeFill="background1"/>
              <w:spacing w:line="360" w:lineRule="auto"/>
              <w:jc w:val="lef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投标单位CA申领</w:t>
            </w:r>
          </w:p>
        </w:tc>
        <w:tc>
          <w:tcPr>
            <w:tcW w:w="6470" w:type="dxa"/>
            <w:vAlign w:val="center"/>
          </w:tcPr>
          <w:p w14:paraId="3617EF67">
            <w:pPr>
              <w:keepNext w:val="0"/>
              <w:keepLines w:val="0"/>
              <w:widowControl/>
              <w:suppressLineNumbers w:val="0"/>
              <w:shd w:val="clear" w:fill="FFFFFF" w:themeFill="background1"/>
              <w:spacing w:line="360" w:lineRule="auto"/>
              <w:jc w:val="left"/>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访问新疆数字证书认证中心官方网站（https://www.xjca.com.cn/）或下载“新疆政务通”APP自行进行申领。如需咨询，请联系新疆CA服务热线0991-2819290</w:t>
            </w:r>
          </w:p>
        </w:tc>
      </w:tr>
      <w:tr w14:paraId="3CE94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0CADF8CA">
            <w:pPr>
              <w:pStyle w:val="41"/>
              <w:shd w:val="clear" w:fill="FFFFFF" w:themeFill="background1"/>
              <w:spacing w:before="74" w:line="360" w:lineRule="auto"/>
              <w:ind w:left="42" w:leftChars="20" w:right="42" w:rightChars="2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35</w:t>
            </w:r>
          </w:p>
        </w:tc>
        <w:tc>
          <w:tcPr>
            <w:tcW w:w="2160" w:type="dxa"/>
            <w:vAlign w:val="center"/>
          </w:tcPr>
          <w:p w14:paraId="0DC1F151">
            <w:pPr>
              <w:shd w:val="clear" w:fill="FFFFFF" w:themeFill="background1"/>
              <w:bidi w:val="0"/>
              <w:spacing w:line="360" w:lineRule="auto"/>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政府采购政策支持</w:t>
            </w:r>
          </w:p>
        </w:tc>
        <w:tc>
          <w:tcPr>
            <w:tcW w:w="6470" w:type="dxa"/>
            <w:vAlign w:val="center"/>
          </w:tcPr>
          <w:p w14:paraId="488573B2">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（1）财政部、国家发展改革委、生态环境部、市场监管总局《关于调整优化节能产品、环境标志产品政府采购执行机制的通知》（财库[2019]9 号文）；</w:t>
            </w:r>
          </w:p>
          <w:p w14:paraId="602C9E98">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（2）财政部、生态环境部《关于印发环境标志产品政府采购品目清单的通知》（财库[2019]18 号文）；</w:t>
            </w:r>
          </w:p>
          <w:p w14:paraId="08C13BE6">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（3）财政部、发展改革委《关于印发节能产品政府采购品目清单的通知》（财库[2019]19 号文）；</w:t>
            </w:r>
          </w:p>
          <w:p w14:paraId="137C83E0">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（4）市场监管总局《市场监管总局关于发布参与实施政府采购节能产品、环境标志产品认证机构名录的公告》（2019 年第 16 号）；</w:t>
            </w:r>
          </w:p>
          <w:p w14:paraId="3C9B6112">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（5）财政部、工业和信息化部《关于印发《政府采购促进中小企业展暂行办法》的通知》（财库[2020]46号文）；</w:t>
            </w:r>
          </w:p>
          <w:p w14:paraId="0824EF2E">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（6）财政部、民政部、中国残疾人联合会《关于促进残疾人就业政府采购政策的通知》（财库[2017]141 号）；</w:t>
            </w:r>
          </w:p>
          <w:p w14:paraId="52B94AE6">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（7）财政部、司法部《关于政府采购支持监狱企业发展有关问题的通知》（财库[2014]68 号文）。（中小企业优惠、监狱企业、节能产品、环境标志产品等）。</w:t>
            </w:r>
          </w:p>
          <w:p w14:paraId="1E9E1942">
            <w:pPr>
              <w:pStyle w:val="26"/>
              <w:keepNext w:val="0"/>
              <w:keepLines w:val="0"/>
              <w:widowControl/>
              <w:suppressLineNumbers w:val="0"/>
              <w:shd w:val="clear" w:fill="FFFFFF" w:themeFill="background1"/>
              <w:spacing w:before="60" w:beforeAutospacing="0" w:after="60" w:afterAutospacing="0" w:line="360" w:lineRule="auto"/>
              <w:ind w:left="0" w:right="0"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（8）扶持中小企业政策：</w:t>
            </w:r>
            <w:r>
              <w:rPr>
                <w:rFonts w:hint="eastAsia" w:asciiTheme="minorEastAsia" w:hAnsiTheme="minorEastAsia" w:eastAsiaTheme="minorEastAsia" w:cstheme="minorEastAsia"/>
                <w:b/>
                <w:bCs/>
                <w:color w:val="auto"/>
                <w:sz w:val="24"/>
                <w:szCs w:val="24"/>
                <w:highlight w:val="none"/>
              </w:rPr>
              <w:t>本项目为专门面向中小企业</w:t>
            </w:r>
            <w:r>
              <w:rPr>
                <w:rFonts w:hint="eastAsia" w:asciiTheme="minorEastAsia" w:hAnsiTheme="minorEastAsia" w:eastAsiaTheme="minorEastAsia" w:cstheme="minorEastAsia"/>
                <w:color w:val="auto"/>
                <w:sz w:val="24"/>
                <w:szCs w:val="24"/>
                <w:highlight w:val="none"/>
              </w:rPr>
              <w:t>（含中型、小型、微型企业）采购项目。中小企业是工业和信息化部、国家统计局、发展改革委、财政部《中小企业划型标准规定》（工信部联企业〔2011〕300号）中划分的中、小、微型企业。</w:t>
            </w:r>
            <w:r>
              <w:rPr>
                <w:rFonts w:hint="eastAsia" w:ascii="宋体" w:hAnsi="宋体" w:eastAsia="宋体" w:cs="宋体"/>
                <w:color w:val="auto"/>
                <w:sz w:val="24"/>
                <w:szCs w:val="24"/>
                <w:highlight w:val="none"/>
              </w:rPr>
              <w:t>评审时小型和微型企业产品享受10%的价格折扣。监狱企业、残疾人福利组织视同小型、微型企业。</w:t>
            </w:r>
          </w:p>
          <w:p w14:paraId="1CABDEEA">
            <w:pPr>
              <w:pStyle w:val="37"/>
              <w:shd w:val="clear" w:fill="FFFFFF" w:themeFill="background1"/>
              <w:spacing w:line="360" w:lineRule="auto"/>
              <w:ind w:left="0" w:leftChars="0" w:firstLine="0" w:firstLineChars="0"/>
              <w:rPr>
                <w:rFonts w:hint="eastAsia" w:asciiTheme="minorEastAsia" w:hAnsiTheme="minorEastAsia" w:eastAsiaTheme="minorEastAsia" w:cstheme="minorEastAsia"/>
                <w:b w:val="0"/>
                <w:bCs w:val="0"/>
                <w:color w:val="auto"/>
                <w:sz w:val="24"/>
                <w:szCs w:val="24"/>
                <w:highlight w:val="green"/>
                <w:lang w:val="en-US" w:eastAsia="zh-CN"/>
              </w:rPr>
            </w:pPr>
            <w:r>
              <w:rPr>
                <w:rFonts w:hint="eastAsia" w:asciiTheme="minorEastAsia" w:hAnsiTheme="minorEastAsia" w:eastAsiaTheme="minorEastAsia" w:cstheme="minorEastAsia"/>
                <w:color w:val="auto"/>
                <w:sz w:val="24"/>
                <w:szCs w:val="24"/>
                <w:highlight w:val="none"/>
              </w:rPr>
              <w:t>（9）《关于运用政府采购政策支持脱贫攻坚的通知》（财库【2019】27号文）。</w:t>
            </w:r>
          </w:p>
        </w:tc>
      </w:tr>
      <w:tr w14:paraId="58E83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1A23E085">
            <w:pPr>
              <w:pStyle w:val="41"/>
              <w:shd w:val="clear" w:fill="FFFFFF" w:themeFill="background1"/>
              <w:spacing w:before="74" w:line="360" w:lineRule="auto"/>
              <w:ind w:left="42" w:leftChars="20" w:right="42" w:rightChars="2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376</w:t>
            </w:r>
          </w:p>
        </w:tc>
        <w:tc>
          <w:tcPr>
            <w:tcW w:w="2160" w:type="dxa"/>
            <w:vAlign w:val="center"/>
          </w:tcPr>
          <w:p w14:paraId="348DA5F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inorEastAsia" w:hAnsiTheme="minorEastAsia" w:eastAsiaTheme="minorEastAsia" w:cstheme="minorEastAsia"/>
                <w:b w:val="0"/>
                <w:bCs w:val="0"/>
                <w:color w:val="auto"/>
                <w:sz w:val="24"/>
                <w:szCs w:val="24"/>
                <w:highlight w:val="green"/>
                <w:lang w:val="en-US" w:eastAsia="zh-CN"/>
              </w:rPr>
            </w:pPr>
            <w:r>
              <w:rPr>
                <w:rFonts w:hint="eastAsia" w:asciiTheme="minorEastAsia" w:hAnsiTheme="minorEastAsia" w:eastAsiaTheme="minorEastAsia" w:cstheme="minorEastAsia"/>
                <w:color w:val="auto"/>
                <w:sz w:val="24"/>
                <w:szCs w:val="24"/>
                <w:highlight w:val="none"/>
              </w:rPr>
              <w:t>分段质疑</w:t>
            </w:r>
          </w:p>
        </w:tc>
        <w:tc>
          <w:tcPr>
            <w:tcW w:w="6470" w:type="dxa"/>
            <w:vAlign w:val="center"/>
          </w:tcPr>
          <w:p w14:paraId="63E3785D">
            <w:pPr>
              <w:pStyle w:val="87"/>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（1）供应商对招标文件有异议的，应在收到采购文件之日或者采购文件公告期限届满之日内提出；</w:t>
            </w:r>
          </w:p>
          <w:p w14:paraId="22AC77F9">
            <w:pPr>
              <w:pStyle w:val="87"/>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（2）供应商对开标有异议的，应在开标现场提出；</w:t>
            </w:r>
          </w:p>
          <w:p w14:paraId="1FD0152A">
            <w:pPr>
              <w:pStyle w:val="87"/>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（3）供应商对评标结果有异议的，应在中标候选人公示期间提出。</w:t>
            </w:r>
          </w:p>
        </w:tc>
      </w:tr>
      <w:tr w14:paraId="36B3A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0BED2784">
            <w:pPr>
              <w:pStyle w:val="41"/>
              <w:shd w:val="clear" w:fill="FFFFFF" w:themeFill="background1"/>
              <w:spacing w:before="74" w:line="360" w:lineRule="auto"/>
              <w:ind w:left="42" w:leftChars="20" w:right="42" w:rightChars="2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37</w:t>
            </w:r>
          </w:p>
        </w:tc>
        <w:tc>
          <w:tcPr>
            <w:tcW w:w="2160" w:type="dxa"/>
            <w:vAlign w:val="center"/>
          </w:tcPr>
          <w:p w14:paraId="4205CF8F">
            <w:pPr>
              <w:pStyle w:val="41"/>
              <w:keepNext w:val="0"/>
              <w:keepLines w:val="0"/>
              <w:suppressLineNumbers w:val="0"/>
              <w:spacing w:before="21"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评审小组</w:t>
            </w:r>
          </w:p>
          <w:p w14:paraId="4E166823">
            <w:pPr>
              <w:pStyle w:val="41"/>
              <w:keepNext w:val="0"/>
              <w:keepLines w:val="0"/>
              <w:suppressLineNumbers w:val="0"/>
              <w:spacing w:before="21" w:beforeAutospacing="0" w:after="0" w:afterAutospacing="0" w:line="360" w:lineRule="auto"/>
              <w:ind w:left="0" w:leftChars="0" w:right="0" w:rightChars="0"/>
              <w:jc w:val="center"/>
              <w:rPr>
                <w:rFonts w:hint="eastAsia" w:asciiTheme="minorEastAsia" w:hAnsiTheme="minorEastAsia" w:eastAsiaTheme="minorEastAsia" w:cstheme="minorEastAsia"/>
                <w:b w:val="0"/>
                <w:bCs w:val="0"/>
                <w:color w:val="auto"/>
                <w:sz w:val="24"/>
                <w:szCs w:val="24"/>
                <w:highlight w:val="green"/>
                <w:lang w:val="en-US" w:eastAsia="zh-CN"/>
              </w:rPr>
            </w:pPr>
            <w:r>
              <w:rPr>
                <w:rFonts w:hint="eastAsia" w:asciiTheme="minorEastAsia" w:hAnsiTheme="minorEastAsia" w:eastAsiaTheme="minorEastAsia" w:cstheme="minorEastAsia"/>
                <w:color w:val="auto"/>
                <w:sz w:val="24"/>
                <w:szCs w:val="24"/>
                <w:highlight w:val="none"/>
                <w:lang w:val="en-US"/>
              </w:rPr>
              <w:t>的组建</w:t>
            </w:r>
          </w:p>
        </w:tc>
        <w:tc>
          <w:tcPr>
            <w:tcW w:w="6470" w:type="dxa"/>
            <w:vAlign w:val="center"/>
          </w:tcPr>
          <w:p w14:paraId="3D8BB5BE">
            <w:pPr>
              <w:keepNext w:val="0"/>
              <w:keepLines w:val="0"/>
              <w:suppressLineNumbers w:val="0"/>
              <w:spacing w:before="0" w:beforeAutospacing="0" w:after="0" w:afterAutospacing="0" w:line="360" w:lineRule="auto"/>
              <w:ind w:left="0" w:leftChars="0" w:right="0" w:right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评审小组构成：共</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rPr>
              <w:t>人，其中采购人代表</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rPr>
              <w:t>人，政采云专家库中随机抽取</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rPr>
              <w:t>人。</w:t>
            </w:r>
          </w:p>
        </w:tc>
      </w:tr>
      <w:tr w14:paraId="48BA3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19077524">
            <w:pPr>
              <w:pStyle w:val="41"/>
              <w:shd w:val="clear" w:fill="FFFFFF" w:themeFill="background1"/>
              <w:spacing w:before="74" w:line="360" w:lineRule="auto"/>
              <w:ind w:left="42" w:leftChars="20" w:right="42" w:rightChars="2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38</w:t>
            </w:r>
          </w:p>
        </w:tc>
        <w:tc>
          <w:tcPr>
            <w:tcW w:w="2160" w:type="dxa"/>
            <w:vAlign w:val="center"/>
          </w:tcPr>
          <w:p w14:paraId="7DB0A0A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其它</w:t>
            </w:r>
          </w:p>
        </w:tc>
        <w:tc>
          <w:tcPr>
            <w:tcW w:w="6470" w:type="dxa"/>
            <w:vAlign w:val="center"/>
          </w:tcPr>
          <w:p w14:paraId="6320BC39">
            <w:pPr>
              <w:pStyle w:val="41"/>
              <w:keepNext w:val="0"/>
              <w:keepLines w:val="0"/>
              <w:pageBreakBefore w:val="0"/>
              <w:widowControl w:val="0"/>
              <w:tabs>
                <w:tab w:val="left" w:pos="632"/>
              </w:tabs>
              <w:kinsoku/>
              <w:wordWrap/>
              <w:overflowPunct/>
              <w:topLinePunct w:val="0"/>
              <w:autoSpaceDE/>
              <w:autoSpaceDN/>
              <w:bidi w:val="0"/>
              <w:adjustRightInd w:val="0"/>
              <w:snapToGrid w:val="0"/>
              <w:spacing w:line="360" w:lineRule="auto"/>
              <w:ind w:left="107" w:right="-15"/>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（1）投标供应商编制电子响应文件可参考《政府采购项目电子交易管理操作指南-供应商》，在政采云《帮助文档》下载；</w:t>
            </w:r>
          </w:p>
          <w:p w14:paraId="7B634847">
            <w:pPr>
              <w:pStyle w:val="41"/>
              <w:keepNext w:val="0"/>
              <w:keepLines w:val="0"/>
              <w:pageBreakBefore w:val="0"/>
              <w:widowControl w:val="0"/>
              <w:tabs>
                <w:tab w:val="left" w:pos="632"/>
              </w:tabs>
              <w:kinsoku/>
              <w:wordWrap/>
              <w:overflowPunct/>
              <w:topLinePunct w:val="0"/>
              <w:autoSpaceDE/>
              <w:autoSpaceDN/>
              <w:bidi w:val="0"/>
              <w:adjustRightInd w:val="0"/>
              <w:snapToGrid w:val="0"/>
              <w:spacing w:line="360" w:lineRule="auto"/>
              <w:ind w:left="107" w:right="-15"/>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时间到达后，开标主持人进行响应文件的解密操作。因供应商原因造成响应文件未解密成功的，视为撤销其响应文件；因供应商之外的原因造成响应文件未解密成功的，视为撤回其响应文件。部分响应文件未解密成功的，其他响应文件的开标可以继续进行。</w:t>
            </w:r>
          </w:p>
          <w:p w14:paraId="1EBD8FCD">
            <w:pPr>
              <w:pStyle w:val="41"/>
              <w:keepNext w:val="0"/>
              <w:keepLines w:val="0"/>
              <w:pageBreakBefore w:val="0"/>
              <w:widowControl w:val="0"/>
              <w:tabs>
                <w:tab w:val="left" w:pos="632"/>
              </w:tabs>
              <w:kinsoku/>
              <w:wordWrap/>
              <w:overflowPunct/>
              <w:topLinePunct w:val="0"/>
              <w:autoSpaceDE/>
              <w:autoSpaceDN/>
              <w:bidi w:val="0"/>
              <w:adjustRightInd w:val="0"/>
              <w:snapToGrid w:val="0"/>
              <w:spacing w:line="360" w:lineRule="auto"/>
              <w:ind w:left="107" w:right="-15"/>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（3）若递交响应文件家数少于三家或者开标后成功解密的家数少于三家的，将终止该标段的开标。</w:t>
            </w:r>
          </w:p>
          <w:p w14:paraId="02AC142D">
            <w:pPr>
              <w:pStyle w:val="41"/>
              <w:keepNext w:val="0"/>
              <w:keepLines w:val="0"/>
              <w:pageBreakBefore w:val="0"/>
              <w:widowControl w:val="0"/>
              <w:tabs>
                <w:tab w:val="left" w:pos="632"/>
              </w:tabs>
              <w:kinsoku/>
              <w:wordWrap/>
              <w:overflowPunct/>
              <w:topLinePunct w:val="0"/>
              <w:autoSpaceDE/>
              <w:autoSpaceDN/>
              <w:bidi w:val="0"/>
              <w:adjustRightInd w:val="0"/>
              <w:snapToGrid w:val="0"/>
              <w:spacing w:line="360" w:lineRule="auto"/>
              <w:ind w:left="107" w:right="-15"/>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请投标单位提前自学线上开标流程；投标截止时间当天，线上开标环节，响应文件解密时长30分钟，请各投标单位请自带笔记本电脑及CA锁网上进行文件解密以及操作投标事项，请供应商提前调试好在线参标电脑各项配置。</w:t>
            </w:r>
          </w:p>
          <w:p w14:paraId="292086B5">
            <w:pPr>
              <w:pStyle w:val="41"/>
              <w:keepNext w:val="0"/>
              <w:keepLines w:val="0"/>
              <w:pageBreakBefore w:val="0"/>
              <w:widowControl w:val="0"/>
              <w:tabs>
                <w:tab w:val="left" w:pos="632"/>
              </w:tabs>
              <w:kinsoku/>
              <w:wordWrap/>
              <w:overflowPunct/>
              <w:topLinePunct w:val="0"/>
              <w:autoSpaceDE/>
              <w:autoSpaceDN/>
              <w:bidi w:val="0"/>
              <w:adjustRightInd w:val="0"/>
              <w:snapToGrid w:val="0"/>
              <w:spacing w:line="360" w:lineRule="auto"/>
              <w:ind w:left="107" w:leftChars="0" w:right="-15" w:rightChars="0"/>
              <w:textAlignment w:val="auto"/>
              <w:outlineLvl w:val="9"/>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（5）本次采用政府采购云平台线上招标、投标，请各潜在供应商及时办理CA锁和学习政府采购云平台线上投标相关知识。请在政府采购云平台登录后，进行下载</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。请各供应商获取</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后及时关注云平台答疑文件获取栏目。具体相关事宜见政府采购云平台。本项目采用资格后审，请供应商仔细阅读</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和各项要求，制作文件及相关资料过程中，若因供应商资格条件不符、提供资料不全等原因导致响应文件予以退还，责任自负。</w:t>
            </w:r>
          </w:p>
        </w:tc>
      </w:tr>
      <w:tr w14:paraId="18C92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3E9D5CF5">
            <w:pPr>
              <w:pStyle w:val="41"/>
              <w:shd w:val="clear" w:fill="FFFFFF" w:themeFill="background1"/>
              <w:spacing w:before="74" w:line="360" w:lineRule="auto"/>
              <w:ind w:left="42" w:leftChars="20" w:right="42" w:rightChars="2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39</w:t>
            </w:r>
          </w:p>
        </w:tc>
        <w:tc>
          <w:tcPr>
            <w:tcW w:w="2160" w:type="dxa"/>
            <w:vAlign w:val="center"/>
          </w:tcPr>
          <w:p w14:paraId="2C444354">
            <w:pPr>
              <w:keepNext w:val="0"/>
              <w:keepLines w:val="0"/>
              <w:pageBreakBefore w:val="0"/>
              <w:widowControl w:val="0"/>
              <w:kinsoku/>
              <w:wordWrap/>
              <w:overflowPunct/>
              <w:topLinePunct w:val="0"/>
              <w:autoSpaceDE/>
              <w:autoSpaceDN/>
              <w:bidi w:val="0"/>
              <w:snapToGrid/>
              <w:spacing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标前准备</w:t>
            </w:r>
          </w:p>
        </w:tc>
        <w:tc>
          <w:tcPr>
            <w:tcW w:w="6470" w:type="dxa"/>
            <w:vAlign w:val="center"/>
          </w:tcPr>
          <w:p w14:paraId="7E443FE0">
            <w:pPr>
              <w:keepNext w:val="0"/>
              <w:keepLines w:val="0"/>
              <w:pageBreakBefore w:val="0"/>
              <w:widowControl w:val="0"/>
              <w:kinsoku/>
              <w:wordWrap/>
              <w:overflowPunct/>
              <w:topLinePunct w:val="0"/>
              <w:autoSpaceDE/>
              <w:autoSpaceDN/>
              <w:bidi w:val="0"/>
              <w:snapToGrid/>
              <w:spacing w:line="360" w:lineRule="auto"/>
              <w:jc w:val="left"/>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1、本项目实行网上投标，采用电子响应文件。若供应商参与投标，自行承担投标一切费用。</w:t>
            </w:r>
          </w:p>
          <w:p w14:paraId="2CD1CDB7">
            <w:pPr>
              <w:keepNext w:val="0"/>
              <w:keepLines w:val="0"/>
              <w:pageBreakBefore w:val="0"/>
              <w:widowControl w:val="0"/>
              <w:kinsoku/>
              <w:wordWrap/>
              <w:overflowPunct/>
              <w:topLinePunct w:val="0"/>
              <w:autoSpaceDE/>
              <w:autoSpaceDN/>
              <w:bidi w:val="0"/>
              <w:snapToGrid/>
              <w:spacing w:line="360" w:lineRule="auto"/>
              <w:jc w:val="left"/>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7BC69676">
            <w:pPr>
              <w:keepNext w:val="0"/>
              <w:keepLines w:val="0"/>
              <w:pageBreakBefore w:val="0"/>
              <w:widowControl w:val="0"/>
              <w:kinsoku/>
              <w:wordWrap/>
              <w:overflowPunct/>
              <w:topLinePunct w:val="0"/>
              <w:autoSpaceDE/>
              <w:autoSpaceDN/>
              <w:bidi w:val="0"/>
              <w:snapToGrid/>
              <w:spacing w:line="360" w:lineRule="auto"/>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3、供应商将政采云电子交易客户端下载、安装完成后，可通过账号密码或CA登录客户端进行响应文件制作。在使用政采云投标客户端时，建议使用WIN7及以上操作系统。客户端请至新疆政府采购网（</w:t>
            </w:r>
            <w:r>
              <w:rPr>
                <w:rFonts w:hint="eastAsia" w:asciiTheme="minorEastAsia" w:hAnsiTheme="minorEastAsia" w:eastAsiaTheme="minorEastAsia" w:cstheme="minorEastAsia"/>
                <w:color w:val="auto"/>
                <w:sz w:val="24"/>
                <w:szCs w:val="24"/>
                <w:highlight w:val="none"/>
                <w:lang w:eastAsia="zh-CN"/>
              </w:rPr>
              <w:fldChar w:fldCharType="begin"/>
            </w:r>
            <w:r>
              <w:rPr>
                <w:rFonts w:hint="eastAsia" w:asciiTheme="minorEastAsia" w:hAnsiTheme="minorEastAsia" w:eastAsiaTheme="minorEastAsia" w:cstheme="minorEastAsia"/>
                <w:color w:val="auto"/>
                <w:sz w:val="24"/>
                <w:szCs w:val="24"/>
                <w:highlight w:val="none"/>
                <w:lang w:eastAsia="zh-CN"/>
              </w:rPr>
              <w:instrText xml:space="preserve"> HYPERLINK "http://www.ccgp-xinjiang.gov.cn/" </w:instrText>
            </w:r>
            <w:r>
              <w:rPr>
                <w:rFonts w:hint="eastAsia" w:asciiTheme="minorEastAsia" w:hAnsiTheme="minorEastAsia" w:eastAsiaTheme="minorEastAsia" w:cstheme="minorEastAsia"/>
                <w:color w:val="auto"/>
                <w:sz w:val="24"/>
                <w:szCs w:val="24"/>
                <w:highlight w:val="none"/>
                <w:lang w:eastAsia="zh-CN"/>
              </w:rPr>
              <w:fldChar w:fldCharType="separate"/>
            </w:r>
            <w:r>
              <w:rPr>
                <w:rFonts w:hint="eastAsia" w:asciiTheme="minorEastAsia" w:hAnsiTheme="minorEastAsia" w:eastAsiaTheme="minorEastAsia" w:cstheme="minorEastAsia"/>
                <w:color w:val="auto"/>
                <w:sz w:val="24"/>
                <w:szCs w:val="24"/>
                <w:highlight w:val="none"/>
                <w:lang w:eastAsia="zh-CN"/>
              </w:rPr>
              <w:t>http://www.ccgp-xinjiang.gov.cn/</w:t>
            </w:r>
            <w:r>
              <w:rPr>
                <w:rFonts w:hint="eastAsia" w:asciiTheme="minorEastAsia" w:hAnsiTheme="minorEastAsia" w:eastAsiaTheme="minorEastAsia" w:cstheme="minorEastAsia"/>
                <w:color w:val="auto"/>
                <w:sz w:val="24"/>
                <w:szCs w:val="24"/>
                <w:highlight w:val="none"/>
                <w:lang w:eastAsia="zh-CN"/>
              </w:rPr>
              <w:fldChar w:fldCharType="end"/>
            </w:r>
            <w:r>
              <w:rPr>
                <w:rFonts w:hint="eastAsia" w:asciiTheme="minorEastAsia" w:hAnsiTheme="minorEastAsia" w:eastAsiaTheme="minorEastAsia" w:cstheme="minorEastAsia"/>
                <w:color w:val="auto"/>
                <w:sz w:val="24"/>
                <w:szCs w:val="24"/>
                <w:highlight w:val="none"/>
                <w:lang w:eastAsia="zh-CN"/>
              </w:rPr>
              <w:t>）下载专区查看，如有问题可拨打政采云客户服务热线95763进行咨询。</w:t>
            </w:r>
          </w:p>
        </w:tc>
      </w:tr>
      <w:tr w14:paraId="3EE9C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237E71D6">
            <w:pPr>
              <w:pStyle w:val="41"/>
              <w:shd w:val="clear" w:fill="FFFFFF" w:themeFill="background1"/>
              <w:spacing w:before="74" w:line="360" w:lineRule="auto"/>
              <w:ind w:left="42" w:leftChars="20" w:right="42" w:rightChars="2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40</w:t>
            </w:r>
          </w:p>
        </w:tc>
        <w:tc>
          <w:tcPr>
            <w:tcW w:w="2160" w:type="dxa"/>
            <w:vAlign w:val="center"/>
          </w:tcPr>
          <w:p w14:paraId="615E858F">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rPr>
              <w:t>供应商开标现场要求</w:t>
            </w:r>
          </w:p>
        </w:tc>
        <w:tc>
          <w:tcPr>
            <w:tcW w:w="6470" w:type="dxa"/>
            <w:vAlign w:val="center"/>
          </w:tcPr>
          <w:p w14:paraId="4B078D98">
            <w:pPr>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rPr>
              <w:t>竞标人无需到场，须准备制作加密电子响应文件所使用的CA锁及笔记本电脑，笔记本电脑须提前配置好浏览器（建议使用360浏览器或谷歌浏览器），提前安装CA驱动，以便开标时解锁。</w:t>
            </w:r>
          </w:p>
        </w:tc>
      </w:tr>
      <w:tr w14:paraId="6FC89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7B078D2A">
            <w:pPr>
              <w:pStyle w:val="41"/>
              <w:shd w:val="clear" w:fill="FFFFFF" w:themeFill="background1"/>
              <w:spacing w:before="74" w:line="360" w:lineRule="auto"/>
              <w:ind w:left="42" w:leftChars="20" w:right="42" w:rightChars="2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41</w:t>
            </w:r>
          </w:p>
        </w:tc>
        <w:tc>
          <w:tcPr>
            <w:tcW w:w="2160" w:type="dxa"/>
            <w:shd w:val="clear" w:color="auto" w:fill="auto"/>
            <w:vAlign w:val="center"/>
          </w:tcPr>
          <w:p w14:paraId="6A88EF24">
            <w:pPr>
              <w:spacing w:line="36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rPr>
              <w:t>对</w:t>
            </w:r>
            <w:r>
              <w:rPr>
                <w:rFonts w:hint="eastAsia" w:asciiTheme="minorEastAsia" w:hAnsiTheme="minorEastAsia" w:eastAsiaTheme="minorEastAsia" w:cstheme="minorEastAsia"/>
                <w:color w:val="auto"/>
                <w:sz w:val="24"/>
                <w:szCs w:val="24"/>
                <w:shd w:val="clear"/>
              </w:rPr>
              <w:t>响应文件进行澄清或说明</w:t>
            </w:r>
          </w:p>
        </w:tc>
        <w:tc>
          <w:tcPr>
            <w:tcW w:w="6470" w:type="dxa"/>
            <w:shd w:val="clear" w:color="auto" w:fill="auto"/>
            <w:vAlign w:val="center"/>
          </w:tcPr>
          <w:p w14:paraId="5248540A">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评审</w:t>
            </w:r>
            <w:r>
              <w:rPr>
                <w:rFonts w:hint="eastAsia" w:asciiTheme="minorEastAsia" w:hAnsiTheme="minorEastAsia" w:eastAsiaTheme="minorEastAsia" w:cstheme="minorEastAsia"/>
                <w:color w:val="auto"/>
                <w:sz w:val="24"/>
                <w:szCs w:val="24"/>
              </w:rPr>
              <w:t>小组可以要求竞标人对响应文件中含义不明确的内容作必要的澄清或者说明，但是澄清或者说明不得超出响应文件的范围或者改变响应文件的实质性内容。</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评标时，若发现响应文件的内容有含义不明确、不一致或明显打字（书写）错误或纯属计算上的错误的情形，</w:t>
            </w:r>
            <w:r>
              <w:rPr>
                <w:rFonts w:hint="eastAsia" w:asciiTheme="minorEastAsia" w:hAnsiTheme="minorEastAsia" w:eastAsiaTheme="minorEastAsia" w:cstheme="minorEastAsia"/>
                <w:color w:val="auto"/>
                <w:sz w:val="24"/>
                <w:szCs w:val="24"/>
                <w:lang w:eastAsia="zh-CN"/>
              </w:rPr>
              <w:t>评审</w:t>
            </w:r>
            <w:r>
              <w:rPr>
                <w:rFonts w:hint="eastAsia" w:asciiTheme="minorEastAsia" w:hAnsiTheme="minorEastAsia" w:eastAsiaTheme="minorEastAsia" w:cstheme="minorEastAsia"/>
                <w:color w:val="auto"/>
                <w:sz w:val="24"/>
                <w:szCs w:val="24"/>
              </w:rPr>
              <w:t>小组则应通知竞标人作出澄清或说明，以确认其正确的内容。对于明显打字（书写）错误或纯属计算上的错误，</w:t>
            </w:r>
            <w:r>
              <w:rPr>
                <w:rFonts w:hint="eastAsia" w:asciiTheme="minorEastAsia" w:hAnsiTheme="minorEastAsia" w:eastAsiaTheme="minorEastAsia" w:cstheme="minorEastAsia"/>
                <w:color w:val="auto"/>
                <w:sz w:val="24"/>
                <w:szCs w:val="24"/>
                <w:lang w:eastAsia="zh-CN"/>
              </w:rPr>
              <w:t>评审</w:t>
            </w:r>
            <w:r>
              <w:rPr>
                <w:rFonts w:hint="eastAsia" w:asciiTheme="minorEastAsia" w:hAnsiTheme="minorEastAsia" w:eastAsiaTheme="minorEastAsia" w:cstheme="minorEastAsia"/>
                <w:color w:val="auto"/>
                <w:sz w:val="24"/>
                <w:szCs w:val="24"/>
              </w:rPr>
              <w:t>小组应允许竞标人补正。澄清的要求和竞标人的答复均应采取书面的形式。竞标人的答复必须经法定代表人或授权代理人签字，作为响应文件的组成部分。</w:t>
            </w:r>
          </w:p>
          <w:p w14:paraId="725C622C">
            <w:pPr>
              <w:spacing w:line="36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rPr>
              <w:t>在评标过程中，</w:t>
            </w:r>
            <w:r>
              <w:rPr>
                <w:rFonts w:hint="eastAsia" w:asciiTheme="minorEastAsia" w:hAnsiTheme="minorEastAsia" w:eastAsiaTheme="minorEastAsia" w:cstheme="minorEastAsia"/>
                <w:color w:val="auto"/>
                <w:sz w:val="24"/>
                <w:szCs w:val="24"/>
                <w:lang w:eastAsia="zh-CN"/>
              </w:rPr>
              <w:t>评审</w:t>
            </w:r>
            <w:r>
              <w:rPr>
                <w:rFonts w:hint="eastAsia" w:asciiTheme="minorEastAsia" w:hAnsiTheme="minorEastAsia" w:eastAsiaTheme="minorEastAsia" w:cstheme="minorEastAsia"/>
                <w:color w:val="auto"/>
                <w:sz w:val="24"/>
                <w:szCs w:val="24"/>
              </w:rPr>
              <w:t>小组发现竞标人的报价明显低于其他投标报价，使得其投标报价可能低于其个别成本的，应当要求该竞标人做出书面说明并提供相关证明材料。竞标人不能合理说明或者不能提供相关证明材料的，</w:t>
            </w:r>
            <w:r>
              <w:rPr>
                <w:rFonts w:hint="eastAsia" w:asciiTheme="minorEastAsia" w:hAnsiTheme="minorEastAsia" w:eastAsiaTheme="minorEastAsia" w:cstheme="minorEastAsia"/>
                <w:color w:val="auto"/>
                <w:sz w:val="24"/>
                <w:szCs w:val="24"/>
                <w:lang w:eastAsia="zh-CN"/>
              </w:rPr>
              <w:t>评审</w:t>
            </w:r>
            <w:r>
              <w:rPr>
                <w:rFonts w:hint="eastAsia" w:asciiTheme="minorEastAsia" w:hAnsiTheme="minorEastAsia" w:eastAsiaTheme="minorEastAsia" w:cstheme="minorEastAsia"/>
                <w:color w:val="auto"/>
                <w:sz w:val="24"/>
                <w:szCs w:val="24"/>
              </w:rPr>
              <w:t>小组认定该竞标人以低于成本报价竞标，其投标应作无效投标处理。</w:t>
            </w:r>
          </w:p>
        </w:tc>
      </w:tr>
      <w:tr w14:paraId="6169C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1120" w:type="dxa"/>
            <w:vAlign w:val="center"/>
          </w:tcPr>
          <w:p w14:paraId="302631FF">
            <w:pPr>
              <w:pStyle w:val="41"/>
              <w:shd w:val="clear" w:fill="FFFFFF" w:themeFill="background1"/>
              <w:spacing w:before="74" w:line="360" w:lineRule="auto"/>
              <w:ind w:left="42" w:leftChars="20" w:right="42" w:rightChars="2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42</w:t>
            </w:r>
          </w:p>
        </w:tc>
        <w:tc>
          <w:tcPr>
            <w:tcW w:w="2160" w:type="dxa"/>
            <w:vAlign w:val="center"/>
          </w:tcPr>
          <w:p w14:paraId="3C7AF07A">
            <w:pPr>
              <w:shd w:val="clear" w:fill="FFFFFF" w:themeFill="background1"/>
              <w:bidi w:val="0"/>
              <w:spacing w:line="360" w:lineRule="auto"/>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备注</w:t>
            </w:r>
          </w:p>
        </w:tc>
        <w:tc>
          <w:tcPr>
            <w:tcW w:w="6470" w:type="dxa"/>
            <w:vAlign w:val="center"/>
          </w:tcPr>
          <w:p w14:paraId="6DCC08D9">
            <w:pPr>
              <w:pStyle w:val="41"/>
              <w:spacing w:before="21" w:line="360" w:lineRule="auto"/>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备注一：</w:t>
            </w:r>
          </w:p>
          <w:p w14:paraId="0C2FB776">
            <w:pPr>
              <w:pStyle w:val="41"/>
              <w:spacing w:before="21"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文件中关于废标、无效标、投标被拒绝等字样的条款，为招标的实质性要求和条件，着重提醒各供应商注意，并认真查看</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文件中的每一个条款及要求，因误读竞争性</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文件而造成的后果，采购人概不负责。</w:t>
            </w:r>
          </w:p>
          <w:p w14:paraId="0CFFC574">
            <w:pPr>
              <w:pStyle w:val="41"/>
              <w:spacing w:before="21"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响应文件中有弄虚作假的内容，其响应文件作废。（如假证书、假业绩、隐瞒不良行为记录、夸大荣誉、使用非本单位在职员工的相关证件及不符合采购文件规定的条款等）；在签订合同之前，采购人如发现竞标人的响应文件有弄虚作假内容，采购人可拒绝与其签订合同。并将其列入政府采购黑名单库。</w:t>
            </w:r>
          </w:p>
          <w:p w14:paraId="3653E039">
            <w:pPr>
              <w:pStyle w:val="41"/>
              <w:spacing w:before="21" w:line="360" w:lineRule="auto"/>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备注二：</w:t>
            </w:r>
          </w:p>
          <w:p w14:paraId="50C082D8">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1、代理服务</w:t>
            </w:r>
            <w:r>
              <w:rPr>
                <w:rFonts w:hint="eastAsia" w:asciiTheme="minorEastAsia" w:hAnsiTheme="minorEastAsia" w:eastAsiaTheme="minorEastAsia" w:cstheme="minorEastAsia"/>
                <w:color w:val="auto"/>
                <w:sz w:val="24"/>
                <w:szCs w:val="24"/>
                <w:highlight w:val="none"/>
              </w:rPr>
              <w:t>费收费标准按国计价格【2002】1980号,由</w:t>
            </w:r>
            <w:r>
              <w:rPr>
                <w:rFonts w:hint="eastAsia" w:asciiTheme="minorEastAsia" w:hAnsiTheme="minorEastAsia" w:eastAsia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rPr>
              <w:t>单位支付</w:t>
            </w:r>
            <w:r>
              <w:rPr>
                <w:rFonts w:hint="eastAsia" w:asciiTheme="minorEastAsia" w:hAnsiTheme="minorEastAsia" w:eastAsiaTheme="minorEastAsia" w:cstheme="minorEastAsia"/>
                <w:color w:val="auto"/>
                <w:sz w:val="24"/>
                <w:szCs w:val="24"/>
              </w:rPr>
              <w:t>；</w:t>
            </w:r>
          </w:p>
          <w:p w14:paraId="276B8413">
            <w:pPr>
              <w:pStyle w:val="41"/>
              <w:spacing w:before="21"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2.场地费、评审专家劳务报酬由中标人支付。评审专家劳务报酬计算方法及支付标准执行巴财购【2018】6号文《关于自治州政府采购专家评审费标准及支付方式的通知》</w:t>
            </w:r>
          </w:p>
          <w:p w14:paraId="69A4293D">
            <w:pPr>
              <w:pStyle w:val="41"/>
              <w:spacing w:before="21"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highlight w:val="none"/>
                <w:lang w:val="en-US" w:eastAsia="zh-CN"/>
              </w:rPr>
              <w:t>注：</w:t>
            </w:r>
            <w:r>
              <w:rPr>
                <w:rFonts w:hint="eastAsia" w:asciiTheme="minorEastAsia" w:hAnsiTheme="minorEastAsia" w:eastAsiaTheme="minorEastAsia" w:cstheme="minorEastAsia"/>
                <w:b/>
                <w:bCs/>
                <w:color w:val="auto"/>
                <w:kern w:val="0"/>
                <w:sz w:val="24"/>
                <w:szCs w:val="24"/>
                <w:highlight w:val="none"/>
                <w:lang w:val="en-US" w:eastAsia="zh-CN" w:bidi="ar"/>
              </w:rPr>
              <w:t>不论投标的结果如何，供应商均应自行承担所有与参加投标有关的全部费用。</w:t>
            </w:r>
          </w:p>
          <w:p w14:paraId="4D5B23DF">
            <w:pPr>
              <w:pStyle w:val="41"/>
              <w:spacing w:before="21"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3、正常情况下，依据电子响应文件进行评标;当停电或系统故障及不可抗力情况，该项目可根据情况另择时间进行开、评标。</w:t>
            </w:r>
          </w:p>
          <w:p w14:paraId="2A0F677D">
            <w:pPr>
              <w:pStyle w:val="41"/>
              <w:spacing w:before="21"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4、有下列情况之一的，该供应商的响应文件将被拒绝：</w:t>
            </w:r>
          </w:p>
          <w:p w14:paraId="22C2CBFD">
            <w:pPr>
              <w:pStyle w:val="41"/>
              <w:spacing w:before="21"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（1）使用非供应商自有的政采云电子投标客户端编制电子响应文件；</w:t>
            </w:r>
          </w:p>
          <w:p w14:paraId="27715245">
            <w:pPr>
              <w:pStyle w:val="41"/>
              <w:spacing w:before="21"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（2）政采云上传响应文件在开标现场均无法正常解锁；</w:t>
            </w:r>
          </w:p>
          <w:p w14:paraId="1E21EFB2">
            <w:pPr>
              <w:pStyle w:val="37"/>
              <w:shd w:val="clear" w:fill="FFFFFF" w:themeFill="background1"/>
              <w:spacing w:line="360" w:lineRule="auto"/>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（3）因供应商自身原因导致电子响应文件无法正常进入电子评标环节的其他情况；</w:t>
            </w:r>
          </w:p>
          <w:p w14:paraId="3EC33303">
            <w:pPr>
              <w:pStyle w:val="41"/>
              <w:spacing w:before="21"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color w:val="auto"/>
                <w:sz w:val="24"/>
                <w:szCs w:val="24"/>
              </w:rPr>
              <w:t>备注</w:t>
            </w: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w:t>
            </w:r>
          </w:p>
          <w:p w14:paraId="267D77C3">
            <w:pPr>
              <w:pStyle w:val="37"/>
              <w:shd w:val="clear" w:fill="FFFFFF" w:themeFill="background1"/>
              <w:spacing w:line="360" w:lineRule="auto"/>
              <w:ind w:left="0" w:leftChars="0" w:firstLine="0" w:firstLineChars="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1.确定供应商后，采购人会实地考察供应商公司人员及运营状况等是否真实符合其投标文件提供的内容，若存在弄虚作假的情形甲方有权取消其中标资格。由排名次之的供应商依次递补。</w:t>
            </w:r>
          </w:p>
          <w:p w14:paraId="741A874A">
            <w:pPr>
              <w:pStyle w:val="37"/>
              <w:shd w:val="clear" w:fill="FFFFFF" w:themeFill="background1"/>
              <w:spacing w:line="360" w:lineRule="auto"/>
              <w:ind w:left="0" w:leftChars="0" w:firstLine="0" w:firstLineChars="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2.供应商存在违约行为、提供的货物存在质量问题、违反招标文件和合同的行为，并且不予纠正的，采购人有权终止合同、取消其中标资格。由排名次之的供应商依次递补。</w:t>
            </w:r>
          </w:p>
        </w:tc>
      </w:tr>
      <w:tr w14:paraId="2A0F5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9750" w:type="dxa"/>
            <w:gridSpan w:val="3"/>
            <w:vAlign w:val="center"/>
          </w:tcPr>
          <w:p w14:paraId="69427D4D">
            <w:pPr>
              <w:pStyle w:val="37"/>
              <w:shd w:val="clear" w:fill="FFFFFF" w:themeFill="background1"/>
              <w:spacing w:line="360" w:lineRule="auto"/>
              <w:ind w:left="0" w:leftChars="0" w:firstLine="0" w:firstLineChars="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tc>
      </w:tr>
    </w:tbl>
    <w:p w14:paraId="2FD7991D">
      <w:pPr>
        <w:pStyle w:val="42"/>
        <w:widowControl w:val="0"/>
        <w:shd w:val="clear" w:fill="FFFFFF" w:themeFill="background1"/>
        <w:spacing w:before="0" w:beforeAutospacing="0" w:after="0" w:afterAutospacing="0" w:line="360" w:lineRule="auto"/>
        <w:jc w:val="both"/>
        <w:rPr>
          <w:bCs/>
          <w:color w:val="auto"/>
          <w:sz w:val="28"/>
          <w:highlight w:val="none"/>
        </w:rPr>
      </w:pPr>
      <w:r>
        <w:rPr>
          <w:rFonts w:hint="eastAsia"/>
          <w:b/>
          <w:bCs/>
          <w:color w:val="auto"/>
          <w:sz w:val="24"/>
          <w:szCs w:val="24"/>
          <w:highlight w:val="none"/>
        </w:rPr>
        <w:t>注：</w:t>
      </w:r>
      <w:r>
        <w:rPr>
          <w:rFonts w:hint="eastAsia"/>
          <w:b/>
          <w:bCs/>
          <w:color w:val="auto"/>
          <w:sz w:val="24"/>
          <w:szCs w:val="24"/>
          <w:highlight w:val="none"/>
          <w:lang w:eastAsia="zh-CN"/>
        </w:rPr>
        <w:t>供应商</w:t>
      </w:r>
      <w:r>
        <w:rPr>
          <w:rFonts w:hint="eastAsia"/>
          <w:b/>
          <w:bCs/>
          <w:color w:val="auto"/>
          <w:sz w:val="24"/>
          <w:szCs w:val="24"/>
          <w:highlight w:val="none"/>
        </w:rPr>
        <w:t>必须认真阅读</w:t>
      </w:r>
      <w:r>
        <w:rPr>
          <w:rFonts w:hint="eastAsia"/>
          <w:b/>
          <w:bCs/>
          <w:color w:val="auto"/>
          <w:sz w:val="24"/>
          <w:szCs w:val="24"/>
          <w:highlight w:val="none"/>
          <w:lang w:eastAsia="zh-CN"/>
        </w:rPr>
        <w:t>招标文件</w:t>
      </w:r>
      <w:r>
        <w:rPr>
          <w:rFonts w:hint="eastAsia"/>
          <w:b/>
          <w:bCs/>
          <w:color w:val="auto"/>
          <w:sz w:val="24"/>
          <w:szCs w:val="24"/>
          <w:highlight w:val="none"/>
        </w:rPr>
        <w:t>中所有的事项、格式、条款和</w:t>
      </w:r>
      <w:r>
        <w:rPr>
          <w:rFonts w:hint="eastAsia"/>
          <w:b/>
          <w:bCs/>
          <w:color w:val="auto"/>
          <w:sz w:val="24"/>
          <w:szCs w:val="24"/>
          <w:highlight w:val="none"/>
          <w:lang w:eastAsia="zh-CN"/>
        </w:rPr>
        <w:t>招标人需求</w:t>
      </w:r>
      <w:r>
        <w:rPr>
          <w:rFonts w:hint="eastAsia"/>
          <w:b/>
          <w:bCs/>
          <w:color w:val="auto"/>
          <w:sz w:val="24"/>
          <w:szCs w:val="24"/>
          <w:highlight w:val="none"/>
        </w:rPr>
        <w:t>等。</w:t>
      </w:r>
      <w:r>
        <w:rPr>
          <w:rFonts w:hint="eastAsia"/>
          <w:b/>
          <w:bCs/>
          <w:color w:val="auto"/>
          <w:sz w:val="24"/>
          <w:szCs w:val="24"/>
          <w:highlight w:val="none"/>
          <w:lang w:eastAsia="zh-CN"/>
        </w:rPr>
        <w:t>供应商</w:t>
      </w:r>
      <w:r>
        <w:rPr>
          <w:rFonts w:hint="eastAsia"/>
          <w:b/>
          <w:bCs/>
          <w:color w:val="auto"/>
          <w:sz w:val="24"/>
          <w:szCs w:val="24"/>
          <w:highlight w:val="none"/>
        </w:rPr>
        <w:t>没有按照</w:t>
      </w:r>
      <w:r>
        <w:rPr>
          <w:rFonts w:hint="eastAsia"/>
          <w:b/>
          <w:bCs/>
          <w:color w:val="auto"/>
          <w:sz w:val="24"/>
          <w:szCs w:val="24"/>
          <w:highlight w:val="none"/>
          <w:lang w:eastAsia="zh-CN"/>
        </w:rPr>
        <w:t>招标文件</w:t>
      </w:r>
      <w:r>
        <w:rPr>
          <w:rFonts w:hint="eastAsia"/>
          <w:b/>
          <w:bCs/>
          <w:color w:val="auto"/>
          <w:sz w:val="24"/>
          <w:szCs w:val="24"/>
          <w:highlight w:val="none"/>
        </w:rPr>
        <w:t>要求提交全部资料，或者投标文件没有对</w:t>
      </w:r>
      <w:r>
        <w:rPr>
          <w:rFonts w:hint="eastAsia"/>
          <w:b/>
          <w:bCs/>
          <w:color w:val="auto"/>
          <w:sz w:val="24"/>
          <w:szCs w:val="24"/>
          <w:highlight w:val="none"/>
          <w:lang w:eastAsia="zh-CN"/>
        </w:rPr>
        <w:t>招标文件</w:t>
      </w:r>
      <w:r>
        <w:rPr>
          <w:rFonts w:hint="eastAsia"/>
          <w:b/>
          <w:bCs/>
          <w:color w:val="auto"/>
          <w:sz w:val="24"/>
          <w:szCs w:val="24"/>
          <w:highlight w:val="none"/>
        </w:rPr>
        <w:t>在各方面都做出实质性响应是</w:t>
      </w:r>
      <w:r>
        <w:rPr>
          <w:rFonts w:hint="eastAsia"/>
          <w:b/>
          <w:bCs/>
          <w:color w:val="auto"/>
          <w:sz w:val="24"/>
          <w:szCs w:val="24"/>
          <w:highlight w:val="none"/>
          <w:lang w:eastAsia="zh-CN"/>
        </w:rPr>
        <w:t>供应商</w:t>
      </w:r>
      <w:r>
        <w:rPr>
          <w:rFonts w:hint="eastAsia"/>
          <w:b/>
          <w:bCs/>
          <w:color w:val="auto"/>
          <w:sz w:val="24"/>
          <w:szCs w:val="24"/>
          <w:highlight w:val="none"/>
        </w:rPr>
        <w:t>的风险，并可能导致其投标无效或被拒绝。</w:t>
      </w:r>
      <w:bookmarkStart w:id="7" w:name="_Toc435629834"/>
      <w:bookmarkStart w:id="8" w:name="_Toc498871240"/>
      <w:bookmarkStart w:id="9" w:name="_Toc435686976"/>
      <w:bookmarkStart w:id="10" w:name="_Toc49082409"/>
      <w:bookmarkStart w:id="11" w:name="_Toc518912731"/>
      <w:bookmarkStart w:id="12" w:name="_Toc422161988"/>
      <w:bookmarkStart w:id="13" w:name="_Toc435687345"/>
      <w:bookmarkStart w:id="14" w:name="_Toc458635592"/>
      <w:bookmarkStart w:id="15" w:name="_Toc49135195"/>
      <w:bookmarkStart w:id="16" w:name="_Toc435687271"/>
      <w:bookmarkStart w:id="17" w:name="_Toc498899367"/>
      <w:bookmarkStart w:id="18" w:name="_Toc25778"/>
      <w:bookmarkStart w:id="19" w:name="_Toc458980389"/>
      <w:bookmarkStart w:id="20" w:name="_Toc438641461"/>
      <w:bookmarkStart w:id="21" w:name="_Toc439679264"/>
      <w:bookmarkStart w:id="22" w:name="_Toc487044248"/>
      <w:bookmarkStart w:id="23" w:name="_Toc298829716"/>
      <w:bookmarkStart w:id="24" w:name="_Toc477879836"/>
      <w:bookmarkStart w:id="25" w:name="_Toc350417820"/>
      <w:bookmarkStart w:id="26" w:name="_Toc435629788"/>
      <w:bookmarkStart w:id="27" w:name="_Toc298920088"/>
      <w:bookmarkStart w:id="28" w:name="_Toc297209415"/>
      <w:bookmarkStart w:id="29" w:name="_Toc343857022"/>
      <w:bookmarkStart w:id="30" w:name="_Toc418023329"/>
      <w:bookmarkStart w:id="31" w:name="_Toc20291"/>
      <w:bookmarkStart w:id="32" w:name="_Toc299108386"/>
      <w:bookmarkStart w:id="33" w:name="_Toc356489049"/>
      <w:bookmarkStart w:id="34" w:name="_Toc439513157"/>
      <w:bookmarkStart w:id="35" w:name="_Toc425347658"/>
      <w:bookmarkStart w:id="36" w:name="_Toc435623750"/>
      <w:bookmarkStart w:id="37" w:name="_Toc298829957"/>
      <w:bookmarkStart w:id="38" w:name="_Toc416208482"/>
      <w:bookmarkStart w:id="39" w:name="_Toc438508593"/>
      <w:bookmarkStart w:id="40" w:name="_Toc470184437"/>
      <w:bookmarkStart w:id="41" w:name="_Toc365033702"/>
      <w:bookmarkStart w:id="42" w:name="_Toc364846096"/>
      <w:bookmarkStart w:id="43" w:name="_Toc438513730"/>
      <w:bookmarkStart w:id="44" w:name="_Toc438722126"/>
      <w:bookmarkStart w:id="45" w:name="_Toc439513441"/>
      <w:bookmarkStart w:id="46" w:name="_Toc380533806"/>
      <w:bookmarkStart w:id="47" w:name="_Toc494832083"/>
      <w:bookmarkStart w:id="48" w:name="_Toc383124044"/>
      <w:bookmarkStart w:id="49" w:name="_Toc479340785"/>
      <w:bookmarkStart w:id="50" w:name="_Toc298190380"/>
      <w:bookmarkStart w:id="51" w:name="_Toc486969375"/>
      <w:bookmarkStart w:id="52" w:name="_Toc479325588"/>
      <w:bookmarkStart w:id="53" w:name="_Toc422865417"/>
      <w:bookmarkStart w:id="54" w:name="_Toc414510776"/>
    </w:p>
    <w:p w14:paraId="5DCA5DB1">
      <w:pPr>
        <w:shd w:val="clear" w:fill="FFFFFF" w:themeFill="background1"/>
        <w:rPr>
          <w:bCs/>
          <w:color w:val="auto"/>
          <w:sz w:val="28"/>
          <w:highlight w:val="none"/>
        </w:rPr>
      </w:pPr>
      <w:r>
        <w:rPr>
          <w:rFonts w:hint="eastAsia"/>
          <w:bCs/>
          <w:color w:val="auto"/>
          <w:sz w:val="28"/>
          <w:highlight w:val="none"/>
        </w:rPr>
        <w:br w:type="page"/>
      </w:r>
    </w:p>
    <w:p w14:paraId="6EB81993">
      <w:pPr>
        <w:pStyle w:val="4"/>
        <w:numPr>
          <w:ilvl w:val="0"/>
          <w:numId w:val="2"/>
        </w:numPr>
        <w:shd w:val="clear" w:fill="FFFFFF" w:themeFill="background1"/>
        <w:tabs>
          <w:tab w:val="left" w:pos="425"/>
          <w:tab w:val="clear" w:pos="147"/>
        </w:tabs>
        <w:ind w:left="425"/>
        <w:rPr>
          <w:bCs/>
          <w:color w:val="auto"/>
          <w:sz w:val="28"/>
          <w:highlight w:val="none"/>
        </w:rPr>
      </w:pPr>
      <w:r>
        <w:rPr>
          <w:rFonts w:hint="eastAsia"/>
          <w:bCs/>
          <w:color w:val="auto"/>
          <w:sz w:val="28"/>
          <w:highlight w:val="none"/>
        </w:rPr>
        <w:t>总体说明</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42D9F20">
      <w:pPr>
        <w:numPr>
          <w:ilvl w:val="1"/>
          <w:numId w:val="2"/>
        </w:numPr>
        <w:shd w:val="clear" w:fill="FFFFFF" w:themeFill="background1"/>
        <w:tabs>
          <w:tab w:val="left" w:pos="525"/>
          <w:tab w:val="left" w:pos="567"/>
          <w:tab w:val="left" w:pos="630"/>
          <w:tab w:val="clear" w:pos="289"/>
        </w:tabs>
        <w:spacing w:line="360" w:lineRule="auto"/>
        <w:ind w:left="567"/>
        <w:outlineLvl w:val="3"/>
        <w:rPr>
          <w:rFonts w:ascii="宋体" w:hAnsi="宋体"/>
          <w:b/>
          <w:bCs/>
          <w:color w:val="auto"/>
          <w:sz w:val="24"/>
          <w:highlight w:val="none"/>
        </w:rPr>
      </w:pPr>
      <w:r>
        <w:rPr>
          <w:rFonts w:hint="eastAsia" w:ascii="宋体" w:hAnsi="宋体"/>
          <w:b/>
          <w:bCs/>
          <w:color w:val="auto"/>
          <w:sz w:val="24"/>
          <w:highlight w:val="none"/>
        </w:rPr>
        <w:t>资金来源</w:t>
      </w:r>
    </w:p>
    <w:p w14:paraId="540077C7">
      <w:pPr>
        <w:shd w:val="clear" w:fill="FFFFFF" w:themeFill="background1"/>
        <w:spacing w:line="360" w:lineRule="auto"/>
        <w:ind w:firstLine="482" w:firstLineChars="200"/>
        <w:rPr>
          <w:rFonts w:hint="eastAsia" w:ascii="宋体" w:hAnsi="宋体" w:eastAsia="宋体"/>
          <w:b/>
          <w:bCs/>
          <w:color w:val="auto"/>
          <w:sz w:val="24"/>
          <w:highlight w:val="none"/>
          <w:lang w:val="en-US" w:eastAsia="zh-CN"/>
        </w:rPr>
      </w:pPr>
      <w:r>
        <w:rPr>
          <w:rFonts w:hint="eastAsia" w:ascii="宋体" w:cs="宋体"/>
          <w:b/>
          <w:bCs/>
          <w:color w:val="auto"/>
          <w:kern w:val="0"/>
          <w:sz w:val="24"/>
          <w:szCs w:val="24"/>
          <w:highlight w:val="none"/>
          <w:lang w:val="en-US" w:eastAsia="zh-CN"/>
        </w:rPr>
        <w:t>财政资金</w:t>
      </w:r>
    </w:p>
    <w:p w14:paraId="5DD8ED2D">
      <w:pPr>
        <w:numPr>
          <w:ilvl w:val="1"/>
          <w:numId w:val="2"/>
        </w:numPr>
        <w:shd w:val="clear" w:fill="FFFFFF" w:themeFill="background1"/>
        <w:tabs>
          <w:tab w:val="left" w:pos="525"/>
          <w:tab w:val="left" w:pos="567"/>
          <w:tab w:val="left" w:pos="630"/>
          <w:tab w:val="clear" w:pos="289"/>
        </w:tabs>
        <w:spacing w:line="360" w:lineRule="auto"/>
        <w:ind w:left="567"/>
        <w:outlineLvl w:val="3"/>
        <w:rPr>
          <w:rFonts w:ascii="宋体" w:hAnsi="宋体"/>
          <w:color w:val="auto"/>
          <w:sz w:val="24"/>
          <w:highlight w:val="none"/>
        </w:rPr>
      </w:pPr>
      <w:r>
        <w:rPr>
          <w:rFonts w:hint="eastAsia" w:ascii="宋体" w:hAnsi="宋体"/>
          <w:b/>
          <w:bCs/>
          <w:color w:val="auto"/>
          <w:sz w:val="24"/>
          <w:highlight w:val="none"/>
        </w:rPr>
        <w:t>适用范围</w:t>
      </w:r>
    </w:p>
    <w:p w14:paraId="241FF36B">
      <w:pPr>
        <w:numPr>
          <w:ilvl w:val="2"/>
          <w:numId w:val="2"/>
        </w:numPr>
        <w:shd w:val="clear" w:fill="FFFFFF" w:themeFill="background1"/>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依据《中华人民共和国政府采购法》等有关政府采购的法律法规制定本须知。</w:t>
      </w:r>
    </w:p>
    <w:p w14:paraId="64D0BA63">
      <w:pPr>
        <w:numPr>
          <w:ilvl w:val="2"/>
          <w:numId w:val="2"/>
        </w:numPr>
        <w:shd w:val="clear" w:fill="FFFFFF" w:themeFill="background1"/>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招标人</w:t>
      </w:r>
      <w:r>
        <w:rPr>
          <w:rFonts w:hint="eastAsia" w:ascii="宋体" w:hAnsi="宋体"/>
          <w:color w:val="auto"/>
          <w:sz w:val="24"/>
          <w:highlight w:val="none"/>
        </w:rPr>
        <w:t>、采购代理机构、</w:t>
      </w:r>
      <w:r>
        <w:rPr>
          <w:rFonts w:hint="eastAsia" w:ascii="宋体" w:hAnsi="宋体"/>
          <w:color w:val="auto"/>
          <w:sz w:val="24"/>
          <w:highlight w:val="none"/>
          <w:lang w:eastAsia="zh-CN"/>
        </w:rPr>
        <w:t>供应商</w:t>
      </w:r>
      <w:r>
        <w:rPr>
          <w:rFonts w:hint="eastAsia" w:ascii="宋体" w:hAnsi="宋体"/>
          <w:color w:val="auto"/>
          <w:sz w:val="24"/>
          <w:highlight w:val="none"/>
        </w:rPr>
        <w:t>及各方当事人适用本须知。</w:t>
      </w:r>
    </w:p>
    <w:p w14:paraId="3CE404D8">
      <w:pPr>
        <w:numPr>
          <w:ilvl w:val="1"/>
          <w:numId w:val="2"/>
        </w:numPr>
        <w:shd w:val="clear" w:fill="FFFFFF" w:themeFill="background1"/>
        <w:tabs>
          <w:tab w:val="left" w:pos="525"/>
          <w:tab w:val="left" w:pos="567"/>
          <w:tab w:val="left" w:pos="630"/>
          <w:tab w:val="clear" w:pos="289"/>
        </w:tabs>
        <w:spacing w:line="360" w:lineRule="auto"/>
        <w:ind w:left="567"/>
        <w:outlineLvl w:val="3"/>
        <w:rPr>
          <w:b/>
          <w:bCs/>
          <w:color w:val="auto"/>
          <w:sz w:val="24"/>
          <w:highlight w:val="none"/>
        </w:rPr>
      </w:pPr>
      <w:r>
        <w:rPr>
          <w:rFonts w:hint="eastAsia"/>
          <w:b/>
          <w:bCs/>
          <w:color w:val="auto"/>
          <w:sz w:val="24"/>
          <w:highlight w:val="none"/>
        </w:rPr>
        <w:t>关于定标方式</w:t>
      </w:r>
    </w:p>
    <w:p w14:paraId="7E5764A2">
      <w:pPr>
        <w:shd w:val="clear" w:fill="FFFFFF" w:themeFill="background1"/>
        <w:spacing w:line="360" w:lineRule="auto"/>
        <w:ind w:firstLine="480" w:firstLineChars="200"/>
        <w:rPr>
          <w:rFonts w:ascii="宋体" w:hAnsi="宋体"/>
          <w:color w:val="auto"/>
          <w:highlight w:val="none"/>
        </w:rPr>
      </w:pPr>
      <w:r>
        <w:rPr>
          <w:rFonts w:hint="eastAsia" w:ascii="宋体" w:hAnsi="宋体"/>
          <w:bCs/>
          <w:color w:val="auto"/>
          <w:sz w:val="24"/>
          <w:highlight w:val="none"/>
        </w:rPr>
        <w:t>本次招标采用一次报价一次评标定标的方式；</w:t>
      </w:r>
      <w:r>
        <w:rPr>
          <w:rFonts w:hint="eastAsia" w:ascii="宋体" w:hAnsi="宋体"/>
          <w:bCs/>
          <w:color w:val="auto"/>
          <w:sz w:val="24"/>
          <w:highlight w:val="none"/>
          <w:lang w:eastAsia="zh-CN"/>
        </w:rPr>
        <w:t>招标人</w:t>
      </w:r>
      <w:r>
        <w:rPr>
          <w:rFonts w:hint="eastAsia" w:ascii="宋体" w:hAnsi="宋体"/>
          <w:bCs/>
          <w:color w:val="auto"/>
          <w:sz w:val="24"/>
          <w:highlight w:val="none"/>
        </w:rPr>
        <w:t>拒绝接受有选择性报价的投标。</w:t>
      </w:r>
    </w:p>
    <w:p w14:paraId="140BD53D">
      <w:pPr>
        <w:numPr>
          <w:ilvl w:val="1"/>
          <w:numId w:val="2"/>
        </w:numPr>
        <w:shd w:val="clear" w:fill="FFFFFF" w:themeFill="background1"/>
        <w:tabs>
          <w:tab w:val="left" w:pos="525"/>
          <w:tab w:val="left" w:pos="567"/>
          <w:tab w:val="left" w:pos="630"/>
          <w:tab w:val="clear" w:pos="289"/>
        </w:tabs>
        <w:spacing w:line="360" w:lineRule="auto"/>
        <w:ind w:left="567"/>
        <w:outlineLvl w:val="3"/>
        <w:rPr>
          <w:b/>
          <w:bCs/>
          <w:color w:val="auto"/>
          <w:sz w:val="24"/>
          <w:highlight w:val="none"/>
        </w:rPr>
      </w:pPr>
      <w:r>
        <w:rPr>
          <w:rFonts w:hint="eastAsia"/>
          <w:b/>
          <w:bCs/>
          <w:color w:val="auto"/>
          <w:sz w:val="24"/>
          <w:highlight w:val="none"/>
        </w:rPr>
        <w:t>定义</w:t>
      </w:r>
    </w:p>
    <w:p w14:paraId="046EFD7B">
      <w:pPr>
        <w:numPr>
          <w:ilvl w:val="2"/>
          <w:numId w:val="2"/>
        </w:numPr>
        <w:shd w:val="clear" w:fill="FFFFFF" w:themeFill="background1"/>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招标人</w:t>
      </w:r>
      <w:r>
        <w:rPr>
          <w:rFonts w:hint="eastAsia" w:ascii="宋体" w:hAnsi="宋体"/>
          <w:color w:val="auto"/>
          <w:sz w:val="24"/>
          <w:highlight w:val="none"/>
        </w:rPr>
        <w:t>：是指</w:t>
      </w:r>
      <w:r>
        <w:rPr>
          <w:rFonts w:hint="eastAsia" w:ascii="宋体" w:hAnsi="宋体"/>
          <w:b/>
          <w:bCs/>
          <w:color w:val="auto"/>
          <w:sz w:val="24"/>
          <w:highlight w:val="none"/>
          <w:lang w:eastAsia="zh-CN"/>
        </w:rPr>
        <w:t>和硕县教育和科学技术局</w:t>
      </w:r>
      <w:r>
        <w:rPr>
          <w:rFonts w:hint="eastAsia" w:ascii="宋体" w:hAnsi="宋体"/>
          <w:color w:val="auto"/>
          <w:sz w:val="24"/>
          <w:highlight w:val="none"/>
        </w:rPr>
        <w:t>。</w:t>
      </w:r>
    </w:p>
    <w:p w14:paraId="791555AD">
      <w:pPr>
        <w:numPr>
          <w:ilvl w:val="2"/>
          <w:numId w:val="2"/>
        </w:numPr>
        <w:shd w:val="clear" w:fill="FFFFFF" w:themeFill="background1"/>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采购代理机构：是指</w:t>
      </w:r>
      <w:r>
        <w:rPr>
          <w:rFonts w:hint="eastAsia" w:ascii="宋体" w:hAnsi="宋体"/>
          <w:b/>
          <w:bCs/>
          <w:color w:val="auto"/>
          <w:sz w:val="24"/>
          <w:highlight w:val="none"/>
          <w:lang w:eastAsia="zh-CN"/>
        </w:rPr>
        <w:t>新疆益双工程管理有限公司</w:t>
      </w:r>
      <w:r>
        <w:rPr>
          <w:rFonts w:hint="eastAsia" w:ascii="宋体" w:hAnsi="宋体"/>
          <w:color w:val="auto"/>
          <w:sz w:val="24"/>
          <w:highlight w:val="none"/>
        </w:rPr>
        <w:t>。</w:t>
      </w:r>
    </w:p>
    <w:p w14:paraId="520BFC75">
      <w:pPr>
        <w:numPr>
          <w:ilvl w:val="2"/>
          <w:numId w:val="2"/>
        </w:numPr>
        <w:shd w:val="clear" w:fill="FFFFFF" w:themeFill="background1"/>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：是指向采购代理机构提交投标文件的</w:t>
      </w:r>
      <w:r>
        <w:rPr>
          <w:rFonts w:hint="eastAsia" w:ascii="宋体" w:hAnsi="宋体"/>
          <w:color w:val="auto"/>
          <w:sz w:val="24"/>
          <w:highlight w:val="none"/>
          <w:lang w:eastAsia="zh-CN"/>
        </w:rPr>
        <w:t>供应商</w:t>
      </w:r>
      <w:r>
        <w:rPr>
          <w:rFonts w:hint="eastAsia" w:ascii="宋体" w:hAnsi="宋体"/>
          <w:color w:val="auto"/>
          <w:sz w:val="24"/>
          <w:highlight w:val="none"/>
        </w:rPr>
        <w:t>。</w:t>
      </w:r>
    </w:p>
    <w:p w14:paraId="216F68AB">
      <w:pPr>
        <w:numPr>
          <w:ilvl w:val="2"/>
          <w:numId w:val="2"/>
        </w:numPr>
        <w:shd w:val="clear" w:fill="FFFFFF" w:themeFill="background1"/>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中标人：是指经合法招、投标程序评选出来的</w:t>
      </w:r>
      <w:r>
        <w:rPr>
          <w:rFonts w:hint="eastAsia" w:ascii="宋体" w:hAnsi="宋体"/>
          <w:color w:val="auto"/>
          <w:sz w:val="24"/>
          <w:highlight w:val="none"/>
          <w:lang w:eastAsia="zh-CN"/>
        </w:rPr>
        <w:t>供应商</w:t>
      </w:r>
      <w:r>
        <w:rPr>
          <w:rFonts w:hint="eastAsia" w:ascii="宋体" w:hAnsi="宋体"/>
          <w:color w:val="auto"/>
          <w:sz w:val="24"/>
          <w:highlight w:val="none"/>
        </w:rPr>
        <w:t>。</w:t>
      </w:r>
    </w:p>
    <w:p w14:paraId="12186AFB">
      <w:pPr>
        <w:numPr>
          <w:ilvl w:val="2"/>
          <w:numId w:val="2"/>
        </w:numPr>
        <w:shd w:val="clear" w:fill="FFFFFF" w:themeFill="background1"/>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货物</w:t>
      </w:r>
      <w:r>
        <w:rPr>
          <w:rFonts w:hint="eastAsia" w:ascii="宋体" w:hAnsi="宋体"/>
          <w:color w:val="auto"/>
          <w:sz w:val="24"/>
          <w:highlight w:val="none"/>
        </w:rPr>
        <w:t>：是指</w:t>
      </w:r>
      <w:r>
        <w:rPr>
          <w:rFonts w:hint="eastAsia" w:ascii="宋体" w:hAnsi="宋体"/>
          <w:color w:val="auto"/>
          <w:sz w:val="24"/>
          <w:highlight w:val="none"/>
          <w:lang w:eastAsia="zh-CN"/>
        </w:rPr>
        <w:t>供应商</w:t>
      </w:r>
      <w:r>
        <w:rPr>
          <w:rFonts w:hint="eastAsia" w:ascii="宋体" w:hAnsi="宋体"/>
          <w:color w:val="auto"/>
          <w:sz w:val="24"/>
          <w:highlight w:val="none"/>
        </w:rPr>
        <w:t>按</w:t>
      </w:r>
      <w:r>
        <w:rPr>
          <w:rFonts w:hint="eastAsia" w:ascii="宋体" w:hAnsi="宋体"/>
          <w:color w:val="auto"/>
          <w:sz w:val="24"/>
          <w:highlight w:val="none"/>
          <w:lang w:eastAsia="zh-CN"/>
        </w:rPr>
        <w:t>招标文件</w:t>
      </w:r>
      <w:r>
        <w:rPr>
          <w:rFonts w:hint="eastAsia" w:ascii="宋体" w:hAnsi="宋体"/>
          <w:color w:val="auto"/>
          <w:sz w:val="24"/>
          <w:highlight w:val="none"/>
        </w:rPr>
        <w:t>规定，须向</w:t>
      </w:r>
      <w:r>
        <w:rPr>
          <w:rFonts w:hint="eastAsia" w:ascii="宋体" w:hAnsi="宋体"/>
          <w:color w:val="auto"/>
          <w:sz w:val="24"/>
          <w:highlight w:val="none"/>
          <w:lang w:eastAsia="zh-CN"/>
        </w:rPr>
        <w:t>招标人</w:t>
      </w:r>
      <w:r>
        <w:rPr>
          <w:rFonts w:hint="eastAsia" w:ascii="宋体" w:hAnsi="宋体"/>
          <w:color w:val="auto"/>
          <w:sz w:val="24"/>
          <w:highlight w:val="none"/>
        </w:rPr>
        <w:t>提供的</w:t>
      </w:r>
      <w:r>
        <w:rPr>
          <w:rFonts w:hint="eastAsia" w:ascii="宋体" w:hAnsi="宋体"/>
          <w:color w:val="auto"/>
          <w:sz w:val="24"/>
          <w:highlight w:val="none"/>
          <w:lang w:eastAsia="zh-CN"/>
        </w:rPr>
        <w:t>货物</w:t>
      </w:r>
      <w:r>
        <w:rPr>
          <w:rFonts w:hint="eastAsia" w:ascii="宋体" w:hAnsi="宋体"/>
          <w:color w:val="auto"/>
          <w:sz w:val="24"/>
          <w:highlight w:val="none"/>
        </w:rPr>
        <w:t>、备件、工具、手册及其它技术资料和材料。</w:t>
      </w:r>
    </w:p>
    <w:p w14:paraId="00C1D317">
      <w:pPr>
        <w:numPr>
          <w:ilvl w:val="2"/>
          <w:numId w:val="2"/>
        </w:numPr>
        <w:shd w:val="clear" w:fill="FFFFFF" w:themeFill="background1"/>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服务：是指</w:t>
      </w:r>
      <w:r>
        <w:rPr>
          <w:rFonts w:hint="eastAsia" w:ascii="宋体" w:hAnsi="宋体"/>
          <w:color w:val="auto"/>
          <w:sz w:val="24"/>
          <w:highlight w:val="none"/>
          <w:lang w:eastAsia="zh-CN"/>
        </w:rPr>
        <w:t>招标文件</w:t>
      </w:r>
      <w:r>
        <w:rPr>
          <w:rFonts w:hint="eastAsia" w:ascii="宋体" w:hAnsi="宋体"/>
          <w:color w:val="auto"/>
          <w:sz w:val="24"/>
          <w:highlight w:val="none"/>
        </w:rPr>
        <w:t>规定</w:t>
      </w:r>
      <w:r>
        <w:rPr>
          <w:rFonts w:hint="eastAsia" w:ascii="宋体" w:hAnsi="宋体"/>
          <w:color w:val="auto"/>
          <w:sz w:val="24"/>
          <w:highlight w:val="none"/>
          <w:lang w:eastAsia="zh-CN"/>
        </w:rPr>
        <w:t>供应商</w:t>
      </w:r>
      <w:r>
        <w:rPr>
          <w:rFonts w:hint="eastAsia" w:ascii="宋体" w:hAnsi="宋体"/>
          <w:color w:val="auto"/>
          <w:sz w:val="24"/>
          <w:highlight w:val="none"/>
        </w:rPr>
        <w:t>须承担的有关服务。</w:t>
      </w:r>
    </w:p>
    <w:p w14:paraId="2532D54A">
      <w:pPr>
        <w:numPr>
          <w:ilvl w:val="2"/>
          <w:numId w:val="2"/>
        </w:numPr>
        <w:shd w:val="clear" w:fill="FFFFFF" w:themeFill="background1"/>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实质性响应：是指符合</w:t>
      </w:r>
      <w:r>
        <w:rPr>
          <w:rFonts w:hint="eastAsia" w:ascii="宋体" w:hAnsi="宋体"/>
          <w:color w:val="auto"/>
          <w:sz w:val="24"/>
          <w:highlight w:val="none"/>
          <w:lang w:eastAsia="zh-CN"/>
        </w:rPr>
        <w:t>招标文件</w:t>
      </w:r>
      <w:r>
        <w:rPr>
          <w:rFonts w:hint="eastAsia" w:ascii="宋体" w:hAnsi="宋体"/>
          <w:color w:val="auto"/>
          <w:sz w:val="24"/>
          <w:highlight w:val="none"/>
        </w:rPr>
        <w:t>的要求、条款、条件和规定，且没有重大偏离或保留。</w:t>
      </w:r>
    </w:p>
    <w:p w14:paraId="7127C140">
      <w:pPr>
        <w:numPr>
          <w:ilvl w:val="2"/>
          <w:numId w:val="2"/>
        </w:numPr>
        <w:shd w:val="clear" w:fill="FFFFFF" w:themeFill="background1"/>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重大偏离或保留：是指投标文件中影响到</w:t>
      </w:r>
      <w:r>
        <w:rPr>
          <w:rFonts w:hint="eastAsia" w:ascii="宋体" w:hAnsi="宋体"/>
          <w:color w:val="auto"/>
          <w:sz w:val="24"/>
          <w:highlight w:val="none"/>
          <w:lang w:eastAsia="zh-CN"/>
        </w:rPr>
        <w:t>招标文件</w:t>
      </w:r>
      <w:r>
        <w:rPr>
          <w:rFonts w:hint="eastAsia" w:ascii="宋体" w:hAnsi="宋体"/>
          <w:color w:val="auto"/>
          <w:sz w:val="24"/>
          <w:highlight w:val="none"/>
        </w:rPr>
        <w:t>规定的货物和服务质量或限制了</w:t>
      </w:r>
      <w:r>
        <w:rPr>
          <w:rFonts w:hint="eastAsia" w:ascii="宋体" w:hAnsi="宋体"/>
          <w:color w:val="auto"/>
          <w:sz w:val="24"/>
          <w:highlight w:val="none"/>
          <w:lang w:eastAsia="zh-CN"/>
        </w:rPr>
        <w:t>招标人</w:t>
      </w:r>
      <w:r>
        <w:rPr>
          <w:rFonts w:hint="eastAsia" w:ascii="宋体" w:hAnsi="宋体"/>
          <w:color w:val="auto"/>
          <w:sz w:val="24"/>
          <w:highlight w:val="none"/>
        </w:rPr>
        <w:t>的权利/</w:t>
      </w:r>
      <w:r>
        <w:rPr>
          <w:rFonts w:hint="eastAsia" w:ascii="宋体" w:hAnsi="宋体"/>
          <w:color w:val="auto"/>
          <w:sz w:val="24"/>
          <w:highlight w:val="none"/>
          <w:lang w:eastAsia="zh-CN"/>
        </w:rPr>
        <w:t>供应商</w:t>
      </w:r>
      <w:r>
        <w:rPr>
          <w:rFonts w:hint="eastAsia" w:ascii="宋体" w:hAnsi="宋体"/>
          <w:color w:val="auto"/>
          <w:sz w:val="24"/>
          <w:highlight w:val="none"/>
        </w:rPr>
        <w:t>的义务的规定，而认可该等规定偏离将影响到其他</w:t>
      </w:r>
      <w:r>
        <w:rPr>
          <w:rFonts w:hint="eastAsia" w:ascii="宋体" w:hAnsi="宋体"/>
          <w:color w:val="auto"/>
          <w:sz w:val="24"/>
          <w:highlight w:val="none"/>
          <w:lang w:eastAsia="zh-CN"/>
        </w:rPr>
        <w:t>供应商</w:t>
      </w:r>
      <w:r>
        <w:rPr>
          <w:rFonts w:hint="eastAsia" w:ascii="宋体" w:hAnsi="宋体"/>
          <w:color w:val="auto"/>
          <w:sz w:val="24"/>
          <w:highlight w:val="none"/>
        </w:rPr>
        <w:t>的公平竞争地位。</w:t>
      </w:r>
    </w:p>
    <w:p w14:paraId="14D68C84">
      <w:pPr>
        <w:numPr>
          <w:ilvl w:val="2"/>
          <w:numId w:val="2"/>
        </w:numPr>
        <w:shd w:val="clear" w:fill="FFFFFF" w:themeFill="background1"/>
        <w:tabs>
          <w:tab w:val="left" w:pos="624"/>
          <w:tab w:val="left" w:pos="840"/>
          <w:tab w:val="clear" w:pos="1050"/>
        </w:tabs>
        <w:spacing w:line="360" w:lineRule="auto"/>
        <w:ind w:left="840" w:hanging="840"/>
        <w:rPr>
          <w:rFonts w:ascii="宋体" w:hAnsi="宋体"/>
          <w:color w:val="auto"/>
          <w:sz w:val="24"/>
          <w:highlight w:val="none"/>
        </w:rPr>
      </w:pPr>
      <w:r>
        <w:rPr>
          <w:rFonts w:hint="eastAsia" w:ascii="宋体" w:hAnsi="宋体"/>
          <w:color w:val="auto"/>
          <w:sz w:val="24"/>
          <w:highlight w:val="none"/>
        </w:rPr>
        <w:t>投标保证金：指</w:t>
      </w:r>
      <w:r>
        <w:rPr>
          <w:rFonts w:hint="eastAsia" w:ascii="宋体" w:hAnsi="宋体"/>
          <w:color w:val="auto"/>
          <w:sz w:val="24"/>
          <w:highlight w:val="none"/>
          <w:lang w:eastAsia="zh-CN"/>
        </w:rPr>
        <w:t>供应商</w:t>
      </w:r>
      <w:r>
        <w:rPr>
          <w:rFonts w:hint="eastAsia" w:ascii="宋体" w:hAnsi="宋体"/>
          <w:color w:val="auto"/>
          <w:sz w:val="24"/>
          <w:highlight w:val="none"/>
        </w:rPr>
        <w:t>按照本</w:t>
      </w:r>
      <w:r>
        <w:rPr>
          <w:rFonts w:hint="eastAsia" w:ascii="宋体" w:hAnsi="宋体"/>
          <w:color w:val="auto"/>
          <w:sz w:val="24"/>
          <w:highlight w:val="none"/>
          <w:lang w:eastAsia="zh-CN"/>
        </w:rPr>
        <w:t>招标文件</w:t>
      </w:r>
      <w:r>
        <w:rPr>
          <w:rFonts w:hint="eastAsia" w:ascii="宋体" w:hAnsi="宋体"/>
          <w:color w:val="auto"/>
          <w:sz w:val="24"/>
          <w:highlight w:val="none"/>
        </w:rPr>
        <w:t>规定向采购代理机构或</w:t>
      </w:r>
      <w:r>
        <w:rPr>
          <w:rFonts w:hint="eastAsia" w:ascii="宋体" w:hAnsi="宋体"/>
          <w:color w:val="auto"/>
          <w:sz w:val="24"/>
          <w:highlight w:val="none"/>
          <w:lang w:eastAsia="zh-CN"/>
        </w:rPr>
        <w:t>招标人</w:t>
      </w:r>
      <w:r>
        <w:rPr>
          <w:rFonts w:hint="eastAsia" w:ascii="宋体" w:hAnsi="宋体"/>
          <w:color w:val="auto"/>
          <w:sz w:val="24"/>
          <w:highlight w:val="none"/>
        </w:rPr>
        <w:t>提交的款项。采购代理机构或者</w:t>
      </w:r>
      <w:r>
        <w:rPr>
          <w:rFonts w:hint="eastAsia" w:ascii="宋体" w:hAnsi="宋体"/>
          <w:color w:val="auto"/>
          <w:sz w:val="24"/>
          <w:highlight w:val="none"/>
          <w:lang w:eastAsia="zh-CN"/>
        </w:rPr>
        <w:t>招标人</w:t>
      </w:r>
      <w:r>
        <w:rPr>
          <w:rFonts w:hint="eastAsia" w:ascii="宋体" w:hAnsi="宋体"/>
          <w:color w:val="auto"/>
          <w:sz w:val="24"/>
          <w:highlight w:val="none"/>
        </w:rPr>
        <w:t>因</w:t>
      </w:r>
      <w:r>
        <w:rPr>
          <w:rFonts w:hint="eastAsia" w:ascii="宋体" w:hAnsi="宋体"/>
          <w:color w:val="auto"/>
          <w:sz w:val="24"/>
          <w:highlight w:val="none"/>
          <w:lang w:eastAsia="zh-CN"/>
        </w:rPr>
        <w:t>供应商</w:t>
      </w:r>
      <w:r>
        <w:rPr>
          <w:rFonts w:hint="eastAsia" w:ascii="宋体" w:hAnsi="宋体"/>
          <w:color w:val="auto"/>
          <w:sz w:val="24"/>
          <w:highlight w:val="none"/>
        </w:rPr>
        <w:t>的行为而蒙受损失之时，采购代理机构和</w:t>
      </w:r>
      <w:r>
        <w:rPr>
          <w:rFonts w:hint="eastAsia" w:ascii="宋体" w:hAnsi="宋体"/>
          <w:color w:val="auto"/>
          <w:sz w:val="24"/>
          <w:highlight w:val="none"/>
          <w:lang w:eastAsia="zh-CN"/>
        </w:rPr>
        <w:t>招标人</w:t>
      </w:r>
      <w:r>
        <w:rPr>
          <w:rFonts w:hint="eastAsia" w:ascii="宋体" w:hAnsi="宋体"/>
          <w:color w:val="auto"/>
          <w:sz w:val="24"/>
          <w:highlight w:val="none"/>
        </w:rPr>
        <w:t>可根据规定予以没收的款项。</w:t>
      </w:r>
    </w:p>
    <w:p w14:paraId="2859C3AA">
      <w:pPr>
        <w:numPr>
          <w:ilvl w:val="2"/>
          <w:numId w:val="2"/>
        </w:numPr>
        <w:shd w:val="clear" w:fill="FFFFFF" w:themeFill="background1"/>
        <w:tabs>
          <w:tab w:val="left" w:pos="624"/>
          <w:tab w:val="left" w:pos="840"/>
          <w:tab w:val="clear" w:pos="1050"/>
        </w:tabs>
        <w:spacing w:line="360" w:lineRule="auto"/>
        <w:ind w:left="840" w:hanging="840"/>
        <w:rPr>
          <w:rFonts w:ascii="宋体" w:hAnsi="宋体"/>
          <w:color w:val="auto"/>
          <w:sz w:val="24"/>
          <w:highlight w:val="none"/>
        </w:rPr>
      </w:pPr>
      <w:r>
        <w:rPr>
          <w:rFonts w:hint="eastAsia" w:ascii="宋体" w:hAnsi="宋体"/>
          <w:color w:val="auto"/>
          <w:sz w:val="24"/>
          <w:highlight w:val="none"/>
        </w:rPr>
        <w:t>合同期、</w:t>
      </w:r>
      <w:r>
        <w:rPr>
          <w:rFonts w:hint="eastAsia" w:ascii="宋体" w:hAnsi="宋体"/>
          <w:color w:val="auto"/>
          <w:sz w:val="24"/>
          <w:highlight w:val="none"/>
          <w:lang w:eastAsia="zh-CN"/>
        </w:rPr>
        <w:t>供货期限</w:t>
      </w:r>
      <w:r>
        <w:rPr>
          <w:rFonts w:hint="eastAsia" w:ascii="宋体" w:hAnsi="宋体"/>
          <w:color w:val="auto"/>
          <w:sz w:val="24"/>
          <w:highlight w:val="none"/>
        </w:rPr>
        <w:t>：是指签订采购合同之日起至按要求交货并通过验收的期限。</w:t>
      </w:r>
    </w:p>
    <w:p w14:paraId="2CA45227">
      <w:pPr>
        <w:numPr>
          <w:ilvl w:val="2"/>
          <w:numId w:val="2"/>
        </w:numPr>
        <w:shd w:val="clear" w:fill="FFFFFF" w:themeFill="background1"/>
        <w:tabs>
          <w:tab w:val="left" w:pos="624"/>
          <w:tab w:val="left" w:pos="840"/>
          <w:tab w:val="clear" w:pos="1050"/>
        </w:tabs>
        <w:spacing w:line="360" w:lineRule="auto"/>
        <w:ind w:left="840" w:hanging="840"/>
        <w:rPr>
          <w:rFonts w:ascii="宋体" w:hAnsi="宋体"/>
          <w:color w:val="auto"/>
          <w:sz w:val="24"/>
          <w:highlight w:val="none"/>
        </w:rPr>
      </w:pPr>
      <w:r>
        <w:rPr>
          <w:rFonts w:hint="eastAsia" w:ascii="宋体" w:hAnsi="宋体"/>
          <w:color w:val="auto"/>
          <w:sz w:val="24"/>
          <w:highlight w:val="none"/>
        </w:rPr>
        <w:t>日期、天数、时间：无特别说明时是指公历日及北京时间。</w:t>
      </w:r>
    </w:p>
    <w:p w14:paraId="61FD9669">
      <w:pPr>
        <w:numPr>
          <w:ilvl w:val="2"/>
          <w:numId w:val="2"/>
        </w:numPr>
        <w:shd w:val="clear" w:fill="FFFFFF" w:themeFill="background1"/>
        <w:tabs>
          <w:tab w:val="left" w:pos="624"/>
          <w:tab w:val="left" w:pos="840"/>
          <w:tab w:val="clear" w:pos="1050"/>
        </w:tabs>
        <w:spacing w:line="360" w:lineRule="auto"/>
        <w:ind w:left="840" w:hanging="840"/>
        <w:rPr>
          <w:rFonts w:ascii="宋体" w:hAnsi="宋体"/>
          <w:color w:val="auto"/>
          <w:sz w:val="24"/>
          <w:highlight w:val="none"/>
        </w:rPr>
      </w:pPr>
      <w:r>
        <w:rPr>
          <w:rFonts w:hint="eastAsia" w:ascii="宋体" w:hAnsi="宋体"/>
          <w:color w:val="auto"/>
          <w:sz w:val="24"/>
          <w:highlight w:val="none"/>
          <w:lang w:eastAsia="zh-CN"/>
        </w:rPr>
        <w:t>招标文件</w:t>
      </w:r>
      <w:r>
        <w:rPr>
          <w:rFonts w:hint="eastAsia" w:ascii="宋体" w:hAnsi="宋体"/>
          <w:color w:val="auto"/>
          <w:sz w:val="24"/>
          <w:highlight w:val="none"/>
        </w:rPr>
        <w:t>中的标题或题名仅起引导作用，而不应该作为对</w:t>
      </w:r>
      <w:r>
        <w:rPr>
          <w:rFonts w:hint="eastAsia" w:ascii="宋体" w:hAnsi="宋体"/>
          <w:color w:val="auto"/>
          <w:sz w:val="24"/>
          <w:highlight w:val="none"/>
          <w:lang w:eastAsia="zh-CN"/>
        </w:rPr>
        <w:t>招标文件</w:t>
      </w:r>
      <w:r>
        <w:rPr>
          <w:rFonts w:hint="eastAsia" w:ascii="宋体" w:hAnsi="宋体"/>
          <w:color w:val="auto"/>
          <w:sz w:val="24"/>
          <w:highlight w:val="none"/>
        </w:rPr>
        <w:t>内容的理解或解释。</w:t>
      </w:r>
    </w:p>
    <w:p w14:paraId="439A1831">
      <w:pPr>
        <w:numPr>
          <w:ilvl w:val="1"/>
          <w:numId w:val="2"/>
        </w:numPr>
        <w:shd w:val="clear" w:fill="FFFFFF" w:themeFill="background1"/>
        <w:tabs>
          <w:tab w:val="left" w:pos="525"/>
          <w:tab w:val="left" w:pos="567"/>
          <w:tab w:val="left" w:pos="630"/>
          <w:tab w:val="clear" w:pos="289"/>
        </w:tabs>
        <w:spacing w:line="360" w:lineRule="auto"/>
        <w:ind w:left="567"/>
        <w:outlineLvl w:val="3"/>
        <w:rPr>
          <w:rFonts w:ascii="宋体" w:hAnsi="宋体"/>
          <w:b/>
          <w:color w:val="auto"/>
          <w:sz w:val="24"/>
          <w:highlight w:val="none"/>
        </w:rPr>
      </w:pPr>
      <w:bookmarkStart w:id="55" w:name="_Toc264616629"/>
      <w:r>
        <w:rPr>
          <w:rFonts w:hint="eastAsia" w:ascii="宋体" w:hAnsi="宋体"/>
          <w:b/>
          <w:color w:val="auto"/>
          <w:sz w:val="24"/>
          <w:highlight w:val="none"/>
        </w:rPr>
        <w:t>应遵循的原则</w:t>
      </w:r>
      <w:bookmarkEnd w:id="55"/>
    </w:p>
    <w:p w14:paraId="50D05962">
      <w:pPr>
        <w:numPr>
          <w:ilvl w:val="2"/>
          <w:numId w:val="2"/>
        </w:numPr>
        <w:shd w:val="clear" w:fill="FFFFFF" w:themeFill="background1"/>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遵循公开、公平、公正和诚实信用原则。</w:t>
      </w:r>
    </w:p>
    <w:p w14:paraId="1A05A0B5">
      <w:pPr>
        <w:numPr>
          <w:ilvl w:val="2"/>
          <w:numId w:val="2"/>
        </w:numPr>
        <w:shd w:val="clear" w:fill="FFFFFF" w:themeFill="background1"/>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坚持价格合理、质量优先、服务优质。</w:t>
      </w:r>
    </w:p>
    <w:p w14:paraId="1CDDF26D">
      <w:pPr>
        <w:numPr>
          <w:ilvl w:val="2"/>
          <w:numId w:val="2"/>
        </w:numPr>
        <w:shd w:val="clear" w:fill="FFFFFF" w:themeFill="background1"/>
        <w:tabs>
          <w:tab w:val="left" w:pos="624"/>
          <w:tab w:val="left" w:pos="735"/>
          <w:tab w:val="clear" w:pos="1050"/>
        </w:tabs>
        <w:spacing w:line="360" w:lineRule="auto"/>
        <w:ind w:left="735" w:hanging="735"/>
        <w:rPr>
          <w:rFonts w:ascii="Verdana" w:hAnsi="Verdana"/>
          <w:color w:val="auto"/>
          <w:sz w:val="24"/>
          <w:highlight w:val="none"/>
        </w:rPr>
      </w:pPr>
      <w:r>
        <w:rPr>
          <w:rFonts w:hint="eastAsia" w:ascii="宋体" w:hAnsi="宋体"/>
          <w:color w:val="auto"/>
          <w:sz w:val="24"/>
          <w:highlight w:val="none"/>
        </w:rPr>
        <w:t>利用</w:t>
      </w:r>
      <w:r>
        <w:rPr>
          <w:rFonts w:hint="eastAsia" w:ascii="Verdana" w:hAnsi="Verdana"/>
          <w:color w:val="auto"/>
          <w:sz w:val="24"/>
          <w:highlight w:val="none"/>
        </w:rPr>
        <w:t>法律手段强化竞争机制，贯彻统一、规范、简化、高效的要求。</w:t>
      </w:r>
    </w:p>
    <w:p w14:paraId="7FD11E06">
      <w:pPr>
        <w:numPr>
          <w:ilvl w:val="1"/>
          <w:numId w:val="2"/>
        </w:numPr>
        <w:shd w:val="clear" w:fill="FFFFFF" w:themeFill="background1"/>
        <w:tabs>
          <w:tab w:val="left" w:pos="525"/>
          <w:tab w:val="left" w:pos="567"/>
          <w:tab w:val="left" w:pos="630"/>
          <w:tab w:val="clear" w:pos="289"/>
        </w:tabs>
        <w:snapToGrid w:val="0"/>
        <w:spacing w:line="360" w:lineRule="auto"/>
        <w:ind w:left="567"/>
        <w:outlineLvl w:val="3"/>
        <w:rPr>
          <w:rFonts w:ascii="宋体" w:hAnsi="宋体"/>
          <w:b/>
          <w:color w:val="auto"/>
          <w:sz w:val="24"/>
          <w:highlight w:val="none"/>
        </w:rPr>
      </w:pPr>
      <w:bookmarkStart w:id="56" w:name="_Toc264616632"/>
      <w:r>
        <w:rPr>
          <w:rFonts w:hint="eastAsia" w:ascii="宋体" w:hAnsi="宋体"/>
          <w:b/>
          <w:color w:val="auto"/>
          <w:sz w:val="24"/>
          <w:highlight w:val="none"/>
        </w:rPr>
        <w:t>合格的货物和服务</w:t>
      </w:r>
      <w:bookmarkEnd w:id="56"/>
    </w:p>
    <w:p w14:paraId="39541454">
      <w:pPr>
        <w:numPr>
          <w:ilvl w:val="2"/>
          <w:numId w:val="2"/>
        </w:numPr>
        <w:shd w:val="clear" w:fill="FFFFFF" w:themeFill="background1"/>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供应商</w:t>
      </w:r>
      <w:r>
        <w:rPr>
          <w:rFonts w:ascii="宋体" w:hAnsi="宋体"/>
          <w:color w:val="auto"/>
          <w:sz w:val="24"/>
          <w:highlight w:val="none"/>
        </w:rPr>
        <w:t>提供的所有货物及服务，其来源地均应为中华人民共和国或与中华人民共和国有官方贸易关系的国家或地区。</w:t>
      </w:r>
    </w:p>
    <w:p w14:paraId="41DCB6B5">
      <w:pPr>
        <w:numPr>
          <w:ilvl w:val="2"/>
          <w:numId w:val="2"/>
        </w:numPr>
        <w:shd w:val="clear" w:fill="FFFFFF" w:themeFill="background1"/>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供应商</w:t>
      </w:r>
      <w:r>
        <w:rPr>
          <w:rFonts w:ascii="宋体" w:hAnsi="宋体"/>
          <w:color w:val="auto"/>
          <w:sz w:val="24"/>
          <w:highlight w:val="none"/>
        </w:rPr>
        <w:t>提供的所有货物和服务，其质量、技术等特征必须符合国家、行业现行的标准及</w:t>
      </w:r>
      <w:r>
        <w:rPr>
          <w:rFonts w:hint="eastAsia" w:ascii="宋体" w:hAnsi="宋体"/>
          <w:color w:val="auto"/>
          <w:sz w:val="24"/>
          <w:highlight w:val="none"/>
          <w:lang w:eastAsia="zh-CN"/>
        </w:rPr>
        <w:t>招标人需求</w:t>
      </w:r>
      <w:r>
        <w:rPr>
          <w:rFonts w:ascii="宋体" w:hAnsi="宋体"/>
          <w:color w:val="auto"/>
          <w:sz w:val="24"/>
          <w:highlight w:val="none"/>
        </w:rPr>
        <w:t>。</w:t>
      </w:r>
    </w:p>
    <w:p w14:paraId="691215EF">
      <w:pPr>
        <w:numPr>
          <w:ilvl w:val="2"/>
          <w:numId w:val="2"/>
        </w:numPr>
        <w:shd w:val="clear" w:fill="FFFFFF" w:themeFill="background1"/>
        <w:tabs>
          <w:tab w:val="left" w:pos="624"/>
          <w:tab w:val="left" w:pos="735"/>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招标人</w:t>
      </w:r>
      <w:r>
        <w:rPr>
          <w:rFonts w:ascii="宋体" w:hAnsi="宋体"/>
          <w:color w:val="auto"/>
          <w:sz w:val="24"/>
          <w:highlight w:val="none"/>
        </w:rPr>
        <w:t>将拒绝接受不合格的货物和服务，由此产生的费用及相关后果均由</w:t>
      </w:r>
      <w:r>
        <w:rPr>
          <w:rFonts w:hint="eastAsia" w:ascii="宋体" w:hAnsi="宋体"/>
          <w:color w:val="auto"/>
          <w:sz w:val="24"/>
          <w:highlight w:val="none"/>
          <w:lang w:eastAsia="zh-CN"/>
        </w:rPr>
        <w:t>供应商</w:t>
      </w:r>
      <w:r>
        <w:rPr>
          <w:rFonts w:ascii="宋体" w:hAnsi="宋体"/>
          <w:color w:val="auto"/>
          <w:sz w:val="24"/>
          <w:highlight w:val="none"/>
        </w:rPr>
        <w:t>自行承担。</w:t>
      </w:r>
    </w:p>
    <w:p w14:paraId="203161D5">
      <w:pPr>
        <w:numPr>
          <w:ilvl w:val="2"/>
          <w:numId w:val="2"/>
        </w:numPr>
        <w:shd w:val="clear" w:fill="FFFFFF" w:themeFill="background1"/>
        <w:tabs>
          <w:tab w:val="left" w:pos="624"/>
          <w:tab w:val="left" w:pos="735"/>
          <w:tab w:val="clear" w:pos="1050"/>
        </w:tabs>
        <w:spacing w:line="360" w:lineRule="auto"/>
        <w:ind w:left="735" w:hanging="735"/>
        <w:rPr>
          <w:rFonts w:ascii="宋体" w:hAnsi="宋体"/>
          <w:b/>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应保证本项目下提供的服务或其任何一部分不会产生因第三方依法享有的专利权、商标权或其他知识产权；如果</w:t>
      </w:r>
      <w:r>
        <w:rPr>
          <w:rFonts w:hint="eastAsia" w:ascii="宋体" w:hAnsi="宋体"/>
          <w:color w:val="auto"/>
          <w:sz w:val="24"/>
          <w:highlight w:val="none"/>
          <w:lang w:eastAsia="zh-CN"/>
        </w:rPr>
        <w:t>供应商</w:t>
      </w:r>
      <w:r>
        <w:rPr>
          <w:rFonts w:hint="eastAsia" w:ascii="宋体" w:hAnsi="宋体"/>
          <w:color w:val="auto"/>
          <w:sz w:val="24"/>
          <w:highlight w:val="none"/>
        </w:rPr>
        <w:t>不拥有相应的知识产权，则须在报价中包括合法获取该知识产权的相关费用，并在投标文件中附有相关证明文件，如因第三方提出其专利权、商标权或其他知识产权的侵权之诉，则一切法律责任由</w:t>
      </w:r>
      <w:r>
        <w:rPr>
          <w:rFonts w:hint="eastAsia" w:ascii="宋体" w:hAnsi="宋体" w:cs="宋体"/>
          <w:color w:val="auto"/>
          <w:sz w:val="24"/>
          <w:highlight w:val="none"/>
          <w:lang w:eastAsia="zh-CN"/>
        </w:rPr>
        <w:t>供应商</w:t>
      </w:r>
      <w:r>
        <w:rPr>
          <w:rFonts w:hint="eastAsia" w:ascii="宋体" w:hAnsi="宋体"/>
          <w:color w:val="auto"/>
          <w:sz w:val="24"/>
          <w:highlight w:val="none"/>
        </w:rPr>
        <w:t>承担。</w:t>
      </w:r>
    </w:p>
    <w:p w14:paraId="2968824C">
      <w:pPr>
        <w:numPr>
          <w:ilvl w:val="1"/>
          <w:numId w:val="2"/>
        </w:numPr>
        <w:shd w:val="clear" w:fill="FFFFFF" w:themeFill="background1"/>
        <w:tabs>
          <w:tab w:val="left" w:pos="525"/>
          <w:tab w:val="left" w:pos="567"/>
          <w:tab w:val="left" w:pos="630"/>
          <w:tab w:val="clear" w:pos="289"/>
        </w:tabs>
        <w:snapToGrid w:val="0"/>
        <w:spacing w:line="240" w:lineRule="auto"/>
        <w:ind w:left="567"/>
        <w:outlineLvl w:val="3"/>
        <w:rPr>
          <w:b/>
          <w:color w:val="auto"/>
          <w:sz w:val="24"/>
          <w:highlight w:val="none"/>
        </w:rPr>
      </w:pPr>
      <w:bookmarkStart w:id="57" w:name="_Toc264616633"/>
      <w:r>
        <w:rPr>
          <w:rFonts w:hint="eastAsia"/>
          <w:b/>
          <w:color w:val="auto"/>
          <w:sz w:val="24"/>
          <w:highlight w:val="none"/>
        </w:rPr>
        <w:t>保密</w:t>
      </w:r>
      <w:bookmarkEnd w:id="57"/>
    </w:p>
    <w:p w14:paraId="262C2A23">
      <w:pPr>
        <w:pStyle w:val="14"/>
        <w:keepNext w:val="0"/>
        <w:keepLines w:val="0"/>
        <w:pageBreakBefore w:val="0"/>
        <w:widowControl w:val="0"/>
        <w:shd w:val="clear" w:fill="FFFFFF" w:themeFill="background1"/>
        <w:tabs>
          <w:tab w:val="left" w:pos="978"/>
        </w:tabs>
        <w:kinsoku/>
        <w:wordWrap/>
        <w:overflowPunct/>
        <w:topLinePunct w:val="0"/>
        <w:autoSpaceDE/>
        <w:autoSpaceDN/>
        <w:bidi w:val="0"/>
        <w:adjustRightInd/>
        <w:snapToGrid/>
        <w:spacing w:after="60" w:afterLines="25" w:line="360" w:lineRule="auto"/>
        <w:ind w:firstLine="480" w:firstLineChars="200"/>
        <w:textAlignment w:val="auto"/>
        <w:rPr>
          <w:rFonts w:hAnsi="宋体"/>
          <w:color w:val="auto"/>
          <w:sz w:val="24"/>
          <w:highlight w:val="none"/>
        </w:rPr>
      </w:pPr>
      <w:r>
        <w:rPr>
          <w:rFonts w:hint="eastAsia" w:hAnsi="宋体"/>
          <w:color w:val="auto"/>
          <w:sz w:val="24"/>
          <w:highlight w:val="none"/>
        </w:rPr>
        <w:t>招投标双方应分别为对方在投标文件和</w:t>
      </w:r>
      <w:r>
        <w:rPr>
          <w:rFonts w:hint="eastAsia" w:hAnsi="宋体"/>
          <w:color w:val="auto"/>
          <w:sz w:val="24"/>
          <w:highlight w:val="none"/>
          <w:lang w:eastAsia="zh-CN"/>
        </w:rPr>
        <w:t>招标文件</w:t>
      </w:r>
      <w:r>
        <w:rPr>
          <w:rFonts w:hint="eastAsia" w:hAnsi="宋体"/>
          <w:color w:val="auto"/>
          <w:sz w:val="24"/>
          <w:highlight w:val="none"/>
        </w:rPr>
        <w:t>中涉及的商业和技术等秘密保密，违者应对由此造成的后果承担责任。投标方不得将参加此次投标活动的事实进行商业性宣传。</w:t>
      </w:r>
    </w:p>
    <w:p w14:paraId="4772B4BD">
      <w:pPr>
        <w:numPr>
          <w:ilvl w:val="1"/>
          <w:numId w:val="2"/>
        </w:numPr>
        <w:shd w:val="clear" w:fill="FFFFFF" w:themeFill="background1"/>
        <w:tabs>
          <w:tab w:val="left" w:pos="567"/>
          <w:tab w:val="left" w:pos="630"/>
          <w:tab w:val="clear" w:pos="289"/>
        </w:tabs>
        <w:spacing w:line="360" w:lineRule="auto"/>
        <w:ind w:left="567"/>
        <w:outlineLvl w:val="3"/>
        <w:rPr>
          <w:rFonts w:ascii="宋体" w:hAnsi="宋体"/>
          <w:b/>
          <w:color w:val="auto"/>
          <w:sz w:val="24"/>
          <w:szCs w:val="24"/>
          <w:highlight w:val="none"/>
        </w:rPr>
      </w:pPr>
      <w:bookmarkStart w:id="58" w:name="_Toc278459939"/>
      <w:bookmarkStart w:id="59" w:name="_Toc278962736"/>
      <w:r>
        <w:rPr>
          <w:rFonts w:hint="eastAsia" w:ascii="宋体" w:hAnsi="宋体"/>
          <w:b/>
          <w:color w:val="auto"/>
          <w:sz w:val="24"/>
          <w:szCs w:val="24"/>
          <w:highlight w:val="none"/>
        </w:rPr>
        <w:t>质疑与</w:t>
      </w:r>
      <w:bookmarkEnd w:id="58"/>
      <w:bookmarkEnd w:id="59"/>
      <w:r>
        <w:rPr>
          <w:rFonts w:hint="eastAsia" w:ascii="宋体" w:hAnsi="宋体"/>
          <w:b/>
          <w:color w:val="auto"/>
          <w:sz w:val="24"/>
          <w:szCs w:val="24"/>
          <w:highlight w:val="none"/>
        </w:rPr>
        <w:t>投诉</w:t>
      </w:r>
    </w:p>
    <w:p w14:paraId="0043F7EA">
      <w:pPr>
        <w:numPr>
          <w:ilvl w:val="2"/>
          <w:numId w:val="2"/>
        </w:numPr>
        <w:shd w:val="clear" w:fill="FFFFFF" w:themeFill="background1"/>
        <w:tabs>
          <w:tab w:val="left" w:pos="624"/>
          <w:tab w:val="left" w:pos="735"/>
          <w:tab w:val="left" w:pos="840"/>
          <w:tab w:val="left" w:pos="1455"/>
          <w:tab w:val="clear" w:pos="1050"/>
        </w:tabs>
        <w:spacing w:line="360" w:lineRule="auto"/>
        <w:ind w:left="840" w:hanging="840" w:hangingChars="350"/>
        <w:rPr>
          <w:color w:val="auto"/>
          <w:sz w:val="24"/>
          <w:szCs w:val="24"/>
          <w:highlight w:val="none"/>
        </w:rPr>
      </w:pPr>
      <w:bookmarkStart w:id="60" w:name="_Toc264616637"/>
      <w:r>
        <w:rPr>
          <w:rFonts w:hint="eastAsia"/>
          <w:color w:val="auto"/>
          <w:sz w:val="24"/>
          <w:szCs w:val="24"/>
          <w:highlight w:val="none"/>
        </w:rPr>
        <w:t xml:space="preserve"> </w:t>
      </w:r>
      <w:r>
        <w:rPr>
          <w:rFonts w:hint="eastAsia"/>
          <w:color w:val="auto"/>
          <w:sz w:val="24"/>
          <w:szCs w:val="24"/>
          <w:highlight w:val="none"/>
          <w:lang w:eastAsia="zh-CN"/>
        </w:rPr>
        <w:t>供应商</w:t>
      </w:r>
      <w:r>
        <w:rPr>
          <w:rFonts w:hint="eastAsia"/>
          <w:color w:val="auto"/>
          <w:sz w:val="24"/>
          <w:szCs w:val="24"/>
          <w:highlight w:val="none"/>
        </w:rPr>
        <w:t>认为</w:t>
      </w:r>
      <w:r>
        <w:rPr>
          <w:rFonts w:hint="eastAsia"/>
          <w:color w:val="auto"/>
          <w:sz w:val="24"/>
          <w:szCs w:val="24"/>
          <w:highlight w:val="none"/>
          <w:lang w:eastAsia="zh-CN"/>
        </w:rPr>
        <w:t>招标文件</w:t>
      </w:r>
      <w:r>
        <w:rPr>
          <w:rFonts w:hint="eastAsia"/>
          <w:color w:val="auto"/>
          <w:sz w:val="24"/>
          <w:szCs w:val="24"/>
          <w:highlight w:val="none"/>
        </w:rPr>
        <w:t>的内容损害其权益的，可以在</w:t>
      </w:r>
      <w:r>
        <w:rPr>
          <w:rFonts w:hint="eastAsia"/>
          <w:color w:val="auto"/>
          <w:sz w:val="24"/>
          <w:szCs w:val="24"/>
          <w:highlight w:val="none"/>
          <w:lang w:eastAsia="zh-CN"/>
        </w:rPr>
        <w:t>招标文件</w:t>
      </w:r>
      <w:r>
        <w:rPr>
          <w:rFonts w:hint="eastAsia"/>
          <w:color w:val="auto"/>
          <w:sz w:val="24"/>
          <w:szCs w:val="24"/>
          <w:highlight w:val="none"/>
        </w:rPr>
        <w:t>公示期间或者自期满之日起7个工作日内以书面形式向</w:t>
      </w:r>
      <w:r>
        <w:rPr>
          <w:rFonts w:hint="eastAsia"/>
          <w:color w:val="auto"/>
          <w:sz w:val="24"/>
          <w:szCs w:val="24"/>
          <w:highlight w:val="none"/>
          <w:lang w:eastAsia="zh-CN"/>
        </w:rPr>
        <w:t>招标人</w:t>
      </w:r>
      <w:r>
        <w:rPr>
          <w:rFonts w:hint="eastAsia"/>
          <w:color w:val="auto"/>
          <w:sz w:val="24"/>
          <w:szCs w:val="24"/>
          <w:highlight w:val="none"/>
        </w:rPr>
        <w:t>或采购代理机构提出质疑，逾期质疑无效。</w:t>
      </w:r>
    </w:p>
    <w:p w14:paraId="023F10D0">
      <w:pPr>
        <w:numPr>
          <w:ilvl w:val="2"/>
          <w:numId w:val="2"/>
        </w:numPr>
        <w:shd w:val="clear" w:fill="FFFFFF" w:themeFill="background1"/>
        <w:tabs>
          <w:tab w:val="left" w:pos="624"/>
          <w:tab w:val="left" w:pos="735"/>
          <w:tab w:val="left" w:pos="840"/>
          <w:tab w:val="left" w:pos="1455"/>
          <w:tab w:val="clear" w:pos="1050"/>
        </w:tabs>
        <w:spacing w:line="360" w:lineRule="auto"/>
        <w:ind w:left="840" w:hanging="840" w:hangingChars="350"/>
        <w:rPr>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认为采购过程和中标结果使自己的权益受到损害的，可以在知道或者应知其权益受到损害之日起7个工作日内，以书面形式向</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或采购代理机构提出质疑，逾期质疑无效。</w:t>
      </w:r>
    </w:p>
    <w:p w14:paraId="777396E9">
      <w:pPr>
        <w:numPr>
          <w:ilvl w:val="2"/>
          <w:numId w:val="2"/>
        </w:numPr>
        <w:shd w:val="clear" w:fill="FFFFFF" w:themeFill="background1"/>
        <w:tabs>
          <w:tab w:val="left" w:pos="624"/>
          <w:tab w:val="left" w:pos="735"/>
          <w:tab w:val="left" w:pos="840"/>
          <w:tab w:val="left" w:pos="1455"/>
          <w:tab w:val="clear" w:pos="1050"/>
        </w:tabs>
        <w:spacing w:line="360" w:lineRule="auto"/>
        <w:ind w:left="840" w:hanging="840" w:hangingChars="350"/>
        <w:rPr>
          <w:color w:val="auto"/>
          <w:sz w:val="24"/>
          <w:szCs w:val="24"/>
          <w:highlight w:val="none"/>
        </w:rPr>
      </w:pPr>
      <w:r>
        <w:rPr>
          <w:rFonts w:hint="eastAsia"/>
          <w:color w:val="auto"/>
          <w:sz w:val="24"/>
          <w:highlight w:val="none"/>
        </w:rPr>
        <w:t xml:space="preserve"> </w:t>
      </w:r>
      <w:r>
        <w:rPr>
          <w:rFonts w:hint="eastAsia"/>
          <w:color w:val="auto"/>
          <w:sz w:val="24"/>
          <w:highlight w:val="none"/>
          <w:lang w:eastAsia="zh-CN"/>
        </w:rPr>
        <w:t>供应商</w:t>
      </w:r>
      <w:r>
        <w:rPr>
          <w:rFonts w:hint="eastAsia"/>
          <w:color w:val="auto"/>
          <w:sz w:val="24"/>
          <w:highlight w:val="none"/>
        </w:rPr>
        <w:t>有质疑时，应当以书面形式在质疑有效期限内向采购代</w:t>
      </w:r>
      <w:r>
        <w:rPr>
          <w:rFonts w:hint="eastAsia" w:ascii="宋体" w:hAnsi="宋体"/>
          <w:color w:val="auto"/>
          <w:sz w:val="24"/>
          <w:szCs w:val="24"/>
          <w:highlight w:val="none"/>
        </w:rPr>
        <w:t>理机构提交质疑书原件，逾期质疑无效。质疑书应当署名</w:t>
      </w:r>
      <w:r>
        <w:rPr>
          <w:rFonts w:hint="eastAsia"/>
          <w:color w:val="auto"/>
          <w:sz w:val="24"/>
          <w:highlight w:val="none"/>
        </w:rPr>
        <w:t>。质疑</w:t>
      </w:r>
      <w:r>
        <w:rPr>
          <w:rFonts w:hint="eastAsia"/>
          <w:color w:val="auto"/>
          <w:sz w:val="24"/>
          <w:highlight w:val="none"/>
          <w:lang w:eastAsia="zh-CN"/>
        </w:rPr>
        <w:t>供应商</w:t>
      </w:r>
      <w:r>
        <w:rPr>
          <w:rFonts w:hint="eastAsia"/>
          <w:color w:val="auto"/>
          <w:sz w:val="24"/>
          <w:highlight w:val="none"/>
        </w:rPr>
        <w:t>为自然人的，应当由本人签字；质疑</w:t>
      </w:r>
      <w:r>
        <w:rPr>
          <w:rFonts w:hint="eastAsia"/>
          <w:color w:val="auto"/>
          <w:sz w:val="24"/>
          <w:highlight w:val="none"/>
          <w:lang w:eastAsia="zh-CN"/>
        </w:rPr>
        <w:t>供应商</w:t>
      </w:r>
      <w:r>
        <w:rPr>
          <w:rFonts w:hint="eastAsia"/>
          <w:color w:val="auto"/>
          <w:sz w:val="24"/>
          <w:highlight w:val="none"/>
        </w:rPr>
        <w:t>为法人或者其他组织的，应当由法定代表人或者主要负责人签字盖章并加盖公章，同时注明联系人、联系电话</w:t>
      </w:r>
      <w:r>
        <w:rPr>
          <w:rFonts w:hint="eastAsia"/>
          <w:color w:val="auto"/>
          <w:sz w:val="24"/>
          <w:szCs w:val="24"/>
          <w:highlight w:val="none"/>
        </w:rPr>
        <w:t>与质疑时间</w:t>
      </w:r>
      <w:r>
        <w:rPr>
          <w:rFonts w:hint="eastAsia"/>
          <w:color w:val="auto"/>
          <w:sz w:val="24"/>
          <w:highlight w:val="none"/>
        </w:rPr>
        <w:t>。</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以</w:t>
      </w:r>
      <w:r>
        <w:rPr>
          <w:rFonts w:hint="eastAsia"/>
          <w:color w:val="auto"/>
          <w:sz w:val="24"/>
          <w:szCs w:val="24"/>
          <w:highlight w:val="none"/>
        </w:rPr>
        <w:t>电话、传真或电邮形式提交的质疑书属于无效质疑。</w:t>
      </w:r>
    </w:p>
    <w:p w14:paraId="625770A8">
      <w:pPr>
        <w:numPr>
          <w:ilvl w:val="2"/>
          <w:numId w:val="2"/>
        </w:numPr>
        <w:shd w:val="clear" w:fill="FFFFFF" w:themeFill="background1"/>
        <w:tabs>
          <w:tab w:val="left" w:pos="624"/>
          <w:tab w:val="left" w:pos="735"/>
          <w:tab w:val="left" w:pos="840"/>
          <w:tab w:val="left" w:pos="1455"/>
          <w:tab w:val="clear" w:pos="1050"/>
        </w:tabs>
        <w:spacing w:line="360" w:lineRule="auto"/>
        <w:ind w:left="840" w:hanging="840" w:hangingChars="350"/>
        <w:rPr>
          <w:rFonts w:ascii="宋体" w:hAnsi="宋体"/>
          <w:color w:val="auto"/>
          <w:sz w:val="24"/>
          <w:szCs w:val="24"/>
          <w:highlight w:val="none"/>
        </w:rPr>
      </w:pPr>
      <w:r>
        <w:rPr>
          <w:rFonts w:hint="eastAsia" w:ascii="宋体" w:hAnsi="宋体"/>
          <w:color w:val="auto"/>
          <w:sz w:val="24"/>
          <w:szCs w:val="24"/>
          <w:highlight w:val="none"/>
        </w:rPr>
        <w:t xml:space="preserve"> 质疑内容不得含有虚假、恶意成分。依据谁主张谁举证的原则，质疑者提供的</w:t>
      </w:r>
      <w:r>
        <w:rPr>
          <w:rFonts w:hint="eastAsia"/>
          <w:color w:val="auto"/>
          <w:sz w:val="24"/>
          <w:szCs w:val="24"/>
          <w:highlight w:val="none"/>
        </w:rPr>
        <w:t>质疑书应当明确具体的质疑事项、事实依据，同时提交相关确凿的证明材料和注明证据的确切来源、证据来源必须合法，采购代理机构有权将质疑函转发质疑事项各关联方，请其作出解释说明。</w:t>
      </w:r>
      <w:r>
        <w:rPr>
          <w:rFonts w:hint="eastAsia" w:ascii="宋体" w:hAnsi="宋体"/>
          <w:color w:val="auto"/>
          <w:sz w:val="24"/>
          <w:szCs w:val="24"/>
          <w:highlight w:val="none"/>
        </w:rPr>
        <w:t>对捏造事实、滥用维权扰乱采购秩序的恶意质疑者，将上报采购监督管理部门依法处理。</w:t>
      </w:r>
    </w:p>
    <w:p w14:paraId="22FEB46A">
      <w:pPr>
        <w:numPr>
          <w:ilvl w:val="2"/>
          <w:numId w:val="2"/>
        </w:numPr>
        <w:shd w:val="clear" w:fill="FFFFFF" w:themeFill="background1"/>
        <w:tabs>
          <w:tab w:val="left" w:pos="624"/>
          <w:tab w:val="left" w:pos="735"/>
          <w:tab w:val="left" w:pos="840"/>
          <w:tab w:val="left" w:pos="1455"/>
          <w:tab w:val="clear" w:pos="1050"/>
        </w:tabs>
        <w:spacing w:line="360" w:lineRule="auto"/>
        <w:ind w:left="840" w:hanging="840" w:hangingChars="350"/>
        <w:rPr>
          <w:rFonts w:ascii="宋体" w:hAnsi="宋体"/>
          <w:color w:val="auto"/>
          <w:sz w:val="24"/>
          <w:highlight w:val="none"/>
        </w:rPr>
      </w:pPr>
      <w:r>
        <w:rPr>
          <w:rFonts w:hint="eastAsia" w:ascii="宋体" w:hAnsi="宋体"/>
          <w:color w:val="auto"/>
          <w:sz w:val="24"/>
          <w:szCs w:val="24"/>
          <w:highlight w:val="none"/>
        </w:rPr>
        <w:t xml:space="preserve"> 采购代理机构在收到</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的有效书面质疑后七个工作日内作出答复，但答复的内容不涉及商业秘密，质疑</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对</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、采购代理机构的质疑答复不满意，或</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、采购代理机构未在规定期限内作出答复的，可以在答复期满后15个工作日内向采购监督管理部门提起投诉。</w:t>
      </w:r>
    </w:p>
    <w:p w14:paraId="275A2FF5">
      <w:pPr>
        <w:numPr>
          <w:ilvl w:val="1"/>
          <w:numId w:val="2"/>
        </w:numPr>
        <w:shd w:val="clear" w:fill="FFFFFF" w:themeFill="background1"/>
        <w:tabs>
          <w:tab w:val="left" w:pos="525"/>
          <w:tab w:val="left" w:pos="567"/>
          <w:tab w:val="left" w:pos="630"/>
          <w:tab w:val="clear" w:pos="289"/>
        </w:tabs>
        <w:spacing w:line="360" w:lineRule="auto"/>
        <w:ind w:left="567"/>
        <w:outlineLvl w:val="3"/>
        <w:rPr>
          <w:rFonts w:ascii="宋体" w:hAnsi="宋体"/>
          <w:b/>
          <w:color w:val="auto"/>
          <w:sz w:val="24"/>
          <w:highlight w:val="none"/>
        </w:rPr>
      </w:pPr>
      <w:r>
        <w:rPr>
          <w:rFonts w:hint="eastAsia" w:ascii="宋体" w:hAnsi="宋体"/>
          <w:b/>
          <w:color w:val="auto"/>
          <w:sz w:val="24"/>
          <w:highlight w:val="none"/>
        </w:rPr>
        <w:t>不得参与同一采购项目竞争的</w:t>
      </w:r>
      <w:bookmarkEnd w:id="60"/>
      <w:r>
        <w:rPr>
          <w:rFonts w:hint="eastAsia" w:ascii="宋体" w:hAnsi="宋体" w:cs="宋体"/>
          <w:b/>
          <w:color w:val="auto"/>
          <w:sz w:val="24"/>
          <w:highlight w:val="none"/>
          <w:lang w:eastAsia="zh-CN"/>
        </w:rPr>
        <w:t>供应商</w:t>
      </w:r>
    </w:p>
    <w:p w14:paraId="139E7AC2">
      <w:pPr>
        <w:shd w:val="clear" w:fill="FFFFFF" w:themeFill="background1"/>
        <w:spacing w:line="360" w:lineRule="auto"/>
        <w:ind w:firstLine="566" w:firstLineChars="236"/>
        <w:rPr>
          <w:color w:val="auto"/>
          <w:highlight w:val="none"/>
        </w:rPr>
      </w:pPr>
      <w:r>
        <w:rPr>
          <w:rFonts w:hint="eastAsia" w:ascii="宋体" w:hAnsi="宋体"/>
          <w:color w:val="auto"/>
          <w:sz w:val="24"/>
          <w:highlight w:val="none"/>
        </w:rPr>
        <w:t>单位负责人为同一人或者存在直接控股、管理关系的不同</w:t>
      </w:r>
      <w:r>
        <w:rPr>
          <w:rFonts w:hint="eastAsia" w:ascii="宋体" w:hAnsi="宋体"/>
          <w:color w:val="auto"/>
          <w:sz w:val="24"/>
          <w:highlight w:val="none"/>
          <w:lang w:eastAsia="zh-CN"/>
        </w:rPr>
        <w:t>供应商</w:t>
      </w:r>
      <w:r>
        <w:rPr>
          <w:rFonts w:hint="eastAsia" w:ascii="宋体" w:hAnsi="宋体"/>
          <w:color w:val="auto"/>
          <w:sz w:val="24"/>
          <w:highlight w:val="none"/>
        </w:rPr>
        <w:t>，不得参加同一合同项下的采购活动。</w:t>
      </w:r>
    </w:p>
    <w:p w14:paraId="12EA769D">
      <w:pPr>
        <w:numPr>
          <w:ilvl w:val="1"/>
          <w:numId w:val="2"/>
        </w:numPr>
        <w:shd w:val="clear" w:fill="FFFFFF" w:themeFill="background1"/>
        <w:tabs>
          <w:tab w:val="left" w:pos="567"/>
          <w:tab w:val="left" w:pos="630"/>
          <w:tab w:val="clear" w:pos="289"/>
        </w:tabs>
        <w:spacing w:line="360" w:lineRule="auto"/>
        <w:ind w:left="567"/>
        <w:outlineLvl w:val="3"/>
        <w:rPr>
          <w:rFonts w:ascii="宋体" w:hAnsi="宋体"/>
          <w:b/>
          <w:color w:val="auto"/>
          <w:sz w:val="24"/>
          <w:szCs w:val="24"/>
          <w:highlight w:val="none"/>
        </w:rPr>
      </w:pPr>
      <w:r>
        <w:rPr>
          <w:rFonts w:hint="eastAsia" w:ascii="宋体" w:hAnsi="宋体"/>
          <w:b/>
          <w:color w:val="auto"/>
          <w:sz w:val="24"/>
          <w:szCs w:val="24"/>
          <w:highlight w:val="none"/>
        </w:rPr>
        <w:t>关于中小企业投标</w:t>
      </w:r>
    </w:p>
    <w:p w14:paraId="1696A73E">
      <w:pPr>
        <w:shd w:val="clear" w:fill="FFFFFF" w:themeFill="background1"/>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中小企业投标是指符合</w:t>
      </w:r>
      <w:r>
        <w:rPr>
          <w:rFonts w:hint="eastAsia" w:ascii="宋体" w:hAnsi="宋体"/>
          <w:color w:val="auto"/>
          <w:sz w:val="24"/>
          <w:szCs w:val="24"/>
          <w:highlight w:val="none"/>
        </w:rPr>
        <w:t>《中小企业划型标准规定》</w:t>
      </w:r>
      <w:r>
        <w:rPr>
          <w:rFonts w:hint="eastAsia" w:ascii="宋体" w:hAnsi="宋体"/>
          <w:color w:val="auto"/>
          <w:sz w:val="24"/>
          <w:highlight w:val="none"/>
        </w:rPr>
        <w:t>的</w:t>
      </w:r>
      <w:r>
        <w:rPr>
          <w:rFonts w:hint="eastAsia" w:ascii="宋体" w:hAnsi="宋体"/>
          <w:color w:val="auto"/>
          <w:sz w:val="24"/>
          <w:highlight w:val="none"/>
          <w:lang w:eastAsia="zh-CN"/>
        </w:rPr>
        <w:t>供应商</w:t>
      </w:r>
      <w:r>
        <w:rPr>
          <w:rFonts w:hint="eastAsia" w:ascii="宋体" w:hAnsi="宋体"/>
          <w:color w:val="auto"/>
          <w:sz w:val="24"/>
          <w:highlight w:val="none"/>
        </w:rPr>
        <w:t>，通过投标提供本企业制造的货物、承担的工程或者服务，或者提供其他中小企业制造的货物。本项所指货物不包括使用大型企业注册商标的货物。中小企业投标应提供《中小企业声明函》。</w:t>
      </w:r>
    </w:p>
    <w:p w14:paraId="2D85CFF3">
      <w:pPr>
        <w:numPr>
          <w:ilvl w:val="1"/>
          <w:numId w:val="2"/>
        </w:numPr>
        <w:shd w:val="clear" w:fill="FFFFFF" w:themeFill="background1"/>
        <w:tabs>
          <w:tab w:val="left" w:pos="567"/>
          <w:tab w:val="left" w:pos="630"/>
          <w:tab w:val="clear" w:pos="289"/>
        </w:tabs>
        <w:spacing w:line="360" w:lineRule="auto"/>
        <w:ind w:left="567"/>
        <w:outlineLvl w:val="3"/>
        <w:rPr>
          <w:rFonts w:hint="eastAsia" w:ascii="宋体" w:hAnsi="宋体"/>
          <w:b/>
          <w:color w:val="auto"/>
          <w:sz w:val="24"/>
          <w:szCs w:val="24"/>
          <w:highlight w:val="none"/>
        </w:rPr>
      </w:pPr>
      <w:r>
        <w:rPr>
          <w:rFonts w:hint="eastAsia" w:ascii="宋体" w:hAnsi="宋体"/>
          <w:b/>
          <w:color w:val="auto"/>
          <w:sz w:val="24"/>
          <w:szCs w:val="24"/>
          <w:highlight w:val="none"/>
        </w:rPr>
        <w:t>关于</w:t>
      </w:r>
      <w:r>
        <w:rPr>
          <w:rFonts w:hint="eastAsia" w:ascii="宋体" w:hAnsi="宋体"/>
          <w:b/>
          <w:color w:val="auto"/>
          <w:sz w:val="24"/>
          <w:szCs w:val="24"/>
          <w:highlight w:val="none"/>
          <w:lang w:val="en-US" w:eastAsia="zh-CN"/>
        </w:rPr>
        <w:t>投标保证金的缴纳形式</w:t>
      </w:r>
    </w:p>
    <w:p w14:paraId="557C9A47">
      <w:pPr>
        <w:pStyle w:val="6"/>
        <w:shd w:val="clear" w:fill="FFFFFF" w:themeFill="background1"/>
        <w:tabs>
          <w:tab w:val="left" w:pos="540"/>
        </w:tabs>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lang w:val="en-US" w:eastAsia="zh-CN"/>
        </w:rPr>
        <w:t>投标保证金的形式：从供应商基本账户公对公转账、支票、汇票、本票或者金融机构、担保机构出具的保函等非现金形式提交。</w:t>
      </w:r>
    </w:p>
    <w:p w14:paraId="006A0086">
      <w:pPr>
        <w:numPr>
          <w:ilvl w:val="1"/>
          <w:numId w:val="2"/>
        </w:numPr>
        <w:shd w:val="clear" w:fill="FFFFFF" w:themeFill="background1"/>
        <w:tabs>
          <w:tab w:val="left" w:pos="525"/>
          <w:tab w:val="left" w:pos="567"/>
          <w:tab w:val="left" w:pos="630"/>
          <w:tab w:val="clear" w:pos="289"/>
        </w:tabs>
        <w:spacing w:line="360" w:lineRule="auto"/>
        <w:ind w:left="567"/>
        <w:outlineLvl w:val="3"/>
        <w:rPr>
          <w:rFonts w:hint="eastAsia" w:ascii="宋体" w:hAnsi="宋体"/>
          <w:b/>
          <w:color w:val="auto"/>
          <w:sz w:val="24"/>
          <w:szCs w:val="22"/>
          <w:highlight w:val="none"/>
        </w:rPr>
      </w:pPr>
      <w:bookmarkStart w:id="61" w:name="_Toc264616638"/>
      <w:r>
        <w:rPr>
          <w:rFonts w:hint="eastAsia" w:ascii="宋体" w:hAnsi="宋体"/>
          <w:b/>
          <w:color w:val="auto"/>
          <w:sz w:val="24"/>
          <w:szCs w:val="22"/>
          <w:highlight w:val="none"/>
        </w:rPr>
        <w:t>通知</w:t>
      </w:r>
      <w:bookmarkEnd w:id="61"/>
    </w:p>
    <w:p w14:paraId="6E2133D7">
      <w:pPr>
        <w:shd w:val="clear" w:fill="FFFFFF" w:themeFill="background1"/>
        <w:tabs>
          <w:tab w:val="left" w:pos="900"/>
        </w:tabs>
        <w:adjustRightInd w:val="0"/>
        <w:snapToGrid w:val="0"/>
        <w:spacing w:line="360" w:lineRule="auto"/>
        <w:ind w:firstLine="480" w:firstLineChars="200"/>
        <w:rPr>
          <w:color w:val="auto"/>
          <w:sz w:val="24"/>
          <w:highlight w:val="none"/>
        </w:rPr>
      </w:pPr>
      <w:r>
        <w:rPr>
          <w:rFonts w:hint="eastAsia"/>
          <w:color w:val="auto"/>
          <w:sz w:val="24"/>
          <w:highlight w:val="none"/>
        </w:rPr>
        <w:t>对与本项目有关的通知，</w:t>
      </w:r>
      <w:r>
        <w:rPr>
          <w:rFonts w:hint="eastAsia" w:ascii="宋体" w:hAnsi="宋体"/>
          <w:color w:val="auto"/>
          <w:sz w:val="24"/>
          <w:highlight w:val="none"/>
        </w:rPr>
        <w:t>采购代理机构</w:t>
      </w:r>
      <w:r>
        <w:rPr>
          <w:rFonts w:hint="eastAsia"/>
          <w:color w:val="auto"/>
          <w:sz w:val="24"/>
          <w:highlight w:val="none"/>
        </w:rPr>
        <w:t>将以书面（包括书面材料、信函、传真等，下同）或在本次</w:t>
      </w:r>
      <w:r>
        <w:rPr>
          <w:rFonts w:hint="eastAsia"/>
          <w:color w:val="auto"/>
          <w:sz w:val="24"/>
          <w:highlight w:val="none"/>
          <w:lang w:eastAsia="zh-CN"/>
        </w:rPr>
        <w:t>招标公告</w:t>
      </w:r>
      <w:r>
        <w:rPr>
          <w:rFonts w:hint="eastAsia"/>
          <w:color w:val="auto"/>
          <w:sz w:val="24"/>
          <w:highlight w:val="none"/>
        </w:rPr>
        <w:t>刊登的媒体上以发布公告的形式，送达所有与通知有关的已领取了</w:t>
      </w:r>
      <w:r>
        <w:rPr>
          <w:rFonts w:hint="eastAsia" w:ascii="宋体" w:hAnsi="宋体" w:cs="宋体"/>
          <w:color w:val="auto"/>
          <w:sz w:val="24"/>
          <w:highlight w:val="none"/>
          <w:lang w:eastAsia="zh-CN"/>
        </w:rPr>
        <w:t>招标文件</w:t>
      </w:r>
      <w:r>
        <w:rPr>
          <w:rFonts w:hint="eastAsia"/>
          <w:color w:val="auto"/>
          <w:sz w:val="24"/>
          <w:highlight w:val="none"/>
        </w:rPr>
        <w:t>的</w:t>
      </w:r>
      <w:r>
        <w:rPr>
          <w:rFonts w:hint="eastAsia" w:ascii="宋体" w:hAnsi="宋体" w:cs="宋体"/>
          <w:color w:val="auto"/>
          <w:sz w:val="24"/>
          <w:highlight w:val="none"/>
          <w:lang w:eastAsia="zh-CN"/>
        </w:rPr>
        <w:t>供应商</w:t>
      </w:r>
      <w:r>
        <w:rPr>
          <w:rFonts w:hint="eastAsia"/>
          <w:color w:val="auto"/>
          <w:sz w:val="24"/>
          <w:highlight w:val="none"/>
        </w:rPr>
        <w:t>，传真号码以</w:t>
      </w:r>
      <w:r>
        <w:rPr>
          <w:rFonts w:hint="eastAsia"/>
          <w:color w:val="auto"/>
          <w:sz w:val="24"/>
          <w:highlight w:val="none"/>
          <w:lang w:eastAsia="zh-CN"/>
        </w:rPr>
        <w:t>供应商</w:t>
      </w:r>
      <w:r>
        <w:rPr>
          <w:rFonts w:hint="eastAsia"/>
          <w:color w:val="auto"/>
          <w:sz w:val="24"/>
          <w:highlight w:val="none"/>
        </w:rPr>
        <w:t>的登记为准。</w:t>
      </w:r>
      <w:r>
        <w:rPr>
          <w:rFonts w:hint="eastAsia"/>
          <w:color w:val="auto"/>
          <w:sz w:val="24"/>
          <w:highlight w:val="none"/>
          <w:lang w:eastAsia="zh-CN"/>
        </w:rPr>
        <w:t>供应商</w:t>
      </w:r>
      <w:r>
        <w:rPr>
          <w:rFonts w:hint="eastAsia"/>
          <w:color w:val="auto"/>
          <w:sz w:val="24"/>
          <w:highlight w:val="none"/>
        </w:rPr>
        <w:t>应于收到通知的当日以书面方式予以回复确认。因</w:t>
      </w:r>
      <w:r>
        <w:rPr>
          <w:rFonts w:hint="eastAsia"/>
          <w:color w:val="auto"/>
          <w:sz w:val="24"/>
          <w:highlight w:val="none"/>
          <w:lang w:eastAsia="zh-CN"/>
        </w:rPr>
        <w:t>供应商</w:t>
      </w:r>
      <w:r>
        <w:rPr>
          <w:rFonts w:hint="eastAsia"/>
          <w:color w:val="auto"/>
          <w:sz w:val="24"/>
          <w:highlight w:val="none"/>
        </w:rPr>
        <w:t>登记的传真号码有误、传真线路故障或</w:t>
      </w:r>
      <w:r>
        <w:rPr>
          <w:rFonts w:hint="eastAsia" w:ascii="宋体" w:hAnsi="宋体"/>
          <w:color w:val="auto"/>
          <w:sz w:val="24"/>
          <w:highlight w:val="none"/>
        </w:rPr>
        <w:t>其它任何意外情形，</w:t>
      </w:r>
      <w:r>
        <w:rPr>
          <w:rFonts w:hint="eastAsia"/>
          <w:color w:val="auto"/>
          <w:sz w:val="24"/>
          <w:highlight w:val="none"/>
        </w:rPr>
        <w:t>导致</w:t>
      </w:r>
      <w:r>
        <w:rPr>
          <w:rFonts w:hint="eastAsia" w:ascii="宋体" w:hAnsi="宋体"/>
          <w:color w:val="auto"/>
          <w:sz w:val="24"/>
          <w:highlight w:val="none"/>
        </w:rPr>
        <w:t>所发出的</w:t>
      </w:r>
      <w:r>
        <w:rPr>
          <w:rFonts w:hint="eastAsia"/>
          <w:color w:val="auto"/>
          <w:sz w:val="24"/>
          <w:highlight w:val="none"/>
        </w:rPr>
        <w:t>通知延迟送达或无法送达</w:t>
      </w:r>
      <w:r>
        <w:rPr>
          <w:rFonts w:hint="eastAsia"/>
          <w:color w:val="auto"/>
          <w:sz w:val="24"/>
          <w:highlight w:val="none"/>
          <w:lang w:eastAsia="zh-CN"/>
        </w:rPr>
        <w:t>供应商</w:t>
      </w:r>
      <w:r>
        <w:rPr>
          <w:rFonts w:hint="eastAsia"/>
          <w:color w:val="auto"/>
          <w:sz w:val="24"/>
          <w:highlight w:val="none"/>
        </w:rPr>
        <w:t>，</w:t>
      </w:r>
      <w:r>
        <w:rPr>
          <w:rFonts w:hint="eastAsia" w:ascii="宋体" w:hAnsi="宋体"/>
          <w:color w:val="auto"/>
          <w:sz w:val="24"/>
          <w:highlight w:val="none"/>
        </w:rPr>
        <w:t>采购代理机构</w:t>
      </w:r>
      <w:r>
        <w:rPr>
          <w:rFonts w:hint="eastAsia"/>
          <w:color w:val="auto"/>
          <w:sz w:val="24"/>
          <w:highlight w:val="none"/>
        </w:rPr>
        <w:t>不承担责任。</w:t>
      </w:r>
    </w:p>
    <w:p w14:paraId="1AD00B14">
      <w:pPr>
        <w:numPr>
          <w:ilvl w:val="0"/>
          <w:numId w:val="0"/>
        </w:numPr>
        <w:shd w:val="clear" w:fill="FFFFFF" w:themeFill="background1"/>
        <w:tabs>
          <w:tab w:val="left" w:pos="525"/>
          <w:tab w:val="left" w:pos="567"/>
          <w:tab w:val="left" w:pos="630"/>
        </w:tabs>
        <w:spacing w:line="360" w:lineRule="auto"/>
        <w:ind w:leftChars="0"/>
        <w:outlineLvl w:val="3"/>
        <w:rPr>
          <w:rFonts w:ascii="宋体" w:hAnsi="宋体"/>
          <w:b/>
          <w:color w:val="auto"/>
          <w:sz w:val="24"/>
          <w:highlight w:val="none"/>
        </w:rPr>
      </w:pPr>
      <w:bookmarkStart w:id="62" w:name="_Toc264616639"/>
      <w:r>
        <w:rPr>
          <w:rFonts w:hint="eastAsia" w:ascii="宋体" w:hAnsi="宋体" w:cs="宋体"/>
          <w:b/>
          <w:color w:val="auto"/>
          <w:sz w:val="24"/>
          <w:highlight w:val="none"/>
          <w:lang w:eastAsia="zh-CN"/>
        </w:rPr>
        <w:t>招标文件</w:t>
      </w:r>
      <w:r>
        <w:rPr>
          <w:rFonts w:hint="eastAsia" w:ascii="宋体" w:hAnsi="宋体"/>
          <w:b/>
          <w:color w:val="auto"/>
          <w:sz w:val="24"/>
          <w:highlight w:val="none"/>
        </w:rPr>
        <w:t>的解释权</w:t>
      </w:r>
      <w:bookmarkEnd w:id="62"/>
    </w:p>
    <w:p w14:paraId="39E87C04">
      <w:pPr>
        <w:pStyle w:val="6"/>
        <w:keepNext w:val="0"/>
        <w:keepLines w:val="0"/>
        <w:pageBreakBefore w:val="0"/>
        <w:shd w:val="clear" w:fill="FFFFFF" w:themeFill="background1"/>
        <w:kinsoku/>
        <w:overflowPunct/>
        <w:topLinePunct w:val="0"/>
        <w:autoSpaceDE/>
        <w:autoSpaceDN/>
        <w:bidi w:val="0"/>
        <w:adjustRightInd/>
        <w:snapToGrid/>
        <w:spacing w:afterAutospacing="0" w:line="360" w:lineRule="auto"/>
        <w:ind w:left="0" w:leftChars="0" w:firstLine="480" w:firstLineChars="200"/>
        <w:textAlignment w:val="auto"/>
        <w:rPr>
          <w:rFonts w:ascii="宋体" w:hAnsi="宋体"/>
          <w:color w:val="auto"/>
          <w:sz w:val="24"/>
          <w:highlight w:val="none"/>
        </w:rPr>
      </w:pPr>
      <w:r>
        <w:rPr>
          <w:rFonts w:hint="eastAsia"/>
          <w:color w:val="auto"/>
          <w:sz w:val="24"/>
          <w:highlight w:val="none"/>
        </w:rPr>
        <w:t>本</w:t>
      </w:r>
      <w:r>
        <w:rPr>
          <w:rFonts w:hint="eastAsia" w:ascii="宋体" w:hAnsi="宋体" w:cs="宋体"/>
          <w:color w:val="auto"/>
          <w:sz w:val="24"/>
          <w:highlight w:val="none"/>
          <w:lang w:eastAsia="zh-CN"/>
        </w:rPr>
        <w:t>招标文件</w:t>
      </w:r>
      <w:r>
        <w:rPr>
          <w:rFonts w:hint="eastAsia"/>
          <w:color w:val="auto"/>
          <w:sz w:val="24"/>
          <w:highlight w:val="none"/>
        </w:rPr>
        <w:t>的解释权归“</w:t>
      </w:r>
      <w:r>
        <w:rPr>
          <w:rFonts w:hint="eastAsia" w:ascii="宋体" w:hAnsi="宋体" w:cs="宋体"/>
          <w:color w:val="auto"/>
          <w:kern w:val="0"/>
          <w:sz w:val="24"/>
          <w:szCs w:val="24"/>
          <w:highlight w:val="none"/>
          <w:lang w:eastAsia="zh-CN"/>
        </w:rPr>
        <w:t>新疆益双工程管理有限公司</w:t>
      </w:r>
      <w:r>
        <w:rPr>
          <w:rFonts w:hint="eastAsia"/>
          <w:color w:val="auto"/>
          <w:sz w:val="24"/>
          <w:highlight w:val="none"/>
        </w:rPr>
        <w:t>”所有。</w:t>
      </w:r>
    </w:p>
    <w:p w14:paraId="01F531F3">
      <w:pPr>
        <w:pStyle w:val="4"/>
        <w:numPr>
          <w:ilvl w:val="0"/>
          <w:numId w:val="2"/>
        </w:numPr>
        <w:shd w:val="clear" w:fill="FFFFFF" w:themeFill="background1"/>
        <w:tabs>
          <w:tab w:val="left" w:pos="425"/>
          <w:tab w:val="clear" w:pos="147"/>
        </w:tabs>
        <w:spacing w:before="0" w:beforeLines="0" w:beforeAutospacing="0" w:after="0" w:afterLines="0" w:afterAutospacing="0" w:line="360" w:lineRule="auto"/>
        <w:ind w:left="425"/>
        <w:rPr>
          <w:color w:val="auto"/>
          <w:highlight w:val="none"/>
        </w:rPr>
      </w:pPr>
      <w:bookmarkStart w:id="63" w:name="_Toc9666"/>
      <w:r>
        <w:rPr>
          <w:rFonts w:hint="eastAsia"/>
          <w:color w:val="auto"/>
          <w:highlight w:val="none"/>
          <w:lang w:val="en-US" w:eastAsia="zh-CN"/>
        </w:rPr>
        <w:t>招标</w:t>
      </w:r>
      <w:r>
        <w:rPr>
          <w:rFonts w:hint="eastAsia"/>
          <w:color w:val="auto"/>
          <w:highlight w:val="none"/>
          <w:lang w:eastAsia="zh-CN"/>
        </w:rPr>
        <w:t>文件</w:t>
      </w:r>
      <w:bookmarkEnd w:id="63"/>
    </w:p>
    <w:p w14:paraId="0D85D431">
      <w:pPr>
        <w:numPr>
          <w:ilvl w:val="1"/>
          <w:numId w:val="2"/>
        </w:numPr>
        <w:shd w:val="clear" w:fill="FFFFFF" w:themeFill="background1"/>
        <w:tabs>
          <w:tab w:val="left" w:pos="567"/>
          <w:tab w:val="clear" w:pos="289"/>
        </w:tabs>
        <w:spacing w:beforeAutospacing="0" w:line="360" w:lineRule="auto"/>
        <w:ind w:left="567"/>
        <w:outlineLvl w:val="3"/>
        <w:rPr>
          <w:rFonts w:ascii="宋体" w:hAnsi="宋体"/>
          <w:b/>
          <w:bCs/>
          <w:color w:val="auto"/>
          <w:highlight w:val="none"/>
        </w:rPr>
      </w:pPr>
      <w:r>
        <w:rPr>
          <w:rFonts w:hint="eastAsia" w:ascii="宋体" w:hAnsi="宋体"/>
          <w:b/>
          <w:bCs/>
          <w:color w:val="auto"/>
          <w:sz w:val="24"/>
          <w:highlight w:val="none"/>
          <w:lang w:val="en-US" w:eastAsia="zh-CN"/>
        </w:rPr>
        <w:t>招标</w:t>
      </w:r>
      <w:r>
        <w:rPr>
          <w:rFonts w:hint="eastAsia" w:ascii="宋体" w:hAnsi="宋体"/>
          <w:b/>
          <w:bCs/>
          <w:color w:val="auto"/>
          <w:sz w:val="24"/>
          <w:highlight w:val="none"/>
          <w:lang w:eastAsia="zh-CN"/>
        </w:rPr>
        <w:t>文件</w:t>
      </w:r>
      <w:r>
        <w:rPr>
          <w:rFonts w:hint="eastAsia" w:ascii="宋体" w:hAnsi="宋体"/>
          <w:b/>
          <w:bCs/>
          <w:color w:val="auto"/>
          <w:sz w:val="24"/>
          <w:highlight w:val="none"/>
        </w:rPr>
        <w:t>的组成</w:t>
      </w:r>
    </w:p>
    <w:p w14:paraId="41912C2E">
      <w:pPr>
        <w:shd w:val="clear" w:fill="FFFFFF" w:themeFill="background1"/>
        <w:spacing w:line="360" w:lineRule="auto"/>
        <w:ind w:left="1108" w:hanging="583"/>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eastAsia="zh-CN"/>
        </w:rPr>
        <w:t>招标公告</w:t>
      </w:r>
    </w:p>
    <w:p w14:paraId="3D217887">
      <w:pPr>
        <w:shd w:val="clear" w:fill="FFFFFF" w:themeFill="background1"/>
        <w:spacing w:line="360" w:lineRule="auto"/>
        <w:ind w:left="1108" w:hanging="583"/>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供应商</w:t>
      </w:r>
      <w:r>
        <w:rPr>
          <w:rFonts w:hint="eastAsia" w:ascii="宋体" w:hAnsi="宋体"/>
          <w:color w:val="auto"/>
          <w:sz w:val="24"/>
          <w:highlight w:val="none"/>
        </w:rPr>
        <w:t>须知</w:t>
      </w:r>
    </w:p>
    <w:p w14:paraId="787ACCDC">
      <w:pPr>
        <w:shd w:val="clear" w:fill="FFFFFF" w:themeFill="background1"/>
        <w:spacing w:line="360" w:lineRule="auto"/>
        <w:ind w:left="1108" w:hanging="583"/>
        <w:rPr>
          <w:rFonts w:hint="eastAsia" w:ascii="宋体" w:hAnsi="宋体" w:eastAsia="宋体"/>
          <w:color w:val="auto"/>
          <w:sz w:val="24"/>
          <w:highlight w:val="none"/>
          <w:lang w:eastAsia="zh-CN"/>
        </w:rPr>
      </w:pPr>
      <w:r>
        <w:rPr>
          <w:rFonts w:hint="eastAsia" w:ascii="宋体" w:hAnsi="宋体"/>
          <w:color w:val="auto"/>
          <w:sz w:val="24"/>
          <w:highlight w:val="none"/>
        </w:rPr>
        <w:t>（3）</w:t>
      </w:r>
      <w:r>
        <w:rPr>
          <w:rFonts w:hint="eastAsia" w:ascii="宋体" w:hAnsi="宋体"/>
          <w:color w:val="auto"/>
          <w:sz w:val="24"/>
          <w:highlight w:val="none"/>
          <w:lang w:eastAsia="zh-CN"/>
        </w:rPr>
        <w:t>招标人需求</w:t>
      </w:r>
    </w:p>
    <w:p w14:paraId="74A34488">
      <w:pPr>
        <w:shd w:val="clear" w:fill="FFFFFF" w:themeFill="background1"/>
        <w:spacing w:line="360" w:lineRule="auto"/>
        <w:ind w:left="1108" w:hanging="583"/>
        <w:rPr>
          <w:rFonts w:ascii="宋体" w:hAnsi="宋体"/>
          <w:color w:val="auto"/>
          <w:sz w:val="24"/>
          <w:highlight w:val="none"/>
        </w:rPr>
      </w:pPr>
      <w:r>
        <w:rPr>
          <w:rFonts w:hint="eastAsia" w:ascii="宋体" w:hAnsi="宋体"/>
          <w:color w:val="auto"/>
          <w:sz w:val="24"/>
          <w:highlight w:val="none"/>
        </w:rPr>
        <w:t>（4）评标文件</w:t>
      </w:r>
    </w:p>
    <w:p w14:paraId="4EDEEEED">
      <w:pPr>
        <w:shd w:val="clear" w:fill="FFFFFF" w:themeFill="background1"/>
        <w:spacing w:line="360" w:lineRule="auto"/>
        <w:ind w:left="1108" w:hanging="583"/>
        <w:rPr>
          <w:rFonts w:ascii="宋体" w:hAnsi="宋体"/>
          <w:color w:val="auto"/>
          <w:sz w:val="24"/>
          <w:highlight w:val="none"/>
        </w:rPr>
      </w:pPr>
      <w:r>
        <w:rPr>
          <w:rFonts w:hint="eastAsia" w:ascii="宋体" w:hAnsi="宋体"/>
          <w:color w:val="auto"/>
          <w:sz w:val="24"/>
          <w:highlight w:val="none"/>
        </w:rPr>
        <w:t>（5）合同（样本）</w:t>
      </w:r>
    </w:p>
    <w:p w14:paraId="59287A4D">
      <w:pPr>
        <w:shd w:val="clear" w:fill="FFFFFF" w:themeFill="background1"/>
        <w:spacing w:line="360" w:lineRule="auto"/>
        <w:ind w:left="1108" w:hanging="583"/>
        <w:rPr>
          <w:rFonts w:ascii="宋体" w:hAnsi="宋体"/>
          <w:color w:val="auto"/>
          <w:sz w:val="24"/>
          <w:highlight w:val="none"/>
        </w:rPr>
      </w:pPr>
      <w:r>
        <w:rPr>
          <w:rFonts w:hint="eastAsia" w:ascii="宋体" w:hAnsi="宋体"/>
          <w:color w:val="auto"/>
          <w:sz w:val="24"/>
          <w:highlight w:val="none"/>
        </w:rPr>
        <w:t>（6）投标文件格式</w:t>
      </w:r>
    </w:p>
    <w:p w14:paraId="0F30B700">
      <w:pPr>
        <w:shd w:val="clear" w:fill="FFFFFF" w:themeFill="background1"/>
        <w:spacing w:line="360" w:lineRule="auto"/>
        <w:ind w:left="1108" w:hanging="583"/>
        <w:rPr>
          <w:rFonts w:ascii="宋体" w:hAnsi="宋体"/>
          <w:color w:val="auto"/>
          <w:sz w:val="24"/>
          <w:highlight w:val="none"/>
        </w:rPr>
      </w:pPr>
      <w:r>
        <w:rPr>
          <w:rFonts w:hint="eastAsia" w:ascii="宋体" w:hAnsi="宋体"/>
          <w:color w:val="auto"/>
          <w:sz w:val="24"/>
          <w:highlight w:val="none"/>
        </w:rPr>
        <w:t>（7）根据</w:t>
      </w:r>
      <w:r>
        <w:rPr>
          <w:rFonts w:hint="eastAsia" w:ascii="宋体" w:hAnsi="宋体"/>
          <w:color w:val="auto"/>
          <w:sz w:val="24"/>
          <w:highlight w:val="none"/>
          <w:lang w:eastAsia="zh-CN"/>
        </w:rPr>
        <w:t>招标文件</w:t>
      </w:r>
      <w:r>
        <w:rPr>
          <w:rFonts w:hint="eastAsia" w:ascii="宋体" w:hAnsi="宋体"/>
          <w:color w:val="auto"/>
          <w:sz w:val="24"/>
          <w:highlight w:val="none"/>
        </w:rPr>
        <w:t>规定发出的澄清、修改及补充文件（如有）；</w:t>
      </w:r>
    </w:p>
    <w:p w14:paraId="5181AB42">
      <w:pPr>
        <w:numPr>
          <w:ilvl w:val="1"/>
          <w:numId w:val="2"/>
        </w:numPr>
        <w:shd w:val="clear" w:fill="FFFFFF" w:themeFill="background1"/>
        <w:tabs>
          <w:tab w:val="left" w:pos="567"/>
          <w:tab w:val="clear" w:pos="289"/>
        </w:tabs>
        <w:spacing w:line="360" w:lineRule="auto"/>
        <w:ind w:left="567"/>
        <w:outlineLvl w:val="3"/>
        <w:rPr>
          <w:rFonts w:ascii="宋体" w:hAnsi="宋体"/>
          <w:b/>
          <w:bCs/>
          <w:color w:val="auto"/>
          <w:highlight w:val="none"/>
        </w:rPr>
      </w:pPr>
      <w:r>
        <w:rPr>
          <w:rFonts w:hint="eastAsia" w:ascii="宋体" w:hAnsi="宋体"/>
          <w:b/>
          <w:bCs/>
          <w:color w:val="auto"/>
          <w:sz w:val="24"/>
          <w:highlight w:val="none"/>
          <w:lang w:val="en-US" w:eastAsia="zh-CN"/>
        </w:rPr>
        <w:t>招标</w:t>
      </w:r>
      <w:r>
        <w:rPr>
          <w:rFonts w:hint="eastAsia" w:ascii="宋体" w:hAnsi="宋体"/>
          <w:b/>
          <w:bCs/>
          <w:color w:val="auto"/>
          <w:sz w:val="24"/>
          <w:highlight w:val="none"/>
          <w:lang w:eastAsia="zh-CN"/>
        </w:rPr>
        <w:t>文件</w:t>
      </w:r>
      <w:r>
        <w:rPr>
          <w:rFonts w:hint="eastAsia" w:ascii="宋体" w:hAnsi="宋体"/>
          <w:b/>
          <w:bCs/>
          <w:color w:val="auto"/>
          <w:sz w:val="24"/>
          <w:highlight w:val="none"/>
        </w:rPr>
        <w:t>的澄清</w:t>
      </w:r>
      <w:r>
        <w:rPr>
          <w:rFonts w:hint="eastAsia" w:ascii="宋体" w:hAnsi="宋体"/>
          <w:b/>
          <w:bCs/>
          <w:color w:val="auto"/>
          <w:sz w:val="24"/>
          <w:highlight w:val="none"/>
          <w:lang w:val="en-US" w:eastAsia="zh-CN"/>
        </w:rPr>
        <w:t>和修改</w:t>
      </w:r>
    </w:p>
    <w:p w14:paraId="61C449B1">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val="en-US" w:eastAsia="zh-CN"/>
        </w:rPr>
        <w:t>招标</w:t>
      </w:r>
      <w:r>
        <w:rPr>
          <w:rFonts w:hint="eastAsia" w:ascii="宋体" w:hAnsi="宋体"/>
          <w:color w:val="auto"/>
          <w:sz w:val="24"/>
          <w:highlight w:val="none"/>
          <w:lang w:eastAsia="zh-CN"/>
        </w:rPr>
        <w:t>单位</w:t>
      </w:r>
      <w:r>
        <w:rPr>
          <w:rFonts w:hint="eastAsia" w:ascii="宋体" w:hAnsi="宋体"/>
          <w:color w:val="auto"/>
          <w:sz w:val="24"/>
          <w:highlight w:val="none"/>
        </w:rPr>
        <w:t>可以依法对招标文件进行澄清或者修改。</w:t>
      </w:r>
      <w:bookmarkStart w:id="804" w:name="_GoBack"/>
      <w:bookmarkEnd w:id="804"/>
    </w:p>
    <w:p w14:paraId="27E33FD8">
      <w:pPr>
        <w:numPr>
          <w:ilvl w:val="2"/>
          <w:numId w:val="2"/>
        </w:numPr>
        <w:shd w:val="clear" w:fill="FFFFFF" w:themeFill="background1"/>
        <w:tabs>
          <w:tab w:val="left" w:pos="624"/>
          <w:tab w:val="left" w:pos="735"/>
          <w:tab w:val="left" w:pos="1254"/>
          <w:tab w:val="clear" w:pos="1050"/>
        </w:tabs>
        <w:spacing w:line="360" w:lineRule="auto"/>
        <w:ind w:left="735" w:hanging="735"/>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招标</w:t>
      </w:r>
      <w:r>
        <w:rPr>
          <w:rFonts w:hint="eastAsia" w:ascii="宋体" w:hAnsi="宋体" w:eastAsia="宋体" w:cs="Times New Roman"/>
          <w:color w:val="auto"/>
          <w:sz w:val="24"/>
          <w:highlight w:val="none"/>
          <w:lang w:eastAsia="zh-CN"/>
        </w:rPr>
        <w:t>单位</w:t>
      </w:r>
      <w:r>
        <w:rPr>
          <w:rFonts w:hint="eastAsia" w:ascii="宋体" w:hAnsi="宋体" w:eastAsia="宋体" w:cs="Times New Roman"/>
          <w:color w:val="auto"/>
          <w:sz w:val="24"/>
          <w:highlight w:val="none"/>
        </w:rPr>
        <w:t>对已发出的招标文件进行澄清或者修改，应当以书面形式将澄清或者修改的内容通知所有购买了招标文件的</w:t>
      </w:r>
      <w:r>
        <w:rPr>
          <w:rFonts w:hint="eastAsia" w:ascii="宋体" w:hAnsi="宋体" w:cs="Times New Roman"/>
          <w:color w:val="auto"/>
          <w:sz w:val="24"/>
          <w:highlight w:val="none"/>
          <w:lang w:eastAsia="zh-CN"/>
        </w:rPr>
        <w:t>供应商</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eastAsia="zh-CN"/>
        </w:rPr>
        <w:t>或</w:t>
      </w:r>
      <w:r>
        <w:rPr>
          <w:rFonts w:hint="eastAsia" w:ascii="宋体" w:hAnsi="宋体" w:eastAsia="宋体" w:cs="Times New Roman"/>
          <w:color w:val="auto"/>
          <w:sz w:val="24"/>
          <w:highlight w:val="none"/>
        </w:rPr>
        <w:t>在</w:t>
      </w:r>
      <w:r>
        <w:rPr>
          <w:rFonts w:hint="eastAsia" w:ascii="宋体" w:hAnsi="宋体" w:eastAsia="宋体" w:cs="Times New Roman"/>
          <w:color w:val="auto"/>
          <w:sz w:val="24"/>
          <w:highlight w:val="none"/>
          <w:lang w:eastAsia="zh-CN"/>
        </w:rPr>
        <w:t>新疆政府采购网</w:t>
      </w:r>
      <w:r>
        <w:rPr>
          <w:rFonts w:hint="eastAsia" w:ascii="宋体" w:hAnsi="宋体" w:eastAsia="宋体" w:cs="Times New Roman"/>
          <w:color w:val="auto"/>
          <w:sz w:val="24"/>
          <w:highlight w:val="none"/>
        </w:rPr>
        <w:t>上发布更正公告。该澄清或者修改的内容为招标文件的组成部分，澄清或者修改的内容可能影响投标文件、资格预审申请文件编制的，</w:t>
      </w:r>
      <w:r>
        <w:rPr>
          <w:rFonts w:hint="eastAsia" w:ascii="宋体" w:hAnsi="宋体" w:cs="Times New Roman"/>
          <w:color w:val="auto"/>
          <w:sz w:val="24"/>
          <w:highlight w:val="none"/>
          <w:lang w:eastAsia="zh-CN"/>
        </w:rPr>
        <w:t>招标人</w:t>
      </w:r>
      <w:r>
        <w:rPr>
          <w:rFonts w:hint="eastAsia" w:ascii="宋体" w:hAnsi="宋体" w:eastAsia="宋体" w:cs="Times New Roman"/>
          <w:color w:val="auto"/>
          <w:sz w:val="24"/>
          <w:highlight w:val="none"/>
        </w:rPr>
        <w:t>或者采购代理机构发布公告</w:t>
      </w:r>
      <w:r>
        <w:rPr>
          <w:rFonts w:hint="eastAsia" w:ascii="宋体" w:hAnsi="宋体" w:cs="Times New Roman"/>
          <w:color w:val="auto"/>
          <w:sz w:val="24"/>
          <w:highlight w:val="none"/>
          <w:lang w:eastAsia="zh-CN"/>
        </w:rPr>
        <w:t>或</w:t>
      </w:r>
      <w:r>
        <w:rPr>
          <w:rFonts w:hint="eastAsia" w:ascii="宋体" w:hAnsi="宋体" w:eastAsia="宋体" w:cs="Times New Roman"/>
          <w:color w:val="auto"/>
          <w:sz w:val="24"/>
          <w:highlight w:val="none"/>
        </w:rPr>
        <w:t>书面通知</w:t>
      </w:r>
      <w:r>
        <w:rPr>
          <w:rFonts w:hint="eastAsia" w:ascii="宋体" w:hAnsi="宋体" w:cs="Times New Roman"/>
          <w:color w:val="auto"/>
          <w:sz w:val="24"/>
          <w:highlight w:val="none"/>
          <w:lang w:eastAsia="zh-CN"/>
        </w:rPr>
        <w:t>供应商</w:t>
      </w:r>
      <w:r>
        <w:rPr>
          <w:rFonts w:hint="eastAsia" w:ascii="宋体" w:hAnsi="宋体" w:eastAsia="宋体" w:cs="Times New Roman"/>
          <w:color w:val="auto"/>
          <w:sz w:val="24"/>
          <w:highlight w:val="none"/>
        </w:rPr>
        <w:t>的时间，应当在投标截止时间至少15日前、提交资格预审申请文件截止时间至少3日前；不足上述时间的，应当顺延提交投标文件、资格预审申请文件的截止时间。</w:t>
      </w:r>
    </w:p>
    <w:p w14:paraId="3D9C63D5">
      <w:pPr>
        <w:numPr>
          <w:ilvl w:val="2"/>
          <w:numId w:val="2"/>
        </w:numPr>
        <w:shd w:val="clear" w:fill="FFFFFF" w:themeFill="background1"/>
        <w:tabs>
          <w:tab w:val="left" w:pos="624"/>
          <w:tab w:val="left" w:pos="735"/>
          <w:tab w:val="left" w:pos="1254"/>
          <w:tab w:val="clear" w:pos="1050"/>
        </w:tabs>
        <w:spacing w:line="360" w:lineRule="auto"/>
        <w:ind w:left="735" w:hanging="735"/>
        <w:rPr>
          <w:rFonts w:hint="eastAsia" w:ascii="宋体" w:hAnsi="宋体" w:eastAsia="宋体" w:cs="Times New Roman"/>
          <w:color w:val="auto"/>
          <w:sz w:val="24"/>
          <w:highlight w:val="none"/>
        </w:rPr>
      </w:pPr>
      <w:r>
        <w:rPr>
          <w:rFonts w:hint="eastAsia" w:ascii="宋体" w:hAnsi="宋体" w:cs="Times New Roman"/>
          <w:color w:val="auto"/>
          <w:sz w:val="24"/>
          <w:highlight w:val="none"/>
          <w:lang w:eastAsia="zh-CN"/>
        </w:rPr>
        <w:t>供应商</w:t>
      </w:r>
      <w:r>
        <w:rPr>
          <w:rFonts w:hint="eastAsia" w:ascii="宋体" w:hAnsi="宋体" w:eastAsia="宋体" w:cs="Times New Roman"/>
          <w:color w:val="auto"/>
          <w:sz w:val="24"/>
          <w:highlight w:val="none"/>
        </w:rPr>
        <w:t>应于投标文件递交截止时间之前在</w:t>
      </w:r>
      <w:r>
        <w:rPr>
          <w:rFonts w:hint="eastAsia" w:ascii="宋体" w:hAnsi="宋体" w:eastAsia="宋体" w:cs="Times New Roman"/>
          <w:color w:val="auto"/>
          <w:sz w:val="24"/>
          <w:highlight w:val="none"/>
          <w:lang w:eastAsia="zh-CN"/>
        </w:rPr>
        <w:t>新疆政府采购网</w:t>
      </w:r>
      <w:r>
        <w:rPr>
          <w:rFonts w:hint="eastAsia" w:ascii="宋体" w:hAnsi="宋体" w:eastAsia="宋体" w:cs="Times New Roman"/>
          <w:color w:val="auto"/>
          <w:sz w:val="24"/>
          <w:highlight w:val="none"/>
        </w:rPr>
        <w:t>查询本项目的更正公告，以保证其对招标文件做出正确的响应。</w:t>
      </w:r>
      <w:r>
        <w:rPr>
          <w:rFonts w:hint="eastAsia" w:ascii="宋体" w:hAnsi="宋体" w:cs="Times New Roman"/>
          <w:color w:val="auto"/>
          <w:sz w:val="24"/>
          <w:highlight w:val="none"/>
          <w:lang w:eastAsia="zh-CN"/>
        </w:rPr>
        <w:t>供应商</w:t>
      </w:r>
      <w:r>
        <w:rPr>
          <w:rFonts w:hint="eastAsia" w:ascii="宋体" w:hAnsi="宋体" w:eastAsia="宋体" w:cs="Times New Roman"/>
          <w:color w:val="auto"/>
          <w:sz w:val="24"/>
          <w:highlight w:val="none"/>
        </w:rPr>
        <w:t>未按要求下载相关文件，或由于未及时关注更正公告的信息造成的后果，其责任由</w:t>
      </w:r>
      <w:r>
        <w:rPr>
          <w:rFonts w:hint="eastAsia" w:ascii="宋体" w:hAnsi="宋体" w:cs="Times New Roman"/>
          <w:color w:val="auto"/>
          <w:sz w:val="24"/>
          <w:highlight w:val="none"/>
          <w:lang w:eastAsia="zh-CN"/>
        </w:rPr>
        <w:t>供应商</w:t>
      </w:r>
      <w:r>
        <w:rPr>
          <w:rFonts w:hint="eastAsia" w:ascii="宋体" w:hAnsi="宋体" w:eastAsia="宋体" w:cs="Times New Roman"/>
          <w:color w:val="auto"/>
          <w:sz w:val="24"/>
          <w:highlight w:val="none"/>
        </w:rPr>
        <w:t>自行负责。</w:t>
      </w:r>
    </w:p>
    <w:p w14:paraId="1470BEAC">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s="Times New Roman"/>
          <w:color w:val="auto"/>
          <w:sz w:val="24"/>
          <w:highlight w:val="none"/>
          <w:lang w:eastAsia="zh-CN"/>
        </w:rPr>
        <w:t>供应商</w:t>
      </w:r>
      <w:r>
        <w:rPr>
          <w:rFonts w:hint="eastAsia" w:ascii="宋体" w:hAnsi="宋体" w:eastAsia="宋体" w:cs="Times New Roman"/>
          <w:color w:val="auto"/>
          <w:sz w:val="24"/>
          <w:highlight w:val="none"/>
        </w:rPr>
        <w:t>认为需要对招标文件进行澄清或者修改的，可以书面形式向</w:t>
      </w:r>
      <w:r>
        <w:rPr>
          <w:rFonts w:hint="eastAsia" w:ascii="宋体" w:hAnsi="宋体" w:cs="Times New Roman"/>
          <w:color w:val="auto"/>
          <w:sz w:val="24"/>
          <w:highlight w:val="none"/>
          <w:lang w:val="en-US" w:eastAsia="zh-CN"/>
        </w:rPr>
        <w:t>招标</w:t>
      </w:r>
      <w:r>
        <w:rPr>
          <w:rFonts w:hint="eastAsia" w:ascii="宋体" w:hAnsi="宋体" w:eastAsia="宋体" w:cs="Times New Roman"/>
          <w:color w:val="auto"/>
          <w:sz w:val="24"/>
          <w:highlight w:val="none"/>
          <w:lang w:eastAsia="zh-CN"/>
        </w:rPr>
        <w:t>单位</w:t>
      </w:r>
      <w:r>
        <w:rPr>
          <w:rFonts w:hint="eastAsia" w:ascii="宋体" w:hAnsi="宋体" w:eastAsia="宋体" w:cs="Times New Roman"/>
          <w:color w:val="auto"/>
          <w:sz w:val="24"/>
          <w:highlight w:val="none"/>
        </w:rPr>
        <w:t>提出申请，但</w:t>
      </w:r>
      <w:r>
        <w:rPr>
          <w:rFonts w:hint="eastAsia" w:ascii="宋体" w:hAnsi="宋体" w:cs="Times New Roman"/>
          <w:color w:val="auto"/>
          <w:sz w:val="24"/>
          <w:highlight w:val="none"/>
          <w:lang w:val="en-US" w:eastAsia="zh-CN"/>
        </w:rPr>
        <w:t>招标</w:t>
      </w:r>
      <w:r>
        <w:rPr>
          <w:rFonts w:hint="eastAsia" w:ascii="宋体" w:hAnsi="宋体" w:eastAsia="宋体" w:cs="Times New Roman"/>
          <w:color w:val="auto"/>
          <w:sz w:val="24"/>
          <w:highlight w:val="none"/>
          <w:lang w:eastAsia="zh-CN"/>
        </w:rPr>
        <w:t>单位</w:t>
      </w:r>
      <w:r>
        <w:rPr>
          <w:rFonts w:hint="eastAsia" w:ascii="宋体" w:hAnsi="宋体" w:eastAsia="宋体" w:cs="Times New Roman"/>
          <w:color w:val="auto"/>
          <w:sz w:val="24"/>
          <w:highlight w:val="none"/>
        </w:rPr>
        <w:t>可以决定是否采纳</w:t>
      </w:r>
      <w:r>
        <w:rPr>
          <w:rFonts w:hint="eastAsia" w:ascii="宋体" w:hAnsi="宋体" w:cs="Times New Roman"/>
          <w:color w:val="auto"/>
          <w:sz w:val="24"/>
          <w:highlight w:val="none"/>
          <w:lang w:eastAsia="zh-CN"/>
        </w:rPr>
        <w:t>供应商</w:t>
      </w:r>
      <w:r>
        <w:rPr>
          <w:rFonts w:hint="eastAsia" w:ascii="宋体" w:hAnsi="宋体" w:eastAsia="宋体" w:cs="Times New Roman"/>
          <w:color w:val="auto"/>
          <w:sz w:val="24"/>
          <w:highlight w:val="none"/>
        </w:rPr>
        <w:t>的申请事项。</w:t>
      </w:r>
    </w:p>
    <w:p w14:paraId="1394D590">
      <w:pPr>
        <w:pStyle w:val="4"/>
        <w:numPr>
          <w:ilvl w:val="0"/>
          <w:numId w:val="2"/>
        </w:numPr>
        <w:shd w:val="clear" w:fill="FFFFFF" w:themeFill="background1"/>
        <w:tabs>
          <w:tab w:val="left" w:pos="425"/>
          <w:tab w:val="clear" w:pos="147"/>
        </w:tabs>
        <w:spacing w:before="0" w:beforeLines="0" w:beforeAutospacing="0" w:after="0" w:afterLines="0" w:afterAutospacing="0" w:line="360" w:lineRule="auto"/>
        <w:ind w:left="425"/>
        <w:rPr>
          <w:color w:val="auto"/>
          <w:highlight w:val="none"/>
        </w:rPr>
      </w:pPr>
      <w:bookmarkStart w:id="64" w:name="_Toc518912733"/>
      <w:bookmarkStart w:id="65" w:name="_Toc297209417"/>
      <w:bookmarkStart w:id="66" w:name="_Toc438641463"/>
      <w:bookmarkStart w:id="67" w:name="_Toc298829718"/>
      <w:bookmarkStart w:id="68" w:name="_Toc479325590"/>
      <w:bookmarkStart w:id="69" w:name="_Toc380533808"/>
      <w:bookmarkStart w:id="70" w:name="_Toc435629836"/>
      <w:bookmarkStart w:id="71" w:name="_Toc418023331"/>
      <w:bookmarkStart w:id="72" w:name="_Toc435687347"/>
      <w:bookmarkStart w:id="73" w:name="_Toc350417822"/>
      <w:bookmarkStart w:id="74" w:name="_Toc435623752"/>
      <w:bookmarkStart w:id="75" w:name="_Toc494832085"/>
      <w:bookmarkStart w:id="76" w:name="_Toc486969377"/>
      <w:bookmarkStart w:id="77" w:name="_Toc458635594"/>
      <w:bookmarkStart w:id="78" w:name="_Toc7269"/>
      <w:bookmarkStart w:id="79" w:name="_Toc435629790"/>
      <w:bookmarkStart w:id="80" w:name="_Toc439513159"/>
      <w:bookmarkStart w:id="81" w:name="_Toc365033704"/>
      <w:bookmarkStart w:id="82" w:name="_Toc487044250"/>
      <w:bookmarkStart w:id="83" w:name="_Toc438513732"/>
      <w:bookmarkStart w:id="84" w:name="_Toc414510778"/>
      <w:bookmarkStart w:id="85" w:name="_Toc416208484"/>
      <w:bookmarkStart w:id="86" w:name="_Toc458980391"/>
      <w:bookmarkStart w:id="87" w:name="_Toc298190382"/>
      <w:bookmarkStart w:id="88" w:name="_Toc298829959"/>
      <w:bookmarkStart w:id="89" w:name="_Toc479340787"/>
      <w:bookmarkStart w:id="90" w:name="_Toc356489051"/>
      <w:bookmarkStart w:id="91" w:name="_Toc298920090"/>
      <w:bookmarkStart w:id="92" w:name="_Toc438722128"/>
      <w:bookmarkStart w:id="93" w:name="_Toc4382"/>
      <w:bookmarkStart w:id="94" w:name="_Toc425347660"/>
      <w:bookmarkStart w:id="95" w:name="_Toc470184439"/>
      <w:bookmarkStart w:id="96" w:name="_Toc498899369"/>
      <w:bookmarkStart w:id="97" w:name="_Toc435687273"/>
      <w:bookmarkStart w:id="98" w:name="_Toc364846098"/>
      <w:bookmarkStart w:id="99" w:name="_Toc299108388"/>
      <w:bookmarkStart w:id="100" w:name="_Toc438508595"/>
      <w:bookmarkStart w:id="101" w:name="_Toc383124046"/>
      <w:bookmarkStart w:id="102" w:name="_Toc435686978"/>
      <w:bookmarkStart w:id="103" w:name="_Toc439513443"/>
      <w:bookmarkStart w:id="104" w:name="_Toc477879838"/>
      <w:bookmarkStart w:id="105" w:name="_Toc422865419"/>
      <w:bookmarkStart w:id="106" w:name="_Toc498871242"/>
      <w:bookmarkStart w:id="107" w:name="_Toc422161990"/>
      <w:bookmarkStart w:id="108" w:name="_Toc439679266"/>
      <w:bookmarkStart w:id="109" w:name="_Toc343857024"/>
      <w:bookmarkStart w:id="110" w:name="_Toc49135197"/>
      <w:bookmarkStart w:id="111" w:name="_Toc49082411"/>
      <w:r>
        <w:rPr>
          <w:rFonts w:hint="eastAsia"/>
          <w:color w:val="auto"/>
          <w:highlight w:val="none"/>
        </w:rPr>
        <w:t>投标文件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08B9E3B3">
      <w:pPr>
        <w:numPr>
          <w:ilvl w:val="1"/>
          <w:numId w:val="2"/>
        </w:numPr>
        <w:shd w:val="clear" w:fill="FFFFFF" w:themeFill="background1"/>
        <w:tabs>
          <w:tab w:val="left" w:pos="567"/>
          <w:tab w:val="clear" w:pos="289"/>
        </w:tabs>
        <w:spacing w:beforeAutospacing="0" w:line="360" w:lineRule="auto"/>
        <w:ind w:left="567"/>
        <w:outlineLvl w:val="3"/>
        <w:rPr>
          <w:rFonts w:ascii="宋体" w:hAnsi="宋体"/>
          <w:b/>
          <w:bCs/>
          <w:color w:val="auto"/>
          <w:highlight w:val="none"/>
        </w:rPr>
      </w:pPr>
      <w:r>
        <w:rPr>
          <w:rFonts w:hint="eastAsia" w:ascii="宋体" w:hAnsi="宋体"/>
          <w:b/>
          <w:bCs/>
          <w:color w:val="auto"/>
          <w:sz w:val="24"/>
          <w:highlight w:val="none"/>
        </w:rPr>
        <w:t>投标文件的编写</w:t>
      </w:r>
      <w:r>
        <w:rPr>
          <w:rFonts w:hint="eastAsia" w:ascii="宋体" w:hAnsi="宋体"/>
          <w:b/>
          <w:bCs/>
          <w:color w:val="auto"/>
          <w:sz w:val="24"/>
          <w:szCs w:val="24"/>
          <w:highlight w:val="none"/>
        </w:rPr>
        <w:t>（实质性要求）</w:t>
      </w:r>
    </w:p>
    <w:p w14:paraId="6972C57A">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应仔细阅读</w:t>
      </w:r>
      <w:r>
        <w:rPr>
          <w:rFonts w:hint="eastAsia" w:ascii="宋体" w:hAnsi="宋体"/>
          <w:color w:val="auto"/>
          <w:sz w:val="24"/>
          <w:highlight w:val="none"/>
          <w:lang w:eastAsia="zh-CN"/>
        </w:rPr>
        <w:t>招标文件</w:t>
      </w:r>
      <w:r>
        <w:rPr>
          <w:rFonts w:hint="eastAsia" w:ascii="宋体" w:hAnsi="宋体"/>
          <w:color w:val="auto"/>
          <w:sz w:val="24"/>
          <w:highlight w:val="none"/>
        </w:rPr>
        <w:t>的所有内容，</w:t>
      </w:r>
      <w:r>
        <w:rPr>
          <w:rFonts w:hint="eastAsia" w:ascii="宋体" w:hAnsi="宋体"/>
          <w:bCs/>
          <w:color w:val="auto"/>
          <w:sz w:val="24"/>
          <w:highlight w:val="none"/>
        </w:rPr>
        <w:t>按</w:t>
      </w:r>
      <w:r>
        <w:rPr>
          <w:rFonts w:hint="eastAsia" w:ascii="宋体" w:hAnsi="宋体"/>
          <w:bCs/>
          <w:color w:val="auto"/>
          <w:sz w:val="24"/>
          <w:highlight w:val="none"/>
          <w:lang w:eastAsia="zh-CN"/>
        </w:rPr>
        <w:t>招标文件</w:t>
      </w:r>
      <w:r>
        <w:rPr>
          <w:rFonts w:hint="eastAsia" w:ascii="宋体" w:hAnsi="宋体"/>
          <w:bCs/>
          <w:color w:val="auto"/>
          <w:sz w:val="24"/>
          <w:highlight w:val="none"/>
        </w:rPr>
        <w:t>的要求制作并递交投标文件，并保证所提供的全部资料的真实性、准确性，以确保其投标对</w:t>
      </w:r>
      <w:r>
        <w:rPr>
          <w:rFonts w:hint="eastAsia" w:ascii="宋体" w:hAnsi="宋体"/>
          <w:bCs/>
          <w:color w:val="auto"/>
          <w:sz w:val="24"/>
          <w:highlight w:val="none"/>
          <w:lang w:eastAsia="zh-CN"/>
        </w:rPr>
        <w:t>招标文件</w:t>
      </w:r>
      <w:r>
        <w:rPr>
          <w:rFonts w:hint="eastAsia" w:ascii="宋体" w:hAnsi="宋体"/>
          <w:bCs/>
          <w:color w:val="auto"/>
          <w:sz w:val="24"/>
          <w:highlight w:val="none"/>
        </w:rPr>
        <w:t>做出实质性响应；否则，将拒绝其投标。</w:t>
      </w:r>
      <w:r>
        <w:rPr>
          <w:rFonts w:hint="eastAsia" w:ascii="宋体" w:hAnsi="宋体"/>
          <w:bCs/>
          <w:color w:val="auto"/>
          <w:sz w:val="24"/>
          <w:highlight w:val="none"/>
          <w:lang w:eastAsia="zh-CN"/>
        </w:rPr>
        <w:t>供应商</w:t>
      </w:r>
      <w:r>
        <w:rPr>
          <w:rFonts w:hint="eastAsia" w:ascii="宋体" w:hAnsi="宋体"/>
          <w:bCs/>
          <w:color w:val="auto"/>
          <w:sz w:val="24"/>
          <w:highlight w:val="none"/>
        </w:rPr>
        <w:t>在投标中提供不真实的材料，无论其材料是否重要，都将直接导致投标文件无效，并承担由此产生的法律责任。</w:t>
      </w:r>
    </w:p>
    <w:p w14:paraId="209AD990">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b/>
          <w:bCs/>
          <w:color w:val="auto"/>
          <w:sz w:val="24"/>
          <w:highlight w:val="none"/>
        </w:rPr>
      </w:pPr>
      <w:r>
        <w:rPr>
          <w:rFonts w:hint="eastAsia" w:ascii="宋体" w:hAnsi="宋体"/>
          <w:color w:val="auto"/>
          <w:sz w:val="24"/>
          <w:highlight w:val="none"/>
        </w:rPr>
        <w:t>投标语言和计量单位</w:t>
      </w:r>
    </w:p>
    <w:p w14:paraId="3569C020">
      <w:pPr>
        <w:shd w:val="clear" w:fill="FFFFFF" w:themeFill="background1"/>
        <w:spacing w:line="360" w:lineRule="auto"/>
        <w:ind w:left="718" w:leftChars="342"/>
        <w:rPr>
          <w:rFonts w:ascii="宋体" w:hAnsi="宋体"/>
          <w:color w:val="auto"/>
          <w:sz w:val="24"/>
          <w:highlight w:val="none"/>
        </w:rPr>
      </w:pPr>
      <w:r>
        <w:rPr>
          <w:rFonts w:hint="eastAsia" w:ascii="宋体" w:hAnsi="宋体"/>
          <w:color w:val="auto"/>
          <w:sz w:val="24"/>
          <w:highlight w:val="none"/>
        </w:rPr>
        <w:t>投标文件和来往函件应用中文书写，</w:t>
      </w:r>
      <w:r>
        <w:rPr>
          <w:rFonts w:hint="eastAsia" w:ascii="宋体" w:hAnsi="宋体"/>
          <w:color w:val="auto"/>
          <w:sz w:val="24"/>
          <w:highlight w:val="none"/>
          <w:lang w:eastAsia="zh-CN"/>
        </w:rPr>
        <w:t>供应商</w:t>
      </w:r>
      <w:r>
        <w:rPr>
          <w:rFonts w:hint="eastAsia" w:ascii="宋体" w:hAnsi="宋体"/>
          <w:color w:val="auto"/>
          <w:sz w:val="24"/>
          <w:highlight w:val="none"/>
        </w:rPr>
        <w:t>提供的支持文件、技术资料和印刷的文献可以用其它语言，但相应内容应附有中文翻译本（经公证处公证），以中文为准，计量单位应使用国际公制单位。</w:t>
      </w:r>
    </w:p>
    <w:p w14:paraId="0FC75891">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必须以</w:t>
      </w:r>
      <w:r>
        <w:rPr>
          <w:rFonts w:hint="eastAsia" w:ascii="宋体" w:hAnsi="宋体"/>
          <w:color w:val="auto"/>
          <w:sz w:val="24"/>
          <w:highlight w:val="none"/>
          <w:lang w:val="en-US" w:eastAsia="zh-CN"/>
        </w:rPr>
        <w:t>下浮率</w:t>
      </w:r>
      <w:r>
        <w:rPr>
          <w:rFonts w:hint="eastAsia" w:ascii="宋体" w:hAnsi="宋体"/>
          <w:color w:val="auto"/>
          <w:sz w:val="24"/>
          <w:highlight w:val="none"/>
        </w:rPr>
        <w:t>报价，并保留小数点后两位。投标文件中开标一览表内容与投标文件中相应内容不一致的，以开标一览表为准；投标文件中的大写金额和小写金额不一致的，以大写金额为准；单价金额小数点或者百分比有明显错位的，以开标一览表为准，并修改单价；总价金额与单价金额和数量乘积不一致的，以单价金额计算结果为准；对不同文字文本投标文件的解释发生异议的，以中文文本为准。</w:t>
      </w:r>
    </w:p>
    <w:p w14:paraId="2EA0EDBD">
      <w:pPr>
        <w:numPr>
          <w:ilvl w:val="1"/>
          <w:numId w:val="2"/>
        </w:numPr>
        <w:shd w:val="clear" w:fill="FFFFFF" w:themeFill="background1"/>
        <w:tabs>
          <w:tab w:val="left" w:pos="567"/>
          <w:tab w:val="clear" w:pos="289"/>
        </w:tabs>
        <w:spacing w:line="360" w:lineRule="auto"/>
        <w:ind w:left="567"/>
        <w:outlineLvl w:val="3"/>
        <w:rPr>
          <w:rFonts w:ascii="宋体" w:hAnsi="宋体"/>
          <w:b/>
          <w:bCs/>
          <w:color w:val="auto"/>
          <w:sz w:val="24"/>
          <w:highlight w:val="none"/>
        </w:rPr>
      </w:pPr>
      <w:r>
        <w:rPr>
          <w:rFonts w:hint="eastAsia" w:ascii="宋体" w:hAnsi="宋体"/>
          <w:b/>
          <w:bCs/>
          <w:color w:val="auto"/>
          <w:sz w:val="24"/>
          <w:highlight w:val="none"/>
        </w:rPr>
        <w:t>投标文件的组成</w:t>
      </w:r>
    </w:p>
    <w:p w14:paraId="3AFFFBF0">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准备的投标文件应包括《第六章 投标文件格式》。</w:t>
      </w:r>
    </w:p>
    <w:p w14:paraId="380419C5">
      <w:pPr>
        <w:numPr>
          <w:ilvl w:val="2"/>
          <w:numId w:val="2"/>
        </w:numPr>
        <w:shd w:val="clear" w:fill="FFFFFF" w:themeFill="background1"/>
        <w:tabs>
          <w:tab w:val="left" w:pos="624"/>
          <w:tab w:val="left" w:pos="735"/>
          <w:tab w:val="left" w:pos="1254"/>
          <w:tab w:val="clear" w:pos="1050"/>
        </w:tabs>
        <w:spacing w:line="360" w:lineRule="auto"/>
        <w:ind w:left="735" w:hanging="735"/>
        <w:rPr>
          <w:rFonts w:hint="eastAsia" w:ascii="宋体" w:hAnsi="宋体"/>
          <w:color w:val="auto"/>
          <w:sz w:val="24"/>
          <w:highlight w:val="none"/>
          <w:u w:val="double"/>
        </w:rPr>
      </w:pPr>
      <w:r>
        <w:rPr>
          <w:rFonts w:hint="eastAsia" w:ascii="宋体" w:hAnsi="宋体"/>
          <w:b/>
          <w:color w:val="auto"/>
          <w:sz w:val="24"/>
          <w:highlight w:val="none"/>
          <w:u w:val="double"/>
          <w:lang w:eastAsia="zh-CN"/>
        </w:rPr>
        <w:t>供应商</w:t>
      </w:r>
      <w:r>
        <w:rPr>
          <w:rFonts w:hint="eastAsia" w:ascii="宋体" w:hAnsi="宋体"/>
          <w:b/>
          <w:color w:val="auto"/>
          <w:sz w:val="24"/>
          <w:highlight w:val="none"/>
          <w:u w:val="double"/>
        </w:rPr>
        <w:t>必须</w:t>
      </w:r>
      <w:r>
        <w:rPr>
          <w:rFonts w:hint="eastAsia" w:ascii="宋体" w:hAnsi="宋体"/>
          <w:b/>
          <w:color w:val="auto"/>
          <w:sz w:val="24"/>
          <w:highlight w:val="none"/>
          <w:u w:val="double"/>
          <w:lang w:eastAsia="zh-CN"/>
        </w:rPr>
        <w:t>响应招标文件的要求，在政采云供应商客户端</w:t>
      </w:r>
      <w:r>
        <w:rPr>
          <w:rFonts w:hint="eastAsia" w:ascii="宋体" w:hAnsi="宋体"/>
          <w:b/>
          <w:color w:val="auto"/>
          <w:sz w:val="24"/>
          <w:highlight w:val="none"/>
          <w:u w:val="double"/>
        </w:rPr>
        <w:t>编制完整的投标文件</w:t>
      </w:r>
      <w:r>
        <w:rPr>
          <w:rFonts w:hint="eastAsia" w:ascii="宋体" w:hAnsi="宋体"/>
          <w:b/>
          <w:color w:val="auto"/>
          <w:sz w:val="24"/>
          <w:highlight w:val="none"/>
          <w:u w:val="double"/>
          <w:lang w:eastAsia="zh-CN"/>
        </w:rPr>
        <w:t>并在规定的时间内投标，投标文件含有多个组成部分，供应商须对每个部分进行响应。</w:t>
      </w:r>
    </w:p>
    <w:p w14:paraId="557165D7">
      <w:pPr>
        <w:numPr>
          <w:ilvl w:val="2"/>
          <w:numId w:val="2"/>
        </w:numPr>
        <w:shd w:val="clear" w:fill="FFFFFF" w:themeFill="background1"/>
        <w:tabs>
          <w:tab w:val="left" w:pos="624"/>
          <w:tab w:val="left" w:pos="735"/>
          <w:tab w:val="left" w:pos="1254"/>
          <w:tab w:val="clear" w:pos="1050"/>
        </w:tabs>
        <w:spacing w:line="360" w:lineRule="auto"/>
        <w:ind w:left="735" w:hanging="735"/>
        <w:rPr>
          <w:rFonts w:hint="eastAsia" w:ascii="宋体" w:hAnsi="宋体"/>
          <w:color w:val="auto"/>
          <w:sz w:val="24"/>
          <w:highlight w:val="none"/>
          <w:u w:val="none"/>
        </w:rPr>
      </w:pPr>
      <w:r>
        <w:rPr>
          <w:rFonts w:hint="eastAsia" w:ascii="宋体" w:hAnsi="宋体"/>
          <w:color w:val="auto"/>
          <w:sz w:val="24"/>
          <w:highlight w:val="none"/>
          <w:lang w:eastAsia="zh-CN"/>
        </w:rPr>
        <w:t>供应商</w:t>
      </w:r>
      <w:r>
        <w:rPr>
          <w:rFonts w:hint="eastAsia" w:ascii="宋体" w:hAnsi="宋体"/>
          <w:color w:val="auto"/>
          <w:sz w:val="24"/>
          <w:highlight w:val="none"/>
        </w:rPr>
        <w:t>必须自行承担因其投标文件的任何错漏而导致的一切后果</w:t>
      </w:r>
      <w:r>
        <w:rPr>
          <w:rFonts w:hint="eastAsia" w:ascii="宋体" w:hAnsi="宋体"/>
          <w:b/>
          <w:color w:val="auto"/>
          <w:sz w:val="24"/>
          <w:highlight w:val="none"/>
          <w:u w:val="none"/>
        </w:rPr>
        <w:t>。</w:t>
      </w:r>
    </w:p>
    <w:p w14:paraId="4B7AFB2F">
      <w:pPr>
        <w:numPr>
          <w:ilvl w:val="1"/>
          <w:numId w:val="2"/>
        </w:numPr>
        <w:shd w:val="clear" w:fill="FFFFFF" w:themeFill="background1"/>
        <w:tabs>
          <w:tab w:val="left" w:pos="567"/>
          <w:tab w:val="clear" w:pos="289"/>
        </w:tabs>
        <w:spacing w:line="360" w:lineRule="auto"/>
        <w:ind w:left="567"/>
        <w:outlineLvl w:val="3"/>
        <w:rPr>
          <w:rFonts w:ascii="宋体" w:hAnsi="宋体"/>
          <w:b/>
          <w:bCs/>
          <w:color w:val="auto"/>
          <w:sz w:val="24"/>
          <w:highlight w:val="none"/>
        </w:rPr>
      </w:pPr>
      <w:r>
        <w:rPr>
          <w:rFonts w:hint="eastAsia" w:ascii="宋体" w:hAnsi="宋体"/>
          <w:b/>
          <w:bCs/>
          <w:color w:val="auto"/>
          <w:sz w:val="24"/>
          <w:highlight w:val="none"/>
        </w:rPr>
        <w:t>投标的修改和撤回</w:t>
      </w:r>
    </w:p>
    <w:p w14:paraId="579E47EE">
      <w:pPr>
        <w:pStyle w:val="6"/>
        <w:shd w:val="clear" w:fill="FFFFFF" w:themeFill="background1"/>
        <w:spacing w:afterAutospacing="0" w:line="360" w:lineRule="auto"/>
        <w:ind w:firstLine="480" w:firstLineChars="200"/>
        <w:rPr>
          <w:color w:val="auto"/>
          <w:highlight w:val="none"/>
        </w:rPr>
      </w:pPr>
      <w:r>
        <w:rPr>
          <w:rFonts w:hint="eastAsia" w:ascii="宋体" w:hAnsi="宋体"/>
          <w:color w:val="auto"/>
          <w:sz w:val="24"/>
          <w:highlight w:val="none"/>
        </w:rPr>
        <w:t>在投标截止时间前</w:t>
      </w:r>
      <w:r>
        <w:rPr>
          <w:rFonts w:hint="eastAsia" w:ascii="宋体" w:hAnsi="宋体"/>
          <w:color w:val="auto"/>
          <w:sz w:val="24"/>
          <w:highlight w:val="none"/>
          <w:lang w:eastAsia="zh-CN"/>
        </w:rPr>
        <w:t>供应商</w:t>
      </w:r>
      <w:r>
        <w:rPr>
          <w:rFonts w:hint="eastAsia" w:ascii="宋体" w:hAnsi="宋体"/>
          <w:color w:val="auto"/>
          <w:sz w:val="24"/>
          <w:highlight w:val="none"/>
        </w:rPr>
        <w:t>可以修改和</w:t>
      </w:r>
      <w:r>
        <w:rPr>
          <w:rFonts w:hint="eastAsia" w:ascii="宋体" w:hAnsi="宋体"/>
          <w:bCs/>
          <w:color w:val="auto"/>
          <w:sz w:val="24"/>
          <w:highlight w:val="none"/>
        </w:rPr>
        <w:t>撤回</w:t>
      </w:r>
      <w:r>
        <w:rPr>
          <w:rFonts w:hint="eastAsia" w:ascii="宋体" w:hAnsi="宋体"/>
          <w:color w:val="auto"/>
          <w:sz w:val="24"/>
          <w:highlight w:val="none"/>
        </w:rPr>
        <w:t>其投标文件，投标截止后不得修改和</w:t>
      </w:r>
      <w:r>
        <w:rPr>
          <w:rFonts w:hint="eastAsia" w:ascii="宋体" w:hAnsi="宋体"/>
          <w:bCs/>
          <w:color w:val="auto"/>
          <w:sz w:val="24"/>
          <w:highlight w:val="none"/>
        </w:rPr>
        <w:t>撤回</w:t>
      </w:r>
      <w:r>
        <w:rPr>
          <w:rFonts w:hint="eastAsia" w:ascii="宋体" w:hAnsi="宋体"/>
          <w:color w:val="auto"/>
          <w:sz w:val="24"/>
          <w:highlight w:val="none"/>
        </w:rPr>
        <w:t>其投标文件。</w:t>
      </w:r>
    </w:p>
    <w:p w14:paraId="3A17D9DF">
      <w:pPr>
        <w:pStyle w:val="4"/>
        <w:numPr>
          <w:ilvl w:val="0"/>
          <w:numId w:val="2"/>
        </w:numPr>
        <w:shd w:val="clear" w:fill="FFFFFF" w:themeFill="background1"/>
        <w:tabs>
          <w:tab w:val="left" w:pos="425"/>
          <w:tab w:val="clear" w:pos="147"/>
        </w:tabs>
        <w:spacing w:before="0" w:beforeLines="0" w:beforeAutospacing="0" w:after="0" w:afterLines="0" w:afterAutospacing="0" w:line="360" w:lineRule="auto"/>
        <w:ind w:left="425"/>
        <w:rPr>
          <w:color w:val="auto"/>
          <w:highlight w:val="none"/>
        </w:rPr>
      </w:pPr>
      <w:bookmarkStart w:id="112" w:name="_Toc435686979"/>
      <w:bookmarkStart w:id="113" w:name="_Toc365033705"/>
      <w:bookmarkStart w:id="114" w:name="_Toc422161991"/>
      <w:bookmarkStart w:id="115" w:name="_Toc435687274"/>
      <w:bookmarkStart w:id="116" w:name="_Toc439679267"/>
      <w:bookmarkStart w:id="117" w:name="_Toc422865420"/>
      <w:bookmarkStart w:id="118" w:name="_Toc458980392"/>
      <w:bookmarkStart w:id="119" w:name="_Toc438641464"/>
      <w:bookmarkStart w:id="120" w:name="_Toc438513733"/>
      <w:bookmarkStart w:id="121" w:name="_Toc298829960"/>
      <w:bookmarkStart w:id="122" w:name="_Toc356489052"/>
      <w:bookmarkStart w:id="123" w:name="_Toc439513444"/>
      <w:bookmarkStart w:id="124" w:name="_Toc416208485"/>
      <w:bookmarkStart w:id="125" w:name="_Toc22582"/>
      <w:bookmarkStart w:id="126" w:name="_Toc494832086"/>
      <w:bookmarkStart w:id="127" w:name="_Toc479325591"/>
      <w:bookmarkStart w:id="128" w:name="_Toc364846099"/>
      <w:bookmarkStart w:id="129" w:name="_Toc458635595"/>
      <w:bookmarkStart w:id="130" w:name="_Toc439513160"/>
      <w:bookmarkStart w:id="131" w:name="_Toc418023332"/>
      <w:bookmarkStart w:id="132" w:name="_Toc380533809"/>
      <w:bookmarkStart w:id="133" w:name="_Toc479340788"/>
      <w:bookmarkStart w:id="134" w:name="_Toc438722129"/>
      <w:bookmarkStart w:id="135" w:name="_Toc435687348"/>
      <w:bookmarkStart w:id="136" w:name="_Toc438508596"/>
      <w:bookmarkStart w:id="137" w:name="_Toc350417823"/>
      <w:bookmarkStart w:id="138" w:name="_Toc298920091"/>
      <w:bookmarkStart w:id="139" w:name="_Toc298190383"/>
      <w:bookmarkStart w:id="140" w:name="_Toc3192"/>
      <w:bookmarkStart w:id="141" w:name="_Toc425347661"/>
      <w:bookmarkStart w:id="142" w:name="_Toc299108389"/>
      <w:bookmarkStart w:id="143" w:name="_Toc498871243"/>
      <w:bookmarkStart w:id="144" w:name="_Toc487044251"/>
      <w:bookmarkStart w:id="145" w:name="_Toc498899370"/>
      <w:bookmarkStart w:id="146" w:name="_Toc297209418"/>
      <w:bookmarkStart w:id="147" w:name="_Toc435623753"/>
      <w:bookmarkStart w:id="148" w:name="_Toc435629791"/>
      <w:bookmarkStart w:id="149" w:name="_Toc477879839"/>
      <w:bookmarkStart w:id="150" w:name="_Toc518912734"/>
      <w:bookmarkStart w:id="151" w:name="_Toc470184440"/>
      <w:bookmarkStart w:id="152" w:name="_Toc343857025"/>
      <w:bookmarkStart w:id="153" w:name="_Toc298829719"/>
      <w:bookmarkStart w:id="154" w:name="_Toc486969378"/>
      <w:bookmarkStart w:id="155" w:name="_Toc435629837"/>
      <w:bookmarkStart w:id="156" w:name="_Toc414510779"/>
      <w:bookmarkStart w:id="157" w:name="_Toc383124047"/>
      <w:r>
        <w:rPr>
          <w:rFonts w:hint="eastAsia"/>
          <w:color w:val="auto"/>
          <w:highlight w:val="none"/>
        </w:rPr>
        <w:t>投标总则</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341A3116">
      <w:pPr>
        <w:numPr>
          <w:ilvl w:val="1"/>
          <w:numId w:val="2"/>
        </w:numPr>
        <w:shd w:val="clear" w:fill="FFFFFF" w:themeFill="background1"/>
        <w:tabs>
          <w:tab w:val="left" w:pos="567"/>
          <w:tab w:val="clear" w:pos="289"/>
        </w:tabs>
        <w:spacing w:beforeAutospacing="0" w:line="360" w:lineRule="auto"/>
        <w:ind w:left="567"/>
        <w:outlineLvl w:val="3"/>
        <w:rPr>
          <w:rFonts w:ascii="宋体" w:hAnsi="宋体"/>
          <w:b/>
          <w:bCs/>
          <w:color w:val="auto"/>
          <w:sz w:val="24"/>
          <w:highlight w:val="none"/>
        </w:rPr>
      </w:pPr>
      <w:r>
        <w:rPr>
          <w:rFonts w:hint="eastAsia" w:ascii="宋体" w:hAnsi="宋体"/>
          <w:b/>
          <w:bCs/>
          <w:color w:val="auto"/>
          <w:sz w:val="24"/>
          <w:highlight w:val="none"/>
        </w:rPr>
        <w:t>投标</w:t>
      </w:r>
    </w:p>
    <w:p w14:paraId="12E45C9D">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所</w:t>
      </w:r>
      <w:r>
        <w:rPr>
          <w:rFonts w:hint="eastAsia" w:ascii="宋体" w:hAnsi="宋体"/>
          <w:color w:val="auto"/>
          <w:sz w:val="24"/>
          <w:highlight w:val="none"/>
        </w:rPr>
        <w:t>有投标文件应在投标截止时间前</w:t>
      </w:r>
      <w:r>
        <w:rPr>
          <w:rFonts w:hint="eastAsia" w:ascii="宋体" w:hAnsi="宋体"/>
          <w:color w:val="auto"/>
          <w:sz w:val="24"/>
          <w:highlight w:val="none"/>
          <w:lang w:eastAsia="zh-CN"/>
        </w:rPr>
        <w:t>提交至政采云平台（https://www.zcygov.cn），</w:t>
      </w:r>
      <w:r>
        <w:rPr>
          <w:rFonts w:hint="eastAsia" w:ascii="宋体" w:hAnsi="宋体"/>
          <w:color w:val="auto"/>
          <w:sz w:val="24"/>
          <w:highlight w:val="none"/>
        </w:rPr>
        <w:t>任何迟于这个时间的投标将被拒绝。</w:t>
      </w:r>
    </w:p>
    <w:p w14:paraId="71DD415C">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所有投标文件的备份文件可自愿在采购代理机构规定时间内以U盘邮寄或电子邮件方式提供给代理机构，</w:t>
      </w:r>
      <w:r>
        <w:rPr>
          <w:rFonts w:hint="eastAsia" w:ascii="宋体" w:hAnsi="宋体"/>
          <w:color w:val="auto"/>
          <w:sz w:val="24"/>
          <w:highlight w:val="none"/>
        </w:rPr>
        <w:t>任何迟于这个时间的</w:t>
      </w:r>
      <w:r>
        <w:rPr>
          <w:rFonts w:hint="eastAsia" w:ascii="宋体" w:hAnsi="宋体"/>
          <w:color w:val="auto"/>
          <w:sz w:val="24"/>
          <w:highlight w:val="none"/>
          <w:lang w:eastAsia="zh-CN"/>
        </w:rPr>
        <w:t>备份</w:t>
      </w:r>
      <w:r>
        <w:rPr>
          <w:rFonts w:hint="eastAsia" w:ascii="宋体" w:hAnsi="宋体"/>
          <w:color w:val="auto"/>
          <w:sz w:val="24"/>
          <w:highlight w:val="none"/>
        </w:rPr>
        <w:t>投标</w:t>
      </w:r>
      <w:r>
        <w:rPr>
          <w:rFonts w:hint="eastAsia" w:ascii="宋体" w:hAnsi="宋体"/>
          <w:color w:val="auto"/>
          <w:sz w:val="24"/>
          <w:highlight w:val="none"/>
          <w:lang w:eastAsia="zh-CN"/>
        </w:rPr>
        <w:t>文件</w:t>
      </w:r>
      <w:r>
        <w:rPr>
          <w:rFonts w:hint="eastAsia" w:ascii="宋体" w:hAnsi="宋体"/>
          <w:color w:val="auto"/>
          <w:sz w:val="24"/>
          <w:highlight w:val="none"/>
        </w:rPr>
        <w:t>将被拒绝。</w:t>
      </w:r>
    </w:p>
    <w:p w14:paraId="7C44525E">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采购代理机构不接受电话、传真投标。</w:t>
      </w:r>
    </w:p>
    <w:p w14:paraId="756D845D">
      <w:pPr>
        <w:numPr>
          <w:ilvl w:val="1"/>
          <w:numId w:val="2"/>
        </w:numPr>
        <w:shd w:val="clear" w:fill="FFFFFF" w:themeFill="background1"/>
        <w:tabs>
          <w:tab w:val="left" w:pos="567"/>
          <w:tab w:val="clear" w:pos="289"/>
        </w:tabs>
        <w:spacing w:line="360" w:lineRule="auto"/>
        <w:ind w:left="567"/>
        <w:outlineLvl w:val="3"/>
        <w:rPr>
          <w:rFonts w:ascii="宋体" w:hAnsi="宋体"/>
          <w:b/>
          <w:bCs/>
          <w:color w:val="auto"/>
          <w:sz w:val="24"/>
          <w:highlight w:val="none"/>
        </w:rPr>
      </w:pPr>
      <w:r>
        <w:rPr>
          <w:rFonts w:hint="eastAsia" w:ascii="宋体" w:hAnsi="宋体"/>
          <w:b/>
          <w:bCs/>
          <w:color w:val="auto"/>
          <w:sz w:val="24"/>
          <w:highlight w:val="none"/>
        </w:rPr>
        <w:t>投标有效期</w:t>
      </w:r>
      <w:r>
        <w:rPr>
          <w:rFonts w:hint="eastAsia" w:ascii="宋体" w:hAnsi="宋体"/>
          <w:b/>
          <w:bCs/>
          <w:color w:val="auto"/>
          <w:sz w:val="24"/>
          <w:szCs w:val="24"/>
          <w:highlight w:val="none"/>
        </w:rPr>
        <w:t>（实质性要求）</w:t>
      </w:r>
    </w:p>
    <w:p w14:paraId="70131963">
      <w:pPr>
        <w:shd w:val="clear" w:fill="FFFFFF" w:themeFill="background1"/>
        <w:spacing w:line="360" w:lineRule="auto"/>
        <w:ind w:firstLine="480" w:firstLineChars="200"/>
        <w:rPr>
          <w:rFonts w:ascii="宋体" w:hAnsi="宋体"/>
          <w:color w:val="auto"/>
          <w:sz w:val="24"/>
          <w:highlight w:val="none"/>
        </w:rPr>
      </w:pPr>
      <w:r>
        <w:rPr>
          <w:rFonts w:hint="eastAsia" w:ascii="宋体" w:hAnsi="宋体"/>
          <w:color w:val="auto"/>
          <w:sz w:val="24"/>
          <w:highlight w:val="none"/>
        </w:rPr>
        <w:t>从投标截止日起，投标有效期为90天。在特殊情况下，</w:t>
      </w:r>
      <w:r>
        <w:rPr>
          <w:rFonts w:hint="eastAsia" w:ascii="宋体" w:hAnsi="宋体"/>
          <w:color w:val="auto"/>
          <w:sz w:val="24"/>
          <w:highlight w:val="none"/>
          <w:lang w:eastAsia="zh-CN"/>
        </w:rPr>
        <w:t>招标人</w:t>
      </w:r>
      <w:r>
        <w:rPr>
          <w:rFonts w:hint="eastAsia" w:ascii="宋体" w:hAnsi="宋体"/>
          <w:color w:val="auto"/>
          <w:sz w:val="24"/>
          <w:highlight w:val="none"/>
        </w:rPr>
        <w:t>可于投标有效期日满之前要求</w:t>
      </w:r>
      <w:r>
        <w:rPr>
          <w:rFonts w:hint="eastAsia" w:ascii="宋体" w:hAnsi="宋体"/>
          <w:color w:val="auto"/>
          <w:sz w:val="24"/>
          <w:highlight w:val="none"/>
          <w:lang w:eastAsia="zh-CN"/>
        </w:rPr>
        <w:t>供应商</w:t>
      </w:r>
      <w:r>
        <w:rPr>
          <w:rFonts w:hint="eastAsia" w:ascii="宋体" w:hAnsi="宋体"/>
          <w:color w:val="auto"/>
          <w:sz w:val="24"/>
          <w:highlight w:val="none"/>
        </w:rPr>
        <w:t>同意延长有效日期，要求与答复均应以书面形式。</w:t>
      </w:r>
      <w:r>
        <w:rPr>
          <w:rFonts w:hint="eastAsia" w:ascii="宋体" w:hAnsi="宋体"/>
          <w:color w:val="auto"/>
          <w:sz w:val="24"/>
          <w:highlight w:val="none"/>
          <w:lang w:eastAsia="zh-CN"/>
        </w:rPr>
        <w:t>供应商</w:t>
      </w:r>
      <w:r>
        <w:rPr>
          <w:rFonts w:hint="eastAsia" w:ascii="宋体" w:hAnsi="宋体"/>
          <w:color w:val="auto"/>
          <w:sz w:val="24"/>
          <w:highlight w:val="none"/>
        </w:rPr>
        <w:t>可以拒绝上述要求而其投标保证金不被没收，同意延期的</w:t>
      </w:r>
      <w:r>
        <w:rPr>
          <w:rFonts w:hint="eastAsia" w:ascii="宋体" w:hAnsi="宋体"/>
          <w:color w:val="auto"/>
          <w:sz w:val="24"/>
          <w:highlight w:val="none"/>
          <w:lang w:eastAsia="zh-CN"/>
        </w:rPr>
        <w:t>供应商</w:t>
      </w:r>
      <w:r>
        <w:rPr>
          <w:rFonts w:hint="eastAsia" w:ascii="宋体" w:hAnsi="宋体"/>
          <w:color w:val="auto"/>
          <w:sz w:val="24"/>
          <w:highlight w:val="none"/>
        </w:rPr>
        <w:t>根据原截止日期应负之权利及责任相应也延至新的截止日期。</w:t>
      </w:r>
    </w:p>
    <w:p w14:paraId="06BCD21D">
      <w:pPr>
        <w:numPr>
          <w:ilvl w:val="1"/>
          <w:numId w:val="2"/>
        </w:numPr>
        <w:shd w:val="clear" w:fill="FFFFFF" w:themeFill="background1"/>
        <w:tabs>
          <w:tab w:val="left" w:pos="567"/>
          <w:tab w:val="clear" w:pos="289"/>
        </w:tabs>
        <w:spacing w:line="360" w:lineRule="auto"/>
        <w:ind w:left="567"/>
        <w:outlineLvl w:val="3"/>
        <w:rPr>
          <w:rFonts w:ascii="宋体" w:hAnsi="宋体"/>
          <w:color w:val="auto"/>
          <w:sz w:val="24"/>
          <w:highlight w:val="none"/>
        </w:rPr>
      </w:pPr>
      <w:r>
        <w:rPr>
          <w:rFonts w:hint="eastAsia" w:ascii="宋体" w:hAnsi="宋体"/>
          <w:b/>
          <w:bCs/>
          <w:color w:val="auto"/>
          <w:sz w:val="24"/>
          <w:highlight w:val="none"/>
        </w:rPr>
        <w:t>投标保证金</w:t>
      </w:r>
      <w:r>
        <w:rPr>
          <w:rFonts w:hint="eastAsia" w:ascii="宋体" w:cs="宋体"/>
          <w:b/>
          <w:bCs/>
          <w:color w:val="auto"/>
          <w:kern w:val="0"/>
          <w:sz w:val="24"/>
          <w:szCs w:val="24"/>
          <w:highlight w:val="none"/>
          <w:lang w:val="en-US" w:eastAsia="zh-CN"/>
        </w:rPr>
        <w:t>（实质性要求）</w:t>
      </w:r>
    </w:p>
    <w:p w14:paraId="63A9C9FA">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应向采购代理机构提交投标保证金人民币：</w:t>
      </w:r>
      <w:r>
        <w:rPr>
          <w:rFonts w:hint="eastAsia" w:ascii="宋体" w:hAnsi="宋体"/>
          <w:color w:val="auto"/>
          <w:sz w:val="24"/>
          <w:highlight w:val="none"/>
          <w:lang w:val="en-US" w:eastAsia="zh-CN"/>
        </w:rPr>
        <w:t>详见供应商须知附表</w:t>
      </w:r>
      <w:r>
        <w:rPr>
          <w:rFonts w:hint="eastAsia" w:ascii="宋体" w:hAnsi="宋体"/>
          <w:color w:val="auto"/>
          <w:sz w:val="24"/>
          <w:highlight w:val="none"/>
        </w:rPr>
        <w:t>。</w:t>
      </w:r>
    </w:p>
    <w:p w14:paraId="67439F0E">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政府采购保证金应当</w:t>
      </w:r>
      <w:r>
        <w:rPr>
          <w:rFonts w:hint="eastAsia" w:ascii="宋体" w:hAnsi="宋体"/>
          <w:color w:val="auto"/>
          <w:sz w:val="24"/>
          <w:highlight w:val="none"/>
          <w:lang w:val="zh-CN"/>
        </w:rPr>
        <w:t>从供应商基本账户公对公转账、支票、汇票、本票或者金融机构、担保机构出具的保函等非现金形式提交。</w:t>
      </w:r>
    </w:p>
    <w:p w14:paraId="1CE20E67">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投标保证金是投标的组成部分，递交投标保证金的证明文件与投标文件一同递交。</w:t>
      </w:r>
    </w:p>
    <w:p w14:paraId="4BCF32C2">
      <w:pPr>
        <w:numPr>
          <w:ilvl w:val="2"/>
          <w:numId w:val="2"/>
        </w:numPr>
        <w:shd w:val="clear" w:fill="FFFFFF" w:themeFill="background1"/>
        <w:tabs>
          <w:tab w:val="left" w:pos="624"/>
          <w:tab w:val="left" w:pos="735"/>
          <w:tab w:val="left" w:pos="1254"/>
          <w:tab w:val="clear" w:pos="1050"/>
        </w:tabs>
        <w:spacing w:line="360" w:lineRule="auto"/>
        <w:ind w:left="735" w:hanging="735"/>
        <w:rPr>
          <w:rFonts w:hint="eastAsia" w:ascii="宋体" w:hAnsi="宋体" w:eastAsia="宋体" w:cs="宋体"/>
          <w:color w:val="auto"/>
          <w:sz w:val="24"/>
          <w:szCs w:val="24"/>
          <w:highlight w:val="none"/>
        </w:rPr>
      </w:pPr>
      <w:r>
        <w:rPr>
          <w:rFonts w:hint="eastAsia" w:ascii="宋体" w:hAnsi="宋体"/>
          <w:color w:val="auto"/>
          <w:sz w:val="24"/>
          <w:highlight w:val="none"/>
        </w:rPr>
        <w:t>投标保证金</w:t>
      </w:r>
      <w:r>
        <w:rPr>
          <w:rFonts w:hint="eastAsia" w:ascii="宋体" w:hAnsi="宋体"/>
          <w:color w:val="auto"/>
          <w:sz w:val="24"/>
          <w:highlight w:val="none"/>
          <w:lang w:eastAsia="zh-CN"/>
        </w:rPr>
        <w:t>的账户</w:t>
      </w:r>
      <w:r>
        <w:rPr>
          <w:rFonts w:hint="eastAsia" w:ascii="宋体" w:hAnsi="宋体"/>
          <w:color w:val="auto"/>
          <w:sz w:val="24"/>
          <w:highlight w:val="none"/>
        </w:rPr>
        <w:t>：</w:t>
      </w:r>
      <w:r>
        <w:rPr>
          <w:rFonts w:hint="eastAsia" w:ascii="宋体" w:hAnsi="宋体"/>
          <w:color w:val="auto"/>
          <w:sz w:val="24"/>
          <w:highlight w:val="none"/>
          <w:lang w:val="en-US" w:eastAsia="zh-CN"/>
        </w:rPr>
        <w:t>详见投标须知</w:t>
      </w:r>
    </w:p>
    <w:p w14:paraId="65E776E8">
      <w:pPr>
        <w:pStyle w:val="37"/>
        <w:shd w:val="clear" w:fill="FFFFFF" w:themeFill="background1"/>
        <w:rPr>
          <w:rFonts w:hint="eastAsia" w:hAnsi="宋体"/>
          <w:b/>
          <w:color w:val="auto"/>
          <w:sz w:val="24"/>
          <w:szCs w:val="24"/>
          <w:highlight w:val="none"/>
          <w:lang w:val="en-US" w:eastAsia="zh-CN"/>
        </w:rPr>
      </w:pPr>
      <w:r>
        <w:rPr>
          <w:rFonts w:hint="eastAsia" w:hAnsi="宋体"/>
          <w:b/>
          <w:color w:val="auto"/>
          <w:sz w:val="24"/>
          <w:szCs w:val="24"/>
          <w:highlight w:val="none"/>
          <w:lang w:val="en-US" w:eastAsia="zh-CN"/>
        </w:rPr>
        <w:t>投标保证金的退还：</w:t>
      </w:r>
    </w:p>
    <w:p w14:paraId="1A0FF938">
      <w:pPr>
        <w:shd w:val="clear" w:fill="FFFFFF" w:themeFill="background1"/>
        <w:spacing w:line="360" w:lineRule="auto"/>
        <w:ind w:firstLine="720" w:firstLineChars="300"/>
        <w:jc w:val="left"/>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(1)未</w:t>
      </w:r>
      <w:r>
        <w:rPr>
          <w:rFonts w:hint="eastAsia" w:ascii="宋体" w:hAnsi="宋体"/>
          <w:color w:val="auto"/>
          <w:sz w:val="24"/>
          <w:highlight w:val="none"/>
          <w:lang w:val="en-US" w:eastAsia="zh-CN"/>
        </w:rPr>
        <w:t>成交供应商</w:t>
      </w:r>
      <w:r>
        <w:rPr>
          <w:rFonts w:hint="default" w:ascii="宋体" w:hAnsi="宋体" w:eastAsia="宋体"/>
          <w:color w:val="auto"/>
          <w:sz w:val="24"/>
          <w:highlight w:val="none"/>
          <w:lang w:val="en-US" w:eastAsia="zh-CN"/>
        </w:rPr>
        <w:t>，自</w:t>
      </w:r>
      <w:r>
        <w:rPr>
          <w:rFonts w:hint="eastAsia" w:ascii="宋体" w:hAnsi="宋体"/>
          <w:color w:val="auto"/>
          <w:sz w:val="24"/>
          <w:highlight w:val="none"/>
          <w:lang w:val="en-US" w:eastAsia="zh-CN"/>
        </w:rPr>
        <w:t>成交通知书</w:t>
      </w:r>
      <w:r>
        <w:rPr>
          <w:rFonts w:hint="default" w:ascii="宋体" w:hAnsi="宋体" w:eastAsia="宋体"/>
          <w:color w:val="auto"/>
          <w:sz w:val="24"/>
          <w:highlight w:val="none"/>
          <w:lang w:val="en-US" w:eastAsia="zh-CN"/>
        </w:rPr>
        <w:t>发出之日起5个工作日内原账户退还，</w:t>
      </w:r>
      <w:r>
        <w:rPr>
          <w:rFonts w:hint="eastAsia" w:ascii="宋体" w:hAnsi="宋体"/>
          <w:color w:val="auto"/>
          <w:sz w:val="24"/>
          <w:highlight w:val="none"/>
          <w:lang w:val="en-US" w:eastAsia="zh-CN"/>
        </w:rPr>
        <w:t>供应商</w:t>
      </w:r>
      <w:r>
        <w:rPr>
          <w:rFonts w:hint="default" w:ascii="宋体" w:hAnsi="宋体" w:eastAsia="宋体"/>
          <w:color w:val="auto"/>
          <w:sz w:val="24"/>
          <w:highlight w:val="none"/>
          <w:lang w:val="en-US" w:eastAsia="zh-CN"/>
        </w:rPr>
        <w:t>需提供反开收据交至代理处；</w:t>
      </w:r>
    </w:p>
    <w:p w14:paraId="4B88C742">
      <w:pPr>
        <w:shd w:val="clear" w:fill="FFFFFF" w:themeFill="background1"/>
        <w:spacing w:line="360" w:lineRule="auto"/>
        <w:ind w:firstLine="720" w:firstLineChars="300"/>
        <w:jc w:val="left"/>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w:t>
      </w:r>
      <w:r>
        <w:rPr>
          <w:rFonts w:hint="eastAsia" w:ascii="宋体" w:hAnsi="宋体" w:cs="宋体"/>
          <w:color w:val="auto"/>
          <w:sz w:val="24"/>
          <w:szCs w:val="24"/>
          <w:highlight w:val="none"/>
          <w:lang w:val="en-US" w:eastAsia="zh-CN"/>
        </w:rPr>
        <w:t>中</w:t>
      </w:r>
      <w:r>
        <w:rPr>
          <w:rFonts w:hint="default" w:ascii="宋体" w:hAnsi="宋体" w:eastAsia="宋体"/>
          <w:color w:val="auto"/>
          <w:sz w:val="24"/>
          <w:highlight w:val="none"/>
          <w:lang w:val="en-US" w:eastAsia="zh-CN"/>
        </w:rPr>
        <w:t>标人在业主方确认</w:t>
      </w:r>
      <w:r>
        <w:rPr>
          <w:rFonts w:hint="eastAsia" w:ascii="宋体" w:hAnsi="宋体" w:cs="宋体"/>
          <w:color w:val="auto"/>
          <w:sz w:val="24"/>
          <w:szCs w:val="24"/>
          <w:highlight w:val="none"/>
          <w:lang w:val="en-US" w:eastAsia="zh-CN"/>
        </w:rPr>
        <w:t>中</w:t>
      </w:r>
      <w:r>
        <w:rPr>
          <w:rFonts w:hint="default" w:ascii="宋体" w:hAnsi="宋体" w:eastAsia="宋体"/>
          <w:color w:val="auto"/>
          <w:sz w:val="24"/>
          <w:highlight w:val="none"/>
          <w:lang w:val="en-US" w:eastAsia="zh-CN"/>
        </w:rPr>
        <w:t>标人后自合同签订之日起5个工作日内退还</w:t>
      </w:r>
      <w:r>
        <w:rPr>
          <w:rFonts w:hint="eastAsia" w:ascii="宋体" w:hAnsi="宋体" w:cs="宋体"/>
          <w:color w:val="auto"/>
          <w:sz w:val="24"/>
          <w:szCs w:val="24"/>
          <w:highlight w:val="none"/>
          <w:lang w:val="en-US" w:eastAsia="zh-CN"/>
        </w:rPr>
        <w:t>中</w:t>
      </w:r>
      <w:r>
        <w:rPr>
          <w:rFonts w:hint="default" w:ascii="宋体" w:hAnsi="宋体" w:eastAsia="宋体"/>
          <w:color w:val="auto"/>
          <w:sz w:val="24"/>
          <w:highlight w:val="none"/>
          <w:lang w:val="en-US" w:eastAsia="zh-CN"/>
        </w:rPr>
        <w:t>标人的投标保证金</w:t>
      </w:r>
    </w:p>
    <w:p w14:paraId="4822709E">
      <w:pPr>
        <w:shd w:val="clear" w:fill="FFFFFF" w:themeFill="background1"/>
        <w:spacing w:line="360" w:lineRule="auto"/>
        <w:ind w:firstLine="720" w:firstLineChars="300"/>
        <w:jc w:val="left"/>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(3)因</w:t>
      </w:r>
      <w:r>
        <w:rPr>
          <w:rFonts w:hint="eastAsia" w:ascii="宋体" w:hAnsi="宋体"/>
          <w:color w:val="auto"/>
          <w:sz w:val="24"/>
          <w:highlight w:val="none"/>
          <w:lang w:val="en-US" w:eastAsia="zh-CN"/>
        </w:rPr>
        <w:t>供应商</w:t>
      </w:r>
      <w:r>
        <w:rPr>
          <w:rFonts w:hint="default" w:ascii="宋体" w:hAnsi="宋体" w:eastAsia="宋体"/>
          <w:color w:val="auto"/>
          <w:sz w:val="24"/>
          <w:highlight w:val="none"/>
          <w:lang w:val="en-US" w:eastAsia="zh-CN"/>
        </w:rPr>
        <w:t>账户问题导致无法正常时间内退付的，采购人和采购代理机构不承担相应责任；</w:t>
      </w:r>
    </w:p>
    <w:p w14:paraId="01881B0B">
      <w:pPr>
        <w:shd w:val="clear" w:fill="FFFFFF" w:themeFill="background1"/>
        <w:spacing w:line="360" w:lineRule="auto"/>
        <w:ind w:firstLine="720" w:firstLineChars="300"/>
        <w:jc w:val="left"/>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(4)投标保证金退还不计付利息。</w:t>
      </w:r>
    </w:p>
    <w:p w14:paraId="68305FF1">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如</w:t>
      </w:r>
      <w:r>
        <w:rPr>
          <w:rFonts w:hint="eastAsia" w:ascii="宋体" w:hAnsi="宋体"/>
          <w:color w:val="auto"/>
          <w:sz w:val="24"/>
          <w:highlight w:val="none"/>
          <w:lang w:eastAsia="zh-CN"/>
        </w:rPr>
        <w:t>供应商</w:t>
      </w:r>
      <w:r>
        <w:rPr>
          <w:rFonts w:hint="eastAsia" w:ascii="宋体" w:hAnsi="宋体"/>
          <w:color w:val="auto"/>
          <w:sz w:val="24"/>
          <w:highlight w:val="none"/>
        </w:rPr>
        <w:t>未按上述规定提交投标保证金，其投标文件将被拒绝。</w:t>
      </w:r>
    </w:p>
    <w:p w14:paraId="5314FE97">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未中标的</w:t>
      </w:r>
      <w:r>
        <w:rPr>
          <w:rFonts w:hint="eastAsia" w:ascii="宋体" w:hAnsi="宋体"/>
          <w:color w:val="auto"/>
          <w:sz w:val="24"/>
          <w:highlight w:val="none"/>
          <w:lang w:eastAsia="zh-CN"/>
        </w:rPr>
        <w:t>供应商</w:t>
      </w:r>
      <w:r>
        <w:rPr>
          <w:rFonts w:hint="eastAsia" w:ascii="宋体" w:hAnsi="宋体"/>
          <w:color w:val="auto"/>
          <w:sz w:val="24"/>
          <w:highlight w:val="none"/>
        </w:rPr>
        <w:t>的投标保证金将在</w:t>
      </w:r>
      <w:r>
        <w:rPr>
          <w:rFonts w:hint="eastAsia" w:ascii="宋体" w:hAnsi="宋体"/>
          <w:color w:val="auto"/>
          <w:sz w:val="24"/>
          <w:highlight w:val="none"/>
          <w:lang w:eastAsia="zh-CN"/>
        </w:rPr>
        <w:t>成交通知书</w:t>
      </w:r>
      <w:r>
        <w:rPr>
          <w:rFonts w:hint="eastAsia" w:ascii="宋体" w:hAnsi="宋体"/>
          <w:color w:val="auto"/>
          <w:sz w:val="24"/>
          <w:highlight w:val="none"/>
        </w:rPr>
        <w:t>发出后5个工作日内无息退还。</w:t>
      </w:r>
    </w:p>
    <w:p w14:paraId="29F16979">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下列任一情况发生时，投标保证金将不予退还：</w:t>
      </w:r>
    </w:p>
    <w:p w14:paraId="0361E0CB">
      <w:pPr>
        <w:shd w:val="clear" w:fill="FFFFFF" w:themeFill="background1"/>
        <w:spacing w:line="360" w:lineRule="auto"/>
        <w:ind w:left="1075" w:leftChars="215" w:hanging="624" w:hangingChars="26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rPr>
        <w:tab/>
      </w:r>
      <w:r>
        <w:rPr>
          <w:rFonts w:hint="eastAsia" w:ascii="宋体" w:hAnsi="宋体"/>
          <w:color w:val="auto"/>
          <w:sz w:val="24"/>
          <w:highlight w:val="none"/>
          <w:lang w:eastAsia="zh-CN"/>
        </w:rPr>
        <w:t>供应商</w:t>
      </w:r>
      <w:r>
        <w:rPr>
          <w:rFonts w:hint="eastAsia" w:ascii="宋体" w:hAnsi="宋体"/>
          <w:color w:val="auto"/>
          <w:sz w:val="24"/>
          <w:highlight w:val="none"/>
        </w:rPr>
        <w:t>在</w:t>
      </w:r>
      <w:r>
        <w:rPr>
          <w:rFonts w:hint="eastAsia" w:ascii="宋体" w:hAnsi="宋体"/>
          <w:color w:val="auto"/>
          <w:sz w:val="24"/>
          <w:highlight w:val="none"/>
          <w:lang w:eastAsia="zh-CN"/>
        </w:rPr>
        <w:t>招标文件</w:t>
      </w:r>
      <w:r>
        <w:rPr>
          <w:rFonts w:hint="eastAsia" w:ascii="宋体" w:hAnsi="宋体"/>
          <w:color w:val="auto"/>
          <w:sz w:val="24"/>
          <w:highlight w:val="none"/>
        </w:rPr>
        <w:t>中规定的投标有效期内撤销其投标文件；</w:t>
      </w:r>
    </w:p>
    <w:p w14:paraId="22C668CF">
      <w:pPr>
        <w:shd w:val="clear" w:fill="FFFFFF" w:themeFill="background1"/>
        <w:spacing w:line="360" w:lineRule="auto"/>
        <w:ind w:left="1075" w:leftChars="215" w:hanging="624" w:hangingChars="26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rPr>
        <w:tab/>
      </w:r>
      <w:r>
        <w:rPr>
          <w:rFonts w:hint="eastAsia" w:ascii="宋体" w:hAnsi="宋体"/>
          <w:color w:val="auto"/>
          <w:sz w:val="24"/>
          <w:highlight w:val="none"/>
        </w:rPr>
        <w:t>中标后无正当理由放弃中标或中标人拒绝与</w:t>
      </w:r>
      <w:r>
        <w:rPr>
          <w:rFonts w:hint="eastAsia" w:ascii="宋体" w:hAnsi="宋体"/>
          <w:color w:val="auto"/>
          <w:sz w:val="24"/>
          <w:highlight w:val="none"/>
          <w:lang w:eastAsia="zh-CN"/>
        </w:rPr>
        <w:t>招标人</w:t>
      </w:r>
      <w:r>
        <w:rPr>
          <w:rFonts w:hint="eastAsia" w:ascii="宋体" w:hAnsi="宋体"/>
          <w:color w:val="auto"/>
          <w:sz w:val="24"/>
          <w:highlight w:val="none"/>
        </w:rPr>
        <w:t>签订合同。</w:t>
      </w:r>
    </w:p>
    <w:p w14:paraId="36CBD7AB">
      <w:pPr>
        <w:numPr>
          <w:ilvl w:val="1"/>
          <w:numId w:val="2"/>
        </w:numPr>
        <w:shd w:val="clear" w:fill="FFFFFF" w:themeFill="background1"/>
        <w:tabs>
          <w:tab w:val="left" w:pos="567"/>
          <w:tab w:val="clear" w:pos="289"/>
        </w:tabs>
        <w:spacing w:line="360" w:lineRule="auto"/>
        <w:ind w:left="567"/>
        <w:outlineLvl w:val="3"/>
        <w:rPr>
          <w:rFonts w:ascii="宋体" w:hAnsi="宋体"/>
          <w:b/>
          <w:bCs/>
          <w:color w:val="auto"/>
          <w:sz w:val="24"/>
          <w:highlight w:val="none"/>
        </w:rPr>
      </w:pPr>
      <w:r>
        <w:rPr>
          <w:rFonts w:hint="eastAsia" w:ascii="宋体" w:hAnsi="宋体"/>
          <w:b/>
          <w:bCs/>
          <w:color w:val="auto"/>
          <w:sz w:val="24"/>
          <w:highlight w:val="none"/>
        </w:rPr>
        <w:t>开标</w:t>
      </w:r>
    </w:p>
    <w:p w14:paraId="1AB77B09">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开标在</w:t>
      </w:r>
      <w:r>
        <w:rPr>
          <w:rFonts w:hint="eastAsia" w:ascii="宋体" w:hAnsi="宋体"/>
          <w:color w:val="auto"/>
          <w:sz w:val="24"/>
          <w:highlight w:val="none"/>
          <w:lang w:eastAsia="zh-CN"/>
        </w:rPr>
        <w:t>招标文件</w:t>
      </w:r>
      <w:r>
        <w:rPr>
          <w:rFonts w:hint="eastAsia" w:ascii="宋体" w:hAnsi="宋体"/>
          <w:color w:val="auto"/>
          <w:sz w:val="24"/>
          <w:highlight w:val="none"/>
        </w:rPr>
        <w:t>确定的提交投标文件截止时间的同一时间公开进行，开标地点为</w:t>
      </w:r>
      <w:r>
        <w:rPr>
          <w:rFonts w:hint="eastAsia" w:ascii="宋体" w:hAnsi="宋体"/>
          <w:color w:val="auto"/>
          <w:sz w:val="24"/>
          <w:highlight w:val="none"/>
          <w:lang w:eastAsia="zh-CN"/>
        </w:rPr>
        <w:t>招标文件</w:t>
      </w:r>
      <w:r>
        <w:rPr>
          <w:rFonts w:hint="eastAsia" w:ascii="宋体" w:hAnsi="宋体"/>
          <w:color w:val="auto"/>
          <w:sz w:val="24"/>
          <w:highlight w:val="none"/>
        </w:rPr>
        <w:t>预先确定的地点。</w:t>
      </w:r>
    </w:p>
    <w:p w14:paraId="591F041D">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lang w:eastAsia="zh-CN"/>
        </w:rPr>
        <w:t>招标文件</w:t>
      </w:r>
      <w:r>
        <w:rPr>
          <w:rFonts w:hint="eastAsia" w:ascii="宋体" w:hAnsi="宋体"/>
          <w:color w:val="auto"/>
          <w:sz w:val="24"/>
          <w:highlight w:val="none"/>
        </w:rPr>
        <w:t>要求提交投标文件的截止时间前收到的所有投标文件，</w:t>
      </w:r>
      <w:r>
        <w:rPr>
          <w:rFonts w:hint="eastAsia" w:ascii="宋体" w:hAnsi="宋体"/>
          <w:color w:val="auto"/>
          <w:sz w:val="24"/>
          <w:highlight w:val="none"/>
          <w:lang w:eastAsia="zh-CN"/>
        </w:rPr>
        <w:t>供应商须</w:t>
      </w:r>
      <w:r>
        <w:rPr>
          <w:rFonts w:hint="eastAsia" w:ascii="宋体" w:hAnsi="宋体"/>
          <w:color w:val="auto"/>
          <w:sz w:val="24"/>
          <w:highlight w:val="none"/>
          <w:lang w:val="en-US" w:eastAsia="zh-CN"/>
        </w:rPr>
        <w:t>在</w:t>
      </w:r>
      <w:r>
        <w:rPr>
          <w:rFonts w:hint="eastAsia" w:ascii="宋体" w:hAnsi="宋体"/>
          <w:color w:val="auto"/>
          <w:sz w:val="24"/>
          <w:highlight w:val="none"/>
        </w:rPr>
        <w:t>开标时</w:t>
      </w:r>
      <w:r>
        <w:rPr>
          <w:rFonts w:hint="eastAsia" w:ascii="宋体" w:hAnsi="宋体"/>
          <w:color w:val="auto"/>
          <w:sz w:val="24"/>
          <w:highlight w:val="none"/>
          <w:lang w:val="en-US" w:eastAsia="zh-CN"/>
        </w:rPr>
        <w:t>按招标文件规定的时间内</w:t>
      </w:r>
      <w:r>
        <w:rPr>
          <w:rFonts w:hint="eastAsia" w:ascii="宋体" w:hAnsi="宋体"/>
          <w:color w:val="auto"/>
          <w:sz w:val="24"/>
          <w:highlight w:val="none"/>
          <w:lang w:eastAsia="zh-CN"/>
        </w:rPr>
        <w:t>解密投标文件</w:t>
      </w:r>
      <w:r>
        <w:rPr>
          <w:rFonts w:hint="eastAsia" w:ascii="宋体" w:hAnsi="宋体"/>
          <w:color w:val="auto"/>
          <w:sz w:val="24"/>
          <w:highlight w:val="none"/>
        </w:rPr>
        <w:t>。当</w:t>
      </w:r>
      <w:r>
        <w:rPr>
          <w:rFonts w:hint="eastAsia" w:ascii="宋体" w:hAnsi="宋体"/>
          <w:color w:val="auto"/>
          <w:sz w:val="24"/>
          <w:highlight w:val="none"/>
          <w:lang w:eastAsia="zh-CN"/>
        </w:rPr>
        <w:t>供应商</w:t>
      </w:r>
      <w:r>
        <w:rPr>
          <w:rFonts w:hint="eastAsia" w:ascii="宋体" w:hAnsi="宋体"/>
          <w:color w:val="auto"/>
          <w:sz w:val="24"/>
          <w:highlight w:val="none"/>
        </w:rPr>
        <w:t>少于三家时，则招标失败，采购代理机构将重新招标</w:t>
      </w:r>
      <w:r>
        <w:rPr>
          <w:rFonts w:hint="eastAsia" w:ascii="宋体" w:hAnsi="宋体"/>
          <w:color w:val="auto"/>
          <w:sz w:val="24"/>
          <w:highlight w:val="none"/>
          <w:lang w:eastAsia="zh-CN"/>
        </w:rPr>
        <w:t>。</w:t>
      </w:r>
    </w:p>
    <w:p w14:paraId="4B1C424C">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b w:val="0"/>
          <w:bCs w:val="0"/>
          <w:color w:val="auto"/>
          <w:sz w:val="24"/>
          <w:highlight w:val="none"/>
        </w:rPr>
      </w:pPr>
      <w:r>
        <w:rPr>
          <w:rFonts w:hint="eastAsia" w:ascii="宋体" w:hAnsi="宋体"/>
          <w:b w:val="0"/>
          <w:bCs w:val="0"/>
          <w:color w:val="auto"/>
          <w:sz w:val="24"/>
          <w:highlight w:val="none"/>
          <w:lang w:eastAsia="zh-CN"/>
        </w:rPr>
        <w:t>参与本次</w:t>
      </w:r>
      <w:r>
        <w:rPr>
          <w:rFonts w:hint="eastAsia" w:ascii="宋体" w:hAnsi="宋体"/>
          <w:b w:val="0"/>
          <w:bCs w:val="0"/>
          <w:color w:val="auto"/>
          <w:sz w:val="24"/>
          <w:highlight w:val="none"/>
          <w:lang w:val="en-US" w:eastAsia="zh-CN"/>
        </w:rPr>
        <w:t>招标</w:t>
      </w:r>
      <w:r>
        <w:rPr>
          <w:rFonts w:hint="eastAsia" w:ascii="宋体" w:hAnsi="宋体"/>
          <w:b w:val="0"/>
          <w:bCs w:val="0"/>
          <w:color w:val="auto"/>
          <w:sz w:val="24"/>
          <w:highlight w:val="none"/>
          <w:lang w:eastAsia="zh-CN"/>
        </w:rPr>
        <w:t>活动的各个供应商</w:t>
      </w:r>
      <w:r>
        <w:rPr>
          <w:rFonts w:hint="eastAsia" w:ascii="宋体" w:hAnsi="宋体"/>
          <w:b w:val="0"/>
          <w:bCs w:val="0"/>
          <w:color w:val="auto"/>
          <w:sz w:val="24"/>
          <w:highlight w:val="none"/>
          <w:lang w:val="en-US" w:eastAsia="zh-CN"/>
        </w:rPr>
        <w:t>须</w:t>
      </w:r>
      <w:r>
        <w:rPr>
          <w:rFonts w:hint="eastAsia" w:ascii="宋体" w:hAnsi="宋体"/>
          <w:b w:val="0"/>
          <w:bCs w:val="0"/>
          <w:color w:val="auto"/>
          <w:sz w:val="24"/>
          <w:highlight w:val="none"/>
          <w:lang w:eastAsia="zh-CN"/>
        </w:rPr>
        <w:t>提前自行配置好硬件货物（电脑、摄像头、麦克风、谷歌浏览器（</w:t>
      </w:r>
      <w:r>
        <w:rPr>
          <w:rFonts w:hint="eastAsia" w:ascii="宋体" w:hAnsi="宋体"/>
          <w:b w:val="0"/>
          <w:bCs w:val="0"/>
          <w:color w:val="auto"/>
          <w:sz w:val="24"/>
          <w:highlight w:val="none"/>
          <w:lang w:val="en-US" w:eastAsia="zh-CN"/>
        </w:rPr>
        <w:t>建议</w:t>
      </w:r>
      <w:r>
        <w:rPr>
          <w:rFonts w:hint="eastAsia" w:ascii="宋体" w:hAnsi="宋体"/>
          <w:b w:val="0"/>
          <w:bCs w:val="0"/>
          <w:color w:val="auto"/>
          <w:sz w:val="24"/>
          <w:highlight w:val="none"/>
          <w:lang w:eastAsia="zh-CN"/>
        </w:rPr>
        <w:t>）、政采云招投标系统），登录政采云平台</w:t>
      </w:r>
      <w:r>
        <w:rPr>
          <w:rFonts w:hint="eastAsia" w:ascii="宋体" w:hAnsi="宋体"/>
          <w:b w:val="0"/>
          <w:bCs w:val="0"/>
          <w:color w:val="auto"/>
          <w:sz w:val="24"/>
          <w:highlight w:val="none"/>
          <w:lang w:val="en-US" w:eastAsia="zh-CN"/>
        </w:rPr>
        <w:t>开标大厅</w:t>
      </w:r>
      <w:r>
        <w:rPr>
          <w:rFonts w:hint="eastAsia" w:ascii="宋体" w:hAnsi="宋体"/>
          <w:b w:val="0"/>
          <w:bCs w:val="0"/>
          <w:color w:val="auto"/>
          <w:sz w:val="24"/>
          <w:highlight w:val="none"/>
          <w:lang w:eastAsia="zh-CN"/>
        </w:rPr>
        <w:t>，并确保</w:t>
      </w:r>
      <w:r>
        <w:rPr>
          <w:rFonts w:hint="eastAsia" w:ascii="宋体" w:hAnsi="宋体"/>
          <w:b w:val="0"/>
          <w:bCs w:val="0"/>
          <w:color w:val="auto"/>
          <w:sz w:val="24"/>
          <w:highlight w:val="none"/>
          <w:lang w:val="en-US" w:eastAsia="zh-CN"/>
        </w:rPr>
        <w:t>所有</w:t>
      </w:r>
      <w:r>
        <w:rPr>
          <w:rFonts w:hint="eastAsia" w:ascii="宋体" w:hAnsi="宋体"/>
          <w:b w:val="0"/>
          <w:bCs w:val="0"/>
          <w:color w:val="auto"/>
          <w:sz w:val="24"/>
          <w:highlight w:val="none"/>
          <w:lang w:eastAsia="zh-CN"/>
        </w:rPr>
        <w:t>货物</w:t>
      </w:r>
      <w:r>
        <w:rPr>
          <w:rFonts w:hint="eastAsia" w:ascii="宋体" w:hAnsi="宋体"/>
          <w:b w:val="0"/>
          <w:bCs w:val="0"/>
          <w:color w:val="auto"/>
          <w:sz w:val="24"/>
          <w:highlight w:val="none"/>
          <w:lang w:val="en-US" w:eastAsia="zh-CN"/>
        </w:rPr>
        <w:t>可</w:t>
      </w:r>
      <w:r>
        <w:rPr>
          <w:rFonts w:hint="eastAsia" w:ascii="宋体" w:hAnsi="宋体"/>
          <w:b w:val="0"/>
          <w:bCs w:val="0"/>
          <w:color w:val="auto"/>
          <w:sz w:val="24"/>
          <w:highlight w:val="none"/>
          <w:lang w:eastAsia="zh-CN"/>
        </w:rPr>
        <w:t>正常</w:t>
      </w:r>
      <w:r>
        <w:rPr>
          <w:rFonts w:hint="eastAsia" w:ascii="宋体" w:hAnsi="宋体"/>
          <w:b w:val="0"/>
          <w:bCs w:val="0"/>
          <w:color w:val="auto"/>
          <w:sz w:val="24"/>
          <w:highlight w:val="none"/>
          <w:lang w:val="en-US" w:eastAsia="zh-CN"/>
        </w:rPr>
        <w:t>使用</w:t>
      </w:r>
      <w:r>
        <w:rPr>
          <w:rFonts w:hint="eastAsia" w:ascii="宋体" w:hAnsi="宋体"/>
          <w:b w:val="0"/>
          <w:bCs w:val="0"/>
          <w:color w:val="auto"/>
          <w:sz w:val="24"/>
          <w:highlight w:val="none"/>
          <w:lang w:eastAsia="zh-CN"/>
        </w:rPr>
        <w:t>。到达开标时间，待</w:t>
      </w:r>
      <w:r>
        <w:rPr>
          <w:rFonts w:hint="eastAsia" w:ascii="宋体" w:hAnsi="宋体"/>
          <w:b w:val="0"/>
          <w:bCs w:val="0"/>
          <w:color w:val="auto"/>
          <w:sz w:val="24"/>
          <w:highlight w:val="none"/>
          <w:lang w:val="en-US" w:eastAsia="zh-CN"/>
        </w:rPr>
        <w:t>采购</w:t>
      </w:r>
      <w:r>
        <w:rPr>
          <w:rFonts w:hint="eastAsia" w:ascii="宋体" w:hAnsi="宋体"/>
          <w:b w:val="0"/>
          <w:bCs w:val="0"/>
          <w:color w:val="auto"/>
          <w:sz w:val="24"/>
          <w:highlight w:val="none"/>
          <w:lang w:eastAsia="zh-CN"/>
        </w:rPr>
        <w:t>代理机构开启解密标书后，供应商进行标书解密。</w:t>
      </w:r>
    </w:p>
    <w:p w14:paraId="3FC0221F">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开标</w:t>
      </w:r>
      <w:r>
        <w:rPr>
          <w:rFonts w:hint="eastAsia" w:ascii="宋体" w:hAnsi="宋体"/>
          <w:color w:val="auto"/>
          <w:sz w:val="24"/>
          <w:highlight w:val="none"/>
          <w:lang w:eastAsia="zh-CN"/>
        </w:rPr>
        <w:t>会主持人介绍参加会议的人员</w:t>
      </w:r>
      <w:r>
        <w:rPr>
          <w:rFonts w:hint="eastAsia" w:ascii="宋体" w:hAnsi="宋体"/>
          <w:color w:val="auto"/>
          <w:sz w:val="24"/>
          <w:highlight w:val="none"/>
        </w:rPr>
        <w:t>。</w:t>
      </w:r>
    </w:p>
    <w:p w14:paraId="10577990">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供应商进入项目即自行签到。</w:t>
      </w:r>
    </w:p>
    <w:p w14:paraId="5DBE5BA8">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lang w:eastAsia="zh-CN"/>
        </w:rPr>
        <w:t>开标会主持人宣布投标文件上传时间和地点是否符合招标文件要求。</w:t>
      </w:r>
    </w:p>
    <w:p w14:paraId="673C8763">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color w:val="auto"/>
          <w:sz w:val="24"/>
          <w:highlight w:val="none"/>
        </w:rPr>
      </w:pPr>
      <w:r>
        <w:rPr>
          <w:rFonts w:hint="eastAsia" w:ascii="宋体" w:hAnsi="宋体"/>
          <w:color w:val="auto"/>
          <w:sz w:val="24"/>
          <w:highlight w:val="none"/>
        </w:rPr>
        <w:t>开标</w:t>
      </w:r>
      <w:r>
        <w:rPr>
          <w:rFonts w:hint="eastAsia" w:ascii="宋体" w:hAnsi="宋体"/>
          <w:color w:val="auto"/>
          <w:sz w:val="24"/>
          <w:highlight w:val="none"/>
          <w:lang w:eastAsia="zh-CN"/>
        </w:rPr>
        <w:t>会主持人开启报价文件，宣布投标文件中的投标报价、交货期、质量等级等内容</w:t>
      </w:r>
      <w:r>
        <w:rPr>
          <w:rFonts w:hint="eastAsia" w:ascii="宋体" w:hAnsi="宋体"/>
          <w:color w:val="auto"/>
          <w:sz w:val="24"/>
          <w:highlight w:val="none"/>
        </w:rPr>
        <w:t>。</w:t>
      </w:r>
    </w:p>
    <w:p w14:paraId="1EE36393">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b/>
          <w:bCs/>
          <w:color w:val="auto"/>
          <w:sz w:val="24"/>
          <w:highlight w:val="none"/>
        </w:rPr>
      </w:pPr>
      <w:r>
        <w:rPr>
          <w:rFonts w:hint="eastAsia" w:ascii="宋体" w:hAnsi="宋体"/>
          <w:b/>
          <w:bCs/>
          <w:color w:val="auto"/>
          <w:sz w:val="24"/>
          <w:highlight w:val="none"/>
          <w:lang w:eastAsia="zh-CN"/>
        </w:rPr>
        <w:t>投标</w:t>
      </w:r>
      <w:r>
        <w:rPr>
          <w:rFonts w:hint="eastAsia" w:ascii="宋体" w:hAnsi="宋体"/>
          <w:b/>
          <w:bCs/>
          <w:color w:val="auto"/>
          <w:sz w:val="24"/>
          <w:highlight w:val="none"/>
          <w:lang w:val="en-US" w:eastAsia="zh-CN"/>
        </w:rPr>
        <w:t>单位</w:t>
      </w:r>
      <w:r>
        <w:rPr>
          <w:rFonts w:hint="eastAsia" w:ascii="宋体" w:hAnsi="宋体"/>
          <w:b/>
          <w:bCs/>
          <w:color w:val="auto"/>
          <w:sz w:val="24"/>
          <w:highlight w:val="none"/>
          <w:lang w:eastAsia="zh-CN"/>
        </w:rPr>
        <w:t>对开标报价记录表确认无误后，代理机构开启报价签字时段</w:t>
      </w:r>
      <w:r>
        <w:rPr>
          <w:rFonts w:hint="eastAsia" w:ascii="宋体" w:hAnsi="宋体"/>
          <w:b/>
          <w:bCs/>
          <w:color w:val="auto"/>
          <w:sz w:val="24"/>
          <w:highlight w:val="none"/>
          <w:lang w:val="en-US" w:eastAsia="zh-CN"/>
        </w:rPr>
        <w:t>30分钟内进行CA签字确认，投标单位在此期间未进行CA签字确认的视为默认此报价</w:t>
      </w:r>
      <w:r>
        <w:rPr>
          <w:rFonts w:hint="eastAsia" w:ascii="宋体" w:hAnsi="宋体"/>
          <w:b/>
          <w:bCs/>
          <w:color w:val="auto"/>
          <w:sz w:val="24"/>
          <w:highlight w:val="none"/>
        </w:rPr>
        <w:t>。</w:t>
      </w:r>
    </w:p>
    <w:p w14:paraId="0B7372F9">
      <w:pPr>
        <w:numPr>
          <w:ilvl w:val="2"/>
          <w:numId w:val="2"/>
        </w:numPr>
        <w:shd w:val="clear" w:fill="FFFFFF" w:themeFill="background1"/>
        <w:tabs>
          <w:tab w:val="left" w:pos="624"/>
          <w:tab w:val="left" w:pos="735"/>
          <w:tab w:val="left" w:pos="1254"/>
          <w:tab w:val="clear" w:pos="1050"/>
        </w:tabs>
        <w:spacing w:line="360" w:lineRule="auto"/>
        <w:ind w:left="735" w:hanging="735"/>
        <w:rPr>
          <w:rFonts w:ascii="宋体" w:hAnsi="宋体"/>
          <w:b/>
          <w:bCs/>
          <w:color w:val="auto"/>
          <w:sz w:val="24"/>
          <w:highlight w:val="none"/>
        </w:rPr>
      </w:pPr>
      <w:r>
        <w:rPr>
          <w:rFonts w:hint="eastAsia" w:ascii="宋体" w:hAnsi="宋体"/>
          <w:color w:val="auto"/>
          <w:sz w:val="24"/>
          <w:highlight w:val="none"/>
          <w:lang w:eastAsia="zh-CN"/>
        </w:rPr>
        <w:t>进入评标阶段。</w:t>
      </w:r>
    </w:p>
    <w:p w14:paraId="19E42659">
      <w:pPr>
        <w:numPr>
          <w:ilvl w:val="0"/>
          <w:numId w:val="0"/>
        </w:numPr>
        <w:shd w:val="clear" w:fill="FFFFFF" w:themeFill="background1"/>
        <w:tabs>
          <w:tab w:val="left" w:pos="624"/>
          <w:tab w:val="left" w:pos="735"/>
          <w:tab w:val="left" w:pos="1254"/>
        </w:tabs>
        <w:spacing w:line="360" w:lineRule="auto"/>
        <w:ind w:leftChars="0"/>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 评标准备会</w:t>
      </w:r>
    </w:p>
    <w:p w14:paraId="4AB2A1FA">
      <w:pPr>
        <w:keepNext w:val="0"/>
        <w:keepLines w:val="0"/>
        <w:pageBreakBefore w:val="0"/>
        <w:widowControl w:val="0"/>
        <w:numPr>
          <w:ilvl w:val="0"/>
          <w:numId w:val="0"/>
        </w:numPr>
        <w:shd w:val="clear" w:fill="FFFFFF" w:themeFill="background1"/>
        <w:tabs>
          <w:tab w:val="left" w:pos="624"/>
          <w:tab w:val="left" w:pos="735"/>
          <w:tab w:val="left" w:pos="1254"/>
        </w:tabs>
        <w:kinsoku/>
        <w:wordWrap/>
        <w:overflowPunct/>
        <w:topLinePunct w:val="0"/>
        <w:autoSpaceDE/>
        <w:autoSpaceDN/>
        <w:bidi w:val="0"/>
        <w:adjustRightInd/>
        <w:snapToGrid/>
        <w:spacing w:line="360" w:lineRule="auto"/>
        <w:ind w:left="720" w:leftChars="0" w:hanging="720" w:hangingChars="3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4.5.1 采购代理机构向评标专家提供评标时的重要信息和数据。其中包括：采购的目标、范围和性质；招标文件中规定的主要技术要求、标准和商务条款；招标文件规定的评标标准、评标方法和在评标过程中考虑的相关因素。</w:t>
      </w:r>
    </w:p>
    <w:p w14:paraId="3A3B387E">
      <w:pPr>
        <w:pStyle w:val="7"/>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left="723" w:hanging="720" w:hangingChars="300"/>
        <w:textAlignment w:val="auto"/>
        <w:rPr>
          <w:rFonts w:hint="eastAsia"/>
          <w:b w:val="0"/>
          <w:bCs w:val="0"/>
          <w:color w:val="auto"/>
          <w:sz w:val="24"/>
          <w:highlight w:val="none"/>
          <w:lang w:val="en-US" w:eastAsia="zh-CN"/>
        </w:rPr>
      </w:pPr>
      <w:r>
        <w:rPr>
          <w:rFonts w:hint="eastAsia" w:ascii="宋体" w:hAnsi="宋体"/>
          <w:b w:val="0"/>
          <w:bCs w:val="0"/>
          <w:color w:val="auto"/>
          <w:sz w:val="24"/>
          <w:highlight w:val="none"/>
          <w:lang w:val="en-US" w:eastAsia="zh-CN"/>
        </w:rPr>
        <w:t>4.5.</w:t>
      </w:r>
      <w:r>
        <w:rPr>
          <w:rFonts w:hint="eastAsia"/>
          <w:b w:val="0"/>
          <w:bCs w:val="0"/>
          <w:color w:val="auto"/>
          <w:sz w:val="24"/>
          <w:highlight w:val="none"/>
          <w:lang w:val="en-US" w:eastAsia="zh-CN"/>
        </w:rPr>
        <w:t>2</w:t>
      </w:r>
      <w:r>
        <w:rPr>
          <w:rFonts w:hint="eastAsia" w:ascii="宋体" w:hAnsi="宋体"/>
          <w:b w:val="0"/>
          <w:bCs w:val="0"/>
          <w:color w:val="auto"/>
          <w:sz w:val="24"/>
          <w:highlight w:val="none"/>
          <w:lang w:val="en-US" w:eastAsia="zh-CN"/>
        </w:rPr>
        <w:t xml:space="preserve"> </w:t>
      </w:r>
      <w:r>
        <w:rPr>
          <w:rFonts w:hint="eastAsia"/>
          <w:b w:val="0"/>
          <w:bCs w:val="0"/>
          <w:color w:val="auto"/>
          <w:sz w:val="24"/>
          <w:highlight w:val="none"/>
          <w:lang w:val="en-US" w:eastAsia="zh-CN"/>
        </w:rPr>
        <w:t>评标委员会对投标文件依据《资格审查标准》《符合性审查标准》进行初评。</w:t>
      </w:r>
    </w:p>
    <w:p w14:paraId="33EB3AA1">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left="723" w:hanging="720" w:hangingChars="300"/>
        <w:textAlignment w:val="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4.5.3 评标委员会对通过初评的投标文件依据《投标文件评审标准》进行详评。</w:t>
      </w:r>
    </w:p>
    <w:p w14:paraId="5B386C27">
      <w:pPr>
        <w:shd w:val="clear" w:fill="FFFFFF" w:themeFill="background1"/>
        <w:spacing w:afterAutospacing="0" w:line="360" w:lineRule="auto"/>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4.5.</w:t>
      </w:r>
      <w:r>
        <w:rPr>
          <w:rFonts w:hint="eastAsia"/>
          <w:b w:val="0"/>
          <w:bCs w:val="0"/>
          <w:color w:val="auto"/>
          <w:sz w:val="24"/>
          <w:highlight w:val="none"/>
          <w:lang w:val="en-US" w:eastAsia="zh-CN"/>
        </w:rPr>
        <w:t>4 供应商应保持通讯货物的畅通，以方便在评标过程中评标委员会要求供应商对投标文件的必要澄清、说明和纠正</w:t>
      </w:r>
      <w:r>
        <w:rPr>
          <w:rFonts w:hint="eastAsia" w:ascii="宋体" w:hAnsi="宋体"/>
          <w:b w:val="0"/>
          <w:bCs w:val="0"/>
          <w:color w:val="auto"/>
          <w:sz w:val="24"/>
          <w:highlight w:val="none"/>
          <w:lang w:val="en-US" w:eastAsia="zh-CN"/>
        </w:rPr>
        <w:t>。</w:t>
      </w:r>
    </w:p>
    <w:p w14:paraId="2D8B97A1">
      <w:pPr>
        <w:numPr>
          <w:ilvl w:val="0"/>
          <w:numId w:val="0"/>
        </w:numPr>
        <w:shd w:val="clear" w:fill="FFFFFF" w:themeFill="background1"/>
        <w:tabs>
          <w:tab w:val="left" w:pos="567"/>
        </w:tabs>
        <w:spacing w:line="360" w:lineRule="auto"/>
        <w:outlineLvl w:val="3"/>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4.6履约保证金</w:t>
      </w:r>
    </w:p>
    <w:p w14:paraId="547F72B4">
      <w:pPr>
        <w:shd w:val="clear" w:fill="FFFFFF" w:themeFill="background1"/>
        <w:spacing w:afterAutospacing="0" w:line="360" w:lineRule="auto"/>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4.6.1</w:t>
      </w:r>
      <w:r>
        <w:rPr>
          <w:rFonts w:hint="default" w:ascii="宋体" w:hAnsi="宋体"/>
          <w:b w:val="0"/>
          <w:bCs w:val="0"/>
          <w:color w:val="auto"/>
          <w:sz w:val="24"/>
          <w:highlight w:val="none"/>
          <w:lang w:val="en-US" w:eastAsia="zh-CN"/>
        </w:rPr>
        <w:t>在签订合同后五日</w:t>
      </w:r>
      <w:r>
        <w:rPr>
          <w:rFonts w:hint="eastAsia" w:ascii="宋体" w:hAnsi="宋体"/>
          <w:b w:val="0"/>
          <w:bCs w:val="0"/>
          <w:color w:val="auto"/>
          <w:sz w:val="24"/>
          <w:highlight w:val="none"/>
          <w:lang w:val="en-US" w:eastAsia="zh-CN"/>
        </w:rPr>
        <w:t>内</w:t>
      </w:r>
      <w:r>
        <w:rPr>
          <w:rFonts w:hint="default" w:ascii="宋体" w:hAnsi="宋体"/>
          <w:b w:val="0"/>
          <w:bCs w:val="0"/>
          <w:color w:val="auto"/>
          <w:sz w:val="24"/>
          <w:highlight w:val="none"/>
          <w:lang w:val="en-US" w:eastAsia="zh-CN"/>
        </w:rPr>
        <w:t>，中标人应按</w:t>
      </w:r>
      <w:r>
        <w:rPr>
          <w:rFonts w:hint="eastAsia" w:ascii="宋体" w:hAnsi="宋体"/>
          <w:b w:val="0"/>
          <w:bCs w:val="0"/>
          <w:color w:val="auto"/>
          <w:sz w:val="24"/>
          <w:highlight w:val="none"/>
          <w:lang w:val="en-US" w:eastAsia="zh-CN"/>
        </w:rPr>
        <w:t>供应商</w:t>
      </w:r>
      <w:r>
        <w:rPr>
          <w:rFonts w:hint="default" w:ascii="宋体" w:hAnsi="宋体"/>
          <w:b w:val="0"/>
          <w:bCs w:val="0"/>
          <w:color w:val="auto"/>
          <w:sz w:val="24"/>
          <w:highlight w:val="none"/>
          <w:lang w:val="en-US" w:eastAsia="zh-CN"/>
        </w:rPr>
        <w:t>须知前附表规定的金额、</w:t>
      </w:r>
      <w:r>
        <w:rPr>
          <w:rFonts w:hint="eastAsia" w:ascii="宋体" w:hAnsi="宋体"/>
          <w:b w:val="0"/>
          <w:bCs w:val="0"/>
          <w:color w:val="auto"/>
          <w:sz w:val="24"/>
          <w:highlight w:val="none"/>
          <w:lang w:val="en-US" w:eastAsia="zh-CN"/>
        </w:rPr>
        <w:t>缴纳</w:t>
      </w:r>
      <w:r>
        <w:rPr>
          <w:rFonts w:hint="default" w:ascii="宋体" w:hAnsi="宋体"/>
          <w:b w:val="0"/>
          <w:bCs w:val="0"/>
          <w:color w:val="auto"/>
          <w:sz w:val="24"/>
          <w:highlight w:val="none"/>
          <w:lang w:val="en-US" w:eastAsia="zh-CN"/>
        </w:rPr>
        <w:t>形式和招标文件向招标人提交履约</w:t>
      </w:r>
      <w:r>
        <w:rPr>
          <w:rFonts w:hint="eastAsia" w:ascii="宋体" w:hAnsi="宋体"/>
          <w:b w:val="0"/>
          <w:bCs w:val="0"/>
          <w:color w:val="auto"/>
          <w:sz w:val="24"/>
          <w:highlight w:val="none"/>
          <w:lang w:val="en-US" w:eastAsia="zh-CN"/>
        </w:rPr>
        <w:t>保证金</w:t>
      </w:r>
      <w:r>
        <w:rPr>
          <w:rFonts w:hint="default" w:ascii="宋体" w:hAnsi="宋体"/>
          <w:b w:val="0"/>
          <w:bCs w:val="0"/>
          <w:color w:val="auto"/>
          <w:sz w:val="24"/>
          <w:highlight w:val="none"/>
          <w:lang w:val="en-US" w:eastAsia="zh-CN"/>
        </w:rPr>
        <w:t>。</w:t>
      </w:r>
    </w:p>
    <w:p w14:paraId="2509A21C">
      <w:pPr>
        <w:shd w:val="clear" w:fill="FFFFFF" w:themeFill="background1"/>
        <w:spacing w:afterAutospacing="0" w:line="360" w:lineRule="auto"/>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4.6.2</w:t>
      </w:r>
      <w:r>
        <w:rPr>
          <w:rFonts w:hint="default" w:ascii="宋体" w:hAnsi="宋体"/>
          <w:b w:val="0"/>
          <w:bCs w:val="0"/>
          <w:color w:val="auto"/>
          <w:sz w:val="24"/>
          <w:highlight w:val="none"/>
          <w:lang w:val="en-US" w:eastAsia="zh-CN"/>
        </w:rPr>
        <w:t>中标人不能</w:t>
      </w:r>
      <w:r>
        <w:rPr>
          <w:rFonts w:hint="eastAsia" w:ascii="宋体" w:hAnsi="宋体"/>
          <w:b w:val="0"/>
          <w:bCs w:val="0"/>
          <w:color w:val="auto"/>
          <w:sz w:val="24"/>
          <w:highlight w:val="none"/>
          <w:lang w:val="en-US" w:eastAsia="zh-CN"/>
        </w:rPr>
        <w:t>按</w:t>
      </w:r>
      <w:r>
        <w:rPr>
          <w:rFonts w:hint="default" w:ascii="宋体" w:hAnsi="宋体"/>
          <w:b w:val="0"/>
          <w:bCs w:val="0"/>
          <w:color w:val="auto"/>
          <w:sz w:val="24"/>
          <w:highlight w:val="none"/>
          <w:lang w:val="en-US" w:eastAsia="zh-CN"/>
        </w:rPr>
        <w:t>要求提交履约</w:t>
      </w:r>
      <w:r>
        <w:rPr>
          <w:rFonts w:hint="eastAsia" w:ascii="宋体" w:hAnsi="宋体"/>
          <w:b w:val="0"/>
          <w:bCs w:val="0"/>
          <w:color w:val="auto"/>
          <w:sz w:val="24"/>
          <w:highlight w:val="none"/>
          <w:lang w:val="en-US" w:eastAsia="zh-CN"/>
        </w:rPr>
        <w:t>保证金</w:t>
      </w:r>
      <w:r>
        <w:rPr>
          <w:rFonts w:hint="default" w:ascii="宋体" w:hAnsi="宋体"/>
          <w:b w:val="0"/>
          <w:bCs w:val="0"/>
          <w:color w:val="auto"/>
          <w:sz w:val="24"/>
          <w:highlight w:val="none"/>
          <w:lang w:val="en-US" w:eastAsia="zh-CN"/>
        </w:rPr>
        <w:t>的，视为放弃中标，其投标保证金不予退还，给招标人造成的损失超过投标保证金数额的，中标人还应当对超过部分予以赔偿。</w:t>
      </w:r>
    </w:p>
    <w:p w14:paraId="44C1935D">
      <w:pPr>
        <w:shd w:val="clear" w:fill="FFFFFF" w:themeFill="background1"/>
        <w:spacing w:afterAutospacing="0" w:line="360" w:lineRule="auto"/>
        <w:rPr>
          <w:rFonts w:hint="default" w:ascii="宋体" w:hAnsi="宋体"/>
          <w:b w:val="0"/>
          <w:bCs w:val="0"/>
          <w:color w:val="auto"/>
          <w:sz w:val="24"/>
          <w:highlight w:val="none"/>
          <w:lang w:val="en-US" w:eastAsia="zh-CN"/>
        </w:rPr>
      </w:pPr>
    </w:p>
    <w:p w14:paraId="5FEA45CD">
      <w:pPr>
        <w:pStyle w:val="4"/>
        <w:numPr>
          <w:ilvl w:val="0"/>
          <w:numId w:val="2"/>
        </w:numPr>
        <w:shd w:val="clear" w:fill="FFFFFF" w:themeFill="background1"/>
        <w:tabs>
          <w:tab w:val="left" w:pos="425"/>
          <w:tab w:val="clear" w:pos="147"/>
        </w:tabs>
        <w:snapToGrid/>
        <w:spacing w:before="0" w:beforeLines="0" w:beforeAutospacing="0" w:after="0" w:afterLines="0" w:afterAutospacing="0" w:line="360" w:lineRule="auto"/>
        <w:ind w:left="425"/>
        <w:rPr>
          <w:rFonts w:hint="eastAsia" w:hAnsi="宋体"/>
          <w:color w:val="auto"/>
          <w:sz w:val="24"/>
          <w:szCs w:val="24"/>
          <w:highlight w:val="none"/>
        </w:rPr>
      </w:pPr>
      <w:bookmarkStart w:id="158" w:name="_Toc401655774"/>
      <w:bookmarkStart w:id="159" w:name="_Toc391418659"/>
      <w:bookmarkStart w:id="160" w:name="_Toc458635596"/>
      <w:bookmarkStart w:id="161" w:name="_Toc31740"/>
      <w:bookmarkStart w:id="162" w:name="_Toc403072942"/>
      <w:bookmarkStart w:id="163" w:name="_Toc42952419"/>
      <w:bookmarkStart w:id="164" w:name="_Toc439513161"/>
      <w:bookmarkStart w:id="165" w:name="_Toc479325592"/>
      <w:bookmarkStart w:id="166" w:name="_Toc391419532"/>
      <w:bookmarkStart w:id="167" w:name="_Toc498871244"/>
      <w:bookmarkStart w:id="168" w:name="_Toc494832087"/>
      <w:bookmarkStart w:id="169" w:name="_Toc399775413"/>
      <w:bookmarkStart w:id="170" w:name="_Toc438508597"/>
      <w:bookmarkStart w:id="171" w:name="_Toc498899371"/>
      <w:bookmarkStart w:id="172" w:name="_Toc399415363"/>
      <w:bookmarkStart w:id="173" w:name="_Toc479340789"/>
      <w:bookmarkStart w:id="174" w:name="_Toc435629838"/>
      <w:bookmarkStart w:id="175" w:name="_Toc435623754"/>
      <w:bookmarkStart w:id="176" w:name="_Toc490645938"/>
      <w:bookmarkStart w:id="177" w:name="_Toc477879840"/>
      <w:bookmarkStart w:id="178" w:name="_Toc435687275"/>
      <w:bookmarkStart w:id="179" w:name="_Toc403830754"/>
      <w:bookmarkStart w:id="180" w:name="_Toc416208486"/>
      <w:bookmarkStart w:id="181" w:name="_Toc438722130"/>
      <w:bookmarkStart w:id="182" w:name="_Toc435686980"/>
      <w:bookmarkStart w:id="183" w:name="_Toc414510780"/>
      <w:bookmarkStart w:id="184" w:name="_Toc435629792"/>
      <w:bookmarkStart w:id="185" w:name="_Toc518912735"/>
      <w:bookmarkStart w:id="186" w:name="_Toc422161992"/>
      <w:bookmarkStart w:id="187" w:name="_Toc403580038"/>
      <w:bookmarkStart w:id="188" w:name="_Toc486969379"/>
      <w:bookmarkStart w:id="189" w:name="_Toc439679268"/>
      <w:bookmarkStart w:id="190" w:name="_Toc438641465"/>
      <w:bookmarkStart w:id="191" w:name="_Toc418023333"/>
      <w:bookmarkStart w:id="192" w:name="_Toc439513445"/>
      <w:bookmarkStart w:id="193" w:name="_Toc422865421"/>
      <w:bookmarkStart w:id="194" w:name="_Toc9797"/>
      <w:bookmarkStart w:id="195" w:name="_Toc425347662"/>
      <w:bookmarkStart w:id="196" w:name="_Toc438513734"/>
      <w:bookmarkStart w:id="197" w:name="_Toc470184441"/>
      <w:bookmarkStart w:id="198" w:name="_Toc435687349"/>
      <w:bookmarkStart w:id="199" w:name="_Toc458980393"/>
      <w:bookmarkStart w:id="200" w:name="_Toc487044252"/>
      <w:r>
        <w:rPr>
          <w:rFonts w:hint="eastAsia"/>
          <w:color w:val="auto"/>
          <w:highlight w:val="none"/>
        </w:rPr>
        <w:t>授予合同</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hint="eastAsia"/>
          <w:color w:val="auto"/>
          <w:highlight w:val="none"/>
        </w:rPr>
        <w:t xml:space="preserve">                                                    </w:t>
      </w:r>
    </w:p>
    <w:p w14:paraId="06934A8F">
      <w:pPr>
        <w:numPr>
          <w:ilvl w:val="1"/>
          <w:numId w:val="2"/>
        </w:numPr>
        <w:shd w:val="clear" w:fill="FFFFFF" w:themeFill="background1"/>
        <w:tabs>
          <w:tab w:val="left" w:pos="567"/>
          <w:tab w:val="clear" w:pos="289"/>
        </w:tabs>
        <w:spacing w:line="360" w:lineRule="auto"/>
        <w:ind w:left="567"/>
        <w:outlineLvl w:val="3"/>
        <w:rPr>
          <w:rFonts w:hint="eastAsia" w:hAnsi="宋体"/>
          <w:color w:val="auto"/>
          <w:sz w:val="24"/>
          <w:szCs w:val="24"/>
          <w:highlight w:val="none"/>
        </w:rPr>
      </w:pPr>
      <w:r>
        <w:rPr>
          <w:rFonts w:hint="eastAsia" w:ascii="宋体" w:hAnsi="宋体" w:cs="Times New Roman"/>
          <w:b/>
          <w:bCs/>
          <w:color w:val="auto"/>
          <w:sz w:val="24"/>
          <w:highlight w:val="none"/>
          <w:lang w:eastAsia="zh-CN"/>
        </w:rPr>
        <w:t>招标人</w:t>
      </w:r>
      <w:r>
        <w:rPr>
          <w:rFonts w:hint="eastAsia" w:ascii="宋体" w:hAnsi="宋体" w:eastAsia="宋体" w:cs="Times New Roman"/>
          <w:b/>
          <w:bCs/>
          <w:color w:val="auto"/>
          <w:sz w:val="24"/>
          <w:highlight w:val="none"/>
        </w:rPr>
        <w:t>确定中标人过程中，发现中标候选人有下列情形之一的，应当不予确定其为中</w:t>
      </w:r>
      <w:r>
        <w:rPr>
          <w:rFonts w:hint="eastAsia"/>
          <w:b/>
          <w:color w:val="auto"/>
          <w:sz w:val="24"/>
          <w:szCs w:val="24"/>
          <w:highlight w:val="none"/>
        </w:rPr>
        <w:t>标人</w:t>
      </w:r>
      <w:r>
        <w:rPr>
          <w:rFonts w:hint="eastAsia"/>
          <w:b/>
          <w:color w:val="auto"/>
          <w:sz w:val="24"/>
          <w:szCs w:val="24"/>
          <w:highlight w:val="none"/>
          <w:lang w:eastAsia="zh-CN"/>
        </w:rPr>
        <w:t>：</w:t>
      </w:r>
    </w:p>
    <w:p w14:paraId="1FD1DCC2">
      <w:pPr>
        <w:keepNext w:val="0"/>
        <w:keepLines w:val="0"/>
        <w:pageBreakBefore w:val="0"/>
        <w:widowControl w:val="0"/>
        <w:numPr>
          <w:ilvl w:val="0"/>
          <w:numId w:val="3"/>
        </w:numPr>
        <w:shd w:val="clear" w:fill="FFFFFF" w:themeFill="background1"/>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auto"/>
          <w:sz w:val="24"/>
          <w:szCs w:val="24"/>
          <w:highlight w:val="none"/>
        </w:rPr>
      </w:pPr>
      <w:r>
        <w:rPr>
          <w:rFonts w:hint="eastAsia" w:hAnsi="宋体"/>
          <w:color w:val="auto"/>
          <w:sz w:val="24"/>
          <w:szCs w:val="24"/>
          <w:highlight w:val="none"/>
        </w:rPr>
        <w:t>发现中标候选人存在禁止参加本项目采购活动的违法行为的；</w:t>
      </w:r>
    </w:p>
    <w:p w14:paraId="40F6A057">
      <w:pPr>
        <w:keepNext w:val="0"/>
        <w:keepLines w:val="0"/>
        <w:pageBreakBefore w:val="0"/>
        <w:widowControl w:val="0"/>
        <w:numPr>
          <w:ilvl w:val="0"/>
          <w:numId w:val="3"/>
        </w:numPr>
        <w:shd w:val="clear" w:fill="FFFFFF" w:themeFill="background1"/>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auto"/>
          <w:sz w:val="24"/>
          <w:szCs w:val="24"/>
          <w:highlight w:val="none"/>
        </w:rPr>
      </w:pPr>
      <w:r>
        <w:rPr>
          <w:rFonts w:hint="eastAsia" w:hAnsi="宋体"/>
          <w:color w:val="auto"/>
          <w:sz w:val="24"/>
          <w:szCs w:val="24"/>
          <w:highlight w:val="none"/>
        </w:rPr>
        <w:t>中标候选人因不可抗力，不能继续参加政府采购活动；</w:t>
      </w:r>
    </w:p>
    <w:p w14:paraId="135CFA24">
      <w:pPr>
        <w:keepNext w:val="0"/>
        <w:keepLines w:val="0"/>
        <w:pageBreakBefore w:val="0"/>
        <w:widowControl w:val="0"/>
        <w:numPr>
          <w:ilvl w:val="0"/>
          <w:numId w:val="3"/>
        </w:numPr>
        <w:shd w:val="clear" w:fill="FFFFFF" w:themeFill="background1"/>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auto"/>
          <w:sz w:val="24"/>
          <w:szCs w:val="24"/>
          <w:highlight w:val="none"/>
        </w:rPr>
      </w:pPr>
      <w:r>
        <w:rPr>
          <w:rFonts w:hint="eastAsia" w:hAnsi="宋体"/>
          <w:color w:val="auto"/>
          <w:sz w:val="24"/>
          <w:szCs w:val="24"/>
          <w:highlight w:val="none"/>
        </w:rPr>
        <w:t>中标候选人无偿赠与或者低于成本价竞争；</w:t>
      </w:r>
    </w:p>
    <w:p w14:paraId="3D4B78F1">
      <w:pPr>
        <w:keepNext w:val="0"/>
        <w:keepLines w:val="0"/>
        <w:pageBreakBefore w:val="0"/>
        <w:widowControl w:val="0"/>
        <w:numPr>
          <w:ilvl w:val="0"/>
          <w:numId w:val="3"/>
        </w:numPr>
        <w:shd w:val="clear" w:fill="FFFFFF" w:themeFill="background1"/>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auto"/>
          <w:sz w:val="24"/>
          <w:szCs w:val="24"/>
          <w:highlight w:val="none"/>
        </w:rPr>
      </w:pPr>
      <w:r>
        <w:rPr>
          <w:rFonts w:hint="eastAsia" w:hAnsi="宋体"/>
          <w:color w:val="auto"/>
          <w:sz w:val="24"/>
          <w:szCs w:val="24"/>
          <w:highlight w:val="none"/>
        </w:rPr>
        <w:t>中标候选人提供虚假材料；</w:t>
      </w:r>
    </w:p>
    <w:p w14:paraId="01D40156">
      <w:pPr>
        <w:keepNext w:val="0"/>
        <w:keepLines w:val="0"/>
        <w:pageBreakBefore w:val="0"/>
        <w:widowControl w:val="0"/>
        <w:numPr>
          <w:ilvl w:val="0"/>
          <w:numId w:val="3"/>
        </w:numPr>
        <w:shd w:val="clear" w:fill="FFFFFF" w:themeFill="background1"/>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color w:val="auto"/>
          <w:sz w:val="24"/>
          <w:szCs w:val="24"/>
          <w:highlight w:val="none"/>
        </w:rPr>
      </w:pPr>
      <w:r>
        <w:rPr>
          <w:rFonts w:hint="eastAsia" w:hAnsi="宋体"/>
          <w:color w:val="auto"/>
          <w:sz w:val="24"/>
          <w:szCs w:val="24"/>
          <w:highlight w:val="none"/>
        </w:rPr>
        <w:t>中标候选人恶意串通</w:t>
      </w:r>
      <w:r>
        <w:rPr>
          <w:color w:val="auto"/>
          <w:sz w:val="24"/>
          <w:szCs w:val="24"/>
          <w:highlight w:val="none"/>
        </w:rPr>
        <w:t>。</w:t>
      </w:r>
    </w:p>
    <w:p w14:paraId="23AD9B25">
      <w:pPr>
        <w:numPr>
          <w:ilvl w:val="1"/>
          <w:numId w:val="2"/>
        </w:numPr>
        <w:shd w:val="clear" w:fill="FFFFFF" w:themeFill="background1"/>
        <w:tabs>
          <w:tab w:val="left" w:pos="567"/>
          <w:tab w:val="clear" w:pos="289"/>
        </w:tabs>
        <w:spacing w:line="360" w:lineRule="auto"/>
        <w:ind w:left="567"/>
        <w:outlineLvl w:val="3"/>
        <w:rPr>
          <w:rFonts w:ascii="宋体" w:hAnsi="宋体"/>
          <w:color w:val="auto"/>
          <w:sz w:val="24"/>
          <w:szCs w:val="24"/>
          <w:highlight w:val="none"/>
        </w:rPr>
      </w:pPr>
      <w:r>
        <w:rPr>
          <w:rFonts w:hint="eastAsia"/>
          <w:b/>
          <w:color w:val="auto"/>
          <w:sz w:val="24"/>
          <w:szCs w:val="24"/>
          <w:highlight w:val="none"/>
        </w:rPr>
        <w:t>中标结果公告</w:t>
      </w:r>
    </w:p>
    <w:p w14:paraId="0BDF4D8A">
      <w:pPr>
        <w:numPr>
          <w:ilvl w:val="0"/>
          <w:numId w:val="0"/>
        </w:numPr>
        <w:shd w:val="clear" w:fill="FFFFFF" w:themeFill="background1"/>
        <w:tabs>
          <w:tab w:val="left" w:pos="360"/>
        </w:tabs>
        <w:spacing w:line="360" w:lineRule="auto"/>
        <w:ind w:leftChars="0" w:firstLine="720" w:firstLineChars="300"/>
        <w:outlineLvl w:val="3"/>
        <w:rPr>
          <w:rFonts w:ascii="宋体" w:hAnsi="宋体"/>
          <w:color w:val="auto"/>
          <w:sz w:val="24"/>
          <w:szCs w:val="24"/>
          <w:highlight w:val="none"/>
        </w:rPr>
      </w:pPr>
      <w:r>
        <w:rPr>
          <w:rFonts w:hint="eastAsia" w:ascii="宋体" w:hAnsi="宋体"/>
          <w:color w:val="auto"/>
          <w:sz w:val="24"/>
          <w:szCs w:val="24"/>
          <w:highlight w:val="none"/>
        </w:rPr>
        <w:t>采购代理机构将在</w:t>
      </w:r>
      <w:r>
        <w:rPr>
          <w:rFonts w:hint="eastAsia" w:hAnsi="宋体"/>
          <w:color w:val="auto"/>
          <w:sz w:val="24"/>
          <w:highlight w:val="none"/>
          <w:lang w:eastAsia="zh-CN"/>
        </w:rPr>
        <w:t>新疆政府采购网上</w:t>
      </w:r>
      <w:r>
        <w:rPr>
          <w:rFonts w:hint="eastAsia" w:ascii="宋体" w:hAnsi="宋体"/>
          <w:color w:val="auto"/>
          <w:sz w:val="24"/>
          <w:szCs w:val="24"/>
          <w:highlight w:val="none"/>
        </w:rPr>
        <w:t>公示中标结果公告。</w:t>
      </w:r>
    </w:p>
    <w:p w14:paraId="3A5F9F12">
      <w:pPr>
        <w:numPr>
          <w:ilvl w:val="1"/>
          <w:numId w:val="2"/>
        </w:numPr>
        <w:shd w:val="clear" w:fill="FFFFFF" w:themeFill="background1"/>
        <w:tabs>
          <w:tab w:val="left" w:pos="567"/>
          <w:tab w:val="clear" w:pos="289"/>
        </w:tabs>
        <w:spacing w:line="360" w:lineRule="auto"/>
        <w:ind w:left="567"/>
        <w:outlineLvl w:val="3"/>
        <w:rPr>
          <w:b/>
          <w:color w:val="auto"/>
          <w:sz w:val="24"/>
          <w:szCs w:val="24"/>
          <w:highlight w:val="none"/>
        </w:rPr>
      </w:pPr>
      <w:r>
        <w:rPr>
          <w:rFonts w:hint="eastAsia"/>
          <w:b/>
          <w:color w:val="auto"/>
          <w:sz w:val="24"/>
          <w:szCs w:val="24"/>
          <w:highlight w:val="none"/>
        </w:rPr>
        <w:t>质疑和投诉</w:t>
      </w:r>
    </w:p>
    <w:p w14:paraId="08580341">
      <w:pPr>
        <w:numPr>
          <w:ilvl w:val="2"/>
          <w:numId w:val="2"/>
        </w:numPr>
        <w:shd w:val="clear" w:fill="FFFFFF" w:themeFill="background1"/>
        <w:tabs>
          <w:tab w:val="left" w:pos="624"/>
          <w:tab w:val="left" w:pos="735"/>
          <w:tab w:val="left" w:pos="1571"/>
          <w:tab w:val="clear" w:pos="1050"/>
        </w:tabs>
        <w:spacing w:line="360" w:lineRule="auto"/>
        <w:ind w:left="735" w:hanging="735"/>
        <w:rPr>
          <w:color w:val="auto"/>
          <w:sz w:val="24"/>
          <w:szCs w:val="24"/>
          <w:highlight w:val="none"/>
        </w:rPr>
      </w:pPr>
      <w:r>
        <w:rPr>
          <w:rFonts w:hint="eastAsia"/>
          <w:color w:val="auto"/>
          <w:sz w:val="24"/>
          <w:szCs w:val="24"/>
          <w:highlight w:val="none"/>
          <w:lang w:eastAsia="zh-CN"/>
        </w:rPr>
        <w:t>供应商</w:t>
      </w:r>
      <w:r>
        <w:rPr>
          <w:rFonts w:hint="eastAsia"/>
          <w:color w:val="auto"/>
          <w:sz w:val="24"/>
          <w:szCs w:val="24"/>
          <w:highlight w:val="none"/>
        </w:rPr>
        <w:t>对评标结果有质疑或投诉的，可根据《中华人民共和国政府采购法》及有关政府采购法规的规定，向相关部门书面提出，但需对质疑或投诉内容的真实性承担责任。</w:t>
      </w:r>
    </w:p>
    <w:p w14:paraId="68D578E2">
      <w:pPr>
        <w:numPr>
          <w:ilvl w:val="2"/>
          <w:numId w:val="2"/>
        </w:numPr>
        <w:shd w:val="clear" w:fill="FFFFFF" w:themeFill="background1"/>
        <w:tabs>
          <w:tab w:val="left" w:pos="624"/>
          <w:tab w:val="left" w:pos="735"/>
          <w:tab w:val="left" w:pos="1571"/>
          <w:tab w:val="clear" w:pos="1050"/>
        </w:tabs>
        <w:spacing w:line="360" w:lineRule="auto"/>
        <w:ind w:left="735" w:hanging="735"/>
        <w:rPr>
          <w:color w:val="auto"/>
          <w:sz w:val="24"/>
          <w:szCs w:val="24"/>
          <w:highlight w:val="none"/>
        </w:rPr>
      </w:pPr>
      <w:r>
        <w:rPr>
          <w:rFonts w:hint="eastAsia"/>
          <w:color w:val="auto"/>
          <w:sz w:val="24"/>
          <w:szCs w:val="24"/>
          <w:highlight w:val="none"/>
          <w:lang w:eastAsia="zh-CN"/>
        </w:rPr>
        <w:t>供应商</w:t>
      </w:r>
      <w:r>
        <w:rPr>
          <w:rFonts w:hint="eastAsia"/>
          <w:color w:val="auto"/>
          <w:sz w:val="24"/>
          <w:szCs w:val="24"/>
          <w:highlight w:val="none"/>
        </w:rPr>
        <w:t>对中标公告内容有异议的，应在公告发布之日起7个工作日内，按如下联系方式以书面形式向</w:t>
      </w:r>
      <w:r>
        <w:rPr>
          <w:rFonts w:hint="eastAsia"/>
          <w:color w:val="auto"/>
          <w:sz w:val="24"/>
          <w:szCs w:val="24"/>
          <w:highlight w:val="none"/>
          <w:lang w:eastAsia="zh-CN"/>
        </w:rPr>
        <w:t>招标人</w:t>
      </w:r>
      <w:r>
        <w:rPr>
          <w:rFonts w:hint="eastAsia"/>
          <w:color w:val="auto"/>
          <w:sz w:val="24"/>
          <w:szCs w:val="24"/>
          <w:highlight w:val="none"/>
        </w:rPr>
        <w:t>或采购代理机构提出质疑。</w:t>
      </w:r>
      <w:r>
        <w:rPr>
          <w:rFonts w:hint="eastAsia"/>
          <w:color w:val="auto"/>
          <w:sz w:val="24"/>
          <w:szCs w:val="24"/>
          <w:highlight w:val="none"/>
          <w:lang w:eastAsia="zh-CN"/>
        </w:rPr>
        <w:t>招标人</w:t>
      </w:r>
      <w:r>
        <w:rPr>
          <w:rFonts w:hint="eastAsia"/>
          <w:color w:val="auto"/>
          <w:sz w:val="24"/>
          <w:szCs w:val="24"/>
          <w:highlight w:val="none"/>
        </w:rPr>
        <w:t>或采购代理机构应在收到</w:t>
      </w:r>
      <w:r>
        <w:rPr>
          <w:rFonts w:hint="eastAsia"/>
          <w:color w:val="auto"/>
          <w:sz w:val="24"/>
          <w:szCs w:val="24"/>
          <w:highlight w:val="none"/>
          <w:lang w:eastAsia="zh-CN"/>
        </w:rPr>
        <w:t>供应商</w:t>
      </w:r>
      <w:r>
        <w:rPr>
          <w:rFonts w:hint="eastAsia"/>
          <w:color w:val="auto"/>
          <w:sz w:val="24"/>
          <w:szCs w:val="24"/>
          <w:highlight w:val="none"/>
        </w:rPr>
        <w:t>书面质疑后7个工作日内，对质疑内容作出答复。</w:t>
      </w:r>
    </w:p>
    <w:p w14:paraId="6B771273">
      <w:pPr>
        <w:shd w:val="clear" w:fill="FFFFFF" w:themeFill="background1"/>
        <w:snapToGrid w:val="0"/>
        <w:spacing w:before="50" w:line="360" w:lineRule="auto"/>
        <w:ind w:firstLine="752" w:firstLineChars="312"/>
        <w:rPr>
          <w:rFonts w:ascii="宋体" w:hAnsi="宋体" w:cs="Tahoma"/>
          <w:b/>
          <w:color w:val="auto"/>
          <w:sz w:val="24"/>
          <w:highlight w:val="none"/>
        </w:rPr>
      </w:pPr>
      <w:r>
        <w:rPr>
          <w:rFonts w:hint="eastAsia" w:ascii="宋体" w:hAnsi="宋体" w:cs="Tahoma"/>
          <w:b/>
          <w:color w:val="auto"/>
          <w:sz w:val="24"/>
          <w:highlight w:val="none"/>
        </w:rPr>
        <w:t>质疑联系方式：</w:t>
      </w:r>
    </w:p>
    <w:p w14:paraId="70E9498D">
      <w:pPr>
        <w:pStyle w:val="6"/>
        <w:keepNext w:val="0"/>
        <w:keepLines w:val="0"/>
        <w:pageBreakBefore w:val="0"/>
        <w:shd w:val="clear" w:fill="FFFFFF" w:themeFill="background1"/>
        <w:kinsoku/>
        <w:overflowPunct/>
        <w:topLinePunct w:val="0"/>
        <w:autoSpaceDE/>
        <w:autoSpaceDN/>
        <w:bidi w:val="0"/>
        <w:adjustRightInd/>
        <w:snapToGrid/>
        <w:spacing w:line="360" w:lineRule="auto"/>
        <w:ind w:firstLine="720" w:firstLineChars="300"/>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名称：</w:t>
      </w:r>
      <w:r>
        <w:rPr>
          <w:rFonts w:hint="eastAsia" w:ascii="宋体" w:hAnsi="宋体" w:cs="宋体"/>
          <w:color w:val="auto"/>
          <w:sz w:val="24"/>
          <w:szCs w:val="24"/>
          <w:highlight w:val="none"/>
          <w:lang w:eastAsia="zh-CN"/>
        </w:rPr>
        <w:t>和硕县教育和科学技术局</w:t>
      </w:r>
    </w:p>
    <w:p w14:paraId="20BB628A">
      <w:pPr>
        <w:shd w:val="clear" w:fill="FFFFFF" w:themeFill="background1"/>
        <w:snapToGrid w:val="0"/>
        <w:spacing w:before="50" w:line="360" w:lineRule="auto"/>
        <w:ind w:firstLine="748" w:firstLineChars="312"/>
        <w:rPr>
          <w:rFonts w:hint="eastAsia" w:ascii="宋体" w:hAnsi="宋体"/>
          <w:color w:val="auto"/>
          <w:sz w:val="24"/>
          <w:szCs w:val="24"/>
          <w:highlight w:val="none"/>
          <w:lang w:val="en-US" w:eastAsia="zh-CN"/>
        </w:rPr>
      </w:pPr>
      <w:r>
        <w:rPr>
          <w:rFonts w:hint="eastAsia" w:ascii="宋体" w:hAnsi="宋体"/>
          <w:color w:val="auto"/>
          <w:sz w:val="24"/>
          <w:szCs w:val="24"/>
          <w:highlight w:val="none"/>
          <w:lang w:eastAsia="zh-CN"/>
        </w:rPr>
        <w:t>招标人</w:t>
      </w:r>
      <w:r>
        <w:rPr>
          <w:rFonts w:ascii="宋体" w:hAnsi="宋体"/>
          <w:color w:val="auto"/>
          <w:sz w:val="24"/>
          <w:szCs w:val="24"/>
          <w:highlight w:val="none"/>
        </w:rPr>
        <w:t>地</w:t>
      </w:r>
      <w:r>
        <w:rPr>
          <w:rFonts w:hint="eastAsia" w:ascii="宋体" w:hAnsi="宋体"/>
          <w:color w:val="auto"/>
          <w:sz w:val="24"/>
          <w:szCs w:val="24"/>
          <w:highlight w:val="none"/>
        </w:rPr>
        <w:t>址</w:t>
      </w:r>
      <w:r>
        <w:rPr>
          <w:rFonts w:ascii="宋体" w:hAnsi="宋体"/>
          <w:color w:val="auto"/>
          <w:sz w:val="24"/>
          <w:szCs w:val="24"/>
          <w:highlight w:val="none"/>
        </w:rPr>
        <w:t>：</w:t>
      </w:r>
      <w:r>
        <w:rPr>
          <w:rFonts w:hint="eastAsia" w:cs="宋体"/>
          <w:color w:val="auto"/>
          <w:sz w:val="24"/>
          <w:szCs w:val="24"/>
          <w:highlight w:val="none"/>
          <w:lang w:eastAsia="zh-CN"/>
        </w:rPr>
        <w:t>和硕县</w:t>
      </w:r>
      <w:r>
        <w:rPr>
          <w:rFonts w:hint="eastAsia" w:cs="宋体"/>
          <w:color w:val="auto"/>
          <w:sz w:val="24"/>
          <w:szCs w:val="24"/>
          <w:highlight w:val="none"/>
          <w:lang w:val="en-US" w:eastAsia="zh-CN"/>
        </w:rPr>
        <w:t>石材大道移动公司旁</w:t>
      </w:r>
    </w:p>
    <w:p w14:paraId="6EE2E518">
      <w:pPr>
        <w:shd w:val="clear" w:fill="FFFFFF" w:themeFill="background1"/>
        <w:snapToGrid w:val="0"/>
        <w:spacing w:before="50" w:line="360" w:lineRule="auto"/>
        <w:ind w:firstLine="748" w:firstLineChars="312"/>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采购单位联系</w:t>
      </w:r>
      <w:r>
        <w:rPr>
          <w:rFonts w:ascii="宋体" w:hAnsi="宋体"/>
          <w:color w:val="auto"/>
          <w:sz w:val="24"/>
          <w:szCs w:val="24"/>
          <w:highlight w:val="none"/>
        </w:rPr>
        <w:t>人</w:t>
      </w:r>
      <w:r>
        <w:rPr>
          <w:rFonts w:hint="eastAsia" w:ascii="宋体" w:hAnsi="宋体"/>
          <w:color w:val="auto"/>
          <w:sz w:val="24"/>
          <w:szCs w:val="24"/>
          <w:highlight w:val="none"/>
        </w:rPr>
        <w:t>：</w:t>
      </w:r>
      <w:r>
        <w:rPr>
          <w:rFonts w:hint="eastAsia" w:ascii="宋体" w:hAnsi="宋体"/>
          <w:color w:val="auto"/>
          <w:sz w:val="24"/>
          <w:szCs w:val="24"/>
          <w:highlight w:val="none"/>
          <w:lang w:eastAsia="zh-CN"/>
        </w:rPr>
        <w:t>张郎</w:t>
      </w:r>
    </w:p>
    <w:p w14:paraId="0855E3DD">
      <w:pPr>
        <w:shd w:val="clear" w:fill="FFFFFF" w:themeFill="background1"/>
        <w:spacing w:line="440" w:lineRule="exact"/>
        <w:ind w:firstLine="720" w:firstLineChars="300"/>
        <w:rPr>
          <w:rFonts w:hint="default" w:ascii="宋体" w:hAnsi="宋体"/>
          <w:color w:val="auto"/>
          <w:sz w:val="24"/>
          <w:szCs w:val="24"/>
          <w:highlight w:val="none"/>
          <w:lang w:val="en-US"/>
        </w:rPr>
      </w:pPr>
      <w:r>
        <w:rPr>
          <w:rFonts w:hint="eastAsia" w:ascii="宋体" w:hAnsi="宋体"/>
          <w:color w:val="auto"/>
          <w:sz w:val="24"/>
          <w:szCs w:val="24"/>
          <w:highlight w:val="none"/>
        </w:rPr>
        <w:t>采购单位联系</w:t>
      </w:r>
      <w:r>
        <w:rPr>
          <w:rFonts w:ascii="宋体" w:hAnsi="宋体"/>
          <w:color w:val="auto"/>
          <w:sz w:val="24"/>
          <w:szCs w:val="24"/>
          <w:highlight w:val="none"/>
        </w:rPr>
        <w:t>电话：</w:t>
      </w:r>
      <w:r>
        <w:rPr>
          <w:rFonts w:hint="eastAsia" w:ascii="宋体" w:hAnsi="宋体" w:cs="宋体"/>
          <w:color w:val="auto"/>
          <w:sz w:val="24"/>
          <w:szCs w:val="24"/>
          <w:highlight w:val="none"/>
          <w:lang w:val="en-US" w:eastAsia="zh-CN"/>
        </w:rPr>
        <w:t>18096808200</w:t>
      </w:r>
    </w:p>
    <w:p w14:paraId="1D7624F2">
      <w:pPr>
        <w:pStyle w:val="6"/>
        <w:shd w:val="clear" w:fill="FFFFFF" w:themeFill="background1"/>
        <w:rPr>
          <w:color w:val="auto"/>
          <w:highlight w:val="none"/>
        </w:rPr>
      </w:pPr>
    </w:p>
    <w:p w14:paraId="2DAECFE2">
      <w:pPr>
        <w:pStyle w:val="6"/>
        <w:keepNext w:val="0"/>
        <w:keepLines w:val="0"/>
        <w:pageBreakBefore w:val="0"/>
        <w:shd w:val="clear" w:fill="FFFFFF" w:themeFill="background1"/>
        <w:kinsoku/>
        <w:overflowPunct/>
        <w:topLinePunct w:val="0"/>
        <w:autoSpaceDE/>
        <w:autoSpaceDN/>
        <w:bidi w:val="0"/>
        <w:adjustRightInd/>
        <w:snapToGrid/>
        <w:spacing w:line="360" w:lineRule="auto"/>
        <w:ind w:firstLine="720" w:firstLineChars="3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采购代理机构：</w:t>
      </w:r>
      <w:r>
        <w:rPr>
          <w:rFonts w:hint="eastAsia" w:ascii="宋体" w:hAnsi="宋体" w:cs="宋体"/>
          <w:color w:val="auto"/>
          <w:kern w:val="0"/>
          <w:sz w:val="24"/>
          <w:szCs w:val="24"/>
          <w:highlight w:val="none"/>
          <w:lang w:eastAsia="zh-CN"/>
        </w:rPr>
        <w:t>新疆益双工程管理有限公司</w:t>
      </w:r>
    </w:p>
    <w:p w14:paraId="5174E3C4">
      <w:pPr>
        <w:shd w:val="clear" w:fill="FFFFFF" w:themeFill="background1"/>
        <w:snapToGrid w:val="0"/>
        <w:spacing w:before="50" w:line="360" w:lineRule="auto"/>
        <w:ind w:firstLine="748" w:firstLineChars="312"/>
        <w:rPr>
          <w:rFonts w:hint="default" w:ascii="宋体" w:hAnsi="宋体"/>
          <w:color w:val="auto"/>
          <w:sz w:val="24"/>
          <w:szCs w:val="24"/>
          <w:highlight w:val="none"/>
          <w:lang w:val="en-US"/>
        </w:rPr>
      </w:pPr>
      <w:r>
        <w:rPr>
          <w:rFonts w:hint="eastAsia" w:ascii="宋体" w:hAnsi="宋体"/>
          <w:color w:val="auto"/>
          <w:sz w:val="24"/>
          <w:szCs w:val="24"/>
          <w:highlight w:val="none"/>
        </w:rPr>
        <w:t>采购代理机构地址：</w:t>
      </w:r>
      <w:r>
        <w:rPr>
          <w:rFonts w:hint="eastAsia"/>
          <w:color w:val="auto"/>
          <w:kern w:val="2"/>
          <w:sz w:val="24"/>
          <w:szCs w:val="24"/>
          <w:highlight w:val="none"/>
          <w:lang w:val="en-US" w:eastAsia="zh-CN" w:bidi="ar-SA"/>
        </w:rPr>
        <w:t>库尔勒市铁克其路冠农汇景台门面房3栋3层</w:t>
      </w:r>
    </w:p>
    <w:p w14:paraId="2EAFA69F">
      <w:pPr>
        <w:shd w:val="clear" w:color="auto" w:fill="FFFFFF" w:themeFill="background1"/>
        <w:snapToGrid w:val="0"/>
        <w:spacing w:before="50" w:line="360" w:lineRule="auto"/>
        <w:ind w:firstLine="748" w:firstLineChars="312"/>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联系电话：</w:t>
      </w:r>
      <w:r>
        <w:rPr>
          <w:rFonts w:hint="eastAsia" w:ascii="宋体" w:hAnsi="宋体"/>
          <w:color w:val="auto"/>
          <w:sz w:val="24"/>
          <w:szCs w:val="24"/>
          <w:highlight w:val="none"/>
          <w:lang w:val="en-US" w:eastAsia="zh-CN"/>
        </w:rPr>
        <w:t>15209960114</w:t>
      </w:r>
    </w:p>
    <w:p w14:paraId="3B318ED9">
      <w:pPr>
        <w:shd w:val="clear" w:color="auto" w:fill="FFFFFF" w:themeFill="background1"/>
        <w:snapToGrid w:val="0"/>
        <w:spacing w:before="50" w:line="360" w:lineRule="auto"/>
        <w:ind w:firstLine="748" w:firstLineChars="312"/>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李文</w:t>
      </w:r>
    </w:p>
    <w:p w14:paraId="35062912">
      <w:pPr>
        <w:shd w:val="clear" w:fill="FFFFFF" w:themeFill="background1"/>
        <w:snapToGrid w:val="0"/>
        <w:spacing w:before="50" w:line="360" w:lineRule="auto"/>
        <w:ind w:firstLine="748" w:firstLineChars="312"/>
        <w:rPr>
          <w:rFonts w:ascii="宋体" w:hAnsi="宋体"/>
          <w:color w:val="auto"/>
          <w:sz w:val="24"/>
          <w:szCs w:val="24"/>
          <w:highlight w:val="none"/>
        </w:rPr>
      </w:pPr>
      <w:r>
        <w:rPr>
          <w:rFonts w:hint="eastAsia" w:ascii="宋体" w:hAnsi="宋体"/>
          <w:color w:val="auto"/>
          <w:sz w:val="24"/>
          <w:szCs w:val="24"/>
          <w:highlight w:val="none"/>
        </w:rPr>
        <w:t>邮编：841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00</w:t>
      </w:r>
    </w:p>
    <w:p w14:paraId="42DB1096">
      <w:pPr>
        <w:numPr>
          <w:ilvl w:val="1"/>
          <w:numId w:val="2"/>
        </w:numPr>
        <w:shd w:val="clear" w:fill="FFFFFF" w:themeFill="background1"/>
        <w:tabs>
          <w:tab w:val="left" w:pos="567"/>
          <w:tab w:val="clear" w:pos="289"/>
        </w:tabs>
        <w:spacing w:line="360" w:lineRule="auto"/>
        <w:ind w:left="567"/>
        <w:outlineLvl w:val="3"/>
        <w:rPr>
          <w:b/>
          <w:color w:val="auto"/>
          <w:sz w:val="24"/>
          <w:szCs w:val="24"/>
          <w:highlight w:val="none"/>
        </w:rPr>
      </w:pPr>
      <w:r>
        <w:rPr>
          <w:rFonts w:hint="eastAsia"/>
          <w:b/>
          <w:color w:val="auto"/>
          <w:sz w:val="24"/>
          <w:szCs w:val="24"/>
          <w:highlight w:val="none"/>
          <w:lang w:eastAsia="zh-CN"/>
        </w:rPr>
        <w:t>成交通知书</w:t>
      </w:r>
    </w:p>
    <w:p w14:paraId="0EF1AB9C">
      <w:pPr>
        <w:numPr>
          <w:ilvl w:val="2"/>
          <w:numId w:val="2"/>
        </w:numPr>
        <w:shd w:val="clear" w:fill="FFFFFF" w:themeFill="background1"/>
        <w:tabs>
          <w:tab w:val="left" w:pos="624"/>
          <w:tab w:val="left" w:pos="735"/>
          <w:tab w:val="left" w:pos="1571"/>
          <w:tab w:val="clear" w:pos="1050"/>
        </w:tabs>
        <w:spacing w:line="360" w:lineRule="auto"/>
        <w:ind w:left="735" w:hanging="735"/>
        <w:rPr>
          <w:color w:val="auto"/>
          <w:sz w:val="24"/>
          <w:szCs w:val="24"/>
          <w:highlight w:val="none"/>
        </w:rPr>
      </w:pPr>
      <w:r>
        <w:rPr>
          <w:rFonts w:hint="eastAsia"/>
          <w:color w:val="auto"/>
          <w:sz w:val="24"/>
          <w:szCs w:val="24"/>
          <w:highlight w:val="none"/>
        </w:rPr>
        <w:t>中标结果公告发布的同时，采购代理机构以书面形式向</w:t>
      </w:r>
      <w:r>
        <w:rPr>
          <w:rFonts w:hint="eastAsia"/>
          <w:color w:val="auto"/>
          <w:sz w:val="24"/>
          <w:szCs w:val="24"/>
          <w:highlight w:val="none"/>
          <w:lang w:eastAsia="zh-CN"/>
        </w:rPr>
        <w:t>中标人</w:t>
      </w:r>
      <w:r>
        <w:rPr>
          <w:rFonts w:hint="eastAsia"/>
          <w:color w:val="auto"/>
          <w:sz w:val="24"/>
          <w:szCs w:val="24"/>
          <w:highlight w:val="none"/>
        </w:rPr>
        <w:t>发出依法确认的《</w:t>
      </w:r>
      <w:r>
        <w:rPr>
          <w:rFonts w:hint="eastAsia"/>
          <w:color w:val="auto"/>
          <w:sz w:val="24"/>
          <w:szCs w:val="24"/>
          <w:highlight w:val="none"/>
          <w:lang w:eastAsia="zh-CN"/>
        </w:rPr>
        <w:t>成交通知书</w:t>
      </w:r>
      <w:r>
        <w:rPr>
          <w:rFonts w:hint="eastAsia"/>
          <w:color w:val="auto"/>
          <w:sz w:val="24"/>
          <w:szCs w:val="24"/>
          <w:highlight w:val="none"/>
        </w:rPr>
        <w:t>》。</w:t>
      </w:r>
    </w:p>
    <w:p w14:paraId="3D432960">
      <w:pPr>
        <w:numPr>
          <w:ilvl w:val="2"/>
          <w:numId w:val="2"/>
        </w:numPr>
        <w:shd w:val="clear" w:fill="FFFFFF" w:themeFill="background1"/>
        <w:tabs>
          <w:tab w:val="left" w:pos="624"/>
          <w:tab w:val="left" w:pos="735"/>
          <w:tab w:val="left" w:pos="1571"/>
          <w:tab w:val="clear" w:pos="1050"/>
        </w:tabs>
        <w:spacing w:line="360" w:lineRule="auto"/>
        <w:ind w:left="735" w:hanging="735"/>
        <w:rPr>
          <w:color w:val="auto"/>
          <w:sz w:val="24"/>
          <w:szCs w:val="24"/>
          <w:highlight w:val="none"/>
        </w:rPr>
      </w:pPr>
      <w:r>
        <w:rPr>
          <w:rFonts w:hint="eastAsia"/>
          <w:color w:val="auto"/>
          <w:sz w:val="24"/>
          <w:szCs w:val="24"/>
          <w:highlight w:val="none"/>
        </w:rPr>
        <w:t>《</w:t>
      </w:r>
      <w:r>
        <w:rPr>
          <w:rFonts w:hint="eastAsia"/>
          <w:color w:val="auto"/>
          <w:sz w:val="24"/>
          <w:szCs w:val="24"/>
          <w:highlight w:val="none"/>
          <w:lang w:eastAsia="zh-CN"/>
        </w:rPr>
        <w:t>成交通知书</w:t>
      </w:r>
      <w:r>
        <w:rPr>
          <w:rFonts w:hint="eastAsia"/>
          <w:color w:val="auto"/>
          <w:sz w:val="24"/>
          <w:szCs w:val="24"/>
          <w:highlight w:val="none"/>
        </w:rPr>
        <w:t>》将是合同的一个组成部分，对</w:t>
      </w:r>
      <w:r>
        <w:rPr>
          <w:rFonts w:hint="eastAsia"/>
          <w:color w:val="auto"/>
          <w:sz w:val="24"/>
          <w:szCs w:val="24"/>
          <w:highlight w:val="none"/>
          <w:lang w:eastAsia="zh-CN"/>
        </w:rPr>
        <w:t>招标人</w:t>
      </w:r>
      <w:r>
        <w:rPr>
          <w:rFonts w:hint="eastAsia"/>
          <w:color w:val="auto"/>
          <w:sz w:val="24"/>
          <w:szCs w:val="24"/>
          <w:highlight w:val="none"/>
        </w:rPr>
        <w:t>和</w:t>
      </w:r>
      <w:r>
        <w:rPr>
          <w:rFonts w:hint="eastAsia"/>
          <w:color w:val="auto"/>
          <w:sz w:val="24"/>
          <w:szCs w:val="24"/>
          <w:highlight w:val="none"/>
          <w:lang w:eastAsia="zh-CN"/>
        </w:rPr>
        <w:t>中标人</w:t>
      </w:r>
      <w:r>
        <w:rPr>
          <w:rFonts w:hint="eastAsia"/>
          <w:color w:val="auto"/>
          <w:sz w:val="24"/>
          <w:szCs w:val="24"/>
          <w:highlight w:val="none"/>
        </w:rPr>
        <w:t>具有同等法律效力；《</w:t>
      </w:r>
      <w:r>
        <w:rPr>
          <w:rFonts w:hint="eastAsia"/>
          <w:color w:val="auto"/>
          <w:sz w:val="24"/>
          <w:szCs w:val="24"/>
          <w:highlight w:val="none"/>
          <w:lang w:eastAsia="zh-CN"/>
        </w:rPr>
        <w:t>成交通知书</w:t>
      </w:r>
      <w:r>
        <w:rPr>
          <w:rFonts w:hint="eastAsia"/>
          <w:color w:val="auto"/>
          <w:sz w:val="24"/>
          <w:szCs w:val="24"/>
          <w:highlight w:val="none"/>
        </w:rPr>
        <w:t>》发出后，</w:t>
      </w:r>
      <w:r>
        <w:rPr>
          <w:rFonts w:hint="eastAsia"/>
          <w:color w:val="auto"/>
          <w:sz w:val="24"/>
          <w:szCs w:val="24"/>
          <w:highlight w:val="none"/>
          <w:lang w:eastAsia="zh-CN"/>
        </w:rPr>
        <w:t>招标人</w:t>
      </w:r>
      <w:r>
        <w:rPr>
          <w:rFonts w:hint="eastAsia"/>
          <w:color w:val="auto"/>
          <w:sz w:val="24"/>
          <w:szCs w:val="24"/>
          <w:highlight w:val="none"/>
        </w:rPr>
        <w:t>改变中标结果，或者</w:t>
      </w:r>
      <w:r>
        <w:rPr>
          <w:rFonts w:hint="eastAsia"/>
          <w:color w:val="auto"/>
          <w:sz w:val="24"/>
          <w:szCs w:val="24"/>
          <w:highlight w:val="none"/>
          <w:lang w:eastAsia="zh-CN"/>
        </w:rPr>
        <w:t>中标人</w:t>
      </w:r>
      <w:r>
        <w:rPr>
          <w:rFonts w:hint="eastAsia"/>
          <w:color w:val="auto"/>
          <w:sz w:val="24"/>
          <w:szCs w:val="24"/>
          <w:highlight w:val="none"/>
        </w:rPr>
        <w:t>放弃中标的，均应承担相应的法律责任。</w:t>
      </w:r>
    </w:p>
    <w:p w14:paraId="479EF794">
      <w:pPr>
        <w:numPr>
          <w:ilvl w:val="2"/>
          <w:numId w:val="2"/>
        </w:numPr>
        <w:shd w:val="clear" w:fill="FFFFFF" w:themeFill="background1"/>
        <w:tabs>
          <w:tab w:val="left" w:pos="624"/>
          <w:tab w:val="left" w:pos="735"/>
          <w:tab w:val="left" w:pos="1571"/>
          <w:tab w:val="clear" w:pos="1050"/>
        </w:tabs>
        <w:spacing w:line="360" w:lineRule="auto"/>
        <w:ind w:left="735" w:hanging="735"/>
        <w:rPr>
          <w:color w:val="auto"/>
          <w:sz w:val="24"/>
          <w:szCs w:val="24"/>
          <w:highlight w:val="none"/>
        </w:rPr>
      </w:pPr>
      <w:r>
        <w:rPr>
          <w:rFonts w:hint="eastAsia"/>
          <w:color w:val="auto"/>
          <w:sz w:val="24"/>
          <w:szCs w:val="24"/>
          <w:highlight w:val="none"/>
        </w:rPr>
        <w:t>采购代理机构在向</w:t>
      </w:r>
      <w:r>
        <w:rPr>
          <w:rFonts w:hint="eastAsia"/>
          <w:color w:val="auto"/>
          <w:sz w:val="24"/>
          <w:szCs w:val="24"/>
          <w:highlight w:val="none"/>
          <w:lang w:eastAsia="zh-CN"/>
        </w:rPr>
        <w:t>中标人</w:t>
      </w:r>
      <w:r>
        <w:rPr>
          <w:rFonts w:hint="eastAsia"/>
          <w:color w:val="auto"/>
          <w:sz w:val="24"/>
          <w:szCs w:val="24"/>
          <w:highlight w:val="none"/>
        </w:rPr>
        <w:t>发出《</w:t>
      </w:r>
      <w:r>
        <w:rPr>
          <w:rFonts w:hint="eastAsia"/>
          <w:color w:val="auto"/>
          <w:sz w:val="24"/>
          <w:szCs w:val="24"/>
          <w:highlight w:val="none"/>
          <w:lang w:eastAsia="zh-CN"/>
        </w:rPr>
        <w:t>成交通知书</w:t>
      </w:r>
      <w:r>
        <w:rPr>
          <w:rFonts w:hint="eastAsia"/>
          <w:color w:val="auto"/>
          <w:sz w:val="24"/>
          <w:szCs w:val="24"/>
          <w:highlight w:val="none"/>
        </w:rPr>
        <w:t>》的同时，发布《招标结果公告》，将招标结果通知未</w:t>
      </w:r>
      <w:r>
        <w:rPr>
          <w:rFonts w:hint="eastAsia"/>
          <w:color w:val="auto"/>
          <w:sz w:val="24"/>
          <w:szCs w:val="24"/>
          <w:highlight w:val="none"/>
          <w:lang w:eastAsia="zh-CN"/>
        </w:rPr>
        <w:t>中标人</w:t>
      </w:r>
      <w:r>
        <w:rPr>
          <w:rFonts w:hint="eastAsia"/>
          <w:color w:val="auto"/>
          <w:sz w:val="24"/>
          <w:szCs w:val="24"/>
          <w:highlight w:val="none"/>
        </w:rPr>
        <w:t>。</w:t>
      </w:r>
    </w:p>
    <w:p w14:paraId="42082D38">
      <w:pPr>
        <w:numPr>
          <w:ilvl w:val="1"/>
          <w:numId w:val="2"/>
        </w:numPr>
        <w:shd w:val="clear" w:fill="FFFFFF" w:themeFill="background1"/>
        <w:tabs>
          <w:tab w:val="left" w:pos="567"/>
          <w:tab w:val="clear" w:pos="289"/>
        </w:tabs>
        <w:spacing w:line="360" w:lineRule="auto"/>
        <w:ind w:left="567"/>
        <w:outlineLvl w:val="3"/>
        <w:rPr>
          <w:b/>
          <w:color w:val="auto"/>
          <w:sz w:val="24"/>
          <w:szCs w:val="24"/>
          <w:highlight w:val="none"/>
        </w:rPr>
      </w:pPr>
      <w:r>
        <w:rPr>
          <w:rFonts w:hint="eastAsia"/>
          <w:b/>
          <w:color w:val="auto"/>
          <w:sz w:val="24"/>
          <w:szCs w:val="24"/>
          <w:highlight w:val="none"/>
        </w:rPr>
        <w:t>签订合同</w:t>
      </w:r>
      <w:r>
        <w:rPr>
          <w:rFonts w:hint="eastAsia" w:ascii="宋体" w:hAnsi="宋体"/>
          <w:b/>
          <w:bCs/>
          <w:color w:val="auto"/>
          <w:sz w:val="24"/>
          <w:szCs w:val="24"/>
          <w:highlight w:val="none"/>
        </w:rPr>
        <w:t>（实质性要求）</w:t>
      </w:r>
    </w:p>
    <w:p w14:paraId="6D1C97F5">
      <w:pPr>
        <w:numPr>
          <w:ilvl w:val="2"/>
          <w:numId w:val="2"/>
        </w:numPr>
        <w:shd w:val="clear" w:fill="FFFFFF" w:themeFill="background1"/>
        <w:tabs>
          <w:tab w:val="left" w:pos="624"/>
          <w:tab w:val="left" w:pos="735"/>
          <w:tab w:val="left" w:pos="1571"/>
          <w:tab w:val="clear" w:pos="1050"/>
        </w:tabs>
        <w:spacing w:line="360" w:lineRule="auto"/>
        <w:ind w:left="735" w:hanging="735"/>
        <w:rPr>
          <w:color w:val="auto"/>
          <w:sz w:val="24"/>
          <w:szCs w:val="24"/>
          <w:highlight w:val="none"/>
        </w:rPr>
      </w:pPr>
      <w:r>
        <w:rPr>
          <w:rFonts w:hint="eastAsia"/>
          <w:color w:val="auto"/>
          <w:sz w:val="24"/>
          <w:szCs w:val="24"/>
          <w:highlight w:val="none"/>
        </w:rPr>
        <w:t>中标人在收到《</w:t>
      </w:r>
      <w:r>
        <w:rPr>
          <w:rFonts w:hint="eastAsia"/>
          <w:color w:val="auto"/>
          <w:sz w:val="24"/>
          <w:szCs w:val="24"/>
          <w:highlight w:val="none"/>
          <w:lang w:eastAsia="zh-CN"/>
        </w:rPr>
        <w:t>成交通知书</w:t>
      </w:r>
      <w:r>
        <w:rPr>
          <w:rFonts w:hint="eastAsia"/>
          <w:color w:val="auto"/>
          <w:sz w:val="24"/>
          <w:szCs w:val="24"/>
          <w:highlight w:val="none"/>
        </w:rPr>
        <w:t>》后，应按照《</w:t>
      </w:r>
      <w:r>
        <w:rPr>
          <w:rFonts w:hint="eastAsia"/>
          <w:color w:val="auto"/>
          <w:sz w:val="24"/>
          <w:szCs w:val="24"/>
          <w:highlight w:val="none"/>
          <w:lang w:eastAsia="zh-CN"/>
        </w:rPr>
        <w:t>成交通知书</w:t>
      </w:r>
      <w:r>
        <w:rPr>
          <w:rFonts w:hint="eastAsia"/>
          <w:color w:val="auto"/>
          <w:sz w:val="24"/>
          <w:szCs w:val="24"/>
          <w:highlight w:val="none"/>
        </w:rPr>
        <w:t>》指定的时间、地点，派遣其授权代表与</w:t>
      </w:r>
      <w:r>
        <w:rPr>
          <w:rFonts w:hint="eastAsia"/>
          <w:color w:val="auto"/>
          <w:sz w:val="24"/>
          <w:szCs w:val="24"/>
          <w:highlight w:val="none"/>
          <w:lang w:eastAsia="zh-CN"/>
        </w:rPr>
        <w:t>招标人</w:t>
      </w:r>
      <w:r>
        <w:rPr>
          <w:rFonts w:hint="eastAsia"/>
          <w:color w:val="auto"/>
          <w:sz w:val="24"/>
          <w:szCs w:val="24"/>
          <w:highlight w:val="none"/>
        </w:rPr>
        <w:t>签署合同。</w:t>
      </w:r>
    </w:p>
    <w:p w14:paraId="400DF39D">
      <w:pPr>
        <w:numPr>
          <w:ilvl w:val="2"/>
          <w:numId w:val="2"/>
        </w:numPr>
        <w:shd w:val="clear" w:fill="FFFFFF" w:themeFill="background1"/>
        <w:tabs>
          <w:tab w:val="left" w:pos="624"/>
          <w:tab w:val="left" w:pos="735"/>
          <w:tab w:val="left" w:pos="1571"/>
          <w:tab w:val="clear" w:pos="1050"/>
        </w:tabs>
        <w:snapToGrid w:val="0"/>
        <w:spacing w:line="240" w:lineRule="auto"/>
        <w:ind w:left="735" w:hanging="735"/>
        <w:rPr>
          <w:color w:val="auto"/>
          <w:sz w:val="24"/>
          <w:szCs w:val="24"/>
          <w:highlight w:val="none"/>
        </w:rPr>
      </w:pPr>
      <w:r>
        <w:rPr>
          <w:rFonts w:hint="eastAsia"/>
          <w:color w:val="auto"/>
          <w:sz w:val="24"/>
          <w:szCs w:val="24"/>
          <w:highlight w:val="none"/>
        </w:rPr>
        <w:t>合同的组成基于但不限于以下部分：</w:t>
      </w:r>
    </w:p>
    <w:p w14:paraId="008DC193">
      <w:pPr>
        <w:widowControl/>
        <w:numPr>
          <w:ilvl w:val="0"/>
          <w:numId w:val="4"/>
        </w:numPr>
        <w:shd w:val="clear" w:fill="FFFFFF" w:themeFill="background1"/>
        <w:tabs>
          <w:tab w:val="left" w:pos="720"/>
          <w:tab w:val="left" w:pos="1418"/>
          <w:tab w:val="clear" w:pos="1080"/>
        </w:tabs>
        <w:spacing w:line="480" w:lineRule="exact"/>
        <w:ind w:left="1148" w:leftChars="356" w:hanging="400" w:hangingChars="167"/>
        <w:jc w:val="left"/>
        <w:rPr>
          <w:color w:val="auto"/>
          <w:sz w:val="24"/>
          <w:szCs w:val="24"/>
          <w:highlight w:val="none"/>
        </w:rPr>
      </w:pPr>
      <w:r>
        <w:rPr>
          <w:rFonts w:hint="eastAsia"/>
          <w:color w:val="auto"/>
          <w:sz w:val="24"/>
          <w:szCs w:val="24"/>
          <w:highlight w:val="none"/>
        </w:rPr>
        <w:t>《合同》；</w:t>
      </w:r>
    </w:p>
    <w:p w14:paraId="6A68E12D">
      <w:pPr>
        <w:widowControl/>
        <w:numPr>
          <w:ilvl w:val="0"/>
          <w:numId w:val="4"/>
        </w:numPr>
        <w:shd w:val="clear" w:fill="FFFFFF" w:themeFill="background1"/>
        <w:tabs>
          <w:tab w:val="left" w:pos="720"/>
          <w:tab w:val="left" w:pos="1418"/>
          <w:tab w:val="clear" w:pos="1080"/>
        </w:tabs>
        <w:spacing w:line="480" w:lineRule="exact"/>
        <w:ind w:left="1148" w:leftChars="356" w:hanging="400" w:hangingChars="167"/>
        <w:jc w:val="left"/>
        <w:rPr>
          <w:color w:val="auto"/>
          <w:sz w:val="24"/>
          <w:szCs w:val="24"/>
          <w:highlight w:val="none"/>
        </w:rPr>
      </w:pPr>
      <w:r>
        <w:rPr>
          <w:rFonts w:hint="eastAsia"/>
          <w:color w:val="auto"/>
          <w:sz w:val="24"/>
          <w:szCs w:val="24"/>
          <w:highlight w:val="none"/>
          <w:lang w:eastAsia="zh-CN"/>
        </w:rPr>
        <w:t>招标文件</w:t>
      </w:r>
      <w:r>
        <w:rPr>
          <w:rFonts w:hint="eastAsia"/>
          <w:color w:val="auto"/>
          <w:sz w:val="24"/>
          <w:szCs w:val="24"/>
          <w:highlight w:val="none"/>
        </w:rPr>
        <w:t>及其澄清、补充文件；</w:t>
      </w:r>
    </w:p>
    <w:p w14:paraId="3C2D8DDC">
      <w:pPr>
        <w:widowControl/>
        <w:numPr>
          <w:ilvl w:val="0"/>
          <w:numId w:val="4"/>
        </w:numPr>
        <w:shd w:val="clear" w:fill="FFFFFF" w:themeFill="background1"/>
        <w:tabs>
          <w:tab w:val="left" w:pos="720"/>
          <w:tab w:val="left" w:pos="1418"/>
          <w:tab w:val="clear" w:pos="1080"/>
        </w:tabs>
        <w:spacing w:line="480" w:lineRule="exact"/>
        <w:ind w:left="1148" w:leftChars="356" w:hanging="400" w:hangingChars="167"/>
        <w:jc w:val="left"/>
        <w:rPr>
          <w:color w:val="auto"/>
          <w:sz w:val="24"/>
          <w:szCs w:val="24"/>
          <w:highlight w:val="none"/>
        </w:rPr>
      </w:pPr>
      <w:r>
        <w:rPr>
          <w:rFonts w:hint="eastAsia"/>
          <w:color w:val="auto"/>
          <w:sz w:val="24"/>
          <w:szCs w:val="24"/>
          <w:highlight w:val="none"/>
        </w:rPr>
        <w:t>中标人的投标文件及其澄清、补充文件；</w:t>
      </w:r>
    </w:p>
    <w:p w14:paraId="159B87C0">
      <w:pPr>
        <w:widowControl/>
        <w:numPr>
          <w:ilvl w:val="0"/>
          <w:numId w:val="4"/>
        </w:numPr>
        <w:shd w:val="clear" w:fill="FFFFFF" w:themeFill="background1"/>
        <w:tabs>
          <w:tab w:val="left" w:pos="720"/>
          <w:tab w:val="left" w:pos="1418"/>
          <w:tab w:val="clear" w:pos="1080"/>
        </w:tabs>
        <w:spacing w:afterAutospacing="0" w:line="480" w:lineRule="exact"/>
        <w:ind w:left="1148" w:leftChars="356" w:hanging="400" w:hangingChars="167"/>
        <w:jc w:val="left"/>
        <w:rPr>
          <w:rFonts w:ascii="宋体" w:hAnsi="宋体"/>
          <w:b/>
          <w:color w:val="auto"/>
          <w:sz w:val="24"/>
          <w:highlight w:val="none"/>
        </w:rPr>
      </w:pPr>
      <w:r>
        <w:rPr>
          <w:rFonts w:hint="eastAsia"/>
          <w:color w:val="auto"/>
          <w:sz w:val="24"/>
          <w:szCs w:val="24"/>
          <w:highlight w:val="none"/>
          <w:lang w:eastAsia="zh-CN"/>
        </w:rPr>
        <w:t>成交通知书</w:t>
      </w:r>
      <w:r>
        <w:rPr>
          <w:rFonts w:hint="eastAsia"/>
          <w:color w:val="auto"/>
          <w:sz w:val="24"/>
          <w:szCs w:val="24"/>
          <w:highlight w:val="none"/>
        </w:rPr>
        <w:t>。</w:t>
      </w:r>
    </w:p>
    <w:p w14:paraId="0511582F">
      <w:pPr>
        <w:pStyle w:val="4"/>
        <w:numPr>
          <w:ilvl w:val="0"/>
          <w:numId w:val="2"/>
        </w:numPr>
        <w:shd w:val="clear" w:fill="FFFFFF" w:themeFill="background1"/>
        <w:tabs>
          <w:tab w:val="left" w:pos="425"/>
          <w:tab w:val="clear" w:pos="147"/>
        </w:tabs>
        <w:spacing w:before="0" w:beforeLines="0" w:beforeAutospacing="0" w:after="0" w:afterLines="0" w:afterAutospacing="0"/>
        <w:ind w:left="425"/>
        <w:rPr>
          <w:rFonts w:hint="eastAsia"/>
          <w:bCs/>
          <w:color w:val="auto"/>
          <w:szCs w:val="24"/>
          <w:highlight w:val="none"/>
        </w:rPr>
      </w:pPr>
      <w:bookmarkStart w:id="201" w:name="_Toc297209420"/>
      <w:bookmarkStart w:id="202" w:name="_Toc498871245"/>
      <w:bookmarkStart w:id="203" w:name="_Toc435629793"/>
      <w:bookmarkStart w:id="204" w:name="_Toc435686981"/>
      <w:bookmarkStart w:id="205" w:name="_Toc458635597"/>
      <w:bookmarkStart w:id="206" w:name="_Toc479340790"/>
      <w:bookmarkStart w:id="207" w:name="_Toc350417826"/>
      <w:bookmarkStart w:id="208" w:name="_Toc470184442"/>
      <w:bookmarkStart w:id="209" w:name="_Toc418023334"/>
      <w:bookmarkStart w:id="210" w:name="_Toc494832088"/>
      <w:bookmarkStart w:id="211" w:name="_Toc31525"/>
      <w:bookmarkStart w:id="212" w:name="_Toc479325593"/>
      <w:bookmarkStart w:id="213" w:name="_Toc380533811"/>
      <w:bookmarkStart w:id="214" w:name="_Toc498899372"/>
      <w:bookmarkStart w:id="215" w:name="_Toc439513446"/>
      <w:bookmarkStart w:id="216" w:name="_Toc343857028"/>
      <w:bookmarkStart w:id="217" w:name="_Toc416208487"/>
      <w:bookmarkStart w:id="218" w:name="_Toc487044253"/>
      <w:bookmarkStart w:id="219" w:name="_Toc356489054"/>
      <w:bookmarkStart w:id="220" w:name="_Toc298920094"/>
      <w:bookmarkStart w:id="221" w:name="_Toc439679269"/>
      <w:bookmarkStart w:id="222" w:name="_Toc458980394"/>
      <w:bookmarkStart w:id="223" w:name="_Toc435687350"/>
      <w:bookmarkStart w:id="224" w:name="_Toc477879841"/>
      <w:bookmarkStart w:id="225" w:name="_Toc12802"/>
      <w:bookmarkStart w:id="226" w:name="_Toc438513735"/>
      <w:bookmarkStart w:id="227" w:name="_Toc422865422"/>
      <w:bookmarkStart w:id="228" w:name="_Toc364846101"/>
      <w:bookmarkStart w:id="229" w:name="_Toc435687276"/>
      <w:bookmarkStart w:id="230" w:name="_Toc422161993"/>
      <w:bookmarkStart w:id="231" w:name="_Toc438508598"/>
      <w:bookmarkStart w:id="232" w:name="_Toc486969380"/>
      <w:bookmarkStart w:id="233" w:name="_Toc438722131"/>
      <w:bookmarkStart w:id="234" w:name="_Toc299108392"/>
      <w:bookmarkStart w:id="235" w:name="_Toc438641466"/>
      <w:bookmarkStart w:id="236" w:name="_Toc365033707"/>
      <w:bookmarkStart w:id="237" w:name="_Toc298829963"/>
      <w:bookmarkStart w:id="238" w:name="_Toc298829722"/>
      <w:bookmarkStart w:id="239" w:name="_Toc425347663"/>
      <w:bookmarkStart w:id="240" w:name="_Toc435629839"/>
      <w:bookmarkStart w:id="241" w:name="_Toc439513162"/>
      <w:bookmarkStart w:id="242" w:name="_Toc518912736"/>
      <w:bookmarkStart w:id="243" w:name="_Toc435623755"/>
      <w:bookmarkStart w:id="244" w:name="_Toc414510781"/>
      <w:bookmarkStart w:id="245" w:name="_Toc298190386"/>
      <w:bookmarkStart w:id="246" w:name="_Toc383124049"/>
      <w:r>
        <w:rPr>
          <w:rFonts w:hint="eastAsia"/>
          <w:bCs/>
          <w:color w:val="auto"/>
          <w:szCs w:val="24"/>
          <w:highlight w:val="none"/>
        </w:rPr>
        <w:t>招标服务费</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0A91D417">
      <w:pPr>
        <w:shd w:val="clear" w:fill="FFFFFF" w:themeFill="background1"/>
        <w:spacing w:beforeAutospacing="0" w:after="50" w:line="400" w:lineRule="exact"/>
        <w:ind w:firstLine="523" w:firstLineChars="218"/>
        <w:rPr>
          <w:rFonts w:hint="eastAsia" w:ascii="宋体" w:hAnsi="宋体" w:eastAsia="宋体"/>
          <w:color w:val="auto"/>
          <w:sz w:val="24"/>
          <w:highlight w:val="none"/>
          <w:lang w:eastAsia="zh-CN"/>
        </w:rPr>
      </w:pPr>
      <w:r>
        <w:rPr>
          <w:rFonts w:ascii="宋体" w:hAnsi="宋体"/>
          <w:color w:val="auto"/>
          <w:sz w:val="24"/>
          <w:highlight w:val="none"/>
        </w:rPr>
        <w:t>中标人须向采购代理机构</w:t>
      </w:r>
      <w:r>
        <w:rPr>
          <w:rFonts w:hint="eastAsia" w:ascii="宋体" w:hAnsi="宋体"/>
          <w:color w:val="auto"/>
          <w:sz w:val="24"/>
          <w:highlight w:val="none"/>
          <w:lang w:val="en-US" w:eastAsia="zh-CN"/>
        </w:rPr>
        <w:t>缴纳</w:t>
      </w:r>
      <w:r>
        <w:rPr>
          <w:rFonts w:ascii="宋体" w:hAnsi="宋体"/>
          <w:color w:val="auto"/>
          <w:sz w:val="24"/>
          <w:highlight w:val="none"/>
        </w:rPr>
        <w:t>的招标服务费，本项目的招标服务费执行以下价格；</w:t>
      </w:r>
    </w:p>
    <w:p w14:paraId="088D10EA">
      <w:pPr>
        <w:keepNext w:val="0"/>
        <w:keepLines w:val="0"/>
        <w:pageBreakBefore w:val="0"/>
        <w:widowControl w:val="0"/>
        <w:shd w:val="clear" w:fill="FFFFFF" w:themeFill="background1"/>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ascii="宋体" w:hAnsi="宋体"/>
          <w:color w:val="auto"/>
          <w:sz w:val="24"/>
          <w:szCs w:val="24"/>
          <w:highlight w:val="none"/>
        </w:rPr>
        <w:t>以预算金额作为收费的计算基数；</w:t>
      </w:r>
    </w:p>
    <w:p w14:paraId="4F47372D">
      <w:pPr>
        <w:keepNext w:val="0"/>
        <w:keepLines w:val="0"/>
        <w:pageBreakBefore w:val="0"/>
        <w:widowControl w:val="0"/>
        <w:shd w:val="clear" w:fill="FFFFFF" w:themeFill="background1"/>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w:t>
      </w:r>
      <w:r>
        <w:rPr>
          <w:rFonts w:ascii="宋体" w:hAnsi="宋体"/>
          <w:color w:val="auto"/>
          <w:sz w:val="24"/>
          <w:szCs w:val="24"/>
          <w:highlight w:val="none"/>
        </w:rPr>
        <w:t>预算金额在100万以下的，招标服务费按1.5%计算；10</w:t>
      </w:r>
      <w:r>
        <w:rPr>
          <w:rFonts w:hint="eastAsia" w:ascii="宋体" w:hAnsi="宋体"/>
          <w:color w:val="auto"/>
          <w:sz w:val="24"/>
          <w:szCs w:val="24"/>
          <w:highlight w:val="none"/>
          <w:lang w:val="en-US" w:eastAsia="zh-CN"/>
        </w:rPr>
        <w:t>0</w:t>
      </w:r>
      <w:r>
        <w:rPr>
          <w:rFonts w:ascii="宋体" w:hAnsi="宋体"/>
          <w:color w:val="auto"/>
          <w:sz w:val="24"/>
          <w:szCs w:val="24"/>
          <w:highlight w:val="none"/>
        </w:rPr>
        <w:t>万到500万的，按</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ascii="宋体" w:hAnsi="宋体"/>
          <w:color w:val="auto"/>
          <w:sz w:val="24"/>
          <w:szCs w:val="24"/>
          <w:highlight w:val="none"/>
        </w:rPr>
        <w:t>%计算…</w:t>
      </w:r>
    </w:p>
    <w:p w14:paraId="3C9B94DF">
      <w:pPr>
        <w:keepNext w:val="0"/>
        <w:keepLines w:val="0"/>
        <w:pageBreakBefore w:val="0"/>
        <w:widowControl w:val="0"/>
        <w:shd w:val="clear" w:fill="FFFFFF" w:themeFill="background1"/>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w:t>
      </w:r>
      <w:r>
        <w:rPr>
          <w:rFonts w:ascii="宋体" w:hAnsi="宋体"/>
          <w:color w:val="auto"/>
          <w:sz w:val="24"/>
          <w:szCs w:val="24"/>
          <w:highlight w:val="none"/>
        </w:rPr>
        <w:t>招标代理服务收费按差额定率累进法计算</w:t>
      </w:r>
      <w:r>
        <w:rPr>
          <w:rFonts w:hint="eastAsia" w:ascii="宋体" w:hAnsi="宋体"/>
          <w:color w:val="auto"/>
          <w:sz w:val="24"/>
          <w:szCs w:val="24"/>
          <w:highlight w:val="none"/>
          <w:lang w:eastAsia="zh-CN"/>
        </w:rPr>
        <w:t>；</w:t>
      </w:r>
    </w:p>
    <w:p w14:paraId="0D2CCD50">
      <w:pPr>
        <w:keepNext w:val="0"/>
        <w:keepLines w:val="0"/>
        <w:pageBreakBefore w:val="0"/>
        <w:widowControl w:val="0"/>
        <w:shd w:val="clear" w:fill="FFFFFF" w:themeFill="background1"/>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w:t>
      </w:r>
      <w:r>
        <w:rPr>
          <w:rFonts w:ascii="宋体" w:hAnsi="宋体"/>
          <w:color w:val="auto"/>
          <w:sz w:val="24"/>
          <w:szCs w:val="24"/>
          <w:highlight w:val="none"/>
        </w:rPr>
        <w:t>招标服务费不在投标报价中单列；</w:t>
      </w:r>
    </w:p>
    <w:p w14:paraId="7A41FFA7">
      <w:pPr>
        <w:keepNext w:val="0"/>
        <w:keepLines w:val="0"/>
        <w:pageBreakBefore w:val="0"/>
        <w:widowControl w:val="0"/>
        <w:shd w:val="clear" w:fill="FFFFFF" w:themeFill="background1"/>
        <w:kinsoku/>
        <w:wordWrap/>
        <w:overflowPunct/>
        <w:topLinePunct w:val="0"/>
        <w:autoSpaceDE/>
        <w:autoSpaceDN/>
        <w:bidi w:val="0"/>
        <w:adjustRightInd/>
        <w:snapToGrid/>
        <w:spacing w:before="50" w:after="50" w:line="400" w:lineRule="exact"/>
        <w:ind w:firstLine="480" w:firstLineChars="200"/>
        <w:textAlignment w:val="auto"/>
        <w:rPr>
          <w:rFonts w:ascii="宋体" w:hAnsi="宋体"/>
          <w:color w:val="auto"/>
          <w:sz w:val="24"/>
          <w:highlight w:val="none"/>
        </w:rPr>
      </w:pPr>
      <w:r>
        <w:rPr>
          <w:rFonts w:hint="eastAsia" w:ascii="宋体" w:hAnsi="宋体"/>
          <w:color w:val="auto"/>
          <w:sz w:val="24"/>
          <w:szCs w:val="24"/>
          <w:highlight w:val="none"/>
        </w:rPr>
        <w:t>（5）</w:t>
      </w:r>
      <w:r>
        <w:rPr>
          <w:rFonts w:ascii="宋体" w:hAnsi="宋体"/>
          <w:color w:val="auto"/>
          <w:sz w:val="24"/>
          <w:szCs w:val="24"/>
          <w:highlight w:val="none"/>
        </w:rPr>
        <w:t>招标服务费币种与《</w:t>
      </w:r>
      <w:r>
        <w:rPr>
          <w:rFonts w:hint="eastAsia" w:ascii="宋体" w:hAnsi="宋体"/>
          <w:color w:val="auto"/>
          <w:sz w:val="24"/>
          <w:szCs w:val="24"/>
          <w:highlight w:val="none"/>
          <w:lang w:eastAsia="zh-CN"/>
        </w:rPr>
        <w:t>成交通知书</w:t>
      </w:r>
      <w:r>
        <w:rPr>
          <w:rFonts w:ascii="宋体" w:hAnsi="宋体"/>
          <w:color w:val="auto"/>
          <w:sz w:val="24"/>
          <w:szCs w:val="24"/>
          <w:highlight w:val="none"/>
        </w:rPr>
        <w:t>》的币种相同；</w:t>
      </w:r>
    </w:p>
    <w:p w14:paraId="42055694">
      <w:pPr>
        <w:keepNext w:val="0"/>
        <w:keepLines w:val="0"/>
        <w:pageBreakBefore w:val="0"/>
        <w:widowControl w:val="0"/>
        <w:shd w:val="clear" w:fill="FFFFFF" w:themeFill="background1"/>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中标人在领取《</w:t>
      </w:r>
      <w:r>
        <w:rPr>
          <w:rFonts w:hint="eastAsia" w:ascii="宋体" w:hAnsi="宋体"/>
          <w:color w:val="auto"/>
          <w:sz w:val="24"/>
          <w:highlight w:val="none"/>
          <w:lang w:eastAsia="zh-CN"/>
        </w:rPr>
        <w:t>成交通知书</w:t>
      </w:r>
      <w:r>
        <w:rPr>
          <w:rFonts w:ascii="宋体" w:hAnsi="宋体"/>
          <w:color w:val="auto"/>
          <w:sz w:val="24"/>
          <w:highlight w:val="none"/>
        </w:rPr>
        <w:t>》时，必须按《</w:t>
      </w:r>
      <w:r>
        <w:rPr>
          <w:rFonts w:hint="eastAsia" w:ascii="宋体" w:hAnsi="宋体"/>
          <w:color w:val="auto"/>
          <w:sz w:val="24"/>
          <w:highlight w:val="none"/>
          <w:lang w:eastAsia="zh-CN"/>
        </w:rPr>
        <w:t>缴纳</w:t>
      </w:r>
      <w:r>
        <w:rPr>
          <w:rFonts w:ascii="宋体" w:hAnsi="宋体"/>
          <w:color w:val="auto"/>
          <w:sz w:val="24"/>
          <w:highlight w:val="none"/>
        </w:rPr>
        <w:t>服务费承诺书》向采购代理机构直接</w:t>
      </w:r>
      <w:r>
        <w:rPr>
          <w:rFonts w:hint="eastAsia" w:ascii="宋体" w:hAnsi="宋体"/>
          <w:color w:val="auto"/>
          <w:sz w:val="24"/>
          <w:highlight w:val="none"/>
          <w:lang w:eastAsia="zh-CN"/>
        </w:rPr>
        <w:t>缴纳</w:t>
      </w:r>
      <w:r>
        <w:rPr>
          <w:rFonts w:ascii="宋体" w:hAnsi="宋体"/>
          <w:color w:val="auto"/>
          <w:sz w:val="24"/>
          <w:highlight w:val="none"/>
        </w:rPr>
        <w:t>招标服务费。</w:t>
      </w:r>
      <w:r>
        <w:rPr>
          <w:rFonts w:ascii="宋体" w:hAnsi="宋体"/>
          <w:color w:val="auto"/>
          <w:sz w:val="24"/>
          <w:highlight w:val="none"/>
        </w:rPr>
        <w:br w:type="page"/>
      </w:r>
    </w:p>
    <w:p w14:paraId="3AE90860">
      <w:pPr>
        <w:pStyle w:val="2"/>
        <w:shd w:val="clear" w:fill="FFFFFF" w:themeFill="background1"/>
        <w:spacing w:line="360" w:lineRule="auto"/>
        <w:ind w:firstLine="3373" w:firstLineChars="700"/>
        <w:jc w:val="both"/>
        <w:rPr>
          <w:rFonts w:hint="eastAsia" w:ascii="宋体" w:hAnsi="宋体" w:eastAsia="宋体"/>
          <w:color w:val="auto"/>
          <w:sz w:val="48"/>
          <w:szCs w:val="48"/>
          <w:highlight w:val="none"/>
          <w:lang w:eastAsia="zh-CN"/>
        </w:rPr>
      </w:pPr>
      <w:bookmarkStart w:id="247" w:name="_Toc297209394"/>
      <w:bookmarkStart w:id="248" w:name="_Toc11709"/>
      <w:bookmarkStart w:id="249" w:name="_Toc524517837"/>
      <w:bookmarkStart w:id="250" w:name="_Toc5124202"/>
      <w:r>
        <w:rPr>
          <w:rFonts w:hint="eastAsia" w:ascii="宋体" w:hAnsi="宋体" w:eastAsia="宋体"/>
          <w:color w:val="auto"/>
          <w:sz w:val="48"/>
          <w:szCs w:val="48"/>
          <w:highlight w:val="none"/>
        </w:rPr>
        <w:t xml:space="preserve">第三章 </w:t>
      </w:r>
      <w:bookmarkEnd w:id="247"/>
      <w:bookmarkEnd w:id="248"/>
      <w:r>
        <w:rPr>
          <w:rFonts w:hint="eastAsia" w:ascii="宋体" w:hAnsi="宋体" w:eastAsia="宋体"/>
          <w:color w:val="auto"/>
          <w:sz w:val="48"/>
          <w:szCs w:val="48"/>
          <w:highlight w:val="none"/>
          <w:lang w:eastAsia="zh-CN"/>
        </w:rPr>
        <w:t>招标人需求</w:t>
      </w:r>
    </w:p>
    <w:p w14:paraId="42B17BB5">
      <w:pPr>
        <w:shd w:val="clear" w:fill="FFFFFF" w:themeFill="background1"/>
        <w:spacing w:before="159" w:beforeLines="50" w:beforeAutospacing="0" w:line="360" w:lineRule="auto"/>
        <w:ind w:firstLine="3975" w:firstLineChars="1100"/>
        <w:jc w:val="both"/>
        <w:rPr>
          <w:rFonts w:hint="eastAsia" w:ascii="宋体" w:hAnsi="宋体" w:eastAsia="宋体"/>
          <w:color w:val="auto"/>
          <w:sz w:val="36"/>
          <w:szCs w:val="36"/>
          <w:highlight w:val="none"/>
          <w:lang w:eastAsia="zh-CN"/>
        </w:rPr>
      </w:pPr>
      <w:r>
        <w:rPr>
          <w:rFonts w:hint="eastAsia" w:ascii="宋体" w:hAnsi="宋体" w:cs="Arial"/>
          <w:b/>
          <w:bCs/>
          <w:color w:val="auto"/>
          <w:sz w:val="36"/>
          <w:szCs w:val="36"/>
          <w:highlight w:val="none"/>
          <w:lang w:eastAsia="zh-CN"/>
        </w:rPr>
        <w:t>招标人需求</w:t>
      </w:r>
    </w:p>
    <w:p w14:paraId="0D25189E">
      <w:pPr>
        <w:shd w:val="clear" w:fill="FFFFFF" w:themeFill="background1"/>
        <w:rPr>
          <w:rFonts w:hint="eastAsia" w:ascii="宋体" w:hAnsi="宋体"/>
          <w:b/>
          <w:color w:val="auto"/>
          <w:sz w:val="24"/>
          <w:szCs w:val="24"/>
          <w:highlight w:val="none"/>
        </w:rPr>
      </w:pPr>
      <w:bookmarkStart w:id="251" w:name="_Toc420441541"/>
      <w:bookmarkStart w:id="252" w:name="_Toc518912739"/>
      <w:bookmarkStart w:id="253" w:name="_Toc418683336"/>
      <w:bookmarkStart w:id="254" w:name="_Toc514177034"/>
      <w:bookmarkStart w:id="255" w:name="_Toc524368767"/>
      <w:bookmarkStart w:id="256" w:name="_Toc522529795"/>
      <w:bookmarkStart w:id="257" w:name="_Toc19168"/>
    </w:p>
    <w:p w14:paraId="2FE8A00E">
      <w:pPr>
        <w:shd w:val="clear" w:fill="FFFFFF" w:themeFill="background1"/>
        <w:spacing w:line="360" w:lineRule="auto"/>
        <w:jc w:val="left"/>
        <w:outlineLvl w:val="2"/>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一</w:t>
      </w:r>
      <w:r>
        <w:rPr>
          <w:rFonts w:hint="eastAsia" w:ascii="宋体" w:hAnsi="宋体"/>
          <w:b/>
          <w:color w:val="auto"/>
          <w:sz w:val="24"/>
          <w:szCs w:val="24"/>
          <w:highlight w:val="none"/>
        </w:rPr>
        <w:t>、</w:t>
      </w:r>
      <w:bookmarkEnd w:id="251"/>
      <w:bookmarkEnd w:id="252"/>
      <w:bookmarkEnd w:id="253"/>
      <w:bookmarkEnd w:id="254"/>
      <w:bookmarkEnd w:id="255"/>
      <w:bookmarkEnd w:id="256"/>
      <w:r>
        <w:rPr>
          <w:rFonts w:hint="eastAsia" w:ascii="宋体" w:hAnsi="宋体"/>
          <w:b/>
          <w:color w:val="auto"/>
          <w:sz w:val="24"/>
          <w:szCs w:val="24"/>
          <w:highlight w:val="none"/>
          <w:lang w:eastAsia="zh-CN"/>
        </w:rPr>
        <w:t>采购内容</w:t>
      </w:r>
      <w:bookmarkEnd w:id="257"/>
      <w:r>
        <w:rPr>
          <w:rFonts w:hint="eastAsia" w:ascii="宋体" w:hAnsi="宋体"/>
          <w:b/>
          <w:color w:val="auto"/>
          <w:sz w:val="24"/>
          <w:szCs w:val="24"/>
          <w:highlight w:val="none"/>
          <w:lang w:val="en-US" w:eastAsia="zh-CN"/>
        </w:rPr>
        <w:t>及技术要求</w:t>
      </w:r>
    </w:p>
    <w:p w14:paraId="1229281C">
      <w:pPr>
        <w:shd w:val="clear" w:fill="FFFFFF" w:themeFill="background1"/>
        <w:adjustRightInd w:val="0"/>
        <w:spacing w:line="360" w:lineRule="auto"/>
        <w:ind w:firstLine="482" w:firstLineChars="200"/>
        <w:textAlignment w:val="baseline"/>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应商保证其提供的货物及服务均符合《中华人民共和国食品卫生法》、《餐饮业食品卫生管理办法》、《餐饮业和集体用餐配送单位卫生规范》及新疆维吾尔自治区有关食品安全管理的规定。供应商对提供货物的质量、卫生、食品安全承担全部责任。供应商保证提供的货物均符合国家规定的质量、卫生、食品安全标准。</w:t>
      </w:r>
    </w:p>
    <w:p w14:paraId="4F393A2A">
      <w:pPr>
        <w:shd w:val="clear" w:fill="FFFFFF" w:themeFill="background1"/>
        <w:adjustRightInd w:val="0"/>
        <w:spacing w:line="360" w:lineRule="auto"/>
        <w:ind w:firstLine="482" w:firstLineChars="200"/>
        <w:textAlignment w:val="baseline"/>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参考但不限于以下标准：</w:t>
      </w:r>
    </w:p>
    <w:p w14:paraId="75EE2039">
      <w:pPr>
        <w:pStyle w:val="6"/>
        <w:shd w:val="clear" w:fill="FFFFFF" w:themeFill="background1"/>
        <w:rPr>
          <w:rFonts w:hint="eastAsia" w:ascii="宋体" w:hAnsi="宋体" w:eastAsia="宋体" w:cs="Times New Roman"/>
          <w:b/>
          <w:bCs/>
          <w:color w:val="auto"/>
          <w:kern w:val="2"/>
          <w:sz w:val="24"/>
          <w:szCs w:val="24"/>
          <w:highlight w:val="none"/>
          <w:lang w:val="en-US" w:eastAsia="zh-CN" w:bidi="ar-SA"/>
        </w:rPr>
      </w:pPr>
    </w:p>
    <w:p w14:paraId="0B1E9804">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米面油</w:t>
      </w:r>
    </w:p>
    <w:p w14:paraId="6101C4CD">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米面油产品须为非转基因食品、质量安全无害、不得有掺假、变质、变味、过期等现象，禁止使用二次抛光、打蜡、脱粉米。包装为出厂原包装，密封完好。产品有效日期不得超过保质期的三分之二。</w:t>
      </w:r>
    </w:p>
    <w:p w14:paraId="2FA74672">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1.面粉:产品质量必须符合国家相关食品 SC 标准，不得使用转基因类食品。要求面粉呈黄白色，手感细腻，粗细均匀，未受潮，干燥松散，无异味，无肉眼可见杂质，禁止使用任何添加剂。</w:t>
      </w:r>
    </w:p>
    <w:p w14:paraId="1CD95539">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2.大米:产品质量必须符合国家相关食品 SC 标准，不得使用转基因类食品。包装标识清楚(生产日期、保质期、生产厂家、电话等)，禁止使用二次抛光米。</w:t>
      </w:r>
    </w:p>
    <w:p w14:paraId="125338B4">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3.清油:产品质量必须符合国家相关食品 SC 标准，不得使用转基因类食品。要求食用油在日光和灯光下肉眼观察清亮无雾状、无悬浮物无杂质、无沉淀、透明度好，黏度较小，有明显的油料压榨油香味。</w:t>
      </w:r>
    </w:p>
    <w:p w14:paraId="2607A678">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p>
    <w:p w14:paraId="7E22AC13">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蔬菜水果</w:t>
      </w:r>
    </w:p>
    <w:p w14:paraId="13D1A5CB">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供应的蔬菜与水果必须符合国家《食品安全法》规范，并达到无公害蔬果中重金属及有害物质检测项目及指标和农药残留物检测项目及指标限量标准。属无公害蔬果，需按业主要求提供农药残留检验合格证，对于冬季蔬果需按业主要求提供检验合格证。物质检测项目及指标和农药残留物检测项目及指标限量标准。</w:t>
      </w:r>
    </w:p>
    <w:p w14:paraId="2BBFCD0B">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一、蔬菜</w:t>
      </w:r>
    </w:p>
    <w:p w14:paraId="51BB45D8">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叶菜类:包括白菜类和绿叶菜类的各种蔬菜。属同一品种规格，肉质鲜嫩，形态好，色泽正常；茎基部削平，无枯黄叶、病叶、泥土、无明显机械伤和病虫害伤；无烧心焦边、腐烂等现象，无抽薹(菜心除外)；菠菜和芹菜可带根。花椰菜、青花菜等属于同一品种的，形状正常，肉质致密、新鲜，不带叶柄，茎基部削平，无腐烂、病虫害、机械伤；花椰菜花球洁白、无毛花；青花菜无托叶，可带主茎，花球青绿色、无紫花、无枯蕾现象。</w:t>
      </w:r>
    </w:p>
    <w:p w14:paraId="3BC2FFDC">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2.茄果类：包括番茄、茄子、圆椒、辣椒等。属于同一品种规格，色鲜，果实圆整、光洁，成熟度适中，整齐，无烂果、异味、病虫和明显机械损伤。</w:t>
      </w:r>
    </w:p>
    <w:p w14:paraId="448E54CC">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3.根茎类:包括萝卜、胡萝卜、大头菜等。属于同一品种规格，皮细光滑，色泽良好，大小均匀，肉质脆嫩致密。新鲜，无畸形、裂痕、糠心、病虫害斑，不带泥沙，茎叶、须根。</w:t>
      </w:r>
    </w:p>
    <w:p w14:paraId="53227017">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4.瓜类:包括青瓜、冬瓜、丝瓜、苦瓜、毛节瓜、南瓜、佛手瓜等。属于同一品种规格，形状、色泽一致，瓜条均匀，无疤点，无断裂，不带泥土，无畸形瓜、病虫害瓜、烂瓜，无明显机械伤。</w:t>
      </w:r>
    </w:p>
    <w:p w14:paraId="574695EC">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5.薯芋类：包括马铃薯、香芋、姜、</w:t>
      </w:r>
      <w:r>
        <w:rPr>
          <w:rFonts w:hint="eastAsia" w:ascii="宋体" w:hAnsi="宋体" w:cs="Times New Roman"/>
          <w:color w:val="auto"/>
          <w:kern w:val="2"/>
          <w:sz w:val="24"/>
          <w:szCs w:val="24"/>
          <w:highlight w:val="none"/>
          <w:lang w:val="en-US" w:eastAsia="zh-CN" w:bidi="ar-SA"/>
        </w:rPr>
        <w:t>红</w:t>
      </w:r>
      <w:r>
        <w:rPr>
          <w:rFonts w:hint="eastAsia" w:ascii="宋体" w:hAnsi="宋体" w:eastAsia="宋体" w:cs="Times New Roman"/>
          <w:color w:val="auto"/>
          <w:kern w:val="2"/>
          <w:sz w:val="24"/>
          <w:szCs w:val="24"/>
          <w:highlight w:val="none"/>
          <w:lang w:val="en-US" w:eastAsia="zh-CN" w:bidi="ar-SA"/>
        </w:rPr>
        <w:t>薯等。属同一品种规格，色泽一致，不带泥沙，不带茎叶、须根，无机械和病虫害斑，无腐烂、干瘪</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不发软、不长芽、不腐烂、皮不能变绿色。</w:t>
      </w:r>
    </w:p>
    <w:p w14:paraId="0643F284">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6.葱蒜类：包括大葱、分葱、四季葱等。属同一品种规格，允许葱和大蒜的青蒜保留干净须根，去老叶，韭菜去根去老叶，蒜头、洋葱去根去枯叶；可食部分质地细嫩，不带泥沙杂质，无病虫害斑。</w:t>
      </w:r>
    </w:p>
    <w:p w14:paraId="60A42B87">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7.豆类：包括荷兰豆、豆角、扁豆等。属同一品种规格形态完整，成熟度适中，无病虫害斑。</w:t>
      </w:r>
    </w:p>
    <w:p w14:paraId="6C398813">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8.食豆仁类：籽粒饱满较均匀，无发芽。不带泥土、杂质。</w:t>
      </w:r>
    </w:p>
    <w:p w14:paraId="0E165E97">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9.水生类：包括莲藕等，属同一品种规格，肉质嫩，成熟度适中，无泥土、杂质、机械伤，不干瘪，不腐烂霉变。多年生类包括竹笋，属同一品种规格，幼嫩，无病虫害斑，无明显机械伤。</w:t>
      </w:r>
    </w:p>
    <w:p w14:paraId="18A41BE8">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10.菌类形:状完整、无腐烂、无发霉、无虫蛀、无失水枯萎。</w:t>
      </w:r>
    </w:p>
    <w:p w14:paraId="197E4E2A">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11.芽苗类：包括绿豆芽、黄豆芽等。芽苗幼嫩，不带豆壳杂质，新鲜。</w:t>
      </w:r>
    </w:p>
    <w:p w14:paraId="51F97942">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二、水果</w:t>
      </w:r>
    </w:p>
    <w:p w14:paraId="2F262E1F">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苹果类：具有品种特有的外形，大小均匀，果面光滑有光泽，具有本品种应有的自然色泽，无斑点或极少果锈，不起皱，无裂口，无压痕及其他机械损伤和冻伤黑斑，果身重，硬朗；口感汁液饱满，无苦涩味，无木栓化组织。</w:t>
      </w:r>
    </w:p>
    <w:p w14:paraId="7B762136">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2.梨类：果形端正，大小均匀，无畸形果，带果柄，果面新鲜洁净，无刺划伤，无压痕，无病虫害，身重结实，味道爽甜。</w:t>
      </w:r>
    </w:p>
    <w:p w14:paraId="33A2AD99">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3.蕉类：果实丰满，果形端正，梳柄完整，不缺只口，单果均匀，色泽自然、光亮，皮色青黄，果面光滑，无病黑斑，无虫疤，无霉菌，无创伤，果肉稍硬，果皮可剥或易剥。</w:t>
      </w:r>
    </w:p>
    <w:p w14:paraId="66F1FEE7">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4.桔类：果实</w:t>
      </w:r>
      <w:r>
        <w:rPr>
          <w:rFonts w:hint="eastAsia" w:ascii="宋体" w:hAnsi="宋体" w:cs="Times New Roman"/>
          <w:color w:val="auto"/>
          <w:kern w:val="2"/>
          <w:sz w:val="24"/>
          <w:szCs w:val="24"/>
          <w:highlight w:val="none"/>
          <w:lang w:val="en-US" w:eastAsia="zh-CN" w:bidi="ar-SA"/>
        </w:rPr>
        <w:t>饱满</w:t>
      </w:r>
      <w:r>
        <w:rPr>
          <w:rFonts w:hint="eastAsia" w:ascii="宋体" w:hAnsi="宋体" w:eastAsia="宋体" w:cs="Times New Roman"/>
          <w:color w:val="auto"/>
          <w:kern w:val="2"/>
          <w:sz w:val="24"/>
          <w:szCs w:val="24"/>
          <w:highlight w:val="none"/>
          <w:lang w:val="en-US" w:eastAsia="zh-CN" w:bidi="ar-SA"/>
        </w:rPr>
        <w:t>大小均匀，果面清新洁净无裂口，无机械伤、病斑及腐烂现象，果蒂完整平齐，易剥落，桔络少。</w:t>
      </w:r>
    </w:p>
    <w:p w14:paraId="0E1152A5">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5.柑类（蜜柑、广柑、芦柑等）：果实</w:t>
      </w:r>
      <w:r>
        <w:rPr>
          <w:rFonts w:hint="eastAsia" w:ascii="宋体" w:hAnsi="宋体" w:cs="Times New Roman"/>
          <w:color w:val="auto"/>
          <w:kern w:val="2"/>
          <w:sz w:val="24"/>
          <w:szCs w:val="24"/>
          <w:highlight w:val="none"/>
          <w:lang w:val="en-US" w:eastAsia="zh-CN" w:bidi="ar-SA"/>
        </w:rPr>
        <w:t>饱满</w:t>
      </w:r>
      <w:r>
        <w:rPr>
          <w:rFonts w:hint="eastAsia" w:ascii="宋体" w:hAnsi="宋体" w:eastAsia="宋体" w:cs="Times New Roman"/>
          <w:color w:val="auto"/>
          <w:kern w:val="2"/>
          <w:sz w:val="24"/>
          <w:szCs w:val="24"/>
          <w:highlight w:val="none"/>
          <w:lang w:val="en-US" w:eastAsia="zh-CN" w:bidi="ar-SA"/>
        </w:rPr>
        <w:t>大小均匀</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近似球形，无异状突起瘤，无病虫害所呈现的绿斑、黑斑，无霉烂，无机械伤，果面清新洁净，大小均匀，果实无萎蔫，色泽自然。</w:t>
      </w:r>
    </w:p>
    <w:p w14:paraId="7EACE601">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6.葡萄类（包括青提、红提、黑提等）：具有本品种应具有的外形、色泽；果粒面完好，皮上无斑痕，果珠饱满，大小均匀；轻提果穗枝梗抖动果穗,果实不抖落或抖落极少。</w:t>
      </w:r>
    </w:p>
    <w:p w14:paraId="1C6E3AEE">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7.桃类（毛桃、水蜜桃、黄桃、蟠桃等）：具有本品种应具有的外形、色泽；大小均匀，果形端正，果面无不正常斑点，无裂口及其他机械损伤，无腐烂，无病虫害，无药害，无破皮。</w:t>
      </w:r>
    </w:p>
    <w:p w14:paraId="07FE7858">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8.柚子类：果实大，圆形或梨形，皮薄肉厚，难剥离，酸甜合适，大小均匀。</w:t>
      </w:r>
    </w:p>
    <w:p w14:paraId="45972B7A">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9.西瓜：具有本品种应有的形状，大小均匀，果色清新光亮，条纹清晰，果皮无伤痕，无腐烂，无疤痕，无虫眼，无病斑，果柄茸毛脱落，脐部凹陷，水份大，甜度高，切开鲜艳光泽，无异味及黑瓤。</w:t>
      </w:r>
    </w:p>
    <w:p w14:paraId="6E20F15A">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10.哈密瓜：瓜形端正，呈椭圆形或橄榄形，瓜身坚实微软，果皮无伤及其腐烂，切开色泽鲜艳光润，大小均匀，香气浓郁。</w:t>
      </w:r>
    </w:p>
    <w:p w14:paraId="0D2BE26F">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乳制品</w:t>
      </w:r>
    </w:p>
    <w:p w14:paraId="19FE40D9">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1、正常生鲜牛奶为乳白色或略带微黄色的均匀胶体，无粘稠、浓厚、分层现象；不得有肉眼可见的机械杂质；具备乳的正常滋气味，不得有苦、咸、涩、臭等异味。</w:t>
      </w:r>
    </w:p>
    <w:p w14:paraId="15C3B515">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牛奶的生产日期必须是5日以内产品（巴氏消毒奶除外），酸奶生产日期必须是2日内产品。所有产品在质量保证期内，因货物出现变质、过期及其他质量问题等现象的，业主发现不符合配送期要求的货品，有权拒收或要求供应商无偿调换。</w:t>
      </w:r>
    </w:p>
    <w:p w14:paraId="3B9BBF2B">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交货验收时，因货物出现变质、过期及其他质量问题等现象的，供应商负责免费无条件更换或者业主进行数量核减，并承担因更换货物所产生的包装、运费等一切相关费用。若供应商当日未按业主要求予以更换或配送货物，业主有权另行采购其他商家同类货物，由此产生的全部费用由供应商承担。</w:t>
      </w:r>
    </w:p>
    <w:p w14:paraId="630EB624">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蛋类</w:t>
      </w:r>
    </w:p>
    <w:p w14:paraId="08B71532">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色泽：具有禽蛋固有的色泽</w:t>
      </w:r>
    </w:p>
    <w:p w14:paraId="592701FD">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气味：具有产品固有的气味，无异味</w:t>
      </w:r>
    </w:p>
    <w:p w14:paraId="1FBA1D13">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组织形态：蛋壳清洁、无破裂、打开后蛋壳凸起、完整、有韧性，蛋白澄清透明，稀稠分明。无杂质，蛋液中不得有血块及其他鸡组织异物</w:t>
      </w:r>
    </w:p>
    <w:p w14:paraId="7169F856">
      <w:pPr>
        <w:pStyle w:val="6"/>
        <w:shd w:val="clear" w:fill="FFFFFF" w:themeFill="background1"/>
        <w:spacing w:line="360" w:lineRule="auto"/>
        <w:rPr>
          <w:rFonts w:hint="default" w:ascii="宋体" w:hAnsi="宋体" w:eastAsia="宋体" w:cs="Times New Roman"/>
          <w:b/>
          <w:bCs/>
          <w:color w:val="auto"/>
          <w:kern w:val="2"/>
          <w:sz w:val="28"/>
          <w:szCs w:val="28"/>
          <w:highlight w:val="none"/>
          <w:lang w:val="en-US" w:eastAsia="zh-CN" w:bidi="ar-SA"/>
        </w:rPr>
      </w:pPr>
      <w:r>
        <w:rPr>
          <w:rFonts w:hint="eastAsia" w:ascii="宋体" w:hAnsi="宋体" w:cs="Times New Roman"/>
          <w:b/>
          <w:bCs/>
          <w:color w:val="auto"/>
          <w:kern w:val="2"/>
          <w:sz w:val="28"/>
          <w:szCs w:val="28"/>
          <w:highlight w:val="none"/>
          <w:lang w:val="en-US" w:eastAsia="zh-CN" w:bidi="ar-SA"/>
        </w:rPr>
        <w:t>注：称重时，托盘不计重量。</w:t>
      </w:r>
    </w:p>
    <w:p w14:paraId="4053B4A8">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副食品</w:t>
      </w:r>
    </w:p>
    <w:p w14:paraId="1832AE93">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干货类大小必须均匀，货物干燥，色泽正常，无异味，无霉点，无杂质、无任何添加剂。必须具有“SC”食品质量认证标志，包装上必须有生产日期</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保质日期</w:t>
      </w:r>
      <w:r>
        <w:rPr>
          <w:rFonts w:hint="eastAsia" w:ascii="宋体" w:hAnsi="宋体" w:cs="Times New Roman"/>
          <w:color w:val="auto"/>
          <w:kern w:val="2"/>
          <w:sz w:val="24"/>
          <w:szCs w:val="24"/>
          <w:highlight w:val="none"/>
          <w:lang w:val="en-US" w:eastAsia="zh-CN" w:bidi="ar-SA"/>
        </w:rPr>
        <w:t>和生产批号等</w:t>
      </w:r>
      <w:r>
        <w:rPr>
          <w:rFonts w:hint="eastAsia" w:ascii="宋体" w:hAnsi="宋体" w:eastAsia="宋体" w:cs="Times New Roman"/>
          <w:color w:val="auto"/>
          <w:kern w:val="2"/>
          <w:sz w:val="24"/>
          <w:szCs w:val="24"/>
          <w:highlight w:val="none"/>
          <w:lang w:val="en-US" w:eastAsia="zh-CN" w:bidi="ar-SA"/>
        </w:rPr>
        <w:t>。采用定型包装的货物，包装必须符合国家对产品包装的有关规定。包装上必须有明确的品牌、等级、生产日期、保质期、储存要求、净重量等。</w:t>
      </w:r>
    </w:p>
    <w:p w14:paraId="4FF0E128">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供应商向业主保证具有对货物进行冷冻储藏或保鲜储藏的设施，所有储藏设施均符合国家、行业标准的规范</w:t>
      </w:r>
    </w:p>
    <w:p w14:paraId="5032DA07">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验收标准：</w:t>
      </w:r>
    </w:p>
    <w:p w14:paraId="238D0D93">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小米、黑米、糯米类采购标准</w:t>
      </w:r>
    </w:p>
    <w:p w14:paraId="10C25F4A">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要求必须为当年产，未经过深加工，无添加剂、无添加色素的绿色农产品。包装袋生产厂家、生产日期、保质期、SC标识等相关信息清晰。质量等级要求达到一等国家标准，色泽、气味正常,无霉烂变质，加工精度≥95％,碎米总量≤3％，其中小碎米≤0.3％，杂质总量≤0.5％,水分≤13％。</w:t>
      </w:r>
    </w:p>
    <w:p w14:paraId="1CD5E6F3">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糯米：无异常色泽和气味，封口严密，防潮材质，外包装描述清楚，且一定有“SC”标识，无破损。</w:t>
      </w:r>
    </w:p>
    <w:p w14:paraId="0F390BAF">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黑米：黑米按业主要求参照NY/T 832-2022规定执行，黑米具有正常的清香味，无其他异味均匀光洁黑色颗粒，无明显黑色粉末。</w:t>
      </w:r>
    </w:p>
    <w:p w14:paraId="265734B1">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小米：按业主要求执行国家标准GB/T 11766-2008 ，无杂质，无异味。</w:t>
      </w:r>
    </w:p>
    <w:p w14:paraId="4B916688">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大豆（黄豆）采购标准</w:t>
      </w:r>
    </w:p>
    <w:p w14:paraId="7D5CDE77">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要求必须为当年产，未经过深加工，无添加剂、无添加色素的绿色农产品。包装袋生产厂家、生产日期、保质期、SC标识等相关信息清晰。质量等级按业主要求达到一等国家标准，色泽、气味正常, 无霉烂变质，适用于豆浆、豆腐制作，出浆率高，蛋白质含量高，完整粒类≥95％,碎豆总量≤3％，其中小碎豆粒≤0.3％，杂质总量≤1％，水分≤13％，铁豆子总量≤3％。按业主要求参照GB 1352-2023国家标准执行。</w:t>
      </w:r>
    </w:p>
    <w:p w14:paraId="0FA54206">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绿豆采购标准</w:t>
      </w:r>
    </w:p>
    <w:p w14:paraId="0CF63284">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要求必须为当年产，未经过深加工，无添加剂、无添加色素的绿色农产品。包装袋生产厂家、生产日期、保质期、SC标识等相关信息清晰。质量等级要求达到一等国家标准，色泽、气味正常, 无霉烂变质，纯粮率≥97％,杂质总量≤1％，矿物质≤0.5％，杂质总量≤1％，水分≤13.5％。按业主要求参照GB 2715-2016规定执行。</w:t>
      </w:r>
    </w:p>
    <w:p w14:paraId="41B16BF8">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花生仁</w:t>
      </w:r>
    </w:p>
    <w:p w14:paraId="6FC1F21E">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要求必须为当年产，未经过深加工，无添加剂、无添加色素的绿色农产品。包装袋生产厂家、生产日期、保质期、SC标识等相关信息清晰。质量等级要求达到一等国家标准，色泽、气味正常, 无霉烂变质，纯质率≥96％,整半粒限度≤10％，杂质总量≤1％，水分≤9％。按业主要求参照GB 2715-2016规定执行。</w:t>
      </w:r>
    </w:p>
    <w:p w14:paraId="45322AC4">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玉米面（全玉米粉）</w:t>
      </w:r>
    </w:p>
    <w:p w14:paraId="5CA7A084">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要求必须为当年产，未经过深加工，无添加剂、无添加色素的绿色农产品。包装袋生产厂家、生产日期、保质期、SC标识等。相关信息清晰。3、质量要求优质，色泽、气味正常, 无霉烂变质，粗脂肪含量（干基）≥5％,精细度要求全部通过CQ10号筛，脂肪酸值（干基）（以KOH计）／（mg／100g）≤80％，灰分含量（干基）≤3％，含沙量≤0.02％，磁性金属物（g／kg）≤0.003％，水分≤14.5％。</w:t>
      </w:r>
    </w:p>
    <w:p w14:paraId="478F5A12">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干香菇采购标准：</w:t>
      </w:r>
    </w:p>
    <w:p w14:paraId="5F2FE417">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干香菇要求厚度达到一级及以上标准(&gt;0.5cm)，杂质达到一级及以上标准（&lt;2％），小菇直径＜4cm,中菇直径＜4cm-6cm，大菇直径＞6cm。香菇外形呈半球形稍平展或伞形，菇形平整，菌褶色带黄略韧、味鲜且香、干爽、个头大小均匀、根蒂较短、身厚而圆、无虫蛀、香味浓郁。</w:t>
      </w:r>
    </w:p>
    <w:p w14:paraId="18B4D00B">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天然木耳采购标准：</w:t>
      </w:r>
    </w:p>
    <w:p w14:paraId="06E54570">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天然木耳由于生产季节不同，有春耳、伏耳、秋耳之分，选购要求采购质量最好的伏耳（即伏天生长且采摘晒制的木耳）。要求天然木耳色黑、肉厚、朵大、质嫩、身干、无碎屑杂质、无霉烂。天然木耳：朵片基本完整，不能通过直径1cm的筛眼天然木耳：含水量：不超过14%；背暗灰色，无虫蛀、霉烂；</w:t>
      </w:r>
    </w:p>
    <w:p w14:paraId="4AF0F5C0">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人工木耳采购标准：</w:t>
      </w:r>
    </w:p>
    <w:p w14:paraId="6FFAAC3D">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人工木耳要求为一次泡发成品，未经过深加工，外观朵大齐整，无霉烂、杂质，泡发后色泽较黑，肉质肥厚，软嫩适宜。</w:t>
      </w:r>
    </w:p>
    <w:p w14:paraId="5F32BC34">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粉条采购标准:</w:t>
      </w:r>
    </w:p>
    <w:p w14:paraId="5781075A">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粉条要求为红薯粉条，不低于80％红薯粉(玉米淀粉含量不超过20％),烹饪时有良好的吸附性，久煮不烂，烹饪后口感柔润嫩滑，清香宜人。</w:t>
      </w:r>
    </w:p>
    <w:p w14:paraId="3A7C1387">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干果类采购标准</w:t>
      </w:r>
    </w:p>
    <w:p w14:paraId="10A1184F">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未经过深加工，无添加剂、无添加色素的绿色农产品。包装袋（箱）生产厂家、生产日期、保质期、SC标识等相关信息清晰。质量等级要求达到特级国家标准不得出现未成熟粒、损伤粒、虫蚀粒、生芽粒；损伤粒：病斑、热伤、冻伤、生霉以及明显变色的颗粒；虫蚀粒：被虫蛀蚀伤及子叶的颗粒；生芽粒：芽或幼根突破种皮的颗粒等无法使用的果仁。</w:t>
      </w:r>
    </w:p>
    <w:p w14:paraId="65C8DF80">
      <w:pPr>
        <w:pStyle w:val="6"/>
        <w:shd w:val="clear" w:fill="FFFFFF" w:themeFill="background1"/>
        <w:spacing w:line="360" w:lineRule="auto"/>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芝麻</w:t>
      </w:r>
    </w:p>
    <w:p w14:paraId="437C48E7">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要求必须为当年产，未经过深加工，无添加剂、无添加色素的绿色农产品。包装袋生产厂家、生产日期、保质期、SC标识等相关信息清晰。质量等级要求达到一级国家标准，粒大饱满，色泽、气味正常, 无霉烂、虫蛀果粒，净籽纯质率≥98％,千粒重≥2.2g，蛋白质≥19％，杂质总量≤2％，水分≤8.0％。</w:t>
      </w:r>
    </w:p>
    <w:p w14:paraId="529BF086">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虾皮</w:t>
      </w:r>
    </w:p>
    <w:p w14:paraId="5C20705D">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要求必须为当年产，未经过深加工，无添加剂、无添加色素的绿色水产品。包装袋(箱)生产厂家、生产日期、保质期、SC标识等相关信息清晰。质量等级按业主要求达到一级国家标准，光泽优质、滋味及气味具有虾皮固有鲜香味且无异味, 无霉烂，组织形态肉质厚实，壳软、片大且均匀、完整，基本无碎末和水产夹杂物。无外来杂质，不碜牙、无污染，不发粘。</w:t>
      </w:r>
    </w:p>
    <w:p w14:paraId="5A73C40E">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粉丝</w:t>
      </w:r>
    </w:p>
    <w:p w14:paraId="4780A873">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要求必须为当年产，未经过深加工，按照GB 2760的规定使用添加剂，但不含防腐剂的绿色农产品。包装袋生产厂家、生产日期、保质期、SC标识等相关信息清晰。质量等级要求达到高级国家标准，色泽：粉丝条呈均匀的乳白色、白色或产品应有的色泽;组织形态：粉丝条粗细均匀，外形整齐，基本无并丝、无碎丝;气味与滋味：表具有该产品固有的气味、滋味，无异味;复水性：复水后柔软有韧性，无明显断条、并条，口感爽滑、不夹生、不粘牙、不碜牙；无正常视力可见外来杂质;水分≤15%;淀粉≥75%;灰分≤0.8%;碘呈色度（IOD值）≥2.0%;复水时间≤6min；复水率≥250%。细长，白净，晶莹透明、丝条均匀、整齐、干燥、不易手折断、无斑点、无霉变、有粉丝独有的光泽。</w:t>
      </w:r>
    </w:p>
    <w:p w14:paraId="6E8A1FF5">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海带丝</w:t>
      </w:r>
    </w:p>
    <w:p w14:paraId="2321A47C">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要求必须为当年产，未经过深加工，无添加剂、无添加色素的绿色水产品。</w:t>
      </w:r>
    </w:p>
    <w:p w14:paraId="02F16B4F">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包装袋生产厂家、生产日期、保质期、SC标识等相关信息清晰。按业主要求参照质量等级要求达到一级国家标准（干海带），外观：呈海带固有的深绿色或褐色，无粘贴、无霉变、无花斑、无海带根;水分≤18%;泥沙杂质≤2%。干海带：无肉眼可见的杂质，具有海带干品应有的滋气味，无异味，无霉味，食用时不得有砂齿感</w:t>
      </w:r>
    </w:p>
    <w:p w14:paraId="6FFAD780">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干酵母</w:t>
      </w:r>
    </w:p>
    <w:p w14:paraId="02A68D59">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要求必须为当年产，未经过深加工，无添加剂、无添加色素的微生物制品，属于适用于GB 2760允许使用的食品添加剂。包装袋（箱）生产厂家、生产日期、保质期、SC标识等相关信息清晰。质量等级要求达到国家标准，色泽：淡黄至淡棕黄色;气味：具有酵母特殊气味，无腐败，无异臭;杂质：无异物;外观：颗粒状或条状；酵母活细胞数（亿个/g）≥150;水分≤6.0%;细菌总数/（CFU/g）≤2.0×106;霉菌/（个/g）≤2.0×104;铅（以Pb计）/（mg/kg）≤1.5;总砷（以As计）/（mg/kg）≤2.0；沙门氏菌/（CFU/25mg）不得检出;其他卫生指标符合GB/T 20886.1-2021的规定要求。按业主要求参照GB/T 20886.1-2021规定执行。</w:t>
      </w:r>
    </w:p>
    <w:p w14:paraId="2EE711B8">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奶粉类</w:t>
      </w:r>
    </w:p>
    <w:p w14:paraId="644D3487">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要求必须为当年以牛乳为原料，经过标准的生产加工过程，无添加防腐剂、无添加色素的粉状产品。包装袋生产厂家、生产日期、保质期、SC标识等相关信息清晰。质量等级要求达到国家标准，色泽：呈均匀一致的乳黄色;滋味、气味：具有纯正的乳香味;组织状态：干燥均匀的粉末;蛋白质/（%）≥非脂乳固体a的34%；脂肪b/（%）≥26.0复原乳酸度/（0T）≤18；杂质度/（mg/kg）≤16;水分≤5.0。a非脂乳固体（%）=100%-脂肪（%）-水分（%）b仅适用于全脂乳粉。</w:t>
      </w:r>
    </w:p>
    <w:p w14:paraId="35D4F905">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果酱</w:t>
      </w:r>
    </w:p>
    <w:p w14:paraId="789BE931">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要求必须为当年以水果、果汁和果浆为主原料，经过标准的生产加工过程，无添加防腐剂、无添加色素的酱状产品。包装袋（箱）生产厂家、生产日期、保质期、SC标识等相关信息清晰。质量等级要求达到国家标准，色泽：有该品种固有的色泽;滋味与口感：无异味，酸甜适中，口味纯正，具有该品种应有的风味;杂质：正常视力下无可见杂质，无霉变;组织状态：均匀，无明显分层和析水，无结晶；可溶性固形物（以20℃折光计）≥25；总砷（As）/（mg/kg）≤0.5;重金属（以Pb计）/（mg/kg）≤1.0。按业主要求参照Q/ZHME 0001 S-2019规定执行。</w:t>
      </w:r>
    </w:p>
    <w:p w14:paraId="5772CA52">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腐竹：</w:t>
      </w:r>
    </w:p>
    <w:p w14:paraId="106A2633">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蛋白质呈纤维状，迎着光线能看到一丝一丝的纤维组织。带有一点豆腥味，温水中浸泡，变软且泡出的水清亮，不浑浊，并且泡发后腐竹依旧弹性十足。</w:t>
      </w:r>
    </w:p>
    <w:p w14:paraId="0571DC8D">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红枣：按业主要求参照标准GB/T 26150-2019，无腐烂，无尘土，无杂物</w:t>
      </w:r>
    </w:p>
    <w:p w14:paraId="0FDC1635">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枸杞：按业主要求参照标准GB/T 18672-2014 无腐烂，无尘土，无杂物</w:t>
      </w:r>
    </w:p>
    <w:p w14:paraId="608A5B43">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白脱皮芝麻：按业主要求参照标准Q/YQZY 0001 S-2019无尘土，无杂物</w:t>
      </w:r>
    </w:p>
    <w:p w14:paraId="0518562C">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调料物资验收标准：</w:t>
      </w:r>
    </w:p>
    <w:p w14:paraId="21C850BB">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盐：按业主要求参照国家标准GB/T5461-2016、GB/T 18770-2020，味咸、呈白色细晶体、无杂质、无苦涩味、外包装无漏无污、有防伪标识，限本地产品。</w:t>
      </w:r>
    </w:p>
    <w:p w14:paraId="525D158A">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白糖：按业主要求参照国GB/T 1445-2018，白色晶体、无杂质、无结块，外包装无漏无污，</w:t>
      </w:r>
    </w:p>
    <w:p w14:paraId="5CB8BB40">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味精：按业主要求参照国家标准GB 2720-2015，白色柱状晶体、无勾兑、无杂质。</w:t>
      </w:r>
    </w:p>
    <w:p w14:paraId="0E57D588">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八角：按业主要求参照国家标准GB/T 7652-2016，色泽棕红、朵大均匀呈八角形、干燥饱满、香气浓郁、无杂质。</w:t>
      </w:r>
    </w:p>
    <w:p w14:paraId="51267ADC">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干花椒采购标准：</w:t>
      </w:r>
    </w:p>
    <w:p w14:paraId="020E41EA">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按业主要求参照国家标准GB/T30391-2013，色泽鲜红、麻味足、颗粒干燥饱满、少籽、无霉坏。干花椒品种为大红袍，要求当年新货,花椒未经过深加工。无污渍、污物附着，无杂质掺入，花椒味醇厚浓郁，香气浓且麻辣味足。花椒粒大且均匀，用手抓时，有刺手干爽之感，水分不超过11％，用手拨弄时，会有“沙沙沙”的响声，如用手捏花椒会破碎。</w:t>
      </w:r>
    </w:p>
    <w:p w14:paraId="6D59E192">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青花椒采购标准：</w:t>
      </w:r>
    </w:p>
    <w:p w14:paraId="40D488A4">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按业主要求参照国家标准GB/T30391-2013，色泽鲜红、麻味足、颗粒干燥饱满、少籽、无霉坏。青花椒要求当年新货,色泽为绿色，无污渍、污物附着，无杂质掺入，花椒未经过深加工。青花椒颗粒为圆形，颗粒表面密生突起腺点。青花椒特有挥发性香味和麻辣味气味纯正，青花椒含水量不超过11.5％，手握硬脆，手搓时有“沙沙”的响声。</w:t>
      </w:r>
    </w:p>
    <w:p w14:paraId="41C3E7C4">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桂皮：</w:t>
      </w:r>
      <w:r>
        <w:rPr>
          <w:rFonts w:hint="eastAsia" w:ascii="宋体" w:hAnsi="宋体" w:eastAsia="宋体" w:cs="Times New Roman"/>
          <w:color w:val="auto"/>
          <w:kern w:val="2"/>
          <w:sz w:val="24"/>
          <w:szCs w:val="24"/>
          <w:highlight w:val="none"/>
          <w:lang w:val="en-US" w:eastAsia="zh-CN" w:bidi="ar-SA"/>
        </w:rPr>
        <w:t>按业主要求参照国家标准GB/T30381-2013，皮面淡棕色、有光泽、质坚实、干燥、味清香、带甜。</w:t>
      </w:r>
    </w:p>
    <w:p w14:paraId="5F29F19B">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蚝油：</w:t>
      </w:r>
      <w:r>
        <w:rPr>
          <w:rFonts w:hint="eastAsia" w:ascii="宋体" w:hAnsi="宋体" w:eastAsia="宋体" w:cs="Times New Roman"/>
          <w:color w:val="auto"/>
          <w:kern w:val="2"/>
          <w:sz w:val="24"/>
          <w:szCs w:val="24"/>
          <w:highlight w:val="none"/>
          <w:lang w:val="en-US" w:eastAsia="zh-CN" w:bidi="ar-SA"/>
        </w:rPr>
        <w:t>按业主要求参照国家标准GB/T21999-2008，棕褐色、粘稠液体、无苦涩味、无霉味。</w:t>
      </w:r>
    </w:p>
    <w:p w14:paraId="2F5BE6BD">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番茄酱：按业主要求参照国家标准GB/T14215-2021,酱体呈深红色、粘稠适度、无异味，限本地产品。</w:t>
      </w:r>
    </w:p>
    <w:p w14:paraId="34EB94CB">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胡椒：</w:t>
      </w:r>
      <w:r>
        <w:rPr>
          <w:rFonts w:hint="eastAsia" w:ascii="宋体" w:hAnsi="宋体" w:eastAsia="宋体" w:cs="Times New Roman"/>
          <w:color w:val="auto"/>
          <w:kern w:val="2"/>
          <w:sz w:val="24"/>
          <w:szCs w:val="24"/>
          <w:highlight w:val="none"/>
          <w:lang w:val="en-US" w:eastAsia="zh-CN" w:bidi="ar-SA"/>
        </w:rPr>
        <w:t>按业主要求参照国家标准GB/T 7900-2018，颗粒均匀无杂质、干燥无结块、具有本品固有的气味，无掺假。</w:t>
      </w:r>
    </w:p>
    <w:p w14:paraId="5571780B">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孜然：</w:t>
      </w:r>
      <w:r>
        <w:rPr>
          <w:rFonts w:hint="eastAsia" w:ascii="宋体" w:hAnsi="宋体" w:eastAsia="宋体" w:cs="Times New Roman"/>
          <w:color w:val="auto"/>
          <w:kern w:val="2"/>
          <w:sz w:val="24"/>
          <w:szCs w:val="24"/>
          <w:highlight w:val="none"/>
          <w:lang w:val="en-US" w:eastAsia="zh-CN" w:bidi="ar-SA"/>
        </w:rPr>
        <w:t>按业主要求参照国家标准GB/T22267-2017，颗粒饱满、无虫蛀、具有本品固有的气味，无掺假，限本地产品。</w:t>
      </w:r>
    </w:p>
    <w:p w14:paraId="27517C77">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豆瓣酱：</w:t>
      </w:r>
      <w:r>
        <w:rPr>
          <w:rFonts w:hint="eastAsia" w:ascii="宋体" w:hAnsi="宋体" w:eastAsia="宋体" w:cs="Times New Roman"/>
          <w:color w:val="auto"/>
          <w:kern w:val="2"/>
          <w:sz w:val="24"/>
          <w:szCs w:val="24"/>
          <w:highlight w:val="none"/>
          <w:lang w:val="en-US" w:eastAsia="zh-CN" w:bidi="ar-SA"/>
        </w:rPr>
        <w:t>按业主要求参照国家标准Q/ZJMS 0004 S-2022，色泽呈红褐色、酱香味、咸淡适口、无杂质。</w:t>
      </w:r>
    </w:p>
    <w:p w14:paraId="6DCB201B">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淀粉：</w:t>
      </w:r>
      <w:r>
        <w:rPr>
          <w:rFonts w:hint="eastAsia" w:ascii="宋体" w:hAnsi="宋体" w:eastAsia="宋体" w:cs="Times New Roman"/>
          <w:color w:val="auto"/>
          <w:kern w:val="2"/>
          <w:sz w:val="24"/>
          <w:szCs w:val="24"/>
          <w:highlight w:val="none"/>
          <w:lang w:val="en-US" w:eastAsia="zh-CN" w:bidi="ar-SA"/>
        </w:rPr>
        <w:t>按业主要求参照国家标准GB/T 8887-2021，洁白粉状、无异味、无沙齿、无杂质。</w:t>
      </w:r>
    </w:p>
    <w:p w14:paraId="2DB718C9">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酱油类:</w:t>
      </w:r>
      <w:r>
        <w:rPr>
          <w:rFonts w:hint="eastAsia" w:ascii="宋体" w:hAnsi="宋体" w:eastAsia="宋体" w:cs="Times New Roman"/>
          <w:color w:val="auto"/>
          <w:kern w:val="2"/>
          <w:sz w:val="24"/>
          <w:szCs w:val="24"/>
          <w:highlight w:val="none"/>
          <w:lang w:val="en-US" w:eastAsia="zh-CN" w:bidi="ar-SA"/>
        </w:rPr>
        <w:t>按业主要求参照国家标准GB 2717-2018，酿造酱油，酱油呈红褐色、色泽鲜艳、有浓郁的酱香味，无异味、无沉淀。桶装产品上面必须清楚的标识有酿造字样、生产日期、生产厂家地址、联系电话。</w:t>
      </w:r>
    </w:p>
    <w:p w14:paraId="66A1F151">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醋类:</w:t>
      </w:r>
      <w:r>
        <w:rPr>
          <w:rFonts w:hint="eastAsia" w:ascii="宋体" w:hAnsi="宋体" w:eastAsia="宋体" w:cs="Times New Roman"/>
          <w:color w:val="auto"/>
          <w:kern w:val="2"/>
          <w:sz w:val="24"/>
          <w:szCs w:val="24"/>
          <w:highlight w:val="none"/>
          <w:lang w:val="en-US" w:eastAsia="zh-CN" w:bidi="ar-SA"/>
        </w:rPr>
        <w:t>按业主要求参照国家标准GB 2719-2018，酿造食用醋，醋口感柔和、无涩味，无浮物，无沉淀。桶装产品上面必须清楚的标识有酿造字样、生产日期、生产厂家地址、联系电话。</w:t>
      </w:r>
    </w:p>
    <w:p w14:paraId="1B814975">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其他干货调料产品：无尘土，无其他杂物,有食材本身的特有香味。</w:t>
      </w:r>
    </w:p>
    <w:p w14:paraId="17B8E8FD">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糕点类</w:t>
      </w:r>
    </w:p>
    <w:p w14:paraId="70625150">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糕点、饼干类必须保证食品质量,按业主要求参照GB 7100-86《糕点、面包卫生标准》。</w:t>
      </w:r>
    </w:p>
    <w:p w14:paraId="70DFCBDE">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符合或高于最新国家标准质量等级要求，含面包、鸡蛋糕、饼干等种类，主要制作原材料小麦粉、小麦粉、饮用水、食用盐、鸡蛋、植物油（调和油除外）等。,感官指标：糕点、饼干、面包应具有各自正常色泽、气味和滋味，不得有酸败、发霉等杂味，食品内外不得有生虫、霉变及其他外来污染物。不得使用含铝泡打粉，不得夹生，无腐败变质、油脂酸败、临近过期变质、霉变生虫等情况。</w:t>
      </w:r>
    </w:p>
    <w:p w14:paraId="72DAD853">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有独立包装，糕点产品标签应符合《中华人民共和国食品安全法》和《食品安全国家标准预包装食品标签通则》GB7718-2011,有相应的包装措施，包装材质必须符合《中华人民共和国食品安全法》，包装要完好无损、包装表面无任何污物和污渍；</w:t>
      </w:r>
    </w:p>
    <w:p w14:paraId="1651B08B">
      <w:pPr>
        <w:shd w:val="clear" w:fill="FFFFFF" w:themeFill="background1"/>
        <w:rPr>
          <w:rFonts w:hint="eastAsia"/>
          <w:color w:val="auto"/>
          <w:highlight w:val="none"/>
          <w:lang w:val="en-US" w:eastAsia="zh-CN"/>
        </w:rPr>
      </w:pPr>
    </w:p>
    <w:p w14:paraId="39A5C900">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水产类</w:t>
      </w:r>
    </w:p>
    <w:p w14:paraId="7C7049E9">
      <w:pPr>
        <w:pStyle w:val="6"/>
        <w:shd w:val="clear" w:fill="FFFFFF" w:themeFill="background1"/>
        <w:spacing w:line="360" w:lineRule="auto"/>
        <w:rPr>
          <w:rFonts w:hint="eastAsia"/>
          <w:lang w:val="en-US" w:eastAsia="zh-CN"/>
        </w:rPr>
      </w:pPr>
      <w:r>
        <w:rPr>
          <w:rFonts w:hint="eastAsia" w:ascii="宋体" w:hAnsi="宋体" w:eastAsia="宋体" w:cs="Times New Roman"/>
          <w:color w:val="auto"/>
          <w:kern w:val="2"/>
          <w:sz w:val="24"/>
          <w:szCs w:val="24"/>
          <w:highlight w:val="none"/>
          <w:lang w:val="en-US" w:eastAsia="zh-CN" w:bidi="ar-SA"/>
        </w:rPr>
        <w:t>（鲤鱼、鲫鱼、螃蟹、虾等）应新鲜有活力，饱满结实、肉紧致有弹性、无离骨脱刺现象、肛门凹陷、腹无胀气、肛门无异物流出，无腐烂异味、无离骨脱刺现象、无伤痕破体现象。鲜鱼类鳞片完整、有光泽无脱落、腮口紧闭、眼球光亮透明、鱼腮腺红、鳍尾完整，来源可靠放心，无毒、无害、无污染，鱼种熟悉，无毒无害，不熟悉、不了解的海鱼不购。</w:t>
      </w:r>
    </w:p>
    <w:p w14:paraId="64A21F9E">
      <w:pPr>
        <w:pStyle w:val="6"/>
        <w:shd w:val="clear" w:fill="FFFFFF" w:themeFill="background1"/>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牛羊猪肉</w:t>
      </w:r>
    </w:p>
    <w:p w14:paraId="3C3AD65F">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鲜肉类应保证来源于政府指定的定点屠宰机构必须有检疫合格证等手续，并为当日屠宰的新鲜肉食品，不得将人工合成类食材或“冷冻肉”替代鲜肉类。每批次货物开具动物检疫合格证明或提供所投牛羊猪肉类产品的有效期内的动物检疫合格证明。如业主需要采购指定部位肉品的肉馅，由供应商进行无偿加工，不许使用任何其他次级肉品进行加工。</w:t>
      </w:r>
    </w:p>
    <w:p w14:paraId="6DB0C81C">
      <w:pPr>
        <w:pStyle w:val="6"/>
        <w:shd w:val="clear" w:fill="FFFFFF" w:themeFill="background1"/>
        <w:spacing w:line="360" w:lineRule="auto"/>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牛肉：</w:t>
      </w:r>
    </w:p>
    <w:p w14:paraId="4A9B3C8B">
      <w:pPr>
        <w:pStyle w:val="6"/>
        <w:shd w:val="clear" w:fill="FFFFFF" w:themeFill="background1"/>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24 小时内屠宰鲜牛肉，按部位分割、包装。肌肉细腻均匀鲜红或深红色、表面光泽、纹路紧密，脂肪乳白色或微黄无异味，外表微干或有风干膜，触摸时不粘手、质地坚实弹性好。煮沸后肉汤澄清透明，脂肪团聚于表面。严禁使用注水肉。不得带伤斑、血淤、血污、碎骨、病变组织、淋巴结、脓包、浮毛或其他杂质。要求优质肥油少。按业主要求参照国家标准GB/T17238-2008。</w:t>
      </w:r>
    </w:p>
    <w:p w14:paraId="70D28B07">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1.牛腩、牛肋排块：修去所有外露脂肪、腩皮、碎骨、软骨、粘膜、膈肌、血污部分，脂肪含量小于 10%。</w:t>
      </w:r>
    </w:p>
    <w:p w14:paraId="6E8E6BD4">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2.仔骨、肋排：修去薄边，形状方正，修去外露脂肪、碎骨、软骨，无刀伤。</w:t>
      </w:r>
    </w:p>
    <w:p w14:paraId="31B5DE66">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3.其他牛肉类：修去表面脂肪、碎肉、血管、碎骨、软骨、表面粘膜、血污部分。</w:t>
      </w:r>
    </w:p>
    <w:p w14:paraId="382419C0">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4.牛骨头：要求干净无异味。</w:t>
      </w:r>
    </w:p>
    <w:p w14:paraId="70C92B33">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5.牛脊骨（带肉）要求干净无异味。</w:t>
      </w:r>
    </w:p>
    <w:p w14:paraId="0930AB22">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6.牛头肉：要求无多余牛皮、牛毛，干净，无异味。</w:t>
      </w:r>
    </w:p>
    <w:p w14:paraId="198C36E1">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7.牛心：新鲜的心脏用手挤压，有鲜红血块派出，组织坚韧、富有弹性、外表有光泽，不得提供冻货。</w:t>
      </w:r>
    </w:p>
    <w:p w14:paraId="0B242A42">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8.牛肝：新鲜的肝呈紫红色、有光泽、质地坚实、有弹性、无寄生虫、无包虫，不得提供冻货。</w:t>
      </w:r>
    </w:p>
    <w:p w14:paraId="13CE7D1D">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9.牛肚：新鲜的肚呈浅黄色、有光泽、黏液多、质地坚实、有弹性，不得提供冻货。</w:t>
      </w:r>
    </w:p>
    <w:p w14:paraId="5FCEE987">
      <w:pPr>
        <w:pStyle w:val="6"/>
        <w:shd w:val="clear"/>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羊肉：</w:t>
      </w:r>
    </w:p>
    <w:p w14:paraId="19ABC21D">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24 小时内屠宰，去除羊尾油，按部位分割剔骨包装。肌肉色泽：肌肉色泽浅红、鲜红或深红，有光泽；肌肉呈乳白色、淡黄色或黄色且均匀，表面光泽，肌纤维致密，坚实有弹性。脂肪呈乳白色、淡黄色。外表微干或有风干膜，切面湿润，不粘手。具有新鲜羊肉固有气味，无异味。煮沸后肉汤澄清透明，脂肪团聚于表面。不得带伤斑、血淤、血污、碎骨、病变组织、淋巴结、脓包、浮毛或其他杂质。按业主要求参照国家标准GB/T 9961-2008。</w:t>
      </w:r>
    </w:p>
    <w:p w14:paraId="31445927">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1.羊心：新鲜的心脏用手挤压，有鲜红血块排出，组织坚韧、富有弹性、外表有光泽、无寄生虫包虫，不得提供冻货。</w:t>
      </w:r>
    </w:p>
    <w:p w14:paraId="39723529">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2.羊肝：新鲜的肝呈紫红色、有光泽、质地坚实、有弹性，不得提供冻货。</w:t>
      </w:r>
    </w:p>
    <w:p w14:paraId="7A192E75">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3.羊尾油：颜色微黄，富有弹性，无明显的杂质。</w:t>
      </w:r>
    </w:p>
    <w:p w14:paraId="2B1E23C6">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4.羊骨头：无异味，无杂质。</w:t>
      </w:r>
    </w:p>
    <w:p w14:paraId="55E1EB8F">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5.羊肺子：无异味，无杂质，不得提供冻货。</w:t>
      </w:r>
    </w:p>
    <w:p w14:paraId="39BBC05F">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6.羊肠：无明显的刺鼻的异味。</w:t>
      </w:r>
    </w:p>
    <w:p w14:paraId="3DFF7D50">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7.羊蹄：无脏物，无异味，严禁药水浸泡。</w:t>
      </w:r>
    </w:p>
    <w:p w14:paraId="39F03542">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8.羊蝎骨：无异味，无杂质。</w:t>
      </w:r>
    </w:p>
    <w:p w14:paraId="3D225F89">
      <w:pPr>
        <w:pStyle w:val="6"/>
        <w:shd w:val="clear"/>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猪肉：</w:t>
      </w:r>
    </w:p>
    <w:p w14:paraId="60135E49">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24 小时内屠宰，肌肉有光泽，红色均匀， 脂肪乳白色，纤维清晰，有坚韧性，指压后凹陷立即恢复，外表湿润， 不粘手，具有鲜猪肉固有的气味，无异味，煮沸后肉汤澄清透明，脂肪团聚于表面。按业主要求参照国家标准GB/T 9959.3-2019。</w:t>
      </w:r>
    </w:p>
    <w:p w14:paraId="7EF5CCC1">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1.前夹肉：肉质新鲜有弹性，色泽红润光亮，脂肪不能大于30%，脂肪颜色呈乳白色，切面有红色，无异味、无淤血血斑、无注水、无寄生虫、无针眼脓包，禁用黑毛猪、死猪肉。</w:t>
      </w:r>
    </w:p>
    <w:p w14:paraId="74F346AB">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2.五花肉：有光泽、有弹力、带皮的肥瘦肉、肌肉与脂肪相间多层，不带肚皮肉，禁用黑毛猪、死猪肉，无针眼脓包，禁用黑毛猪、死猪肉。</w:t>
      </w:r>
    </w:p>
    <w:p w14:paraId="18B3171C">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3.排骨：不带肥油，厚实、完整、不得剔为净骨，骨肉不分离，禁用黑毛猪、死猪肉。</w:t>
      </w:r>
    </w:p>
    <w:p w14:paraId="5A5B72B3">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4.精瘦肉：去皮、去骨、去皮下脂肪的肌肉，有光泽、有弹力、无肥肉，肌腱少，无针眼脓包，禁用黑毛猪、死猪肉。</w:t>
      </w:r>
    </w:p>
    <w:p w14:paraId="755B4477">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.猪肝：新鲜的肝呈紫红色、有光泽、质地坚实、有弹性，不得提供冻货。</w:t>
      </w:r>
    </w:p>
    <w:p w14:paraId="58DF50EF">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6</w:t>
      </w:r>
      <w:r>
        <w:rPr>
          <w:rFonts w:hint="eastAsia" w:ascii="宋体" w:hAnsi="宋体" w:eastAsia="宋体" w:cs="Times New Roman"/>
          <w:color w:val="auto"/>
          <w:kern w:val="2"/>
          <w:sz w:val="24"/>
          <w:szCs w:val="24"/>
          <w:highlight w:val="none"/>
          <w:lang w:val="en-US" w:eastAsia="zh-CN" w:bidi="ar-SA"/>
        </w:rPr>
        <w:t>.猪头肉去全骨：无夹毛，无异味、整体干净。</w:t>
      </w:r>
    </w:p>
    <w:p w14:paraId="218D1041">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7</w:t>
      </w:r>
      <w:r>
        <w:rPr>
          <w:rFonts w:hint="eastAsia" w:ascii="宋体" w:hAnsi="宋体" w:eastAsia="宋体" w:cs="Times New Roman"/>
          <w:color w:val="auto"/>
          <w:kern w:val="2"/>
          <w:sz w:val="24"/>
          <w:szCs w:val="24"/>
          <w:highlight w:val="none"/>
          <w:lang w:val="en-US" w:eastAsia="zh-CN" w:bidi="ar-SA"/>
        </w:rPr>
        <w:t>.猪肘：颜色呈深红色，无淤血，无异味。</w:t>
      </w:r>
    </w:p>
    <w:p w14:paraId="377F7EE4">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8</w:t>
      </w:r>
      <w:r>
        <w:rPr>
          <w:rFonts w:hint="eastAsia" w:ascii="宋体" w:hAnsi="宋体" w:eastAsia="宋体" w:cs="Times New Roman"/>
          <w:color w:val="auto"/>
          <w:kern w:val="2"/>
          <w:sz w:val="24"/>
          <w:szCs w:val="24"/>
          <w:highlight w:val="none"/>
          <w:lang w:val="en-US" w:eastAsia="zh-CN" w:bidi="ar-SA"/>
        </w:rPr>
        <w:t>.猪耳朵：新鲜的肚呈浅黄色，有光泽、黏液多、质地坚实。</w:t>
      </w:r>
    </w:p>
    <w:p w14:paraId="6E855271">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9</w:t>
      </w:r>
      <w:r>
        <w:rPr>
          <w:rFonts w:hint="eastAsia" w:ascii="宋体" w:hAnsi="宋体" w:eastAsia="宋体" w:cs="Times New Roman"/>
          <w:color w:val="auto"/>
          <w:kern w:val="2"/>
          <w:sz w:val="24"/>
          <w:szCs w:val="24"/>
          <w:highlight w:val="none"/>
          <w:lang w:val="en-US" w:eastAsia="zh-CN" w:bidi="ar-SA"/>
        </w:rPr>
        <w:t>.猪蹄：无夹毛、无异味，整体干净。</w:t>
      </w:r>
    </w:p>
    <w:p w14:paraId="3796AB84">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hint="eastAsia" w:ascii="宋体" w:hAnsi="宋体" w:cs="Times New Roman"/>
          <w:color w:val="auto"/>
          <w:kern w:val="2"/>
          <w:sz w:val="24"/>
          <w:szCs w:val="24"/>
          <w:highlight w:val="none"/>
          <w:lang w:val="en-US" w:eastAsia="zh-CN" w:bidi="ar-SA"/>
        </w:rPr>
        <w:t>0</w:t>
      </w:r>
      <w:r>
        <w:rPr>
          <w:rFonts w:hint="eastAsia" w:ascii="宋体" w:hAnsi="宋体" w:eastAsia="宋体" w:cs="Times New Roman"/>
          <w:color w:val="auto"/>
          <w:kern w:val="2"/>
          <w:sz w:val="24"/>
          <w:szCs w:val="24"/>
          <w:highlight w:val="none"/>
          <w:lang w:val="en-US" w:eastAsia="zh-CN" w:bidi="ar-SA"/>
        </w:rPr>
        <w:t>.猪舌：无明显的粘手液体，无异味。</w:t>
      </w:r>
    </w:p>
    <w:p w14:paraId="369F5D9B">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hint="eastAsia" w:ascii="宋体" w:hAnsi="宋体" w:cs="Times New Roman"/>
          <w:color w:val="auto"/>
          <w:kern w:val="2"/>
          <w:sz w:val="24"/>
          <w:szCs w:val="24"/>
          <w:highlight w:val="none"/>
          <w:lang w:val="en-US" w:eastAsia="zh-CN" w:bidi="ar-SA"/>
        </w:rPr>
        <w:t>1</w:t>
      </w:r>
      <w:r>
        <w:rPr>
          <w:rFonts w:hint="eastAsia" w:ascii="宋体" w:hAnsi="宋体" w:eastAsia="宋体" w:cs="Times New Roman"/>
          <w:color w:val="auto"/>
          <w:kern w:val="2"/>
          <w:sz w:val="24"/>
          <w:szCs w:val="24"/>
          <w:highlight w:val="none"/>
          <w:lang w:val="en-US" w:eastAsia="zh-CN" w:bidi="ar-SA"/>
        </w:rPr>
        <w:t>.猪骨头（带肉）：无明显的刺鼻气味</w:t>
      </w:r>
    </w:p>
    <w:p w14:paraId="22702C71">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.猪皮：皮上无猪毛、无异味，整体干净、色白。</w:t>
      </w:r>
    </w:p>
    <w:p w14:paraId="18BF4C84">
      <w:pPr>
        <w:pStyle w:val="6"/>
        <w:shd w:val="clear"/>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新鲜光禽鸡鸭：</w:t>
      </w:r>
    </w:p>
    <w:p w14:paraId="1FDCF6B5">
      <w:pPr>
        <w:pStyle w:val="6"/>
        <w:shd w:val="clear"/>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新鲜光禽：</w:t>
      </w:r>
    </w:p>
    <w:p w14:paraId="45FC92A1">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光禽是指经宰杀去毛以后的鸡、鸭、鹅等禽类，质量好坏，是否新鲜，主要根据以下几方面来判别：</w:t>
      </w:r>
    </w:p>
    <w:p w14:paraId="77B95B8D">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1.喙有光泽、干燥、无粘液；</w:t>
      </w:r>
    </w:p>
    <w:p w14:paraId="0309CF58">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2.口腔：新鲜的光禽口腔粘膜呈淡玫瑰色，有光泽、洁净、无异味；</w:t>
      </w:r>
    </w:p>
    <w:p w14:paraId="709731DF">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3.眼球:无干缩凹陷或晶体状浑浊现象。</w:t>
      </w:r>
    </w:p>
    <w:p w14:paraId="04A55D92">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4.皮肤：新鲜的光禽皮肤上毛孔隆起，表面干燥而紧缩，呈乳白色或淡黄色，</w:t>
      </w:r>
    </w:p>
    <w:p w14:paraId="3A272DC8">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稍带微红，无异味；</w:t>
      </w:r>
    </w:p>
    <w:p w14:paraId="663953BF">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5.脂肪：新鲜的光禽脂肪呈淡黄色或黄色，有光泽，无异味；</w:t>
      </w:r>
    </w:p>
    <w:p w14:paraId="1C56C016">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6.肌肉：新鲜光禽肌肉结实，有弹性，有光泽，颈、腿部肌肉呈玫瑰红色。</w:t>
      </w:r>
    </w:p>
    <w:p w14:paraId="49DF3EC4">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7.气味:具有其固有气味、无异味。</w:t>
      </w:r>
    </w:p>
    <w:p w14:paraId="64005507">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8.弹性:指压后凹陷、能恢复。</w:t>
      </w:r>
    </w:p>
    <w:p w14:paraId="73D22D67">
      <w:pPr>
        <w:pStyle w:val="6"/>
        <w:shd w:val="clear"/>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鸡、鸭类各部件感官检验标准</w:t>
      </w:r>
    </w:p>
    <w:p w14:paraId="7BE5BD85">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爪:品质新鲜、呈白色或灰白色、无黄皮趾壳、无血污、血水无残缺、脚趾根上无黑班、允许有少量红斑。</w:t>
      </w:r>
    </w:p>
    <w:p w14:paraId="7CE36030">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翅:品质新鲜、无残羽、无黄衣、无伤斑及溃烂、无血水血污、允许有少数斑、允许剪修但最大范围不超转弯关节处。</w:t>
      </w:r>
    </w:p>
    <w:p w14:paraId="2CC8D60B">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腿:无残羽、无血水、血污、品质新鲜、无残骨无伤斑及溃烂、炎症、允许有少数红斑、外形美观。</w:t>
      </w:r>
    </w:p>
    <w:p w14:paraId="7F3646B3">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胸肉:品质新鲜、无残羽、无血不、血污、无残骨、无伤斑、溃烂、炎症，允许有少数红斑。</w:t>
      </w:r>
    </w:p>
    <w:p w14:paraId="16FEB78C">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肝:品质新鲜、外形完整、去胆、无寄生虫、炎症、水泡，无胆汁污染无 血渍。</w:t>
      </w:r>
    </w:p>
    <w:p w14:paraId="39F9DF61">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胗:品质新鲜、形外完整、无内膜、无脂肪、去食管。</w:t>
      </w:r>
    </w:p>
    <w:p w14:paraId="44E913F5">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心:品质新鲜、形外完整、无伤斑、无溃烂、去血渍。</w:t>
      </w:r>
    </w:p>
    <w:p w14:paraId="3AB1FFBD">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脖:品质新鲜、去劲部皮、无羽毛、无血污。</w:t>
      </w:r>
    </w:p>
    <w:p w14:paraId="15952533">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头:品质新鲜、外形完整、无伤班、无溃烂、无血污。</w:t>
      </w:r>
    </w:p>
    <w:p w14:paraId="4E56E761">
      <w:pPr>
        <w:pStyle w:val="6"/>
        <w:shd w:val="clear"/>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饮料类</w:t>
      </w:r>
    </w:p>
    <w:p w14:paraId="1B217144">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包装饮用水的标准为《食品安全国家标准包装饮用水》规定了包装饮用水的原料要求、感官要求、理化指标、污染物、真菌毒素、微生物限量等要求。还受到其他相关标准的监管。</w:t>
      </w:r>
    </w:p>
    <w:p w14:paraId="3C00FAA9">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饮用天然矿泉水的标准为《食品安全国家标准饮用天然矿泉水》。还受到其他相关标准的监管。</w:t>
      </w:r>
    </w:p>
    <w:p w14:paraId="1601706C">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饮料：</w:t>
      </w:r>
      <w:r>
        <w:rPr>
          <w:rFonts w:hint="eastAsia" w:ascii="宋体" w:hAnsi="宋体" w:eastAsia="宋体" w:cs="Times New Roman"/>
          <w:color w:val="auto"/>
          <w:kern w:val="2"/>
          <w:sz w:val="24"/>
          <w:szCs w:val="24"/>
          <w:highlight w:val="none"/>
          <w:lang w:val="en-US" w:eastAsia="zh-CN" w:bidi="ar-SA"/>
        </w:rPr>
        <w:t>依据标准是《食品安全国家标准饮料》，饮料是指用一种或几种食用原料，添加或不添加铺料、食品添加剂、食品营养强化剂，经加工制成定量包装的、供直接饮用或冲调饮用、乙醇含量不超过质量分数为 0.5%的制品，也可称为饮品。按照我国的国家标准《饮料通则》，饮料分类主要有果蔬汁类及其饮料、蛋白饮料、碳酸饮料、特殊用途饮料、风味饮料、茶饮料、咖啡饮料、植物饮料、固体饮料等。</w:t>
      </w:r>
    </w:p>
    <w:p w14:paraId="3DFD8C17">
      <w:pPr>
        <w:pStyle w:val="6"/>
        <w:shd w:val="clear"/>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果蔬汁类及其饮料：</w:t>
      </w:r>
    </w:p>
    <w:p w14:paraId="543A8D64">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果蔬汁类及其饮料》规定了果蔬汁类及其饮料的术语和定义、分类、技术要求、试验方法、检验规则和标志、包装、运输、贮存。《果蔬汁类及其饮料》适用于以水果和（或）蔬菜（包括可食的根、茎、叶、花、果实）等为原料，经加工或发酵制成的液体饮料。</w:t>
      </w:r>
    </w:p>
    <w:p w14:paraId="3251D8A5">
      <w:pPr>
        <w:pStyle w:val="6"/>
        <w:shd w:val="clear"/>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植物饮料：</w:t>
      </w:r>
    </w:p>
    <w:p w14:paraId="1E6F9C02">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由国家标准《植物饮料》。</w:t>
      </w:r>
    </w:p>
    <w:p w14:paraId="050E3CEE">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乳饮料是以乳或乳制品为原料，加入水及其适量辅料经配制或发酵而成的饮料制品。乳饮料的主要品种包括配制型含乳饮料、发酵型含乳饮料和乳酸菌饮料。其中，配制型含乳饮料、发酵型含乳饮料的蛋白质含量不得低于 1.0 g/100g；而乳酸菌饮料蛋白质含量不得低于 0.7 g/100g。这些乳饮料的包装上应标有“饮料”、“饮品”、“含乳饮料”等字样，其配料表上除了水、乳或乳制品外，其他还可允许添加增稠剂、乳化剂、香精、色素等食品添加剂。</w:t>
      </w:r>
    </w:p>
    <w:p w14:paraId="59DBA3C8">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饮料生产卫生规范为《食品安全国家标准饮料生产卫生规范》，规定了饮料生产过程中原料采购、加工、包装、贮存和运输等环节的卫生要求。</w:t>
      </w:r>
    </w:p>
    <w:p w14:paraId="5398D913">
      <w:pPr>
        <w:pStyle w:val="6"/>
        <w:shd w:val="clear"/>
        <w:spacing w:line="360" w:lineRule="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豆制品</w:t>
      </w:r>
    </w:p>
    <w:p w14:paraId="182A154C">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所提供豆制品需按业主要求参照国家标准 GB2712-2014。</w:t>
      </w:r>
    </w:p>
    <w:p w14:paraId="5478A531">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豆腐：</w:t>
      </w:r>
      <w:r>
        <w:rPr>
          <w:rFonts w:hint="eastAsia" w:ascii="宋体" w:hAnsi="宋体" w:eastAsia="宋体" w:cs="Times New Roman"/>
          <w:color w:val="auto"/>
          <w:kern w:val="2"/>
          <w:sz w:val="24"/>
          <w:szCs w:val="24"/>
          <w:highlight w:val="none"/>
          <w:lang w:val="en-US" w:eastAsia="zh-CN" w:bidi="ar-SA"/>
        </w:rPr>
        <w:t>呈淡黄色、有豆香、不酸，揭布后不脱皮、不坍、切口光亮、持水性好，爽滑不粗、较密实，冷链配送，并附产品质量监督检验报告。</w:t>
      </w:r>
    </w:p>
    <w:p w14:paraId="5539DE59">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盒装内酯豆腐：白色或乳白色，略有豆香，持水性好，刀切后不坍、不裂，滑爽不粗，无涩味。</w:t>
      </w:r>
    </w:p>
    <w:p w14:paraId="6738B600">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豆腐皮：</w:t>
      </w:r>
      <w:r>
        <w:rPr>
          <w:rFonts w:hint="eastAsia" w:ascii="宋体" w:hAnsi="宋体" w:eastAsia="宋体" w:cs="Times New Roman"/>
          <w:color w:val="auto"/>
          <w:kern w:val="2"/>
          <w:sz w:val="24"/>
          <w:szCs w:val="24"/>
          <w:highlight w:val="none"/>
          <w:lang w:val="en-US" w:eastAsia="zh-CN" w:bidi="ar-SA"/>
        </w:rPr>
        <w:t>色泽淡黄，豆香味浓郁纯正、韧性好、无杂质，方形薄张，无白边、白头、花洞厚，薄均匀。</w:t>
      </w:r>
    </w:p>
    <w:p w14:paraId="1F6780C4">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素鸡：</w:t>
      </w:r>
      <w:r>
        <w:rPr>
          <w:rFonts w:hint="eastAsia" w:ascii="宋体" w:hAnsi="宋体" w:eastAsia="宋体" w:cs="Times New Roman"/>
          <w:color w:val="auto"/>
          <w:kern w:val="2"/>
          <w:sz w:val="24"/>
          <w:szCs w:val="24"/>
          <w:highlight w:val="none"/>
          <w:lang w:val="en-US" w:eastAsia="zh-CN" w:bidi="ar-SA"/>
        </w:rPr>
        <w:t>椭圆形，淡黄色，有弹性，无异味。</w:t>
      </w:r>
    </w:p>
    <w:p w14:paraId="04C41735">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豆腐干：</w:t>
      </w:r>
      <w:r>
        <w:rPr>
          <w:rFonts w:hint="eastAsia" w:ascii="宋体" w:hAnsi="宋体" w:eastAsia="宋体" w:cs="Times New Roman"/>
          <w:color w:val="auto"/>
          <w:kern w:val="2"/>
          <w:sz w:val="24"/>
          <w:szCs w:val="24"/>
          <w:highlight w:val="none"/>
          <w:lang w:val="en-US" w:eastAsia="zh-CN" w:bidi="ar-SA"/>
        </w:rPr>
        <w:t>淡黄色或黄色，有豆香，块形整齐，厚薄均匀，密实，有韧性。</w:t>
      </w:r>
    </w:p>
    <w:p w14:paraId="575D9190">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其它豆类产品：</w:t>
      </w:r>
      <w:r>
        <w:rPr>
          <w:rFonts w:hint="eastAsia" w:ascii="宋体" w:hAnsi="宋体" w:eastAsia="宋体" w:cs="Times New Roman"/>
          <w:color w:val="auto"/>
          <w:kern w:val="2"/>
          <w:sz w:val="24"/>
          <w:szCs w:val="24"/>
          <w:highlight w:val="none"/>
          <w:lang w:val="en-US" w:eastAsia="zh-CN" w:bidi="ar-SA"/>
        </w:rPr>
        <w:t>色泽及口感纯正，新鲜无异味，有自然香味，弹性韧性好。</w:t>
      </w:r>
    </w:p>
    <w:p w14:paraId="5FE71B24">
      <w:pPr>
        <w:pStyle w:val="10"/>
        <w:shd w:val="clear"/>
        <w:spacing w:line="320" w:lineRule="exact"/>
        <w:ind w:left="0" w:leftChars="0" w:firstLine="0" w:firstLineChars="0"/>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注:未列入上述的食材必须符合国家食品安全及卫生的标准，提供相应的检测报告等质量合格的单据材料，符合营养健康的标准要求，避免提供高盐、高油及高糖的食材，确保食材新鲜卫生、品种多样、营养均衡。本项目采购包含但不限于上类产品，采购人可根据内部需要对种类做出调整。请各供应商根据实际情况报出合理的下浮，具体需求根据客户要求配送。</w:t>
      </w:r>
    </w:p>
    <w:bookmarkEnd w:id="249"/>
    <w:bookmarkEnd w:id="250"/>
    <w:p w14:paraId="69776874">
      <w:pPr>
        <w:pStyle w:val="10"/>
        <w:shd w:val="clear"/>
        <w:spacing w:line="320" w:lineRule="exact"/>
        <w:ind w:left="0" w:leftChars="0" w:firstLine="0" w:firstLineChars="0"/>
        <w:rPr>
          <w:rFonts w:hint="eastAsia" w:ascii="宋体" w:hAnsi="宋体" w:eastAsia="宋体" w:cs="宋体"/>
          <w:b/>
          <w:i w:val="0"/>
          <w:color w:val="auto"/>
          <w:kern w:val="0"/>
          <w:sz w:val="28"/>
          <w:szCs w:val="28"/>
          <w:highlight w:val="none"/>
          <w:u w:val="none"/>
          <w:lang w:val="en-US" w:eastAsia="zh-CN" w:bidi="ar"/>
        </w:rPr>
      </w:pPr>
    </w:p>
    <w:p w14:paraId="6D291E5C">
      <w:pPr>
        <w:pStyle w:val="1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hAnsi="宋体" w:eastAsia="宋体"/>
          <w:b/>
          <w:bCs/>
          <w:color w:val="auto"/>
          <w:kern w:val="2"/>
          <w:sz w:val="24"/>
          <w:szCs w:val="24"/>
          <w:highlight w:val="none"/>
          <w:lang w:val="en-US" w:eastAsia="zh-CN"/>
        </w:rPr>
      </w:pPr>
      <w:bookmarkStart w:id="258" w:name="_Toc518912744"/>
      <w:bookmarkStart w:id="259" w:name="_Toc513577057"/>
      <w:bookmarkStart w:id="260" w:name="_Toc513538422"/>
      <w:bookmarkStart w:id="261" w:name="_Toc508699204"/>
      <w:bookmarkStart w:id="262" w:name="_Toc330203041"/>
      <w:bookmarkStart w:id="263" w:name="_Toc367116137"/>
      <w:bookmarkStart w:id="264" w:name="_Toc484085812"/>
      <w:bookmarkStart w:id="265" w:name="_Toc484006128"/>
      <w:bookmarkStart w:id="266" w:name="_Toc402279459"/>
      <w:bookmarkStart w:id="267" w:name="_Toc318384806"/>
      <w:bookmarkStart w:id="268" w:name="_Toc335905912"/>
      <w:bookmarkStart w:id="269" w:name="_Toc401907613"/>
      <w:bookmarkStart w:id="270" w:name="_Toc143871285"/>
      <w:bookmarkStart w:id="271" w:name="_Toc5124208"/>
      <w:bookmarkStart w:id="272" w:name="_Toc9612840"/>
      <w:bookmarkStart w:id="273" w:name="_Toc524368772"/>
      <w:bookmarkStart w:id="274" w:name="_Toc11931244"/>
      <w:bookmarkStart w:id="275" w:name="_Toc401913938"/>
      <w:bookmarkStart w:id="276" w:name="_Toc484006250"/>
      <w:bookmarkStart w:id="277" w:name="_Toc9864076"/>
      <w:bookmarkStart w:id="278" w:name="_Toc226521709"/>
      <w:bookmarkStart w:id="279" w:name="_Toc209258288"/>
      <w:bookmarkStart w:id="280" w:name="_Toc509233625"/>
      <w:bookmarkStart w:id="281" w:name="_Toc481132111"/>
      <w:bookmarkStart w:id="282" w:name="_Toc10446408"/>
      <w:bookmarkStart w:id="283" w:name="_Toc242954265"/>
      <w:bookmarkStart w:id="284" w:name="_Toc330387357"/>
      <w:bookmarkStart w:id="285" w:name="_Toc426056644"/>
      <w:bookmarkStart w:id="286" w:name="_Toc524517841"/>
      <w:bookmarkStart w:id="287" w:name="_Toc438195960"/>
      <w:bookmarkStart w:id="288" w:name="_Toc226966697"/>
      <w:bookmarkStart w:id="289" w:name="_Toc484008222"/>
      <w:bookmarkStart w:id="290" w:name="_Toc504139376"/>
      <w:bookmarkStart w:id="291" w:name="_Toc367111571"/>
      <w:bookmarkStart w:id="292" w:name="_Toc258398535"/>
      <w:bookmarkStart w:id="293" w:name="_Toc237059751"/>
      <w:bookmarkStart w:id="294" w:name="_Toc481070341"/>
      <w:bookmarkStart w:id="295" w:name="_Toc11944581"/>
      <w:r>
        <w:rPr>
          <w:rFonts w:hint="eastAsia" w:hAnsi="宋体"/>
          <w:b/>
          <w:bCs/>
          <w:color w:val="auto"/>
          <w:kern w:val="2"/>
          <w:sz w:val="24"/>
          <w:szCs w:val="24"/>
          <w:highlight w:val="none"/>
          <w:lang w:val="en-US" w:eastAsia="zh-CN"/>
        </w:rPr>
        <w:t>二</w:t>
      </w:r>
      <w:r>
        <w:rPr>
          <w:rFonts w:hint="eastAsia" w:hAnsi="宋体"/>
          <w:b/>
          <w:bCs/>
          <w:color w:val="auto"/>
          <w:kern w:val="2"/>
          <w:sz w:val="24"/>
          <w:szCs w:val="24"/>
          <w:highlight w:val="none"/>
        </w:rPr>
        <w:t>、</w:t>
      </w:r>
      <w:bookmarkEnd w:id="258"/>
      <w:bookmarkEnd w:id="259"/>
      <w:bookmarkEnd w:id="260"/>
      <w:r>
        <w:rPr>
          <w:rFonts w:hint="eastAsia" w:hAnsi="宋体"/>
          <w:b/>
          <w:bCs/>
          <w:color w:val="auto"/>
          <w:kern w:val="2"/>
          <w:sz w:val="24"/>
          <w:szCs w:val="24"/>
          <w:highlight w:val="none"/>
          <w:lang w:val="en-US" w:eastAsia="zh-CN"/>
        </w:rPr>
        <w:t>其他要求</w:t>
      </w:r>
    </w:p>
    <w:p w14:paraId="24F73D07">
      <w:pPr>
        <w:pStyle w:val="1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Times New Roman"/>
          <w:color w:val="auto"/>
          <w:kern w:val="2"/>
          <w:sz w:val="24"/>
          <w:szCs w:val="24"/>
          <w:highlight w:val="none"/>
        </w:rPr>
      </w:pPr>
      <w:r>
        <w:rPr>
          <w:rFonts w:hint="eastAsia" w:hAnsi="宋体" w:cs="Times New Roman"/>
          <w:color w:val="auto"/>
          <w:kern w:val="2"/>
          <w:sz w:val="24"/>
          <w:szCs w:val="24"/>
          <w:highlight w:val="none"/>
          <w:lang w:eastAsia="zh-CN"/>
        </w:rPr>
        <w:t>（</w:t>
      </w:r>
      <w:r>
        <w:rPr>
          <w:rFonts w:hint="eastAsia" w:hAnsi="宋体" w:cs="Times New Roman"/>
          <w:color w:val="auto"/>
          <w:kern w:val="2"/>
          <w:sz w:val="24"/>
          <w:szCs w:val="24"/>
          <w:highlight w:val="none"/>
          <w:lang w:val="en-US" w:eastAsia="zh-CN"/>
        </w:rPr>
        <w:t>1</w:t>
      </w:r>
      <w:r>
        <w:rPr>
          <w:rFonts w:hint="eastAsia" w:hAnsi="宋体" w:cs="Times New Roman"/>
          <w:color w:val="auto"/>
          <w:kern w:val="2"/>
          <w:sz w:val="24"/>
          <w:szCs w:val="24"/>
          <w:highlight w:val="none"/>
          <w:lang w:eastAsia="zh-CN"/>
        </w:rPr>
        <w:t>）</w:t>
      </w:r>
      <w:r>
        <w:rPr>
          <w:rFonts w:hint="eastAsia" w:ascii="宋体" w:hAnsi="宋体" w:eastAsia="宋体" w:cs="Times New Roman"/>
          <w:color w:val="auto"/>
          <w:kern w:val="2"/>
          <w:sz w:val="24"/>
          <w:szCs w:val="24"/>
          <w:highlight w:val="none"/>
        </w:rPr>
        <w:t>所购的食品、食材无论数量多少，供货商应无条件、按时保质保量送货。</w:t>
      </w:r>
    </w:p>
    <w:p w14:paraId="12084723">
      <w:pPr>
        <w:pStyle w:val="1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Times New Roman"/>
          <w:color w:val="auto"/>
          <w:kern w:val="2"/>
          <w:sz w:val="24"/>
          <w:szCs w:val="24"/>
          <w:highlight w:val="none"/>
        </w:rPr>
      </w:pPr>
      <w:r>
        <w:rPr>
          <w:rFonts w:hint="eastAsia" w:hAnsi="宋体" w:cs="Times New Roman"/>
          <w:color w:val="auto"/>
          <w:kern w:val="2"/>
          <w:sz w:val="24"/>
          <w:szCs w:val="24"/>
          <w:highlight w:val="none"/>
          <w:lang w:eastAsia="zh-CN"/>
        </w:rPr>
        <w:t>（</w:t>
      </w:r>
      <w:r>
        <w:rPr>
          <w:rFonts w:hint="eastAsia" w:hAnsi="宋体" w:cs="Times New Roman"/>
          <w:color w:val="auto"/>
          <w:kern w:val="2"/>
          <w:sz w:val="24"/>
          <w:szCs w:val="24"/>
          <w:highlight w:val="none"/>
          <w:lang w:val="en-US" w:eastAsia="zh-CN"/>
        </w:rPr>
        <w:t>2</w:t>
      </w:r>
      <w:r>
        <w:rPr>
          <w:rFonts w:hint="eastAsia" w:hAnsi="宋体" w:cs="Times New Roman"/>
          <w:color w:val="auto"/>
          <w:kern w:val="2"/>
          <w:sz w:val="24"/>
          <w:szCs w:val="24"/>
          <w:highlight w:val="none"/>
          <w:lang w:eastAsia="zh-CN"/>
        </w:rPr>
        <w:t>）</w:t>
      </w:r>
      <w:r>
        <w:rPr>
          <w:rFonts w:hint="eastAsia" w:ascii="宋体" w:hAnsi="宋体" w:eastAsia="宋体" w:cs="Times New Roman"/>
          <w:color w:val="auto"/>
          <w:kern w:val="2"/>
          <w:sz w:val="24"/>
          <w:szCs w:val="24"/>
          <w:highlight w:val="none"/>
        </w:rPr>
        <w:t>食堂所购的食品、食材，供货商需按规定时间送到学校食堂。超出约定时间30分钟，则将扣除当日货款10％作为处罚。</w:t>
      </w:r>
    </w:p>
    <w:p w14:paraId="0EC3B351">
      <w:pPr>
        <w:pStyle w:val="1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Times New Roman"/>
          <w:color w:val="auto"/>
          <w:kern w:val="2"/>
          <w:sz w:val="24"/>
          <w:szCs w:val="24"/>
          <w:highlight w:val="none"/>
        </w:rPr>
      </w:pPr>
      <w:r>
        <w:rPr>
          <w:rFonts w:hint="eastAsia" w:hAnsi="宋体" w:cs="Times New Roman"/>
          <w:color w:val="auto"/>
          <w:kern w:val="2"/>
          <w:sz w:val="24"/>
          <w:szCs w:val="24"/>
          <w:highlight w:val="none"/>
          <w:lang w:eastAsia="zh-CN"/>
        </w:rPr>
        <w:t>（</w:t>
      </w:r>
      <w:r>
        <w:rPr>
          <w:rFonts w:hint="eastAsia" w:hAnsi="宋体" w:cs="Times New Roman"/>
          <w:color w:val="auto"/>
          <w:kern w:val="2"/>
          <w:sz w:val="24"/>
          <w:szCs w:val="24"/>
          <w:highlight w:val="none"/>
          <w:lang w:val="en-US" w:eastAsia="zh-CN"/>
        </w:rPr>
        <w:t>3</w:t>
      </w:r>
      <w:r>
        <w:rPr>
          <w:rFonts w:hint="eastAsia" w:hAnsi="宋体" w:cs="Times New Roman"/>
          <w:color w:val="auto"/>
          <w:kern w:val="2"/>
          <w:sz w:val="24"/>
          <w:szCs w:val="24"/>
          <w:highlight w:val="none"/>
          <w:lang w:eastAsia="zh-CN"/>
        </w:rPr>
        <w:t>）</w:t>
      </w:r>
      <w:r>
        <w:rPr>
          <w:rFonts w:hint="eastAsia" w:ascii="宋体" w:hAnsi="宋体" w:eastAsia="宋体" w:cs="Times New Roman"/>
          <w:color w:val="auto"/>
          <w:kern w:val="2"/>
          <w:sz w:val="24"/>
          <w:szCs w:val="24"/>
          <w:highlight w:val="none"/>
        </w:rPr>
        <w:t>如遇不可抗拒特殊情况，无法按时送达货物，供货商需提前通知学校食堂。并立即想办法解决困难，配送到达时间不得超过约定时间一小时，如供货商在规定时间内没有配送到，给学校带来的一切经济后果将由供货商承担。</w:t>
      </w:r>
    </w:p>
    <w:p w14:paraId="7AE3C5ED">
      <w:pPr>
        <w:pStyle w:val="1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Times New Roman"/>
          <w:color w:val="auto"/>
          <w:kern w:val="2"/>
          <w:sz w:val="24"/>
          <w:szCs w:val="24"/>
          <w:highlight w:val="none"/>
        </w:rPr>
      </w:pPr>
      <w:r>
        <w:rPr>
          <w:rFonts w:hint="eastAsia" w:hAnsi="宋体" w:cs="Times New Roman"/>
          <w:color w:val="auto"/>
          <w:kern w:val="2"/>
          <w:sz w:val="24"/>
          <w:szCs w:val="24"/>
          <w:highlight w:val="none"/>
          <w:lang w:eastAsia="zh-CN"/>
        </w:rPr>
        <w:t>（</w:t>
      </w:r>
      <w:r>
        <w:rPr>
          <w:rFonts w:hint="eastAsia" w:hAnsi="宋体" w:cs="Times New Roman"/>
          <w:color w:val="auto"/>
          <w:kern w:val="2"/>
          <w:sz w:val="24"/>
          <w:szCs w:val="24"/>
          <w:highlight w:val="none"/>
          <w:lang w:val="en-US" w:eastAsia="zh-CN"/>
        </w:rPr>
        <w:t>4</w:t>
      </w:r>
      <w:r>
        <w:rPr>
          <w:rFonts w:hint="eastAsia" w:hAnsi="宋体" w:cs="Times New Roman"/>
          <w:color w:val="auto"/>
          <w:kern w:val="2"/>
          <w:sz w:val="24"/>
          <w:szCs w:val="24"/>
          <w:highlight w:val="none"/>
          <w:lang w:eastAsia="zh-CN"/>
        </w:rPr>
        <w:t>）</w:t>
      </w:r>
      <w:r>
        <w:rPr>
          <w:rFonts w:hint="eastAsia" w:hAnsi="宋体" w:cs="Times New Roman"/>
          <w:color w:val="auto"/>
          <w:kern w:val="2"/>
          <w:sz w:val="24"/>
          <w:szCs w:val="24"/>
          <w:highlight w:val="none"/>
          <w:lang w:val="en-US" w:eastAsia="zh-CN"/>
        </w:rPr>
        <w:t>货物送达时间</w:t>
      </w:r>
      <w:r>
        <w:rPr>
          <w:rFonts w:hint="eastAsia" w:ascii="宋体" w:hAnsi="宋体" w:eastAsia="宋体" w:cs="Times New Roman"/>
          <w:color w:val="auto"/>
          <w:kern w:val="2"/>
          <w:sz w:val="24"/>
          <w:szCs w:val="24"/>
          <w:highlight w:val="none"/>
        </w:rPr>
        <w:t>:由双方商定，一经确定双方必须严格执行。</w:t>
      </w:r>
    </w:p>
    <w:p w14:paraId="53EAC04D">
      <w:pPr>
        <w:pStyle w:val="1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Times New Roman"/>
          <w:color w:val="auto"/>
          <w:kern w:val="2"/>
          <w:sz w:val="24"/>
          <w:szCs w:val="24"/>
          <w:highlight w:val="none"/>
        </w:rPr>
      </w:pPr>
      <w:r>
        <w:rPr>
          <w:rFonts w:hint="eastAsia" w:hAnsi="宋体" w:cs="Times New Roman"/>
          <w:color w:val="auto"/>
          <w:kern w:val="2"/>
          <w:sz w:val="24"/>
          <w:szCs w:val="24"/>
          <w:highlight w:val="none"/>
          <w:lang w:eastAsia="zh-CN"/>
        </w:rPr>
        <w:t>（</w:t>
      </w:r>
      <w:r>
        <w:rPr>
          <w:rFonts w:hint="eastAsia" w:hAnsi="宋体" w:cs="Times New Roman"/>
          <w:color w:val="auto"/>
          <w:kern w:val="2"/>
          <w:sz w:val="24"/>
          <w:szCs w:val="24"/>
          <w:highlight w:val="none"/>
          <w:lang w:val="en-US" w:eastAsia="zh-CN"/>
        </w:rPr>
        <w:t>5</w:t>
      </w:r>
      <w:r>
        <w:rPr>
          <w:rFonts w:hint="eastAsia" w:hAnsi="宋体" w:cs="Times New Roman"/>
          <w:color w:val="auto"/>
          <w:kern w:val="2"/>
          <w:sz w:val="24"/>
          <w:szCs w:val="24"/>
          <w:highlight w:val="none"/>
          <w:lang w:eastAsia="zh-CN"/>
        </w:rPr>
        <w:t>）</w:t>
      </w:r>
      <w:r>
        <w:rPr>
          <w:rFonts w:hint="eastAsia" w:ascii="宋体" w:hAnsi="宋体" w:eastAsia="宋体" w:cs="Times New Roman"/>
          <w:color w:val="auto"/>
          <w:kern w:val="2"/>
          <w:sz w:val="24"/>
          <w:szCs w:val="24"/>
          <w:highlight w:val="none"/>
        </w:rPr>
        <w:t>食品、食材送到后，学校负责当面验收数量、质量，发现问题供货商必须立即退换。</w:t>
      </w:r>
    </w:p>
    <w:p w14:paraId="35CBA1BE">
      <w:pPr>
        <w:pStyle w:val="1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Times New Roman"/>
          <w:color w:val="auto"/>
          <w:kern w:val="2"/>
          <w:sz w:val="24"/>
          <w:szCs w:val="24"/>
          <w:highlight w:val="none"/>
        </w:rPr>
      </w:pPr>
      <w:r>
        <w:rPr>
          <w:rFonts w:hint="eastAsia" w:hAnsi="宋体" w:cs="Times New Roman"/>
          <w:color w:val="auto"/>
          <w:kern w:val="2"/>
          <w:sz w:val="24"/>
          <w:szCs w:val="24"/>
          <w:highlight w:val="none"/>
          <w:lang w:eastAsia="zh-CN"/>
        </w:rPr>
        <w:t>（</w:t>
      </w:r>
      <w:r>
        <w:rPr>
          <w:rFonts w:hint="eastAsia" w:hAnsi="宋体" w:cs="Times New Roman"/>
          <w:color w:val="auto"/>
          <w:kern w:val="2"/>
          <w:sz w:val="24"/>
          <w:szCs w:val="24"/>
          <w:highlight w:val="none"/>
          <w:lang w:val="en-US" w:eastAsia="zh-CN"/>
        </w:rPr>
        <w:t>6</w:t>
      </w:r>
      <w:r>
        <w:rPr>
          <w:rFonts w:hint="eastAsia" w:hAnsi="宋体" w:cs="Times New Roman"/>
          <w:color w:val="auto"/>
          <w:kern w:val="2"/>
          <w:sz w:val="24"/>
          <w:szCs w:val="24"/>
          <w:highlight w:val="none"/>
          <w:lang w:eastAsia="zh-CN"/>
        </w:rPr>
        <w:t>）</w:t>
      </w:r>
      <w:r>
        <w:rPr>
          <w:rFonts w:hint="eastAsia" w:ascii="宋体" w:hAnsi="宋体" w:eastAsia="宋体" w:cs="Times New Roman"/>
          <w:color w:val="auto"/>
          <w:kern w:val="2"/>
          <w:sz w:val="24"/>
          <w:szCs w:val="24"/>
          <w:highlight w:val="none"/>
        </w:rPr>
        <w:t>所供食品、食材必须新鲜，无腐败、异味、变质等情况，包装食材供货时剩余保质期不少于</w:t>
      </w:r>
      <w:r>
        <w:rPr>
          <w:rFonts w:hint="eastAsia" w:hAnsi="宋体" w:cs="Times New Roman"/>
          <w:color w:val="auto"/>
          <w:kern w:val="2"/>
          <w:sz w:val="24"/>
          <w:szCs w:val="24"/>
          <w:highlight w:val="none"/>
          <w:lang w:val="en-US" w:eastAsia="zh-CN"/>
        </w:rPr>
        <w:t>三分之二</w:t>
      </w:r>
      <w:r>
        <w:rPr>
          <w:rFonts w:hint="eastAsia" w:ascii="宋体" w:hAnsi="宋体" w:eastAsia="宋体" w:cs="Times New Roman"/>
          <w:color w:val="auto"/>
          <w:kern w:val="2"/>
          <w:sz w:val="24"/>
          <w:szCs w:val="24"/>
          <w:highlight w:val="none"/>
        </w:rPr>
        <w:t>。必须及时提供供应学校食品、食材的相关票证(发票签字收据等)并详细备注品名、规格、生产日期、保质期等信息。</w:t>
      </w:r>
    </w:p>
    <w:p w14:paraId="56A7DC34">
      <w:pPr>
        <w:pStyle w:val="1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eastAsia="zh-CN"/>
        </w:rPr>
        <w:t>（</w:t>
      </w:r>
      <w:r>
        <w:rPr>
          <w:rFonts w:hint="eastAsia" w:ascii="宋体" w:hAnsi="宋体" w:eastAsia="宋体" w:cs="Times New Roman"/>
          <w:color w:val="auto"/>
          <w:kern w:val="2"/>
          <w:sz w:val="24"/>
          <w:szCs w:val="24"/>
          <w:highlight w:val="none"/>
          <w:lang w:val="en-US" w:eastAsia="zh-CN"/>
        </w:rPr>
        <w:t>7</w:t>
      </w:r>
      <w:r>
        <w:rPr>
          <w:rFonts w:hint="eastAsia" w:ascii="宋体" w:hAnsi="宋体" w:eastAsia="宋体" w:cs="Times New Roman"/>
          <w:color w:val="auto"/>
          <w:kern w:val="2"/>
          <w:sz w:val="24"/>
          <w:szCs w:val="24"/>
          <w:highlight w:val="none"/>
          <w:lang w:eastAsia="zh-CN"/>
        </w:rPr>
        <w:t>）</w:t>
      </w:r>
      <w:r>
        <w:rPr>
          <w:rFonts w:hint="eastAsia" w:ascii="宋体" w:hAnsi="宋体" w:eastAsia="宋体" w:cs="Times New Roman"/>
          <w:color w:val="auto"/>
          <w:kern w:val="2"/>
          <w:sz w:val="24"/>
          <w:szCs w:val="24"/>
          <w:highlight w:val="none"/>
        </w:rPr>
        <w:t>学校师生员工因食用食堂饭菜发生中毒事故，经有关单位鉴定，如确定因供货商提供的食品、食材质量问题引发的，供货商除需负担全额医药费外，并应承担法律上一切责任且放弃先诉抗辩权。同时学校立即解除合作。</w:t>
      </w:r>
    </w:p>
    <w:p w14:paraId="662B2D38">
      <w:pPr>
        <w:pStyle w:val="1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eastAsia="zh-CN"/>
        </w:rPr>
        <w:t>（</w:t>
      </w:r>
      <w:r>
        <w:rPr>
          <w:rFonts w:hint="eastAsia" w:ascii="宋体" w:hAnsi="宋体" w:eastAsia="宋体" w:cs="Times New Roman"/>
          <w:color w:val="auto"/>
          <w:kern w:val="2"/>
          <w:sz w:val="24"/>
          <w:szCs w:val="24"/>
          <w:highlight w:val="none"/>
          <w:lang w:val="en-US" w:eastAsia="zh-CN"/>
        </w:rPr>
        <w:t>8</w:t>
      </w:r>
      <w:r>
        <w:rPr>
          <w:rFonts w:hint="eastAsia" w:ascii="宋体" w:hAnsi="宋体" w:eastAsia="宋体" w:cs="Times New Roman"/>
          <w:color w:val="auto"/>
          <w:kern w:val="2"/>
          <w:sz w:val="24"/>
          <w:szCs w:val="24"/>
          <w:highlight w:val="none"/>
          <w:lang w:eastAsia="zh-CN"/>
        </w:rPr>
        <w:t>）</w:t>
      </w:r>
      <w:r>
        <w:rPr>
          <w:rFonts w:hint="eastAsia" w:ascii="宋体" w:hAnsi="宋体" w:eastAsia="宋体" w:cs="Times New Roman"/>
          <w:color w:val="auto"/>
          <w:kern w:val="2"/>
          <w:sz w:val="24"/>
          <w:szCs w:val="24"/>
          <w:highlight w:val="none"/>
        </w:rPr>
        <w:t>供货商提供的原材料如出现经政府监管部门确认的食品质量、卫生等影响食品安全的，供货商承担一切责任。</w:t>
      </w:r>
    </w:p>
    <w:p w14:paraId="5F2B120E">
      <w:pPr>
        <w:pStyle w:val="11"/>
        <w:keepNext w:val="0"/>
        <w:keepLines w:val="0"/>
        <w:pageBreakBefore w:val="0"/>
        <w:widowControl/>
        <w:shd w:val="clear"/>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eastAsia="zh-CN"/>
        </w:rPr>
        <w:t>（</w:t>
      </w:r>
      <w:r>
        <w:rPr>
          <w:rFonts w:hint="eastAsia" w:ascii="宋体" w:hAnsi="宋体" w:eastAsia="宋体" w:cs="Times New Roman"/>
          <w:color w:val="auto"/>
          <w:kern w:val="2"/>
          <w:sz w:val="24"/>
          <w:szCs w:val="24"/>
          <w:highlight w:val="none"/>
          <w:lang w:val="en-US" w:eastAsia="zh-CN"/>
        </w:rPr>
        <w:t>9</w:t>
      </w:r>
      <w:r>
        <w:rPr>
          <w:rFonts w:hint="eastAsia" w:ascii="宋体" w:hAnsi="宋体" w:eastAsia="宋体" w:cs="Times New Roman"/>
          <w:color w:val="auto"/>
          <w:kern w:val="2"/>
          <w:sz w:val="24"/>
          <w:szCs w:val="24"/>
          <w:highlight w:val="none"/>
          <w:lang w:eastAsia="zh-CN"/>
        </w:rPr>
        <w:t>）</w:t>
      </w:r>
      <w:r>
        <w:rPr>
          <w:rFonts w:hint="eastAsia" w:ascii="宋体" w:hAnsi="宋体" w:eastAsia="宋体" w:cs="Times New Roman"/>
          <w:color w:val="auto"/>
          <w:kern w:val="2"/>
          <w:sz w:val="24"/>
          <w:szCs w:val="24"/>
          <w:highlight w:val="none"/>
        </w:rPr>
        <w:t>运输车辆及配送人员充足，能保证及时保质保量供货，配送人员和车辆不得随意变换（若更换必须提前给学校报备）。</w:t>
      </w:r>
    </w:p>
    <w:p w14:paraId="276BF1D1">
      <w:pPr>
        <w:pStyle w:val="6"/>
        <w:shd w:val="clear"/>
        <w:spacing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eastAsia="zh-CN"/>
        </w:rPr>
        <w:t>（</w:t>
      </w:r>
      <w:r>
        <w:rPr>
          <w:rFonts w:hint="eastAsia" w:ascii="宋体" w:hAnsi="宋体" w:eastAsia="宋体" w:cs="Times New Roman"/>
          <w:color w:val="auto"/>
          <w:kern w:val="2"/>
          <w:sz w:val="24"/>
          <w:szCs w:val="24"/>
          <w:highlight w:val="none"/>
          <w:lang w:val="en-US" w:eastAsia="zh-CN"/>
        </w:rPr>
        <w:t>10</w:t>
      </w:r>
      <w:r>
        <w:rPr>
          <w:rFonts w:hint="eastAsia" w:ascii="宋体" w:hAnsi="宋体" w:eastAsia="宋体" w:cs="Times New Roman"/>
          <w:color w:val="auto"/>
          <w:kern w:val="2"/>
          <w:sz w:val="24"/>
          <w:szCs w:val="24"/>
          <w:highlight w:val="none"/>
          <w:lang w:eastAsia="zh-CN"/>
        </w:rPr>
        <w:t>）</w:t>
      </w:r>
      <w:r>
        <w:rPr>
          <w:rFonts w:hint="eastAsia" w:ascii="宋体" w:hAnsi="宋体" w:eastAsia="宋体" w:cs="Times New Roman"/>
          <w:b w:val="0"/>
          <w:bCs w:val="0"/>
          <w:color w:val="auto"/>
          <w:kern w:val="2"/>
          <w:sz w:val="24"/>
          <w:szCs w:val="24"/>
          <w:highlight w:val="none"/>
          <w:lang w:val="en-US" w:eastAsia="zh-CN" w:bidi="ar-SA"/>
        </w:rPr>
        <w:t>车辆要求：</w:t>
      </w:r>
      <w:r>
        <w:rPr>
          <w:rFonts w:hint="eastAsia" w:ascii="宋体" w:hAnsi="宋体" w:eastAsia="宋体" w:cs="Times New Roman"/>
          <w:color w:val="auto"/>
          <w:kern w:val="2"/>
          <w:sz w:val="24"/>
          <w:szCs w:val="24"/>
          <w:highlight w:val="none"/>
          <w:lang w:val="en-US" w:eastAsia="zh-CN" w:bidi="ar-SA"/>
        </w:rPr>
        <w:t>乙方食品运输必须采用符合卫生标准的外包装和运载工具，并且要保持清洁和定期消毒。运输车厢的内仓，包括地面、墙面和顶，应使用抗腐蚀、防潮，易清洁消毒的材料。车厢内无不良气味、异味。冷藏、冷冻食品必须用专用冷藏、冷冻载具运输，应当有必要的保温设备并在整个运输过程中保持安全的冷藏、冷冻温度。特别是对于长途运输的食品，保证食品在运输全过程处于合适的温度范围。整个运输过程应科学合理，运输车辆应定期清洁，保持性能稳定，符合规定的温度要求，使运输食品处于恒定的环境中。</w:t>
      </w:r>
    </w:p>
    <w:p w14:paraId="3C06BD0C">
      <w:pPr>
        <w:pStyle w:val="6"/>
        <w:shd w:val="clear"/>
        <w:spacing w:line="360" w:lineRule="auto"/>
        <w:rPr>
          <w:rFonts w:hint="eastAsia"/>
          <w:color w:val="auto"/>
          <w:highlight w:val="none"/>
        </w:rPr>
      </w:pPr>
      <w:r>
        <w:rPr>
          <w:rFonts w:hint="eastAsia" w:ascii="宋体" w:hAnsi="宋体" w:eastAsia="宋体" w:cs="Times New Roman"/>
          <w:color w:val="auto"/>
          <w:kern w:val="2"/>
          <w:sz w:val="24"/>
          <w:szCs w:val="24"/>
          <w:highlight w:val="none"/>
          <w:lang w:eastAsia="zh-CN"/>
        </w:rPr>
        <w:t>（</w:t>
      </w:r>
      <w:r>
        <w:rPr>
          <w:rFonts w:hint="eastAsia" w:ascii="宋体" w:hAnsi="宋体" w:eastAsia="宋体" w:cs="Times New Roman"/>
          <w:color w:val="auto"/>
          <w:kern w:val="2"/>
          <w:sz w:val="24"/>
          <w:szCs w:val="24"/>
          <w:highlight w:val="none"/>
          <w:lang w:val="en-US" w:eastAsia="zh-CN"/>
        </w:rPr>
        <w:t>11</w:t>
      </w:r>
      <w:r>
        <w:rPr>
          <w:rFonts w:hint="eastAsia" w:ascii="宋体" w:hAnsi="宋体" w:eastAsia="宋体" w:cs="Times New Roman"/>
          <w:color w:val="auto"/>
          <w:kern w:val="2"/>
          <w:sz w:val="24"/>
          <w:szCs w:val="24"/>
          <w:highlight w:val="none"/>
          <w:lang w:eastAsia="zh-CN"/>
        </w:rPr>
        <w:t>）</w:t>
      </w:r>
      <w:r>
        <w:rPr>
          <w:rFonts w:hint="eastAsia" w:ascii="宋体" w:hAnsi="宋体" w:eastAsia="宋体" w:cs="Times New Roman"/>
          <w:b w:val="0"/>
          <w:bCs w:val="0"/>
          <w:color w:val="auto"/>
          <w:kern w:val="2"/>
          <w:sz w:val="24"/>
          <w:szCs w:val="24"/>
          <w:highlight w:val="none"/>
          <w:lang w:val="en-US" w:eastAsia="zh-CN" w:bidi="ar-SA"/>
        </w:rPr>
        <w:t>送货车辆应保持清洁；食品</w:t>
      </w:r>
      <w:r>
        <w:rPr>
          <w:rFonts w:hint="eastAsia" w:ascii="宋体" w:hAnsi="宋体" w:eastAsia="宋体" w:cs="Times New Roman"/>
          <w:color w:val="auto"/>
          <w:kern w:val="2"/>
          <w:sz w:val="24"/>
          <w:szCs w:val="24"/>
          <w:highlight w:val="none"/>
          <w:lang w:val="en-US" w:eastAsia="zh-CN" w:bidi="ar-SA"/>
        </w:rPr>
        <w:t>堆放科学合理，避免造成食品的交叉污染；如对温度有要求的食品应确定食品的温度，记录送货车辆温度，并记录存档。</w:t>
      </w:r>
    </w:p>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14:paraId="57AE256F">
      <w:pPr>
        <w:pageBreakBefore w:val="0"/>
        <w:shd w:val="clear"/>
        <w:kinsoku/>
        <w:wordWrap/>
        <w:topLinePunct w:val="0"/>
        <w:bidi w:val="0"/>
        <w:spacing w:line="360" w:lineRule="auto"/>
        <w:ind w:firstLine="723" w:firstLineChars="300"/>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三、幼儿园食堂食材验收要求</w:t>
      </w:r>
    </w:p>
    <w:p w14:paraId="6A648783">
      <w:pPr>
        <w:pageBreakBefore w:val="0"/>
        <w:shd w:val="clear"/>
        <w:kinsoku/>
        <w:wordWrap/>
        <w:topLinePunct w:val="0"/>
        <w:bidi w:val="0"/>
        <w:spacing w:line="360" w:lineRule="auto"/>
        <w:ind w:firstLine="720" w:firstLineChars="300"/>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val="en-US" w:eastAsia="zh-CN"/>
        </w:rPr>
        <w:t>幼儿园应设立专门的验收小组，对供应商配送的食材进行验收，确保食材的质量和安全。</w:t>
      </w:r>
    </w:p>
    <w:p w14:paraId="6AD6D8C1">
      <w:pPr>
        <w:pageBreakBefore w:val="0"/>
        <w:shd w:val="clear"/>
        <w:kinsoku/>
        <w:wordWrap/>
        <w:topLinePunct w:val="0"/>
        <w:bidi w:val="0"/>
        <w:spacing w:line="360" w:lineRule="auto"/>
        <w:ind w:firstLine="720" w:firstLineChars="300"/>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val="en-US" w:eastAsia="zh-CN"/>
        </w:rPr>
        <w:t>验收小组应对食材的外观、气味、生产日期、保质期等进行检查，并对食材进行抽样检测，确保食材符合国家食品安全标准。</w:t>
      </w:r>
    </w:p>
    <w:p w14:paraId="23AEBFC8">
      <w:pPr>
        <w:pageBreakBefore w:val="0"/>
        <w:shd w:val="clear"/>
        <w:kinsoku/>
        <w:wordWrap/>
        <w:topLinePunct w:val="0"/>
        <w:bidi w:val="0"/>
        <w:spacing w:line="360" w:lineRule="auto"/>
        <w:ind w:firstLine="720" w:firstLineChars="300"/>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val="en-US" w:eastAsia="zh-CN"/>
        </w:rPr>
        <w:t>如发现食材存在质量问题或不符合要求，应及时与供应商沟通，并要求供应商进行退换货处理。</w:t>
      </w:r>
    </w:p>
    <w:p w14:paraId="76C9FA66">
      <w:pPr>
        <w:pStyle w:val="8"/>
        <w:shd w:val="clear"/>
        <w:ind w:firstLine="420" w:firstLineChars="0"/>
        <w:rPr>
          <w:rFonts w:hint="default"/>
          <w:color w:val="auto"/>
          <w:highlight w:val="none"/>
          <w:lang w:val="en-US" w:eastAsia="zh-CN"/>
        </w:rPr>
      </w:pPr>
      <w:r>
        <w:rPr>
          <w:rFonts w:hint="eastAsia" w:hAnsi="宋体" w:cs="Times New Roman"/>
          <w:b/>
          <w:bCs/>
          <w:color w:val="auto"/>
          <w:kern w:val="2"/>
          <w:sz w:val="24"/>
          <w:szCs w:val="24"/>
          <w:highlight w:val="none"/>
          <w:lang w:val="en-US" w:eastAsia="zh-CN"/>
        </w:rPr>
        <w:t>四</w:t>
      </w:r>
      <w:r>
        <w:rPr>
          <w:rFonts w:hint="eastAsia" w:ascii="宋体" w:hAnsi="宋体" w:eastAsia="宋体" w:cs="Times New Roman"/>
          <w:b/>
          <w:bCs/>
          <w:color w:val="auto"/>
          <w:kern w:val="2"/>
          <w:sz w:val="24"/>
          <w:szCs w:val="24"/>
          <w:highlight w:val="none"/>
          <w:lang w:val="en-US" w:eastAsia="zh-CN"/>
        </w:rPr>
        <w:t>、</w:t>
      </w:r>
      <w:r>
        <w:rPr>
          <w:rFonts w:hint="default"/>
          <w:b/>
          <w:bCs/>
          <w:color w:val="auto"/>
          <w:highlight w:val="none"/>
          <w:lang w:val="en-US" w:eastAsia="zh-CN"/>
        </w:rPr>
        <w:t>发生下列情况时，采购人有权立即取消中标资格</w:t>
      </w:r>
      <w:r>
        <w:rPr>
          <w:rFonts w:hint="eastAsia"/>
          <w:b/>
          <w:bCs/>
          <w:color w:val="auto"/>
          <w:highlight w:val="none"/>
          <w:lang w:val="en-US" w:eastAsia="zh-CN"/>
        </w:rPr>
        <w:t>：</w:t>
      </w:r>
      <w:r>
        <w:rPr>
          <w:rFonts w:hint="default"/>
          <w:color w:val="auto"/>
          <w:highlight w:val="none"/>
          <w:lang w:val="en-US" w:eastAsia="zh-CN"/>
        </w:rPr>
        <w:t xml:space="preserve"> </w:t>
      </w:r>
    </w:p>
    <w:p w14:paraId="37CAF677">
      <w:pPr>
        <w:pStyle w:val="8"/>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color w:val="auto"/>
          <w:highlight w:val="none"/>
          <w:lang w:val="en-US" w:eastAsia="zh-CN"/>
        </w:rPr>
      </w:pPr>
      <w:r>
        <w:rPr>
          <w:rFonts w:hint="eastAsia" w:ascii="宋体" w:hAnsi="宋体" w:eastAsia="宋体" w:cs="Times New Roman"/>
          <w:color w:val="auto"/>
          <w:kern w:val="2"/>
          <w:sz w:val="24"/>
          <w:szCs w:val="24"/>
          <w:highlight w:val="none"/>
          <w:lang w:val="en-US" w:eastAsia="zh-CN"/>
        </w:rPr>
        <w:t>（1）</w:t>
      </w:r>
      <w:r>
        <w:rPr>
          <w:rFonts w:hint="default"/>
          <w:color w:val="auto"/>
          <w:highlight w:val="none"/>
          <w:lang w:val="en-US" w:eastAsia="zh-CN"/>
        </w:rPr>
        <w:t xml:space="preserve">中标供应商提交的资料弄虚作假、隐瞒重大食品安全事故、骗取中标； </w:t>
      </w:r>
    </w:p>
    <w:p w14:paraId="77AAC70F">
      <w:pPr>
        <w:pStyle w:val="8"/>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color w:val="auto"/>
          <w:highlight w:val="none"/>
          <w:lang w:val="en-US" w:eastAsia="zh-CN"/>
        </w:rPr>
      </w:pPr>
      <w:r>
        <w:rPr>
          <w:rFonts w:hint="eastAsia" w:ascii="宋体" w:hAnsi="宋体" w:eastAsia="宋体" w:cs="Times New Roman"/>
          <w:color w:val="auto"/>
          <w:kern w:val="2"/>
          <w:sz w:val="24"/>
          <w:szCs w:val="24"/>
          <w:highlight w:val="none"/>
          <w:lang w:val="en-US" w:eastAsia="zh-CN"/>
        </w:rPr>
        <w:t>（2）</w:t>
      </w:r>
      <w:r>
        <w:rPr>
          <w:rFonts w:hint="default"/>
          <w:color w:val="auto"/>
          <w:highlight w:val="none"/>
          <w:lang w:val="en-US" w:eastAsia="zh-CN"/>
        </w:rPr>
        <w:t xml:space="preserve">在报价有效期内，撤回投标的，或拒绝按承诺价格供货的； </w:t>
      </w:r>
    </w:p>
    <w:p w14:paraId="44639B8B">
      <w:pPr>
        <w:pStyle w:val="8"/>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color w:val="auto"/>
          <w:highlight w:val="none"/>
          <w:lang w:val="en-US" w:eastAsia="zh-CN"/>
        </w:rPr>
      </w:pPr>
      <w:r>
        <w:rPr>
          <w:rFonts w:hint="eastAsia" w:ascii="宋体" w:hAnsi="宋体" w:eastAsia="宋体" w:cs="Times New Roman"/>
          <w:color w:val="auto"/>
          <w:kern w:val="2"/>
          <w:sz w:val="24"/>
          <w:szCs w:val="24"/>
          <w:highlight w:val="none"/>
          <w:lang w:val="en-US" w:eastAsia="zh-CN"/>
        </w:rPr>
        <w:t>（3）</w:t>
      </w:r>
      <w:r>
        <w:rPr>
          <w:rFonts w:hint="default"/>
          <w:color w:val="auto"/>
          <w:highlight w:val="none"/>
          <w:lang w:val="en-US" w:eastAsia="zh-CN"/>
        </w:rPr>
        <w:t xml:space="preserve">中标后私自将项目转包的； </w:t>
      </w:r>
    </w:p>
    <w:p w14:paraId="2775D27C">
      <w:pPr>
        <w:pStyle w:val="8"/>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color w:val="auto"/>
          <w:highlight w:val="none"/>
          <w:lang w:val="en-US" w:eastAsia="zh-CN"/>
        </w:rPr>
      </w:pPr>
      <w:r>
        <w:rPr>
          <w:rFonts w:hint="eastAsia" w:ascii="宋体" w:hAnsi="宋体" w:eastAsia="宋体" w:cs="Times New Roman"/>
          <w:color w:val="auto"/>
          <w:kern w:val="2"/>
          <w:sz w:val="24"/>
          <w:szCs w:val="24"/>
          <w:highlight w:val="none"/>
          <w:lang w:val="en-US" w:eastAsia="zh-CN"/>
        </w:rPr>
        <w:t>（4）</w:t>
      </w:r>
      <w:r>
        <w:rPr>
          <w:rFonts w:hint="default"/>
          <w:color w:val="auto"/>
          <w:highlight w:val="none"/>
          <w:lang w:val="en-US" w:eastAsia="zh-CN"/>
        </w:rPr>
        <w:t>供应物资达不到标准或验货不合格，退货补货不及时，服务不到位，后果严重影响</w:t>
      </w:r>
      <w:r>
        <w:rPr>
          <w:rFonts w:hint="eastAsia"/>
          <w:color w:val="auto"/>
          <w:highlight w:val="none"/>
          <w:lang w:val="en-US" w:eastAsia="zh-CN"/>
        </w:rPr>
        <w:t>学校</w:t>
      </w:r>
      <w:r>
        <w:rPr>
          <w:rFonts w:hint="default"/>
          <w:color w:val="auto"/>
          <w:highlight w:val="none"/>
          <w:lang w:val="en-US" w:eastAsia="zh-CN"/>
        </w:rPr>
        <w:t>餐厅正常运营，收到三次书面警告通知书的包括但不限于:腐败变质、油脂酸败、霉变、生虫、污秽不洁、混有异物或者其他感官性状异常，对人体健康有害的；含有毒、有害物质或者被有害物质污染，对人体健康有害的；含有致病性寄生虫、微生物或者微生物含量超过国家限定标准的</w:t>
      </w:r>
      <w:r>
        <w:rPr>
          <w:rFonts w:hint="eastAsia"/>
          <w:color w:val="auto"/>
          <w:highlight w:val="none"/>
          <w:lang w:val="en-US" w:eastAsia="zh-CN"/>
        </w:rPr>
        <w:t>；</w:t>
      </w:r>
      <w:r>
        <w:rPr>
          <w:rFonts w:hint="default"/>
          <w:color w:val="auto"/>
          <w:highlight w:val="none"/>
          <w:lang w:val="en-US" w:eastAsia="zh-CN"/>
        </w:rPr>
        <w:t>未经动物检疫部门检疫、检验或者检疫、检验不合格的肉类及其制品；病死、毒死或者死因不明的禽、畜、兽、水产动物等及其制品</w:t>
      </w:r>
      <w:r>
        <w:rPr>
          <w:rFonts w:hint="eastAsia"/>
          <w:color w:val="auto"/>
          <w:highlight w:val="none"/>
          <w:lang w:val="en-US" w:eastAsia="zh-CN"/>
        </w:rPr>
        <w:t>；</w:t>
      </w:r>
      <w:r>
        <w:rPr>
          <w:rFonts w:hint="default"/>
          <w:color w:val="auto"/>
          <w:highlight w:val="none"/>
          <w:lang w:val="en-US" w:eastAsia="zh-CN"/>
        </w:rPr>
        <w:t>掺假、掺杂、伪造，影响营养、卫生的；用非食品原料加工的，加入非食品用化学物质或者将非食品当作食品的；超过整</w:t>
      </w:r>
      <w:r>
        <w:rPr>
          <w:rFonts w:hint="eastAsia" w:ascii="宋体" w:hAnsi="宋体" w:eastAsia="宋体" w:cs="宋体"/>
          <w:color w:val="auto"/>
          <w:highlight w:val="none"/>
          <w:lang w:val="en-US" w:eastAsia="zh-CN"/>
        </w:rPr>
        <w:t xml:space="preserve">体保质期 </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3</w:t>
      </w:r>
      <w:r>
        <w:rPr>
          <w:rFonts w:hint="default"/>
          <w:color w:val="auto"/>
          <w:highlight w:val="none"/>
          <w:lang w:val="en-US" w:eastAsia="zh-CN"/>
        </w:rPr>
        <w:t xml:space="preserve">或超过保质期限的。 </w:t>
      </w:r>
    </w:p>
    <w:p w14:paraId="1451B620">
      <w:pPr>
        <w:pStyle w:val="8"/>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color w:val="auto"/>
          <w:highlight w:val="none"/>
          <w:lang w:val="en-US" w:eastAsia="zh-CN"/>
        </w:rPr>
      </w:pPr>
      <w:r>
        <w:rPr>
          <w:rFonts w:hint="eastAsia" w:ascii="宋体" w:hAnsi="宋体" w:eastAsia="宋体" w:cs="Times New Roman"/>
          <w:color w:val="auto"/>
          <w:kern w:val="2"/>
          <w:sz w:val="24"/>
          <w:szCs w:val="24"/>
          <w:highlight w:val="none"/>
          <w:lang w:val="en-US" w:eastAsia="zh-CN"/>
        </w:rPr>
        <w:t>（5）</w:t>
      </w:r>
      <w:r>
        <w:rPr>
          <w:rFonts w:hint="default"/>
          <w:color w:val="auto"/>
          <w:highlight w:val="none"/>
          <w:lang w:val="en-US" w:eastAsia="zh-CN"/>
        </w:rPr>
        <w:t xml:space="preserve">合同履行期间，采购人将定期及不定期核查中标方履约情况。如发现中标方存在质量、价格、材质等弄虚作假，中标后转包，配送不及时或售后服务不到位等违反合同规定的情况，采购人根据相关管理规定和合同约定条款扣除当月货款或终止合同等措施。书面警告三次及以上无效、拒不整改的，经采购人相关部门确认,将发出取消该供应商供货资格、终止合同通知书。按供应商评标时排名高低顺序依次替补，确定新的供应商。 </w:t>
      </w:r>
    </w:p>
    <w:p w14:paraId="346AB3EC">
      <w:pPr>
        <w:pStyle w:val="8"/>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color w:val="auto"/>
          <w:highlight w:val="none"/>
          <w:lang w:val="en-US" w:eastAsia="zh-CN"/>
        </w:rPr>
      </w:pPr>
      <w:r>
        <w:rPr>
          <w:rFonts w:hint="eastAsia" w:ascii="宋体" w:hAnsi="宋体" w:eastAsia="宋体" w:cs="Times New Roman"/>
          <w:color w:val="auto"/>
          <w:kern w:val="2"/>
          <w:sz w:val="24"/>
          <w:szCs w:val="24"/>
          <w:highlight w:val="none"/>
          <w:lang w:val="en-US" w:eastAsia="zh-CN"/>
        </w:rPr>
        <w:t>（6）</w:t>
      </w:r>
      <w:r>
        <w:rPr>
          <w:rFonts w:hint="default"/>
          <w:color w:val="auto"/>
          <w:highlight w:val="none"/>
          <w:lang w:val="en-US" w:eastAsia="zh-CN"/>
        </w:rPr>
        <w:t xml:space="preserve">未按照供货协议规定按时向采购人提供相关证件、报价单、产品年度质检部门抽检报告、自检报告、送货单等资料，未建立进销台账或台帐资料与采购人台帐不符的。 </w:t>
      </w:r>
    </w:p>
    <w:p w14:paraId="5142B8E8">
      <w:pPr>
        <w:pStyle w:val="8"/>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color w:val="auto"/>
          <w:highlight w:val="none"/>
          <w:lang w:val="en-US" w:eastAsia="zh-CN"/>
        </w:rPr>
      </w:pPr>
      <w:r>
        <w:rPr>
          <w:rFonts w:hint="eastAsia" w:ascii="宋体" w:hAnsi="宋体" w:eastAsia="宋体" w:cs="Times New Roman"/>
          <w:color w:val="auto"/>
          <w:kern w:val="2"/>
          <w:sz w:val="24"/>
          <w:szCs w:val="24"/>
          <w:highlight w:val="none"/>
          <w:lang w:val="en-US" w:eastAsia="zh-CN"/>
        </w:rPr>
        <w:t>（7）</w:t>
      </w:r>
      <w:r>
        <w:rPr>
          <w:rFonts w:hint="default"/>
          <w:color w:val="auto"/>
          <w:highlight w:val="none"/>
          <w:lang w:val="en-US" w:eastAsia="zh-CN"/>
        </w:rPr>
        <w:t xml:space="preserve">在供货期内除不可抗力因素外不能按时交货,且给采购人造成损失的。 </w:t>
      </w:r>
    </w:p>
    <w:p w14:paraId="6D237908">
      <w:pPr>
        <w:pStyle w:val="8"/>
        <w:keepNext w:val="0"/>
        <w:keepLines w:val="0"/>
        <w:pageBreakBefore w:val="0"/>
        <w:widowControl w:val="0"/>
        <w:shd w:val="clear"/>
        <w:kinsoku/>
        <w:wordWrap/>
        <w:overflowPunct/>
        <w:topLinePunct w:val="0"/>
        <w:autoSpaceDE/>
        <w:autoSpaceDN/>
        <w:bidi w:val="0"/>
        <w:adjustRightInd/>
        <w:snapToGrid/>
        <w:spacing w:line="360" w:lineRule="auto"/>
        <w:ind w:firstLine="420" w:firstLineChars="0"/>
        <w:textAlignment w:val="auto"/>
        <w:rPr>
          <w:rFonts w:hint="default"/>
          <w:color w:val="auto"/>
          <w:highlight w:val="none"/>
          <w:lang w:val="en-US" w:eastAsia="zh-CN"/>
        </w:rPr>
      </w:pPr>
      <w:r>
        <w:rPr>
          <w:rFonts w:hint="eastAsia" w:ascii="宋体" w:hAnsi="宋体" w:eastAsia="宋体" w:cs="Times New Roman"/>
          <w:color w:val="auto"/>
          <w:kern w:val="2"/>
          <w:sz w:val="24"/>
          <w:szCs w:val="24"/>
          <w:highlight w:val="none"/>
          <w:lang w:val="en-US" w:eastAsia="zh-CN"/>
        </w:rPr>
        <w:t>（8）</w:t>
      </w:r>
      <w:r>
        <w:rPr>
          <w:rFonts w:hint="default"/>
          <w:color w:val="auto"/>
          <w:highlight w:val="none"/>
          <w:lang w:val="en-US" w:eastAsia="zh-CN"/>
        </w:rPr>
        <w:t>其他违法违规行为。</w:t>
      </w:r>
    </w:p>
    <w:p w14:paraId="1B325F57">
      <w:pPr>
        <w:rPr>
          <w:rFonts w:hint="default"/>
          <w:color w:val="auto"/>
          <w:highlight w:val="none"/>
          <w:lang w:val="en-US" w:eastAsia="zh-CN"/>
        </w:rPr>
      </w:pPr>
    </w:p>
    <w:p w14:paraId="691A6AFB">
      <w:pPr>
        <w:pStyle w:val="22"/>
        <w:rPr>
          <w:rFonts w:hint="default"/>
          <w:color w:val="auto"/>
          <w:highlight w:val="none"/>
          <w:lang w:val="en-US" w:eastAsia="zh-CN"/>
        </w:rPr>
      </w:pPr>
    </w:p>
    <w:p w14:paraId="61965C10">
      <w:pPr>
        <w:pStyle w:val="8"/>
        <w:shd w:val="clear"/>
        <w:ind w:firstLine="420" w:firstLineChars="0"/>
        <w:rPr>
          <w:rFonts w:hint="eastAsia"/>
          <w:b/>
          <w:bCs/>
          <w:color w:val="auto"/>
          <w:highlight w:val="none"/>
          <w:lang w:val="en-US" w:eastAsia="zh-CN"/>
        </w:rPr>
      </w:pPr>
      <w:r>
        <w:rPr>
          <w:rFonts w:hint="eastAsia"/>
          <w:b/>
          <w:bCs/>
          <w:color w:val="auto"/>
          <w:highlight w:val="none"/>
          <w:lang w:val="en-US" w:eastAsia="zh-CN"/>
        </w:rPr>
        <w:t>五、本项目所属行业：零售业</w:t>
      </w:r>
    </w:p>
    <w:p w14:paraId="12B79A71">
      <w:pPr>
        <w:pStyle w:val="89"/>
        <w:spacing w:line="360" w:lineRule="auto"/>
        <w:jc w:val="center"/>
        <w:rPr>
          <w:rFonts w:hint="eastAsia" w:asciiTheme="minorEastAsia" w:hAnsiTheme="minorEastAsia" w:eastAsiaTheme="minorEastAsia" w:cstheme="minorEastAsia"/>
          <w:b/>
          <w:bCs/>
          <w:color w:val="auto"/>
          <w:spacing w:val="-4"/>
          <w:sz w:val="28"/>
          <w:szCs w:val="28"/>
        </w:rPr>
      </w:pPr>
      <w:r>
        <w:rPr>
          <w:rFonts w:hint="eastAsia" w:asciiTheme="minorEastAsia" w:hAnsiTheme="minorEastAsia" w:eastAsiaTheme="minorEastAsia" w:cstheme="minorEastAsia"/>
          <w:b/>
          <w:bCs/>
          <w:color w:val="auto"/>
          <w:sz w:val="28"/>
          <w:szCs w:val="28"/>
        </w:rPr>
        <w:t>附件：</w:t>
      </w:r>
      <w:r>
        <w:rPr>
          <w:rFonts w:hint="eastAsia" w:asciiTheme="minorEastAsia" w:hAnsiTheme="minorEastAsia" w:eastAsiaTheme="minorEastAsia" w:cstheme="minorEastAsia"/>
          <w:b/>
          <w:bCs/>
          <w:color w:val="auto"/>
          <w:spacing w:val="-4"/>
          <w:sz w:val="28"/>
          <w:szCs w:val="28"/>
        </w:rPr>
        <w:t>中小微企业划型标准</w:t>
      </w:r>
    </w:p>
    <w:p w14:paraId="101F8CFF">
      <w:pPr>
        <w:rPr>
          <w:rFonts w:hint="default"/>
          <w:lang w:val="en-US" w:eastAsia="zh-CN"/>
        </w:rPr>
      </w:pPr>
    </w:p>
    <w:tbl>
      <w:tblPr>
        <w:tblStyle w:val="29"/>
        <w:tblW w:w="96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3"/>
        <w:gridCol w:w="1746"/>
        <w:gridCol w:w="979"/>
        <w:gridCol w:w="1922"/>
        <w:gridCol w:w="1708"/>
        <w:gridCol w:w="1102"/>
      </w:tblGrid>
      <w:tr w14:paraId="0FDA3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2233" w:type="dxa"/>
            <w:noWrap w:val="0"/>
            <w:vAlign w:val="center"/>
          </w:tcPr>
          <w:p w14:paraId="383B8714">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8"/>
                <w:sz w:val="22"/>
              </w:rPr>
              <w:t>行业名称</w:t>
            </w:r>
          </w:p>
        </w:tc>
        <w:tc>
          <w:tcPr>
            <w:tcW w:w="1746" w:type="dxa"/>
            <w:noWrap w:val="0"/>
            <w:vAlign w:val="center"/>
          </w:tcPr>
          <w:p w14:paraId="65FC3AA1">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7"/>
                <w:sz w:val="22"/>
              </w:rPr>
              <w:t>指标名称</w:t>
            </w:r>
          </w:p>
        </w:tc>
        <w:tc>
          <w:tcPr>
            <w:tcW w:w="979" w:type="dxa"/>
            <w:noWrap w:val="0"/>
            <w:vAlign w:val="center"/>
          </w:tcPr>
          <w:p w14:paraId="23433A18">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2"/>
                <w:position w:val="7"/>
                <w:sz w:val="22"/>
              </w:rPr>
              <w:t>计量</w:t>
            </w:r>
          </w:p>
          <w:p w14:paraId="5D856B3A">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2"/>
                <w:sz w:val="22"/>
              </w:rPr>
              <w:t>单位</w:t>
            </w:r>
          </w:p>
        </w:tc>
        <w:tc>
          <w:tcPr>
            <w:tcW w:w="1922" w:type="dxa"/>
            <w:noWrap w:val="0"/>
            <w:vAlign w:val="center"/>
          </w:tcPr>
          <w:p w14:paraId="631BD43D">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5"/>
                <w:sz w:val="22"/>
              </w:rPr>
              <w:t>中型</w:t>
            </w:r>
          </w:p>
        </w:tc>
        <w:tc>
          <w:tcPr>
            <w:tcW w:w="1708" w:type="dxa"/>
            <w:noWrap w:val="0"/>
            <w:vAlign w:val="center"/>
          </w:tcPr>
          <w:p w14:paraId="110C346F">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sz w:val="22"/>
              </w:rPr>
              <w:t>小型</w:t>
            </w:r>
          </w:p>
        </w:tc>
        <w:tc>
          <w:tcPr>
            <w:tcW w:w="1102" w:type="dxa"/>
            <w:noWrap w:val="0"/>
            <w:vAlign w:val="center"/>
          </w:tcPr>
          <w:p w14:paraId="0F15D045">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7"/>
                <w:sz w:val="22"/>
              </w:rPr>
              <w:t>微型</w:t>
            </w:r>
          </w:p>
        </w:tc>
      </w:tr>
      <w:tr w14:paraId="3CCB8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noWrap w:val="0"/>
            <w:vAlign w:val="center"/>
          </w:tcPr>
          <w:p w14:paraId="32C3D62B">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lang w:val="en-US" w:eastAsia="zh-CN"/>
              </w:rPr>
            </w:pPr>
            <w:r>
              <w:rPr>
                <w:rFonts w:hint="eastAsia" w:asciiTheme="minorEastAsia" w:hAnsiTheme="minorEastAsia" w:eastAsiaTheme="minorEastAsia" w:cstheme="minorEastAsia"/>
                <w:color w:val="auto"/>
                <w:spacing w:val="9"/>
                <w:sz w:val="22"/>
              </w:rPr>
              <w:t>农、林、牧、渔</w:t>
            </w:r>
            <w:r>
              <w:rPr>
                <w:rFonts w:hint="eastAsia" w:asciiTheme="minorEastAsia" w:hAnsiTheme="minorEastAsia" w:eastAsiaTheme="minorEastAsia" w:cstheme="minorEastAsia"/>
                <w:color w:val="auto"/>
                <w:spacing w:val="9"/>
                <w:sz w:val="22"/>
                <w:lang w:val="en-US" w:eastAsia="zh-CN"/>
              </w:rPr>
              <w:t>业</w:t>
            </w:r>
          </w:p>
        </w:tc>
        <w:tc>
          <w:tcPr>
            <w:tcW w:w="1746" w:type="dxa"/>
            <w:noWrap w:val="0"/>
            <w:vAlign w:val="center"/>
          </w:tcPr>
          <w:p w14:paraId="6F6F9DEA">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6"/>
                <w:sz w:val="22"/>
              </w:rPr>
              <w:t>营业收入（Y）</w:t>
            </w:r>
          </w:p>
        </w:tc>
        <w:tc>
          <w:tcPr>
            <w:tcW w:w="979" w:type="dxa"/>
            <w:noWrap w:val="0"/>
            <w:vAlign w:val="center"/>
          </w:tcPr>
          <w:p w14:paraId="12048944">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万元</w:t>
            </w:r>
          </w:p>
        </w:tc>
        <w:tc>
          <w:tcPr>
            <w:tcW w:w="1922" w:type="dxa"/>
            <w:noWrap w:val="0"/>
            <w:vAlign w:val="center"/>
          </w:tcPr>
          <w:p w14:paraId="4B2AA6AC">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500≤Y＜20000</w:t>
            </w:r>
          </w:p>
        </w:tc>
        <w:tc>
          <w:tcPr>
            <w:tcW w:w="1708" w:type="dxa"/>
            <w:noWrap w:val="0"/>
            <w:vAlign w:val="center"/>
          </w:tcPr>
          <w:p w14:paraId="5F629B29">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50≤Y＜500</w:t>
            </w:r>
          </w:p>
        </w:tc>
        <w:tc>
          <w:tcPr>
            <w:tcW w:w="1102" w:type="dxa"/>
            <w:noWrap w:val="0"/>
            <w:vAlign w:val="center"/>
          </w:tcPr>
          <w:p w14:paraId="728FB130">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Y＜50</w:t>
            </w:r>
          </w:p>
        </w:tc>
      </w:tr>
      <w:tr w14:paraId="20BEC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4810FAB0">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sz w:val="22"/>
              </w:rPr>
              <w:t>工业</w:t>
            </w:r>
          </w:p>
        </w:tc>
        <w:tc>
          <w:tcPr>
            <w:tcW w:w="1746" w:type="dxa"/>
            <w:noWrap w:val="0"/>
            <w:vAlign w:val="center"/>
          </w:tcPr>
          <w:p w14:paraId="66B6709F">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7"/>
                <w:sz w:val="22"/>
              </w:rPr>
              <w:t>从业人员（X）</w:t>
            </w:r>
          </w:p>
        </w:tc>
        <w:tc>
          <w:tcPr>
            <w:tcW w:w="979" w:type="dxa"/>
            <w:noWrap w:val="0"/>
            <w:vAlign w:val="center"/>
          </w:tcPr>
          <w:p w14:paraId="55EFB474">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人</w:t>
            </w:r>
          </w:p>
        </w:tc>
        <w:tc>
          <w:tcPr>
            <w:tcW w:w="1922" w:type="dxa"/>
            <w:noWrap w:val="0"/>
            <w:vAlign w:val="center"/>
          </w:tcPr>
          <w:p w14:paraId="4EDE9C9F">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300≤X＜1000</w:t>
            </w:r>
          </w:p>
        </w:tc>
        <w:tc>
          <w:tcPr>
            <w:tcW w:w="1708" w:type="dxa"/>
            <w:noWrap w:val="0"/>
            <w:vAlign w:val="center"/>
          </w:tcPr>
          <w:p w14:paraId="1F269AE2">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20≤X＜300</w:t>
            </w:r>
          </w:p>
        </w:tc>
        <w:tc>
          <w:tcPr>
            <w:tcW w:w="1102" w:type="dxa"/>
            <w:noWrap w:val="0"/>
            <w:vAlign w:val="center"/>
          </w:tcPr>
          <w:p w14:paraId="07A2425C">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X＜20</w:t>
            </w:r>
          </w:p>
        </w:tc>
      </w:tr>
      <w:tr w14:paraId="60DC6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233" w:type="dxa"/>
            <w:vMerge w:val="continue"/>
            <w:tcBorders>
              <w:top w:val="nil"/>
            </w:tcBorders>
            <w:noWrap w:val="0"/>
            <w:vAlign w:val="center"/>
          </w:tcPr>
          <w:p w14:paraId="47BB08D8">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p>
        </w:tc>
        <w:tc>
          <w:tcPr>
            <w:tcW w:w="1746" w:type="dxa"/>
            <w:noWrap w:val="0"/>
            <w:vAlign w:val="center"/>
          </w:tcPr>
          <w:p w14:paraId="3058317F">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6"/>
                <w:sz w:val="22"/>
              </w:rPr>
              <w:t>营业收入（Y）</w:t>
            </w:r>
          </w:p>
        </w:tc>
        <w:tc>
          <w:tcPr>
            <w:tcW w:w="979" w:type="dxa"/>
            <w:noWrap w:val="0"/>
            <w:vAlign w:val="center"/>
          </w:tcPr>
          <w:p w14:paraId="2271AA06">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万元</w:t>
            </w:r>
          </w:p>
        </w:tc>
        <w:tc>
          <w:tcPr>
            <w:tcW w:w="1922" w:type="dxa"/>
            <w:noWrap w:val="0"/>
            <w:vAlign w:val="center"/>
          </w:tcPr>
          <w:p w14:paraId="4967E003">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2000≤Y＜40000</w:t>
            </w:r>
          </w:p>
        </w:tc>
        <w:tc>
          <w:tcPr>
            <w:tcW w:w="1708" w:type="dxa"/>
            <w:noWrap w:val="0"/>
            <w:vAlign w:val="center"/>
          </w:tcPr>
          <w:p w14:paraId="129D3DF8">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300≤Y＜2000</w:t>
            </w:r>
          </w:p>
        </w:tc>
        <w:tc>
          <w:tcPr>
            <w:tcW w:w="1102" w:type="dxa"/>
            <w:noWrap w:val="0"/>
            <w:vAlign w:val="center"/>
          </w:tcPr>
          <w:p w14:paraId="0A875BD5">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Y＜300</w:t>
            </w:r>
          </w:p>
        </w:tc>
      </w:tr>
      <w:tr w14:paraId="1A925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20F36494">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8"/>
                <w:sz w:val="22"/>
              </w:rPr>
              <w:t>建筑业</w:t>
            </w:r>
          </w:p>
        </w:tc>
        <w:tc>
          <w:tcPr>
            <w:tcW w:w="1746" w:type="dxa"/>
            <w:noWrap w:val="0"/>
            <w:vAlign w:val="center"/>
          </w:tcPr>
          <w:p w14:paraId="412D743C">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6"/>
                <w:sz w:val="22"/>
              </w:rPr>
              <w:t>营业收入（Y）</w:t>
            </w:r>
          </w:p>
        </w:tc>
        <w:tc>
          <w:tcPr>
            <w:tcW w:w="979" w:type="dxa"/>
            <w:noWrap w:val="0"/>
            <w:vAlign w:val="center"/>
          </w:tcPr>
          <w:p w14:paraId="6AB9A40E">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万元</w:t>
            </w:r>
          </w:p>
        </w:tc>
        <w:tc>
          <w:tcPr>
            <w:tcW w:w="1922" w:type="dxa"/>
            <w:noWrap w:val="0"/>
            <w:vAlign w:val="center"/>
          </w:tcPr>
          <w:p w14:paraId="240CBE1E">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6000≤Y＜80000</w:t>
            </w:r>
          </w:p>
        </w:tc>
        <w:tc>
          <w:tcPr>
            <w:tcW w:w="1708" w:type="dxa"/>
            <w:noWrap w:val="0"/>
            <w:vAlign w:val="center"/>
          </w:tcPr>
          <w:p w14:paraId="2C4F6608">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300≤Y＜6000</w:t>
            </w:r>
          </w:p>
        </w:tc>
        <w:tc>
          <w:tcPr>
            <w:tcW w:w="1102" w:type="dxa"/>
            <w:noWrap w:val="0"/>
            <w:vAlign w:val="center"/>
          </w:tcPr>
          <w:p w14:paraId="7C021F1A">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Y＜300</w:t>
            </w:r>
          </w:p>
        </w:tc>
      </w:tr>
      <w:tr w14:paraId="36F76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2E554BB8">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p>
        </w:tc>
        <w:tc>
          <w:tcPr>
            <w:tcW w:w="1746" w:type="dxa"/>
            <w:noWrap w:val="0"/>
            <w:vAlign w:val="center"/>
          </w:tcPr>
          <w:p w14:paraId="5431C4C0">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6"/>
                <w:sz w:val="22"/>
              </w:rPr>
              <w:t>资产总额（Z）</w:t>
            </w:r>
          </w:p>
        </w:tc>
        <w:tc>
          <w:tcPr>
            <w:tcW w:w="979" w:type="dxa"/>
            <w:noWrap w:val="0"/>
            <w:vAlign w:val="center"/>
          </w:tcPr>
          <w:p w14:paraId="345F1F7A">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万元</w:t>
            </w:r>
          </w:p>
        </w:tc>
        <w:tc>
          <w:tcPr>
            <w:tcW w:w="1922" w:type="dxa"/>
            <w:noWrap w:val="0"/>
            <w:vAlign w:val="center"/>
          </w:tcPr>
          <w:p w14:paraId="5481795E">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5000≤Z＜80000</w:t>
            </w:r>
          </w:p>
        </w:tc>
        <w:tc>
          <w:tcPr>
            <w:tcW w:w="1708" w:type="dxa"/>
            <w:noWrap w:val="0"/>
            <w:vAlign w:val="center"/>
          </w:tcPr>
          <w:p w14:paraId="2872A75F">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300≤Z＜5000</w:t>
            </w:r>
          </w:p>
        </w:tc>
        <w:tc>
          <w:tcPr>
            <w:tcW w:w="1102" w:type="dxa"/>
            <w:noWrap w:val="0"/>
            <w:vAlign w:val="center"/>
          </w:tcPr>
          <w:p w14:paraId="7A98EBDD">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Z＜300</w:t>
            </w:r>
          </w:p>
        </w:tc>
      </w:tr>
      <w:tr w14:paraId="7188C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7CC1D5E3">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6"/>
                <w:sz w:val="22"/>
              </w:rPr>
              <w:t>批发业</w:t>
            </w:r>
          </w:p>
        </w:tc>
        <w:tc>
          <w:tcPr>
            <w:tcW w:w="1746" w:type="dxa"/>
            <w:noWrap w:val="0"/>
            <w:vAlign w:val="center"/>
          </w:tcPr>
          <w:p w14:paraId="198CAF2E">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7"/>
                <w:sz w:val="22"/>
              </w:rPr>
              <w:t>从业人员（X）</w:t>
            </w:r>
          </w:p>
        </w:tc>
        <w:tc>
          <w:tcPr>
            <w:tcW w:w="979" w:type="dxa"/>
            <w:noWrap w:val="0"/>
            <w:vAlign w:val="center"/>
          </w:tcPr>
          <w:p w14:paraId="67FF24E4">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人</w:t>
            </w:r>
          </w:p>
        </w:tc>
        <w:tc>
          <w:tcPr>
            <w:tcW w:w="1922" w:type="dxa"/>
            <w:noWrap w:val="0"/>
            <w:vAlign w:val="center"/>
          </w:tcPr>
          <w:p w14:paraId="0599A45A">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20≤X＜200</w:t>
            </w:r>
          </w:p>
        </w:tc>
        <w:tc>
          <w:tcPr>
            <w:tcW w:w="1708" w:type="dxa"/>
            <w:noWrap w:val="0"/>
            <w:vAlign w:val="center"/>
          </w:tcPr>
          <w:p w14:paraId="7C41F4A6">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5≤X＜20</w:t>
            </w:r>
          </w:p>
        </w:tc>
        <w:tc>
          <w:tcPr>
            <w:tcW w:w="1102" w:type="dxa"/>
            <w:noWrap w:val="0"/>
            <w:vAlign w:val="center"/>
          </w:tcPr>
          <w:p w14:paraId="0EF69E4F">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X＜5</w:t>
            </w:r>
          </w:p>
        </w:tc>
      </w:tr>
      <w:tr w14:paraId="00C67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continue"/>
            <w:tcBorders>
              <w:top w:val="nil"/>
            </w:tcBorders>
            <w:noWrap w:val="0"/>
            <w:vAlign w:val="center"/>
          </w:tcPr>
          <w:p w14:paraId="256A01A7">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p>
        </w:tc>
        <w:tc>
          <w:tcPr>
            <w:tcW w:w="1746" w:type="dxa"/>
            <w:noWrap w:val="0"/>
            <w:vAlign w:val="center"/>
          </w:tcPr>
          <w:p w14:paraId="51642FD8">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6"/>
                <w:sz w:val="22"/>
              </w:rPr>
              <w:t>营业收入（Y）</w:t>
            </w:r>
          </w:p>
        </w:tc>
        <w:tc>
          <w:tcPr>
            <w:tcW w:w="979" w:type="dxa"/>
            <w:noWrap w:val="0"/>
            <w:vAlign w:val="center"/>
          </w:tcPr>
          <w:p w14:paraId="79F32412">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万元</w:t>
            </w:r>
          </w:p>
        </w:tc>
        <w:tc>
          <w:tcPr>
            <w:tcW w:w="1922" w:type="dxa"/>
            <w:noWrap w:val="0"/>
            <w:vAlign w:val="center"/>
          </w:tcPr>
          <w:p w14:paraId="032D1823">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5000≤Y＜40000</w:t>
            </w:r>
          </w:p>
        </w:tc>
        <w:tc>
          <w:tcPr>
            <w:tcW w:w="1708" w:type="dxa"/>
            <w:noWrap w:val="0"/>
            <w:vAlign w:val="center"/>
          </w:tcPr>
          <w:p w14:paraId="22D58710">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1000≤Y＜5000</w:t>
            </w:r>
          </w:p>
        </w:tc>
        <w:tc>
          <w:tcPr>
            <w:tcW w:w="1102" w:type="dxa"/>
            <w:noWrap w:val="0"/>
            <w:vAlign w:val="center"/>
          </w:tcPr>
          <w:p w14:paraId="3A101783">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Y＜1000</w:t>
            </w:r>
          </w:p>
        </w:tc>
      </w:tr>
      <w:tr w14:paraId="2C5E2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381AD54B">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8"/>
                <w:sz w:val="22"/>
              </w:rPr>
              <w:t>零售业</w:t>
            </w:r>
          </w:p>
        </w:tc>
        <w:tc>
          <w:tcPr>
            <w:tcW w:w="1746" w:type="dxa"/>
            <w:noWrap w:val="0"/>
            <w:vAlign w:val="center"/>
          </w:tcPr>
          <w:p w14:paraId="08A26EA6">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7"/>
                <w:sz w:val="22"/>
              </w:rPr>
              <w:t>从业人员（X）</w:t>
            </w:r>
          </w:p>
        </w:tc>
        <w:tc>
          <w:tcPr>
            <w:tcW w:w="979" w:type="dxa"/>
            <w:noWrap w:val="0"/>
            <w:vAlign w:val="center"/>
          </w:tcPr>
          <w:p w14:paraId="6688B030">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人</w:t>
            </w:r>
          </w:p>
        </w:tc>
        <w:tc>
          <w:tcPr>
            <w:tcW w:w="1922" w:type="dxa"/>
            <w:noWrap w:val="0"/>
            <w:vAlign w:val="center"/>
          </w:tcPr>
          <w:p w14:paraId="330B3154">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50≤X＜300</w:t>
            </w:r>
          </w:p>
        </w:tc>
        <w:tc>
          <w:tcPr>
            <w:tcW w:w="1708" w:type="dxa"/>
            <w:noWrap w:val="0"/>
            <w:vAlign w:val="center"/>
          </w:tcPr>
          <w:p w14:paraId="56F94DD5">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10≤X＜50</w:t>
            </w:r>
          </w:p>
        </w:tc>
        <w:tc>
          <w:tcPr>
            <w:tcW w:w="1102" w:type="dxa"/>
            <w:noWrap w:val="0"/>
            <w:vAlign w:val="center"/>
          </w:tcPr>
          <w:p w14:paraId="6CF51D1E">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X＜10</w:t>
            </w:r>
          </w:p>
        </w:tc>
      </w:tr>
      <w:tr w14:paraId="1AA9D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63931D4D">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p>
        </w:tc>
        <w:tc>
          <w:tcPr>
            <w:tcW w:w="1746" w:type="dxa"/>
            <w:noWrap w:val="0"/>
            <w:vAlign w:val="center"/>
          </w:tcPr>
          <w:p w14:paraId="342ADC85">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6"/>
                <w:sz w:val="22"/>
              </w:rPr>
              <w:t>营业收入（Y）</w:t>
            </w:r>
          </w:p>
        </w:tc>
        <w:tc>
          <w:tcPr>
            <w:tcW w:w="979" w:type="dxa"/>
            <w:noWrap w:val="0"/>
            <w:vAlign w:val="center"/>
          </w:tcPr>
          <w:p w14:paraId="049CF1E3">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万元</w:t>
            </w:r>
          </w:p>
        </w:tc>
        <w:tc>
          <w:tcPr>
            <w:tcW w:w="1922" w:type="dxa"/>
            <w:noWrap w:val="0"/>
            <w:vAlign w:val="center"/>
          </w:tcPr>
          <w:p w14:paraId="3A838970">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500≤Y＜20000</w:t>
            </w:r>
          </w:p>
        </w:tc>
        <w:tc>
          <w:tcPr>
            <w:tcW w:w="1708" w:type="dxa"/>
            <w:noWrap w:val="0"/>
            <w:vAlign w:val="center"/>
          </w:tcPr>
          <w:p w14:paraId="00E670B1">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100≤Y＜500</w:t>
            </w:r>
          </w:p>
        </w:tc>
        <w:tc>
          <w:tcPr>
            <w:tcW w:w="1102" w:type="dxa"/>
            <w:noWrap w:val="0"/>
            <w:vAlign w:val="center"/>
          </w:tcPr>
          <w:p w14:paraId="6A0AEDD0">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Y＜100</w:t>
            </w:r>
          </w:p>
        </w:tc>
      </w:tr>
      <w:tr w14:paraId="57D8A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40DD5C4E">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7"/>
                <w:sz w:val="22"/>
              </w:rPr>
              <w:t>交通运输业</w:t>
            </w:r>
          </w:p>
        </w:tc>
        <w:tc>
          <w:tcPr>
            <w:tcW w:w="1746" w:type="dxa"/>
            <w:noWrap w:val="0"/>
            <w:vAlign w:val="center"/>
          </w:tcPr>
          <w:p w14:paraId="2D1231DD">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7"/>
                <w:sz w:val="22"/>
              </w:rPr>
              <w:t>从业人员（X）</w:t>
            </w:r>
          </w:p>
        </w:tc>
        <w:tc>
          <w:tcPr>
            <w:tcW w:w="979" w:type="dxa"/>
            <w:noWrap w:val="0"/>
            <w:vAlign w:val="center"/>
          </w:tcPr>
          <w:p w14:paraId="47DA863B">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人</w:t>
            </w:r>
          </w:p>
        </w:tc>
        <w:tc>
          <w:tcPr>
            <w:tcW w:w="1922" w:type="dxa"/>
            <w:noWrap w:val="0"/>
            <w:vAlign w:val="center"/>
          </w:tcPr>
          <w:p w14:paraId="0A229EC2">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300≤X＜1000</w:t>
            </w:r>
          </w:p>
        </w:tc>
        <w:tc>
          <w:tcPr>
            <w:tcW w:w="1708" w:type="dxa"/>
            <w:noWrap w:val="0"/>
            <w:vAlign w:val="center"/>
          </w:tcPr>
          <w:p w14:paraId="0EB4E208">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20≤X＜300</w:t>
            </w:r>
          </w:p>
        </w:tc>
        <w:tc>
          <w:tcPr>
            <w:tcW w:w="1102" w:type="dxa"/>
            <w:noWrap w:val="0"/>
            <w:vAlign w:val="center"/>
          </w:tcPr>
          <w:p w14:paraId="7E582765">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X＜20</w:t>
            </w:r>
          </w:p>
        </w:tc>
      </w:tr>
      <w:tr w14:paraId="21F63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355CEFD4">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p>
        </w:tc>
        <w:tc>
          <w:tcPr>
            <w:tcW w:w="1746" w:type="dxa"/>
            <w:noWrap w:val="0"/>
            <w:vAlign w:val="center"/>
          </w:tcPr>
          <w:p w14:paraId="48576D52">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6"/>
                <w:sz w:val="22"/>
              </w:rPr>
              <w:t>营业收入（Y）</w:t>
            </w:r>
          </w:p>
        </w:tc>
        <w:tc>
          <w:tcPr>
            <w:tcW w:w="979" w:type="dxa"/>
            <w:noWrap w:val="0"/>
            <w:vAlign w:val="center"/>
          </w:tcPr>
          <w:p w14:paraId="679CE720">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万元</w:t>
            </w:r>
          </w:p>
        </w:tc>
        <w:tc>
          <w:tcPr>
            <w:tcW w:w="1922" w:type="dxa"/>
            <w:noWrap w:val="0"/>
            <w:vAlign w:val="center"/>
          </w:tcPr>
          <w:p w14:paraId="0038B2FE">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3000≤Y＜30000</w:t>
            </w:r>
          </w:p>
        </w:tc>
        <w:tc>
          <w:tcPr>
            <w:tcW w:w="1708" w:type="dxa"/>
            <w:noWrap w:val="0"/>
            <w:vAlign w:val="center"/>
          </w:tcPr>
          <w:p w14:paraId="1860AC31">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200≤Y＜3000</w:t>
            </w:r>
          </w:p>
        </w:tc>
        <w:tc>
          <w:tcPr>
            <w:tcW w:w="1102" w:type="dxa"/>
            <w:noWrap w:val="0"/>
            <w:vAlign w:val="center"/>
          </w:tcPr>
          <w:p w14:paraId="1DECB3BE">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Y＜200</w:t>
            </w:r>
          </w:p>
        </w:tc>
      </w:tr>
      <w:tr w14:paraId="54C3A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3013CB09">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8"/>
                <w:sz w:val="22"/>
              </w:rPr>
              <w:t>仓储业</w:t>
            </w:r>
          </w:p>
        </w:tc>
        <w:tc>
          <w:tcPr>
            <w:tcW w:w="1746" w:type="dxa"/>
            <w:noWrap w:val="0"/>
            <w:vAlign w:val="center"/>
          </w:tcPr>
          <w:p w14:paraId="7DD5A0FB">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7"/>
                <w:sz w:val="22"/>
              </w:rPr>
              <w:t>从业人员（X）</w:t>
            </w:r>
          </w:p>
        </w:tc>
        <w:tc>
          <w:tcPr>
            <w:tcW w:w="979" w:type="dxa"/>
            <w:noWrap w:val="0"/>
            <w:vAlign w:val="center"/>
          </w:tcPr>
          <w:p w14:paraId="41A0CC31">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人</w:t>
            </w:r>
          </w:p>
        </w:tc>
        <w:tc>
          <w:tcPr>
            <w:tcW w:w="1922" w:type="dxa"/>
            <w:noWrap w:val="0"/>
            <w:vAlign w:val="center"/>
          </w:tcPr>
          <w:p w14:paraId="548B2A7F">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100≤X＜200</w:t>
            </w:r>
          </w:p>
        </w:tc>
        <w:tc>
          <w:tcPr>
            <w:tcW w:w="1708" w:type="dxa"/>
            <w:noWrap w:val="0"/>
            <w:vAlign w:val="center"/>
          </w:tcPr>
          <w:p w14:paraId="3E931015">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20≤X＜100</w:t>
            </w:r>
          </w:p>
        </w:tc>
        <w:tc>
          <w:tcPr>
            <w:tcW w:w="1102" w:type="dxa"/>
            <w:noWrap w:val="0"/>
            <w:vAlign w:val="center"/>
          </w:tcPr>
          <w:p w14:paraId="5A7B4116">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X＜20</w:t>
            </w:r>
          </w:p>
        </w:tc>
      </w:tr>
      <w:tr w14:paraId="1E6E1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03480E4E">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p>
        </w:tc>
        <w:tc>
          <w:tcPr>
            <w:tcW w:w="1746" w:type="dxa"/>
            <w:noWrap w:val="0"/>
            <w:vAlign w:val="center"/>
          </w:tcPr>
          <w:p w14:paraId="2DA42A79">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6"/>
                <w:sz w:val="22"/>
              </w:rPr>
              <w:t>营业收入（Y）</w:t>
            </w:r>
          </w:p>
        </w:tc>
        <w:tc>
          <w:tcPr>
            <w:tcW w:w="979" w:type="dxa"/>
            <w:noWrap w:val="0"/>
            <w:vAlign w:val="center"/>
          </w:tcPr>
          <w:p w14:paraId="58FDB017">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万元</w:t>
            </w:r>
          </w:p>
        </w:tc>
        <w:tc>
          <w:tcPr>
            <w:tcW w:w="1922" w:type="dxa"/>
            <w:noWrap w:val="0"/>
            <w:vAlign w:val="center"/>
          </w:tcPr>
          <w:p w14:paraId="1F908B32">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1000≤Y＜30000</w:t>
            </w:r>
          </w:p>
        </w:tc>
        <w:tc>
          <w:tcPr>
            <w:tcW w:w="1708" w:type="dxa"/>
            <w:noWrap w:val="0"/>
            <w:vAlign w:val="center"/>
          </w:tcPr>
          <w:p w14:paraId="7DB2B5EB">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100≤Y＜1000</w:t>
            </w:r>
          </w:p>
        </w:tc>
        <w:tc>
          <w:tcPr>
            <w:tcW w:w="1102" w:type="dxa"/>
            <w:noWrap w:val="0"/>
            <w:vAlign w:val="center"/>
          </w:tcPr>
          <w:p w14:paraId="32762277">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Y＜100</w:t>
            </w:r>
          </w:p>
        </w:tc>
      </w:tr>
      <w:tr w14:paraId="75F60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4BF62ACB">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5"/>
                <w:sz w:val="22"/>
              </w:rPr>
              <w:t>邮政业</w:t>
            </w:r>
          </w:p>
        </w:tc>
        <w:tc>
          <w:tcPr>
            <w:tcW w:w="1746" w:type="dxa"/>
            <w:noWrap w:val="0"/>
            <w:vAlign w:val="center"/>
          </w:tcPr>
          <w:p w14:paraId="4935003D">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7"/>
                <w:sz w:val="22"/>
              </w:rPr>
              <w:t>从业人员（X）</w:t>
            </w:r>
          </w:p>
        </w:tc>
        <w:tc>
          <w:tcPr>
            <w:tcW w:w="979" w:type="dxa"/>
            <w:noWrap w:val="0"/>
            <w:vAlign w:val="center"/>
          </w:tcPr>
          <w:p w14:paraId="55B4D170">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人</w:t>
            </w:r>
          </w:p>
        </w:tc>
        <w:tc>
          <w:tcPr>
            <w:tcW w:w="1922" w:type="dxa"/>
            <w:noWrap w:val="0"/>
            <w:vAlign w:val="center"/>
          </w:tcPr>
          <w:p w14:paraId="3648EC16">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300≤X＜1000</w:t>
            </w:r>
          </w:p>
        </w:tc>
        <w:tc>
          <w:tcPr>
            <w:tcW w:w="1708" w:type="dxa"/>
            <w:noWrap w:val="0"/>
            <w:vAlign w:val="center"/>
          </w:tcPr>
          <w:p w14:paraId="2C0DDAC1">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20≤X＜300</w:t>
            </w:r>
          </w:p>
        </w:tc>
        <w:tc>
          <w:tcPr>
            <w:tcW w:w="1102" w:type="dxa"/>
            <w:noWrap w:val="0"/>
            <w:vAlign w:val="center"/>
          </w:tcPr>
          <w:p w14:paraId="76743EEA">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X＜20</w:t>
            </w:r>
          </w:p>
        </w:tc>
      </w:tr>
      <w:tr w14:paraId="70051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7FF2CECF">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p>
        </w:tc>
        <w:tc>
          <w:tcPr>
            <w:tcW w:w="1746" w:type="dxa"/>
            <w:noWrap w:val="0"/>
            <w:vAlign w:val="center"/>
          </w:tcPr>
          <w:p w14:paraId="035EF41D">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6"/>
                <w:sz w:val="22"/>
              </w:rPr>
              <w:t>营业收入（Y）</w:t>
            </w:r>
          </w:p>
        </w:tc>
        <w:tc>
          <w:tcPr>
            <w:tcW w:w="979" w:type="dxa"/>
            <w:noWrap w:val="0"/>
            <w:vAlign w:val="center"/>
          </w:tcPr>
          <w:p w14:paraId="6B82848C">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万元</w:t>
            </w:r>
          </w:p>
        </w:tc>
        <w:tc>
          <w:tcPr>
            <w:tcW w:w="1922" w:type="dxa"/>
            <w:noWrap w:val="0"/>
            <w:vAlign w:val="center"/>
          </w:tcPr>
          <w:p w14:paraId="3F15267A">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2000≤Y＜30000</w:t>
            </w:r>
          </w:p>
        </w:tc>
        <w:tc>
          <w:tcPr>
            <w:tcW w:w="1708" w:type="dxa"/>
            <w:noWrap w:val="0"/>
            <w:vAlign w:val="center"/>
          </w:tcPr>
          <w:p w14:paraId="75704F5F">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100≤Y＜2000</w:t>
            </w:r>
          </w:p>
        </w:tc>
        <w:tc>
          <w:tcPr>
            <w:tcW w:w="1102" w:type="dxa"/>
            <w:noWrap w:val="0"/>
            <w:vAlign w:val="center"/>
          </w:tcPr>
          <w:p w14:paraId="4736987C">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Y＜100</w:t>
            </w:r>
          </w:p>
        </w:tc>
      </w:tr>
      <w:tr w14:paraId="46FBC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7C5B868E">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7"/>
                <w:sz w:val="22"/>
              </w:rPr>
              <w:t>住宿业</w:t>
            </w:r>
          </w:p>
        </w:tc>
        <w:tc>
          <w:tcPr>
            <w:tcW w:w="1746" w:type="dxa"/>
            <w:noWrap w:val="0"/>
            <w:vAlign w:val="center"/>
          </w:tcPr>
          <w:p w14:paraId="56B8CD3D">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7"/>
                <w:sz w:val="22"/>
              </w:rPr>
              <w:t>从业人员（X）</w:t>
            </w:r>
          </w:p>
        </w:tc>
        <w:tc>
          <w:tcPr>
            <w:tcW w:w="979" w:type="dxa"/>
            <w:noWrap w:val="0"/>
            <w:vAlign w:val="center"/>
          </w:tcPr>
          <w:p w14:paraId="31384EB4">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人</w:t>
            </w:r>
          </w:p>
        </w:tc>
        <w:tc>
          <w:tcPr>
            <w:tcW w:w="1922" w:type="dxa"/>
            <w:noWrap w:val="0"/>
            <w:vAlign w:val="center"/>
          </w:tcPr>
          <w:p w14:paraId="796723C3">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100≤X＜300</w:t>
            </w:r>
          </w:p>
        </w:tc>
        <w:tc>
          <w:tcPr>
            <w:tcW w:w="1708" w:type="dxa"/>
            <w:noWrap w:val="0"/>
            <w:vAlign w:val="center"/>
          </w:tcPr>
          <w:p w14:paraId="756B2845">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10≤X＜100</w:t>
            </w:r>
          </w:p>
        </w:tc>
        <w:tc>
          <w:tcPr>
            <w:tcW w:w="1102" w:type="dxa"/>
            <w:noWrap w:val="0"/>
            <w:vAlign w:val="center"/>
          </w:tcPr>
          <w:p w14:paraId="5459D6E0">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X＜10</w:t>
            </w:r>
          </w:p>
        </w:tc>
      </w:tr>
      <w:tr w14:paraId="0A024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30327A51">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p>
        </w:tc>
        <w:tc>
          <w:tcPr>
            <w:tcW w:w="1746" w:type="dxa"/>
            <w:noWrap w:val="0"/>
            <w:vAlign w:val="center"/>
          </w:tcPr>
          <w:p w14:paraId="62C8D7DD">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6"/>
                <w:sz w:val="22"/>
              </w:rPr>
              <w:t>营业收入（Y）</w:t>
            </w:r>
          </w:p>
        </w:tc>
        <w:tc>
          <w:tcPr>
            <w:tcW w:w="979" w:type="dxa"/>
            <w:noWrap w:val="0"/>
            <w:vAlign w:val="center"/>
          </w:tcPr>
          <w:p w14:paraId="3DA7D483">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万元</w:t>
            </w:r>
          </w:p>
        </w:tc>
        <w:tc>
          <w:tcPr>
            <w:tcW w:w="1922" w:type="dxa"/>
            <w:noWrap w:val="0"/>
            <w:vAlign w:val="center"/>
          </w:tcPr>
          <w:p w14:paraId="20E817BE">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2000≤Y＜10000</w:t>
            </w:r>
          </w:p>
        </w:tc>
        <w:tc>
          <w:tcPr>
            <w:tcW w:w="1708" w:type="dxa"/>
            <w:noWrap w:val="0"/>
            <w:vAlign w:val="center"/>
          </w:tcPr>
          <w:p w14:paraId="49E93D1B">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100≤Y＜2000</w:t>
            </w:r>
          </w:p>
        </w:tc>
        <w:tc>
          <w:tcPr>
            <w:tcW w:w="1102" w:type="dxa"/>
            <w:noWrap w:val="0"/>
            <w:vAlign w:val="center"/>
          </w:tcPr>
          <w:p w14:paraId="3B936F85">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Y＜100</w:t>
            </w:r>
          </w:p>
        </w:tc>
      </w:tr>
      <w:tr w14:paraId="54B5D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noWrap w:val="0"/>
            <w:vAlign w:val="center"/>
          </w:tcPr>
          <w:p w14:paraId="4F929C73">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8"/>
                <w:sz w:val="22"/>
              </w:rPr>
              <w:t>餐饮业</w:t>
            </w:r>
          </w:p>
        </w:tc>
        <w:tc>
          <w:tcPr>
            <w:tcW w:w="1746" w:type="dxa"/>
            <w:noWrap w:val="0"/>
            <w:vAlign w:val="center"/>
          </w:tcPr>
          <w:p w14:paraId="0F3CE8E0">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7"/>
                <w:sz w:val="22"/>
              </w:rPr>
              <w:t>从业人员（X）</w:t>
            </w:r>
          </w:p>
        </w:tc>
        <w:tc>
          <w:tcPr>
            <w:tcW w:w="979" w:type="dxa"/>
            <w:noWrap w:val="0"/>
            <w:vAlign w:val="center"/>
          </w:tcPr>
          <w:p w14:paraId="19E8AD11">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人</w:t>
            </w:r>
          </w:p>
        </w:tc>
        <w:tc>
          <w:tcPr>
            <w:tcW w:w="1922" w:type="dxa"/>
            <w:noWrap w:val="0"/>
            <w:vAlign w:val="center"/>
          </w:tcPr>
          <w:p w14:paraId="49E9016F">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100≤X＜300</w:t>
            </w:r>
          </w:p>
        </w:tc>
        <w:tc>
          <w:tcPr>
            <w:tcW w:w="1708" w:type="dxa"/>
            <w:noWrap w:val="0"/>
            <w:vAlign w:val="center"/>
          </w:tcPr>
          <w:p w14:paraId="34A09702">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10≤X＜100</w:t>
            </w:r>
          </w:p>
        </w:tc>
        <w:tc>
          <w:tcPr>
            <w:tcW w:w="1102" w:type="dxa"/>
            <w:noWrap w:val="0"/>
            <w:vAlign w:val="center"/>
          </w:tcPr>
          <w:p w14:paraId="7BDF233C">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X＜10</w:t>
            </w:r>
          </w:p>
        </w:tc>
      </w:tr>
      <w:tr w14:paraId="1B2CF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17988467">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p>
        </w:tc>
        <w:tc>
          <w:tcPr>
            <w:tcW w:w="1746" w:type="dxa"/>
            <w:noWrap w:val="0"/>
            <w:vAlign w:val="center"/>
          </w:tcPr>
          <w:p w14:paraId="40C172FF">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6"/>
                <w:sz w:val="22"/>
              </w:rPr>
              <w:t>营业收入（Y）</w:t>
            </w:r>
          </w:p>
        </w:tc>
        <w:tc>
          <w:tcPr>
            <w:tcW w:w="979" w:type="dxa"/>
            <w:noWrap w:val="0"/>
            <w:vAlign w:val="center"/>
          </w:tcPr>
          <w:p w14:paraId="3277A361">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万元</w:t>
            </w:r>
          </w:p>
        </w:tc>
        <w:tc>
          <w:tcPr>
            <w:tcW w:w="1922" w:type="dxa"/>
            <w:noWrap w:val="0"/>
            <w:vAlign w:val="center"/>
          </w:tcPr>
          <w:p w14:paraId="3AB5192D">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2000≤Y＜10000</w:t>
            </w:r>
          </w:p>
        </w:tc>
        <w:tc>
          <w:tcPr>
            <w:tcW w:w="1708" w:type="dxa"/>
            <w:noWrap w:val="0"/>
            <w:vAlign w:val="center"/>
          </w:tcPr>
          <w:p w14:paraId="1258B557">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100≤Y＜2000</w:t>
            </w:r>
          </w:p>
        </w:tc>
        <w:tc>
          <w:tcPr>
            <w:tcW w:w="1102" w:type="dxa"/>
            <w:noWrap w:val="0"/>
            <w:vAlign w:val="center"/>
          </w:tcPr>
          <w:p w14:paraId="21590BD0">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Y＜100</w:t>
            </w:r>
          </w:p>
        </w:tc>
      </w:tr>
      <w:tr w14:paraId="180E2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noWrap w:val="0"/>
            <w:vAlign w:val="center"/>
          </w:tcPr>
          <w:p w14:paraId="56B566F0">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0"/>
                <w:sz w:val="22"/>
              </w:rPr>
              <w:t>信息传输业</w:t>
            </w:r>
          </w:p>
        </w:tc>
        <w:tc>
          <w:tcPr>
            <w:tcW w:w="1746" w:type="dxa"/>
            <w:noWrap w:val="0"/>
            <w:vAlign w:val="center"/>
          </w:tcPr>
          <w:p w14:paraId="6D7C7E8F">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7"/>
                <w:sz w:val="22"/>
              </w:rPr>
              <w:t>从业人员（X）</w:t>
            </w:r>
          </w:p>
        </w:tc>
        <w:tc>
          <w:tcPr>
            <w:tcW w:w="979" w:type="dxa"/>
            <w:noWrap w:val="0"/>
            <w:vAlign w:val="center"/>
          </w:tcPr>
          <w:p w14:paraId="32D5680B">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人</w:t>
            </w:r>
          </w:p>
        </w:tc>
        <w:tc>
          <w:tcPr>
            <w:tcW w:w="1922" w:type="dxa"/>
            <w:noWrap w:val="0"/>
            <w:vAlign w:val="center"/>
          </w:tcPr>
          <w:p w14:paraId="67D7080D">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100≤X＜2000</w:t>
            </w:r>
          </w:p>
        </w:tc>
        <w:tc>
          <w:tcPr>
            <w:tcW w:w="1708" w:type="dxa"/>
            <w:noWrap w:val="0"/>
            <w:vAlign w:val="center"/>
          </w:tcPr>
          <w:p w14:paraId="14493F4C">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10≤X＜100</w:t>
            </w:r>
          </w:p>
        </w:tc>
        <w:tc>
          <w:tcPr>
            <w:tcW w:w="1102" w:type="dxa"/>
            <w:noWrap w:val="0"/>
            <w:vAlign w:val="center"/>
          </w:tcPr>
          <w:p w14:paraId="30A90E80">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X＜10</w:t>
            </w:r>
          </w:p>
        </w:tc>
      </w:tr>
      <w:tr w14:paraId="7A925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27D70F8C">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p>
        </w:tc>
        <w:tc>
          <w:tcPr>
            <w:tcW w:w="1746" w:type="dxa"/>
            <w:noWrap w:val="0"/>
            <w:vAlign w:val="center"/>
          </w:tcPr>
          <w:p w14:paraId="4C825476">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6"/>
                <w:sz w:val="22"/>
              </w:rPr>
              <w:t>营业收入（Y）</w:t>
            </w:r>
          </w:p>
        </w:tc>
        <w:tc>
          <w:tcPr>
            <w:tcW w:w="979" w:type="dxa"/>
            <w:noWrap w:val="0"/>
            <w:vAlign w:val="center"/>
          </w:tcPr>
          <w:p w14:paraId="619F2F6E">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万元</w:t>
            </w:r>
          </w:p>
        </w:tc>
        <w:tc>
          <w:tcPr>
            <w:tcW w:w="1922" w:type="dxa"/>
            <w:noWrap w:val="0"/>
            <w:vAlign w:val="center"/>
          </w:tcPr>
          <w:p w14:paraId="35C0C9D7">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1000≤Y＜100000</w:t>
            </w:r>
          </w:p>
        </w:tc>
        <w:tc>
          <w:tcPr>
            <w:tcW w:w="1708" w:type="dxa"/>
            <w:noWrap w:val="0"/>
            <w:vAlign w:val="center"/>
          </w:tcPr>
          <w:p w14:paraId="43EFD1E4">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100≤Y＜1000</w:t>
            </w:r>
          </w:p>
        </w:tc>
        <w:tc>
          <w:tcPr>
            <w:tcW w:w="1102" w:type="dxa"/>
            <w:noWrap w:val="0"/>
            <w:vAlign w:val="center"/>
          </w:tcPr>
          <w:p w14:paraId="611ADBBB">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Y＜100</w:t>
            </w:r>
          </w:p>
        </w:tc>
      </w:tr>
      <w:tr w14:paraId="60A0B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52292EEC">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9"/>
                <w:sz w:val="22"/>
              </w:rPr>
              <w:t>软件和信息技术服务</w:t>
            </w:r>
            <w:r>
              <w:rPr>
                <w:rFonts w:hint="eastAsia" w:asciiTheme="minorEastAsia" w:hAnsiTheme="minorEastAsia" w:eastAsiaTheme="minorEastAsia" w:cstheme="minorEastAsia"/>
                <w:color w:val="auto"/>
                <w:sz w:val="22"/>
              </w:rPr>
              <w:t>业</w:t>
            </w:r>
          </w:p>
        </w:tc>
        <w:tc>
          <w:tcPr>
            <w:tcW w:w="1746" w:type="dxa"/>
            <w:noWrap w:val="0"/>
            <w:vAlign w:val="center"/>
          </w:tcPr>
          <w:p w14:paraId="33D54E5A">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7"/>
                <w:sz w:val="22"/>
              </w:rPr>
              <w:t>从业人员（X）</w:t>
            </w:r>
          </w:p>
        </w:tc>
        <w:tc>
          <w:tcPr>
            <w:tcW w:w="979" w:type="dxa"/>
            <w:noWrap w:val="0"/>
            <w:vAlign w:val="center"/>
          </w:tcPr>
          <w:p w14:paraId="7705F87E">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人</w:t>
            </w:r>
          </w:p>
        </w:tc>
        <w:tc>
          <w:tcPr>
            <w:tcW w:w="1922" w:type="dxa"/>
            <w:noWrap w:val="0"/>
            <w:vAlign w:val="center"/>
          </w:tcPr>
          <w:p w14:paraId="616B9E27">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100≤X＜300</w:t>
            </w:r>
          </w:p>
        </w:tc>
        <w:tc>
          <w:tcPr>
            <w:tcW w:w="1708" w:type="dxa"/>
            <w:noWrap w:val="0"/>
            <w:vAlign w:val="center"/>
          </w:tcPr>
          <w:p w14:paraId="1F42D914">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10≤X＜100</w:t>
            </w:r>
          </w:p>
        </w:tc>
        <w:tc>
          <w:tcPr>
            <w:tcW w:w="1102" w:type="dxa"/>
            <w:noWrap w:val="0"/>
            <w:vAlign w:val="center"/>
          </w:tcPr>
          <w:p w14:paraId="196022D3">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X＜10</w:t>
            </w:r>
          </w:p>
        </w:tc>
      </w:tr>
      <w:tr w14:paraId="1A331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4D09E7F9">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p>
        </w:tc>
        <w:tc>
          <w:tcPr>
            <w:tcW w:w="1746" w:type="dxa"/>
            <w:noWrap w:val="0"/>
            <w:vAlign w:val="center"/>
          </w:tcPr>
          <w:p w14:paraId="5787E0EA">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6"/>
                <w:sz w:val="22"/>
              </w:rPr>
              <w:t>营业收入（Y）</w:t>
            </w:r>
          </w:p>
        </w:tc>
        <w:tc>
          <w:tcPr>
            <w:tcW w:w="979" w:type="dxa"/>
            <w:noWrap w:val="0"/>
            <w:vAlign w:val="center"/>
          </w:tcPr>
          <w:p w14:paraId="06CB9092">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万元</w:t>
            </w:r>
          </w:p>
        </w:tc>
        <w:tc>
          <w:tcPr>
            <w:tcW w:w="1922" w:type="dxa"/>
            <w:noWrap w:val="0"/>
            <w:vAlign w:val="center"/>
          </w:tcPr>
          <w:p w14:paraId="7A88C6D7">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1000≤Y＜10000</w:t>
            </w:r>
          </w:p>
        </w:tc>
        <w:tc>
          <w:tcPr>
            <w:tcW w:w="1708" w:type="dxa"/>
            <w:noWrap w:val="0"/>
            <w:vAlign w:val="center"/>
          </w:tcPr>
          <w:p w14:paraId="36A3650B">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50≤Y＜1000</w:t>
            </w:r>
          </w:p>
        </w:tc>
        <w:tc>
          <w:tcPr>
            <w:tcW w:w="1102" w:type="dxa"/>
            <w:noWrap w:val="0"/>
            <w:vAlign w:val="center"/>
          </w:tcPr>
          <w:p w14:paraId="1E88FC18">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Y＜50</w:t>
            </w:r>
          </w:p>
        </w:tc>
      </w:tr>
      <w:tr w14:paraId="649E1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5E59ADA1">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9"/>
                <w:sz w:val="22"/>
              </w:rPr>
              <w:t>房地产开发经营</w:t>
            </w:r>
          </w:p>
        </w:tc>
        <w:tc>
          <w:tcPr>
            <w:tcW w:w="1746" w:type="dxa"/>
            <w:noWrap w:val="0"/>
            <w:vAlign w:val="center"/>
          </w:tcPr>
          <w:p w14:paraId="1299B2A3">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6"/>
                <w:sz w:val="22"/>
              </w:rPr>
              <w:t>营业收入（Y）</w:t>
            </w:r>
          </w:p>
        </w:tc>
        <w:tc>
          <w:tcPr>
            <w:tcW w:w="979" w:type="dxa"/>
            <w:noWrap w:val="0"/>
            <w:vAlign w:val="center"/>
          </w:tcPr>
          <w:p w14:paraId="5AA93750">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万元</w:t>
            </w:r>
          </w:p>
        </w:tc>
        <w:tc>
          <w:tcPr>
            <w:tcW w:w="1922" w:type="dxa"/>
            <w:noWrap w:val="0"/>
            <w:vAlign w:val="center"/>
          </w:tcPr>
          <w:p w14:paraId="4B41140E">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1000≤Y＜200000</w:t>
            </w:r>
          </w:p>
        </w:tc>
        <w:tc>
          <w:tcPr>
            <w:tcW w:w="1708" w:type="dxa"/>
            <w:noWrap w:val="0"/>
            <w:vAlign w:val="center"/>
          </w:tcPr>
          <w:p w14:paraId="204EDD0E">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100≤X＜1000</w:t>
            </w:r>
          </w:p>
        </w:tc>
        <w:tc>
          <w:tcPr>
            <w:tcW w:w="1102" w:type="dxa"/>
            <w:noWrap w:val="0"/>
            <w:vAlign w:val="center"/>
          </w:tcPr>
          <w:p w14:paraId="0472ACDC">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X＜100</w:t>
            </w:r>
          </w:p>
        </w:tc>
      </w:tr>
      <w:tr w14:paraId="12AA1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418E0D2A">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p>
        </w:tc>
        <w:tc>
          <w:tcPr>
            <w:tcW w:w="1746" w:type="dxa"/>
            <w:noWrap w:val="0"/>
            <w:vAlign w:val="center"/>
          </w:tcPr>
          <w:p w14:paraId="4DA86768">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6"/>
                <w:sz w:val="22"/>
              </w:rPr>
              <w:t>资产总额（Z）</w:t>
            </w:r>
          </w:p>
        </w:tc>
        <w:tc>
          <w:tcPr>
            <w:tcW w:w="979" w:type="dxa"/>
            <w:noWrap w:val="0"/>
            <w:vAlign w:val="center"/>
          </w:tcPr>
          <w:p w14:paraId="44F67620">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万元</w:t>
            </w:r>
          </w:p>
        </w:tc>
        <w:tc>
          <w:tcPr>
            <w:tcW w:w="1922" w:type="dxa"/>
            <w:noWrap w:val="0"/>
            <w:vAlign w:val="center"/>
          </w:tcPr>
          <w:p w14:paraId="0B94C847">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5000≤Z＜10000</w:t>
            </w:r>
          </w:p>
        </w:tc>
        <w:tc>
          <w:tcPr>
            <w:tcW w:w="1708" w:type="dxa"/>
            <w:noWrap w:val="0"/>
            <w:vAlign w:val="center"/>
          </w:tcPr>
          <w:p w14:paraId="74583A0E">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2000≤Y＜5000</w:t>
            </w:r>
          </w:p>
        </w:tc>
        <w:tc>
          <w:tcPr>
            <w:tcW w:w="1102" w:type="dxa"/>
            <w:noWrap w:val="0"/>
            <w:vAlign w:val="center"/>
          </w:tcPr>
          <w:p w14:paraId="25DE91ED">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Y＜2000</w:t>
            </w:r>
          </w:p>
        </w:tc>
      </w:tr>
      <w:tr w14:paraId="38512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366EB68A">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7"/>
                <w:sz w:val="22"/>
              </w:rPr>
              <w:t>物业管理</w:t>
            </w:r>
          </w:p>
        </w:tc>
        <w:tc>
          <w:tcPr>
            <w:tcW w:w="1746" w:type="dxa"/>
            <w:noWrap w:val="0"/>
            <w:vAlign w:val="center"/>
          </w:tcPr>
          <w:p w14:paraId="1F78D2CD">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7"/>
                <w:sz w:val="22"/>
              </w:rPr>
              <w:t>从业人员（X）</w:t>
            </w:r>
          </w:p>
        </w:tc>
        <w:tc>
          <w:tcPr>
            <w:tcW w:w="979" w:type="dxa"/>
            <w:noWrap w:val="0"/>
            <w:vAlign w:val="center"/>
          </w:tcPr>
          <w:p w14:paraId="0FEE8CDF">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人</w:t>
            </w:r>
          </w:p>
        </w:tc>
        <w:tc>
          <w:tcPr>
            <w:tcW w:w="1922" w:type="dxa"/>
            <w:noWrap w:val="0"/>
            <w:vAlign w:val="center"/>
          </w:tcPr>
          <w:p w14:paraId="45F43911">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300≤X＜1000</w:t>
            </w:r>
          </w:p>
        </w:tc>
        <w:tc>
          <w:tcPr>
            <w:tcW w:w="1708" w:type="dxa"/>
            <w:noWrap w:val="0"/>
            <w:vAlign w:val="center"/>
          </w:tcPr>
          <w:p w14:paraId="3266721F">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100≤X＜300</w:t>
            </w:r>
          </w:p>
        </w:tc>
        <w:tc>
          <w:tcPr>
            <w:tcW w:w="1102" w:type="dxa"/>
            <w:noWrap w:val="0"/>
            <w:vAlign w:val="center"/>
          </w:tcPr>
          <w:p w14:paraId="26283EC9">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X＜100</w:t>
            </w:r>
          </w:p>
        </w:tc>
      </w:tr>
      <w:tr w14:paraId="29898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053EA4FA">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p>
        </w:tc>
        <w:tc>
          <w:tcPr>
            <w:tcW w:w="1746" w:type="dxa"/>
            <w:noWrap w:val="0"/>
            <w:vAlign w:val="center"/>
          </w:tcPr>
          <w:p w14:paraId="6AB86C8E">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6"/>
                <w:sz w:val="22"/>
              </w:rPr>
              <w:t>营业收入（Y）</w:t>
            </w:r>
          </w:p>
        </w:tc>
        <w:tc>
          <w:tcPr>
            <w:tcW w:w="979" w:type="dxa"/>
            <w:noWrap w:val="0"/>
            <w:vAlign w:val="center"/>
          </w:tcPr>
          <w:p w14:paraId="7C42AB64">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万元</w:t>
            </w:r>
          </w:p>
        </w:tc>
        <w:tc>
          <w:tcPr>
            <w:tcW w:w="1922" w:type="dxa"/>
            <w:noWrap w:val="0"/>
            <w:vAlign w:val="center"/>
          </w:tcPr>
          <w:p w14:paraId="3A09570C">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1000≤Y＜5000</w:t>
            </w:r>
          </w:p>
        </w:tc>
        <w:tc>
          <w:tcPr>
            <w:tcW w:w="1708" w:type="dxa"/>
            <w:noWrap w:val="0"/>
            <w:vAlign w:val="center"/>
          </w:tcPr>
          <w:p w14:paraId="30F57A93">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500≤Y＜1000</w:t>
            </w:r>
          </w:p>
        </w:tc>
        <w:tc>
          <w:tcPr>
            <w:tcW w:w="1102" w:type="dxa"/>
            <w:noWrap w:val="0"/>
            <w:vAlign w:val="center"/>
          </w:tcPr>
          <w:p w14:paraId="47AC5A7D">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Y＜500</w:t>
            </w:r>
          </w:p>
        </w:tc>
      </w:tr>
      <w:tr w14:paraId="276D2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noWrap w:val="0"/>
            <w:vAlign w:val="center"/>
          </w:tcPr>
          <w:p w14:paraId="40F3A6D9">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9"/>
                <w:sz w:val="22"/>
              </w:rPr>
              <w:t>租赁和商务服务业</w:t>
            </w:r>
          </w:p>
        </w:tc>
        <w:tc>
          <w:tcPr>
            <w:tcW w:w="1746" w:type="dxa"/>
            <w:noWrap w:val="0"/>
            <w:vAlign w:val="center"/>
          </w:tcPr>
          <w:p w14:paraId="659AE632">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7"/>
                <w:sz w:val="22"/>
              </w:rPr>
              <w:t>从业人员（X）</w:t>
            </w:r>
          </w:p>
        </w:tc>
        <w:tc>
          <w:tcPr>
            <w:tcW w:w="979" w:type="dxa"/>
            <w:noWrap w:val="0"/>
            <w:vAlign w:val="center"/>
          </w:tcPr>
          <w:p w14:paraId="2054C8A1">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人</w:t>
            </w:r>
          </w:p>
        </w:tc>
        <w:tc>
          <w:tcPr>
            <w:tcW w:w="1922" w:type="dxa"/>
            <w:noWrap w:val="0"/>
            <w:vAlign w:val="center"/>
          </w:tcPr>
          <w:p w14:paraId="2968CCE1">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100≤X＜300</w:t>
            </w:r>
          </w:p>
        </w:tc>
        <w:tc>
          <w:tcPr>
            <w:tcW w:w="1708" w:type="dxa"/>
            <w:noWrap w:val="0"/>
            <w:vAlign w:val="center"/>
          </w:tcPr>
          <w:p w14:paraId="1E0B80CA">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10≤X＜100</w:t>
            </w:r>
          </w:p>
        </w:tc>
        <w:tc>
          <w:tcPr>
            <w:tcW w:w="1102" w:type="dxa"/>
            <w:noWrap w:val="0"/>
            <w:vAlign w:val="center"/>
          </w:tcPr>
          <w:p w14:paraId="07C3E33F">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X＜10</w:t>
            </w:r>
          </w:p>
        </w:tc>
      </w:tr>
      <w:tr w14:paraId="03D72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48A0D72E">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p>
        </w:tc>
        <w:tc>
          <w:tcPr>
            <w:tcW w:w="1746" w:type="dxa"/>
            <w:noWrap w:val="0"/>
            <w:vAlign w:val="center"/>
          </w:tcPr>
          <w:p w14:paraId="1E0818BC">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6"/>
                <w:sz w:val="22"/>
              </w:rPr>
              <w:t>资产总额（Z）</w:t>
            </w:r>
          </w:p>
        </w:tc>
        <w:tc>
          <w:tcPr>
            <w:tcW w:w="979" w:type="dxa"/>
            <w:noWrap w:val="0"/>
            <w:vAlign w:val="center"/>
          </w:tcPr>
          <w:p w14:paraId="6ED325A6">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万元</w:t>
            </w:r>
          </w:p>
        </w:tc>
        <w:tc>
          <w:tcPr>
            <w:tcW w:w="1922" w:type="dxa"/>
            <w:noWrap w:val="0"/>
            <w:vAlign w:val="center"/>
          </w:tcPr>
          <w:p w14:paraId="07E46164">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8000≤Z＜120000</w:t>
            </w:r>
          </w:p>
        </w:tc>
        <w:tc>
          <w:tcPr>
            <w:tcW w:w="1708" w:type="dxa"/>
            <w:noWrap w:val="0"/>
            <w:vAlign w:val="center"/>
          </w:tcPr>
          <w:p w14:paraId="13FBBCA0">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4"/>
                <w:position w:val="1"/>
                <w:sz w:val="22"/>
              </w:rPr>
              <w:t>100≤Z＜8000</w:t>
            </w:r>
          </w:p>
        </w:tc>
        <w:tc>
          <w:tcPr>
            <w:tcW w:w="1102" w:type="dxa"/>
            <w:noWrap w:val="0"/>
            <w:vAlign w:val="center"/>
          </w:tcPr>
          <w:p w14:paraId="13DC7F48">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Y＜100</w:t>
            </w:r>
          </w:p>
        </w:tc>
      </w:tr>
      <w:tr w14:paraId="76A4E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2233" w:type="dxa"/>
            <w:noWrap w:val="0"/>
            <w:vAlign w:val="center"/>
          </w:tcPr>
          <w:p w14:paraId="1E5CBECF">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9"/>
                <w:sz w:val="22"/>
              </w:rPr>
              <w:t>其他未列明行业</w:t>
            </w:r>
          </w:p>
        </w:tc>
        <w:tc>
          <w:tcPr>
            <w:tcW w:w="1746" w:type="dxa"/>
            <w:noWrap w:val="0"/>
            <w:vAlign w:val="center"/>
          </w:tcPr>
          <w:p w14:paraId="64DBF986">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7"/>
                <w:sz w:val="22"/>
              </w:rPr>
              <w:t>从业人员（X）</w:t>
            </w:r>
          </w:p>
        </w:tc>
        <w:tc>
          <w:tcPr>
            <w:tcW w:w="979" w:type="dxa"/>
            <w:noWrap w:val="0"/>
            <w:vAlign w:val="center"/>
          </w:tcPr>
          <w:p w14:paraId="2C590BBD">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1"/>
                <w:sz w:val="22"/>
              </w:rPr>
              <w:t>人</w:t>
            </w:r>
          </w:p>
        </w:tc>
        <w:tc>
          <w:tcPr>
            <w:tcW w:w="1922" w:type="dxa"/>
            <w:noWrap w:val="0"/>
            <w:vAlign w:val="center"/>
          </w:tcPr>
          <w:p w14:paraId="1D5C093C">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100≤X＜300</w:t>
            </w:r>
          </w:p>
        </w:tc>
        <w:tc>
          <w:tcPr>
            <w:tcW w:w="1708" w:type="dxa"/>
            <w:noWrap w:val="0"/>
            <w:vAlign w:val="center"/>
          </w:tcPr>
          <w:p w14:paraId="06196BD5">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10≤X＜100</w:t>
            </w:r>
          </w:p>
        </w:tc>
        <w:tc>
          <w:tcPr>
            <w:tcW w:w="1102" w:type="dxa"/>
            <w:noWrap w:val="0"/>
            <w:vAlign w:val="center"/>
          </w:tcPr>
          <w:p w14:paraId="0F39F882">
            <w:pPr>
              <w:widowControl/>
              <w:kinsoku w:val="0"/>
              <w:autoSpaceDE w:val="0"/>
              <w:autoSpaceDN w:val="0"/>
              <w:adjustRightInd w:val="0"/>
              <w:snapToGrid w:val="0"/>
              <w:jc w:val="center"/>
              <w:textAlignment w:val="baseline"/>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pacing w:val="3"/>
                <w:position w:val="1"/>
                <w:sz w:val="22"/>
              </w:rPr>
              <w:t>X＜10</w:t>
            </w:r>
          </w:p>
        </w:tc>
      </w:tr>
    </w:tbl>
    <w:p w14:paraId="634FEAE0">
      <w:pPr>
        <w:pStyle w:val="8"/>
        <w:shd w:val="clear"/>
        <w:ind w:firstLine="420" w:firstLineChars="0"/>
        <w:rPr>
          <w:rFonts w:hint="default"/>
          <w:color w:val="auto"/>
          <w:highlight w:val="none"/>
          <w:lang w:val="en-US" w:eastAsia="zh-CN"/>
        </w:rPr>
        <w:sectPr>
          <w:footerReference r:id="rId7" w:type="default"/>
          <w:pgSz w:w="11906" w:h="16838"/>
          <w:pgMar w:top="1528" w:right="1080" w:bottom="1440" w:left="1080" w:header="907" w:footer="623"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pacing w:val="7"/>
        </w:rPr>
        <w:t>说明：上述标准参照《关于印发中小企业划型标准规定的通知》（工信部联企业[2011]300</w:t>
      </w:r>
      <w:r>
        <w:rPr>
          <w:rFonts w:hint="eastAsia" w:ascii="仿宋" w:hAnsi="仿宋" w:eastAsia="仿宋" w:cs="仿宋"/>
          <w:color w:val="auto"/>
          <w:spacing w:val="-26"/>
        </w:rPr>
        <w:t xml:space="preserve"> </w:t>
      </w:r>
      <w:r>
        <w:rPr>
          <w:rFonts w:hint="eastAsia" w:ascii="仿宋" w:hAnsi="仿宋" w:eastAsia="仿宋" w:cs="仿宋"/>
          <w:color w:val="auto"/>
          <w:spacing w:val="6"/>
        </w:rPr>
        <w:t>号），大</w:t>
      </w:r>
      <w:r>
        <w:rPr>
          <w:rFonts w:hint="eastAsia" w:ascii="仿宋" w:hAnsi="仿宋" w:eastAsia="仿宋" w:cs="仿宋"/>
          <w:color w:val="auto"/>
          <w:spacing w:val="9"/>
        </w:rPr>
        <w:t>型、中型和小型企业须同时满足所列指标的下限，否则下划一档；微型企业只须满足所列指标中的一项即</w:t>
      </w:r>
      <w:r>
        <w:rPr>
          <w:rFonts w:hint="eastAsia" w:ascii="仿宋" w:hAnsi="仿宋" w:eastAsia="仿宋" w:cs="仿宋"/>
          <w:color w:val="auto"/>
          <w:spacing w:val="-12"/>
        </w:rPr>
        <w:t>可。</w:t>
      </w:r>
    </w:p>
    <w:p w14:paraId="48B42BBC">
      <w:pPr>
        <w:pStyle w:val="2"/>
        <w:shd w:val="clear"/>
        <w:ind w:firstLine="3092" w:firstLineChars="700"/>
        <w:jc w:val="both"/>
        <w:rPr>
          <w:rFonts w:ascii="time of new roman" w:hAnsi="time of new roman"/>
          <w:color w:val="auto"/>
          <w:sz w:val="44"/>
          <w:highlight w:val="none"/>
        </w:rPr>
      </w:pPr>
      <w:bookmarkStart w:id="296" w:name="_Toc410227692"/>
      <w:bookmarkStart w:id="297" w:name="_Toc23006"/>
      <w:r>
        <w:rPr>
          <w:rFonts w:hint="eastAsia" w:ascii="time of new roman" w:hAnsi="time of new roman" w:eastAsia="宋体"/>
          <w:color w:val="auto"/>
          <w:kern w:val="0"/>
          <w:sz w:val="44"/>
          <w:highlight w:val="none"/>
        </w:rPr>
        <w:t>第四章 评标文件</w:t>
      </w:r>
      <w:bookmarkEnd w:id="296"/>
      <w:bookmarkEnd w:id="297"/>
    </w:p>
    <w:p w14:paraId="701D9ED7">
      <w:pPr>
        <w:pStyle w:val="4"/>
        <w:shd w:val="clear"/>
        <w:spacing w:after="0" w:afterLines="0" w:afterAutospacing="0"/>
        <w:rPr>
          <w:color w:val="auto"/>
          <w:sz w:val="28"/>
          <w:szCs w:val="28"/>
          <w:highlight w:val="none"/>
        </w:rPr>
      </w:pPr>
      <w:bookmarkStart w:id="298" w:name="_Toc10446422"/>
      <w:bookmarkStart w:id="299" w:name="_Toc358307751"/>
      <w:bookmarkStart w:id="300" w:name="_Toc470184444"/>
      <w:bookmarkStart w:id="301" w:name="_Toc11931288"/>
      <w:bookmarkStart w:id="302" w:name="_Toc439513164"/>
      <w:bookmarkStart w:id="303" w:name="_Toc425347665"/>
      <w:bookmarkStart w:id="304" w:name="_Toc498899386"/>
      <w:bookmarkStart w:id="305" w:name="_Toc509337169"/>
      <w:bookmarkStart w:id="306" w:name="_Toc438722133"/>
      <w:bookmarkStart w:id="307" w:name="_Toc514177056"/>
      <w:bookmarkStart w:id="308" w:name="_Toc273342935"/>
      <w:bookmarkStart w:id="309" w:name="_Toc9612854"/>
      <w:bookmarkStart w:id="310" w:name="_Toc524368793"/>
      <w:bookmarkStart w:id="311" w:name="_Toc486969382"/>
      <w:bookmarkStart w:id="312" w:name="_Toc523170345"/>
      <w:bookmarkStart w:id="313" w:name="_Toc9864090"/>
      <w:bookmarkStart w:id="314" w:name="_Toc8109"/>
      <w:bookmarkStart w:id="315" w:name="_Toc414510783"/>
      <w:bookmarkStart w:id="316" w:name="_Toc11944595"/>
      <w:bookmarkStart w:id="317" w:name="_Toc438508600"/>
      <w:bookmarkStart w:id="318" w:name="_Toc416208489"/>
      <w:bookmarkStart w:id="319" w:name="_Toc509337054"/>
      <w:bookmarkStart w:id="320" w:name="_Toc479325595"/>
      <w:bookmarkStart w:id="321" w:name="_Toc439513448"/>
      <w:bookmarkStart w:id="322" w:name="_Toc522529808"/>
      <w:bookmarkStart w:id="323" w:name="_Toc479340792"/>
      <w:bookmarkStart w:id="324" w:name="_Toc487044255"/>
      <w:bookmarkStart w:id="325" w:name="_Toc422161995"/>
      <w:bookmarkStart w:id="326" w:name="_Toc524517865"/>
      <w:bookmarkStart w:id="327" w:name="_Toc458635599"/>
      <w:bookmarkStart w:id="328" w:name="_Toc477879843"/>
      <w:bookmarkStart w:id="329" w:name="_Toc438513737"/>
      <w:bookmarkStart w:id="330" w:name="_Toc498871254"/>
      <w:bookmarkStart w:id="331" w:name="_Toc494832090"/>
      <w:bookmarkStart w:id="332" w:name="_Toc369081822"/>
      <w:bookmarkStart w:id="333" w:name="_Toc19458"/>
      <w:bookmarkStart w:id="334" w:name="_Toc422865424"/>
      <w:bookmarkStart w:id="335" w:name="_Toc439679271"/>
      <w:bookmarkStart w:id="336" w:name="_Toc418023336"/>
      <w:bookmarkStart w:id="337" w:name="_Toc458980396"/>
      <w:bookmarkStart w:id="338" w:name="_Toc5124212"/>
      <w:r>
        <w:rPr>
          <w:rFonts w:hint="eastAsia"/>
          <w:color w:val="auto"/>
          <w:sz w:val="28"/>
          <w:szCs w:val="28"/>
          <w:highlight w:val="none"/>
        </w:rPr>
        <w:t>1、说明</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3C2C0AA">
      <w:pPr>
        <w:pStyle w:val="5"/>
        <w:shd w:val="clear"/>
        <w:spacing w:beforeAutospacing="0" w:line="360" w:lineRule="auto"/>
        <w:rPr>
          <w:rFonts w:ascii="宋体" w:hAnsi="宋体" w:eastAsia="宋体"/>
          <w:b/>
          <w:bCs/>
          <w:color w:val="auto"/>
          <w:sz w:val="24"/>
          <w:szCs w:val="24"/>
          <w:highlight w:val="none"/>
        </w:rPr>
      </w:pPr>
      <w:r>
        <w:rPr>
          <w:rFonts w:hint="eastAsia" w:ascii="宋体" w:hAnsi="宋体" w:eastAsia="宋体"/>
          <w:b/>
          <w:bCs/>
          <w:color w:val="auto"/>
          <w:sz w:val="21"/>
          <w:szCs w:val="21"/>
          <w:highlight w:val="none"/>
        </w:rPr>
        <w:t xml:space="preserve">1.1 </w:t>
      </w:r>
      <w:r>
        <w:rPr>
          <w:rFonts w:hint="eastAsia" w:ascii="宋体" w:hAnsi="宋体" w:eastAsia="宋体"/>
          <w:b/>
          <w:bCs/>
          <w:color w:val="auto"/>
          <w:sz w:val="24"/>
          <w:szCs w:val="24"/>
          <w:highlight w:val="none"/>
        </w:rPr>
        <w:t>概述</w:t>
      </w:r>
    </w:p>
    <w:p w14:paraId="4F3BC827">
      <w:pPr>
        <w:pStyle w:val="5"/>
        <w:shd w:val="clea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根据《中华人民共和国政府采购法》、《评标委员会和评标方法暂行规定》和国家及地方政府采购有关文件精神，在保证</w:t>
      </w:r>
      <w:r>
        <w:rPr>
          <w:rFonts w:hint="eastAsia" w:ascii="宋体" w:hAnsi="宋体" w:eastAsia="宋体" w:cs="宋体"/>
          <w:color w:val="auto"/>
          <w:sz w:val="24"/>
          <w:szCs w:val="24"/>
          <w:highlight w:val="none"/>
          <w:u w:val="single"/>
          <w:lang w:eastAsia="zh-CN"/>
        </w:rPr>
        <w:t>2025年和硕县教育和科学技术局中小学、幼儿园食材采购项目</w:t>
      </w:r>
      <w:r>
        <w:rPr>
          <w:rFonts w:hint="eastAsia" w:ascii="宋体" w:hAnsi="宋体" w:eastAsia="宋体" w:cs="宋体"/>
          <w:color w:val="auto"/>
          <w:sz w:val="24"/>
          <w:szCs w:val="24"/>
          <w:highlight w:val="none"/>
        </w:rPr>
        <w:t>（以下简称项目）招标公开、公平</w:t>
      </w:r>
      <w:r>
        <w:rPr>
          <w:rFonts w:hint="eastAsia" w:ascii="宋体" w:hAnsi="宋体" w:eastAsia="宋体"/>
          <w:color w:val="auto"/>
          <w:sz w:val="24"/>
          <w:szCs w:val="24"/>
          <w:highlight w:val="none"/>
        </w:rPr>
        <w:t>、公正的基础上，结合项目需求，由</w:t>
      </w:r>
      <w:r>
        <w:rPr>
          <w:rFonts w:hint="eastAsia" w:ascii="宋体" w:hAnsi="宋体" w:eastAsia="宋体" w:cs="宋体"/>
          <w:color w:val="auto"/>
          <w:sz w:val="24"/>
          <w:szCs w:val="24"/>
          <w:highlight w:val="none"/>
          <w:u w:val="single"/>
          <w:lang w:eastAsia="zh-CN"/>
        </w:rPr>
        <w:t>新疆益双工程管理有限公司</w:t>
      </w:r>
      <w:r>
        <w:rPr>
          <w:rFonts w:hint="eastAsia" w:ascii="宋体" w:hAnsi="宋体" w:eastAsia="宋体"/>
          <w:color w:val="auto"/>
          <w:sz w:val="24"/>
          <w:szCs w:val="24"/>
          <w:highlight w:val="none"/>
        </w:rPr>
        <w:t>制定本评标文件，评标委员会确认。内容包括本次评标的评审过程和方法。</w:t>
      </w:r>
    </w:p>
    <w:p w14:paraId="533D9028">
      <w:pPr>
        <w:pStyle w:val="5"/>
        <w:shd w:val="clear"/>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1.2 定义</w:t>
      </w:r>
    </w:p>
    <w:p w14:paraId="725719D9">
      <w:pPr>
        <w:pStyle w:val="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：系</w:t>
      </w:r>
      <w:r>
        <w:rPr>
          <w:rFonts w:hint="eastAsia" w:ascii="宋体" w:hAnsi="宋体" w:eastAsia="宋体" w:cs="宋体"/>
          <w:color w:val="auto"/>
          <w:sz w:val="24"/>
          <w:szCs w:val="24"/>
          <w:highlight w:val="none"/>
        </w:rPr>
        <w:t>指</w:t>
      </w:r>
      <w:r>
        <w:rPr>
          <w:rFonts w:hint="eastAsia" w:ascii="宋体" w:hAnsi="宋体" w:eastAsia="宋体" w:cs="宋体"/>
          <w:b/>
          <w:bCs/>
          <w:color w:val="auto"/>
          <w:sz w:val="24"/>
          <w:szCs w:val="24"/>
          <w:highlight w:val="none"/>
          <w:lang w:eastAsia="zh-CN"/>
        </w:rPr>
        <w:t>和硕县教育和科学技术局</w:t>
      </w:r>
      <w:r>
        <w:rPr>
          <w:rFonts w:hint="eastAsia" w:ascii="宋体" w:hAnsi="宋体" w:eastAsia="宋体" w:cs="宋体"/>
          <w:color w:val="auto"/>
          <w:sz w:val="24"/>
          <w:szCs w:val="24"/>
          <w:highlight w:val="none"/>
        </w:rPr>
        <w:t>。</w:t>
      </w:r>
    </w:p>
    <w:p w14:paraId="099D634B">
      <w:pPr>
        <w:pStyle w:val="5"/>
        <w:shd w:val="clear"/>
        <w:spacing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采购代理机构：系指</w:t>
      </w:r>
      <w:r>
        <w:rPr>
          <w:rFonts w:hint="eastAsia" w:ascii="宋体" w:hAnsi="宋体" w:eastAsia="宋体" w:cs="宋体"/>
          <w:b/>
          <w:bCs/>
          <w:color w:val="auto"/>
          <w:sz w:val="24"/>
          <w:szCs w:val="24"/>
          <w:highlight w:val="none"/>
          <w:lang w:eastAsia="zh-CN"/>
        </w:rPr>
        <w:t>新疆益双工程管理有限公司</w:t>
      </w:r>
      <w:r>
        <w:rPr>
          <w:rFonts w:hint="eastAsia" w:ascii="宋体" w:hAnsi="宋体" w:eastAsia="宋体" w:cs="宋体"/>
          <w:color w:val="auto"/>
          <w:sz w:val="24"/>
          <w:szCs w:val="24"/>
          <w:highlight w:val="none"/>
        </w:rPr>
        <w:t>。</w:t>
      </w:r>
    </w:p>
    <w:p w14:paraId="777276DF">
      <w:pPr>
        <w:pStyle w:val="4"/>
        <w:shd w:val="clear"/>
        <w:spacing w:before="0" w:beforeLines="0" w:beforeAutospacing="0" w:after="0" w:afterLines="0" w:afterAutospacing="0"/>
        <w:rPr>
          <w:color w:val="auto"/>
          <w:sz w:val="28"/>
          <w:szCs w:val="28"/>
          <w:highlight w:val="none"/>
        </w:rPr>
      </w:pPr>
      <w:bookmarkStart w:id="339" w:name="_Toc10446423"/>
      <w:bookmarkStart w:id="340" w:name="_Toc479340793"/>
      <w:bookmarkStart w:id="341" w:name="_Toc494832091"/>
      <w:bookmarkStart w:id="342" w:name="_Toc524368794"/>
      <w:bookmarkStart w:id="343" w:name="_Toc439513165"/>
      <w:bookmarkStart w:id="344" w:name="_Toc477879844"/>
      <w:bookmarkStart w:id="345" w:name="_Toc418023337"/>
      <w:bookmarkStart w:id="346" w:name="_Toc524517866"/>
      <w:bookmarkStart w:id="347" w:name="_Toc486969383"/>
      <w:bookmarkStart w:id="348" w:name="_Toc438722134"/>
      <w:bookmarkStart w:id="349" w:name="_Toc514177057"/>
      <w:bookmarkStart w:id="350" w:name="_Toc439679272"/>
      <w:bookmarkStart w:id="351" w:name="_Toc438508601"/>
      <w:bookmarkStart w:id="352" w:name="_Toc479325596"/>
      <w:bookmarkStart w:id="353" w:name="_Toc358307752"/>
      <w:bookmarkStart w:id="354" w:name="_Toc509337170"/>
      <w:bookmarkStart w:id="355" w:name="_Toc439513449"/>
      <w:bookmarkStart w:id="356" w:name="_Toc509337055"/>
      <w:bookmarkStart w:id="357" w:name="_Toc422865425"/>
      <w:bookmarkStart w:id="358" w:name="_Toc438513738"/>
      <w:bookmarkStart w:id="359" w:name="_Toc9864091"/>
      <w:bookmarkStart w:id="360" w:name="_Toc425347666"/>
      <w:bookmarkStart w:id="361" w:name="_Toc458635600"/>
      <w:bookmarkStart w:id="362" w:name="_Toc470184445"/>
      <w:bookmarkStart w:id="363" w:name="_Toc414510784"/>
      <w:bookmarkStart w:id="364" w:name="_Toc498871255"/>
      <w:bookmarkStart w:id="365" w:name="_Toc9612855"/>
      <w:bookmarkStart w:id="366" w:name="_Toc422161996"/>
      <w:bookmarkStart w:id="367" w:name="_Toc5124213"/>
      <w:bookmarkStart w:id="368" w:name="_Toc522529809"/>
      <w:bookmarkStart w:id="369" w:name="_Toc498899387"/>
      <w:bookmarkStart w:id="370" w:name="_Toc487044256"/>
      <w:bookmarkStart w:id="371" w:name="_Toc369081823"/>
      <w:bookmarkStart w:id="372" w:name="_Toc416208490"/>
      <w:bookmarkStart w:id="373" w:name="_Toc29694"/>
      <w:bookmarkStart w:id="374" w:name="_Toc11944596"/>
      <w:bookmarkStart w:id="375" w:name="_Toc23987"/>
      <w:bookmarkStart w:id="376" w:name="_Toc523170346"/>
      <w:bookmarkStart w:id="377" w:name="_Toc458980397"/>
      <w:bookmarkStart w:id="378" w:name="_Toc273342936"/>
      <w:bookmarkStart w:id="379" w:name="_Toc11931289"/>
      <w:r>
        <w:rPr>
          <w:rFonts w:hint="eastAsia"/>
          <w:color w:val="auto"/>
          <w:sz w:val="28"/>
          <w:szCs w:val="28"/>
          <w:highlight w:val="none"/>
        </w:rPr>
        <w:t>2、评标须知</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58F970E4">
      <w:pPr>
        <w:pStyle w:val="5"/>
        <w:shd w:val="clear"/>
        <w:spacing w:beforeAutospacing="0"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2.1 关于评标方案</w:t>
      </w:r>
    </w:p>
    <w:p w14:paraId="2E30B390">
      <w:pPr>
        <w:shd w:val="clear"/>
        <w:spacing w:line="360" w:lineRule="auto"/>
        <w:rPr>
          <w:rFonts w:ascii="宋体" w:hAnsi="宋体"/>
          <w:color w:val="auto"/>
          <w:sz w:val="24"/>
          <w:szCs w:val="24"/>
          <w:highlight w:val="none"/>
        </w:rPr>
      </w:pPr>
      <w:r>
        <w:rPr>
          <w:rFonts w:hint="eastAsia" w:ascii="宋体" w:hAnsi="宋体"/>
          <w:color w:val="auto"/>
          <w:sz w:val="24"/>
          <w:szCs w:val="24"/>
          <w:highlight w:val="none"/>
        </w:rPr>
        <w:t>（1）评标委员会的每位成员（简称评委）应认真地阅读并确认已经正确理解了评标方案；</w:t>
      </w:r>
    </w:p>
    <w:p w14:paraId="2A6C5B22">
      <w:pPr>
        <w:shd w:val="clear"/>
        <w:spacing w:line="360" w:lineRule="auto"/>
        <w:rPr>
          <w:rFonts w:ascii="宋体" w:hAnsi="宋体"/>
          <w:color w:val="auto"/>
          <w:sz w:val="24"/>
          <w:szCs w:val="24"/>
          <w:highlight w:val="none"/>
        </w:rPr>
      </w:pPr>
      <w:r>
        <w:rPr>
          <w:rFonts w:hint="eastAsia" w:ascii="宋体" w:hAnsi="宋体"/>
          <w:color w:val="auto"/>
          <w:sz w:val="24"/>
          <w:szCs w:val="24"/>
          <w:highlight w:val="none"/>
        </w:rPr>
        <w:t>（2）评委如对评标方案有异议，应在评标开始前提出。</w:t>
      </w:r>
    </w:p>
    <w:p w14:paraId="5692AEB4">
      <w:pPr>
        <w:pStyle w:val="5"/>
        <w:shd w:val="clear"/>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2.2 关于评标纪律</w:t>
      </w:r>
    </w:p>
    <w:p w14:paraId="43F7BECB">
      <w:pPr>
        <w:shd w:val="clear"/>
        <w:spacing w:line="360" w:lineRule="auto"/>
        <w:ind w:left="648" w:right="-113" w:rightChars="-54" w:hanging="648" w:hangingChars="270"/>
        <w:rPr>
          <w:rFonts w:ascii="宋体" w:hAnsi="宋体"/>
          <w:color w:val="auto"/>
          <w:sz w:val="24"/>
          <w:szCs w:val="24"/>
          <w:highlight w:val="none"/>
        </w:rPr>
      </w:pPr>
      <w:r>
        <w:rPr>
          <w:rFonts w:hint="eastAsia" w:ascii="宋体" w:hAnsi="宋体"/>
          <w:color w:val="auto"/>
          <w:sz w:val="24"/>
          <w:szCs w:val="24"/>
          <w:highlight w:val="none"/>
        </w:rPr>
        <w:t>（1）评标委员会成员不得与任何</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或者与招标结果有利害关系的人进行私下接触，不得收受</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、中介人、其他利害关系人的财物或者其他好处；</w:t>
      </w:r>
    </w:p>
    <w:p w14:paraId="241FB904">
      <w:pPr>
        <w:shd w:val="clear"/>
        <w:spacing w:line="360" w:lineRule="auto"/>
        <w:rPr>
          <w:rFonts w:ascii="宋体" w:hAnsi="宋体"/>
          <w:color w:val="auto"/>
          <w:sz w:val="24"/>
          <w:szCs w:val="24"/>
          <w:highlight w:val="none"/>
        </w:rPr>
      </w:pPr>
      <w:r>
        <w:rPr>
          <w:rFonts w:hint="eastAsia" w:ascii="宋体" w:hAnsi="宋体"/>
          <w:color w:val="auto"/>
          <w:sz w:val="24"/>
          <w:szCs w:val="24"/>
          <w:highlight w:val="none"/>
        </w:rPr>
        <w:t>（2）评委应本着客观、公正的原则独立给出评价意见；</w:t>
      </w:r>
    </w:p>
    <w:p w14:paraId="2EB8CCCC">
      <w:pPr>
        <w:shd w:val="clear"/>
        <w:spacing w:line="360" w:lineRule="auto"/>
        <w:rPr>
          <w:rFonts w:ascii="宋体" w:hAnsi="宋体"/>
          <w:color w:val="auto"/>
          <w:sz w:val="24"/>
          <w:szCs w:val="24"/>
          <w:highlight w:val="none"/>
        </w:rPr>
      </w:pPr>
      <w:r>
        <w:rPr>
          <w:rFonts w:hint="eastAsia" w:ascii="宋体" w:hAnsi="宋体"/>
          <w:color w:val="auto"/>
          <w:sz w:val="24"/>
          <w:szCs w:val="24"/>
          <w:highlight w:val="none"/>
        </w:rPr>
        <w:t>（3）评委之间不得相互串通进行评分；</w:t>
      </w:r>
    </w:p>
    <w:p w14:paraId="1346880E">
      <w:pPr>
        <w:shd w:val="clear"/>
        <w:spacing w:line="360" w:lineRule="auto"/>
        <w:rPr>
          <w:rFonts w:ascii="宋体" w:hAnsi="宋体"/>
          <w:color w:val="auto"/>
          <w:sz w:val="24"/>
          <w:szCs w:val="24"/>
          <w:highlight w:val="none"/>
        </w:rPr>
      </w:pPr>
      <w:r>
        <w:rPr>
          <w:rFonts w:hint="eastAsia" w:ascii="宋体" w:hAnsi="宋体"/>
          <w:color w:val="auto"/>
          <w:sz w:val="24"/>
          <w:szCs w:val="24"/>
          <w:highlight w:val="none"/>
        </w:rPr>
        <w:t>（4）评委不得试图影响其他评委的评价意见；</w:t>
      </w:r>
    </w:p>
    <w:p w14:paraId="574C3A6D">
      <w:pPr>
        <w:shd w:val="clear"/>
        <w:spacing w:line="360" w:lineRule="auto"/>
        <w:rPr>
          <w:rFonts w:ascii="宋体" w:hAnsi="宋体"/>
          <w:color w:val="auto"/>
          <w:sz w:val="24"/>
          <w:szCs w:val="24"/>
          <w:highlight w:val="none"/>
        </w:rPr>
      </w:pPr>
      <w:r>
        <w:rPr>
          <w:rFonts w:hint="eastAsia" w:ascii="宋体" w:hAnsi="宋体"/>
          <w:color w:val="auto"/>
          <w:sz w:val="24"/>
          <w:szCs w:val="24"/>
          <w:highlight w:val="none"/>
        </w:rPr>
        <w:t>（5）评委应关闭通讯工具或设置为震动状态，统一交由工作人员保管。</w:t>
      </w:r>
    </w:p>
    <w:p w14:paraId="31375FA4">
      <w:pPr>
        <w:pStyle w:val="5"/>
        <w:shd w:val="clear"/>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2.3 关于评标责任</w:t>
      </w:r>
    </w:p>
    <w:p w14:paraId="07399323">
      <w:pPr>
        <w:shd w:val="clear"/>
        <w:spacing w:line="360" w:lineRule="auto"/>
        <w:rPr>
          <w:rFonts w:ascii="宋体" w:hAnsi="宋体"/>
          <w:color w:val="auto"/>
          <w:sz w:val="24"/>
          <w:szCs w:val="24"/>
          <w:highlight w:val="none"/>
        </w:rPr>
      </w:pPr>
      <w:r>
        <w:rPr>
          <w:rFonts w:hint="eastAsia" w:ascii="宋体" w:hAnsi="宋体"/>
          <w:color w:val="auto"/>
          <w:sz w:val="24"/>
          <w:szCs w:val="24"/>
          <w:highlight w:val="none"/>
        </w:rPr>
        <w:t>（1）评委应在其书面评审意见上签字确认；</w:t>
      </w:r>
    </w:p>
    <w:p w14:paraId="02D57890">
      <w:pPr>
        <w:shd w:val="clear"/>
        <w:spacing w:line="360" w:lineRule="auto"/>
        <w:rPr>
          <w:rFonts w:ascii="宋体" w:hAnsi="宋体"/>
          <w:color w:val="auto"/>
          <w:sz w:val="24"/>
          <w:szCs w:val="24"/>
          <w:highlight w:val="none"/>
        </w:rPr>
      </w:pPr>
      <w:r>
        <w:rPr>
          <w:rFonts w:hint="eastAsia" w:ascii="宋体" w:hAnsi="宋体"/>
          <w:color w:val="auto"/>
          <w:sz w:val="24"/>
          <w:szCs w:val="24"/>
          <w:highlight w:val="none"/>
        </w:rPr>
        <w:t>（2）评委对其所提出的评审意见承担个人责任。</w:t>
      </w:r>
    </w:p>
    <w:p w14:paraId="435038D8">
      <w:pPr>
        <w:pStyle w:val="5"/>
        <w:shd w:val="clear"/>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2.4 关于回避</w:t>
      </w:r>
    </w:p>
    <w:p w14:paraId="3B7953CA">
      <w:pPr>
        <w:shd w:val="clea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有下列情形之一的，不得担任评标委员会成员，如事先不知情的，应在宣读</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名单及评标纪律后主动提出回避：</w:t>
      </w:r>
    </w:p>
    <w:p w14:paraId="759E3984">
      <w:pPr>
        <w:shd w:val="clear"/>
        <w:spacing w:line="360" w:lineRule="auto"/>
        <w:rPr>
          <w:rFonts w:ascii="宋体" w:hAnsi="宋体"/>
          <w:color w:val="auto"/>
          <w:sz w:val="24"/>
          <w:szCs w:val="24"/>
          <w:highlight w:val="none"/>
        </w:rPr>
      </w:pPr>
      <w:r>
        <w:rPr>
          <w:rFonts w:hint="eastAsia" w:ascii="宋体" w:hAnsi="宋体"/>
          <w:color w:val="auto"/>
          <w:sz w:val="24"/>
          <w:szCs w:val="24"/>
          <w:highlight w:val="none"/>
        </w:rPr>
        <w:t>（1）是</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或者</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主要负责人的近亲属；</w:t>
      </w:r>
    </w:p>
    <w:p w14:paraId="5F1EC747">
      <w:pPr>
        <w:shd w:val="clear"/>
        <w:spacing w:line="360" w:lineRule="auto"/>
        <w:rPr>
          <w:rFonts w:ascii="宋体" w:hAnsi="宋体"/>
          <w:color w:val="auto"/>
          <w:sz w:val="24"/>
          <w:szCs w:val="24"/>
          <w:highlight w:val="none"/>
        </w:rPr>
      </w:pPr>
      <w:r>
        <w:rPr>
          <w:rFonts w:hint="eastAsia" w:ascii="宋体" w:hAnsi="宋体"/>
          <w:color w:val="auto"/>
          <w:sz w:val="24"/>
          <w:szCs w:val="24"/>
          <w:highlight w:val="none"/>
        </w:rPr>
        <w:t>（2）与</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有经济利益关系，可能影响对投标公正评审的；</w:t>
      </w:r>
    </w:p>
    <w:p w14:paraId="71889BE8">
      <w:pPr>
        <w:shd w:val="clear"/>
        <w:spacing w:line="360" w:lineRule="auto"/>
        <w:ind w:left="600" w:hanging="600" w:hangingChars="250"/>
        <w:rPr>
          <w:rFonts w:ascii="宋体" w:hAnsi="宋体"/>
          <w:color w:val="auto"/>
          <w:sz w:val="24"/>
          <w:szCs w:val="24"/>
          <w:highlight w:val="none"/>
        </w:rPr>
      </w:pPr>
      <w:r>
        <w:rPr>
          <w:rFonts w:hint="eastAsia" w:ascii="宋体" w:hAnsi="宋体"/>
          <w:color w:val="auto"/>
          <w:sz w:val="24"/>
          <w:szCs w:val="24"/>
          <w:highlight w:val="none"/>
        </w:rPr>
        <w:t>（3）曾因在招标、评标以及其他与招标投标有关活动中从事违法行为而受过行政处罚或刑事处罚的。</w:t>
      </w:r>
    </w:p>
    <w:p w14:paraId="101F98EA">
      <w:pPr>
        <w:pStyle w:val="5"/>
        <w:shd w:val="clear"/>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2.5 关于保密</w:t>
      </w:r>
    </w:p>
    <w:p w14:paraId="54E9002D">
      <w:pPr>
        <w:shd w:val="clea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评标委员会成员和与评标活动有关的工作人员不得透露对投标文件的评审和比较、中标候选人的推荐情况以及评标有关的其他情况。</w:t>
      </w:r>
    </w:p>
    <w:p w14:paraId="35279AD8">
      <w:pPr>
        <w:pStyle w:val="10"/>
        <w:shd w:val="clear"/>
        <w:spacing w:line="360" w:lineRule="auto"/>
        <w:ind w:firstLine="480" w:firstLineChars="200"/>
        <w:rPr>
          <w:rFonts w:ascii="宋体" w:hAnsi="宋体" w:eastAsia="宋体"/>
          <w:b w:val="0"/>
          <w:bCs/>
          <w:color w:val="auto"/>
          <w:sz w:val="24"/>
          <w:szCs w:val="24"/>
          <w:highlight w:val="none"/>
        </w:rPr>
      </w:pPr>
      <w:r>
        <w:rPr>
          <w:rFonts w:hint="eastAsia" w:ascii="宋体" w:hAnsi="宋体" w:eastAsia="宋体"/>
          <w:b w:val="0"/>
          <w:bCs/>
          <w:color w:val="auto"/>
          <w:sz w:val="24"/>
          <w:szCs w:val="24"/>
          <w:highlight w:val="none"/>
        </w:rPr>
        <w:t>前款所称与评标活动有关的工作人员，是指评标委员会成员以外的因参与评标监督工作或者事务性工作而知悉有关评标情况的所有人员。</w:t>
      </w:r>
    </w:p>
    <w:p w14:paraId="205CAE06">
      <w:pPr>
        <w:pStyle w:val="5"/>
        <w:shd w:val="clear"/>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2.6投标文件的澄清</w:t>
      </w:r>
    </w:p>
    <w:p w14:paraId="25ABD5B0">
      <w:pPr>
        <w:shd w:val="clear"/>
        <w:spacing w:line="360" w:lineRule="auto"/>
        <w:ind w:left="629" w:hanging="628" w:hangingChars="262"/>
        <w:rPr>
          <w:rFonts w:ascii="宋体" w:hAnsi="宋体"/>
          <w:color w:val="auto"/>
          <w:sz w:val="24"/>
          <w:highlight w:val="none"/>
        </w:rPr>
      </w:pPr>
      <w:r>
        <w:rPr>
          <w:rFonts w:hint="eastAsia" w:ascii="宋体" w:hAnsi="宋体"/>
          <w:color w:val="auto"/>
          <w:sz w:val="24"/>
          <w:highlight w:val="none"/>
        </w:rPr>
        <w:t>（1）除评标委员会主动要求澄清外，从开标后至授予合同期间，任何</w:t>
      </w:r>
      <w:r>
        <w:rPr>
          <w:rFonts w:hint="eastAsia" w:ascii="宋体" w:hAnsi="宋体"/>
          <w:color w:val="auto"/>
          <w:sz w:val="24"/>
          <w:highlight w:val="none"/>
          <w:lang w:eastAsia="zh-CN"/>
        </w:rPr>
        <w:t>供应商</w:t>
      </w:r>
      <w:r>
        <w:rPr>
          <w:rFonts w:hint="eastAsia" w:ascii="宋体" w:hAnsi="宋体"/>
          <w:color w:val="auto"/>
          <w:sz w:val="24"/>
          <w:highlight w:val="none"/>
        </w:rPr>
        <w:t>均不得就与其投标相关的任何问题与评标委员会联系。在评标过程中，如果</w:t>
      </w:r>
      <w:r>
        <w:rPr>
          <w:rFonts w:hint="eastAsia" w:ascii="宋体" w:hAnsi="宋体"/>
          <w:color w:val="auto"/>
          <w:sz w:val="24"/>
          <w:highlight w:val="none"/>
          <w:lang w:eastAsia="zh-CN"/>
        </w:rPr>
        <w:t>供应商</w:t>
      </w:r>
      <w:r>
        <w:rPr>
          <w:rFonts w:hint="eastAsia" w:ascii="宋体" w:hAnsi="宋体"/>
          <w:color w:val="auto"/>
          <w:sz w:val="24"/>
          <w:highlight w:val="none"/>
        </w:rPr>
        <w:t>试图在投标文件审查、澄清、比较及授予合同方面向</w:t>
      </w:r>
      <w:r>
        <w:rPr>
          <w:rFonts w:hint="eastAsia" w:ascii="宋体" w:hAnsi="宋体"/>
          <w:color w:val="auto"/>
          <w:sz w:val="24"/>
          <w:highlight w:val="none"/>
          <w:lang w:eastAsia="zh-CN"/>
        </w:rPr>
        <w:t>招标人</w:t>
      </w:r>
      <w:r>
        <w:rPr>
          <w:rFonts w:hint="eastAsia" w:ascii="宋体" w:hAnsi="宋体"/>
          <w:color w:val="auto"/>
          <w:sz w:val="24"/>
          <w:highlight w:val="none"/>
        </w:rPr>
        <w:t>施加任何影响，其投标将被拒绝。</w:t>
      </w:r>
    </w:p>
    <w:p w14:paraId="274C31FA">
      <w:pPr>
        <w:shd w:val="clear"/>
        <w:spacing w:afterAutospacing="0" w:line="360" w:lineRule="auto"/>
        <w:ind w:left="629" w:hanging="628" w:hangingChars="262"/>
        <w:rPr>
          <w:rFonts w:ascii="宋体" w:hAnsi="宋体"/>
          <w:color w:val="auto"/>
          <w:sz w:val="24"/>
          <w:highlight w:val="none"/>
        </w:rPr>
      </w:pPr>
      <w:r>
        <w:rPr>
          <w:rFonts w:hint="eastAsia" w:ascii="宋体" w:hAnsi="宋体"/>
          <w:color w:val="auto"/>
          <w:sz w:val="24"/>
          <w:highlight w:val="none"/>
        </w:rPr>
        <w:t>（2）评标委员会可以书面方式要求</w:t>
      </w:r>
      <w:r>
        <w:rPr>
          <w:rFonts w:hint="eastAsia" w:ascii="宋体" w:hAnsi="宋体"/>
          <w:color w:val="auto"/>
          <w:sz w:val="24"/>
          <w:highlight w:val="none"/>
          <w:lang w:eastAsia="zh-CN"/>
        </w:rPr>
        <w:t>供应商</w:t>
      </w:r>
      <w:r>
        <w:rPr>
          <w:rFonts w:hint="eastAsia" w:ascii="宋体" w:hAnsi="宋体"/>
          <w:color w:val="auto"/>
          <w:sz w:val="24"/>
          <w:highlight w:val="none"/>
        </w:rPr>
        <w:t>对投标文件中含义不明确、对同类问题表述不一致或者有明显文字和计算错误的内容作必要的澄清、说明或者补正。澄清、说明或者补正应以书面方式进行并不得超出投标文件的范围或者改变投标文件的实质性内容。以书面形式表达并加盖公章的答复经评标委员会认可后，可作为投标文件的一部分参与评标。</w:t>
      </w:r>
    </w:p>
    <w:p w14:paraId="4855CAB0">
      <w:pPr>
        <w:pStyle w:val="4"/>
        <w:shd w:val="clear"/>
        <w:spacing w:before="0" w:beforeLines="0" w:beforeAutospacing="0" w:after="0" w:afterLines="0" w:afterAutospacing="0"/>
        <w:rPr>
          <w:color w:val="auto"/>
          <w:sz w:val="28"/>
          <w:szCs w:val="28"/>
          <w:highlight w:val="none"/>
        </w:rPr>
      </w:pPr>
      <w:bookmarkStart w:id="380" w:name="_Toc470184446"/>
      <w:bookmarkStart w:id="381" w:name="_Toc509337171"/>
      <w:bookmarkStart w:id="382" w:name="_Toc5124214"/>
      <w:bookmarkStart w:id="383" w:name="_Toc10446424"/>
      <w:bookmarkStart w:id="384" w:name="_Toc418023338"/>
      <w:bookmarkStart w:id="385" w:name="_Toc479340794"/>
      <w:bookmarkStart w:id="386" w:name="_Toc486969384"/>
      <w:bookmarkStart w:id="387" w:name="_Toc438722135"/>
      <w:bookmarkStart w:id="388" w:name="_Toc416208491"/>
      <w:bookmarkStart w:id="389" w:name="_Toc439679273"/>
      <w:bookmarkStart w:id="390" w:name="_Toc524368795"/>
      <w:bookmarkStart w:id="391" w:name="_Toc524517867"/>
      <w:bookmarkStart w:id="392" w:name="_Toc24194"/>
      <w:bookmarkStart w:id="393" w:name="_Toc498871256"/>
      <w:bookmarkStart w:id="394" w:name="_Toc439513450"/>
      <w:bookmarkStart w:id="395" w:name="_Toc479325597"/>
      <w:bookmarkStart w:id="396" w:name="_Toc509337056"/>
      <w:bookmarkStart w:id="397" w:name="_Toc514177058"/>
      <w:bookmarkStart w:id="398" w:name="_Toc11931290"/>
      <w:bookmarkStart w:id="399" w:name="_Toc5059"/>
      <w:bookmarkStart w:id="400" w:name="_Toc438508602"/>
      <w:bookmarkStart w:id="401" w:name="_Toc458980398"/>
      <w:bookmarkStart w:id="402" w:name="_Toc522529810"/>
      <w:bookmarkStart w:id="403" w:name="_Toc458635601"/>
      <w:bookmarkStart w:id="404" w:name="_Toc523170347"/>
      <w:bookmarkStart w:id="405" w:name="_Toc422161997"/>
      <w:bookmarkStart w:id="406" w:name="_Toc477879845"/>
      <w:bookmarkStart w:id="407" w:name="_Toc438513739"/>
      <w:bookmarkStart w:id="408" w:name="_Toc425347667"/>
      <w:bookmarkStart w:id="409" w:name="_Toc9612856"/>
      <w:bookmarkStart w:id="410" w:name="_Toc494832092"/>
      <w:bookmarkStart w:id="411" w:name="_Toc9864092"/>
      <w:bookmarkStart w:id="412" w:name="_Toc498899388"/>
      <w:bookmarkStart w:id="413" w:name="_Toc414510785"/>
      <w:bookmarkStart w:id="414" w:name="_Toc439513166"/>
      <w:bookmarkStart w:id="415" w:name="_Toc11944597"/>
      <w:bookmarkStart w:id="416" w:name="_Toc422865426"/>
      <w:bookmarkStart w:id="417" w:name="_Toc487044257"/>
      <w:r>
        <w:rPr>
          <w:rFonts w:hint="eastAsia"/>
          <w:color w:val="auto"/>
          <w:sz w:val="28"/>
          <w:szCs w:val="28"/>
          <w:highlight w:val="none"/>
        </w:rPr>
        <w:t>3、评标委员会</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06D9BB8C">
      <w:pPr>
        <w:shd w:val="clear"/>
        <w:spacing w:beforeAutospacing="0" w:line="360" w:lineRule="auto"/>
        <w:ind w:left="631" w:hanging="631" w:hangingChars="263"/>
        <w:rPr>
          <w:rFonts w:ascii="宋体" w:hAnsi="宋体"/>
          <w:color w:val="auto"/>
          <w:sz w:val="24"/>
          <w:highlight w:val="none"/>
        </w:rPr>
      </w:pPr>
      <w:r>
        <w:rPr>
          <w:rFonts w:hint="eastAsia" w:ascii="宋体" w:hAnsi="宋体"/>
          <w:color w:val="auto"/>
          <w:sz w:val="24"/>
          <w:highlight w:val="none"/>
        </w:rPr>
        <w:t>（1）依法组建评标委员会。评标委员会由五人单数组成，由</w:t>
      </w:r>
      <w:r>
        <w:rPr>
          <w:rFonts w:hint="eastAsia" w:ascii="宋体" w:hAnsi="宋体"/>
          <w:color w:val="auto"/>
          <w:sz w:val="24"/>
          <w:highlight w:val="none"/>
          <w:lang w:eastAsia="zh-CN"/>
        </w:rPr>
        <w:t>招标人</w:t>
      </w:r>
      <w:r>
        <w:rPr>
          <w:rFonts w:hint="eastAsia" w:ascii="宋体" w:hAnsi="宋体"/>
          <w:color w:val="auto"/>
          <w:sz w:val="24"/>
          <w:highlight w:val="none"/>
        </w:rPr>
        <w:t>的代表和从</w:t>
      </w:r>
      <w:r>
        <w:rPr>
          <w:rFonts w:hint="eastAsia" w:ascii="宋体" w:hAnsi="宋体" w:eastAsia="宋体" w:cs="宋体"/>
          <w:color w:val="auto"/>
          <w:sz w:val="24"/>
          <w:highlight w:val="none"/>
          <w:lang w:eastAsia="zh-CN"/>
        </w:rPr>
        <w:t>新疆维吾尔自治区政府采购专家库巴州分库</w:t>
      </w:r>
      <w:r>
        <w:rPr>
          <w:rFonts w:hint="eastAsia" w:ascii="宋体" w:hAnsi="宋体"/>
          <w:color w:val="auto"/>
          <w:sz w:val="24"/>
          <w:highlight w:val="none"/>
        </w:rPr>
        <w:t>随机抽取的专家组成，如</w:t>
      </w:r>
      <w:r>
        <w:rPr>
          <w:rFonts w:hint="eastAsia" w:ascii="宋体" w:hAnsi="宋体"/>
          <w:color w:val="auto"/>
          <w:sz w:val="24"/>
          <w:highlight w:val="none"/>
          <w:lang w:eastAsia="zh-CN"/>
        </w:rPr>
        <w:t>招标人</w:t>
      </w:r>
      <w:r>
        <w:rPr>
          <w:rFonts w:hint="eastAsia" w:ascii="宋体" w:hAnsi="宋体"/>
          <w:color w:val="auto"/>
          <w:sz w:val="24"/>
          <w:highlight w:val="none"/>
        </w:rPr>
        <w:t>不派代表评审，则评委会全部由专家组成。评委会将本着公平、公正、科学、择优的原则，严格按照法律法规和</w:t>
      </w:r>
      <w:r>
        <w:rPr>
          <w:rFonts w:hint="eastAsia" w:ascii="宋体" w:hAnsi="宋体"/>
          <w:color w:val="auto"/>
          <w:sz w:val="24"/>
          <w:highlight w:val="none"/>
          <w:lang w:eastAsia="zh-CN"/>
        </w:rPr>
        <w:t>招标文件</w:t>
      </w:r>
      <w:r>
        <w:rPr>
          <w:rFonts w:hint="eastAsia" w:ascii="宋体" w:hAnsi="宋体"/>
          <w:color w:val="auto"/>
          <w:sz w:val="24"/>
          <w:highlight w:val="none"/>
        </w:rPr>
        <w:t>设定的程序和规则推荐评审结果，任何单位和个人不得非法干预或者影响评标过程和结果。</w:t>
      </w:r>
    </w:p>
    <w:p w14:paraId="63021947">
      <w:pPr>
        <w:shd w:val="clear"/>
        <w:spacing w:afterAutospacing="0" w:line="360" w:lineRule="auto"/>
        <w:ind w:left="630" w:right="17" w:rightChars="8" w:hanging="630"/>
        <w:rPr>
          <w:rFonts w:ascii="宋体" w:hAnsi="宋体"/>
          <w:color w:val="auto"/>
          <w:sz w:val="24"/>
          <w:highlight w:val="none"/>
        </w:rPr>
      </w:pPr>
      <w:r>
        <w:rPr>
          <w:rFonts w:hint="eastAsia" w:ascii="宋体" w:hAnsi="宋体"/>
          <w:color w:val="auto"/>
          <w:sz w:val="24"/>
          <w:highlight w:val="none"/>
        </w:rPr>
        <w:t>（2）评标委员会将只对确定为实质上响应</w:t>
      </w:r>
      <w:r>
        <w:rPr>
          <w:rFonts w:hint="eastAsia" w:ascii="宋体" w:hAnsi="宋体"/>
          <w:color w:val="auto"/>
          <w:sz w:val="24"/>
          <w:highlight w:val="none"/>
          <w:lang w:eastAsia="zh-CN"/>
        </w:rPr>
        <w:t>招标文件</w:t>
      </w:r>
      <w:r>
        <w:rPr>
          <w:rFonts w:hint="eastAsia" w:ascii="宋体" w:hAnsi="宋体"/>
          <w:color w:val="auto"/>
          <w:sz w:val="24"/>
          <w:highlight w:val="none"/>
        </w:rPr>
        <w:t>要求的投标，即通过审查符合性的投标进行评价和比较，响应的依据是</w:t>
      </w:r>
      <w:r>
        <w:rPr>
          <w:rFonts w:hint="eastAsia" w:ascii="宋体" w:hAnsi="宋体"/>
          <w:color w:val="auto"/>
          <w:sz w:val="24"/>
          <w:highlight w:val="none"/>
          <w:lang w:eastAsia="zh-CN"/>
        </w:rPr>
        <w:t>招标文件</w:t>
      </w:r>
      <w:r>
        <w:rPr>
          <w:rFonts w:hint="eastAsia" w:ascii="宋体" w:hAnsi="宋体"/>
          <w:color w:val="auto"/>
          <w:sz w:val="24"/>
          <w:highlight w:val="none"/>
        </w:rPr>
        <w:t>本身的内容，而不寻求其它证据。实质上响应的投标应该是与</w:t>
      </w:r>
      <w:r>
        <w:rPr>
          <w:rFonts w:hint="eastAsia" w:ascii="宋体" w:hAnsi="宋体"/>
          <w:color w:val="auto"/>
          <w:sz w:val="24"/>
          <w:highlight w:val="none"/>
          <w:lang w:eastAsia="zh-CN"/>
        </w:rPr>
        <w:t>招标文件</w:t>
      </w:r>
      <w:r>
        <w:rPr>
          <w:rFonts w:hint="eastAsia" w:ascii="宋体" w:hAnsi="宋体"/>
          <w:color w:val="auto"/>
          <w:sz w:val="24"/>
          <w:highlight w:val="none"/>
        </w:rPr>
        <w:t>要求的全部主要条款、条件和规格相符，没有重大偏离的投标。</w:t>
      </w:r>
    </w:p>
    <w:p w14:paraId="281C83FF">
      <w:pPr>
        <w:pStyle w:val="4"/>
        <w:shd w:val="clear"/>
        <w:spacing w:before="0" w:beforeLines="0" w:beforeAutospacing="0" w:after="0" w:afterLines="0" w:afterAutospacing="0"/>
        <w:rPr>
          <w:color w:val="auto"/>
          <w:sz w:val="28"/>
          <w:szCs w:val="28"/>
          <w:highlight w:val="none"/>
        </w:rPr>
      </w:pPr>
      <w:bookmarkStart w:id="418" w:name="_Toc470184447"/>
      <w:bookmarkStart w:id="419" w:name="_Toc438508603"/>
      <w:bookmarkStart w:id="420" w:name="_Toc273342937"/>
      <w:bookmarkStart w:id="421" w:name="_Toc524368796"/>
      <w:bookmarkStart w:id="422" w:name="_Toc498899389"/>
      <w:bookmarkStart w:id="423" w:name="_Toc29819"/>
      <w:bookmarkStart w:id="424" w:name="_Toc479340795"/>
      <w:bookmarkStart w:id="425" w:name="_Toc509337057"/>
      <w:bookmarkStart w:id="426" w:name="_Toc369081824"/>
      <w:bookmarkStart w:id="427" w:name="_Toc479325598"/>
      <w:bookmarkStart w:id="428" w:name="_Toc523170348"/>
      <w:bookmarkStart w:id="429" w:name="_Toc11944598"/>
      <w:bookmarkStart w:id="430" w:name="_Toc438722136"/>
      <w:bookmarkStart w:id="431" w:name="_Toc522529811"/>
      <w:bookmarkStart w:id="432" w:name="_Toc514177059"/>
      <w:bookmarkStart w:id="433" w:name="_Toc439513167"/>
      <w:bookmarkStart w:id="434" w:name="_Toc23199"/>
      <w:bookmarkStart w:id="435" w:name="_Toc358307753"/>
      <w:bookmarkStart w:id="436" w:name="_Toc425347668"/>
      <w:bookmarkStart w:id="437" w:name="_Toc10446425"/>
      <w:bookmarkStart w:id="438" w:name="_Toc11931291"/>
      <w:bookmarkStart w:id="439" w:name="_Toc509337172"/>
      <w:bookmarkStart w:id="440" w:name="_Toc524517868"/>
      <w:bookmarkStart w:id="441" w:name="_Toc418023339"/>
      <w:bookmarkStart w:id="442" w:name="_Toc439679274"/>
      <w:bookmarkStart w:id="443" w:name="_Toc486969385"/>
      <w:bookmarkStart w:id="444" w:name="_Toc487044258"/>
      <w:bookmarkStart w:id="445" w:name="_Toc439513451"/>
      <w:bookmarkStart w:id="446" w:name="_Toc458980399"/>
      <w:bookmarkStart w:id="447" w:name="_Toc422161998"/>
      <w:bookmarkStart w:id="448" w:name="_Toc422865427"/>
      <w:bookmarkStart w:id="449" w:name="_Toc494832093"/>
      <w:bookmarkStart w:id="450" w:name="_Toc458635602"/>
      <w:bookmarkStart w:id="451" w:name="_Toc5124215"/>
      <w:bookmarkStart w:id="452" w:name="_Toc9612857"/>
      <w:bookmarkStart w:id="453" w:name="_Toc9864093"/>
      <w:bookmarkStart w:id="454" w:name="_Toc414510786"/>
      <w:bookmarkStart w:id="455" w:name="_Toc438513740"/>
      <w:bookmarkStart w:id="456" w:name="_Toc477879846"/>
      <w:bookmarkStart w:id="457" w:name="_Toc498871257"/>
      <w:bookmarkStart w:id="458" w:name="_Toc416208492"/>
      <w:r>
        <w:rPr>
          <w:rFonts w:hint="eastAsia"/>
          <w:color w:val="auto"/>
          <w:sz w:val="28"/>
          <w:szCs w:val="28"/>
          <w:highlight w:val="none"/>
        </w:rPr>
        <w:t>4、评标原则</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1BBCF7DF">
      <w:pPr>
        <w:shd w:val="clear"/>
        <w:spacing w:beforeAutospacing="0" w:line="360" w:lineRule="auto"/>
        <w:ind w:left="734" w:hanging="734" w:hangingChars="306"/>
        <w:rPr>
          <w:rFonts w:ascii="宋体" w:hAnsi="宋体"/>
          <w:color w:val="auto"/>
          <w:sz w:val="24"/>
          <w:szCs w:val="24"/>
          <w:highlight w:val="none"/>
        </w:rPr>
      </w:pPr>
      <w:r>
        <w:rPr>
          <w:rFonts w:hint="eastAsia" w:ascii="宋体" w:hAnsi="宋体"/>
          <w:color w:val="auto"/>
          <w:sz w:val="24"/>
          <w:szCs w:val="24"/>
          <w:highlight w:val="none"/>
        </w:rPr>
        <w:t>4.1.1 评标工作应依据《中华人民共和国政府采购法》以及《评标委员会和评标方法暂行规定》和地方政府关于政府采购的有关规定，遵循“公平、公正、科学、择优”的原则。</w:t>
      </w:r>
    </w:p>
    <w:p w14:paraId="6F8C8E54">
      <w:pPr>
        <w:shd w:val="clear"/>
        <w:spacing w:line="360" w:lineRule="auto"/>
        <w:ind w:left="734" w:hanging="734" w:hangingChars="306"/>
        <w:rPr>
          <w:rFonts w:ascii="宋体" w:hAnsi="宋体"/>
          <w:color w:val="auto"/>
          <w:sz w:val="24"/>
          <w:highlight w:val="none"/>
        </w:rPr>
      </w:pPr>
      <w:r>
        <w:rPr>
          <w:rFonts w:hint="eastAsia" w:ascii="宋体" w:hAnsi="宋体"/>
          <w:color w:val="auto"/>
          <w:sz w:val="24"/>
          <w:highlight w:val="none"/>
        </w:rPr>
        <w:t>4.1.2 确定中标人的评标准则是：能够最大限度满足</w:t>
      </w:r>
      <w:r>
        <w:rPr>
          <w:rFonts w:hint="eastAsia" w:ascii="宋体" w:hAnsi="宋体"/>
          <w:color w:val="auto"/>
          <w:sz w:val="24"/>
          <w:highlight w:val="none"/>
          <w:lang w:eastAsia="zh-CN"/>
        </w:rPr>
        <w:t>招标文件</w:t>
      </w:r>
      <w:r>
        <w:rPr>
          <w:rFonts w:hint="eastAsia" w:ascii="宋体" w:hAnsi="宋体"/>
          <w:color w:val="auto"/>
          <w:sz w:val="24"/>
          <w:highlight w:val="none"/>
        </w:rPr>
        <w:t>中规定的各项综合评价标准。评标委员会没有义务必须接受最低报价的投标。</w:t>
      </w:r>
    </w:p>
    <w:p w14:paraId="7026A306">
      <w:pPr>
        <w:shd w:val="clear"/>
        <w:spacing w:afterAutospacing="0" w:line="360" w:lineRule="auto"/>
        <w:ind w:left="734" w:leftChars="-1" w:hanging="736" w:hangingChars="307"/>
        <w:rPr>
          <w:rFonts w:ascii="宋体" w:hAnsi="宋体"/>
          <w:color w:val="auto"/>
          <w:sz w:val="24"/>
          <w:highlight w:val="none"/>
        </w:rPr>
      </w:pPr>
      <w:r>
        <w:rPr>
          <w:rFonts w:hint="eastAsia" w:ascii="宋体" w:hAnsi="宋体"/>
          <w:color w:val="auto"/>
          <w:sz w:val="24"/>
          <w:highlight w:val="none"/>
        </w:rPr>
        <w:t>4.1.3 评标委员会有权根据有关规定否决所有投标。</w:t>
      </w:r>
    </w:p>
    <w:p w14:paraId="2F092216">
      <w:pPr>
        <w:pStyle w:val="4"/>
        <w:shd w:val="clear"/>
        <w:spacing w:before="0" w:beforeLines="0" w:beforeAutospacing="0" w:after="0" w:afterLines="0" w:afterAutospacing="0"/>
        <w:rPr>
          <w:color w:val="auto"/>
          <w:sz w:val="28"/>
          <w:szCs w:val="28"/>
          <w:highlight w:val="none"/>
        </w:rPr>
      </w:pPr>
      <w:bookmarkStart w:id="459" w:name="_Toc470184448"/>
      <w:bookmarkStart w:id="460" w:name="_Toc523170349"/>
      <w:bookmarkStart w:id="461" w:name="_Toc524368797"/>
      <w:bookmarkStart w:id="462" w:name="_Toc479325599"/>
      <w:bookmarkStart w:id="463" w:name="_Toc514177060"/>
      <w:bookmarkStart w:id="464" w:name="_Toc107385316"/>
      <w:bookmarkStart w:id="465" w:name="_Toc267904313"/>
      <w:bookmarkStart w:id="466" w:name="_Toc262564643"/>
      <w:bookmarkStart w:id="467" w:name="_Toc7451"/>
      <w:bookmarkStart w:id="468" w:name="_Toc109467929"/>
      <w:bookmarkStart w:id="469" w:name="_Toc116981030"/>
      <w:bookmarkStart w:id="470" w:name="_Toc122420764"/>
      <w:bookmarkStart w:id="471" w:name="_Toc438513741"/>
      <w:bookmarkStart w:id="472" w:name="_Toc494832094"/>
      <w:bookmarkStart w:id="473" w:name="_Toc498871258"/>
      <w:bookmarkStart w:id="474" w:name="_Toc439679275"/>
      <w:bookmarkStart w:id="475" w:name="_Toc265700488"/>
      <w:bookmarkStart w:id="476" w:name="_Toc458980400"/>
      <w:bookmarkStart w:id="477" w:name="_Toc524517869"/>
      <w:bookmarkStart w:id="478" w:name="_Toc498899390"/>
      <w:bookmarkStart w:id="479" w:name="_Toc487044259"/>
      <w:bookmarkStart w:id="480" w:name="_Toc418023340"/>
      <w:bookmarkStart w:id="481" w:name="_Toc422865428"/>
      <w:bookmarkStart w:id="482" w:name="_Toc414510787"/>
      <w:bookmarkStart w:id="483" w:name="_Toc15531"/>
      <w:bookmarkStart w:id="484" w:name="_Toc116976130"/>
      <w:bookmarkStart w:id="485" w:name="_Toc479340796"/>
      <w:bookmarkStart w:id="486" w:name="_Toc5124216"/>
      <w:bookmarkStart w:id="487" w:name="_Toc522529812"/>
      <w:bookmarkStart w:id="488" w:name="_Toc358307754"/>
      <w:bookmarkStart w:id="489" w:name="_Toc11931292"/>
      <w:bookmarkStart w:id="490" w:name="_Toc116924486"/>
      <w:bookmarkStart w:id="491" w:name="_Toc458635603"/>
      <w:bookmarkStart w:id="492" w:name="_Toc11944599"/>
      <w:bookmarkStart w:id="493" w:name="_Toc477879847"/>
      <w:bookmarkStart w:id="494" w:name="_Toc10446426"/>
      <w:bookmarkStart w:id="495" w:name="_Toc439513168"/>
      <w:bookmarkStart w:id="496" w:name="_Toc107383644"/>
      <w:bookmarkStart w:id="497" w:name="_Toc272394436"/>
      <w:bookmarkStart w:id="498" w:name="_Toc330545477"/>
      <w:bookmarkStart w:id="499" w:name="_Toc439513452"/>
      <w:bookmarkStart w:id="500" w:name="_Toc422161999"/>
      <w:bookmarkStart w:id="501" w:name="_Toc107460009"/>
      <w:bookmarkStart w:id="502" w:name="_Toc509337173"/>
      <w:bookmarkStart w:id="503" w:name="_Toc277154673"/>
      <w:bookmarkStart w:id="504" w:name="_Toc425347669"/>
      <w:bookmarkStart w:id="505" w:name="_Toc61327435"/>
      <w:bookmarkStart w:id="506" w:name="_Toc416208493"/>
      <w:bookmarkStart w:id="507" w:name="_Toc9864094"/>
      <w:bookmarkStart w:id="508" w:name="_Toc438508604"/>
      <w:bookmarkStart w:id="509" w:name="_Toc369081825"/>
      <w:bookmarkStart w:id="510" w:name="_Toc438722137"/>
      <w:bookmarkStart w:id="511" w:name="_Toc486969386"/>
      <w:bookmarkStart w:id="512" w:name="_Toc509337058"/>
      <w:bookmarkStart w:id="513" w:name="_Toc9612858"/>
      <w:r>
        <w:rPr>
          <w:rFonts w:hint="eastAsia"/>
          <w:color w:val="auto"/>
          <w:sz w:val="28"/>
          <w:szCs w:val="28"/>
          <w:highlight w:val="none"/>
        </w:rPr>
        <w:t>5、评标方法及流程</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644FC06B">
      <w:pPr>
        <w:shd w:val="clear"/>
        <w:spacing w:beforeAutospacing="0" w:line="360" w:lineRule="auto"/>
        <w:ind w:left="539"/>
        <w:rPr>
          <w:rFonts w:ascii="宋体" w:hAnsi="宋体"/>
          <w:color w:val="auto"/>
          <w:sz w:val="24"/>
          <w:highlight w:val="none"/>
        </w:rPr>
      </w:pPr>
      <w:r>
        <w:rPr>
          <w:rFonts w:hint="eastAsia" w:ascii="宋体" w:hAnsi="宋体"/>
          <w:color w:val="auto"/>
          <w:sz w:val="24"/>
          <w:highlight w:val="none"/>
        </w:rPr>
        <w:t>本次招标的评标方法采用综合评分方法。具体方法及流程如下：</w:t>
      </w:r>
    </w:p>
    <w:p w14:paraId="7F8C5AD4">
      <w:pPr>
        <w:shd w:val="clear"/>
        <w:spacing w:line="360" w:lineRule="auto"/>
        <w:outlineLvl w:val="3"/>
        <w:rPr>
          <w:b/>
          <w:bCs/>
          <w:color w:val="auto"/>
          <w:highlight w:val="none"/>
        </w:rPr>
      </w:pPr>
      <w:bookmarkStart w:id="514" w:name="_Toc61327436"/>
      <w:r>
        <w:rPr>
          <w:rFonts w:hint="eastAsia" w:ascii="宋体" w:hAnsi="宋体"/>
          <w:b/>
          <w:bCs/>
          <w:color w:val="auto"/>
          <w:sz w:val="24"/>
          <w:highlight w:val="none"/>
        </w:rPr>
        <w:t>5.1 开标</w:t>
      </w:r>
      <w:bookmarkEnd w:id="514"/>
    </w:p>
    <w:p w14:paraId="0FE8944A">
      <w:pPr>
        <w:shd w:val="clear"/>
        <w:tabs>
          <w:tab w:val="left" w:pos="735"/>
          <w:tab w:val="left" w:pos="1571"/>
        </w:tabs>
        <w:spacing w:line="360" w:lineRule="auto"/>
        <w:ind w:left="734" w:right="-120" w:hanging="734" w:hangingChars="306"/>
        <w:rPr>
          <w:rFonts w:hint="eastAsia" w:ascii="宋体" w:hAnsi="宋体"/>
          <w:color w:val="auto"/>
          <w:sz w:val="24"/>
          <w:highlight w:val="none"/>
        </w:rPr>
      </w:pPr>
      <w:bookmarkStart w:id="515" w:name="_Toc61327437"/>
      <w:r>
        <w:rPr>
          <w:rFonts w:hint="eastAsia" w:ascii="宋体" w:hAnsi="宋体"/>
          <w:color w:val="auto"/>
          <w:sz w:val="24"/>
          <w:highlight w:val="none"/>
        </w:rPr>
        <w:t>5.1.1开标在</w:t>
      </w:r>
      <w:r>
        <w:rPr>
          <w:rFonts w:hint="eastAsia" w:ascii="宋体" w:hAnsi="宋体"/>
          <w:color w:val="auto"/>
          <w:sz w:val="24"/>
          <w:highlight w:val="none"/>
          <w:lang w:eastAsia="zh-CN"/>
        </w:rPr>
        <w:t>招标文件</w:t>
      </w:r>
      <w:r>
        <w:rPr>
          <w:rFonts w:hint="eastAsia" w:ascii="宋体" w:hAnsi="宋体"/>
          <w:color w:val="auto"/>
          <w:sz w:val="24"/>
          <w:highlight w:val="none"/>
        </w:rPr>
        <w:t>确定的提交投标文件截止时间的同一时间公开进行，开标地点为</w:t>
      </w:r>
      <w:r>
        <w:rPr>
          <w:rFonts w:hint="eastAsia" w:ascii="宋体" w:hAnsi="宋体"/>
          <w:color w:val="auto"/>
          <w:sz w:val="24"/>
          <w:highlight w:val="none"/>
          <w:lang w:eastAsia="zh-CN"/>
        </w:rPr>
        <w:t>招标文件</w:t>
      </w:r>
      <w:r>
        <w:rPr>
          <w:rFonts w:hint="eastAsia" w:ascii="宋体" w:hAnsi="宋体"/>
          <w:color w:val="auto"/>
          <w:sz w:val="24"/>
          <w:highlight w:val="none"/>
        </w:rPr>
        <w:t>预先确定的地点。</w:t>
      </w:r>
    </w:p>
    <w:p w14:paraId="26DFD96E">
      <w:pPr>
        <w:shd w:val="clea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1</w:t>
      </w:r>
      <w:r>
        <w:rPr>
          <w:rFonts w:hint="eastAsia" w:ascii="宋体" w:hAnsi="宋体"/>
          <w:color w:val="auto"/>
          <w:sz w:val="24"/>
          <w:highlight w:val="none"/>
        </w:rPr>
        <w:t>.2.在</w:t>
      </w:r>
      <w:r>
        <w:rPr>
          <w:rFonts w:hint="eastAsia" w:ascii="宋体" w:hAnsi="宋体"/>
          <w:color w:val="auto"/>
          <w:sz w:val="24"/>
          <w:highlight w:val="none"/>
          <w:lang w:eastAsia="zh-CN"/>
        </w:rPr>
        <w:t>招标文件</w:t>
      </w:r>
      <w:r>
        <w:rPr>
          <w:rFonts w:hint="eastAsia" w:ascii="宋体" w:hAnsi="宋体"/>
          <w:color w:val="auto"/>
          <w:sz w:val="24"/>
          <w:highlight w:val="none"/>
        </w:rPr>
        <w:t>要求提交投标文件的截止时间前收到的所有投标文件，开标时须</w:t>
      </w:r>
      <w:r>
        <w:rPr>
          <w:rFonts w:hint="eastAsia" w:ascii="宋体" w:hAnsi="宋体"/>
          <w:color w:val="auto"/>
          <w:sz w:val="24"/>
          <w:highlight w:val="none"/>
          <w:lang w:eastAsia="zh-CN"/>
        </w:rPr>
        <w:t>供应商</w:t>
      </w:r>
      <w:r>
        <w:rPr>
          <w:rFonts w:hint="eastAsia" w:ascii="宋体" w:hAnsi="宋体"/>
          <w:color w:val="auto"/>
          <w:sz w:val="24"/>
          <w:highlight w:val="none"/>
        </w:rPr>
        <w:t>及时解密投标文件。当</w:t>
      </w:r>
      <w:r>
        <w:rPr>
          <w:rFonts w:hint="eastAsia" w:ascii="宋体" w:hAnsi="宋体"/>
          <w:color w:val="auto"/>
          <w:sz w:val="24"/>
          <w:highlight w:val="none"/>
          <w:lang w:eastAsia="zh-CN"/>
        </w:rPr>
        <w:t>供应商</w:t>
      </w:r>
      <w:r>
        <w:rPr>
          <w:rFonts w:hint="eastAsia" w:ascii="宋体" w:hAnsi="宋体"/>
          <w:color w:val="auto"/>
          <w:sz w:val="24"/>
          <w:highlight w:val="none"/>
        </w:rPr>
        <w:t>少于三家时，则招标失败，采购代理机构将重新招标。</w:t>
      </w:r>
    </w:p>
    <w:p w14:paraId="2961D595">
      <w:pPr>
        <w:shd w:val="clea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rPr>
        <w:t>5.1.3.参与本次采购活动的各个</w:t>
      </w:r>
      <w:r>
        <w:rPr>
          <w:rFonts w:hint="eastAsia" w:ascii="宋体" w:hAnsi="宋体"/>
          <w:color w:val="auto"/>
          <w:sz w:val="24"/>
          <w:highlight w:val="none"/>
          <w:lang w:eastAsia="zh-CN"/>
        </w:rPr>
        <w:t>供应商</w:t>
      </w:r>
      <w:r>
        <w:rPr>
          <w:rFonts w:hint="eastAsia" w:ascii="宋体" w:hAnsi="宋体"/>
          <w:color w:val="auto"/>
          <w:sz w:val="24"/>
          <w:highlight w:val="none"/>
        </w:rPr>
        <w:t>需提前自行配置好硬件</w:t>
      </w:r>
      <w:r>
        <w:rPr>
          <w:rFonts w:hint="eastAsia" w:ascii="宋体" w:hAnsi="宋体"/>
          <w:color w:val="auto"/>
          <w:sz w:val="24"/>
          <w:highlight w:val="none"/>
          <w:lang w:eastAsia="zh-CN"/>
        </w:rPr>
        <w:t>货物</w:t>
      </w:r>
      <w:r>
        <w:rPr>
          <w:rFonts w:hint="eastAsia" w:ascii="宋体" w:hAnsi="宋体"/>
          <w:color w:val="auto"/>
          <w:sz w:val="24"/>
          <w:highlight w:val="none"/>
        </w:rPr>
        <w:t>（电脑、摄像头、麦克风、谷歌浏览器、政采云招投标系统），登录政采云平台做好准备，并确保</w:t>
      </w:r>
      <w:r>
        <w:rPr>
          <w:rFonts w:hint="eastAsia" w:ascii="宋体" w:hAnsi="宋体"/>
          <w:color w:val="auto"/>
          <w:sz w:val="24"/>
          <w:highlight w:val="none"/>
          <w:lang w:eastAsia="zh-CN"/>
        </w:rPr>
        <w:t>货物</w:t>
      </w:r>
      <w:r>
        <w:rPr>
          <w:rFonts w:hint="eastAsia" w:ascii="宋体" w:hAnsi="宋体"/>
          <w:color w:val="auto"/>
          <w:sz w:val="24"/>
          <w:highlight w:val="none"/>
        </w:rPr>
        <w:t>正常。项目到达开标时间，</w:t>
      </w:r>
      <w:r>
        <w:rPr>
          <w:rFonts w:hint="eastAsia" w:ascii="宋体" w:hAnsi="宋体"/>
          <w:color w:val="auto"/>
          <w:sz w:val="24"/>
          <w:highlight w:val="none"/>
          <w:lang w:eastAsia="zh-CN"/>
        </w:rPr>
        <w:t>供应商</w:t>
      </w:r>
      <w:r>
        <w:rPr>
          <w:rFonts w:hint="eastAsia" w:ascii="宋体" w:hAnsi="宋体"/>
          <w:color w:val="auto"/>
          <w:sz w:val="24"/>
          <w:highlight w:val="none"/>
        </w:rPr>
        <w:t>等待代理机构开启解密标书后，</w:t>
      </w:r>
      <w:r>
        <w:rPr>
          <w:rFonts w:hint="eastAsia" w:ascii="宋体" w:hAnsi="宋体"/>
          <w:color w:val="auto"/>
          <w:sz w:val="24"/>
          <w:highlight w:val="none"/>
          <w:lang w:eastAsia="zh-CN"/>
        </w:rPr>
        <w:t>供应商</w:t>
      </w:r>
      <w:r>
        <w:rPr>
          <w:rFonts w:hint="eastAsia" w:ascii="宋体" w:hAnsi="宋体"/>
          <w:color w:val="auto"/>
          <w:sz w:val="24"/>
          <w:highlight w:val="none"/>
        </w:rPr>
        <w:t>进行标书解密。</w:t>
      </w:r>
    </w:p>
    <w:p w14:paraId="0FB9AD60">
      <w:pPr>
        <w:shd w:val="clea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rPr>
        <w:t>5.1.4.开标会主持人介绍参加会议的人员。</w:t>
      </w:r>
    </w:p>
    <w:p w14:paraId="0FF07038">
      <w:pPr>
        <w:shd w:val="clea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rPr>
        <w:t>5.1.5.</w:t>
      </w:r>
      <w:r>
        <w:rPr>
          <w:rFonts w:hint="eastAsia" w:ascii="宋体" w:hAnsi="宋体"/>
          <w:color w:val="auto"/>
          <w:sz w:val="24"/>
          <w:highlight w:val="none"/>
          <w:lang w:eastAsia="zh-CN"/>
        </w:rPr>
        <w:t>供应商</w:t>
      </w:r>
      <w:r>
        <w:rPr>
          <w:rFonts w:hint="eastAsia" w:ascii="宋体" w:hAnsi="宋体"/>
          <w:color w:val="auto"/>
          <w:sz w:val="24"/>
          <w:highlight w:val="none"/>
        </w:rPr>
        <w:t>进入项目即自行签到。</w:t>
      </w:r>
    </w:p>
    <w:p w14:paraId="0A590065">
      <w:pPr>
        <w:shd w:val="clea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rPr>
        <w:t>5.1.6.开标会主持人宣布投标文件上传时间和地点是否符合</w:t>
      </w:r>
      <w:r>
        <w:rPr>
          <w:rFonts w:hint="eastAsia" w:ascii="宋体" w:hAnsi="宋体"/>
          <w:color w:val="auto"/>
          <w:sz w:val="24"/>
          <w:highlight w:val="none"/>
          <w:lang w:eastAsia="zh-CN"/>
        </w:rPr>
        <w:t>招标文件</w:t>
      </w:r>
      <w:r>
        <w:rPr>
          <w:rFonts w:hint="eastAsia" w:ascii="宋体" w:hAnsi="宋体"/>
          <w:color w:val="auto"/>
          <w:sz w:val="24"/>
          <w:highlight w:val="none"/>
        </w:rPr>
        <w:t>要求。</w:t>
      </w:r>
    </w:p>
    <w:p w14:paraId="0128EEBA">
      <w:pPr>
        <w:shd w:val="clea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rPr>
        <w:t>5.1.7.开标会主持人开启报价文件，宣布投标文件中的投标报价、交货期、质量等级等内容。</w:t>
      </w:r>
    </w:p>
    <w:p w14:paraId="6A4E57FE">
      <w:pPr>
        <w:shd w:val="clear"/>
        <w:tabs>
          <w:tab w:val="left" w:pos="735"/>
          <w:tab w:val="left" w:pos="1571"/>
        </w:tabs>
        <w:spacing w:line="360" w:lineRule="auto"/>
        <w:ind w:left="734" w:right="-120" w:hanging="734" w:hangingChars="306"/>
        <w:rPr>
          <w:rFonts w:hint="eastAsia" w:ascii="宋体" w:hAnsi="宋体"/>
          <w:color w:val="auto"/>
          <w:sz w:val="24"/>
          <w:highlight w:val="none"/>
        </w:rPr>
      </w:pPr>
      <w:r>
        <w:rPr>
          <w:rFonts w:hint="eastAsia" w:ascii="宋体" w:hAnsi="宋体"/>
          <w:color w:val="auto"/>
          <w:sz w:val="24"/>
          <w:highlight w:val="none"/>
        </w:rPr>
        <w:t>5.1.8.投标文件对开标报价记录表确认无误后</w:t>
      </w:r>
      <w:r>
        <w:rPr>
          <w:rFonts w:hint="eastAsia" w:ascii="宋体" w:hAnsi="宋体"/>
          <w:color w:val="auto"/>
          <w:sz w:val="24"/>
          <w:highlight w:val="none"/>
          <w:lang w:eastAsia="zh-CN"/>
        </w:rPr>
        <w:t>在</w:t>
      </w:r>
      <w:r>
        <w:rPr>
          <w:rFonts w:hint="eastAsia" w:ascii="宋体" w:hAnsi="宋体"/>
          <w:color w:val="auto"/>
          <w:sz w:val="24"/>
          <w:highlight w:val="none"/>
        </w:rPr>
        <w:t>代理机构开启报价签字时段后30分钟内进行CA签字确认，30分钟后关闭报价签字确认，</w:t>
      </w:r>
      <w:r>
        <w:rPr>
          <w:rFonts w:hint="eastAsia" w:ascii="宋体" w:hAnsi="宋体"/>
          <w:color w:val="auto"/>
          <w:sz w:val="24"/>
          <w:highlight w:val="none"/>
          <w:lang w:eastAsia="zh-CN"/>
        </w:rPr>
        <w:t>供应商</w:t>
      </w:r>
      <w:r>
        <w:rPr>
          <w:rFonts w:hint="eastAsia" w:ascii="宋体" w:hAnsi="宋体"/>
          <w:color w:val="auto"/>
          <w:sz w:val="24"/>
          <w:highlight w:val="none"/>
        </w:rPr>
        <w:t>在此期间未进行CA签字确认的视为默认此报价。</w:t>
      </w:r>
    </w:p>
    <w:p w14:paraId="003D2C62">
      <w:pPr>
        <w:shd w:val="clear"/>
        <w:tabs>
          <w:tab w:val="left" w:pos="735"/>
          <w:tab w:val="left" w:pos="1571"/>
        </w:tabs>
        <w:spacing w:line="360" w:lineRule="auto"/>
        <w:ind w:left="734" w:right="-120" w:hanging="734" w:hangingChars="306"/>
        <w:rPr>
          <w:color w:val="auto"/>
          <w:highlight w:val="none"/>
        </w:rPr>
      </w:pPr>
      <w:r>
        <w:rPr>
          <w:rFonts w:hint="eastAsia" w:ascii="宋体" w:hAnsi="宋体"/>
          <w:color w:val="auto"/>
          <w:sz w:val="24"/>
          <w:highlight w:val="none"/>
        </w:rPr>
        <w:t>5.1.9.进入评标阶段。</w:t>
      </w:r>
    </w:p>
    <w:p w14:paraId="77630569">
      <w:pPr>
        <w:shd w:val="clear"/>
        <w:spacing w:line="360" w:lineRule="auto"/>
        <w:outlineLvl w:val="3"/>
        <w:rPr>
          <w:b/>
          <w:bCs/>
          <w:color w:val="auto"/>
          <w:highlight w:val="none"/>
        </w:rPr>
      </w:pPr>
      <w:r>
        <w:rPr>
          <w:rFonts w:hint="eastAsia" w:ascii="宋体" w:hAnsi="宋体"/>
          <w:b/>
          <w:bCs/>
          <w:color w:val="auto"/>
          <w:sz w:val="24"/>
          <w:highlight w:val="none"/>
        </w:rPr>
        <w:t>5.2评标</w:t>
      </w:r>
      <w:bookmarkEnd w:id="515"/>
    </w:p>
    <w:p w14:paraId="43F6C2BB">
      <w:pPr>
        <w:shd w:val="clear"/>
        <w:spacing w:line="360" w:lineRule="auto"/>
        <w:ind w:firstLine="480" w:firstLineChars="200"/>
        <w:rPr>
          <w:rFonts w:hint="eastAsia" w:ascii="宋体" w:hAnsi="宋体"/>
          <w:color w:val="auto"/>
          <w:sz w:val="24"/>
          <w:szCs w:val="22"/>
          <w:highlight w:val="none"/>
        </w:rPr>
      </w:pPr>
      <w:r>
        <w:rPr>
          <w:rFonts w:hint="eastAsia" w:ascii="宋体" w:hAnsi="宋体"/>
          <w:color w:val="auto"/>
          <w:sz w:val="24"/>
          <w:highlight w:val="none"/>
        </w:rPr>
        <w:t>评标</w:t>
      </w:r>
      <w:r>
        <w:rPr>
          <w:rFonts w:hint="eastAsia" w:ascii="宋体" w:hAnsi="宋体"/>
          <w:color w:val="auto"/>
          <w:sz w:val="24"/>
          <w:highlight w:val="none"/>
          <w:lang w:eastAsia="zh-CN"/>
        </w:rPr>
        <w:t>依次</w:t>
      </w:r>
      <w:r>
        <w:rPr>
          <w:rFonts w:hint="eastAsia" w:ascii="宋体" w:hAnsi="宋体"/>
          <w:color w:val="auto"/>
          <w:sz w:val="24"/>
          <w:szCs w:val="22"/>
          <w:highlight w:val="none"/>
        </w:rPr>
        <w:t>进行：投标文件资格性审查、符合性审查</w:t>
      </w:r>
      <w:r>
        <w:rPr>
          <w:rFonts w:hint="eastAsia" w:ascii="宋体" w:hAnsi="宋体"/>
          <w:color w:val="auto"/>
          <w:sz w:val="24"/>
          <w:szCs w:val="22"/>
          <w:highlight w:val="none"/>
          <w:lang w:eastAsia="zh-CN"/>
        </w:rPr>
        <w:t>、</w:t>
      </w:r>
      <w:r>
        <w:rPr>
          <w:rFonts w:hint="eastAsia" w:ascii="宋体" w:hAnsi="宋体"/>
          <w:color w:val="auto"/>
          <w:sz w:val="24"/>
          <w:szCs w:val="22"/>
          <w:highlight w:val="none"/>
        </w:rPr>
        <w:t>投标文件详细评审</w:t>
      </w:r>
      <w:r>
        <w:rPr>
          <w:rFonts w:hint="eastAsia" w:ascii="宋体" w:hAnsi="宋体"/>
          <w:color w:val="auto"/>
          <w:sz w:val="24"/>
          <w:szCs w:val="22"/>
          <w:highlight w:val="none"/>
          <w:lang w:eastAsia="zh-CN"/>
        </w:rPr>
        <w:t>（商务与技术评审）和报价评审</w:t>
      </w:r>
      <w:r>
        <w:rPr>
          <w:rFonts w:hint="eastAsia" w:ascii="宋体" w:hAnsi="宋体"/>
          <w:color w:val="auto"/>
          <w:sz w:val="24"/>
          <w:szCs w:val="22"/>
          <w:highlight w:val="none"/>
        </w:rPr>
        <w:t>。</w:t>
      </w:r>
    </w:p>
    <w:p w14:paraId="06880EF0">
      <w:pPr>
        <w:pStyle w:val="12"/>
        <w:shd w:val="clear"/>
        <w:spacing w:line="360" w:lineRule="auto"/>
        <w:ind w:firstLine="0" w:firstLineChars="0"/>
        <w:rPr>
          <w:rFonts w:ascii="宋体" w:eastAsia="宋体"/>
          <w:color w:val="auto"/>
          <w:sz w:val="24"/>
          <w:highlight w:val="none"/>
        </w:rPr>
      </w:pPr>
      <w:r>
        <w:rPr>
          <w:rFonts w:hint="eastAsia" w:ascii="宋体" w:eastAsia="宋体"/>
          <w:b/>
          <w:bCs/>
          <w:color w:val="auto"/>
          <w:sz w:val="24"/>
          <w:highlight w:val="none"/>
        </w:rPr>
        <w:t>5.2.1 投标文件资格审查（详见资格审查表）</w:t>
      </w:r>
    </w:p>
    <w:p w14:paraId="6BAB1178">
      <w:pPr>
        <w:shd w:val="clea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资格审查：开标结束后，</w:t>
      </w:r>
      <w:r>
        <w:rPr>
          <w:rFonts w:hint="eastAsia" w:ascii="宋体" w:hAnsi="宋体"/>
          <w:color w:val="auto"/>
          <w:sz w:val="24"/>
          <w:highlight w:val="none"/>
          <w:lang w:eastAsia="zh-CN"/>
        </w:rPr>
        <w:t>招标人</w:t>
      </w:r>
      <w:r>
        <w:rPr>
          <w:rFonts w:hint="eastAsia" w:ascii="宋体" w:hAnsi="宋体"/>
          <w:color w:val="auto"/>
          <w:sz w:val="24"/>
          <w:highlight w:val="none"/>
        </w:rPr>
        <w:t>或者采购代理机构应当依法对</w:t>
      </w:r>
      <w:r>
        <w:rPr>
          <w:rFonts w:hint="eastAsia" w:ascii="宋体" w:hAnsi="宋体"/>
          <w:color w:val="auto"/>
          <w:sz w:val="24"/>
          <w:highlight w:val="none"/>
          <w:lang w:eastAsia="zh-CN"/>
        </w:rPr>
        <w:t>供应商</w:t>
      </w:r>
      <w:r>
        <w:rPr>
          <w:rFonts w:hint="eastAsia" w:ascii="宋体" w:hAnsi="宋体"/>
          <w:color w:val="auto"/>
          <w:sz w:val="24"/>
          <w:highlight w:val="none"/>
        </w:rPr>
        <w:t>的资格进行审查，详见《资格审查表》。对初步被认定为资格审查不合格的，应实行及时告知投标当事人，以让其核证、澄清事实。未通过资格审查的</w:t>
      </w:r>
      <w:r>
        <w:rPr>
          <w:rFonts w:hint="eastAsia" w:ascii="宋体" w:hAnsi="宋体"/>
          <w:color w:val="auto"/>
          <w:sz w:val="24"/>
          <w:highlight w:val="none"/>
          <w:lang w:eastAsia="zh-CN"/>
        </w:rPr>
        <w:t>供应商</w:t>
      </w:r>
      <w:r>
        <w:rPr>
          <w:rFonts w:hint="eastAsia" w:ascii="宋体" w:hAnsi="宋体"/>
          <w:color w:val="auto"/>
          <w:sz w:val="24"/>
          <w:highlight w:val="none"/>
        </w:rPr>
        <w:t>，不进入符合性审查。</w:t>
      </w:r>
      <w:bookmarkStart w:id="516" w:name="_Toc107383645"/>
      <w:bookmarkStart w:id="517" w:name="_Toc61327438"/>
    </w:p>
    <w:p w14:paraId="378DB6CC">
      <w:pPr>
        <w:pStyle w:val="12"/>
        <w:shd w:val="clear"/>
        <w:spacing w:line="360" w:lineRule="auto"/>
        <w:ind w:firstLine="0" w:firstLineChars="0"/>
        <w:rPr>
          <w:rFonts w:ascii="宋体" w:eastAsia="宋体"/>
          <w:color w:val="auto"/>
          <w:sz w:val="24"/>
          <w:highlight w:val="none"/>
        </w:rPr>
      </w:pPr>
      <w:r>
        <w:rPr>
          <w:rFonts w:hint="eastAsia" w:ascii="宋体" w:eastAsia="宋体"/>
          <w:b/>
          <w:bCs/>
          <w:color w:val="auto"/>
          <w:sz w:val="24"/>
          <w:highlight w:val="none"/>
        </w:rPr>
        <w:t>5.2.2 投标文件</w:t>
      </w:r>
      <w:bookmarkEnd w:id="516"/>
      <w:bookmarkEnd w:id="517"/>
      <w:r>
        <w:rPr>
          <w:rFonts w:hint="eastAsia" w:ascii="宋体" w:eastAsia="宋体"/>
          <w:b/>
          <w:bCs/>
          <w:color w:val="auto"/>
          <w:sz w:val="24"/>
          <w:highlight w:val="none"/>
        </w:rPr>
        <w:t>符合性审查（详见符合性审查表）</w:t>
      </w:r>
    </w:p>
    <w:p w14:paraId="2FCC2977">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符合性审查：评标委员会应当对符合资格的</w:t>
      </w:r>
      <w:r>
        <w:rPr>
          <w:rFonts w:hint="eastAsia" w:ascii="宋体" w:hAnsi="宋体"/>
          <w:color w:val="auto"/>
          <w:sz w:val="24"/>
          <w:highlight w:val="none"/>
          <w:lang w:eastAsia="zh-CN"/>
        </w:rPr>
        <w:t>供应商</w:t>
      </w:r>
      <w:r>
        <w:rPr>
          <w:rFonts w:hint="eastAsia" w:ascii="宋体" w:hAnsi="宋体"/>
          <w:color w:val="auto"/>
          <w:sz w:val="24"/>
          <w:highlight w:val="none"/>
        </w:rPr>
        <w:t>的投标文件进行符合性审查，详见《符合性审查表》，以确定其是否满足</w:t>
      </w:r>
      <w:r>
        <w:rPr>
          <w:rFonts w:hint="eastAsia" w:ascii="宋体" w:hAnsi="宋体"/>
          <w:color w:val="auto"/>
          <w:sz w:val="24"/>
          <w:highlight w:val="none"/>
          <w:lang w:eastAsia="zh-CN"/>
        </w:rPr>
        <w:t>招标文件</w:t>
      </w:r>
      <w:r>
        <w:rPr>
          <w:rFonts w:hint="eastAsia" w:ascii="宋体" w:hAnsi="宋体"/>
          <w:color w:val="auto"/>
          <w:sz w:val="24"/>
          <w:highlight w:val="none"/>
        </w:rPr>
        <w:t>的实质性要求。评标委员会对初步被认定为符合性审查不合格或无效投标者应实行及时告知，由评标委员会主任或</w:t>
      </w:r>
      <w:r>
        <w:rPr>
          <w:rFonts w:hint="eastAsia" w:ascii="宋体" w:hAnsi="宋体"/>
          <w:color w:val="auto"/>
          <w:sz w:val="24"/>
          <w:highlight w:val="none"/>
          <w:lang w:eastAsia="zh-CN"/>
        </w:rPr>
        <w:t>招标人</w:t>
      </w:r>
      <w:r>
        <w:rPr>
          <w:rFonts w:hint="eastAsia" w:ascii="宋体" w:hAnsi="宋体"/>
          <w:color w:val="auto"/>
          <w:sz w:val="24"/>
          <w:highlight w:val="none"/>
        </w:rPr>
        <w:t>代表将集体意见现场及时告知投标当事人，以让其核证、澄清事实。未通过符合性审查的</w:t>
      </w:r>
      <w:r>
        <w:rPr>
          <w:rFonts w:hint="eastAsia" w:ascii="宋体" w:hAnsi="宋体"/>
          <w:color w:val="auto"/>
          <w:sz w:val="24"/>
          <w:highlight w:val="none"/>
          <w:lang w:eastAsia="zh-CN"/>
        </w:rPr>
        <w:t>供应商</w:t>
      </w:r>
      <w:r>
        <w:rPr>
          <w:rFonts w:hint="eastAsia" w:ascii="宋体" w:hAnsi="宋体"/>
          <w:color w:val="auto"/>
          <w:sz w:val="24"/>
          <w:highlight w:val="none"/>
        </w:rPr>
        <w:t>，不进入技术、商务和价格评审。</w:t>
      </w:r>
    </w:p>
    <w:p w14:paraId="6BF5225E">
      <w:pPr>
        <w:shd w:val="clear"/>
        <w:spacing w:line="360" w:lineRule="auto"/>
        <w:ind w:firstLine="482" w:firstLineChars="200"/>
        <w:rPr>
          <w:b/>
          <w:color w:val="auto"/>
          <w:sz w:val="24"/>
          <w:highlight w:val="none"/>
        </w:rPr>
      </w:pPr>
      <w:r>
        <w:rPr>
          <w:rFonts w:hint="eastAsia" w:ascii="宋体" w:hAnsi="宋体"/>
          <w:b/>
          <w:bCs/>
          <w:color w:val="auto"/>
          <w:sz w:val="24"/>
          <w:highlight w:val="none"/>
        </w:rPr>
        <w:t>（1）投</w:t>
      </w:r>
      <w:r>
        <w:rPr>
          <w:rFonts w:hint="eastAsia"/>
          <w:b/>
          <w:color w:val="auto"/>
          <w:sz w:val="24"/>
          <w:highlight w:val="none"/>
        </w:rPr>
        <w:t>标文件出现下列情况之一时将被认定为无效投标：</w:t>
      </w:r>
    </w:p>
    <w:p w14:paraId="71D52B98">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1）未按照</w:t>
      </w:r>
      <w:r>
        <w:rPr>
          <w:rFonts w:hint="eastAsia"/>
          <w:color w:val="auto"/>
          <w:sz w:val="24"/>
          <w:highlight w:val="none"/>
          <w:lang w:eastAsia="zh-CN"/>
        </w:rPr>
        <w:t>招标文件</w:t>
      </w:r>
      <w:r>
        <w:rPr>
          <w:rFonts w:hint="eastAsia"/>
          <w:color w:val="auto"/>
          <w:sz w:val="24"/>
          <w:highlight w:val="none"/>
        </w:rPr>
        <w:t>的规定提交投标保证金的；</w:t>
      </w:r>
    </w:p>
    <w:p w14:paraId="30B8DD79">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2）投标文件未按</w:t>
      </w:r>
      <w:r>
        <w:rPr>
          <w:rFonts w:hint="eastAsia"/>
          <w:color w:val="auto"/>
          <w:sz w:val="24"/>
          <w:highlight w:val="none"/>
          <w:lang w:eastAsia="zh-CN"/>
        </w:rPr>
        <w:t>招标文件</w:t>
      </w:r>
      <w:r>
        <w:rPr>
          <w:rFonts w:hint="eastAsia"/>
          <w:color w:val="auto"/>
          <w:sz w:val="24"/>
          <w:highlight w:val="none"/>
        </w:rPr>
        <w:t>要求签署、盖章的；</w:t>
      </w:r>
    </w:p>
    <w:p w14:paraId="3C2E7C4F">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3）不具备</w:t>
      </w:r>
      <w:r>
        <w:rPr>
          <w:rFonts w:hint="eastAsia"/>
          <w:color w:val="auto"/>
          <w:sz w:val="24"/>
          <w:highlight w:val="none"/>
          <w:lang w:eastAsia="zh-CN"/>
        </w:rPr>
        <w:t>招标文件</w:t>
      </w:r>
      <w:r>
        <w:rPr>
          <w:rFonts w:hint="eastAsia"/>
          <w:color w:val="auto"/>
          <w:sz w:val="24"/>
          <w:highlight w:val="none"/>
        </w:rPr>
        <w:t>中规定的资格要求的；</w:t>
      </w:r>
    </w:p>
    <w:p w14:paraId="336601B3">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4）报价超过</w:t>
      </w:r>
      <w:r>
        <w:rPr>
          <w:rFonts w:hint="eastAsia"/>
          <w:color w:val="auto"/>
          <w:sz w:val="24"/>
          <w:highlight w:val="none"/>
          <w:lang w:eastAsia="zh-CN"/>
        </w:rPr>
        <w:t>招标文件</w:t>
      </w:r>
      <w:r>
        <w:rPr>
          <w:rFonts w:hint="eastAsia"/>
          <w:color w:val="auto"/>
          <w:sz w:val="24"/>
          <w:highlight w:val="none"/>
        </w:rPr>
        <w:t>中规定的预算金额或者</w:t>
      </w:r>
      <w:r>
        <w:rPr>
          <w:rFonts w:hint="eastAsia"/>
          <w:color w:val="auto"/>
          <w:sz w:val="24"/>
          <w:highlight w:val="none"/>
          <w:lang w:val="en-US" w:eastAsia="zh-CN"/>
        </w:rPr>
        <w:t>不满足报价要求</w:t>
      </w:r>
      <w:r>
        <w:rPr>
          <w:rFonts w:hint="eastAsia"/>
          <w:color w:val="auto"/>
          <w:sz w:val="24"/>
          <w:highlight w:val="none"/>
        </w:rPr>
        <w:t>的；</w:t>
      </w:r>
    </w:p>
    <w:p w14:paraId="24066677">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5）投标文件含有</w:t>
      </w:r>
      <w:r>
        <w:rPr>
          <w:rFonts w:hint="eastAsia"/>
          <w:color w:val="auto"/>
          <w:sz w:val="24"/>
          <w:highlight w:val="none"/>
          <w:lang w:eastAsia="zh-CN"/>
        </w:rPr>
        <w:t>招标人</w:t>
      </w:r>
      <w:r>
        <w:rPr>
          <w:rFonts w:hint="eastAsia"/>
          <w:color w:val="auto"/>
          <w:sz w:val="24"/>
          <w:highlight w:val="none"/>
        </w:rPr>
        <w:t>不能接受的附加条件的；</w:t>
      </w:r>
    </w:p>
    <w:p w14:paraId="559B9E01">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6）法律、法规和</w:t>
      </w:r>
      <w:r>
        <w:rPr>
          <w:rFonts w:hint="eastAsia"/>
          <w:color w:val="auto"/>
          <w:sz w:val="24"/>
          <w:highlight w:val="none"/>
          <w:lang w:eastAsia="zh-CN"/>
        </w:rPr>
        <w:t>招标文件</w:t>
      </w:r>
      <w:r>
        <w:rPr>
          <w:rFonts w:hint="eastAsia"/>
          <w:color w:val="auto"/>
          <w:sz w:val="24"/>
          <w:highlight w:val="none"/>
        </w:rPr>
        <w:t>规定的其他无效情形。</w:t>
      </w:r>
    </w:p>
    <w:p w14:paraId="580E8E9B">
      <w:pPr>
        <w:shd w:val="clear"/>
        <w:spacing w:line="360" w:lineRule="auto"/>
        <w:ind w:firstLine="482" w:firstLineChars="200"/>
        <w:rPr>
          <w:rFonts w:ascii="宋体" w:hAnsi="宋体" w:cs="宋体"/>
          <w:b/>
          <w:color w:val="auto"/>
          <w:sz w:val="24"/>
          <w:highlight w:val="none"/>
        </w:rPr>
      </w:pPr>
      <w:r>
        <w:rPr>
          <w:rFonts w:hint="eastAsia" w:ascii="宋体" w:hAnsi="宋体"/>
          <w:b/>
          <w:bCs/>
          <w:color w:val="auto"/>
          <w:sz w:val="24"/>
          <w:highlight w:val="none"/>
        </w:rPr>
        <w:t>（2）</w:t>
      </w:r>
      <w:r>
        <w:rPr>
          <w:rFonts w:hint="eastAsia" w:ascii="宋体" w:hAnsi="宋体" w:cs="宋体"/>
          <w:b/>
          <w:color w:val="auto"/>
          <w:sz w:val="24"/>
          <w:highlight w:val="none"/>
        </w:rPr>
        <w:t>评标过程中投标文件</w:t>
      </w:r>
      <w:r>
        <w:rPr>
          <w:rFonts w:hint="eastAsia" w:ascii="宋体" w:hAnsi="宋体"/>
          <w:b/>
          <w:color w:val="auto"/>
          <w:sz w:val="24"/>
          <w:highlight w:val="none"/>
        </w:rPr>
        <w:t>出现下列情况之一时，对该投标文件作废标处理：</w:t>
      </w:r>
    </w:p>
    <w:p w14:paraId="523F0C2D">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1）</w:t>
      </w:r>
      <w:r>
        <w:rPr>
          <w:rFonts w:hint="eastAsia"/>
          <w:color w:val="auto"/>
          <w:sz w:val="24"/>
          <w:highlight w:val="none"/>
          <w:lang w:eastAsia="zh-CN"/>
        </w:rPr>
        <w:t>供应商</w:t>
      </w:r>
      <w:r>
        <w:rPr>
          <w:color w:val="auto"/>
          <w:sz w:val="24"/>
          <w:highlight w:val="none"/>
        </w:rPr>
        <w:t>以他人的名义投标、串通投标、以行贿手段谋取中标或者以其他弄虚作假方式投标的</w:t>
      </w:r>
      <w:r>
        <w:rPr>
          <w:rFonts w:hint="eastAsia"/>
          <w:color w:val="auto"/>
          <w:sz w:val="24"/>
          <w:highlight w:val="none"/>
        </w:rPr>
        <w:t>；具体情形如下：</w:t>
      </w:r>
    </w:p>
    <w:p w14:paraId="4A75E2CE">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a）不同</w:t>
      </w:r>
      <w:r>
        <w:rPr>
          <w:rFonts w:hint="eastAsia"/>
          <w:color w:val="auto"/>
          <w:sz w:val="24"/>
          <w:highlight w:val="none"/>
          <w:lang w:eastAsia="zh-CN"/>
        </w:rPr>
        <w:t>供应商</w:t>
      </w:r>
      <w:r>
        <w:rPr>
          <w:rFonts w:hint="eastAsia"/>
          <w:color w:val="auto"/>
          <w:sz w:val="24"/>
          <w:highlight w:val="none"/>
        </w:rPr>
        <w:t>的投标文件由同一单位或者个人编制；</w:t>
      </w:r>
    </w:p>
    <w:p w14:paraId="38C2DB76">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b）不同</w:t>
      </w:r>
      <w:r>
        <w:rPr>
          <w:rFonts w:hint="eastAsia"/>
          <w:color w:val="auto"/>
          <w:sz w:val="24"/>
          <w:highlight w:val="none"/>
          <w:lang w:eastAsia="zh-CN"/>
        </w:rPr>
        <w:t>供应商</w:t>
      </w:r>
      <w:r>
        <w:rPr>
          <w:rFonts w:hint="eastAsia"/>
          <w:color w:val="auto"/>
          <w:sz w:val="24"/>
          <w:highlight w:val="none"/>
        </w:rPr>
        <w:t>委托同一单位或者个人办理投标事宜；</w:t>
      </w:r>
    </w:p>
    <w:p w14:paraId="22965203">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c）不同</w:t>
      </w:r>
      <w:r>
        <w:rPr>
          <w:rFonts w:hint="eastAsia"/>
          <w:color w:val="auto"/>
          <w:sz w:val="24"/>
          <w:highlight w:val="none"/>
          <w:lang w:eastAsia="zh-CN"/>
        </w:rPr>
        <w:t>供应商</w:t>
      </w:r>
      <w:r>
        <w:rPr>
          <w:rFonts w:hint="eastAsia"/>
          <w:color w:val="auto"/>
          <w:sz w:val="24"/>
          <w:highlight w:val="none"/>
        </w:rPr>
        <w:t>的投标文件载明的项目管理成员或者联系人员为同一人；</w:t>
      </w:r>
    </w:p>
    <w:p w14:paraId="1E1FB3D6">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d）不同</w:t>
      </w:r>
      <w:r>
        <w:rPr>
          <w:rFonts w:hint="eastAsia"/>
          <w:color w:val="auto"/>
          <w:sz w:val="24"/>
          <w:highlight w:val="none"/>
          <w:lang w:eastAsia="zh-CN"/>
        </w:rPr>
        <w:t>供应商</w:t>
      </w:r>
      <w:r>
        <w:rPr>
          <w:rFonts w:hint="eastAsia"/>
          <w:color w:val="auto"/>
          <w:sz w:val="24"/>
          <w:highlight w:val="none"/>
        </w:rPr>
        <w:t>的投标文件异常一致或者投标报价呈规律性差异；</w:t>
      </w:r>
    </w:p>
    <w:p w14:paraId="231F878D">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50"/>
        <w:textAlignment w:val="auto"/>
        <w:rPr>
          <w:rFonts w:hint="eastAsia"/>
          <w:color w:val="auto"/>
          <w:sz w:val="24"/>
          <w:highlight w:val="none"/>
        </w:rPr>
      </w:pPr>
      <w:r>
        <w:rPr>
          <w:rFonts w:hint="eastAsia"/>
          <w:color w:val="auto"/>
          <w:sz w:val="24"/>
          <w:highlight w:val="none"/>
        </w:rPr>
        <w:t>e）不同</w:t>
      </w:r>
      <w:r>
        <w:rPr>
          <w:rFonts w:hint="eastAsia"/>
          <w:color w:val="auto"/>
          <w:sz w:val="24"/>
          <w:highlight w:val="none"/>
          <w:lang w:eastAsia="zh-CN"/>
        </w:rPr>
        <w:t>供应商</w:t>
      </w:r>
      <w:r>
        <w:rPr>
          <w:rFonts w:hint="eastAsia"/>
          <w:color w:val="auto"/>
          <w:sz w:val="24"/>
          <w:highlight w:val="none"/>
        </w:rPr>
        <w:t>的投标文件相互混装；</w:t>
      </w:r>
    </w:p>
    <w:p w14:paraId="44172DDD">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50"/>
        <w:textAlignment w:val="auto"/>
        <w:rPr>
          <w:color w:val="auto"/>
          <w:sz w:val="24"/>
          <w:highlight w:val="none"/>
        </w:rPr>
      </w:pPr>
      <w:r>
        <w:rPr>
          <w:rFonts w:hint="eastAsia"/>
          <w:color w:val="auto"/>
          <w:sz w:val="24"/>
          <w:highlight w:val="none"/>
        </w:rPr>
        <w:t>f）不同</w:t>
      </w:r>
      <w:r>
        <w:rPr>
          <w:rFonts w:hint="eastAsia"/>
          <w:color w:val="auto"/>
          <w:sz w:val="24"/>
          <w:highlight w:val="none"/>
          <w:lang w:eastAsia="zh-CN"/>
        </w:rPr>
        <w:t>供应商</w:t>
      </w:r>
      <w:r>
        <w:rPr>
          <w:rFonts w:hint="eastAsia"/>
          <w:color w:val="auto"/>
          <w:sz w:val="24"/>
          <w:highlight w:val="none"/>
        </w:rPr>
        <w:t>的投标保证金从同一单位或者个人的账户转出。</w:t>
      </w:r>
    </w:p>
    <w:p w14:paraId="6DC55A8C">
      <w:pPr>
        <w:keepNext w:val="0"/>
        <w:keepLines w:val="0"/>
        <w:pageBreakBefore w:val="0"/>
        <w:widowControl w:val="0"/>
        <w:shd w:val="clear"/>
        <w:kinsoku/>
        <w:wordWrap/>
        <w:overflowPunct/>
        <w:topLinePunct w:val="0"/>
        <w:autoSpaceDE/>
        <w:autoSpaceDN/>
        <w:bidi w:val="0"/>
        <w:adjustRightInd/>
        <w:snapToGrid/>
        <w:spacing w:line="360" w:lineRule="auto"/>
        <w:ind w:firstLine="600" w:firstLineChars="250"/>
        <w:textAlignment w:val="auto"/>
        <w:rPr>
          <w:rFonts w:ascii="宋体" w:hAnsi="宋体"/>
          <w:color w:val="auto"/>
          <w:sz w:val="24"/>
          <w:highlight w:val="none"/>
        </w:rPr>
      </w:pPr>
      <w:r>
        <w:rPr>
          <w:rFonts w:hint="eastAsia"/>
          <w:color w:val="auto"/>
          <w:sz w:val="24"/>
          <w:highlight w:val="none"/>
        </w:rPr>
        <w:t>2）</w:t>
      </w:r>
      <w:r>
        <w:rPr>
          <w:rFonts w:hint="eastAsia" w:ascii="宋体" w:hAnsi="宋体"/>
          <w:color w:val="auto"/>
          <w:sz w:val="24"/>
          <w:highlight w:val="none"/>
        </w:rPr>
        <w:t>评标委员会认为</w:t>
      </w:r>
      <w:r>
        <w:rPr>
          <w:rFonts w:hint="eastAsia" w:ascii="宋体" w:hAnsi="宋体"/>
          <w:color w:val="auto"/>
          <w:sz w:val="24"/>
          <w:highlight w:val="none"/>
          <w:lang w:eastAsia="zh-CN"/>
        </w:rPr>
        <w:t>供应商</w:t>
      </w:r>
      <w:r>
        <w:rPr>
          <w:rFonts w:hint="eastAsia" w:ascii="宋体" w:hAnsi="宋体"/>
          <w:color w:val="auto"/>
          <w:sz w:val="24"/>
          <w:highlight w:val="none"/>
        </w:rPr>
        <w:t>的报价明显低于其他通过符合性审查</w:t>
      </w:r>
      <w:r>
        <w:rPr>
          <w:rFonts w:hint="eastAsia" w:ascii="宋体" w:hAnsi="宋体"/>
          <w:color w:val="auto"/>
          <w:sz w:val="24"/>
          <w:highlight w:val="none"/>
          <w:lang w:eastAsia="zh-CN"/>
        </w:rPr>
        <w:t>供应商</w:t>
      </w:r>
      <w:r>
        <w:rPr>
          <w:rFonts w:hint="eastAsia" w:ascii="宋体" w:hAnsi="宋体"/>
          <w:color w:val="auto"/>
          <w:sz w:val="24"/>
          <w:highlight w:val="none"/>
        </w:rPr>
        <w:t>的报价，有可能影响产品质量或者不能诚信履约的，应当要求其在评标现场合理的时间内提供书面说明，必要时提交相关证明材料；</w:t>
      </w:r>
      <w:r>
        <w:rPr>
          <w:rFonts w:hint="eastAsia" w:ascii="宋体" w:hAnsi="宋体"/>
          <w:color w:val="auto"/>
          <w:sz w:val="24"/>
          <w:highlight w:val="none"/>
          <w:lang w:eastAsia="zh-CN"/>
        </w:rPr>
        <w:t>供应商</w:t>
      </w:r>
      <w:r>
        <w:rPr>
          <w:rFonts w:hint="eastAsia" w:ascii="宋体" w:hAnsi="宋体"/>
          <w:color w:val="auto"/>
          <w:sz w:val="24"/>
          <w:highlight w:val="none"/>
        </w:rPr>
        <w:t>不能证明其报价合理性的，评标委员会应当将其作为无效投标处理。</w:t>
      </w:r>
    </w:p>
    <w:p w14:paraId="04DACB60">
      <w:pPr>
        <w:shd w:val="clea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其他无效情形</w:t>
      </w:r>
      <w:r>
        <w:rPr>
          <w:rFonts w:hint="eastAsia" w:ascii="宋体" w:hAnsi="宋体"/>
          <w:b/>
          <w:color w:val="auto"/>
          <w:sz w:val="24"/>
          <w:highlight w:val="none"/>
        </w:rPr>
        <w:t>：</w:t>
      </w:r>
    </w:p>
    <w:p w14:paraId="1062EFF7">
      <w:pPr>
        <w:shd w:val="clea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未满足项目的</w:t>
      </w:r>
      <w:r>
        <w:rPr>
          <w:rFonts w:hint="eastAsia" w:ascii="宋体" w:hAnsi="宋体"/>
          <w:color w:val="auto"/>
          <w:sz w:val="24"/>
          <w:highlight w:val="none"/>
        </w:rPr>
        <w:t>交货期</w:t>
      </w:r>
      <w:r>
        <w:rPr>
          <w:rFonts w:ascii="宋体" w:hAnsi="宋体"/>
          <w:color w:val="auto"/>
          <w:sz w:val="24"/>
          <w:highlight w:val="none"/>
        </w:rPr>
        <w:t>要求</w:t>
      </w:r>
      <w:r>
        <w:rPr>
          <w:rFonts w:hint="eastAsia" w:ascii="宋体" w:hAnsi="宋体"/>
          <w:color w:val="auto"/>
          <w:sz w:val="24"/>
          <w:highlight w:val="none"/>
        </w:rPr>
        <w:t>；</w:t>
      </w:r>
    </w:p>
    <w:p w14:paraId="2E8F7256">
      <w:pPr>
        <w:shd w:val="clea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投标有效期未为90天</w:t>
      </w:r>
      <w:r>
        <w:rPr>
          <w:rFonts w:hint="eastAsia" w:ascii="宋体" w:hAnsi="宋体"/>
          <w:color w:val="auto"/>
          <w:sz w:val="24"/>
          <w:highlight w:val="none"/>
        </w:rPr>
        <w:t>；</w:t>
      </w:r>
    </w:p>
    <w:p w14:paraId="7CE3B9AF">
      <w:pPr>
        <w:shd w:val="clea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未按规定提交法定代表人证明书/法人授权委托书</w:t>
      </w:r>
      <w:r>
        <w:rPr>
          <w:rFonts w:hint="eastAsia" w:ascii="宋体" w:hAnsi="宋体"/>
          <w:color w:val="auto"/>
          <w:sz w:val="24"/>
          <w:highlight w:val="none"/>
        </w:rPr>
        <w:t>。</w:t>
      </w:r>
    </w:p>
    <w:p w14:paraId="3D3AA979">
      <w:pPr>
        <w:shd w:val="clear"/>
        <w:spacing w:line="360" w:lineRule="auto"/>
        <w:ind w:firstLine="480" w:firstLineChars="200"/>
        <w:rPr>
          <w:color w:val="auto"/>
          <w:highlight w:val="none"/>
        </w:rPr>
      </w:pPr>
      <w:r>
        <w:rPr>
          <w:rFonts w:hint="eastAsia" w:ascii="宋体" w:hAnsi="宋体" w:cs="宋体"/>
          <w:color w:val="auto"/>
          <w:sz w:val="24"/>
          <w:highlight w:val="none"/>
        </w:rPr>
        <w:t>被评委会确定为投标文件无效标或</w:t>
      </w:r>
      <w:r>
        <w:rPr>
          <w:rFonts w:hint="eastAsia" w:ascii="宋体" w:hAnsi="宋体"/>
          <w:color w:val="auto"/>
          <w:sz w:val="24"/>
          <w:highlight w:val="none"/>
        </w:rPr>
        <w:t>废标</w:t>
      </w:r>
      <w:r>
        <w:rPr>
          <w:rFonts w:hint="eastAsia" w:ascii="宋体" w:hAnsi="宋体" w:cs="宋体"/>
          <w:color w:val="auto"/>
          <w:sz w:val="24"/>
          <w:highlight w:val="none"/>
        </w:rPr>
        <w:t>的，其投标文件即被视为不能通过符合性评审，不得参与技术、商务和价格的评审。</w:t>
      </w:r>
    </w:p>
    <w:p w14:paraId="60988843">
      <w:pPr>
        <w:pStyle w:val="12"/>
        <w:shd w:val="clear"/>
        <w:spacing w:line="360" w:lineRule="auto"/>
        <w:ind w:firstLine="0" w:firstLineChars="0"/>
        <w:rPr>
          <w:rFonts w:ascii="宋体"/>
          <w:b/>
          <w:bCs/>
          <w:color w:val="auto"/>
          <w:sz w:val="24"/>
          <w:highlight w:val="none"/>
        </w:rPr>
      </w:pPr>
      <w:bookmarkStart w:id="518" w:name="_Toc107383646"/>
      <w:bookmarkStart w:id="519" w:name="_Toc61327439"/>
      <w:r>
        <w:rPr>
          <w:rFonts w:hint="eastAsia" w:ascii="宋体" w:eastAsia="宋体"/>
          <w:b/>
          <w:bCs/>
          <w:color w:val="auto"/>
          <w:sz w:val="24"/>
          <w:highlight w:val="none"/>
        </w:rPr>
        <w:t>5.2.3 投标文件详细评审</w:t>
      </w:r>
      <w:bookmarkEnd w:id="518"/>
      <w:bookmarkEnd w:id="519"/>
      <w:r>
        <w:rPr>
          <w:rFonts w:hint="eastAsia" w:ascii="宋体" w:eastAsia="宋体"/>
          <w:b/>
          <w:bCs/>
          <w:color w:val="auto"/>
          <w:sz w:val="24"/>
          <w:highlight w:val="none"/>
        </w:rPr>
        <w:t>（详见技术、商务、价格评审表）</w:t>
      </w:r>
    </w:p>
    <w:p w14:paraId="2C2F595B">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在资格、符合性审查时，未能通过资格、符合性审查被认定为无效投标，只有全部满足《资格审查表》和《符合性审查表》所列各项要求的投标才是有效投标，只要不满足资格、符合性条款中所列各项要求之一的，将被认定为无效投标。</w:t>
      </w:r>
    </w:p>
    <w:p w14:paraId="27047259">
      <w:pPr>
        <w:shd w:val="clear"/>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当通过</w:t>
      </w:r>
      <w:r>
        <w:rPr>
          <w:rFonts w:hint="eastAsia" w:ascii="宋体" w:hAnsi="宋体"/>
          <w:bCs/>
          <w:color w:val="auto"/>
          <w:sz w:val="24"/>
          <w:highlight w:val="none"/>
        </w:rPr>
        <w:t>资格、符合性审查</w:t>
      </w:r>
      <w:r>
        <w:rPr>
          <w:rFonts w:hint="eastAsia" w:ascii="宋体" w:hAnsi="宋体"/>
          <w:color w:val="auto"/>
          <w:sz w:val="24"/>
          <w:highlight w:val="none"/>
        </w:rPr>
        <w:t>的</w:t>
      </w:r>
      <w:r>
        <w:rPr>
          <w:rFonts w:hint="eastAsia" w:ascii="宋体" w:hAnsi="宋体"/>
          <w:color w:val="auto"/>
          <w:sz w:val="24"/>
          <w:highlight w:val="none"/>
          <w:lang w:eastAsia="zh-CN"/>
        </w:rPr>
        <w:t>供应商</w:t>
      </w:r>
      <w:r>
        <w:rPr>
          <w:rFonts w:hint="eastAsia" w:ascii="宋体" w:hAnsi="宋体"/>
          <w:color w:val="auto"/>
          <w:sz w:val="24"/>
          <w:highlight w:val="none"/>
        </w:rPr>
        <w:t>多于或等于三家时，按照评标程序的规定和依据评分标准以及各项权重、符合性审查结果，各位评委单独就每个</w:t>
      </w:r>
      <w:r>
        <w:rPr>
          <w:rFonts w:hint="eastAsia" w:ascii="宋体" w:hAnsi="宋体"/>
          <w:color w:val="auto"/>
          <w:sz w:val="24"/>
          <w:highlight w:val="none"/>
          <w:lang w:eastAsia="zh-CN"/>
        </w:rPr>
        <w:t>供应商</w:t>
      </w:r>
      <w:r>
        <w:rPr>
          <w:rFonts w:hint="eastAsia" w:ascii="宋体" w:hAnsi="宋体"/>
          <w:color w:val="auto"/>
          <w:sz w:val="24"/>
          <w:highlight w:val="none"/>
        </w:rPr>
        <w:t>的技术、商务、价格进行评审和比较，评出其技术评分、商务评分和价格评分。将技术得分、商务得分和价格得分相加得出总分，并按总分高低排出名次。评标委员会依据得分情况推荐出第一中标</w:t>
      </w:r>
      <w:r>
        <w:rPr>
          <w:rFonts w:hint="eastAsia" w:ascii="宋体" w:hAnsi="宋体"/>
          <w:color w:val="auto"/>
          <w:sz w:val="24"/>
          <w:highlight w:val="none"/>
          <w:lang w:eastAsia="zh-CN"/>
        </w:rPr>
        <w:t>候选人</w:t>
      </w:r>
      <w:r>
        <w:rPr>
          <w:rFonts w:hint="eastAsia" w:ascii="宋体" w:hAnsi="宋体"/>
          <w:color w:val="auto"/>
          <w:sz w:val="24"/>
          <w:highlight w:val="none"/>
        </w:rPr>
        <w:t>一名，第二中标</w:t>
      </w:r>
      <w:r>
        <w:rPr>
          <w:rFonts w:hint="eastAsia" w:ascii="宋体" w:hAnsi="宋体"/>
          <w:color w:val="auto"/>
          <w:sz w:val="24"/>
          <w:highlight w:val="none"/>
          <w:lang w:eastAsia="zh-CN"/>
        </w:rPr>
        <w:t>候选人</w:t>
      </w:r>
      <w:r>
        <w:rPr>
          <w:rFonts w:hint="eastAsia" w:ascii="宋体" w:hAnsi="宋体"/>
          <w:color w:val="auto"/>
          <w:sz w:val="24"/>
          <w:highlight w:val="none"/>
        </w:rPr>
        <w:t>一名。</w:t>
      </w:r>
    </w:p>
    <w:p w14:paraId="6D9EAECF">
      <w:pPr>
        <w:shd w:val="clear"/>
        <w:spacing w:line="360" w:lineRule="auto"/>
        <w:ind w:right="-195" w:rightChars="-93" w:firstLine="480" w:firstLineChars="200"/>
        <w:rPr>
          <w:rFonts w:hint="eastAsia" w:ascii="宋体" w:hAnsi="宋体"/>
          <w:color w:val="auto"/>
          <w:sz w:val="24"/>
          <w:highlight w:val="none"/>
        </w:rPr>
      </w:pPr>
      <w:r>
        <w:rPr>
          <w:rFonts w:hint="eastAsia" w:ascii="宋体" w:hAnsi="宋体"/>
          <w:bCs/>
          <w:color w:val="auto"/>
          <w:sz w:val="24"/>
          <w:highlight w:val="none"/>
        </w:rPr>
        <w:t>（3）</w:t>
      </w:r>
      <w:r>
        <w:rPr>
          <w:rFonts w:hint="eastAsia" w:ascii="宋体" w:hAnsi="宋体"/>
          <w:color w:val="auto"/>
          <w:sz w:val="24"/>
          <w:highlight w:val="none"/>
        </w:rPr>
        <w:t>当通过</w:t>
      </w:r>
      <w:r>
        <w:rPr>
          <w:rFonts w:hint="eastAsia" w:ascii="宋体" w:hAnsi="宋体"/>
          <w:bCs/>
          <w:color w:val="auto"/>
          <w:sz w:val="24"/>
          <w:highlight w:val="none"/>
        </w:rPr>
        <w:t>资格、符合性审查</w:t>
      </w:r>
      <w:r>
        <w:rPr>
          <w:rFonts w:hint="eastAsia" w:ascii="宋体" w:hAnsi="宋体"/>
          <w:color w:val="auto"/>
          <w:sz w:val="24"/>
          <w:highlight w:val="none"/>
        </w:rPr>
        <w:t>的</w:t>
      </w:r>
      <w:r>
        <w:rPr>
          <w:rFonts w:hint="eastAsia" w:ascii="宋体" w:hAnsi="宋体"/>
          <w:color w:val="auto"/>
          <w:sz w:val="24"/>
          <w:highlight w:val="none"/>
          <w:lang w:eastAsia="zh-CN"/>
        </w:rPr>
        <w:t>供应商</w:t>
      </w:r>
      <w:r>
        <w:rPr>
          <w:rFonts w:hint="eastAsia" w:ascii="宋体" w:hAnsi="宋体"/>
          <w:color w:val="auto"/>
          <w:sz w:val="24"/>
          <w:highlight w:val="none"/>
        </w:rPr>
        <w:t>少于三家时，评标委员会否决所有投标文件，提请依法重新招标。</w:t>
      </w:r>
    </w:p>
    <w:p w14:paraId="6C0E8B78">
      <w:pPr>
        <w:shd w:val="clear"/>
        <w:spacing w:afterAutospacing="0" w:line="360" w:lineRule="auto"/>
        <w:ind w:left="-2" w:leftChars="-1"/>
        <w:rPr>
          <w:rFonts w:ascii="宋体" w:hAnsi="宋体"/>
          <w:color w:val="auto"/>
          <w:sz w:val="24"/>
          <w:highlight w:val="none"/>
        </w:rPr>
      </w:pPr>
      <w:r>
        <w:rPr>
          <w:rFonts w:hint="eastAsia" w:ascii="宋体"/>
          <w:b/>
          <w:bCs/>
          <w:color w:val="auto"/>
          <w:sz w:val="24"/>
          <w:highlight w:val="none"/>
        </w:rPr>
        <w:t>5.2.4使用综合评分法的采购项目，提供相同品牌产品且通过资格审查、符合性审查的不同</w:t>
      </w:r>
      <w:r>
        <w:rPr>
          <w:rFonts w:hint="eastAsia" w:ascii="宋体"/>
          <w:b/>
          <w:bCs/>
          <w:color w:val="auto"/>
          <w:sz w:val="24"/>
          <w:highlight w:val="none"/>
          <w:lang w:eastAsia="zh-CN"/>
        </w:rPr>
        <w:t>供应商</w:t>
      </w:r>
      <w:r>
        <w:rPr>
          <w:rFonts w:hint="eastAsia" w:ascii="宋体"/>
          <w:b/>
          <w:bCs/>
          <w:color w:val="auto"/>
          <w:sz w:val="24"/>
          <w:highlight w:val="none"/>
        </w:rPr>
        <w:t>参加同一合同项下投标的，按一家</w:t>
      </w:r>
      <w:r>
        <w:rPr>
          <w:rFonts w:hint="eastAsia" w:ascii="宋体"/>
          <w:b/>
          <w:bCs/>
          <w:color w:val="auto"/>
          <w:sz w:val="24"/>
          <w:highlight w:val="none"/>
          <w:lang w:eastAsia="zh-CN"/>
        </w:rPr>
        <w:t>供应商</w:t>
      </w:r>
      <w:r>
        <w:rPr>
          <w:rFonts w:hint="eastAsia" w:ascii="宋体"/>
          <w:b/>
          <w:bCs/>
          <w:color w:val="auto"/>
          <w:sz w:val="24"/>
          <w:highlight w:val="none"/>
        </w:rPr>
        <w:t>计算，评审后得分最高的同品牌</w:t>
      </w:r>
      <w:r>
        <w:rPr>
          <w:rFonts w:hint="eastAsia" w:ascii="宋体"/>
          <w:b/>
          <w:bCs/>
          <w:color w:val="auto"/>
          <w:sz w:val="24"/>
          <w:highlight w:val="none"/>
          <w:lang w:eastAsia="zh-CN"/>
        </w:rPr>
        <w:t>供应商</w:t>
      </w:r>
      <w:r>
        <w:rPr>
          <w:rFonts w:hint="eastAsia" w:ascii="宋体"/>
          <w:b/>
          <w:bCs/>
          <w:color w:val="auto"/>
          <w:sz w:val="24"/>
          <w:highlight w:val="none"/>
        </w:rPr>
        <w:t>获得中标人推荐资格；评审得分相同的，由</w:t>
      </w:r>
      <w:r>
        <w:rPr>
          <w:rFonts w:hint="eastAsia" w:ascii="宋体"/>
          <w:b/>
          <w:bCs/>
          <w:color w:val="auto"/>
          <w:sz w:val="24"/>
          <w:highlight w:val="none"/>
          <w:lang w:eastAsia="zh-CN"/>
        </w:rPr>
        <w:t>招标人</w:t>
      </w:r>
      <w:r>
        <w:rPr>
          <w:rFonts w:hint="eastAsia" w:ascii="宋体"/>
          <w:b/>
          <w:bCs/>
          <w:color w:val="auto"/>
          <w:sz w:val="24"/>
          <w:highlight w:val="none"/>
        </w:rPr>
        <w:t>或者</w:t>
      </w:r>
      <w:r>
        <w:rPr>
          <w:rFonts w:hint="eastAsia" w:ascii="宋体"/>
          <w:b/>
          <w:bCs/>
          <w:color w:val="auto"/>
          <w:sz w:val="24"/>
          <w:highlight w:val="none"/>
          <w:lang w:eastAsia="zh-CN"/>
        </w:rPr>
        <w:t>招标人</w:t>
      </w:r>
      <w:r>
        <w:rPr>
          <w:rFonts w:hint="eastAsia" w:ascii="宋体"/>
          <w:b/>
          <w:bCs/>
          <w:color w:val="auto"/>
          <w:sz w:val="24"/>
          <w:highlight w:val="none"/>
        </w:rPr>
        <w:t>委托评标委员会按照招标文件规定的方式确定一个</w:t>
      </w:r>
      <w:r>
        <w:rPr>
          <w:rFonts w:hint="eastAsia" w:ascii="宋体"/>
          <w:b/>
          <w:bCs/>
          <w:color w:val="auto"/>
          <w:sz w:val="24"/>
          <w:highlight w:val="none"/>
          <w:lang w:eastAsia="zh-CN"/>
        </w:rPr>
        <w:t>供应商</w:t>
      </w:r>
      <w:r>
        <w:rPr>
          <w:rFonts w:hint="eastAsia" w:ascii="宋体"/>
          <w:b/>
          <w:bCs/>
          <w:color w:val="auto"/>
          <w:sz w:val="24"/>
          <w:highlight w:val="none"/>
        </w:rPr>
        <w:t>获得中标人推荐资格，招标文件未规定的采取随机抽取方式确定，其他同品牌</w:t>
      </w:r>
      <w:r>
        <w:rPr>
          <w:rFonts w:hint="eastAsia" w:ascii="宋体"/>
          <w:b/>
          <w:bCs/>
          <w:color w:val="auto"/>
          <w:sz w:val="24"/>
          <w:highlight w:val="none"/>
          <w:lang w:eastAsia="zh-CN"/>
        </w:rPr>
        <w:t>供应商</w:t>
      </w:r>
      <w:r>
        <w:rPr>
          <w:rFonts w:hint="eastAsia" w:ascii="宋体"/>
          <w:b/>
          <w:bCs/>
          <w:color w:val="auto"/>
          <w:sz w:val="24"/>
          <w:highlight w:val="none"/>
        </w:rPr>
        <w:t>不作为中标候选人。</w:t>
      </w:r>
    </w:p>
    <w:p w14:paraId="65CAADB2">
      <w:pPr>
        <w:pStyle w:val="4"/>
        <w:shd w:val="clear"/>
        <w:spacing w:before="0" w:beforeLines="0" w:beforeAutospacing="0" w:after="0" w:afterLines="0" w:afterAutospacing="0" w:line="360" w:lineRule="auto"/>
        <w:rPr>
          <w:color w:val="auto"/>
          <w:sz w:val="28"/>
          <w:szCs w:val="28"/>
          <w:highlight w:val="none"/>
        </w:rPr>
      </w:pPr>
      <w:bookmarkStart w:id="520" w:name="_Toc439513169"/>
      <w:bookmarkStart w:id="521" w:name="_Toc524368798"/>
      <w:bookmarkStart w:id="522" w:name="_Toc438722138"/>
      <w:bookmarkStart w:id="523" w:name="_Toc277154674"/>
      <w:bookmarkStart w:id="524" w:name="_Toc458635604"/>
      <w:bookmarkStart w:id="525" w:name="_Toc422162000"/>
      <w:bookmarkStart w:id="526" w:name="_Toc498871259"/>
      <w:bookmarkStart w:id="527" w:name="_Toc438508605"/>
      <w:bookmarkStart w:id="528" w:name="_Toc267904314"/>
      <w:bookmarkStart w:id="529" w:name="_Toc494832095"/>
      <w:bookmarkStart w:id="530" w:name="_Toc122420765"/>
      <w:bookmarkStart w:id="531" w:name="_Toc425347670"/>
      <w:bookmarkStart w:id="532" w:name="_Toc116924487"/>
      <w:bookmarkStart w:id="533" w:name="_Toc522529813"/>
      <w:bookmarkStart w:id="534" w:name="_Toc439513453"/>
      <w:bookmarkStart w:id="535" w:name="_Toc107460010"/>
      <w:bookmarkStart w:id="536" w:name="_Toc458980401"/>
      <w:bookmarkStart w:id="537" w:name="_Toc479325600"/>
      <w:bookmarkStart w:id="538" w:name="_Toc11931293"/>
      <w:bookmarkStart w:id="539" w:name="_Toc9612859"/>
      <w:bookmarkStart w:id="540" w:name="_Toc23008"/>
      <w:bookmarkStart w:id="541" w:name="_Toc523170350"/>
      <w:bookmarkStart w:id="542" w:name="_Toc479340797"/>
      <w:bookmarkStart w:id="543" w:name="_Toc9864095"/>
      <w:bookmarkStart w:id="544" w:name="_Toc107385317"/>
      <w:bookmarkStart w:id="545" w:name="_Toc487044260"/>
      <w:bookmarkStart w:id="546" w:name="_Toc272394437"/>
      <w:bookmarkStart w:id="547" w:name="_Toc470184449"/>
      <w:bookmarkStart w:id="548" w:name="_Toc10446427"/>
      <w:bookmarkStart w:id="549" w:name="_Toc524517870"/>
      <w:bookmarkStart w:id="550" w:name="_Toc107383647"/>
      <w:bookmarkStart w:id="551" w:name="_Toc416208494"/>
      <w:bookmarkStart w:id="552" w:name="_Toc514177061"/>
      <w:bookmarkStart w:id="553" w:name="_Toc439679276"/>
      <w:bookmarkStart w:id="554" w:name="_Toc486969387"/>
      <w:bookmarkStart w:id="555" w:name="_Toc116976131"/>
      <w:bookmarkStart w:id="556" w:name="_Toc414510788"/>
      <w:bookmarkStart w:id="557" w:name="_Toc262564644"/>
      <w:bookmarkStart w:id="558" w:name="_Toc116981031"/>
      <w:bookmarkStart w:id="559" w:name="_Toc438513742"/>
      <w:bookmarkStart w:id="560" w:name="_Toc109467930"/>
      <w:bookmarkStart w:id="561" w:name="_Toc498899391"/>
      <w:bookmarkStart w:id="562" w:name="_Toc358307755"/>
      <w:bookmarkStart w:id="563" w:name="_Toc369081826"/>
      <w:bookmarkStart w:id="564" w:name="_Toc265700489"/>
      <w:bookmarkStart w:id="565" w:name="_Toc5124217"/>
      <w:bookmarkStart w:id="566" w:name="_Toc26049"/>
      <w:bookmarkStart w:id="567" w:name="_Toc330545478"/>
      <w:bookmarkStart w:id="568" w:name="_Toc509337174"/>
      <w:bookmarkStart w:id="569" w:name="_Toc418023341"/>
      <w:bookmarkStart w:id="570" w:name="_Toc422865429"/>
      <w:bookmarkStart w:id="571" w:name="_Toc11944600"/>
      <w:bookmarkStart w:id="572" w:name="_Toc61327440"/>
      <w:bookmarkStart w:id="573" w:name="_Toc477879848"/>
      <w:bookmarkStart w:id="574" w:name="_Toc509337059"/>
      <w:r>
        <w:rPr>
          <w:rFonts w:hint="eastAsia"/>
          <w:color w:val="auto"/>
          <w:sz w:val="28"/>
          <w:szCs w:val="28"/>
          <w:highlight w:val="none"/>
        </w:rPr>
        <w:t>6、评分标准和权重</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42771DC1">
      <w:pPr>
        <w:shd w:val="clear"/>
        <w:spacing w:beforeAutospacing="0" w:line="360" w:lineRule="auto"/>
        <w:rPr>
          <w:b/>
          <w:bCs/>
          <w:color w:val="auto"/>
          <w:highlight w:val="none"/>
        </w:rPr>
      </w:pPr>
      <w:bookmarkStart w:id="575" w:name="_Toc61327441"/>
      <w:r>
        <w:rPr>
          <w:rFonts w:hint="eastAsia" w:ascii="宋体" w:hAnsi="宋体"/>
          <w:b/>
          <w:bCs/>
          <w:color w:val="auto"/>
          <w:sz w:val="24"/>
          <w:highlight w:val="none"/>
        </w:rPr>
        <w:t>6.1 评分标准</w:t>
      </w:r>
      <w:bookmarkEnd w:id="575"/>
    </w:p>
    <w:p w14:paraId="0A088846">
      <w:pPr>
        <w:shd w:val="clear"/>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评委对投标文件的技术及商务响应情况进行评分。</w:t>
      </w:r>
    </w:p>
    <w:p w14:paraId="18C2598A">
      <w:pPr>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技术、商务、价格评分应分别考虑下列因素：</w:t>
      </w:r>
    </w:p>
    <w:p w14:paraId="1847385E">
      <w:pPr>
        <w:shd w:val="clear"/>
        <w:spacing w:line="360" w:lineRule="auto"/>
        <w:outlineLvl w:val="3"/>
        <w:rPr>
          <w:rFonts w:ascii="宋体" w:hAnsi="宋体"/>
          <w:b/>
          <w:bCs/>
          <w:color w:val="auto"/>
          <w:sz w:val="24"/>
          <w:highlight w:val="none"/>
        </w:rPr>
      </w:pPr>
      <w:r>
        <w:rPr>
          <w:rFonts w:hint="eastAsia" w:ascii="宋体" w:hAnsi="宋体"/>
          <w:b/>
          <w:bCs/>
          <w:color w:val="auto"/>
          <w:sz w:val="24"/>
          <w:highlight w:val="none"/>
        </w:rPr>
        <w:t>6.1.1 技术、</w:t>
      </w:r>
      <w:r>
        <w:rPr>
          <w:rFonts w:hint="eastAsia" w:ascii="宋体" w:hAnsi="宋体"/>
          <w:b/>
          <w:color w:val="auto"/>
          <w:sz w:val="24"/>
          <w:highlight w:val="none"/>
        </w:rPr>
        <w:t>商务</w:t>
      </w:r>
      <w:r>
        <w:rPr>
          <w:rFonts w:hint="eastAsia" w:ascii="宋体" w:hAnsi="宋体"/>
          <w:b/>
          <w:bCs/>
          <w:color w:val="auto"/>
          <w:sz w:val="24"/>
          <w:highlight w:val="none"/>
        </w:rPr>
        <w:t>评审</w:t>
      </w:r>
    </w:p>
    <w:p w14:paraId="2BC26E62">
      <w:pPr>
        <w:shd w:val="clear"/>
        <w:spacing w:line="360" w:lineRule="auto"/>
        <w:ind w:firstLine="480" w:firstLineChars="200"/>
        <w:jc w:val="left"/>
        <w:rPr>
          <w:rFonts w:ascii="宋体" w:hAnsi="宋体"/>
          <w:color w:val="auto"/>
          <w:sz w:val="24"/>
          <w:highlight w:val="none"/>
        </w:rPr>
      </w:pPr>
      <w:r>
        <w:rPr>
          <w:rFonts w:ascii="宋体" w:hAnsi="宋体"/>
          <w:color w:val="auto"/>
          <w:sz w:val="24"/>
          <w:highlight w:val="none"/>
        </w:rPr>
        <w:t>评审内容详见技术</w:t>
      </w:r>
      <w:r>
        <w:rPr>
          <w:rFonts w:hint="eastAsia" w:ascii="宋体" w:hAnsi="宋体"/>
          <w:color w:val="auto"/>
          <w:sz w:val="24"/>
          <w:highlight w:val="none"/>
        </w:rPr>
        <w:t>、</w:t>
      </w:r>
      <w:r>
        <w:rPr>
          <w:rFonts w:ascii="宋体" w:hAnsi="宋体"/>
          <w:color w:val="auto"/>
          <w:sz w:val="24"/>
          <w:highlight w:val="none"/>
        </w:rPr>
        <w:t>商务响应评审表，技术、商务得分为各评委评分的算术平均值（四舍五入保留两位小数）。</w:t>
      </w:r>
    </w:p>
    <w:p w14:paraId="38EA61E3">
      <w:pPr>
        <w:shd w:val="clear"/>
        <w:spacing w:line="360" w:lineRule="auto"/>
        <w:outlineLvl w:val="3"/>
        <w:rPr>
          <w:rFonts w:ascii="宋体" w:hAnsi="宋体"/>
          <w:b/>
          <w:bCs/>
          <w:color w:val="auto"/>
          <w:sz w:val="24"/>
          <w:highlight w:val="none"/>
        </w:rPr>
      </w:pPr>
      <w:bookmarkStart w:id="576" w:name="_Toc61327442"/>
      <w:r>
        <w:rPr>
          <w:rFonts w:hint="eastAsia" w:ascii="宋体" w:hAnsi="宋体"/>
          <w:b/>
          <w:bCs/>
          <w:color w:val="auto"/>
          <w:sz w:val="24"/>
          <w:highlight w:val="none"/>
        </w:rPr>
        <w:t>6.1.2 价格的开启、核准和评分</w:t>
      </w:r>
    </w:p>
    <w:p w14:paraId="5B75DF72">
      <w:pPr>
        <w:numPr>
          <w:ilvl w:val="0"/>
          <w:numId w:val="0"/>
        </w:numPr>
        <w:shd w:val="clear"/>
        <w:tabs>
          <w:tab w:val="left" w:pos="930"/>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1</w:t>
      </w:r>
      <w:r>
        <w:rPr>
          <w:rFonts w:hint="eastAsia" w:ascii="宋体" w:hAnsi="宋体"/>
          <w:bCs/>
          <w:color w:val="auto"/>
          <w:sz w:val="24"/>
          <w:highlight w:val="none"/>
          <w:lang w:eastAsia="zh-CN"/>
        </w:rPr>
        <w:t>）</w:t>
      </w:r>
      <w:r>
        <w:rPr>
          <w:rFonts w:hint="eastAsia" w:ascii="宋体" w:hAnsi="宋体"/>
          <w:bCs/>
          <w:color w:val="auto"/>
          <w:sz w:val="24"/>
          <w:highlight w:val="none"/>
        </w:rPr>
        <w:t>评标委员会详细分析、核准价格表，检查其是否存在计算上或累加上的算术错误，修正错误的原则如下：</w:t>
      </w:r>
    </w:p>
    <w:p w14:paraId="36B5816A">
      <w:pPr>
        <w:keepNext w:val="0"/>
        <w:keepLines w:val="0"/>
        <w:pageBreakBefore w:val="0"/>
        <w:widowControl w:val="0"/>
        <w:numPr>
          <w:ilvl w:val="1"/>
          <w:numId w:val="5"/>
        </w:numPr>
        <w:shd w:val="clear"/>
        <w:tabs>
          <w:tab w:val="left" w:pos="1050"/>
        </w:tabs>
        <w:kinsoku/>
        <w:wordWrap/>
        <w:overflowPunct/>
        <w:topLinePunct w:val="0"/>
        <w:autoSpaceDE/>
        <w:autoSpaceDN/>
        <w:bidi w:val="0"/>
        <w:adjustRightInd/>
        <w:snapToGrid/>
        <w:spacing w:line="360" w:lineRule="auto"/>
        <w:ind w:left="629" w:firstLine="0"/>
        <w:textAlignment w:val="auto"/>
        <w:rPr>
          <w:rFonts w:ascii="宋体" w:hAnsi="宋体"/>
          <w:bCs/>
          <w:color w:val="auto"/>
          <w:sz w:val="24"/>
          <w:highlight w:val="none"/>
        </w:rPr>
      </w:pPr>
      <w:r>
        <w:rPr>
          <w:rFonts w:hint="eastAsia" w:ascii="宋体" w:hAnsi="宋体"/>
          <w:bCs/>
          <w:color w:val="auto"/>
          <w:sz w:val="24"/>
          <w:highlight w:val="none"/>
        </w:rPr>
        <w:t>投标文件中开标一览表（报价表）内容与投标文件中相应内容不一致的，以开标一览表（报价表）为准；</w:t>
      </w:r>
    </w:p>
    <w:p w14:paraId="1A0BBC87">
      <w:pPr>
        <w:keepNext w:val="0"/>
        <w:keepLines w:val="0"/>
        <w:pageBreakBefore w:val="0"/>
        <w:widowControl w:val="0"/>
        <w:numPr>
          <w:ilvl w:val="1"/>
          <w:numId w:val="5"/>
        </w:numPr>
        <w:shd w:val="clear"/>
        <w:tabs>
          <w:tab w:val="left" w:pos="1050"/>
        </w:tabs>
        <w:kinsoku/>
        <w:wordWrap/>
        <w:overflowPunct/>
        <w:topLinePunct w:val="0"/>
        <w:autoSpaceDE/>
        <w:autoSpaceDN/>
        <w:bidi w:val="0"/>
        <w:adjustRightInd/>
        <w:snapToGrid/>
        <w:spacing w:line="360" w:lineRule="auto"/>
        <w:ind w:left="629" w:firstLine="0"/>
        <w:textAlignment w:val="auto"/>
        <w:rPr>
          <w:rFonts w:ascii="宋体" w:hAnsi="宋体"/>
          <w:bCs/>
          <w:color w:val="auto"/>
          <w:sz w:val="24"/>
          <w:highlight w:val="none"/>
        </w:rPr>
      </w:pPr>
      <w:r>
        <w:rPr>
          <w:rFonts w:hint="eastAsia" w:ascii="宋体" w:hAnsi="宋体"/>
          <w:bCs/>
          <w:color w:val="auto"/>
          <w:sz w:val="24"/>
          <w:highlight w:val="none"/>
        </w:rPr>
        <w:t>大写金额和小写金额不一致的，以大写金额为准；</w:t>
      </w:r>
    </w:p>
    <w:p w14:paraId="6A95BB80">
      <w:pPr>
        <w:keepNext w:val="0"/>
        <w:keepLines w:val="0"/>
        <w:pageBreakBefore w:val="0"/>
        <w:widowControl w:val="0"/>
        <w:numPr>
          <w:ilvl w:val="1"/>
          <w:numId w:val="5"/>
        </w:numPr>
        <w:shd w:val="clear"/>
        <w:tabs>
          <w:tab w:val="left" w:pos="1050"/>
        </w:tabs>
        <w:kinsoku/>
        <w:wordWrap/>
        <w:overflowPunct/>
        <w:topLinePunct w:val="0"/>
        <w:autoSpaceDE/>
        <w:autoSpaceDN/>
        <w:bidi w:val="0"/>
        <w:adjustRightInd/>
        <w:snapToGrid/>
        <w:spacing w:line="360" w:lineRule="auto"/>
        <w:ind w:left="629" w:firstLine="0"/>
        <w:textAlignment w:val="auto"/>
        <w:rPr>
          <w:rFonts w:hint="eastAsia" w:ascii="宋体" w:hAnsi="宋体"/>
          <w:bCs/>
          <w:color w:val="auto"/>
          <w:sz w:val="24"/>
          <w:highlight w:val="none"/>
        </w:rPr>
      </w:pPr>
      <w:r>
        <w:rPr>
          <w:rFonts w:hint="eastAsia" w:ascii="宋体" w:hAnsi="宋体"/>
          <w:bCs/>
          <w:color w:val="auto"/>
          <w:sz w:val="24"/>
          <w:highlight w:val="none"/>
        </w:rPr>
        <w:t>单价金额小数点或者百分比有明显错位的，以开标一览表的总价为准，并修改单价；</w:t>
      </w:r>
    </w:p>
    <w:p w14:paraId="4751E861">
      <w:pPr>
        <w:keepNext w:val="0"/>
        <w:keepLines w:val="0"/>
        <w:pageBreakBefore w:val="0"/>
        <w:widowControl w:val="0"/>
        <w:numPr>
          <w:ilvl w:val="1"/>
          <w:numId w:val="5"/>
        </w:numPr>
        <w:shd w:val="clear"/>
        <w:tabs>
          <w:tab w:val="left" w:pos="1050"/>
        </w:tabs>
        <w:kinsoku/>
        <w:wordWrap/>
        <w:overflowPunct/>
        <w:topLinePunct w:val="0"/>
        <w:autoSpaceDE/>
        <w:autoSpaceDN/>
        <w:bidi w:val="0"/>
        <w:adjustRightInd/>
        <w:snapToGrid/>
        <w:spacing w:line="360" w:lineRule="auto"/>
        <w:ind w:left="629" w:firstLine="0"/>
        <w:textAlignment w:val="auto"/>
        <w:rPr>
          <w:rFonts w:hint="eastAsia" w:ascii="宋体" w:hAnsi="宋体"/>
          <w:bCs/>
          <w:color w:val="auto"/>
          <w:sz w:val="24"/>
          <w:highlight w:val="none"/>
        </w:rPr>
      </w:pPr>
      <w:r>
        <w:rPr>
          <w:rFonts w:hint="eastAsia" w:ascii="宋体" w:hAnsi="宋体"/>
          <w:bCs/>
          <w:color w:val="auto"/>
          <w:sz w:val="24"/>
          <w:highlight w:val="none"/>
        </w:rPr>
        <w:t>总价金额与按单价汇总金额不一致的，以单价金额计算结果为准；</w:t>
      </w:r>
    </w:p>
    <w:p w14:paraId="4D8F8E76">
      <w:pPr>
        <w:shd w:val="clear"/>
        <w:tabs>
          <w:tab w:val="left" w:pos="1050"/>
        </w:tabs>
        <w:spacing w:line="360" w:lineRule="auto"/>
        <w:ind w:firstLine="480" w:firstLineChars="200"/>
        <w:rPr>
          <w:rFonts w:ascii="宋体" w:hAnsi="宋体"/>
          <w:bCs/>
          <w:color w:val="auto"/>
          <w:sz w:val="24"/>
          <w:highlight w:val="none"/>
        </w:rPr>
      </w:pPr>
      <w:r>
        <w:rPr>
          <w:rFonts w:hint="eastAsia" w:ascii="宋体" w:hAnsi="宋体" w:cs="宋体"/>
          <w:color w:val="auto"/>
          <w:kern w:val="0"/>
          <w:sz w:val="24"/>
          <w:szCs w:val="24"/>
          <w:highlight w:val="none"/>
        </w:rPr>
        <w:t>同时出现两种以上不一致的，按照前款规定的顺序修正。修正后的报价按照</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的澄清、说明或者补正应当采用书面形式，并加盖公章，或者由法定代表人或其授权的代表签字。</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的澄清、说明或者补正不得超出投标文件的范围或者改变投标文件的实质性内容。经</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确认后产生约束力，</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不确认的，其投标无效。</w:t>
      </w:r>
    </w:p>
    <w:p w14:paraId="4ADAD98B">
      <w:pPr>
        <w:keepNext w:val="0"/>
        <w:keepLines w:val="0"/>
        <w:pageBreakBefore w:val="0"/>
        <w:widowControl w:val="0"/>
        <w:numPr>
          <w:ilvl w:val="0"/>
          <w:numId w:val="0"/>
        </w:numPr>
        <w:shd w:val="clea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2</w:t>
      </w:r>
      <w:r>
        <w:rPr>
          <w:rFonts w:hint="eastAsia" w:ascii="宋体" w:hAnsi="宋体"/>
          <w:bCs/>
          <w:color w:val="auto"/>
          <w:sz w:val="24"/>
          <w:highlight w:val="none"/>
          <w:lang w:eastAsia="zh-CN"/>
        </w:rPr>
        <w:t>）</w:t>
      </w:r>
      <w:r>
        <w:rPr>
          <w:rFonts w:hint="eastAsia" w:ascii="宋体" w:hAnsi="宋体"/>
          <w:bCs/>
          <w:color w:val="auto"/>
          <w:sz w:val="24"/>
          <w:highlight w:val="none"/>
        </w:rPr>
        <w:t>供货范围（包括</w:t>
      </w:r>
      <w:r>
        <w:rPr>
          <w:rFonts w:hint="eastAsia" w:ascii="宋体" w:hAnsi="宋体"/>
          <w:bCs/>
          <w:color w:val="auto"/>
          <w:sz w:val="24"/>
          <w:highlight w:val="none"/>
          <w:lang w:eastAsia="zh-CN"/>
        </w:rPr>
        <w:t>货物</w:t>
      </w:r>
      <w:r>
        <w:rPr>
          <w:rFonts w:hint="eastAsia" w:ascii="宋体" w:hAnsi="宋体"/>
          <w:bCs/>
          <w:color w:val="auto"/>
          <w:sz w:val="24"/>
          <w:highlight w:val="none"/>
        </w:rPr>
        <w:t>和服务）缺漏项的调整，其调整价格为该项在其他有效投标中的最高报价。</w:t>
      </w:r>
    </w:p>
    <w:p w14:paraId="75430263">
      <w:pPr>
        <w:keepNext w:val="0"/>
        <w:keepLines w:val="0"/>
        <w:pageBreakBefore w:val="0"/>
        <w:widowControl w:val="0"/>
        <w:numPr>
          <w:ilvl w:val="0"/>
          <w:numId w:val="0"/>
        </w:numPr>
        <w:shd w:val="clea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w:t>
      </w:r>
      <w:r>
        <w:rPr>
          <w:rFonts w:hint="eastAsia" w:ascii="宋体" w:hAnsi="宋体"/>
          <w:bCs/>
          <w:color w:val="auto"/>
          <w:sz w:val="24"/>
          <w:highlight w:val="none"/>
        </w:rPr>
        <w:t>评标委员会将按照上述修正错误的方法调整投标文件中投标报价，调整后的价格对</w:t>
      </w:r>
      <w:r>
        <w:rPr>
          <w:rFonts w:hint="eastAsia" w:ascii="宋体" w:hAnsi="宋体"/>
          <w:bCs/>
          <w:color w:val="auto"/>
          <w:sz w:val="24"/>
          <w:highlight w:val="none"/>
          <w:lang w:eastAsia="zh-CN"/>
        </w:rPr>
        <w:t>供应商</w:t>
      </w:r>
      <w:r>
        <w:rPr>
          <w:rFonts w:hint="eastAsia" w:ascii="宋体" w:hAnsi="宋体"/>
          <w:bCs/>
          <w:color w:val="auto"/>
          <w:sz w:val="24"/>
          <w:highlight w:val="none"/>
        </w:rPr>
        <w:t>具有约束力。如果</w:t>
      </w:r>
      <w:r>
        <w:rPr>
          <w:rFonts w:hint="eastAsia" w:ascii="宋体" w:hAnsi="宋体"/>
          <w:bCs/>
          <w:color w:val="auto"/>
          <w:sz w:val="24"/>
          <w:highlight w:val="none"/>
          <w:lang w:eastAsia="zh-CN"/>
        </w:rPr>
        <w:t>供应商</w:t>
      </w:r>
      <w:r>
        <w:rPr>
          <w:rFonts w:hint="eastAsia" w:ascii="宋体" w:hAnsi="宋体"/>
          <w:bCs/>
          <w:color w:val="auto"/>
          <w:sz w:val="24"/>
          <w:highlight w:val="none"/>
        </w:rPr>
        <w:t>不接受修正后的投标价格，则其投标将被拒绝。</w:t>
      </w:r>
    </w:p>
    <w:p w14:paraId="79DFA5EF">
      <w:pPr>
        <w:numPr>
          <w:ilvl w:val="0"/>
          <w:numId w:val="0"/>
        </w:numPr>
        <w:shd w:val="clear"/>
        <w:tabs>
          <w:tab w:val="left" w:pos="930"/>
        </w:tabs>
        <w:spacing w:line="360" w:lineRule="auto"/>
        <w:ind w:left="525" w:leftChars="0"/>
        <w:rPr>
          <w:rFonts w:hint="eastAsia" w:ascii="宋体" w:hAnsi="宋体"/>
          <w:bCs/>
          <w:color w:val="auto"/>
          <w:sz w:val="24"/>
          <w:highlight w:val="none"/>
          <w:lang w:eastAsia="zh-CN"/>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4</w:t>
      </w:r>
      <w:r>
        <w:rPr>
          <w:rFonts w:hint="eastAsia" w:ascii="宋体" w:hAnsi="宋体"/>
          <w:bCs/>
          <w:color w:val="auto"/>
          <w:sz w:val="24"/>
          <w:highlight w:val="none"/>
          <w:lang w:eastAsia="zh-CN"/>
        </w:rPr>
        <w:t>）</w:t>
      </w:r>
      <w:r>
        <w:rPr>
          <w:rFonts w:hint="eastAsia" w:ascii="宋体" w:hAnsi="宋体"/>
          <w:bCs/>
          <w:color w:val="auto"/>
          <w:sz w:val="24"/>
          <w:highlight w:val="none"/>
        </w:rPr>
        <w:t>政策价格扣除</w:t>
      </w:r>
      <w:r>
        <w:rPr>
          <w:rFonts w:hint="eastAsia" w:ascii="宋体" w:hAnsi="宋体"/>
          <w:bCs/>
          <w:color w:val="auto"/>
          <w:sz w:val="24"/>
          <w:highlight w:val="none"/>
          <w:lang w:eastAsia="zh-CN"/>
        </w:rPr>
        <w:t>：</w:t>
      </w:r>
    </w:p>
    <w:p w14:paraId="45AC1FAA">
      <w:pPr>
        <w:numPr>
          <w:ilvl w:val="0"/>
          <w:numId w:val="0"/>
        </w:numPr>
        <w:shd w:val="clear"/>
        <w:tabs>
          <w:tab w:val="left" w:pos="930"/>
        </w:tabs>
        <w:spacing w:line="360" w:lineRule="auto"/>
        <w:ind w:left="525" w:leftChars="0"/>
        <w:rPr>
          <w:rFonts w:hint="eastAsia" w:ascii="宋体" w:hAnsi="宋体"/>
          <w:b w:val="0"/>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4.1</w:t>
      </w:r>
      <w:r>
        <w:rPr>
          <w:rFonts w:hint="eastAsia" w:ascii="宋体" w:hAnsi="宋体"/>
          <w:bCs/>
          <w:color w:val="auto"/>
          <w:sz w:val="24"/>
          <w:highlight w:val="none"/>
          <w:lang w:eastAsia="zh-CN"/>
        </w:rPr>
        <w:t>）</w:t>
      </w:r>
      <w:r>
        <w:rPr>
          <w:rFonts w:hint="eastAsia" w:ascii="宋体" w:hAnsi="宋体"/>
          <w:b w:val="0"/>
          <w:bCs/>
          <w:color w:val="auto"/>
          <w:sz w:val="24"/>
          <w:highlight w:val="none"/>
        </w:rPr>
        <w:t>小型和微型企业产品</w:t>
      </w:r>
    </w:p>
    <w:p w14:paraId="1C461670">
      <w:pPr>
        <w:numPr>
          <w:ilvl w:val="1"/>
          <w:numId w:val="6"/>
        </w:numPr>
        <w:shd w:val="clear"/>
        <w:tabs>
          <w:tab w:val="left" w:pos="1050"/>
        </w:tabs>
        <w:spacing w:line="360" w:lineRule="auto"/>
        <w:ind w:left="1050"/>
        <w:rPr>
          <w:rFonts w:ascii="宋体" w:hAnsi="宋体"/>
          <w:b/>
          <w:bCs w:val="0"/>
          <w:color w:val="auto"/>
          <w:sz w:val="24"/>
          <w:highlight w:val="none"/>
        </w:rPr>
      </w:pPr>
      <w:r>
        <w:rPr>
          <w:rFonts w:hint="eastAsia" w:ascii="宋体" w:hAnsi="宋体"/>
          <w:bCs/>
          <w:color w:val="auto"/>
          <w:sz w:val="24"/>
          <w:highlight w:val="none"/>
        </w:rPr>
        <w:t>根据财务部、工业和信息化部印发的《政府采购促进中小企业发展管理办法》（</w:t>
      </w:r>
      <w:r>
        <w:rPr>
          <w:rFonts w:hint="eastAsia" w:ascii="宋体" w:hAnsi="宋体"/>
          <w:bCs/>
          <w:color w:val="auto"/>
          <w:sz w:val="24"/>
          <w:highlight w:val="none"/>
          <w:lang w:eastAsia="zh-CN"/>
        </w:rPr>
        <w:t>财库〔2020〕46号</w:t>
      </w:r>
      <w:r>
        <w:rPr>
          <w:rFonts w:hint="eastAsia" w:ascii="宋体" w:hAnsi="宋体"/>
          <w:bCs/>
          <w:color w:val="auto"/>
          <w:sz w:val="24"/>
          <w:highlight w:val="none"/>
        </w:rPr>
        <w:t>）的规，对小型和微型企业产品的价格给予</w:t>
      </w:r>
      <w:r>
        <w:rPr>
          <w:rFonts w:hint="eastAsia" w:ascii="宋体" w:hAnsi="宋体"/>
          <w:bCs/>
          <w:color w:val="auto"/>
          <w:sz w:val="24"/>
          <w:highlight w:val="none"/>
          <w:lang w:val="en-US" w:eastAsia="zh-CN"/>
        </w:rPr>
        <w:t>10%-20</w:t>
      </w:r>
      <w:r>
        <w:rPr>
          <w:rFonts w:hint="eastAsia" w:ascii="宋体" w:hAnsi="宋体"/>
          <w:bCs/>
          <w:color w:val="auto"/>
          <w:sz w:val="24"/>
          <w:highlight w:val="none"/>
        </w:rPr>
        <w:t>%的扣除，联合体一方为小型、微型企业且小型、微型企业协议合同金额占联合体协议合同总金额30%以上</w:t>
      </w:r>
      <w:r>
        <w:rPr>
          <w:rFonts w:hint="eastAsia" w:ascii="宋体" w:hAnsi="宋体"/>
          <w:bCs/>
          <w:color w:val="auto"/>
          <w:sz w:val="24"/>
          <w:highlight w:val="none"/>
          <w:lang w:eastAsia="zh-CN"/>
        </w:rPr>
        <w:t>地对</w:t>
      </w:r>
      <w:r>
        <w:rPr>
          <w:rFonts w:hint="eastAsia" w:ascii="宋体" w:hAnsi="宋体"/>
          <w:bCs/>
          <w:color w:val="auto"/>
          <w:sz w:val="24"/>
          <w:highlight w:val="none"/>
        </w:rPr>
        <w:t>联合体总金额扣除</w:t>
      </w:r>
      <w:r>
        <w:rPr>
          <w:rFonts w:hint="eastAsia" w:ascii="宋体" w:hAnsi="宋体"/>
          <w:bCs/>
          <w:color w:val="auto"/>
          <w:sz w:val="24"/>
          <w:highlight w:val="none"/>
          <w:lang w:val="en-US" w:eastAsia="zh-CN"/>
        </w:rPr>
        <w:t>4</w:t>
      </w:r>
      <w:r>
        <w:rPr>
          <w:rFonts w:hint="eastAsia" w:ascii="宋体" w:hAnsi="宋体"/>
          <w:bCs/>
          <w:color w:val="auto"/>
          <w:sz w:val="24"/>
          <w:highlight w:val="none"/>
        </w:rPr>
        <w:t>%</w:t>
      </w:r>
      <w:r>
        <w:rPr>
          <w:rFonts w:hint="eastAsia" w:ascii="宋体" w:hAnsi="宋体"/>
          <w:bCs/>
          <w:color w:val="auto"/>
          <w:sz w:val="24"/>
          <w:highlight w:val="none"/>
          <w:lang w:val="en-US" w:eastAsia="zh-CN"/>
        </w:rPr>
        <w:t>-6%</w:t>
      </w:r>
      <w:r>
        <w:rPr>
          <w:rFonts w:hint="eastAsia" w:ascii="宋体" w:hAnsi="宋体"/>
          <w:bCs/>
          <w:color w:val="auto"/>
          <w:sz w:val="24"/>
          <w:highlight w:val="none"/>
        </w:rPr>
        <w:t>，用扣除后的价格参与评审；投标产品中仅有部分小型和微型企业产品的，则按所投小型和微型企业产品的价格予以扣除。</w:t>
      </w:r>
      <w:r>
        <w:rPr>
          <w:rFonts w:hint="eastAsia" w:ascii="宋体" w:hAnsi="宋体"/>
          <w:b/>
          <w:bCs w:val="0"/>
          <w:color w:val="auto"/>
          <w:sz w:val="24"/>
          <w:highlight w:val="none"/>
          <w:lang w:val="en-US" w:eastAsia="zh-CN"/>
        </w:rPr>
        <w:t>本项目价格扣除比例为10%</w:t>
      </w:r>
    </w:p>
    <w:p w14:paraId="5C7CE8E5">
      <w:pPr>
        <w:numPr>
          <w:ilvl w:val="1"/>
          <w:numId w:val="6"/>
        </w:numPr>
        <w:shd w:val="clear"/>
        <w:tabs>
          <w:tab w:val="left" w:pos="1050"/>
        </w:tabs>
        <w:spacing w:line="360" w:lineRule="auto"/>
        <w:ind w:left="105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eastAsia="zh-CN"/>
        </w:rPr>
        <w:t>政府采购促进中小企业发展管理办法</w:t>
      </w:r>
      <w:r>
        <w:rPr>
          <w:rFonts w:hint="eastAsia" w:ascii="宋体" w:hAnsi="宋体"/>
          <w:bCs/>
          <w:color w:val="auto"/>
          <w:sz w:val="24"/>
          <w:highlight w:val="none"/>
        </w:rPr>
        <w:t>》所称中小企业（含中型、小型、微型企业，下同）应当同时符合以下条件：</w:t>
      </w:r>
    </w:p>
    <w:p w14:paraId="6C944C1C">
      <w:pPr>
        <w:shd w:val="clear"/>
        <w:spacing w:line="360" w:lineRule="auto"/>
        <w:ind w:left="630"/>
        <w:rPr>
          <w:rFonts w:ascii="宋体" w:hAnsi="宋体"/>
          <w:bCs/>
          <w:color w:val="auto"/>
          <w:sz w:val="24"/>
          <w:highlight w:val="none"/>
        </w:rPr>
      </w:pPr>
      <w:r>
        <w:rPr>
          <w:rFonts w:hint="eastAsia" w:ascii="宋体" w:hAnsi="宋体"/>
          <w:bCs/>
          <w:color w:val="auto"/>
          <w:sz w:val="24"/>
          <w:highlight w:val="none"/>
        </w:rPr>
        <w:t>　　①符合中小企业划分标准；</w:t>
      </w:r>
    </w:p>
    <w:p w14:paraId="11214A53">
      <w:pPr>
        <w:shd w:val="clear"/>
        <w:spacing w:line="360" w:lineRule="auto"/>
        <w:ind w:left="630" w:firstLine="480"/>
        <w:rPr>
          <w:rFonts w:hint="eastAsia" w:ascii="宋体" w:hAnsi="宋体"/>
          <w:bCs/>
          <w:color w:val="auto"/>
          <w:sz w:val="24"/>
          <w:highlight w:val="none"/>
        </w:rPr>
      </w:pPr>
      <w:r>
        <w:rPr>
          <w:rFonts w:hint="eastAsia" w:ascii="宋体" w:hAnsi="宋体"/>
          <w:bCs/>
          <w:color w:val="auto"/>
          <w:sz w:val="24"/>
          <w:highlight w:val="none"/>
        </w:rPr>
        <w:t>②提供本企业制造的货物、承担的工程或者服务，或者提供其他中小企业制造的货物。本项所称货物不包括使用大型企业注册商标的货物。</w:t>
      </w:r>
    </w:p>
    <w:p w14:paraId="04CB98DA">
      <w:pPr>
        <w:shd w:val="clear"/>
        <w:spacing w:line="360" w:lineRule="auto"/>
        <w:ind w:left="630" w:firstLine="48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中小企业划分标准以《工业和信息化部、国家统计局、国家发展和改革委员会、财政部关于印发中小企业划型标准的通知》（工信部联企业[2011]104号）规定的划分标准为准。小型、微型企业提供中型企业制造的货物的，视同为中型企业。</w:t>
      </w:r>
    </w:p>
    <w:p w14:paraId="1260D006">
      <w:pPr>
        <w:numPr>
          <w:ilvl w:val="0"/>
          <w:numId w:val="0"/>
        </w:numPr>
        <w:shd w:val="clear"/>
        <w:spacing w:line="360" w:lineRule="auto"/>
        <w:ind w:left="1110" w:leftChars="0"/>
        <w:rPr>
          <w:rFonts w:hint="eastAsia" w:ascii="宋体" w:hAnsi="宋体"/>
          <w:bCs/>
          <w:color w:val="auto"/>
          <w:sz w:val="24"/>
          <w:highlight w:val="none"/>
        </w:rPr>
      </w:pPr>
      <w:r>
        <w:rPr>
          <w:rFonts w:hint="eastAsia" w:ascii="宋体" w:hAnsi="宋体"/>
          <w:bCs/>
          <w:color w:val="auto"/>
          <w:sz w:val="24"/>
          <w:highlight w:val="none"/>
          <w:lang w:val="en-US" w:eastAsia="zh-CN"/>
        </w:rPr>
        <w:t>③</w:t>
      </w:r>
      <w:r>
        <w:rPr>
          <w:rFonts w:hint="eastAsia" w:ascii="宋体" w:hAnsi="宋体"/>
          <w:b/>
          <w:bCs w:val="0"/>
          <w:color w:val="auto"/>
          <w:sz w:val="24"/>
          <w:highlight w:val="none"/>
        </w:rPr>
        <w:t>参加政府采购活动的中小企业应当提供《中小企业声明函》</w:t>
      </w:r>
    </w:p>
    <w:p w14:paraId="6C431862">
      <w:pPr>
        <w:shd w:val="clear"/>
        <w:tabs>
          <w:tab w:val="left" w:pos="1050"/>
        </w:tabs>
        <w:spacing w:line="360" w:lineRule="auto"/>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4.</w:t>
      </w:r>
      <w:r>
        <w:rPr>
          <w:rFonts w:hint="eastAsia" w:ascii="宋体" w:hAnsi="宋体"/>
          <w:bCs/>
          <w:color w:val="auto"/>
          <w:sz w:val="24"/>
          <w:highlight w:val="none"/>
          <w:lang w:eastAsia="zh-CN"/>
        </w:rPr>
        <w:t>2）监狱企业产品价格扣除</w:t>
      </w:r>
    </w:p>
    <w:p w14:paraId="643C849C">
      <w:pPr>
        <w:shd w:val="clear"/>
        <w:tabs>
          <w:tab w:val="left" w:pos="1050"/>
        </w:tabs>
        <w:spacing w:line="360" w:lineRule="auto"/>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eastAsia="zh-CN"/>
        </w:rPr>
        <w:t>a）监狱企业视同小型、微型企业，按上述1.的a)条款享受评审中价格扣除。</w:t>
      </w:r>
    </w:p>
    <w:p w14:paraId="3B4AE3CF">
      <w:pPr>
        <w:shd w:val="clear"/>
        <w:tabs>
          <w:tab w:val="left" w:pos="1050"/>
        </w:tabs>
        <w:spacing w:line="360" w:lineRule="auto"/>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eastAsia="zh-CN"/>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51287A">
      <w:pPr>
        <w:shd w:val="clear"/>
        <w:tabs>
          <w:tab w:val="left" w:pos="1050"/>
        </w:tabs>
        <w:spacing w:line="360" w:lineRule="auto"/>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eastAsia="zh-CN"/>
        </w:rPr>
        <w:t>c）监狱企业参加政府采购活动时，应当提供由省级以上监狱管理局、戒毒管理局（含新疆生产建设兵团）出具的属于监狱企业的证明文件，否则不予认可。</w:t>
      </w:r>
    </w:p>
    <w:p w14:paraId="72A47C06">
      <w:pPr>
        <w:shd w:val="clear"/>
        <w:tabs>
          <w:tab w:val="left" w:pos="1050"/>
        </w:tabs>
        <w:spacing w:line="360" w:lineRule="auto"/>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val="en-US" w:eastAsia="zh-CN"/>
        </w:rPr>
        <w:t>（4.</w:t>
      </w:r>
      <w:r>
        <w:rPr>
          <w:rFonts w:hint="eastAsia" w:ascii="宋体" w:hAnsi="宋体"/>
          <w:bCs/>
          <w:color w:val="auto"/>
          <w:sz w:val="24"/>
          <w:highlight w:val="none"/>
          <w:lang w:eastAsia="zh-CN"/>
        </w:rPr>
        <w:t>3）残疾人福利性单位产品价格扣除</w:t>
      </w:r>
    </w:p>
    <w:p w14:paraId="2D556B42">
      <w:pPr>
        <w:shd w:val="clear"/>
        <w:tabs>
          <w:tab w:val="left" w:pos="1050"/>
        </w:tabs>
        <w:spacing w:line="360" w:lineRule="auto"/>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eastAsia="zh-CN"/>
        </w:rPr>
        <w:t>a）残疾人福利性单位视同小型、微型企业，按上述1.的a)条款享受评审中价格扣除。</w:t>
      </w:r>
    </w:p>
    <w:p w14:paraId="5E50C6F8">
      <w:pPr>
        <w:shd w:val="clear"/>
        <w:tabs>
          <w:tab w:val="left" w:pos="1050"/>
        </w:tabs>
        <w:spacing w:line="360" w:lineRule="auto"/>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eastAsia="zh-CN"/>
        </w:rPr>
        <w:t>b）根据财政部、民政部、中国残疾人联合会印发的《关于促进残疾人就业政府采购政策的通知》（财库〔2026〕141号）的规定，符合条件的残疾人福利性单位在参加政府采购活动时，应当提供该通知规定的《残疾人福利性单位声明函》（格式见第</w:t>
      </w:r>
      <w:r>
        <w:rPr>
          <w:rFonts w:hint="eastAsia" w:ascii="宋体" w:hAnsi="宋体"/>
          <w:bCs/>
          <w:color w:val="auto"/>
          <w:sz w:val="24"/>
          <w:highlight w:val="none"/>
          <w:lang w:val="en-US" w:eastAsia="zh-CN"/>
        </w:rPr>
        <w:t>五</w:t>
      </w:r>
      <w:r>
        <w:rPr>
          <w:rFonts w:hint="eastAsia" w:ascii="宋体" w:hAnsi="宋体"/>
          <w:bCs/>
          <w:color w:val="auto"/>
          <w:sz w:val="24"/>
          <w:highlight w:val="none"/>
          <w:lang w:eastAsia="zh-CN"/>
        </w:rPr>
        <w:t>章响应文件格式），并对声明的真实性负责。一旦中标将在中标公告中公告其声明函，接受社会监督。供应商提供的《残疾人福利性单位声明函》与事实不符的，依照《政府采购法》第七十七条第一款的规定追究法律责任。</w:t>
      </w:r>
    </w:p>
    <w:p w14:paraId="3091D5AD">
      <w:pPr>
        <w:shd w:val="clear"/>
        <w:tabs>
          <w:tab w:val="left" w:pos="1050"/>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4.4</w:t>
      </w:r>
      <w:r>
        <w:rPr>
          <w:rFonts w:hint="eastAsia" w:ascii="宋体" w:hAnsi="宋体"/>
          <w:bCs/>
          <w:color w:val="auto"/>
          <w:sz w:val="24"/>
          <w:highlight w:val="none"/>
          <w:lang w:eastAsia="zh-CN"/>
        </w:rPr>
        <w:t>）供应商</w:t>
      </w:r>
      <w:r>
        <w:rPr>
          <w:rFonts w:hint="eastAsia" w:ascii="宋体" w:hAnsi="宋体"/>
          <w:bCs/>
          <w:color w:val="auto"/>
          <w:sz w:val="24"/>
          <w:highlight w:val="none"/>
        </w:rPr>
        <w:t>同时为小型、微型企业、监狱企业和残疾人福利性单位任两种或以上情况的，评审中只享受一次价格扣除。不重复进行价格扣除。</w:t>
      </w:r>
    </w:p>
    <w:p w14:paraId="29896D8C">
      <w:pPr>
        <w:shd w:val="clear"/>
        <w:tabs>
          <w:tab w:val="left" w:pos="0"/>
        </w:tabs>
        <w:spacing w:line="360" w:lineRule="auto"/>
        <w:ind w:firstLine="480" w:firstLineChars="200"/>
        <w:rPr>
          <w:rFonts w:hint="eastAsia" w:ascii="宋体" w:hAnsi="宋体"/>
          <w:color w:val="auto"/>
          <w:sz w:val="24"/>
          <w:szCs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4.5</w:t>
      </w:r>
      <w:r>
        <w:rPr>
          <w:rFonts w:hint="eastAsia" w:ascii="宋体" w:hAnsi="宋体"/>
          <w:bCs/>
          <w:color w:val="auto"/>
          <w:sz w:val="24"/>
          <w:highlight w:val="none"/>
          <w:lang w:eastAsia="zh-CN"/>
        </w:rPr>
        <w:t>）</w:t>
      </w:r>
      <w:r>
        <w:rPr>
          <w:rFonts w:hint="eastAsia" w:ascii="宋体" w:hAnsi="宋体"/>
          <w:color w:val="auto"/>
          <w:sz w:val="24"/>
          <w:highlight w:val="none"/>
        </w:rPr>
        <w:t>节能产品、环保产品价格扣除：对获得节能产品认证证书或环境标志产品认证证书的产品给予5%的价格扣除。</w:t>
      </w:r>
    </w:p>
    <w:p w14:paraId="66F070B8">
      <w:pPr>
        <w:keepNext w:val="0"/>
        <w:keepLines w:val="0"/>
        <w:pageBreakBefore w:val="0"/>
        <w:widowControl w:val="0"/>
        <w:numPr>
          <w:ilvl w:val="0"/>
          <w:numId w:val="0"/>
        </w:numPr>
        <w:shd w:val="clea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价格评分</w:t>
      </w:r>
      <w:r>
        <w:rPr>
          <w:rFonts w:hint="eastAsia" w:ascii="宋体" w:hAnsi="宋体"/>
          <w:b/>
          <w:bCs/>
          <w:color w:val="auto"/>
          <w:sz w:val="24"/>
          <w:highlight w:val="none"/>
        </w:rPr>
        <w:t>：</w:t>
      </w:r>
      <w:r>
        <w:rPr>
          <w:rFonts w:hint="eastAsia" w:ascii="宋体" w:hAnsi="宋体"/>
          <w:color w:val="auto"/>
          <w:sz w:val="24"/>
          <w:highlight w:val="none"/>
        </w:rPr>
        <w:t>取通过资格、符合性评审经过评标委员会修正及价格扣除后的所有</w:t>
      </w:r>
      <w:r>
        <w:rPr>
          <w:rFonts w:hint="eastAsia" w:ascii="宋体" w:hAnsi="宋体"/>
          <w:color w:val="auto"/>
          <w:sz w:val="24"/>
          <w:highlight w:val="none"/>
          <w:lang w:eastAsia="zh-CN"/>
        </w:rPr>
        <w:t>供应商</w:t>
      </w:r>
      <w:r>
        <w:rPr>
          <w:rFonts w:hint="eastAsia" w:ascii="宋体" w:hAnsi="宋体"/>
          <w:color w:val="auto"/>
          <w:sz w:val="24"/>
          <w:highlight w:val="none"/>
        </w:rPr>
        <w:t>中最低的投标价格作为基准价格。</w:t>
      </w:r>
    </w:p>
    <w:p w14:paraId="0459200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计算公式（四舍五入保留两位小数）：</w:t>
      </w:r>
    </w:p>
    <w:p w14:paraId="589B092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价格评分= [基准价格÷经修正的投标报价]×100</w:t>
      </w:r>
    </w:p>
    <w:p w14:paraId="53FA406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color w:val="auto"/>
          <w:sz w:val="24"/>
          <w:highlight w:val="none"/>
        </w:rPr>
        <w:t>价格得分=价格评分×价格部分权重</w:t>
      </w:r>
    </w:p>
    <w:p w14:paraId="7C13D723">
      <w:pPr>
        <w:shd w:val="clear"/>
        <w:spacing w:line="360" w:lineRule="auto"/>
        <w:rPr>
          <w:b/>
          <w:bCs/>
          <w:color w:val="auto"/>
          <w:highlight w:val="none"/>
        </w:rPr>
      </w:pPr>
      <w:r>
        <w:rPr>
          <w:rFonts w:hint="eastAsia" w:ascii="宋体" w:hAnsi="宋体"/>
          <w:b/>
          <w:bCs/>
          <w:color w:val="auto"/>
          <w:sz w:val="24"/>
          <w:highlight w:val="none"/>
        </w:rPr>
        <w:t>6.2 权重分配</w:t>
      </w:r>
      <w:bookmarkEnd w:id="576"/>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7"/>
        <w:gridCol w:w="3104"/>
        <w:gridCol w:w="2996"/>
      </w:tblGrid>
      <w:tr w14:paraId="7B8C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2A0232C7">
            <w:pPr>
              <w:shd w:val="clear"/>
              <w:spacing w:line="360" w:lineRule="auto"/>
              <w:jc w:val="center"/>
              <w:rPr>
                <w:rFonts w:hint="eastAsia" w:ascii="宋体" w:hAnsi="宋体"/>
                <w:b w:val="0"/>
                <w:bCs/>
                <w:color w:val="auto"/>
                <w:sz w:val="24"/>
                <w:szCs w:val="24"/>
                <w:highlight w:val="none"/>
              </w:rPr>
            </w:pPr>
            <w:bookmarkStart w:id="577" w:name="_Toc61327443"/>
            <w:r>
              <w:rPr>
                <w:rFonts w:hint="eastAsia" w:ascii="宋体" w:hAnsi="宋体"/>
                <w:b w:val="0"/>
                <w:bCs/>
                <w:color w:val="auto"/>
                <w:sz w:val="24"/>
                <w:szCs w:val="24"/>
                <w:highlight w:val="none"/>
              </w:rPr>
              <w:t>评分项目</w:t>
            </w:r>
          </w:p>
        </w:tc>
        <w:tc>
          <w:tcPr>
            <w:tcW w:w="3104" w:type="dxa"/>
            <w:noWrap w:val="0"/>
            <w:vAlign w:val="center"/>
          </w:tcPr>
          <w:p w14:paraId="7FC67819">
            <w:pPr>
              <w:shd w:val="clear"/>
              <w:spacing w:line="360" w:lineRule="auto"/>
              <w:jc w:val="center"/>
              <w:rPr>
                <w:rFonts w:hint="eastAsia" w:ascii="宋体" w:hAnsi="宋体"/>
                <w:b w:val="0"/>
                <w:bCs/>
                <w:color w:val="auto"/>
                <w:sz w:val="24"/>
                <w:szCs w:val="24"/>
                <w:highlight w:val="none"/>
              </w:rPr>
            </w:pPr>
            <w:r>
              <w:rPr>
                <w:rFonts w:hint="eastAsia" w:ascii="宋体" w:hAnsi="宋体"/>
                <w:b w:val="0"/>
                <w:bCs/>
                <w:color w:val="auto"/>
                <w:sz w:val="24"/>
                <w:szCs w:val="24"/>
                <w:highlight w:val="none"/>
                <w:lang w:eastAsia="zh-CN"/>
              </w:rPr>
              <w:t>商务</w:t>
            </w:r>
            <w:r>
              <w:rPr>
                <w:rFonts w:hint="eastAsia" w:ascii="宋体" w:hAnsi="宋体"/>
                <w:b w:val="0"/>
                <w:bCs/>
                <w:color w:val="auto"/>
                <w:sz w:val="24"/>
                <w:szCs w:val="24"/>
                <w:highlight w:val="none"/>
              </w:rPr>
              <w:t>技术部分</w:t>
            </w:r>
          </w:p>
        </w:tc>
        <w:tc>
          <w:tcPr>
            <w:tcW w:w="2996" w:type="dxa"/>
            <w:noWrap w:val="0"/>
            <w:vAlign w:val="center"/>
          </w:tcPr>
          <w:p w14:paraId="51D67A03">
            <w:pPr>
              <w:shd w:val="clear"/>
              <w:spacing w:line="360" w:lineRule="auto"/>
              <w:jc w:val="center"/>
              <w:rPr>
                <w:rFonts w:hint="eastAsia" w:ascii="宋体" w:hAnsi="宋体"/>
                <w:b w:val="0"/>
                <w:bCs/>
                <w:color w:val="auto"/>
                <w:sz w:val="24"/>
                <w:szCs w:val="24"/>
                <w:highlight w:val="none"/>
              </w:rPr>
            </w:pPr>
            <w:r>
              <w:rPr>
                <w:rFonts w:hint="eastAsia" w:ascii="宋体" w:hAnsi="宋体"/>
                <w:b w:val="0"/>
                <w:bCs/>
                <w:color w:val="auto"/>
                <w:sz w:val="24"/>
                <w:szCs w:val="24"/>
                <w:highlight w:val="none"/>
              </w:rPr>
              <w:t>价格部分</w:t>
            </w:r>
          </w:p>
        </w:tc>
      </w:tr>
      <w:tr w14:paraId="0491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70FA473A">
            <w:pPr>
              <w:shd w:val="clea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权重</w:t>
            </w:r>
          </w:p>
        </w:tc>
        <w:tc>
          <w:tcPr>
            <w:tcW w:w="3104" w:type="dxa"/>
            <w:noWrap w:val="0"/>
            <w:vAlign w:val="center"/>
          </w:tcPr>
          <w:p w14:paraId="1EE17A2F">
            <w:pPr>
              <w:shd w:val="clea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70</w:t>
            </w:r>
            <w:r>
              <w:rPr>
                <w:rFonts w:hint="eastAsia" w:ascii="宋体" w:hAnsi="宋体"/>
                <w:color w:val="auto"/>
                <w:sz w:val="24"/>
                <w:szCs w:val="24"/>
                <w:highlight w:val="none"/>
              </w:rPr>
              <w:t>%</w:t>
            </w:r>
          </w:p>
        </w:tc>
        <w:tc>
          <w:tcPr>
            <w:tcW w:w="2996" w:type="dxa"/>
            <w:noWrap w:val="0"/>
            <w:vAlign w:val="center"/>
          </w:tcPr>
          <w:p w14:paraId="6C870C3D">
            <w:pPr>
              <w:shd w:val="clea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w:t>
            </w:r>
          </w:p>
        </w:tc>
      </w:tr>
      <w:tr w14:paraId="14ED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16984C6C">
            <w:pPr>
              <w:shd w:val="clea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满分</w:t>
            </w:r>
          </w:p>
        </w:tc>
        <w:tc>
          <w:tcPr>
            <w:tcW w:w="3104" w:type="dxa"/>
            <w:noWrap w:val="0"/>
            <w:vAlign w:val="center"/>
          </w:tcPr>
          <w:p w14:paraId="60116C4A">
            <w:pPr>
              <w:shd w:val="clea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70</w:t>
            </w:r>
            <w:r>
              <w:rPr>
                <w:rFonts w:hint="eastAsia" w:ascii="宋体" w:hAnsi="宋体"/>
                <w:color w:val="auto"/>
                <w:sz w:val="24"/>
                <w:szCs w:val="24"/>
                <w:highlight w:val="none"/>
              </w:rPr>
              <w:t>分</w:t>
            </w:r>
          </w:p>
        </w:tc>
        <w:tc>
          <w:tcPr>
            <w:tcW w:w="2996" w:type="dxa"/>
            <w:noWrap w:val="0"/>
            <w:vAlign w:val="center"/>
          </w:tcPr>
          <w:p w14:paraId="03A0D67A">
            <w:pPr>
              <w:shd w:val="clea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分</w:t>
            </w:r>
          </w:p>
        </w:tc>
      </w:tr>
    </w:tbl>
    <w:p w14:paraId="571E8ED7">
      <w:pPr>
        <w:shd w:val="clear"/>
        <w:spacing w:line="360" w:lineRule="auto"/>
        <w:rPr>
          <w:b/>
          <w:bCs/>
          <w:color w:val="auto"/>
          <w:highlight w:val="none"/>
        </w:rPr>
      </w:pPr>
      <w:r>
        <w:rPr>
          <w:rFonts w:hint="eastAsia" w:ascii="宋体" w:hAnsi="宋体"/>
          <w:b/>
          <w:bCs/>
          <w:color w:val="auto"/>
          <w:sz w:val="24"/>
          <w:highlight w:val="none"/>
        </w:rPr>
        <w:t>6.3 综合得分</w:t>
      </w:r>
      <w:bookmarkEnd w:id="577"/>
    </w:p>
    <w:p w14:paraId="6F23DB7E">
      <w:pPr>
        <w:shd w:val="clear"/>
        <w:spacing w:line="360" w:lineRule="auto"/>
        <w:ind w:left="-2" w:leftChars="-1" w:firstLine="631"/>
        <w:rPr>
          <w:rFonts w:ascii="宋体" w:hAnsi="宋体"/>
          <w:b w:val="0"/>
          <w:bCs/>
          <w:color w:val="auto"/>
          <w:sz w:val="24"/>
          <w:highlight w:val="none"/>
        </w:rPr>
      </w:pPr>
      <w:r>
        <w:rPr>
          <w:rFonts w:hint="eastAsia" w:ascii="宋体" w:hAnsi="宋体"/>
          <w:b w:val="0"/>
          <w:bCs/>
          <w:color w:val="auto"/>
          <w:sz w:val="24"/>
          <w:highlight w:val="none"/>
        </w:rPr>
        <w:t>综合得分=</w:t>
      </w:r>
      <w:r>
        <w:rPr>
          <w:rFonts w:hint="eastAsia" w:ascii="宋体" w:hAnsi="宋体"/>
          <w:b w:val="0"/>
          <w:bCs/>
          <w:color w:val="auto"/>
          <w:sz w:val="24"/>
          <w:highlight w:val="none"/>
          <w:lang w:eastAsia="zh-CN"/>
        </w:rPr>
        <w:t>商务</w:t>
      </w:r>
      <w:r>
        <w:rPr>
          <w:rFonts w:hint="eastAsia" w:ascii="宋体" w:hAnsi="宋体"/>
          <w:b w:val="0"/>
          <w:bCs/>
          <w:color w:val="auto"/>
          <w:sz w:val="24"/>
          <w:highlight w:val="none"/>
        </w:rPr>
        <w:t>技术得分+价格得分</w:t>
      </w:r>
    </w:p>
    <w:p w14:paraId="5AFC6544">
      <w:pPr>
        <w:shd w:val="clear"/>
        <w:spacing w:afterAutospacing="0" w:line="360" w:lineRule="auto"/>
        <w:ind w:left="-2" w:leftChars="-1" w:firstLine="631"/>
        <w:rPr>
          <w:rFonts w:ascii="宋体" w:hAnsi="宋体"/>
          <w:color w:val="auto"/>
          <w:sz w:val="24"/>
          <w:highlight w:val="none"/>
        </w:rPr>
      </w:pPr>
      <w:r>
        <w:rPr>
          <w:rFonts w:hint="eastAsia" w:ascii="宋体" w:hAnsi="宋体"/>
          <w:color w:val="auto"/>
          <w:sz w:val="24"/>
          <w:highlight w:val="none"/>
        </w:rPr>
        <w:t>评标委员会根据</w:t>
      </w:r>
      <w:r>
        <w:rPr>
          <w:rFonts w:hint="eastAsia" w:ascii="宋体" w:hAnsi="宋体"/>
          <w:color w:val="auto"/>
          <w:sz w:val="24"/>
          <w:highlight w:val="none"/>
          <w:lang w:eastAsia="zh-CN"/>
        </w:rPr>
        <w:t>供应商</w:t>
      </w:r>
      <w:r>
        <w:rPr>
          <w:rFonts w:hint="eastAsia" w:ascii="宋体" w:hAnsi="宋体"/>
          <w:color w:val="auto"/>
          <w:sz w:val="24"/>
          <w:highlight w:val="none"/>
        </w:rPr>
        <w:t>最终得分高低排定名次。</w:t>
      </w:r>
    </w:p>
    <w:p w14:paraId="5D901C8B">
      <w:pPr>
        <w:pStyle w:val="4"/>
        <w:shd w:val="clear"/>
        <w:spacing w:before="0" w:beforeLines="0" w:beforeAutospacing="0" w:after="0" w:afterLines="0" w:afterAutospacing="0" w:line="360" w:lineRule="auto"/>
        <w:rPr>
          <w:color w:val="auto"/>
          <w:sz w:val="28"/>
          <w:szCs w:val="28"/>
          <w:highlight w:val="none"/>
        </w:rPr>
      </w:pPr>
      <w:bookmarkStart w:id="578" w:name="_Toc10446428"/>
      <w:bookmarkStart w:id="579" w:name="_Toc479340798"/>
      <w:bookmarkStart w:id="580" w:name="_Toc498899392"/>
      <w:bookmarkStart w:id="581" w:name="_Toc479325601"/>
      <w:bookmarkStart w:id="582" w:name="_Toc438508606"/>
      <w:bookmarkStart w:id="583" w:name="_Toc522529814"/>
      <w:bookmarkStart w:id="584" w:name="_Toc477879849"/>
      <w:bookmarkStart w:id="585" w:name="_Toc9612860"/>
      <w:bookmarkStart w:id="586" w:name="_Toc470184450"/>
      <w:bookmarkStart w:id="587" w:name="_Toc524517871"/>
      <w:bookmarkStart w:id="588" w:name="_Toc9864096"/>
      <w:bookmarkStart w:id="589" w:name="_Toc5124218"/>
      <w:bookmarkStart w:id="590" w:name="_Toc273342939"/>
      <w:bookmarkStart w:id="591" w:name="_Toc25468"/>
      <w:bookmarkStart w:id="592" w:name="_Toc11931294"/>
      <w:bookmarkStart w:id="593" w:name="_Toc414510789"/>
      <w:bookmarkStart w:id="594" w:name="_Toc458980402"/>
      <w:bookmarkStart w:id="595" w:name="_Toc416208495"/>
      <w:bookmarkStart w:id="596" w:name="_Toc422162001"/>
      <w:bookmarkStart w:id="597" w:name="_Toc438722139"/>
      <w:bookmarkStart w:id="598" w:name="_Toc458635605"/>
      <w:bookmarkStart w:id="599" w:name="_Toc494832096"/>
      <w:bookmarkStart w:id="600" w:name="_Toc523170351"/>
      <w:bookmarkStart w:id="601" w:name="_Toc11944601"/>
      <w:bookmarkStart w:id="602" w:name="_Toc425347671"/>
      <w:bookmarkStart w:id="603" w:name="_Toc358307756"/>
      <w:bookmarkStart w:id="604" w:name="_Toc422865430"/>
      <w:bookmarkStart w:id="605" w:name="_Toc509337175"/>
      <w:bookmarkStart w:id="606" w:name="_Toc509337060"/>
      <w:bookmarkStart w:id="607" w:name="_Toc23766"/>
      <w:bookmarkStart w:id="608" w:name="_Toc418023342"/>
      <w:bookmarkStart w:id="609" w:name="_Toc438513743"/>
      <w:bookmarkStart w:id="610" w:name="_Toc524368799"/>
      <w:bookmarkStart w:id="611" w:name="_Toc486969388"/>
      <w:bookmarkStart w:id="612" w:name="_Toc439679277"/>
      <w:bookmarkStart w:id="613" w:name="_Toc439513454"/>
      <w:bookmarkStart w:id="614" w:name="_Toc487044261"/>
      <w:bookmarkStart w:id="615" w:name="_Toc439513170"/>
      <w:bookmarkStart w:id="616" w:name="_Toc498871260"/>
      <w:bookmarkStart w:id="617" w:name="_Toc369081827"/>
      <w:bookmarkStart w:id="618" w:name="_Toc514177062"/>
      <w:r>
        <w:rPr>
          <w:rFonts w:hint="eastAsia"/>
          <w:color w:val="auto"/>
          <w:sz w:val="28"/>
          <w:szCs w:val="28"/>
          <w:highlight w:val="none"/>
        </w:rPr>
        <w:t>7、定标和授标</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3EB2B0A5">
      <w:pPr>
        <w:shd w:val="clear"/>
        <w:spacing w:beforeAutospacing="0" w:line="360" w:lineRule="auto"/>
        <w:ind w:left="425" w:hanging="424" w:hangingChars="177"/>
        <w:rPr>
          <w:rFonts w:ascii="宋体" w:hAnsi="宋体"/>
          <w:color w:val="auto"/>
          <w:sz w:val="24"/>
          <w:highlight w:val="none"/>
        </w:rPr>
      </w:pPr>
      <w:bookmarkStart w:id="619" w:name="_Toc160609601"/>
      <w:bookmarkStart w:id="620" w:name="_Toc369081828"/>
      <w:bookmarkStart w:id="621" w:name="_Toc273342940"/>
      <w:bookmarkStart w:id="622" w:name="_Toc358307757"/>
      <w:r>
        <w:rPr>
          <w:rFonts w:hint="eastAsia" w:ascii="宋体" w:hAnsi="宋体"/>
          <w:color w:val="auto"/>
          <w:sz w:val="24"/>
          <w:szCs w:val="24"/>
          <w:highlight w:val="none"/>
        </w:rPr>
        <w:t>7.1综合</w:t>
      </w:r>
      <w:r>
        <w:rPr>
          <w:rFonts w:hint="eastAsia" w:ascii="宋体" w:hAnsi="宋体"/>
          <w:color w:val="auto"/>
          <w:sz w:val="24"/>
          <w:highlight w:val="none"/>
        </w:rPr>
        <w:t>得分相同时按下列顺序比较确定：（1）节能产品；（2）环保产品；（3）投标报价（由低到高）；（4）</w:t>
      </w:r>
      <w:r>
        <w:rPr>
          <w:rFonts w:hint="eastAsia" w:ascii="宋体" w:hAnsi="宋体"/>
          <w:color w:val="auto"/>
          <w:sz w:val="24"/>
          <w:highlight w:val="none"/>
          <w:lang w:eastAsia="zh-CN"/>
        </w:rPr>
        <w:t>商务</w:t>
      </w:r>
      <w:r>
        <w:rPr>
          <w:rFonts w:hint="eastAsia" w:ascii="宋体" w:hAnsi="宋体"/>
          <w:color w:val="auto"/>
          <w:sz w:val="24"/>
          <w:highlight w:val="none"/>
        </w:rPr>
        <w:t>技术评分（由高到低）。如以上都相同的，名次由评标委员会抽签确定。</w:t>
      </w:r>
    </w:p>
    <w:p w14:paraId="3D117830">
      <w:pPr>
        <w:shd w:val="clear"/>
        <w:spacing w:line="360" w:lineRule="auto"/>
        <w:ind w:left="425" w:hanging="424" w:hangingChars="177"/>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7.2评标委员会将综合得分排名第一名的</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推荐给</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作为第一中标候选人，综合得分</w:t>
      </w:r>
      <w:r>
        <w:rPr>
          <w:rFonts w:hint="eastAsia" w:ascii="宋体" w:hAnsi="宋体"/>
          <w:color w:val="auto"/>
          <w:sz w:val="24"/>
          <w:szCs w:val="24"/>
          <w:highlight w:val="none"/>
          <w:lang w:eastAsia="zh-CN"/>
        </w:rPr>
        <w:t>排名第二</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为第二中标候选人。</w:t>
      </w:r>
    </w:p>
    <w:p w14:paraId="0AAB82A9">
      <w:pPr>
        <w:shd w:val="clear"/>
        <w:spacing w:line="360" w:lineRule="auto"/>
        <w:ind w:left="425" w:hanging="424" w:hangingChars="177"/>
        <w:rPr>
          <w:rFonts w:hint="eastAsia" w:ascii="宋体" w:hAnsi="宋体"/>
          <w:color w:val="auto"/>
          <w:sz w:val="24"/>
          <w:szCs w:val="24"/>
          <w:highlight w:val="none"/>
        </w:rPr>
      </w:pPr>
      <w:r>
        <w:rPr>
          <w:rFonts w:hint="eastAsia" w:ascii="宋体" w:hAnsi="宋体"/>
          <w:color w:val="auto"/>
          <w:sz w:val="24"/>
          <w:szCs w:val="24"/>
          <w:highlight w:val="none"/>
        </w:rPr>
        <w:t>7.3中标候选人放弃中标、或因不可抗力提出不能履行合同</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未通过资格后审，或被取消资格的，须经监管部门批准后，</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方可按顺序选择候补</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或废标重招。</w:t>
      </w:r>
    </w:p>
    <w:p w14:paraId="5471D040">
      <w:pPr>
        <w:shd w:val="clear"/>
        <w:spacing w:line="360" w:lineRule="auto"/>
        <w:ind w:left="425" w:hanging="424" w:hangingChars="177"/>
        <w:rPr>
          <w:rFonts w:ascii="宋体"/>
          <w:color w:val="auto"/>
          <w:sz w:val="24"/>
          <w:szCs w:val="24"/>
          <w:highlight w:val="none"/>
        </w:rPr>
      </w:pPr>
      <w:r>
        <w:rPr>
          <w:rFonts w:hint="eastAsia" w:ascii="宋体" w:hAnsi="宋体"/>
          <w:color w:val="auto"/>
          <w:sz w:val="24"/>
          <w:szCs w:val="24"/>
          <w:highlight w:val="none"/>
        </w:rPr>
        <w:t>7.4评标委员会提出评标书面报告和推荐中标意见报</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审批，审批通过后将对预中标人进行最终澄清及对</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的资格和履约能力进行再次审查，形成最终合同的基础文件。如在最终澄清过程中，发现预中标人存在重大问题造成其履约能力不能满足要求的，须报监管部门并经批准后，</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方可按顺序选择候补</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或废标重招。</w:t>
      </w:r>
    </w:p>
    <w:p w14:paraId="269124B3">
      <w:pPr>
        <w:shd w:val="clea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7.5最终澄清</w:t>
      </w:r>
      <w:r>
        <w:rPr>
          <w:rFonts w:hint="eastAsia" w:ascii="宋体"/>
          <w:color w:val="auto"/>
          <w:sz w:val="24"/>
          <w:szCs w:val="24"/>
          <w:highlight w:val="none"/>
        </w:rPr>
        <w:t>完成</w:t>
      </w:r>
      <w:r>
        <w:rPr>
          <w:rFonts w:hint="eastAsia" w:ascii="宋体" w:hAnsi="宋体"/>
          <w:color w:val="auto"/>
          <w:sz w:val="24"/>
          <w:highlight w:val="none"/>
        </w:rPr>
        <w:t>后，由采购代理机构根据</w:t>
      </w:r>
      <w:r>
        <w:rPr>
          <w:rFonts w:hint="eastAsia" w:ascii="宋体" w:hAnsi="宋体"/>
          <w:color w:val="auto"/>
          <w:sz w:val="24"/>
          <w:highlight w:val="none"/>
          <w:lang w:eastAsia="zh-CN"/>
        </w:rPr>
        <w:t>招标人</w:t>
      </w:r>
      <w:r>
        <w:rPr>
          <w:rFonts w:hint="eastAsia" w:ascii="宋体" w:hAnsi="宋体"/>
          <w:color w:val="auto"/>
          <w:sz w:val="24"/>
          <w:highlight w:val="none"/>
        </w:rPr>
        <w:t>的确认结果发布招标结果公告。采购代理机构将在下列媒体公告中标结果：</w:t>
      </w:r>
      <w:r>
        <w:rPr>
          <w:rFonts w:hint="eastAsia" w:hAnsi="宋体"/>
          <w:color w:val="auto"/>
          <w:sz w:val="24"/>
          <w:highlight w:val="none"/>
          <w:lang w:eastAsia="zh-CN"/>
        </w:rPr>
        <w:t>新疆政府采购网</w:t>
      </w:r>
      <w:r>
        <w:rPr>
          <w:rFonts w:ascii="宋体" w:hAnsi="宋体"/>
          <w:color w:val="auto"/>
          <w:sz w:val="24"/>
          <w:highlight w:val="none"/>
        </w:rPr>
        <w:t xml:space="preserve"> </w:t>
      </w:r>
      <w:r>
        <w:rPr>
          <w:rFonts w:hint="eastAsia" w:ascii="宋体" w:hAnsi="宋体"/>
          <w:color w:val="auto"/>
          <w:sz w:val="24"/>
          <w:highlight w:val="none"/>
        </w:rPr>
        <w:t>。</w:t>
      </w:r>
    </w:p>
    <w:p w14:paraId="2F78CD0E">
      <w:pPr>
        <w:shd w:val="clear"/>
        <w:spacing w:afterAutospacing="0" w:line="360" w:lineRule="auto"/>
        <w:ind w:left="425" w:hanging="424" w:hangingChars="177"/>
        <w:rPr>
          <w:rFonts w:ascii="宋体" w:hAnsi="宋体"/>
          <w:color w:val="auto"/>
          <w:sz w:val="24"/>
          <w:highlight w:val="none"/>
        </w:rPr>
      </w:pPr>
      <w:r>
        <w:rPr>
          <w:rFonts w:hint="eastAsia" w:ascii="宋体" w:hAnsi="宋体"/>
          <w:color w:val="auto"/>
          <w:sz w:val="24"/>
          <w:highlight w:val="none"/>
        </w:rPr>
        <w:t>7.6</w:t>
      </w:r>
      <w:r>
        <w:rPr>
          <w:rFonts w:hint="eastAsia" w:ascii="宋体" w:hAnsi="宋体"/>
          <w:color w:val="auto"/>
          <w:sz w:val="24"/>
          <w:highlight w:val="none"/>
          <w:lang w:eastAsia="zh-CN"/>
        </w:rPr>
        <w:t>招标人</w:t>
      </w:r>
      <w:r>
        <w:rPr>
          <w:rFonts w:hint="eastAsia" w:ascii="宋体" w:hAnsi="宋体"/>
          <w:color w:val="auto"/>
          <w:sz w:val="24"/>
          <w:highlight w:val="none"/>
        </w:rPr>
        <w:t>应当自</w:t>
      </w:r>
      <w:r>
        <w:rPr>
          <w:rFonts w:hint="eastAsia" w:ascii="宋体" w:hAnsi="宋体"/>
          <w:color w:val="auto"/>
          <w:sz w:val="24"/>
          <w:highlight w:val="none"/>
          <w:lang w:eastAsia="zh-CN"/>
        </w:rPr>
        <w:t>成交通知书</w:t>
      </w:r>
      <w:r>
        <w:rPr>
          <w:rFonts w:hint="eastAsia" w:ascii="宋体" w:hAnsi="宋体"/>
          <w:color w:val="auto"/>
          <w:sz w:val="24"/>
          <w:highlight w:val="none"/>
        </w:rPr>
        <w:t>发出之日起30日内，按照</w:t>
      </w:r>
      <w:r>
        <w:rPr>
          <w:rFonts w:hint="eastAsia" w:ascii="宋体" w:hAnsi="宋体"/>
          <w:color w:val="auto"/>
          <w:sz w:val="24"/>
          <w:highlight w:val="none"/>
          <w:lang w:eastAsia="zh-CN"/>
        </w:rPr>
        <w:t>招标文件</w:t>
      </w:r>
      <w:r>
        <w:rPr>
          <w:rFonts w:hint="eastAsia" w:ascii="宋体" w:hAnsi="宋体"/>
          <w:color w:val="auto"/>
          <w:sz w:val="24"/>
          <w:highlight w:val="none"/>
        </w:rPr>
        <w:t>和中标人投标文件的规定，与中标人签订书面合同。所签订的合同不得对</w:t>
      </w:r>
      <w:r>
        <w:rPr>
          <w:rFonts w:hint="eastAsia" w:ascii="宋体" w:hAnsi="宋体"/>
          <w:color w:val="auto"/>
          <w:sz w:val="24"/>
          <w:highlight w:val="none"/>
          <w:lang w:eastAsia="zh-CN"/>
        </w:rPr>
        <w:t>招标文件</w:t>
      </w:r>
      <w:r>
        <w:rPr>
          <w:rFonts w:hint="eastAsia" w:ascii="宋体" w:hAnsi="宋体"/>
          <w:color w:val="auto"/>
          <w:sz w:val="24"/>
          <w:highlight w:val="none"/>
        </w:rPr>
        <w:t>确定的事项和中标人投标文件作实质性修改。</w:t>
      </w:r>
    </w:p>
    <w:p w14:paraId="5A4F548E">
      <w:pPr>
        <w:pStyle w:val="4"/>
        <w:shd w:val="clear"/>
        <w:spacing w:before="0" w:beforeLines="0" w:beforeAutospacing="0" w:after="0" w:afterLines="0" w:afterAutospacing="0"/>
        <w:rPr>
          <w:rFonts w:hint="eastAsia"/>
          <w:color w:val="auto"/>
          <w:sz w:val="28"/>
          <w:szCs w:val="28"/>
          <w:highlight w:val="none"/>
        </w:rPr>
      </w:pPr>
      <w:bookmarkStart w:id="623" w:name="_Toc416208496"/>
      <w:bookmarkStart w:id="624" w:name="_Toc438508607"/>
      <w:bookmarkStart w:id="625" w:name="_Toc522529815"/>
      <w:bookmarkStart w:id="626" w:name="_Toc9864097"/>
      <w:bookmarkStart w:id="627" w:name="_Toc11944602"/>
      <w:bookmarkStart w:id="628" w:name="_Toc439513171"/>
      <w:bookmarkStart w:id="629" w:name="_Toc509337176"/>
      <w:bookmarkStart w:id="630" w:name="_Toc422865431"/>
      <w:bookmarkStart w:id="631" w:name="_Toc439679278"/>
      <w:bookmarkStart w:id="632" w:name="_Toc422162002"/>
      <w:bookmarkStart w:id="633" w:name="_Toc425347672"/>
      <w:bookmarkStart w:id="634" w:name="_Toc514177063"/>
      <w:bookmarkStart w:id="635" w:name="_Toc418023343"/>
      <w:bookmarkStart w:id="636" w:name="_Toc486969389"/>
      <w:bookmarkStart w:id="637" w:name="_Toc524368800"/>
      <w:bookmarkStart w:id="638" w:name="_Toc487044262"/>
      <w:bookmarkStart w:id="639" w:name="_Toc494832097"/>
      <w:bookmarkStart w:id="640" w:name="_Toc523170352"/>
      <w:bookmarkStart w:id="641" w:name="_Toc498871261"/>
      <w:bookmarkStart w:id="642" w:name="_Toc479325602"/>
      <w:bookmarkStart w:id="643" w:name="_Toc498899393"/>
      <w:bookmarkStart w:id="644" w:name="_Toc438513744"/>
      <w:bookmarkStart w:id="645" w:name="_Toc5714"/>
      <w:bookmarkStart w:id="646" w:name="_Toc438722140"/>
      <w:bookmarkStart w:id="647" w:name="_Toc458635606"/>
      <w:bookmarkStart w:id="648" w:name="_Toc477879850"/>
      <w:bookmarkStart w:id="649" w:name="_Toc439513455"/>
      <w:bookmarkStart w:id="650" w:name="_Toc479340799"/>
      <w:bookmarkStart w:id="651" w:name="_Toc9612861"/>
      <w:bookmarkStart w:id="652" w:name="_Toc5124219"/>
      <w:bookmarkStart w:id="653" w:name="_Toc17799"/>
      <w:bookmarkStart w:id="654" w:name="_Toc458980403"/>
      <w:bookmarkStart w:id="655" w:name="_Toc524517872"/>
      <w:bookmarkStart w:id="656" w:name="_Toc10446429"/>
      <w:bookmarkStart w:id="657" w:name="_Toc470184451"/>
      <w:bookmarkStart w:id="658" w:name="_Toc509337061"/>
      <w:bookmarkStart w:id="659" w:name="_Toc11931295"/>
      <w:bookmarkStart w:id="660" w:name="_Toc414510790"/>
      <w:r>
        <w:rPr>
          <w:rFonts w:hint="eastAsia"/>
          <w:color w:val="auto"/>
          <w:sz w:val="28"/>
          <w:szCs w:val="28"/>
          <w:highlight w:val="none"/>
        </w:rPr>
        <w:t>8、附表</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320E4CD1">
      <w:pPr>
        <w:shd w:val="clear"/>
        <w:spacing w:beforeAutospacing="0" w:line="360" w:lineRule="auto"/>
        <w:ind w:firstLine="460" w:firstLineChars="192"/>
        <w:rPr>
          <w:rFonts w:hint="eastAsia" w:ascii="宋体" w:hAnsi="宋体"/>
          <w:b/>
          <w:bCs/>
          <w:color w:val="auto"/>
          <w:sz w:val="24"/>
          <w:highlight w:val="none"/>
        </w:rPr>
      </w:pPr>
      <w:r>
        <w:rPr>
          <w:rFonts w:hint="eastAsia" w:ascii="宋体" w:hAnsi="宋体"/>
          <w:color w:val="auto"/>
          <w:sz w:val="24"/>
          <w:highlight w:val="none"/>
        </w:rPr>
        <w:t>附表1 资格审查表</w:t>
      </w:r>
    </w:p>
    <w:p w14:paraId="07FA2CA3">
      <w:pPr>
        <w:shd w:val="clear"/>
        <w:spacing w:line="360" w:lineRule="auto"/>
        <w:ind w:firstLine="460" w:firstLineChars="192"/>
        <w:rPr>
          <w:rFonts w:hint="eastAsia" w:ascii="宋体" w:hAnsi="宋体"/>
          <w:color w:val="auto"/>
          <w:sz w:val="24"/>
          <w:highlight w:val="none"/>
        </w:rPr>
      </w:pPr>
      <w:r>
        <w:rPr>
          <w:rFonts w:hint="eastAsia" w:ascii="宋体" w:hAnsi="宋体"/>
          <w:color w:val="auto"/>
          <w:sz w:val="24"/>
          <w:highlight w:val="none"/>
        </w:rPr>
        <w:t>附表2 符合性审查表</w:t>
      </w:r>
    </w:p>
    <w:p w14:paraId="3CC57EE2">
      <w:pPr>
        <w:shd w:val="clear"/>
        <w:spacing w:line="360" w:lineRule="auto"/>
        <w:ind w:firstLine="460" w:firstLineChars="192"/>
        <w:rPr>
          <w:rFonts w:hint="eastAsia" w:ascii="宋体" w:hAnsi="宋体"/>
          <w:color w:val="auto"/>
          <w:sz w:val="24"/>
          <w:highlight w:val="none"/>
        </w:rPr>
      </w:pPr>
      <w:r>
        <w:rPr>
          <w:rFonts w:hint="eastAsia" w:ascii="宋体" w:hAnsi="宋体"/>
          <w:color w:val="auto"/>
          <w:sz w:val="24"/>
          <w:highlight w:val="none"/>
        </w:rPr>
        <w:t xml:space="preserve">附表3 </w:t>
      </w:r>
      <w:r>
        <w:rPr>
          <w:rFonts w:hint="eastAsia" w:ascii="宋体" w:hAnsi="宋体"/>
          <w:color w:val="auto"/>
          <w:sz w:val="24"/>
          <w:highlight w:val="none"/>
          <w:lang w:eastAsia="zh-CN"/>
        </w:rPr>
        <w:t>商务</w:t>
      </w:r>
      <w:r>
        <w:rPr>
          <w:rFonts w:hint="eastAsia" w:ascii="宋体" w:hAnsi="宋体"/>
          <w:color w:val="auto"/>
          <w:sz w:val="24"/>
          <w:highlight w:val="none"/>
        </w:rPr>
        <w:t>技术响应性评审表</w:t>
      </w:r>
    </w:p>
    <w:p w14:paraId="348D1573">
      <w:pPr>
        <w:shd w:val="clear"/>
        <w:spacing w:line="360" w:lineRule="auto"/>
        <w:ind w:firstLine="460" w:firstLineChars="192"/>
        <w:rPr>
          <w:rFonts w:hint="eastAsia"/>
          <w:color w:val="auto"/>
          <w:highlight w:val="none"/>
        </w:rPr>
      </w:pPr>
      <w:r>
        <w:rPr>
          <w:rFonts w:hint="eastAsia" w:ascii="宋体" w:hAnsi="宋体"/>
          <w:color w:val="auto"/>
          <w:sz w:val="24"/>
          <w:highlight w:val="none"/>
        </w:rPr>
        <w:t xml:space="preserve">附表4 </w:t>
      </w:r>
      <w:r>
        <w:rPr>
          <w:rFonts w:hint="eastAsia" w:ascii="宋体" w:hAnsi="宋体"/>
          <w:bCs/>
          <w:color w:val="auto"/>
          <w:sz w:val="24"/>
          <w:highlight w:val="none"/>
        </w:rPr>
        <w:t>价格响应性</w:t>
      </w:r>
      <w:r>
        <w:rPr>
          <w:rFonts w:hint="eastAsia" w:ascii="宋体" w:hAnsi="宋体"/>
          <w:color w:val="auto"/>
          <w:sz w:val="24"/>
          <w:highlight w:val="none"/>
        </w:rPr>
        <w:t>评审</w:t>
      </w:r>
      <w:r>
        <w:rPr>
          <w:rFonts w:hint="eastAsia" w:ascii="宋体" w:hAnsi="宋体"/>
          <w:bCs/>
          <w:color w:val="auto"/>
          <w:sz w:val="24"/>
          <w:highlight w:val="none"/>
        </w:rPr>
        <w:t>表</w:t>
      </w:r>
    </w:p>
    <w:p w14:paraId="4AA38BE5">
      <w:pPr>
        <w:shd w:val="clear"/>
        <w:spacing w:line="360" w:lineRule="auto"/>
        <w:outlineLvl w:val="2"/>
        <w:rPr>
          <w:rFonts w:ascii="宋体" w:hAnsi="宋体"/>
          <w:b/>
          <w:color w:val="auto"/>
          <w:sz w:val="24"/>
          <w:highlight w:val="none"/>
        </w:rPr>
      </w:pPr>
      <w:r>
        <w:rPr>
          <w:rFonts w:ascii="宋体" w:hAnsi="宋体"/>
          <w:color w:val="auto"/>
          <w:sz w:val="24"/>
          <w:highlight w:val="none"/>
        </w:rPr>
        <w:br w:type="page"/>
      </w:r>
      <w:bookmarkStart w:id="661" w:name="_Toc524517873"/>
      <w:bookmarkStart w:id="662" w:name="_Toc494832098"/>
      <w:bookmarkStart w:id="663" w:name="_Toc9864098"/>
      <w:bookmarkStart w:id="664" w:name="_Toc523170353"/>
      <w:bookmarkStart w:id="665" w:name="_Toc9612862"/>
      <w:bookmarkStart w:id="666" w:name="_Toc522529816"/>
      <w:bookmarkStart w:id="667" w:name="_Toc509337062"/>
      <w:bookmarkStart w:id="668" w:name="_Toc10446430"/>
      <w:bookmarkStart w:id="669" w:name="_Toc524368801"/>
      <w:bookmarkStart w:id="670" w:name="_Toc5124220"/>
      <w:bookmarkStart w:id="671" w:name="_Toc31519"/>
      <w:bookmarkStart w:id="672" w:name="_Toc11931296"/>
      <w:bookmarkStart w:id="673" w:name="_Toc498899394"/>
      <w:bookmarkStart w:id="674" w:name="_Toc514177064"/>
      <w:bookmarkStart w:id="675" w:name="_Toc498871262"/>
      <w:bookmarkStart w:id="676" w:name="_Toc11944603"/>
      <w:bookmarkStart w:id="677" w:name="_Toc509337177"/>
      <w:bookmarkStart w:id="678" w:name="_Toc438513745"/>
      <w:bookmarkStart w:id="679" w:name="_Toc416208497"/>
      <w:bookmarkStart w:id="680" w:name="_Toc418023344"/>
      <w:bookmarkStart w:id="681" w:name="_Toc439513456"/>
      <w:bookmarkStart w:id="682" w:name="_Toc438722141"/>
      <w:bookmarkStart w:id="683" w:name="_Toc458980404"/>
      <w:bookmarkStart w:id="684" w:name="_Toc422162003"/>
      <w:bookmarkStart w:id="685" w:name="_Toc477879851"/>
      <w:bookmarkStart w:id="686" w:name="_Toc479325603"/>
      <w:bookmarkStart w:id="687" w:name="_Toc439513172"/>
      <w:bookmarkStart w:id="688" w:name="_Toc439679279"/>
      <w:bookmarkStart w:id="689" w:name="_Toc422865432"/>
      <w:bookmarkStart w:id="690" w:name="_Toc479340800"/>
      <w:bookmarkStart w:id="691" w:name="_Toc425347673"/>
      <w:bookmarkStart w:id="692" w:name="_Toc486969390"/>
      <w:bookmarkStart w:id="693" w:name="_Toc470184452"/>
      <w:bookmarkStart w:id="694" w:name="_Toc487044263"/>
      <w:bookmarkStart w:id="695" w:name="_Toc6196"/>
      <w:bookmarkStart w:id="696" w:name="_Toc438508608"/>
      <w:bookmarkStart w:id="697" w:name="_Toc458635607"/>
      <w:bookmarkStart w:id="698" w:name="_Toc414510791"/>
      <w:r>
        <w:rPr>
          <w:rFonts w:hint="eastAsia" w:ascii="宋体" w:hAnsi="宋体"/>
          <w:b/>
          <w:color w:val="auto"/>
          <w:sz w:val="24"/>
          <w:highlight w:val="none"/>
        </w:rPr>
        <w:t>附表1 资格审查表</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tbl>
      <w:tblPr>
        <w:tblStyle w:val="29"/>
        <w:tblW w:w="92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507"/>
      </w:tblGrid>
      <w:tr w14:paraId="2260BD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52" w:type="dxa"/>
            <w:tcBorders>
              <w:tl2br w:val="nil"/>
              <w:tr2bl w:val="nil"/>
            </w:tcBorders>
            <w:shd w:val="clear" w:color="auto" w:fill="D7D7D7"/>
            <w:noWrap w:val="0"/>
            <w:vAlign w:val="center"/>
          </w:tcPr>
          <w:p w14:paraId="3B3034F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序号</w:t>
            </w:r>
          </w:p>
        </w:tc>
        <w:tc>
          <w:tcPr>
            <w:tcW w:w="8507" w:type="dxa"/>
            <w:tcBorders>
              <w:tl2br w:val="nil"/>
              <w:tr2bl w:val="nil"/>
            </w:tcBorders>
            <w:shd w:val="clear" w:color="auto" w:fill="D7D7D7"/>
            <w:noWrap w:val="0"/>
            <w:vAlign w:val="center"/>
          </w:tcPr>
          <w:p w14:paraId="4471CBF4">
            <w:pPr>
              <w:keepNext w:val="0"/>
              <w:keepLines w:val="0"/>
              <w:pageBreakBefore w:val="0"/>
              <w:widowControl w:val="0"/>
              <w:shd w:val="clear"/>
              <w:kinsoku/>
              <w:wordWrap/>
              <w:overflowPunct/>
              <w:topLinePunct w:val="0"/>
              <w:autoSpaceDE/>
              <w:autoSpaceDN/>
              <w:bidi w:val="0"/>
              <w:adjustRightInd/>
              <w:snapToGrid/>
              <w:spacing w:line="360" w:lineRule="auto"/>
              <w:ind w:right="-124" w:rightChars="-59"/>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评审内容</w:t>
            </w:r>
          </w:p>
        </w:tc>
      </w:tr>
      <w:tr w14:paraId="4ACF3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52" w:type="dxa"/>
            <w:tcBorders>
              <w:tl2br w:val="nil"/>
              <w:tr2bl w:val="nil"/>
            </w:tcBorders>
            <w:noWrap w:val="0"/>
            <w:vAlign w:val="center"/>
          </w:tcPr>
          <w:p w14:paraId="573FB45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ascii="宋体" w:hAnsi="宋体" w:cs="Tahoma"/>
                <w:color w:val="auto"/>
                <w:sz w:val="24"/>
                <w:highlight w:val="none"/>
              </w:rPr>
            </w:pPr>
            <w:r>
              <w:rPr>
                <w:rFonts w:hint="eastAsia" w:ascii="宋体" w:hAnsi="宋体" w:cs="Tahoma"/>
                <w:color w:val="auto"/>
                <w:sz w:val="24"/>
                <w:highlight w:val="none"/>
              </w:rPr>
              <w:t>1</w:t>
            </w:r>
          </w:p>
        </w:tc>
        <w:tc>
          <w:tcPr>
            <w:tcW w:w="8507" w:type="dxa"/>
            <w:tcBorders>
              <w:tl2br w:val="nil"/>
              <w:tr2bl w:val="nil"/>
            </w:tcBorders>
            <w:noWrap w:val="0"/>
            <w:vAlign w:val="center"/>
          </w:tcPr>
          <w:p w14:paraId="4E2CA7C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s="Tahoma"/>
                <w:color w:val="auto"/>
                <w:sz w:val="24"/>
                <w:szCs w:val="24"/>
                <w:highlight w:val="none"/>
              </w:rPr>
            </w:pPr>
            <w:r>
              <w:rPr>
                <w:rFonts w:ascii="宋体" w:hAnsi="宋体" w:cs="Tahoma"/>
                <w:color w:val="auto"/>
                <w:sz w:val="24"/>
                <w:szCs w:val="24"/>
                <w:highlight w:val="none"/>
              </w:rPr>
              <w:t>供应商应为中小企业：请根据要求单独上传《中小企业声明函》</w:t>
            </w:r>
          </w:p>
        </w:tc>
      </w:tr>
      <w:tr w14:paraId="78E43B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52" w:type="dxa"/>
            <w:tcBorders>
              <w:tl2br w:val="nil"/>
              <w:tr2bl w:val="nil"/>
            </w:tcBorders>
            <w:shd w:val="clear" w:color="auto" w:fill="auto"/>
            <w:noWrap w:val="0"/>
            <w:vAlign w:val="center"/>
          </w:tcPr>
          <w:p w14:paraId="5EFA58A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Tahoma"/>
                <w:color w:val="auto"/>
                <w:kern w:val="2"/>
                <w:sz w:val="24"/>
                <w:highlight w:val="none"/>
                <w:lang w:val="en-US" w:eastAsia="zh-CN" w:bidi="ar-SA"/>
              </w:rPr>
            </w:pPr>
            <w:r>
              <w:rPr>
                <w:rFonts w:hint="eastAsia" w:ascii="宋体" w:hAnsi="宋体" w:cs="Tahoma"/>
                <w:color w:val="auto"/>
                <w:sz w:val="24"/>
                <w:highlight w:val="none"/>
                <w:lang w:val="en-US" w:eastAsia="zh-CN"/>
              </w:rPr>
              <w:t>2</w:t>
            </w:r>
          </w:p>
        </w:tc>
        <w:tc>
          <w:tcPr>
            <w:tcW w:w="8507" w:type="dxa"/>
            <w:tcBorders>
              <w:tl2br w:val="nil"/>
              <w:tr2bl w:val="nil"/>
            </w:tcBorders>
            <w:shd w:val="clear" w:color="auto" w:fill="auto"/>
            <w:noWrap w:val="0"/>
            <w:vAlign w:val="center"/>
          </w:tcPr>
          <w:p w14:paraId="2D4A2FC7">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auto"/>
                <w:kern w:val="2"/>
                <w:sz w:val="24"/>
                <w:highlight w:val="none"/>
                <w:lang w:val="en-US" w:eastAsia="zh-CN" w:bidi="ar-SA"/>
              </w:rPr>
            </w:pPr>
            <w:r>
              <w:rPr>
                <w:rFonts w:hint="eastAsia" w:cs="宋体"/>
                <w:color w:val="auto"/>
                <w:sz w:val="24"/>
                <w:szCs w:val="24"/>
                <w:highlight w:val="none"/>
                <w:lang w:val="en-US" w:eastAsia="zh-CN"/>
              </w:rPr>
              <w:t>在中华人民共和国境内依法注册的、具有独立承担民事责任的能力，提供有效的营业执照；</w:t>
            </w:r>
          </w:p>
        </w:tc>
      </w:tr>
      <w:tr w14:paraId="59E70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2" w:type="dxa"/>
            <w:tcBorders>
              <w:tl2br w:val="nil"/>
              <w:tr2bl w:val="nil"/>
            </w:tcBorders>
            <w:shd w:val="clear" w:color="auto" w:fill="auto"/>
            <w:noWrap w:val="0"/>
            <w:vAlign w:val="center"/>
          </w:tcPr>
          <w:p w14:paraId="798F1C45">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Tahoma"/>
                <w:color w:val="auto"/>
                <w:kern w:val="2"/>
                <w:sz w:val="24"/>
                <w:highlight w:val="none"/>
                <w:lang w:val="en-US" w:eastAsia="zh-CN" w:bidi="ar-SA"/>
              </w:rPr>
            </w:pPr>
            <w:r>
              <w:rPr>
                <w:rFonts w:hint="eastAsia" w:ascii="宋体" w:hAnsi="宋体" w:cs="Tahoma"/>
                <w:color w:val="auto"/>
                <w:sz w:val="24"/>
                <w:highlight w:val="none"/>
                <w:lang w:val="en-US" w:eastAsia="zh-CN"/>
              </w:rPr>
              <w:t>3</w:t>
            </w:r>
          </w:p>
        </w:tc>
        <w:tc>
          <w:tcPr>
            <w:tcW w:w="8507" w:type="dxa"/>
            <w:tcBorders>
              <w:tl2br w:val="nil"/>
              <w:tr2bl w:val="nil"/>
            </w:tcBorders>
            <w:shd w:val="clear" w:color="auto" w:fill="auto"/>
            <w:noWrap w:val="0"/>
            <w:vAlign w:val="center"/>
          </w:tcPr>
          <w:p w14:paraId="5CEEFBF8">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auto"/>
                <w:kern w:val="2"/>
                <w:sz w:val="24"/>
                <w:highlight w:val="none"/>
                <w:lang w:val="en-US" w:eastAsia="zh-CN" w:bidi="ar-SA"/>
              </w:rPr>
            </w:pPr>
            <w:r>
              <w:rPr>
                <w:rFonts w:hint="eastAsia" w:ascii="宋体" w:hAnsi="宋体" w:cs="Tahoma"/>
                <w:color w:val="auto"/>
                <w:sz w:val="24"/>
                <w:highlight w:val="none"/>
                <w:lang w:val="en-US" w:eastAsia="zh-CN"/>
              </w:rPr>
              <w:t>有效的法定代表人身份证明（法人）及法人身份证或具有法定效力的法定代表人授权委托书（非法人，须明确采购项目及包段名称、授权事项、权限、期限等）、被委托人身份证；</w:t>
            </w:r>
          </w:p>
        </w:tc>
      </w:tr>
      <w:tr w14:paraId="4A669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2" w:type="dxa"/>
            <w:tcBorders>
              <w:tl2br w:val="nil"/>
              <w:tr2bl w:val="nil"/>
            </w:tcBorders>
            <w:shd w:val="clear" w:color="auto" w:fill="auto"/>
            <w:noWrap w:val="0"/>
            <w:vAlign w:val="center"/>
          </w:tcPr>
          <w:p w14:paraId="53908B4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Tahoma"/>
                <w:color w:val="auto"/>
                <w:kern w:val="2"/>
                <w:sz w:val="24"/>
                <w:highlight w:val="none"/>
                <w:lang w:val="en-US" w:eastAsia="zh-CN" w:bidi="ar-SA"/>
              </w:rPr>
            </w:pPr>
            <w:r>
              <w:rPr>
                <w:rFonts w:hint="eastAsia" w:ascii="宋体" w:hAnsi="宋体" w:cs="Tahoma"/>
                <w:color w:val="auto"/>
                <w:sz w:val="24"/>
                <w:highlight w:val="none"/>
                <w:lang w:val="en-US" w:eastAsia="zh-CN"/>
              </w:rPr>
              <w:t>4</w:t>
            </w:r>
          </w:p>
        </w:tc>
        <w:tc>
          <w:tcPr>
            <w:tcW w:w="8507" w:type="dxa"/>
            <w:tcBorders>
              <w:tl2br w:val="nil"/>
              <w:tr2bl w:val="nil"/>
            </w:tcBorders>
            <w:shd w:val="clear" w:color="auto" w:fill="auto"/>
            <w:noWrap w:val="0"/>
            <w:vAlign w:val="center"/>
          </w:tcPr>
          <w:p w14:paraId="245FD96B">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auto"/>
                <w:kern w:val="2"/>
                <w:sz w:val="24"/>
                <w:highlight w:val="none"/>
                <w:lang w:val="en-US" w:eastAsia="zh-CN" w:bidi="ar-SA"/>
              </w:rPr>
            </w:pPr>
            <w:r>
              <w:rPr>
                <w:rFonts w:hint="eastAsia" w:ascii="宋体" w:hAnsi="宋体" w:cs="Tahoma"/>
                <w:color w:val="auto"/>
                <w:sz w:val="24"/>
                <w:highlight w:val="none"/>
                <w:lang w:val="en-US" w:eastAsia="zh-CN"/>
              </w:rPr>
              <w:t>未被“信用中国”（www.creditchina.gov.cn）、中国政府采购网（www.ccgp.gov.cn）列入失信被执行人、重大税收违法案件当事人名单、政府采购严重违法失信行为记录名单</w:t>
            </w:r>
          </w:p>
        </w:tc>
      </w:tr>
      <w:tr w14:paraId="32669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2" w:type="dxa"/>
            <w:tcBorders>
              <w:tl2br w:val="nil"/>
              <w:tr2bl w:val="nil"/>
            </w:tcBorders>
            <w:shd w:val="clear" w:color="auto" w:fill="auto"/>
            <w:noWrap w:val="0"/>
            <w:vAlign w:val="center"/>
          </w:tcPr>
          <w:p w14:paraId="5308BD56">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Tahoma"/>
                <w:color w:val="auto"/>
                <w:kern w:val="2"/>
                <w:sz w:val="24"/>
                <w:highlight w:val="none"/>
                <w:lang w:val="en-US" w:eastAsia="zh-CN" w:bidi="ar-SA"/>
              </w:rPr>
            </w:pPr>
            <w:r>
              <w:rPr>
                <w:rFonts w:hint="eastAsia" w:ascii="宋体" w:hAnsi="宋体" w:cs="Tahoma"/>
                <w:color w:val="auto"/>
                <w:sz w:val="24"/>
                <w:highlight w:val="none"/>
                <w:lang w:val="en-US" w:eastAsia="zh-CN"/>
              </w:rPr>
              <w:t>5</w:t>
            </w:r>
          </w:p>
        </w:tc>
        <w:tc>
          <w:tcPr>
            <w:tcW w:w="8507" w:type="dxa"/>
            <w:tcBorders>
              <w:tl2br w:val="nil"/>
              <w:tr2bl w:val="nil"/>
            </w:tcBorders>
            <w:shd w:val="clear" w:color="auto" w:fill="auto"/>
            <w:noWrap w:val="0"/>
            <w:vAlign w:val="center"/>
          </w:tcPr>
          <w:p w14:paraId="4C6CD756">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cs="Tahoma"/>
                <w:color w:val="auto"/>
                <w:sz w:val="24"/>
                <w:highlight w:val="none"/>
                <w:lang w:val="en-US" w:eastAsia="zh-CN"/>
              </w:rPr>
            </w:pPr>
            <w:r>
              <w:rPr>
                <w:rFonts w:hint="eastAsia" w:ascii="宋体" w:hAnsi="宋体" w:cs="Tahoma"/>
                <w:color w:val="auto"/>
                <w:sz w:val="24"/>
                <w:highlight w:val="none"/>
                <w:lang w:val="en-US" w:eastAsia="zh-CN"/>
              </w:rPr>
              <w:t>特定资格要求：</w:t>
            </w:r>
          </w:p>
          <w:p w14:paraId="4D1F97C2">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default" w:ascii="宋体" w:hAnsi="宋体" w:cs="Tahoma"/>
                <w:color w:val="auto"/>
                <w:sz w:val="24"/>
                <w:highlight w:val="none"/>
                <w:lang w:val="en-US" w:eastAsia="zh-CN"/>
              </w:rPr>
            </w:pPr>
            <w:r>
              <w:rPr>
                <w:rFonts w:hint="default" w:ascii="宋体" w:hAnsi="宋体" w:cs="Tahoma"/>
                <w:color w:val="auto"/>
                <w:sz w:val="24"/>
                <w:highlight w:val="none"/>
                <w:lang w:val="en-US" w:eastAsia="zh-CN"/>
              </w:rPr>
              <w:t>1）</w:t>
            </w:r>
            <w:r>
              <w:rPr>
                <w:rFonts w:hint="eastAsia" w:ascii="宋体" w:hAnsi="宋体" w:cs="Tahoma"/>
                <w:color w:val="auto"/>
                <w:sz w:val="24"/>
                <w:highlight w:val="none"/>
                <w:lang w:val="en-US" w:eastAsia="zh-CN"/>
              </w:rPr>
              <w:t>标项一至标项三供应商</w:t>
            </w:r>
            <w:r>
              <w:rPr>
                <w:rFonts w:hint="default" w:ascii="宋体" w:hAnsi="宋体" w:cs="Tahoma"/>
                <w:color w:val="auto"/>
                <w:sz w:val="24"/>
                <w:highlight w:val="none"/>
                <w:lang w:val="en-US" w:eastAsia="zh-CN"/>
              </w:rPr>
              <w:t>具有有效的《食品经营许可证》或《食品生产许可证》。</w:t>
            </w:r>
          </w:p>
          <w:p w14:paraId="71AD8CED">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auto"/>
                <w:kern w:val="2"/>
                <w:sz w:val="24"/>
                <w:highlight w:val="none"/>
                <w:lang w:val="en-US" w:eastAsia="zh-CN" w:bidi="ar-SA"/>
              </w:rPr>
            </w:pPr>
            <w:r>
              <w:rPr>
                <w:rFonts w:hint="default" w:ascii="宋体" w:hAnsi="宋体" w:cs="Tahoma"/>
                <w:color w:val="auto"/>
                <w:sz w:val="24"/>
                <w:highlight w:val="none"/>
                <w:lang w:val="en-US" w:eastAsia="zh-CN"/>
              </w:rPr>
              <w:t>2）</w:t>
            </w:r>
            <w:r>
              <w:rPr>
                <w:rFonts w:hint="eastAsia" w:ascii="宋体" w:hAnsi="宋体" w:cs="Tahoma"/>
                <w:color w:val="auto"/>
                <w:sz w:val="24"/>
                <w:highlight w:val="none"/>
                <w:lang w:val="en-US" w:eastAsia="zh-CN"/>
              </w:rPr>
              <w:t>标项二</w:t>
            </w:r>
            <w:r>
              <w:rPr>
                <w:rFonts w:hint="default" w:ascii="宋体" w:hAnsi="宋体" w:cs="Tahoma"/>
                <w:color w:val="auto"/>
                <w:sz w:val="24"/>
                <w:highlight w:val="none"/>
                <w:lang w:val="en-US" w:eastAsia="zh-CN"/>
              </w:rPr>
              <w:t>供应商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w:t>
            </w:r>
          </w:p>
        </w:tc>
      </w:tr>
      <w:tr w14:paraId="62B9A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2" w:type="dxa"/>
            <w:tcBorders>
              <w:tl2br w:val="nil"/>
              <w:tr2bl w:val="nil"/>
            </w:tcBorders>
            <w:shd w:val="clear" w:color="auto" w:fill="auto"/>
            <w:noWrap w:val="0"/>
            <w:vAlign w:val="center"/>
          </w:tcPr>
          <w:p w14:paraId="1F8ADC94">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Tahoma"/>
                <w:color w:val="auto"/>
                <w:kern w:val="2"/>
                <w:sz w:val="24"/>
                <w:highlight w:val="none"/>
                <w:lang w:val="en-US" w:eastAsia="zh-CN" w:bidi="ar-SA"/>
              </w:rPr>
            </w:pPr>
            <w:r>
              <w:rPr>
                <w:rFonts w:hint="eastAsia" w:ascii="宋体" w:hAnsi="宋体" w:cs="Tahoma"/>
                <w:color w:val="auto"/>
                <w:sz w:val="24"/>
                <w:highlight w:val="none"/>
                <w:lang w:val="en-US" w:eastAsia="zh-CN"/>
              </w:rPr>
              <w:t>6</w:t>
            </w:r>
          </w:p>
        </w:tc>
        <w:tc>
          <w:tcPr>
            <w:tcW w:w="8507" w:type="dxa"/>
            <w:tcBorders>
              <w:tl2br w:val="nil"/>
              <w:tr2bl w:val="nil"/>
            </w:tcBorders>
            <w:shd w:val="clear" w:color="auto" w:fill="auto"/>
            <w:noWrap w:val="0"/>
            <w:vAlign w:val="center"/>
          </w:tcPr>
          <w:p w14:paraId="2FDF7379">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default" w:ascii="宋体" w:hAnsi="宋体" w:eastAsia="宋体" w:cs="Tahoma"/>
                <w:color w:val="auto"/>
                <w:kern w:val="2"/>
                <w:sz w:val="24"/>
                <w:highlight w:val="none"/>
                <w:lang w:val="en-US" w:eastAsia="zh-CN" w:bidi="ar-SA"/>
              </w:rPr>
            </w:pPr>
            <w:r>
              <w:rPr>
                <w:rFonts w:hint="eastAsia" w:ascii="宋体" w:hAnsi="宋体" w:eastAsia="宋体" w:cs="Tahoma"/>
                <w:color w:val="auto"/>
                <w:sz w:val="24"/>
                <w:highlight w:val="none"/>
                <w:lang w:val="zh-CN"/>
              </w:rPr>
              <w:t>投标保证金缴纳凭证</w:t>
            </w:r>
            <w:r>
              <w:rPr>
                <w:rFonts w:hint="eastAsia" w:ascii="宋体" w:hAnsi="宋体" w:eastAsia="宋体" w:cs="Tahoma"/>
                <w:color w:val="auto"/>
                <w:sz w:val="24"/>
                <w:highlight w:val="none"/>
                <w:lang w:val="en-US"/>
              </w:rPr>
              <w:t>或保函</w:t>
            </w:r>
          </w:p>
        </w:tc>
      </w:tr>
      <w:tr w14:paraId="6447DF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2" w:type="dxa"/>
            <w:tcBorders>
              <w:tl2br w:val="nil"/>
              <w:tr2bl w:val="nil"/>
            </w:tcBorders>
            <w:shd w:val="clear" w:color="auto" w:fill="auto"/>
            <w:noWrap w:val="0"/>
            <w:vAlign w:val="center"/>
          </w:tcPr>
          <w:p w14:paraId="5108C190">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Tahoma"/>
                <w:color w:val="auto"/>
                <w:kern w:val="2"/>
                <w:sz w:val="24"/>
                <w:highlight w:val="none"/>
                <w:lang w:val="en-US" w:eastAsia="zh-CN" w:bidi="ar-SA"/>
              </w:rPr>
            </w:pPr>
            <w:r>
              <w:rPr>
                <w:rFonts w:hint="eastAsia" w:ascii="宋体" w:hAnsi="宋体" w:cs="Tahoma"/>
                <w:color w:val="auto"/>
                <w:sz w:val="24"/>
                <w:highlight w:val="none"/>
                <w:lang w:val="en-US" w:eastAsia="zh-CN"/>
              </w:rPr>
              <w:t>7</w:t>
            </w:r>
          </w:p>
        </w:tc>
        <w:tc>
          <w:tcPr>
            <w:tcW w:w="8507" w:type="dxa"/>
            <w:tcBorders>
              <w:tl2br w:val="nil"/>
              <w:tr2bl w:val="nil"/>
            </w:tcBorders>
            <w:shd w:val="clear" w:color="auto" w:fill="auto"/>
            <w:noWrap w:val="0"/>
            <w:vAlign w:val="center"/>
          </w:tcPr>
          <w:p w14:paraId="342C82B7">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auto"/>
                <w:kern w:val="2"/>
                <w:sz w:val="24"/>
                <w:highlight w:val="none"/>
                <w:lang w:val="en-US" w:eastAsia="zh-CN" w:bidi="ar-SA"/>
              </w:rPr>
            </w:pPr>
            <w:r>
              <w:rPr>
                <w:rFonts w:hint="eastAsia" w:ascii="宋体" w:hAnsi="宋体" w:eastAsia="宋体" w:cs="Tahoma"/>
                <w:color w:val="auto"/>
                <w:sz w:val="24"/>
                <w:highlight w:val="none"/>
                <w:lang w:val="en-US"/>
              </w:rPr>
              <w:t>本项目不接受联合体投标</w:t>
            </w:r>
          </w:p>
        </w:tc>
      </w:tr>
      <w:tr w14:paraId="2113C3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2" w:type="dxa"/>
            <w:tcBorders>
              <w:tl2br w:val="nil"/>
              <w:tr2bl w:val="nil"/>
            </w:tcBorders>
            <w:shd w:val="clear" w:color="auto" w:fill="auto"/>
            <w:noWrap w:val="0"/>
            <w:vAlign w:val="center"/>
          </w:tcPr>
          <w:p w14:paraId="1797C172">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Tahoma"/>
                <w:color w:val="auto"/>
                <w:kern w:val="2"/>
                <w:sz w:val="24"/>
                <w:highlight w:val="none"/>
                <w:lang w:val="en-US" w:eastAsia="zh-CN" w:bidi="ar-SA"/>
              </w:rPr>
            </w:pPr>
            <w:r>
              <w:rPr>
                <w:rFonts w:hint="eastAsia" w:ascii="宋体" w:hAnsi="宋体" w:cs="Tahoma"/>
                <w:color w:val="auto"/>
                <w:sz w:val="24"/>
                <w:highlight w:val="none"/>
                <w:lang w:val="en-US" w:eastAsia="zh-CN"/>
              </w:rPr>
              <w:t>8</w:t>
            </w:r>
          </w:p>
        </w:tc>
        <w:tc>
          <w:tcPr>
            <w:tcW w:w="8507" w:type="dxa"/>
            <w:tcBorders>
              <w:tl2br w:val="nil"/>
              <w:tr2bl w:val="nil"/>
            </w:tcBorders>
            <w:shd w:val="clear" w:color="auto" w:fill="auto"/>
            <w:noWrap w:val="0"/>
            <w:vAlign w:val="center"/>
          </w:tcPr>
          <w:p w14:paraId="235C17E6">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auto"/>
                <w:kern w:val="2"/>
                <w:sz w:val="24"/>
                <w:highlight w:val="none"/>
                <w:lang w:val="en-US" w:eastAsia="zh-CN" w:bidi="ar-SA"/>
              </w:rPr>
            </w:pPr>
            <w:r>
              <w:rPr>
                <w:rFonts w:hint="eastAsia" w:ascii="宋体" w:hAnsi="宋体" w:eastAsia="宋体" w:cs="Tahoma"/>
                <w:color w:val="auto"/>
                <w:sz w:val="24"/>
                <w:highlight w:val="none"/>
                <w:lang w:val="zh-CN"/>
              </w:rPr>
              <w:t>投标单位（供应商）《遵守政府采购相关法律法规承诺书》</w:t>
            </w:r>
          </w:p>
        </w:tc>
      </w:tr>
      <w:tr w14:paraId="293EB5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0" w:type="auto"/>
            <w:vAlign w:val="center"/>
          </w:tcPr>
          <w:p w14:paraId="268F81DE">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cs="Tahoma"/>
                <w:color w:val="auto"/>
                <w:sz w:val="24"/>
                <w:highlight w:val="none"/>
                <w:lang w:val="en-US" w:eastAsia="zh-CN"/>
              </w:rPr>
            </w:pPr>
            <w:r>
              <w:rPr>
                <w:rFonts w:hint="eastAsia" w:ascii="宋体" w:hAnsi="宋体" w:cs="Tahoma"/>
                <w:color w:val="auto"/>
                <w:sz w:val="24"/>
                <w:highlight w:val="none"/>
                <w:lang w:eastAsia="zh-CN"/>
              </w:rPr>
              <w:t>结论</w:t>
            </w:r>
          </w:p>
        </w:tc>
        <w:tc>
          <w:tcPr>
            <w:tcW w:w="0" w:type="auto"/>
            <w:vAlign w:val="center"/>
          </w:tcPr>
          <w:p w14:paraId="29717B0D">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cs="Tahoma"/>
                <w:color w:val="auto"/>
                <w:sz w:val="24"/>
                <w:highlight w:val="none"/>
                <w:lang w:val="en-US" w:eastAsia="zh-CN"/>
              </w:rPr>
            </w:pPr>
            <w:r>
              <w:rPr>
                <w:rFonts w:hint="eastAsia" w:ascii="宋体" w:hAnsi="宋体" w:cs="Tahoma"/>
                <w:color w:val="auto"/>
                <w:sz w:val="24"/>
                <w:highlight w:val="none"/>
                <w:lang w:val="en-US" w:eastAsia="zh-CN"/>
              </w:rPr>
              <w:t>（通过/不通过）</w:t>
            </w:r>
          </w:p>
        </w:tc>
      </w:tr>
    </w:tbl>
    <w:p w14:paraId="56701505">
      <w:pPr>
        <w:shd w:val="clear"/>
        <w:rPr>
          <w:rFonts w:hint="eastAsia" w:ascii="time of new roman" w:hAnsi="time of new roman"/>
          <w:color w:val="auto"/>
          <w:szCs w:val="21"/>
          <w:highlight w:val="none"/>
        </w:rPr>
      </w:pPr>
      <w:r>
        <w:rPr>
          <w:rFonts w:hint="eastAsia" w:ascii="time of new roman" w:hAnsi="time of new roman"/>
          <w:color w:val="auto"/>
          <w:szCs w:val="21"/>
          <w:highlight w:val="none"/>
        </w:rPr>
        <w:t>注：</w:t>
      </w:r>
    </w:p>
    <w:p w14:paraId="257F7234">
      <w:pPr>
        <w:shd w:val="clear"/>
        <w:rPr>
          <w:rFonts w:hint="eastAsia" w:ascii="宋体" w:hAnsi="宋体"/>
          <w:color w:val="auto"/>
          <w:highlight w:val="none"/>
        </w:rPr>
      </w:pPr>
      <w:r>
        <w:rPr>
          <w:rFonts w:hint="eastAsia" w:ascii="time of new roman" w:hAnsi="time of new roman"/>
          <w:color w:val="auto"/>
          <w:szCs w:val="21"/>
          <w:highlight w:val="none"/>
          <w:lang w:val="en-US" w:eastAsia="zh-CN"/>
        </w:rPr>
        <w:t>1、</w:t>
      </w:r>
      <w:r>
        <w:rPr>
          <w:rFonts w:hint="eastAsia" w:ascii="宋体" w:hAnsi="宋体"/>
          <w:color w:val="auto"/>
          <w:highlight w:val="none"/>
        </w:rPr>
        <w:t>结论栏中填写“通过”表示该</w:t>
      </w:r>
      <w:r>
        <w:rPr>
          <w:rFonts w:hint="eastAsia" w:ascii="宋体" w:hAnsi="宋体"/>
          <w:color w:val="auto"/>
          <w:highlight w:val="none"/>
          <w:lang w:eastAsia="zh-CN"/>
        </w:rPr>
        <w:t>供应商</w:t>
      </w:r>
      <w:r>
        <w:rPr>
          <w:rFonts w:hint="eastAsia" w:ascii="宋体" w:hAnsi="宋体"/>
          <w:color w:val="auto"/>
          <w:highlight w:val="none"/>
        </w:rPr>
        <w:t>投标文件符合</w:t>
      </w:r>
      <w:r>
        <w:rPr>
          <w:rFonts w:hint="eastAsia" w:ascii="宋体" w:hAnsi="宋体"/>
          <w:color w:val="auto"/>
          <w:highlight w:val="none"/>
          <w:lang w:eastAsia="zh-CN"/>
        </w:rPr>
        <w:t>招标文件</w:t>
      </w:r>
      <w:r>
        <w:rPr>
          <w:rFonts w:hint="eastAsia" w:ascii="宋体" w:hAnsi="宋体"/>
          <w:color w:val="auto"/>
          <w:highlight w:val="none"/>
        </w:rPr>
        <w:t>资格要求，“不通过”表示该</w:t>
      </w:r>
      <w:r>
        <w:rPr>
          <w:rFonts w:hint="eastAsia" w:ascii="宋体" w:hAnsi="宋体"/>
          <w:color w:val="auto"/>
          <w:highlight w:val="none"/>
          <w:lang w:eastAsia="zh-CN"/>
        </w:rPr>
        <w:t>供应商</w:t>
      </w:r>
      <w:r>
        <w:rPr>
          <w:rFonts w:hint="eastAsia" w:ascii="宋体" w:hAnsi="宋体"/>
          <w:color w:val="auto"/>
          <w:highlight w:val="none"/>
        </w:rPr>
        <w:t>投标文件不符合</w:t>
      </w:r>
      <w:r>
        <w:rPr>
          <w:rFonts w:hint="eastAsia" w:ascii="宋体" w:hAnsi="宋体"/>
          <w:color w:val="auto"/>
          <w:highlight w:val="none"/>
          <w:lang w:eastAsia="zh-CN"/>
        </w:rPr>
        <w:t>招标文件</w:t>
      </w:r>
      <w:r>
        <w:rPr>
          <w:rFonts w:hint="eastAsia" w:ascii="宋体" w:hAnsi="宋体"/>
          <w:color w:val="auto"/>
          <w:highlight w:val="none"/>
        </w:rPr>
        <w:t>资格要求；</w:t>
      </w:r>
    </w:p>
    <w:p w14:paraId="70C6FAA9">
      <w:pPr>
        <w:shd w:val="clear"/>
        <w:rPr>
          <w:rFonts w:hint="eastAsia" w:ascii="宋体" w:hAnsi="宋体"/>
          <w:color w:val="auto"/>
          <w:highlight w:val="none"/>
        </w:rPr>
      </w:pPr>
      <w:r>
        <w:rPr>
          <w:rFonts w:hint="eastAsia" w:ascii="宋体" w:hAnsi="宋体"/>
          <w:color w:val="auto"/>
          <w:highlight w:val="none"/>
        </w:rPr>
        <w:t>2、汇总结论按少数服从多数原则确定。</w:t>
      </w:r>
    </w:p>
    <w:p w14:paraId="787C1557">
      <w:pPr>
        <w:shd w:val="clear"/>
        <w:spacing w:line="360" w:lineRule="auto"/>
        <w:outlineLvl w:val="2"/>
        <w:rPr>
          <w:rFonts w:ascii="宋体" w:hAnsi="宋体"/>
          <w:b/>
          <w:color w:val="auto"/>
          <w:sz w:val="24"/>
          <w:highlight w:val="none"/>
        </w:rPr>
      </w:pPr>
      <w:r>
        <w:rPr>
          <w:rFonts w:ascii="宋体" w:hAnsi="宋体"/>
          <w:color w:val="auto"/>
          <w:sz w:val="24"/>
          <w:highlight w:val="none"/>
        </w:rPr>
        <w:br w:type="page"/>
      </w:r>
      <w:bookmarkStart w:id="699" w:name="_Toc9612863"/>
      <w:bookmarkStart w:id="700" w:name="_Toc509337063"/>
      <w:bookmarkStart w:id="701" w:name="_Toc498899395"/>
      <w:bookmarkStart w:id="702" w:name="_Toc5124221"/>
      <w:bookmarkStart w:id="703" w:name="_Toc498871263"/>
      <w:bookmarkStart w:id="704" w:name="_Toc494832099"/>
      <w:bookmarkStart w:id="705" w:name="_Toc11944604"/>
      <w:bookmarkStart w:id="706" w:name="_Toc523170354"/>
      <w:bookmarkStart w:id="707" w:name="_Toc11931297"/>
      <w:bookmarkStart w:id="708" w:name="_Toc524368802"/>
      <w:bookmarkStart w:id="709" w:name="_Toc16089"/>
      <w:bookmarkStart w:id="710" w:name="_Toc524517874"/>
      <w:bookmarkStart w:id="711" w:name="_Toc514177065"/>
      <w:bookmarkStart w:id="712" w:name="_Toc509337178"/>
      <w:bookmarkStart w:id="713" w:name="_Toc10446431"/>
      <w:bookmarkStart w:id="714" w:name="_Toc9864099"/>
      <w:bookmarkStart w:id="715" w:name="_Toc522529817"/>
      <w:r>
        <w:rPr>
          <w:rFonts w:hint="eastAsia" w:ascii="宋体" w:hAnsi="宋体"/>
          <w:b/>
          <w:color w:val="auto"/>
          <w:sz w:val="24"/>
          <w:highlight w:val="none"/>
        </w:rPr>
        <w:t>附表2</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Pr>
          <w:rFonts w:hint="eastAsia" w:ascii="宋体" w:hAnsi="宋体"/>
          <w:b/>
          <w:color w:val="auto"/>
          <w:sz w:val="24"/>
          <w:highlight w:val="none"/>
        </w:rPr>
        <w:t xml:space="preserve"> 符合性审查表</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tbl>
      <w:tblPr>
        <w:tblStyle w:val="29"/>
        <w:tblW w:w="0" w:type="auto"/>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88"/>
        <w:gridCol w:w="8471"/>
      </w:tblGrid>
      <w:tr w14:paraId="6986C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38" w:hRule="atLeast"/>
        </w:trPr>
        <w:tc>
          <w:tcPr>
            <w:tcW w:w="688" w:type="dxa"/>
            <w:vMerge w:val="restart"/>
            <w:tcBorders>
              <w:tl2br w:val="nil"/>
              <w:tr2bl w:val="nil"/>
            </w:tcBorders>
            <w:shd w:val="clear" w:color="auto" w:fill="D7D7D7"/>
            <w:noWrap w:val="0"/>
            <w:tcMar>
              <w:top w:w="16" w:type="dxa"/>
              <w:left w:w="16" w:type="dxa"/>
              <w:bottom w:w="0" w:type="dxa"/>
              <w:right w:w="16" w:type="dxa"/>
            </w:tcMar>
            <w:vAlign w:val="center"/>
          </w:tcPr>
          <w:p w14:paraId="62873746">
            <w:pPr>
              <w:shd w:val="clear"/>
              <w:spacing w:line="400" w:lineRule="exact"/>
              <w:ind w:right="-120" w:rightChars="-57"/>
              <w:jc w:val="center"/>
              <w:rPr>
                <w:rFonts w:hint="eastAsia" w:ascii="宋体" w:hAnsi="宋体"/>
                <w:b/>
                <w:color w:val="auto"/>
                <w:sz w:val="24"/>
                <w:highlight w:val="none"/>
              </w:rPr>
            </w:pPr>
            <w:r>
              <w:rPr>
                <w:rFonts w:hint="eastAsia" w:ascii="宋体" w:hAnsi="宋体"/>
                <w:b/>
                <w:color w:val="auto"/>
                <w:sz w:val="24"/>
                <w:highlight w:val="none"/>
              </w:rPr>
              <w:t>序号</w:t>
            </w:r>
          </w:p>
        </w:tc>
        <w:tc>
          <w:tcPr>
            <w:tcW w:w="8471" w:type="dxa"/>
            <w:vMerge w:val="restart"/>
            <w:tcBorders>
              <w:tl2br w:val="nil"/>
              <w:tr2bl w:val="nil"/>
            </w:tcBorders>
            <w:shd w:val="clear" w:color="auto" w:fill="D7D7D7"/>
            <w:noWrap w:val="0"/>
            <w:vAlign w:val="center"/>
          </w:tcPr>
          <w:p w14:paraId="1BE783F4">
            <w:pPr>
              <w:shd w:val="clear"/>
              <w:spacing w:line="400" w:lineRule="exact"/>
              <w:ind w:right="-120" w:rightChars="-57"/>
              <w:jc w:val="center"/>
              <w:rPr>
                <w:rFonts w:ascii="宋体" w:hAnsi="宋体"/>
                <w:b/>
                <w:color w:val="auto"/>
                <w:sz w:val="24"/>
                <w:highlight w:val="none"/>
              </w:rPr>
            </w:pPr>
            <w:r>
              <w:rPr>
                <w:rFonts w:hint="eastAsia" w:ascii="宋体" w:hAnsi="宋体"/>
                <w:b/>
                <w:color w:val="auto"/>
                <w:sz w:val="24"/>
                <w:highlight w:val="none"/>
              </w:rPr>
              <w:t>评审内容</w:t>
            </w:r>
          </w:p>
        </w:tc>
      </w:tr>
      <w:tr w14:paraId="7DAE7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2" w:hRule="atLeast"/>
        </w:trPr>
        <w:tc>
          <w:tcPr>
            <w:tcW w:w="688" w:type="dxa"/>
            <w:vMerge w:val="continue"/>
            <w:tcBorders>
              <w:tl2br w:val="nil"/>
              <w:tr2bl w:val="nil"/>
            </w:tcBorders>
            <w:shd w:val="clear" w:color="auto" w:fill="D7D7D7"/>
            <w:noWrap w:val="0"/>
            <w:vAlign w:val="center"/>
          </w:tcPr>
          <w:p w14:paraId="56BF4B47">
            <w:pPr>
              <w:shd w:val="clear"/>
              <w:spacing w:line="400" w:lineRule="exact"/>
              <w:rPr>
                <w:rFonts w:ascii="宋体" w:hAnsi="宋体"/>
                <w:color w:val="auto"/>
                <w:sz w:val="24"/>
                <w:highlight w:val="none"/>
              </w:rPr>
            </w:pPr>
          </w:p>
        </w:tc>
        <w:tc>
          <w:tcPr>
            <w:tcW w:w="8471" w:type="dxa"/>
            <w:vMerge w:val="continue"/>
            <w:tcBorders>
              <w:tl2br w:val="nil"/>
              <w:tr2bl w:val="nil"/>
            </w:tcBorders>
            <w:shd w:val="clear" w:color="auto" w:fill="D7D7D7"/>
            <w:noWrap w:val="0"/>
            <w:vAlign w:val="center"/>
          </w:tcPr>
          <w:p w14:paraId="69F1D614">
            <w:pPr>
              <w:shd w:val="clear"/>
              <w:spacing w:line="400" w:lineRule="exact"/>
              <w:rPr>
                <w:rFonts w:ascii="宋体" w:hAnsi="宋体"/>
                <w:color w:val="auto"/>
                <w:sz w:val="24"/>
                <w:highlight w:val="none"/>
              </w:rPr>
            </w:pPr>
          </w:p>
        </w:tc>
      </w:tr>
      <w:tr w14:paraId="01336B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13F161CB">
            <w:pPr>
              <w:shd w:val="clear"/>
              <w:spacing w:line="400" w:lineRule="exact"/>
              <w:jc w:val="center"/>
              <w:rPr>
                <w:rFonts w:hint="eastAsia" w:ascii="宋体" w:hAnsi="宋体"/>
                <w:color w:val="auto"/>
                <w:sz w:val="24"/>
                <w:highlight w:val="none"/>
              </w:rPr>
            </w:pPr>
            <w:r>
              <w:rPr>
                <w:rFonts w:hint="eastAsia" w:ascii="宋体" w:hAnsi="宋体"/>
                <w:color w:val="auto"/>
                <w:sz w:val="24"/>
                <w:highlight w:val="none"/>
              </w:rPr>
              <w:t>1</w:t>
            </w:r>
          </w:p>
        </w:tc>
        <w:tc>
          <w:tcPr>
            <w:tcW w:w="8471" w:type="dxa"/>
            <w:tcBorders>
              <w:tl2br w:val="nil"/>
              <w:tr2bl w:val="nil"/>
            </w:tcBorders>
            <w:noWrap w:val="0"/>
            <w:vAlign w:val="center"/>
          </w:tcPr>
          <w:p w14:paraId="39281964">
            <w:pPr>
              <w:pStyle w:val="43"/>
              <w:widowControl w:val="0"/>
              <w:pBdr>
                <w:bottom w:val="none" w:color="auto" w:sz="0" w:space="0"/>
                <w:right w:val="none" w:color="auto" w:sz="0" w:space="0"/>
              </w:pBdr>
              <w:shd w:val="clear"/>
              <w:spacing w:before="0" w:beforeAutospacing="0" w:after="0" w:afterAutospacing="0" w:line="400" w:lineRule="exact"/>
              <w:jc w:val="both"/>
              <w:rPr>
                <w:rFonts w:hint="eastAsia"/>
                <w:color w:val="auto"/>
                <w:kern w:val="2"/>
                <w:sz w:val="24"/>
                <w:szCs w:val="24"/>
                <w:highlight w:val="none"/>
              </w:rPr>
            </w:pPr>
            <w:r>
              <w:rPr>
                <w:rFonts w:hint="eastAsia"/>
                <w:color w:val="auto"/>
                <w:kern w:val="2"/>
                <w:sz w:val="24"/>
                <w:szCs w:val="24"/>
                <w:highlight w:val="none"/>
              </w:rPr>
              <w:t>是否满足项目的</w:t>
            </w:r>
            <w:r>
              <w:rPr>
                <w:rFonts w:hint="eastAsia" w:cs="宋体"/>
                <w:color w:val="auto"/>
                <w:sz w:val="24"/>
                <w:szCs w:val="24"/>
                <w:highlight w:val="none"/>
              </w:rPr>
              <w:t>交货</w:t>
            </w:r>
            <w:r>
              <w:rPr>
                <w:rFonts w:hint="eastAsia"/>
                <w:color w:val="auto"/>
                <w:kern w:val="2"/>
                <w:sz w:val="24"/>
                <w:szCs w:val="24"/>
                <w:highlight w:val="none"/>
              </w:rPr>
              <w:t>期要求</w:t>
            </w:r>
          </w:p>
        </w:tc>
      </w:tr>
      <w:tr w14:paraId="69A77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688" w:type="dxa"/>
            <w:tcBorders>
              <w:tl2br w:val="nil"/>
              <w:tr2bl w:val="nil"/>
            </w:tcBorders>
            <w:noWrap w:val="0"/>
            <w:vAlign w:val="center"/>
          </w:tcPr>
          <w:p w14:paraId="19081A8A">
            <w:pPr>
              <w:shd w:val="clear"/>
              <w:spacing w:line="400" w:lineRule="exact"/>
              <w:jc w:val="center"/>
              <w:rPr>
                <w:rFonts w:hint="eastAsia" w:ascii="宋体" w:hAnsi="宋体"/>
                <w:color w:val="auto"/>
                <w:sz w:val="24"/>
                <w:highlight w:val="none"/>
              </w:rPr>
            </w:pPr>
            <w:r>
              <w:rPr>
                <w:rFonts w:hint="eastAsia" w:ascii="宋体" w:hAnsi="宋体"/>
                <w:color w:val="auto"/>
                <w:sz w:val="24"/>
                <w:highlight w:val="none"/>
              </w:rPr>
              <w:t>2</w:t>
            </w:r>
          </w:p>
        </w:tc>
        <w:tc>
          <w:tcPr>
            <w:tcW w:w="8471" w:type="dxa"/>
            <w:tcBorders>
              <w:tl2br w:val="nil"/>
              <w:tr2bl w:val="nil"/>
            </w:tcBorders>
            <w:noWrap w:val="0"/>
            <w:vAlign w:val="center"/>
          </w:tcPr>
          <w:p w14:paraId="13A12442">
            <w:pPr>
              <w:shd w:val="clear"/>
              <w:spacing w:line="400" w:lineRule="exact"/>
              <w:rPr>
                <w:rFonts w:hint="eastAsia" w:ascii="宋体" w:hAnsi="宋体"/>
                <w:color w:val="auto"/>
                <w:sz w:val="24"/>
                <w:highlight w:val="none"/>
              </w:rPr>
            </w:pPr>
            <w:r>
              <w:rPr>
                <w:rFonts w:hint="eastAsia"/>
                <w:color w:val="auto"/>
                <w:sz w:val="24"/>
                <w:highlight w:val="none"/>
              </w:rPr>
              <w:t>是否符合</w:t>
            </w:r>
            <w:r>
              <w:rPr>
                <w:rFonts w:hint="eastAsia"/>
                <w:color w:val="auto"/>
                <w:sz w:val="24"/>
                <w:highlight w:val="none"/>
                <w:lang w:eastAsia="zh-CN"/>
              </w:rPr>
              <w:t>招标文件</w:t>
            </w:r>
            <w:r>
              <w:rPr>
                <w:rFonts w:hint="eastAsia"/>
                <w:color w:val="auto"/>
                <w:sz w:val="24"/>
                <w:highlight w:val="none"/>
              </w:rPr>
              <w:t>的签署盖章要求</w:t>
            </w:r>
          </w:p>
        </w:tc>
      </w:tr>
      <w:tr w14:paraId="39E4D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688" w:type="dxa"/>
            <w:tcBorders>
              <w:tl2br w:val="nil"/>
              <w:tr2bl w:val="nil"/>
            </w:tcBorders>
            <w:noWrap w:val="0"/>
            <w:tcMar>
              <w:top w:w="16" w:type="dxa"/>
              <w:left w:w="16" w:type="dxa"/>
              <w:bottom w:w="0" w:type="dxa"/>
              <w:right w:w="16" w:type="dxa"/>
            </w:tcMar>
            <w:vAlign w:val="center"/>
          </w:tcPr>
          <w:p w14:paraId="227D526A">
            <w:pPr>
              <w:shd w:val="clear"/>
              <w:spacing w:line="400" w:lineRule="exact"/>
              <w:jc w:val="center"/>
              <w:rPr>
                <w:rFonts w:hint="eastAsia" w:ascii="宋体" w:hAnsi="宋体"/>
                <w:color w:val="auto"/>
                <w:sz w:val="24"/>
                <w:highlight w:val="none"/>
              </w:rPr>
            </w:pPr>
            <w:r>
              <w:rPr>
                <w:rFonts w:hint="eastAsia" w:ascii="宋体" w:hAnsi="宋体"/>
                <w:color w:val="auto"/>
                <w:sz w:val="24"/>
                <w:highlight w:val="none"/>
              </w:rPr>
              <w:t>3</w:t>
            </w:r>
          </w:p>
        </w:tc>
        <w:tc>
          <w:tcPr>
            <w:tcW w:w="8471" w:type="dxa"/>
            <w:tcBorders>
              <w:tl2br w:val="nil"/>
              <w:tr2bl w:val="nil"/>
            </w:tcBorders>
            <w:noWrap w:val="0"/>
            <w:vAlign w:val="center"/>
          </w:tcPr>
          <w:p w14:paraId="06444062">
            <w:pPr>
              <w:pStyle w:val="43"/>
              <w:widowControl w:val="0"/>
              <w:pBdr>
                <w:bottom w:val="none" w:color="auto" w:sz="0" w:space="0"/>
                <w:right w:val="none" w:color="auto" w:sz="0" w:space="0"/>
              </w:pBdr>
              <w:shd w:val="clear"/>
              <w:spacing w:before="0" w:beforeAutospacing="0" w:after="0" w:afterAutospacing="0" w:line="400" w:lineRule="exact"/>
              <w:jc w:val="both"/>
              <w:rPr>
                <w:rFonts w:hint="eastAsia"/>
                <w:color w:val="auto"/>
                <w:kern w:val="2"/>
                <w:sz w:val="24"/>
                <w:szCs w:val="24"/>
                <w:highlight w:val="none"/>
              </w:rPr>
            </w:pPr>
            <w:r>
              <w:rPr>
                <w:rFonts w:hint="eastAsia"/>
                <w:color w:val="auto"/>
                <w:kern w:val="2"/>
                <w:sz w:val="24"/>
                <w:szCs w:val="24"/>
                <w:highlight w:val="none"/>
                <w:lang w:val="zh-CN"/>
              </w:rPr>
              <w:t>响应内容与采购内容及要求有重大偏离或保留的，或附有采购人不能接受的条件的；</w:t>
            </w:r>
          </w:p>
        </w:tc>
      </w:tr>
      <w:tr w14:paraId="74B9B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0A6DF78A">
            <w:pPr>
              <w:shd w:val="clear"/>
              <w:spacing w:line="400" w:lineRule="exact"/>
              <w:jc w:val="center"/>
              <w:rPr>
                <w:rFonts w:hint="eastAsia" w:ascii="宋体" w:hAnsi="宋体"/>
                <w:color w:val="auto"/>
                <w:sz w:val="24"/>
                <w:highlight w:val="none"/>
              </w:rPr>
            </w:pPr>
            <w:r>
              <w:rPr>
                <w:rFonts w:hint="eastAsia" w:ascii="宋体" w:hAnsi="宋体"/>
                <w:color w:val="auto"/>
                <w:sz w:val="24"/>
                <w:highlight w:val="none"/>
              </w:rPr>
              <w:t>4</w:t>
            </w:r>
          </w:p>
        </w:tc>
        <w:tc>
          <w:tcPr>
            <w:tcW w:w="8471" w:type="dxa"/>
            <w:tcBorders>
              <w:tl2br w:val="nil"/>
              <w:tr2bl w:val="nil"/>
            </w:tcBorders>
            <w:noWrap w:val="0"/>
            <w:vAlign w:val="center"/>
          </w:tcPr>
          <w:p w14:paraId="466B29F5">
            <w:pPr>
              <w:shd w:val="clear"/>
              <w:spacing w:line="400" w:lineRule="exact"/>
              <w:rPr>
                <w:rFonts w:hint="eastAsia" w:ascii="宋体" w:hAnsi="宋体"/>
                <w:color w:val="auto"/>
                <w:sz w:val="24"/>
                <w:highlight w:val="none"/>
              </w:rPr>
            </w:pPr>
            <w:r>
              <w:rPr>
                <w:rFonts w:hint="eastAsia" w:ascii="宋体" w:hAnsi="宋体"/>
                <w:color w:val="auto"/>
                <w:sz w:val="24"/>
                <w:highlight w:val="none"/>
              </w:rPr>
              <w:t>投标有效期是否为90天</w:t>
            </w:r>
          </w:p>
        </w:tc>
      </w:tr>
      <w:tr w14:paraId="164B1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050768B1">
            <w:pPr>
              <w:shd w:val="clear"/>
              <w:spacing w:line="4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5</w:t>
            </w:r>
          </w:p>
        </w:tc>
        <w:tc>
          <w:tcPr>
            <w:tcW w:w="8471" w:type="dxa"/>
            <w:tcBorders>
              <w:tl2br w:val="nil"/>
              <w:tr2bl w:val="nil"/>
            </w:tcBorders>
            <w:noWrap w:val="0"/>
            <w:vAlign w:val="center"/>
          </w:tcPr>
          <w:p w14:paraId="7C1388EB">
            <w:pPr>
              <w:shd w:val="clear"/>
              <w:spacing w:line="400" w:lineRule="exact"/>
              <w:rPr>
                <w:rFonts w:ascii="宋体" w:hAnsi="宋体"/>
                <w:color w:val="auto"/>
                <w:sz w:val="24"/>
                <w:highlight w:val="none"/>
              </w:rPr>
            </w:pPr>
            <w:r>
              <w:rPr>
                <w:rFonts w:ascii="宋体" w:hAnsi="宋体"/>
                <w:color w:val="auto"/>
                <w:sz w:val="24"/>
                <w:highlight w:val="none"/>
              </w:rPr>
              <w:t>投标</w:t>
            </w:r>
            <w:r>
              <w:rPr>
                <w:rFonts w:hint="eastAsia" w:ascii="宋体" w:hAnsi="宋体"/>
                <w:color w:val="auto"/>
                <w:sz w:val="24"/>
                <w:highlight w:val="none"/>
              </w:rPr>
              <w:t>报价是否固定唯一，且</w:t>
            </w:r>
            <w:r>
              <w:rPr>
                <w:rFonts w:hint="eastAsia" w:ascii="宋体" w:hAnsi="宋体" w:cs="宋体"/>
                <w:color w:val="auto"/>
                <w:sz w:val="24"/>
                <w:highlight w:val="none"/>
              </w:rPr>
              <w:t>投标报价</w:t>
            </w:r>
            <w:r>
              <w:rPr>
                <w:rFonts w:hint="eastAsia" w:ascii="宋体" w:hAnsi="宋体"/>
                <w:color w:val="auto"/>
                <w:sz w:val="24"/>
                <w:highlight w:val="none"/>
              </w:rPr>
              <w:t>没有</w:t>
            </w:r>
            <w:r>
              <w:rPr>
                <w:rFonts w:hint="eastAsia" w:ascii="宋体" w:hAnsi="宋体" w:cs="宋体"/>
                <w:color w:val="auto"/>
                <w:sz w:val="24"/>
                <w:highlight w:val="none"/>
                <w:lang w:val="en-US" w:eastAsia="zh-CN"/>
              </w:rPr>
              <w:t>低</w:t>
            </w:r>
            <w:r>
              <w:rPr>
                <w:rFonts w:hint="eastAsia" w:ascii="宋体" w:hAnsi="宋体" w:cs="宋体"/>
                <w:color w:val="auto"/>
                <w:sz w:val="24"/>
                <w:highlight w:val="none"/>
              </w:rPr>
              <w:t>过最</w:t>
            </w:r>
            <w:r>
              <w:rPr>
                <w:rFonts w:hint="eastAsia" w:ascii="宋体" w:hAnsi="宋体" w:cs="宋体"/>
                <w:color w:val="auto"/>
                <w:sz w:val="24"/>
                <w:highlight w:val="none"/>
                <w:lang w:val="en-US" w:eastAsia="zh-CN"/>
              </w:rPr>
              <w:t>低</w:t>
            </w:r>
            <w:r>
              <w:rPr>
                <w:rFonts w:hint="eastAsia" w:ascii="宋体" w:hAnsi="宋体" w:cs="宋体"/>
                <w:color w:val="auto"/>
                <w:sz w:val="24"/>
                <w:highlight w:val="none"/>
              </w:rPr>
              <w:t>限价</w:t>
            </w:r>
          </w:p>
        </w:tc>
      </w:tr>
      <w:tr w14:paraId="798219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383363E9">
            <w:pPr>
              <w:shd w:val="clear"/>
              <w:spacing w:line="4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p>
        </w:tc>
        <w:tc>
          <w:tcPr>
            <w:tcW w:w="8471" w:type="dxa"/>
            <w:tcBorders>
              <w:tl2br w:val="nil"/>
              <w:tr2bl w:val="nil"/>
            </w:tcBorders>
            <w:noWrap w:val="0"/>
            <w:vAlign w:val="center"/>
          </w:tcPr>
          <w:p w14:paraId="39FE2199">
            <w:pPr>
              <w:shd w:val="clear"/>
              <w:spacing w:line="400" w:lineRule="exact"/>
              <w:rPr>
                <w:rFonts w:ascii="宋体" w:hAnsi="宋体"/>
                <w:color w:val="auto"/>
                <w:sz w:val="24"/>
                <w:highlight w:val="none"/>
              </w:rPr>
            </w:pPr>
            <w:r>
              <w:rPr>
                <w:rFonts w:ascii="宋体" w:hAnsi="宋体" w:cs="宋体"/>
                <w:color w:val="auto"/>
                <w:kern w:val="1"/>
                <w:sz w:val="24"/>
                <w:highlight w:val="none"/>
              </w:rPr>
              <w:t>投标文件是否满足</w:t>
            </w:r>
            <w:r>
              <w:rPr>
                <w:rFonts w:hint="eastAsia" w:ascii="宋体" w:hAnsi="宋体" w:cs="宋体"/>
                <w:color w:val="auto"/>
                <w:kern w:val="1"/>
                <w:sz w:val="24"/>
                <w:highlight w:val="none"/>
                <w:lang w:eastAsia="zh-CN"/>
              </w:rPr>
              <w:t>招标文件</w:t>
            </w:r>
            <w:r>
              <w:rPr>
                <w:rFonts w:hint="eastAsia" w:ascii="宋体" w:hAnsi="宋体" w:cs="宋体"/>
                <w:color w:val="auto"/>
                <w:kern w:val="1"/>
                <w:sz w:val="24"/>
                <w:highlight w:val="none"/>
                <w:lang w:val="en-US" w:eastAsia="zh-CN"/>
              </w:rPr>
              <w:t>的实质性要求</w:t>
            </w:r>
            <w:r>
              <w:rPr>
                <w:rFonts w:hint="eastAsia" w:ascii="宋体" w:hAnsi="宋体" w:cs="宋体"/>
                <w:color w:val="auto"/>
                <w:kern w:val="1"/>
                <w:sz w:val="24"/>
                <w:highlight w:val="none"/>
              </w:rPr>
              <w:t xml:space="preserve"> </w:t>
            </w:r>
          </w:p>
        </w:tc>
      </w:tr>
      <w:tr w14:paraId="23E23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7E955E1F">
            <w:pPr>
              <w:shd w:val="clear"/>
              <w:spacing w:line="400" w:lineRule="exac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7</w:t>
            </w:r>
          </w:p>
        </w:tc>
        <w:tc>
          <w:tcPr>
            <w:tcW w:w="8471" w:type="dxa"/>
            <w:tcBorders>
              <w:tl2br w:val="nil"/>
              <w:tr2bl w:val="nil"/>
            </w:tcBorders>
            <w:noWrap w:val="0"/>
            <w:vAlign w:val="center"/>
          </w:tcPr>
          <w:p w14:paraId="594B3173">
            <w:pPr>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投标文件未按招标文件规定的格式填写，内容不全或关键字迹模糊、无法辨认的；</w:t>
            </w:r>
          </w:p>
        </w:tc>
      </w:tr>
      <w:tr w14:paraId="04A728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55D158A3">
            <w:pPr>
              <w:shd w:val="clear"/>
              <w:spacing w:line="400" w:lineRule="exac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8</w:t>
            </w:r>
          </w:p>
        </w:tc>
        <w:tc>
          <w:tcPr>
            <w:tcW w:w="8471" w:type="dxa"/>
            <w:tcBorders>
              <w:tl2br w:val="nil"/>
              <w:tr2bl w:val="nil"/>
            </w:tcBorders>
            <w:noWrap w:val="0"/>
            <w:vAlign w:val="center"/>
          </w:tcPr>
          <w:p w14:paraId="1882BBCF">
            <w:pPr>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不符合法律、法规和招标文件中规定的其它实质性要求的</w:t>
            </w:r>
          </w:p>
        </w:tc>
      </w:tr>
      <w:tr w14:paraId="15D3E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noWrap w:val="0"/>
            <w:tcMar>
              <w:top w:w="16" w:type="dxa"/>
              <w:left w:w="16" w:type="dxa"/>
              <w:bottom w:w="0" w:type="dxa"/>
              <w:right w:w="16" w:type="dxa"/>
            </w:tcMar>
            <w:vAlign w:val="center"/>
          </w:tcPr>
          <w:p w14:paraId="4EF0F914">
            <w:pPr>
              <w:shd w:val="clear"/>
              <w:spacing w:line="400" w:lineRule="exac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9</w:t>
            </w:r>
          </w:p>
        </w:tc>
        <w:tc>
          <w:tcPr>
            <w:tcW w:w="8471" w:type="dxa"/>
            <w:tcBorders>
              <w:tl2br w:val="nil"/>
              <w:tr2bl w:val="nil"/>
            </w:tcBorders>
            <w:noWrap w:val="0"/>
            <w:vAlign w:val="center"/>
          </w:tcPr>
          <w:p w14:paraId="34849080">
            <w:pPr>
              <w:shd w:val="clear"/>
              <w:spacing w:line="400" w:lineRule="exac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响应文件编制是否按照招标文件要求编写、不符合招标文件要求的；</w:t>
            </w:r>
          </w:p>
        </w:tc>
      </w:tr>
      <w:tr w14:paraId="1965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9159" w:type="dxa"/>
            <w:gridSpan w:val="2"/>
            <w:tcBorders>
              <w:tl2br w:val="nil"/>
              <w:tr2bl w:val="nil"/>
            </w:tcBorders>
            <w:noWrap w:val="0"/>
            <w:tcMar>
              <w:top w:w="16" w:type="dxa"/>
              <w:left w:w="16" w:type="dxa"/>
              <w:bottom w:w="0" w:type="dxa"/>
              <w:right w:w="16" w:type="dxa"/>
            </w:tcMar>
            <w:vAlign w:val="center"/>
          </w:tcPr>
          <w:p w14:paraId="26D47FA1">
            <w:pPr>
              <w:shd w:val="clear"/>
              <w:spacing w:line="400" w:lineRule="exact"/>
              <w:jc w:val="center"/>
              <w:rPr>
                <w:rFonts w:ascii="宋体" w:hAnsi="宋体"/>
                <w:color w:val="auto"/>
                <w:sz w:val="24"/>
                <w:highlight w:val="none"/>
              </w:rPr>
            </w:pPr>
            <w:r>
              <w:rPr>
                <w:rFonts w:hint="eastAsia" w:ascii="宋体" w:hAnsi="宋体"/>
                <w:color w:val="auto"/>
                <w:sz w:val="24"/>
                <w:highlight w:val="none"/>
              </w:rPr>
              <w:t>结    论</w:t>
            </w:r>
          </w:p>
        </w:tc>
      </w:tr>
    </w:tbl>
    <w:p w14:paraId="2D0272CA">
      <w:pPr>
        <w:shd w:val="clear"/>
        <w:spacing w:line="360" w:lineRule="auto"/>
        <w:ind w:firstLine="480" w:firstLineChars="200"/>
        <w:rPr>
          <w:rFonts w:hint="eastAsia" w:ascii="time of new roman" w:hAnsi="time of new roman"/>
          <w:color w:val="auto"/>
          <w:sz w:val="24"/>
          <w:szCs w:val="24"/>
          <w:highlight w:val="none"/>
        </w:rPr>
      </w:pPr>
      <w:r>
        <w:rPr>
          <w:rFonts w:hint="eastAsia" w:ascii="time of new roman" w:hAnsi="time of new roman"/>
          <w:color w:val="auto"/>
          <w:sz w:val="24"/>
          <w:szCs w:val="24"/>
          <w:highlight w:val="none"/>
        </w:rPr>
        <w:t>注：</w:t>
      </w:r>
    </w:p>
    <w:p w14:paraId="05B5D27C">
      <w:pPr>
        <w:shd w:val="clea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1、结论栏中填写“通过”表示该</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投标文件符合</w:t>
      </w:r>
      <w:r>
        <w:rPr>
          <w:rFonts w:hint="eastAsia" w:ascii="宋体" w:hAnsi="宋体"/>
          <w:color w:val="auto"/>
          <w:sz w:val="24"/>
          <w:szCs w:val="24"/>
          <w:highlight w:val="none"/>
          <w:lang w:eastAsia="zh-CN"/>
        </w:rPr>
        <w:t>招标文件</w:t>
      </w:r>
      <w:r>
        <w:rPr>
          <w:rFonts w:hint="eastAsia" w:ascii="宋体" w:hAnsi="宋体"/>
          <w:color w:val="auto"/>
          <w:sz w:val="24"/>
          <w:szCs w:val="24"/>
          <w:highlight w:val="none"/>
        </w:rPr>
        <w:t>要求，“不通过”表示该</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投标文件不符合</w:t>
      </w:r>
      <w:r>
        <w:rPr>
          <w:rFonts w:hint="eastAsia" w:ascii="宋体" w:hAnsi="宋体"/>
          <w:color w:val="auto"/>
          <w:sz w:val="24"/>
          <w:szCs w:val="24"/>
          <w:highlight w:val="none"/>
          <w:lang w:eastAsia="zh-CN"/>
        </w:rPr>
        <w:t>招标文件</w:t>
      </w:r>
      <w:r>
        <w:rPr>
          <w:rFonts w:hint="eastAsia" w:ascii="宋体" w:hAnsi="宋体"/>
          <w:color w:val="auto"/>
          <w:sz w:val="24"/>
          <w:szCs w:val="24"/>
          <w:highlight w:val="none"/>
        </w:rPr>
        <w:t>要求；</w:t>
      </w:r>
    </w:p>
    <w:p w14:paraId="016DA592">
      <w:pPr>
        <w:shd w:val="clea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、汇总结论按少数服从多数原则确定。</w:t>
      </w:r>
    </w:p>
    <w:p w14:paraId="78C0FDFE">
      <w:pPr>
        <w:shd w:val="clear"/>
        <w:ind w:firstLine="420" w:firstLineChars="200"/>
        <w:rPr>
          <w:rFonts w:ascii="time of new roman" w:hAnsi="time of new roman"/>
          <w:color w:val="auto"/>
          <w:szCs w:val="21"/>
          <w:highlight w:val="none"/>
        </w:rPr>
      </w:pPr>
    </w:p>
    <w:p w14:paraId="50B60CE6">
      <w:pPr>
        <w:shd w:val="clear"/>
        <w:spacing w:line="360" w:lineRule="auto"/>
        <w:outlineLvl w:val="0"/>
        <w:rPr>
          <w:rFonts w:ascii="宋体" w:hAnsi="宋体"/>
          <w:b/>
          <w:color w:val="auto"/>
          <w:sz w:val="24"/>
          <w:highlight w:val="none"/>
        </w:rPr>
      </w:pPr>
      <w:r>
        <w:rPr>
          <w:rFonts w:hint="eastAsia" w:ascii="time of new roman" w:hAnsi="time of new roman"/>
          <w:b/>
          <w:bCs/>
          <w:color w:val="auto"/>
          <w:szCs w:val="21"/>
          <w:highlight w:val="none"/>
        </w:rPr>
        <w:br w:type="page"/>
      </w:r>
      <w:bookmarkStart w:id="716" w:name="_Toc524368803"/>
      <w:bookmarkStart w:id="717" w:name="_Toc498899396"/>
      <w:bookmarkStart w:id="718" w:name="_Toc477879852"/>
      <w:bookmarkStart w:id="719" w:name="_Toc10446432"/>
      <w:bookmarkStart w:id="720" w:name="_Toc514177066"/>
      <w:bookmarkStart w:id="721" w:name="_Toc418023345"/>
      <w:bookmarkStart w:id="722" w:name="_Toc487044264"/>
      <w:bookmarkStart w:id="723" w:name="_Toc26433"/>
      <w:bookmarkStart w:id="724" w:name="_Toc439679280"/>
      <w:bookmarkStart w:id="725" w:name="_Toc458635608"/>
      <w:bookmarkStart w:id="726" w:name="_Toc524517875"/>
      <w:bookmarkStart w:id="727" w:name="_Toc458980405"/>
      <w:bookmarkStart w:id="728" w:name="_Toc438722142"/>
      <w:bookmarkStart w:id="729" w:name="_Toc498871264"/>
      <w:bookmarkStart w:id="730" w:name="_Toc416208498"/>
      <w:bookmarkStart w:id="731" w:name="_Toc422162004"/>
      <w:bookmarkStart w:id="732" w:name="_Toc509337179"/>
      <w:bookmarkStart w:id="733" w:name="_Toc425347674"/>
      <w:bookmarkStart w:id="734" w:name="_Toc7959"/>
      <w:bookmarkStart w:id="735" w:name="_Toc494832100"/>
      <w:bookmarkStart w:id="736" w:name="_Toc11944605"/>
      <w:bookmarkStart w:id="737" w:name="_Toc479340801"/>
      <w:bookmarkStart w:id="738" w:name="_Toc486969391"/>
      <w:bookmarkStart w:id="739" w:name="_Toc414510792"/>
      <w:bookmarkStart w:id="740" w:name="_Toc439513173"/>
      <w:bookmarkStart w:id="741" w:name="_Toc9612864"/>
      <w:bookmarkStart w:id="742" w:name="_Toc522529818"/>
      <w:bookmarkStart w:id="743" w:name="_Toc438508609"/>
      <w:bookmarkStart w:id="744" w:name="_Toc439513457"/>
      <w:bookmarkStart w:id="745" w:name="_Toc9864100"/>
      <w:bookmarkStart w:id="746" w:name="_Toc470184453"/>
      <w:bookmarkStart w:id="747" w:name="_Toc11931298"/>
      <w:bookmarkStart w:id="748" w:name="_Toc509337064"/>
      <w:bookmarkStart w:id="749" w:name="_Toc438513746"/>
      <w:bookmarkStart w:id="750" w:name="_Toc479325604"/>
      <w:bookmarkStart w:id="751" w:name="_Toc523170355"/>
      <w:bookmarkStart w:id="752" w:name="_Toc5124222"/>
      <w:bookmarkStart w:id="753" w:name="_Toc422865433"/>
      <w:r>
        <w:rPr>
          <w:rFonts w:hint="eastAsia" w:ascii="宋体" w:hAnsi="宋体"/>
          <w:b/>
          <w:color w:val="auto"/>
          <w:sz w:val="24"/>
          <w:highlight w:val="none"/>
        </w:rPr>
        <w:t xml:space="preserve">附表3 </w:t>
      </w:r>
      <w:r>
        <w:rPr>
          <w:rFonts w:hint="eastAsia" w:ascii="宋体" w:hAnsi="宋体"/>
          <w:b/>
          <w:color w:val="auto"/>
          <w:sz w:val="24"/>
          <w:highlight w:val="none"/>
          <w:lang w:eastAsia="zh-CN"/>
        </w:rPr>
        <w:t>商务</w:t>
      </w:r>
      <w:r>
        <w:rPr>
          <w:rFonts w:hint="eastAsia" w:ascii="宋体" w:hAnsi="宋体"/>
          <w:b/>
          <w:color w:val="auto"/>
          <w:sz w:val="24"/>
          <w:highlight w:val="none"/>
        </w:rPr>
        <w:t>技术响应性评审表</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Pr>
          <w:rFonts w:hint="eastAsia" w:ascii="宋体" w:hAnsi="宋体"/>
          <w:b/>
          <w:bCs/>
          <w:color w:val="auto"/>
          <w:sz w:val="24"/>
          <w:highlight w:val="none"/>
        </w:rPr>
        <w:t xml:space="preserve"> </w:t>
      </w:r>
    </w:p>
    <w:p w14:paraId="128ECF26">
      <w:pPr>
        <w:shd w:val="clear"/>
        <w:spacing w:line="360" w:lineRule="auto"/>
        <w:rPr>
          <w:rFonts w:hint="eastAsia" w:ascii="宋体" w:hAnsi="宋体" w:cs="Tahoma"/>
          <w:color w:val="auto"/>
          <w:sz w:val="24"/>
          <w:highlight w:val="none"/>
        </w:rPr>
      </w:pPr>
      <w:r>
        <w:rPr>
          <w:rFonts w:hint="eastAsia" w:ascii="time of new roman" w:hAnsi="time of new roman"/>
          <w:color w:val="auto"/>
          <w:sz w:val="24"/>
          <w:szCs w:val="24"/>
          <w:highlight w:val="none"/>
        </w:rPr>
        <w:t>采购项目名称：</w:t>
      </w:r>
      <w:r>
        <w:rPr>
          <w:rFonts w:hint="eastAsia" w:ascii="宋体" w:hAnsi="宋体" w:cs="宋体"/>
          <w:color w:val="auto"/>
          <w:sz w:val="24"/>
          <w:szCs w:val="24"/>
          <w:highlight w:val="none"/>
          <w:lang w:eastAsia="zh-CN"/>
        </w:rPr>
        <w:t>2025年和硕县教育和科学技术局中小学、幼儿园食材采购项目</w:t>
      </w:r>
    </w:p>
    <w:tbl>
      <w:tblPr>
        <w:tblStyle w:val="29"/>
        <w:tblW w:w="10117" w:type="dxa"/>
        <w:tblInd w:w="-16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463"/>
        <w:gridCol w:w="1030"/>
        <w:gridCol w:w="1643"/>
        <w:gridCol w:w="5908"/>
        <w:gridCol w:w="1073"/>
      </w:tblGrid>
      <w:tr w14:paraId="51DB5D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45" w:hRule="atLeast"/>
        </w:trPr>
        <w:tc>
          <w:tcPr>
            <w:tcW w:w="1493" w:type="dxa"/>
            <w:gridSpan w:val="2"/>
            <w:tcBorders>
              <w:top w:val="outset" w:color="auto" w:sz="6" w:space="0"/>
              <w:left w:val="outset" w:color="auto" w:sz="6" w:space="0"/>
              <w:bottom w:val="outset" w:color="auto" w:sz="6" w:space="0"/>
              <w:right w:val="outset" w:color="auto" w:sz="6" w:space="0"/>
            </w:tcBorders>
            <w:noWrap w:val="0"/>
            <w:vAlign w:val="center"/>
          </w:tcPr>
          <w:p w14:paraId="6279651D">
            <w:pPr>
              <w:pStyle w:val="70"/>
              <w:keepNext w:val="0"/>
              <w:keepLines w:val="0"/>
              <w:pageBreakBefore w:val="0"/>
              <w:shd w:val="clear"/>
              <w:kinsoku/>
              <w:wordWrap/>
              <w:overflowPunct/>
              <w:autoSpaceDE/>
              <w:autoSpaceDN/>
              <w:bidi w:val="0"/>
              <w:snapToGri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评分因素</w:t>
            </w:r>
          </w:p>
        </w:tc>
        <w:tc>
          <w:tcPr>
            <w:tcW w:w="1643" w:type="dxa"/>
            <w:tcBorders>
              <w:top w:val="outset" w:color="auto" w:sz="6" w:space="0"/>
              <w:left w:val="outset" w:color="auto" w:sz="6" w:space="0"/>
              <w:bottom w:val="outset" w:color="auto" w:sz="6" w:space="0"/>
              <w:right w:val="outset" w:color="auto" w:sz="6" w:space="0"/>
            </w:tcBorders>
            <w:noWrap w:val="0"/>
            <w:vAlign w:val="center"/>
          </w:tcPr>
          <w:p w14:paraId="4568C647">
            <w:pPr>
              <w:pStyle w:val="70"/>
              <w:keepNext w:val="0"/>
              <w:keepLines w:val="0"/>
              <w:pageBreakBefore w:val="0"/>
              <w:shd w:val="clear"/>
              <w:kinsoku/>
              <w:wordWrap/>
              <w:overflowPunct/>
              <w:autoSpaceDE/>
              <w:autoSpaceDN/>
              <w:bidi w:val="0"/>
              <w:snapToGri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评分点</w:t>
            </w:r>
          </w:p>
        </w:tc>
        <w:tc>
          <w:tcPr>
            <w:tcW w:w="5908" w:type="dxa"/>
            <w:tcBorders>
              <w:top w:val="outset" w:color="auto" w:sz="6" w:space="0"/>
              <w:left w:val="outset" w:color="auto" w:sz="6" w:space="0"/>
              <w:bottom w:val="outset" w:color="auto" w:sz="6" w:space="0"/>
              <w:right w:val="outset" w:color="auto" w:sz="6" w:space="0"/>
            </w:tcBorders>
            <w:noWrap w:val="0"/>
            <w:vAlign w:val="center"/>
          </w:tcPr>
          <w:p w14:paraId="1776D757">
            <w:pPr>
              <w:pStyle w:val="70"/>
              <w:keepNext w:val="0"/>
              <w:keepLines w:val="0"/>
              <w:pageBreakBefore w:val="0"/>
              <w:shd w:val="clear"/>
              <w:kinsoku/>
              <w:wordWrap/>
              <w:overflowPunct/>
              <w:autoSpaceDE/>
              <w:autoSpaceDN/>
              <w:bidi w:val="0"/>
              <w:snapToGri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评分标准</w:t>
            </w:r>
          </w:p>
        </w:tc>
        <w:tc>
          <w:tcPr>
            <w:tcW w:w="1073" w:type="dxa"/>
            <w:tcBorders>
              <w:top w:val="outset" w:color="auto" w:sz="6" w:space="0"/>
              <w:left w:val="outset" w:color="auto" w:sz="6" w:space="0"/>
              <w:bottom w:val="outset" w:color="auto" w:sz="6" w:space="0"/>
              <w:right w:val="outset" w:color="auto" w:sz="6" w:space="0"/>
            </w:tcBorders>
            <w:noWrap w:val="0"/>
            <w:vAlign w:val="center"/>
          </w:tcPr>
          <w:p w14:paraId="732C7799">
            <w:pPr>
              <w:pStyle w:val="70"/>
              <w:keepNext w:val="0"/>
              <w:keepLines w:val="0"/>
              <w:pageBreakBefore w:val="0"/>
              <w:shd w:val="clear"/>
              <w:kinsoku/>
              <w:wordWrap/>
              <w:overflowPunct/>
              <w:autoSpaceDE/>
              <w:autoSpaceDN/>
              <w:bidi w:val="0"/>
              <w:snapToGri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权重分配</w:t>
            </w:r>
          </w:p>
        </w:tc>
      </w:tr>
      <w:tr w14:paraId="37387AD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615" w:hRule="atLeast"/>
        </w:trPr>
        <w:tc>
          <w:tcPr>
            <w:tcW w:w="463" w:type="dxa"/>
            <w:vMerge w:val="restart"/>
            <w:tcBorders>
              <w:left w:val="outset" w:color="auto" w:sz="6" w:space="0"/>
              <w:right w:val="outset" w:color="auto" w:sz="6" w:space="0"/>
            </w:tcBorders>
            <w:noWrap w:val="0"/>
            <w:vAlign w:val="center"/>
          </w:tcPr>
          <w:p w14:paraId="59EB67A3">
            <w:pPr>
              <w:pStyle w:val="70"/>
              <w:keepNext w:val="0"/>
              <w:keepLines w:val="0"/>
              <w:pageBreakBefore w:val="0"/>
              <w:shd w:val="clear"/>
              <w:kinsoku/>
              <w:wordWrap/>
              <w:overflowPunct/>
              <w:autoSpaceDE/>
              <w:autoSpaceDN/>
              <w:bidi w:val="0"/>
              <w:snapToGrid/>
              <w:spacing w:line="240" w:lineRule="auto"/>
              <w:rPr>
                <w:rFonts w:hint="eastAsia" w:ascii="宋体" w:hAnsi="宋体" w:eastAsia="宋体" w:cs="宋体"/>
                <w:color w:val="auto"/>
                <w:sz w:val="24"/>
                <w:szCs w:val="24"/>
                <w:highlight w:val="none"/>
              </w:rPr>
            </w:pPr>
          </w:p>
        </w:tc>
        <w:tc>
          <w:tcPr>
            <w:tcW w:w="1030" w:type="dxa"/>
            <w:vMerge w:val="restart"/>
            <w:tcBorders>
              <w:left w:val="outset" w:color="auto" w:sz="6" w:space="0"/>
              <w:right w:val="outset" w:color="auto" w:sz="6" w:space="0"/>
            </w:tcBorders>
            <w:noWrap w:val="0"/>
            <w:vAlign w:val="center"/>
          </w:tcPr>
          <w:p w14:paraId="21CF61D4">
            <w:pPr>
              <w:keepNext w:val="0"/>
              <w:keepLines w:val="0"/>
              <w:pageBreakBefore w:val="0"/>
              <w:shd w:val="clear"/>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p w14:paraId="47E6BC84">
            <w:pPr>
              <w:keepNext w:val="0"/>
              <w:keepLines w:val="0"/>
              <w:pageBreakBefore w:val="0"/>
              <w:shd w:val="clear"/>
              <w:kinsoku/>
              <w:wordWrap/>
              <w:overflowPunct/>
              <w:topLinePunct/>
              <w:autoSpaceDE/>
              <w:autoSpaceDN/>
              <w:bidi w:val="0"/>
              <w:snapToGrid/>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val="zh-CN"/>
              </w:rPr>
              <w:t>技术评审</w:t>
            </w:r>
            <w:r>
              <w:rPr>
                <w:rFonts w:hint="eastAsia" w:ascii="宋体" w:hAnsi="宋体" w:eastAsia="宋体" w:cs="宋体"/>
                <w:color w:val="auto"/>
                <w:sz w:val="24"/>
                <w:szCs w:val="24"/>
                <w:highlight w:val="none"/>
              </w:rPr>
              <w:t>表</w:t>
            </w:r>
          </w:p>
          <w:p w14:paraId="72C6FB4D">
            <w:pPr>
              <w:keepNext w:val="0"/>
              <w:keepLines w:val="0"/>
              <w:pageBreakBefore w:val="0"/>
              <w:shd w:val="clear"/>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lang w:val="zh-CN"/>
              </w:rPr>
              <w:t>分）</w:t>
            </w:r>
          </w:p>
        </w:tc>
        <w:tc>
          <w:tcPr>
            <w:tcW w:w="1643" w:type="dxa"/>
            <w:tcBorders>
              <w:top w:val="outset" w:color="auto" w:sz="6" w:space="0"/>
              <w:left w:val="outset" w:color="auto" w:sz="6" w:space="0"/>
              <w:bottom w:val="outset" w:color="auto" w:sz="6" w:space="0"/>
              <w:right w:val="outset" w:color="auto" w:sz="6" w:space="0"/>
            </w:tcBorders>
            <w:noWrap w:val="0"/>
            <w:vAlign w:val="center"/>
          </w:tcPr>
          <w:p w14:paraId="4B67A33D">
            <w:pPr>
              <w:keepNext w:val="0"/>
              <w:keepLines w:val="0"/>
              <w:pageBreakBefore w:val="0"/>
              <w:shd w:val="clear"/>
              <w:kinsoku/>
              <w:wordWrap/>
              <w:overflowPunct/>
              <w:autoSpaceDE/>
              <w:autoSpaceDN/>
              <w:bidi w:val="0"/>
              <w:snapToGrid/>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5"/>
                <w:sz w:val="24"/>
                <w:szCs w:val="24"/>
                <w:highlight w:val="none"/>
              </w:rPr>
              <w:t>业绩</w:t>
            </w:r>
            <w:r>
              <w:rPr>
                <w:rFonts w:hint="eastAsia" w:ascii="宋体" w:hAnsi="宋体" w:eastAsia="宋体" w:cs="宋体"/>
                <w:color w:val="auto"/>
                <w:kern w:val="2"/>
                <w:sz w:val="24"/>
                <w:szCs w:val="24"/>
                <w:highlight w:val="none"/>
                <w:lang w:val="en-US" w:eastAsia="zh-CN" w:bidi="ar-SA"/>
              </w:rPr>
              <w:t>（5分）</w:t>
            </w:r>
          </w:p>
        </w:tc>
        <w:tc>
          <w:tcPr>
            <w:tcW w:w="5908" w:type="dxa"/>
            <w:tcBorders>
              <w:top w:val="outset" w:color="auto" w:sz="6" w:space="0"/>
              <w:left w:val="outset" w:color="auto" w:sz="6" w:space="0"/>
              <w:bottom w:val="outset" w:color="auto" w:sz="6" w:space="0"/>
              <w:right w:val="outset" w:color="auto" w:sz="6" w:space="0"/>
            </w:tcBorders>
            <w:noWrap w:val="0"/>
            <w:vAlign w:val="center"/>
          </w:tcPr>
          <w:p w14:paraId="733975E7">
            <w:pPr>
              <w:pStyle w:val="71"/>
              <w:keepNext w:val="0"/>
              <w:keepLines w:val="0"/>
              <w:pageBreakBefore w:val="0"/>
              <w:shd w:val="clear"/>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提供近3年（202</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月至今）的项目类似业绩，每项得1分，最高得5分，无业绩证明材料的不得分。</w:t>
            </w:r>
          </w:p>
          <w:p w14:paraId="646E0BBF">
            <w:pPr>
              <w:pStyle w:val="71"/>
              <w:keepNext w:val="0"/>
              <w:keepLines w:val="0"/>
              <w:pageBreakBefore w:val="0"/>
              <w:shd w:val="clear"/>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注：提供上述项目的合同（要点包括签约时间、项目名称、金额和双方盖章）或中标通知书，原件扫描件。否则该项业绩视为无效。</w:t>
            </w:r>
          </w:p>
        </w:tc>
        <w:tc>
          <w:tcPr>
            <w:tcW w:w="1073" w:type="dxa"/>
            <w:vMerge w:val="restart"/>
            <w:tcBorders>
              <w:left w:val="outset" w:color="auto" w:sz="6" w:space="0"/>
              <w:right w:val="outset" w:color="auto" w:sz="6" w:space="0"/>
            </w:tcBorders>
            <w:noWrap w:val="0"/>
            <w:vAlign w:val="center"/>
          </w:tcPr>
          <w:p w14:paraId="664B1926">
            <w:pPr>
              <w:pStyle w:val="70"/>
              <w:keepNext w:val="0"/>
              <w:keepLines w:val="0"/>
              <w:pageBreakBefore w:val="0"/>
              <w:shd w:val="clear"/>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70</w:t>
            </w:r>
            <w:r>
              <w:rPr>
                <w:rFonts w:hint="eastAsia" w:ascii="宋体" w:hAnsi="宋体" w:eastAsia="宋体" w:cs="宋体"/>
                <w:color w:val="auto"/>
                <w:kern w:val="2"/>
                <w:sz w:val="24"/>
                <w:szCs w:val="24"/>
                <w:highlight w:val="none"/>
                <w:lang w:val="en-US" w:eastAsia="zh-CN" w:bidi="ar-SA"/>
              </w:rPr>
              <w:t>分</w:t>
            </w:r>
          </w:p>
        </w:tc>
      </w:tr>
      <w:tr w14:paraId="358FF96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463" w:type="dxa"/>
            <w:vMerge w:val="continue"/>
            <w:tcBorders>
              <w:left w:val="outset" w:color="auto" w:sz="6" w:space="0"/>
              <w:right w:val="outset" w:color="auto" w:sz="6" w:space="0"/>
            </w:tcBorders>
            <w:noWrap w:val="0"/>
            <w:vAlign w:val="center"/>
          </w:tcPr>
          <w:p w14:paraId="04506988">
            <w:pPr>
              <w:pStyle w:val="70"/>
              <w:keepNext w:val="0"/>
              <w:keepLines w:val="0"/>
              <w:pageBreakBefore w:val="0"/>
              <w:shd w:val="clear"/>
              <w:kinsoku/>
              <w:wordWrap/>
              <w:overflowPunct/>
              <w:autoSpaceDE/>
              <w:autoSpaceDN/>
              <w:bidi w:val="0"/>
              <w:snapToGrid/>
              <w:spacing w:line="240" w:lineRule="auto"/>
              <w:rPr>
                <w:rFonts w:hint="eastAsia" w:ascii="宋体" w:hAnsi="宋体" w:eastAsia="宋体" w:cs="宋体"/>
                <w:color w:val="auto"/>
                <w:sz w:val="24"/>
                <w:szCs w:val="24"/>
                <w:highlight w:val="none"/>
              </w:rPr>
            </w:pPr>
          </w:p>
        </w:tc>
        <w:tc>
          <w:tcPr>
            <w:tcW w:w="1030" w:type="dxa"/>
            <w:vMerge w:val="continue"/>
            <w:tcBorders>
              <w:left w:val="outset" w:color="auto" w:sz="6" w:space="0"/>
              <w:right w:val="outset" w:color="auto" w:sz="6" w:space="0"/>
            </w:tcBorders>
            <w:noWrap w:val="0"/>
            <w:vAlign w:val="center"/>
          </w:tcPr>
          <w:p w14:paraId="5E0EEB95">
            <w:pPr>
              <w:keepNext w:val="0"/>
              <w:keepLines w:val="0"/>
              <w:pageBreakBefore w:val="0"/>
              <w:shd w:val="clear"/>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643" w:type="dxa"/>
            <w:tcBorders>
              <w:top w:val="outset" w:color="auto" w:sz="6" w:space="0"/>
              <w:left w:val="outset" w:color="auto" w:sz="6" w:space="0"/>
              <w:bottom w:val="outset" w:color="auto" w:sz="6" w:space="0"/>
              <w:right w:val="outset" w:color="auto" w:sz="6" w:space="0"/>
            </w:tcBorders>
            <w:noWrap w:val="0"/>
            <w:vAlign w:val="center"/>
          </w:tcPr>
          <w:p w14:paraId="0DADE910">
            <w:pPr>
              <w:pStyle w:val="37"/>
              <w:keepNext w:val="0"/>
              <w:keepLines w:val="0"/>
              <w:pageBreakBefore w:val="0"/>
              <w:shd w:val="clear"/>
              <w:kinsoku/>
              <w:wordWrap/>
              <w:overflowPunct/>
              <w:autoSpaceDE/>
              <w:autoSpaceDN/>
              <w:bidi w:val="0"/>
              <w:snapToGrid/>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配送车辆</w:t>
            </w:r>
          </w:p>
          <w:p w14:paraId="5316D642">
            <w:pPr>
              <w:pStyle w:val="37"/>
              <w:keepNext w:val="0"/>
              <w:keepLines w:val="0"/>
              <w:pageBreakBefore w:val="0"/>
              <w:shd w:val="clear"/>
              <w:kinsoku/>
              <w:wordWrap/>
              <w:overflowPunct/>
              <w:autoSpaceDE/>
              <w:autoSpaceDN/>
              <w:bidi w:val="0"/>
              <w:snapToGrid/>
              <w:spacing w:line="240" w:lineRule="auto"/>
              <w:ind w:left="0" w:leftChars="0" w:right="-58"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（7分）</w:t>
            </w:r>
          </w:p>
        </w:tc>
        <w:tc>
          <w:tcPr>
            <w:tcW w:w="5908" w:type="dxa"/>
            <w:tcBorders>
              <w:top w:val="outset" w:color="auto" w:sz="6" w:space="0"/>
              <w:left w:val="outset" w:color="auto" w:sz="6" w:space="0"/>
              <w:bottom w:val="outset" w:color="auto" w:sz="6" w:space="0"/>
              <w:right w:val="outset" w:color="auto" w:sz="6" w:space="0"/>
            </w:tcBorders>
            <w:noWrap w:val="0"/>
            <w:vAlign w:val="top"/>
          </w:tcPr>
          <w:p w14:paraId="47EE5E40">
            <w:pPr>
              <w:pStyle w:val="71"/>
              <w:keepNext w:val="0"/>
              <w:keepLines w:val="0"/>
              <w:pageBreakBefore w:val="0"/>
              <w:shd w:val="clear"/>
              <w:kinsoku/>
              <w:wordWrap/>
              <w:overflowPunct/>
              <w:autoSpaceDE/>
              <w:autoSpaceDN/>
              <w:bidi w:val="0"/>
              <w:snapToGrid/>
              <w:spacing w:line="240" w:lineRule="auto"/>
              <w:ind w:firstLine="0" w:firstLine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根据供应商拟用于本项目的配送车辆进行评分，供应商可针对本项目另行租赁车辆或提供自有供货车辆，供货车辆应符合招标文件及配送能力的要求（提供车辆图片、行驶证等证明材料）拟用于本项目的配送车辆：</w:t>
            </w:r>
          </w:p>
          <w:p w14:paraId="67EFBB50">
            <w:pPr>
              <w:pStyle w:val="71"/>
              <w:keepNext w:val="0"/>
              <w:keepLines w:val="0"/>
              <w:pageBreakBefore w:val="0"/>
              <w:shd w:val="clear"/>
              <w:kinsoku/>
              <w:wordWrap/>
              <w:overflowPunct/>
              <w:autoSpaceDE/>
              <w:autoSpaceDN/>
              <w:bidi w:val="0"/>
              <w:snapToGrid/>
              <w:spacing w:line="240" w:lineRule="auto"/>
              <w:ind w:firstLine="0" w:firstLine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1.具有一辆配送车辆得1分，在此基础上每增加一辆配送车辆加 1 分，最高得3分。</w:t>
            </w:r>
          </w:p>
          <w:p w14:paraId="01DBBB49">
            <w:pPr>
              <w:pStyle w:val="71"/>
              <w:keepNext w:val="0"/>
              <w:keepLines w:val="0"/>
              <w:pageBreakBefore w:val="0"/>
              <w:shd w:val="clear"/>
              <w:kinsoku/>
              <w:wordWrap/>
              <w:overflowPunct/>
              <w:autoSpaceDE/>
              <w:autoSpaceDN/>
              <w:bidi w:val="0"/>
              <w:snapToGrid/>
              <w:spacing w:line="240" w:lineRule="auto"/>
              <w:ind w:firstLine="0" w:firstLine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2.具有冷链车一辆得4分。最高得4分。 </w:t>
            </w:r>
          </w:p>
          <w:p w14:paraId="3E7D8B79">
            <w:pPr>
              <w:pStyle w:val="71"/>
              <w:keepNext w:val="0"/>
              <w:keepLines w:val="0"/>
              <w:pageBreakBefore w:val="0"/>
              <w:shd w:val="clear"/>
              <w:kinsoku/>
              <w:wordWrap/>
              <w:overflowPunct/>
              <w:autoSpaceDE/>
              <w:autoSpaceDN/>
              <w:bidi w:val="0"/>
              <w:snapToGrid/>
              <w:spacing w:line="240" w:lineRule="auto"/>
              <w:ind w:firstLine="0" w:firstLine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评分认定标准：</w:t>
            </w:r>
          </w:p>
          <w:p w14:paraId="355D8F49">
            <w:pPr>
              <w:pStyle w:val="71"/>
              <w:keepNext w:val="0"/>
              <w:keepLines w:val="0"/>
              <w:pageBreakBefore w:val="0"/>
              <w:shd w:val="clear"/>
              <w:kinsoku/>
              <w:wordWrap/>
              <w:overflowPunct/>
              <w:autoSpaceDE/>
              <w:autoSpaceDN/>
              <w:bidi w:val="0"/>
              <w:snapToGrid/>
              <w:spacing w:line="240" w:lineRule="auto"/>
              <w:ind w:firstLine="0" w:firstLine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1、拟用于本项目的每一辆车均须提供本车辆的行驶证或车辆登记证复印件（注：所提供证件须属同一牌号车辆）；</w:t>
            </w:r>
          </w:p>
          <w:p w14:paraId="51EDAEDD">
            <w:pPr>
              <w:pStyle w:val="71"/>
              <w:keepNext w:val="0"/>
              <w:keepLines w:val="0"/>
              <w:pageBreakBefore w:val="0"/>
              <w:shd w:val="clear"/>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2、供应商拥有自有车辆的提供行驶证或登记证或购买发票，所有人名称须与供应商一致；拥有租赁车辆的提供租赁协议复印件。（租赁协议截止时间在投标截止时间后）</w:t>
            </w:r>
          </w:p>
        </w:tc>
        <w:tc>
          <w:tcPr>
            <w:tcW w:w="1073" w:type="dxa"/>
            <w:vMerge w:val="continue"/>
            <w:tcBorders>
              <w:left w:val="outset" w:color="auto" w:sz="6" w:space="0"/>
              <w:right w:val="outset" w:color="auto" w:sz="6" w:space="0"/>
            </w:tcBorders>
            <w:noWrap w:val="0"/>
            <w:vAlign w:val="center"/>
          </w:tcPr>
          <w:p w14:paraId="0A2C63B3">
            <w:pPr>
              <w:keepNext w:val="0"/>
              <w:keepLines w:val="0"/>
              <w:pageBreakBefore w:val="0"/>
              <w:shd w:val="clear"/>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lang w:val="en-US" w:eastAsia="zh-CN" w:bidi="ar-SA"/>
              </w:rPr>
            </w:pPr>
          </w:p>
        </w:tc>
      </w:tr>
      <w:tr w14:paraId="3DD339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463" w:type="dxa"/>
            <w:vMerge w:val="continue"/>
            <w:tcBorders>
              <w:left w:val="outset" w:color="auto" w:sz="6" w:space="0"/>
              <w:right w:val="outset" w:color="auto" w:sz="6" w:space="0"/>
            </w:tcBorders>
            <w:noWrap w:val="0"/>
            <w:vAlign w:val="center"/>
          </w:tcPr>
          <w:p w14:paraId="2DC042BE">
            <w:pPr>
              <w:pStyle w:val="70"/>
              <w:keepNext w:val="0"/>
              <w:keepLines w:val="0"/>
              <w:pageBreakBefore w:val="0"/>
              <w:shd w:val="clear"/>
              <w:kinsoku/>
              <w:wordWrap/>
              <w:overflowPunct/>
              <w:autoSpaceDE/>
              <w:autoSpaceDN/>
              <w:bidi w:val="0"/>
              <w:snapToGrid/>
              <w:spacing w:line="240" w:lineRule="auto"/>
              <w:rPr>
                <w:rFonts w:hint="eastAsia" w:ascii="宋体" w:hAnsi="宋体" w:eastAsia="宋体" w:cs="宋体"/>
                <w:color w:val="auto"/>
                <w:sz w:val="24"/>
                <w:szCs w:val="24"/>
                <w:highlight w:val="none"/>
              </w:rPr>
            </w:pPr>
          </w:p>
        </w:tc>
        <w:tc>
          <w:tcPr>
            <w:tcW w:w="1030" w:type="dxa"/>
            <w:vMerge w:val="continue"/>
            <w:tcBorders>
              <w:left w:val="outset" w:color="auto" w:sz="6" w:space="0"/>
              <w:right w:val="outset" w:color="auto" w:sz="6" w:space="0"/>
            </w:tcBorders>
            <w:noWrap w:val="0"/>
            <w:vAlign w:val="center"/>
          </w:tcPr>
          <w:p w14:paraId="4EFA102C">
            <w:pPr>
              <w:keepNext w:val="0"/>
              <w:keepLines w:val="0"/>
              <w:pageBreakBefore w:val="0"/>
              <w:shd w:val="clear"/>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643" w:type="dxa"/>
            <w:tcBorders>
              <w:top w:val="outset" w:color="auto" w:sz="6" w:space="0"/>
              <w:left w:val="outset" w:color="auto" w:sz="6" w:space="0"/>
              <w:right w:val="outset" w:color="auto" w:sz="6" w:space="0"/>
            </w:tcBorders>
            <w:noWrap w:val="0"/>
            <w:vAlign w:val="center"/>
          </w:tcPr>
          <w:p w14:paraId="64F8957F">
            <w:pPr>
              <w:pStyle w:val="71"/>
              <w:keepNext w:val="0"/>
              <w:keepLines w:val="0"/>
              <w:pageBreakBefore w:val="0"/>
              <w:shd w:val="clear"/>
              <w:kinsoku/>
              <w:wordWrap/>
              <w:overflowPunct/>
              <w:autoSpaceDE/>
              <w:autoSpaceDN/>
              <w:bidi w:val="0"/>
              <w:snapToGrid/>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人员配备</w:t>
            </w:r>
          </w:p>
          <w:p w14:paraId="301B7FCC">
            <w:pPr>
              <w:pStyle w:val="71"/>
              <w:keepNext w:val="0"/>
              <w:keepLines w:val="0"/>
              <w:pageBreakBefore w:val="0"/>
              <w:shd w:val="clear"/>
              <w:kinsoku/>
              <w:wordWrap/>
              <w:overflowPunct/>
              <w:autoSpaceDE/>
              <w:autoSpaceDN/>
              <w:bidi w:val="0"/>
              <w:snapToGrid/>
              <w:spacing w:line="24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（6分）</w:t>
            </w:r>
          </w:p>
        </w:tc>
        <w:tc>
          <w:tcPr>
            <w:tcW w:w="5908" w:type="dxa"/>
            <w:tcBorders>
              <w:top w:val="outset" w:color="auto" w:sz="6" w:space="0"/>
              <w:left w:val="outset" w:color="auto" w:sz="6" w:space="0"/>
              <w:bottom w:val="outset" w:color="auto" w:sz="6" w:space="0"/>
              <w:right w:val="outset" w:color="auto" w:sz="6" w:space="0"/>
            </w:tcBorders>
            <w:noWrap w:val="0"/>
            <w:vAlign w:val="top"/>
          </w:tcPr>
          <w:p w14:paraId="574E73F0">
            <w:pPr>
              <w:pStyle w:val="71"/>
              <w:keepNext w:val="0"/>
              <w:keepLines w:val="0"/>
              <w:pageBreakBefore w:val="0"/>
              <w:shd w:val="clear"/>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1、拟投入本项目人员不少于4人（其中项目负责人 1 人，送货人员1人、售后服务人员 1 人、装卸人员1人），满足该人数得1分，每增加1人得1分，最多得3分(须提供人员登记表、人员简历、在本单位缴纳近三个月的社保缴纳证明或劳动合同），未提供或提供不全的不计入得分</w:t>
            </w:r>
          </w:p>
          <w:p w14:paraId="1184EF17">
            <w:pPr>
              <w:pStyle w:val="71"/>
              <w:keepNext w:val="0"/>
              <w:keepLines w:val="0"/>
              <w:pageBreakBefore w:val="0"/>
              <w:shd w:val="clear"/>
              <w:kinsoku/>
              <w:wordWrap/>
              <w:overflowPunct/>
              <w:autoSpaceDE/>
              <w:autoSpaceDN/>
              <w:bidi w:val="0"/>
              <w:snapToGrid/>
              <w:spacing w:line="240" w:lineRule="auto"/>
              <w:ind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2、本项目所配备人员每有1人持有健康证加0.5分，最多得3分。（需提供人员有效期内容健康证扫描件并加盖公章）未提供或提供不全的不计入得分</w:t>
            </w:r>
          </w:p>
        </w:tc>
        <w:tc>
          <w:tcPr>
            <w:tcW w:w="1073" w:type="dxa"/>
            <w:vMerge w:val="continue"/>
            <w:tcBorders>
              <w:left w:val="outset" w:color="auto" w:sz="6" w:space="0"/>
              <w:right w:val="outset" w:color="auto" w:sz="6" w:space="0"/>
            </w:tcBorders>
            <w:noWrap w:val="0"/>
            <w:vAlign w:val="center"/>
          </w:tcPr>
          <w:p w14:paraId="7178E722">
            <w:pPr>
              <w:pStyle w:val="70"/>
              <w:keepNext w:val="0"/>
              <w:keepLines w:val="0"/>
              <w:pageBreakBefore w:val="0"/>
              <w:shd w:val="clear"/>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rPr>
            </w:pPr>
          </w:p>
        </w:tc>
      </w:tr>
      <w:tr w14:paraId="0D4CBDE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116" w:hRule="atLeast"/>
        </w:trPr>
        <w:tc>
          <w:tcPr>
            <w:tcW w:w="463" w:type="dxa"/>
            <w:vMerge w:val="continue"/>
            <w:tcBorders>
              <w:left w:val="outset" w:color="auto" w:sz="6" w:space="0"/>
              <w:right w:val="outset" w:color="auto" w:sz="6" w:space="0"/>
            </w:tcBorders>
            <w:noWrap w:val="0"/>
            <w:vAlign w:val="center"/>
          </w:tcPr>
          <w:p w14:paraId="7DD3F074">
            <w:pPr>
              <w:pStyle w:val="70"/>
              <w:keepNext w:val="0"/>
              <w:keepLines w:val="0"/>
              <w:pageBreakBefore w:val="0"/>
              <w:shd w:val="clear"/>
              <w:kinsoku/>
              <w:wordWrap/>
              <w:overflowPunct/>
              <w:autoSpaceDE/>
              <w:autoSpaceDN/>
              <w:bidi w:val="0"/>
              <w:snapToGrid/>
              <w:spacing w:line="240" w:lineRule="auto"/>
              <w:rPr>
                <w:rFonts w:hint="eastAsia" w:ascii="宋体" w:hAnsi="宋体" w:eastAsia="宋体" w:cs="宋体"/>
                <w:color w:val="auto"/>
                <w:sz w:val="24"/>
                <w:szCs w:val="24"/>
                <w:highlight w:val="none"/>
              </w:rPr>
            </w:pPr>
          </w:p>
        </w:tc>
        <w:tc>
          <w:tcPr>
            <w:tcW w:w="1030" w:type="dxa"/>
            <w:vMerge w:val="continue"/>
            <w:tcBorders>
              <w:left w:val="outset" w:color="auto" w:sz="6" w:space="0"/>
              <w:right w:val="outset" w:color="auto" w:sz="6" w:space="0"/>
            </w:tcBorders>
            <w:noWrap w:val="0"/>
            <w:vAlign w:val="center"/>
          </w:tcPr>
          <w:p w14:paraId="592C82BD">
            <w:pPr>
              <w:keepNext w:val="0"/>
              <w:keepLines w:val="0"/>
              <w:pageBreakBefore w:val="0"/>
              <w:shd w:val="clear"/>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643" w:type="dxa"/>
            <w:tcBorders>
              <w:top w:val="outset" w:color="auto" w:sz="6" w:space="0"/>
              <w:left w:val="outset" w:color="auto" w:sz="6" w:space="0"/>
              <w:right w:val="outset" w:color="auto" w:sz="6" w:space="0"/>
            </w:tcBorders>
            <w:noWrap w:val="0"/>
            <w:vAlign w:val="center"/>
          </w:tcPr>
          <w:p w14:paraId="38C7D047">
            <w:pPr>
              <w:pStyle w:val="71"/>
              <w:keepNext w:val="0"/>
              <w:keepLines w:val="0"/>
              <w:pageBreakBefore w:val="0"/>
              <w:shd w:val="clear"/>
              <w:kinsoku/>
              <w:wordWrap/>
              <w:overflowPunct/>
              <w:autoSpaceDE/>
              <w:autoSpaceDN/>
              <w:bidi w:val="0"/>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产品质量和售后服务承诺（12分）</w:t>
            </w:r>
          </w:p>
        </w:tc>
        <w:tc>
          <w:tcPr>
            <w:tcW w:w="5908" w:type="dxa"/>
            <w:tcBorders>
              <w:top w:val="outset" w:color="auto" w:sz="6" w:space="0"/>
              <w:left w:val="outset" w:color="auto" w:sz="6" w:space="0"/>
              <w:bottom w:val="outset" w:color="auto" w:sz="6" w:space="0"/>
              <w:right w:val="outset" w:color="auto" w:sz="6" w:space="0"/>
            </w:tcBorders>
            <w:noWrap w:val="0"/>
            <w:vAlign w:val="center"/>
          </w:tcPr>
          <w:p w14:paraId="5CE1BFBC">
            <w:pPr>
              <w:pStyle w:val="71"/>
              <w:keepNext w:val="0"/>
              <w:keepLines w:val="0"/>
              <w:pageBreakBefore w:val="0"/>
              <w:shd w:val="clear"/>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提供详细的①产品质量；②安全承诺；③保障办法；④售后服务承诺。能明确所投产品的来源和渠道，确保所投产品的品质、外观等要求，及时解决采购人提出的要求，针对开袋发霉、过期等问题的产品提供免费等承诺的:以上四项方案合理清晰、切实可行的得12分；以上有响应但内容描写不细致或可行性较差或套用其他项目的，每有一项扣2分；以上有缺项的，每缺一项扣3分，扣完为止</w:t>
            </w:r>
          </w:p>
          <w:p w14:paraId="57A5E5CC">
            <w:pPr>
              <w:pStyle w:val="71"/>
              <w:keepNext w:val="0"/>
              <w:keepLines w:val="0"/>
              <w:pageBreakBefore w:val="0"/>
              <w:shd w:val="clear"/>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需根据所投标段提供针对性服务方案。</w:t>
            </w:r>
          </w:p>
        </w:tc>
        <w:tc>
          <w:tcPr>
            <w:tcW w:w="1073" w:type="dxa"/>
            <w:vMerge w:val="continue"/>
            <w:tcBorders>
              <w:left w:val="outset" w:color="auto" w:sz="6" w:space="0"/>
              <w:right w:val="outset" w:color="auto" w:sz="6" w:space="0"/>
            </w:tcBorders>
            <w:noWrap w:val="0"/>
            <w:vAlign w:val="center"/>
          </w:tcPr>
          <w:p w14:paraId="41D4CE18">
            <w:pPr>
              <w:pStyle w:val="70"/>
              <w:keepNext w:val="0"/>
              <w:keepLines w:val="0"/>
              <w:pageBreakBefore w:val="0"/>
              <w:shd w:val="clear"/>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lang w:val="zh-CN"/>
              </w:rPr>
            </w:pPr>
          </w:p>
        </w:tc>
      </w:tr>
      <w:tr w14:paraId="70409AE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56" w:hRule="atLeast"/>
        </w:trPr>
        <w:tc>
          <w:tcPr>
            <w:tcW w:w="463" w:type="dxa"/>
            <w:vMerge w:val="continue"/>
            <w:tcBorders>
              <w:left w:val="outset" w:color="auto" w:sz="6" w:space="0"/>
              <w:right w:val="outset" w:color="auto" w:sz="6" w:space="0"/>
            </w:tcBorders>
            <w:noWrap w:val="0"/>
            <w:vAlign w:val="center"/>
          </w:tcPr>
          <w:p w14:paraId="6BA854E7">
            <w:pPr>
              <w:pStyle w:val="70"/>
              <w:keepNext w:val="0"/>
              <w:keepLines w:val="0"/>
              <w:pageBreakBefore w:val="0"/>
              <w:shd w:val="clear"/>
              <w:kinsoku/>
              <w:wordWrap/>
              <w:overflowPunct/>
              <w:autoSpaceDE/>
              <w:autoSpaceDN/>
              <w:bidi w:val="0"/>
              <w:snapToGrid/>
              <w:spacing w:line="240" w:lineRule="auto"/>
              <w:rPr>
                <w:rFonts w:hint="eastAsia" w:ascii="宋体" w:hAnsi="宋体" w:eastAsia="宋体" w:cs="宋体"/>
                <w:color w:val="auto"/>
                <w:sz w:val="24"/>
                <w:szCs w:val="24"/>
                <w:highlight w:val="none"/>
              </w:rPr>
            </w:pPr>
          </w:p>
        </w:tc>
        <w:tc>
          <w:tcPr>
            <w:tcW w:w="1030" w:type="dxa"/>
            <w:vMerge w:val="continue"/>
            <w:tcBorders>
              <w:left w:val="outset" w:color="auto" w:sz="6" w:space="0"/>
              <w:right w:val="outset" w:color="auto" w:sz="6" w:space="0"/>
            </w:tcBorders>
            <w:noWrap w:val="0"/>
            <w:vAlign w:val="center"/>
          </w:tcPr>
          <w:p w14:paraId="35DB7D4A">
            <w:pPr>
              <w:keepNext w:val="0"/>
              <w:keepLines w:val="0"/>
              <w:pageBreakBefore w:val="0"/>
              <w:shd w:val="clear"/>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643" w:type="dxa"/>
            <w:tcBorders>
              <w:top w:val="outset" w:color="auto" w:sz="6" w:space="0"/>
              <w:left w:val="outset" w:color="auto" w:sz="6" w:space="0"/>
              <w:right w:val="outset" w:color="auto" w:sz="6" w:space="0"/>
            </w:tcBorders>
            <w:noWrap w:val="0"/>
            <w:vAlign w:val="center"/>
          </w:tcPr>
          <w:p w14:paraId="6CEFE75E">
            <w:pPr>
              <w:pStyle w:val="71"/>
              <w:keepNext w:val="0"/>
              <w:keepLines w:val="0"/>
              <w:pageBreakBefore w:val="0"/>
              <w:shd w:val="clear"/>
              <w:kinsoku/>
              <w:wordWrap/>
              <w:overflowPunct/>
              <w:autoSpaceDE/>
              <w:autoSpaceDN/>
              <w:bidi w:val="0"/>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项目管理制度（10分）</w:t>
            </w:r>
          </w:p>
        </w:tc>
        <w:tc>
          <w:tcPr>
            <w:tcW w:w="5908" w:type="dxa"/>
            <w:tcBorders>
              <w:top w:val="outset" w:color="auto" w:sz="6" w:space="0"/>
              <w:left w:val="outset" w:color="auto" w:sz="6" w:space="0"/>
              <w:bottom w:val="single" w:color="auto" w:sz="4" w:space="0"/>
              <w:right w:val="outset" w:color="auto" w:sz="6" w:space="0"/>
            </w:tcBorders>
            <w:noWrap w:val="0"/>
            <w:vAlign w:val="center"/>
          </w:tcPr>
          <w:p w14:paraId="4B906029">
            <w:pPr>
              <w:pStyle w:val="71"/>
              <w:keepNext w:val="0"/>
              <w:keepLines w:val="0"/>
              <w:pageBreakBefore w:val="0"/>
              <w:shd w:val="clear"/>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针对本项目制定的项目管理制度进行评审，方案包括:①食品采购管理制度；②食品库存管理制度；③食品质量自检制度；④工作人员管理制度；⑤运输车辆管理制度。以上有响应但内容描写不细致或可行性较差或套用其他项目的，每有一项扣1分；以上有缺项的，每缺一项扣2分，扣完为止</w:t>
            </w:r>
          </w:p>
          <w:p w14:paraId="59A7F932">
            <w:pPr>
              <w:pStyle w:val="71"/>
              <w:keepNext w:val="0"/>
              <w:keepLines w:val="0"/>
              <w:pageBreakBefore w:val="0"/>
              <w:shd w:val="clear"/>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需根据所投标段提供针对性服务方案。</w:t>
            </w:r>
          </w:p>
        </w:tc>
        <w:tc>
          <w:tcPr>
            <w:tcW w:w="1073" w:type="dxa"/>
            <w:vMerge w:val="continue"/>
            <w:tcBorders>
              <w:left w:val="outset" w:color="auto" w:sz="6" w:space="0"/>
              <w:right w:val="outset" w:color="auto" w:sz="6" w:space="0"/>
            </w:tcBorders>
            <w:noWrap w:val="0"/>
            <w:vAlign w:val="center"/>
          </w:tcPr>
          <w:p w14:paraId="5B3AFDC9">
            <w:pPr>
              <w:pStyle w:val="70"/>
              <w:keepNext w:val="0"/>
              <w:keepLines w:val="0"/>
              <w:pageBreakBefore w:val="0"/>
              <w:shd w:val="clear"/>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lang w:val="zh-CN"/>
              </w:rPr>
            </w:pPr>
          </w:p>
        </w:tc>
      </w:tr>
      <w:tr w14:paraId="183EA77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45" w:hRule="atLeast"/>
        </w:trPr>
        <w:tc>
          <w:tcPr>
            <w:tcW w:w="463" w:type="dxa"/>
            <w:vMerge w:val="continue"/>
            <w:tcBorders>
              <w:left w:val="outset" w:color="auto" w:sz="6" w:space="0"/>
              <w:right w:val="outset" w:color="auto" w:sz="6" w:space="0"/>
            </w:tcBorders>
            <w:noWrap w:val="0"/>
            <w:vAlign w:val="center"/>
          </w:tcPr>
          <w:p w14:paraId="74A5AC7C">
            <w:pPr>
              <w:pStyle w:val="70"/>
              <w:keepNext w:val="0"/>
              <w:keepLines w:val="0"/>
              <w:pageBreakBefore w:val="0"/>
              <w:shd w:val="clear"/>
              <w:kinsoku/>
              <w:wordWrap/>
              <w:overflowPunct/>
              <w:autoSpaceDE/>
              <w:autoSpaceDN/>
              <w:bidi w:val="0"/>
              <w:snapToGrid/>
              <w:spacing w:line="240" w:lineRule="auto"/>
              <w:rPr>
                <w:rFonts w:hint="eastAsia" w:ascii="宋体" w:hAnsi="宋体" w:eastAsia="宋体" w:cs="宋体"/>
                <w:color w:val="auto"/>
                <w:sz w:val="24"/>
                <w:szCs w:val="24"/>
                <w:highlight w:val="none"/>
              </w:rPr>
            </w:pPr>
          </w:p>
        </w:tc>
        <w:tc>
          <w:tcPr>
            <w:tcW w:w="1030" w:type="dxa"/>
            <w:vMerge w:val="continue"/>
            <w:tcBorders>
              <w:left w:val="outset" w:color="auto" w:sz="6" w:space="0"/>
              <w:right w:val="outset" w:color="auto" w:sz="6" w:space="0"/>
            </w:tcBorders>
            <w:noWrap w:val="0"/>
            <w:vAlign w:val="center"/>
          </w:tcPr>
          <w:p w14:paraId="41C8E37F">
            <w:pPr>
              <w:keepNext w:val="0"/>
              <w:keepLines w:val="0"/>
              <w:pageBreakBefore w:val="0"/>
              <w:shd w:val="clear"/>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643" w:type="dxa"/>
            <w:tcBorders>
              <w:top w:val="outset" w:color="auto" w:sz="6" w:space="0"/>
              <w:left w:val="outset" w:color="auto" w:sz="6" w:space="0"/>
              <w:bottom w:val="outset" w:color="auto" w:sz="6" w:space="0"/>
              <w:right w:val="outset" w:color="auto" w:sz="6" w:space="0"/>
            </w:tcBorders>
            <w:noWrap w:val="0"/>
            <w:vAlign w:val="center"/>
          </w:tcPr>
          <w:p w14:paraId="0CFFEECA">
            <w:pPr>
              <w:pStyle w:val="71"/>
              <w:keepNext w:val="0"/>
              <w:keepLines w:val="0"/>
              <w:pageBreakBefore w:val="0"/>
              <w:shd w:val="clear"/>
              <w:kinsoku/>
              <w:wordWrap/>
              <w:overflowPunct/>
              <w:autoSpaceDE/>
              <w:autoSpaceDN/>
              <w:bidi w:val="0"/>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食材安全管理方案</w:t>
            </w:r>
          </w:p>
          <w:p w14:paraId="58120CA5">
            <w:pPr>
              <w:pStyle w:val="71"/>
              <w:keepNext w:val="0"/>
              <w:keepLines w:val="0"/>
              <w:pageBreakBefore w:val="0"/>
              <w:shd w:val="clear"/>
              <w:kinsoku/>
              <w:wordWrap/>
              <w:overflowPunct/>
              <w:autoSpaceDE/>
              <w:autoSpaceDN/>
              <w:bidi w:val="0"/>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（10分）</w:t>
            </w:r>
          </w:p>
        </w:tc>
        <w:tc>
          <w:tcPr>
            <w:tcW w:w="5908" w:type="dxa"/>
            <w:tcBorders>
              <w:top w:val="outset" w:color="auto" w:sz="6" w:space="0"/>
              <w:left w:val="outset" w:color="auto" w:sz="6" w:space="0"/>
              <w:bottom w:val="outset" w:color="auto" w:sz="6" w:space="0"/>
              <w:right w:val="outset" w:color="auto" w:sz="6" w:space="0"/>
            </w:tcBorders>
            <w:noWrap w:val="0"/>
            <w:vAlign w:val="center"/>
          </w:tcPr>
          <w:p w14:paraId="42F0C1CA">
            <w:pPr>
              <w:pStyle w:val="71"/>
              <w:keepNext w:val="0"/>
              <w:keepLines w:val="0"/>
              <w:pageBreakBefore w:val="0"/>
              <w:shd w:val="clear"/>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针对本项目制定的安全卫生管理措施进行评审，方案包括①食品卫生、食品安全控制措施；②不合格食品退换货及销毁管理措施、价格虚高处罚管理办法；③项目配备人员安全卫生管控措施；④缺送漏送的解决、变质货品的更换、临时少量货品的及时送货问题。以上有响应但内容描写不细致或可行性较差或套用其他项目的，每有一项扣1.5分；以上有缺项的，每缺一项扣2.5分，扣完为止</w:t>
            </w:r>
          </w:p>
          <w:p w14:paraId="304C79CD">
            <w:pPr>
              <w:pStyle w:val="71"/>
              <w:keepNext w:val="0"/>
              <w:keepLines w:val="0"/>
              <w:pageBreakBefore w:val="0"/>
              <w:shd w:val="clear"/>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需根据所投标段提供针对性服务方案。</w:t>
            </w:r>
          </w:p>
        </w:tc>
        <w:tc>
          <w:tcPr>
            <w:tcW w:w="1073" w:type="dxa"/>
            <w:vMerge w:val="continue"/>
            <w:tcBorders>
              <w:left w:val="outset" w:color="auto" w:sz="6" w:space="0"/>
              <w:right w:val="outset" w:color="auto" w:sz="6" w:space="0"/>
            </w:tcBorders>
            <w:noWrap w:val="0"/>
            <w:vAlign w:val="center"/>
          </w:tcPr>
          <w:p w14:paraId="47A07F0F">
            <w:pPr>
              <w:pStyle w:val="70"/>
              <w:keepNext w:val="0"/>
              <w:keepLines w:val="0"/>
              <w:pageBreakBefore w:val="0"/>
              <w:shd w:val="clear"/>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lang w:val="zh-CN"/>
              </w:rPr>
            </w:pPr>
          </w:p>
        </w:tc>
      </w:tr>
      <w:tr w14:paraId="69BF0E8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651" w:hRule="atLeast"/>
        </w:trPr>
        <w:tc>
          <w:tcPr>
            <w:tcW w:w="463" w:type="dxa"/>
            <w:tcBorders>
              <w:left w:val="outset" w:color="auto" w:sz="6" w:space="0"/>
              <w:right w:val="outset" w:color="auto" w:sz="6" w:space="0"/>
            </w:tcBorders>
            <w:noWrap w:val="0"/>
            <w:vAlign w:val="center"/>
          </w:tcPr>
          <w:p w14:paraId="133653D2">
            <w:pPr>
              <w:pStyle w:val="70"/>
              <w:keepNext w:val="0"/>
              <w:keepLines w:val="0"/>
              <w:pageBreakBefore w:val="0"/>
              <w:shd w:val="clear"/>
              <w:kinsoku/>
              <w:wordWrap/>
              <w:overflowPunct/>
              <w:autoSpaceDE/>
              <w:autoSpaceDN/>
              <w:bidi w:val="0"/>
              <w:snapToGrid/>
              <w:spacing w:line="240" w:lineRule="auto"/>
              <w:rPr>
                <w:rFonts w:hint="eastAsia" w:ascii="宋体" w:hAnsi="宋体" w:eastAsia="宋体" w:cs="宋体"/>
                <w:color w:val="auto"/>
                <w:sz w:val="24"/>
                <w:szCs w:val="24"/>
                <w:highlight w:val="none"/>
              </w:rPr>
            </w:pPr>
          </w:p>
        </w:tc>
        <w:tc>
          <w:tcPr>
            <w:tcW w:w="1030" w:type="dxa"/>
            <w:vMerge w:val="continue"/>
            <w:tcBorders>
              <w:left w:val="outset" w:color="auto" w:sz="6" w:space="0"/>
              <w:right w:val="outset" w:color="auto" w:sz="6" w:space="0"/>
            </w:tcBorders>
            <w:noWrap w:val="0"/>
            <w:vAlign w:val="center"/>
          </w:tcPr>
          <w:p w14:paraId="2EE518DC">
            <w:pPr>
              <w:keepNext w:val="0"/>
              <w:keepLines w:val="0"/>
              <w:pageBreakBefore w:val="0"/>
              <w:shd w:val="clear"/>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643" w:type="dxa"/>
            <w:tcBorders>
              <w:top w:val="outset" w:color="auto" w:sz="6" w:space="0"/>
              <w:left w:val="outset" w:color="auto" w:sz="6" w:space="0"/>
              <w:bottom w:val="outset" w:color="auto" w:sz="6" w:space="0"/>
              <w:right w:val="outset" w:color="auto" w:sz="6" w:space="0"/>
            </w:tcBorders>
            <w:noWrap w:val="0"/>
            <w:vAlign w:val="center"/>
          </w:tcPr>
          <w:p w14:paraId="1CA417E8">
            <w:pPr>
              <w:pStyle w:val="71"/>
              <w:keepNext w:val="0"/>
              <w:keepLines w:val="0"/>
              <w:pageBreakBefore w:val="0"/>
              <w:shd w:val="clear"/>
              <w:kinsoku/>
              <w:wordWrap/>
              <w:overflowPunct/>
              <w:autoSpaceDE/>
              <w:autoSpaceDN/>
              <w:bidi w:val="0"/>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储存、保鲜方案</w:t>
            </w:r>
          </w:p>
          <w:p w14:paraId="75E050FF">
            <w:pPr>
              <w:pStyle w:val="71"/>
              <w:keepNext w:val="0"/>
              <w:keepLines w:val="0"/>
              <w:pageBreakBefore w:val="0"/>
              <w:shd w:val="clear"/>
              <w:kinsoku/>
              <w:wordWrap/>
              <w:overflowPunct/>
              <w:autoSpaceDE/>
              <w:autoSpaceDN/>
              <w:bidi w:val="0"/>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（10分）</w:t>
            </w:r>
          </w:p>
        </w:tc>
        <w:tc>
          <w:tcPr>
            <w:tcW w:w="5908" w:type="dxa"/>
            <w:tcBorders>
              <w:top w:val="outset" w:color="auto" w:sz="6" w:space="0"/>
              <w:left w:val="outset" w:color="auto" w:sz="6" w:space="0"/>
              <w:bottom w:val="outset" w:color="auto" w:sz="6" w:space="0"/>
              <w:right w:val="outset" w:color="auto" w:sz="6" w:space="0"/>
            </w:tcBorders>
            <w:noWrap w:val="0"/>
            <w:vAlign w:val="center"/>
          </w:tcPr>
          <w:p w14:paraId="42CAB45C">
            <w:pPr>
              <w:pStyle w:val="71"/>
              <w:keepNext w:val="0"/>
              <w:keepLines w:val="0"/>
              <w:pageBreakBefore w:val="0"/>
              <w:shd w:val="clear"/>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标的物的：①储存方案；②保鲜方案，储序、保鲜措施完善，管理制度严格，设备齐全(冷藏车、保鲜库、冷冻库)。所有要素齐全且完全满足项目要求得10分，每缺一个要素扣5分，每个要素里每有一处内容缺(缺陷是指:存在不适用项目实际情况的情形、凭空编造、内容前后不一致、前后逻辑错误、涉及的规范及标准错误、地点区城错误、内容缺失、不符合采购需求等)扣 2分(扣光为止)</w:t>
            </w:r>
          </w:p>
          <w:p w14:paraId="6ACB765E">
            <w:pPr>
              <w:pStyle w:val="71"/>
              <w:keepNext w:val="0"/>
              <w:keepLines w:val="0"/>
              <w:pageBreakBefore w:val="0"/>
              <w:shd w:val="clear"/>
              <w:kinsoku/>
              <w:wordWrap/>
              <w:overflowPunct/>
              <w:autoSpaceDE/>
              <w:autoSpaceDN/>
              <w:bidi w:val="0"/>
              <w:snapToGrid/>
              <w:spacing w:line="240" w:lineRule="auto"/>
              <w:ind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保鲜库、冷冻库需提供响应证明材料，如房产证、不动产证、有效期内的租赁协议等相关证明材料。</w:t>
            </w:r>
          </w:p>
          <w:p w14:paraId="2DFD93AE">
            <w:pPr>
              <w:pStyle w:val="71"/>
              <w:keepNext w:val="0"/>
              <w:keepLines w:val="0"/>
              <w:pageBreakBefore w:val="0"/>
              <w:shd w:val="clear"/>
              <w:kinsoku/>
              <w:wordWrap/>
              <w:overflowPunct/>
              <w:autoSpaceDE/>
              <w:autoSpaceDN/>
              <w:bidi w:val="0"/>
              <w:snapToGrid/>
              <w:spacing w:line="240" w:lineRule="auto"/>
              <w:ind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需根据所投标段提供针对性服务方案。</w:t>
            </w:r>
          </w:p>
        </w:tc>
        <w:tc>
          <w:tcPr>
            <w:tcW w:w="1073" w:type="dxa"/>
            <w:tcBorders>
              <w:left w:val="outset" w:color="auto" w:sz="6" w:space="0"/>
              <w:right w:val="outset" w:color="auto" w:sz="6" w:space="0"/>
            </w:tcBorders>
            <w:noWrap w:val="0"/>
            <w:vAlign w:val="center"/>
          </w:tcPr>
          <w:p w14:paraId="19EE8AF2">
            <w:pPr>
              <w:pStyle w:val="70"/>
              <w:keepNext w:val="0"/>
              <w:keepLines w:val="0"/>
              <w:pageBreakBefore w:val="0"/>
              <w:shd w:val="clear"/>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lang w:val="zh-CN"/>
              </w:rPr>
            </w:pPr>
          </w:p>
        </w:tc>
      </w:tr>
      <w:tr w14:paraId="0BDB9E7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57" w:hRule="atLeast"/>
        </w:trPr>
        <w:tc>
          <w:tcPr>
            <w:tcW w:w="463" w:type="dxa"/>
            <w:tcBorders>
              <w:left w:val="outset" w:color="auto" w:sz="6" w:space="0"/>
              <w:right w:val="outset" w:color="auto" w:sz="6" w:space="0"/>
            </w:tcBorders>
            <w:noWrap w:val="0"/>
            <w:vAlign w:val="center"/>
          </w:tcPr>
          <w:p w14:paraId="15A7657A">
            <w:pPr>
              <w:pStyle w:val="70"/>
              <w:keepNext w:val="0"/>
              <w:keepLines w:val="0"/>
              <w:pageBreakBefore w:val="0"/>
              <w:shd w:val="clear"/>
              <w:kinsoku/>
              <w:wordWrap/>
              <w:overflowPunct/>
              <w:autoSpaceDE/>
              <w:autoSpaceDN/>
              <w:bidi w:val="0"/>
              <w:snapToGrid/>
              <w:spacing w:line="240" w:lineRule="auto"/>
              <w:rPr>
                <w:rFonts w:hint="eastAsia" w:ascii="宋体" w:hAnsi="宋体" w:eastAsia="宋体" w:cs="宋体"/>
                <w:color w:val="auto"/>
                <w:sz w:val="24"/>
                <w:szCs w:val="24"/>
                <w:highlight w:val="none"/>
              </w:rPr>
            </w:pPr>
          </w:p>
        </w:tc>
        <w:tc>
          <w:tcPr>
            <w:tcW w:w="1030" w:type="dxa"/>
            <w:vMerge w:val="continue"/>
            <w:tcBorders>
              <w:left w:val="outset" w:color="auto" w:sz="6" w:space="0"/>
              <w:right w:val="outset" w:color="auto" w:sz="6" w:space="0"/>
            </w:tcBorders>
            <w:noWrap w:val="0"/>
            <w:vAlign w:val="center"/>
          </w:tcPr>
          <w:p w14:paraId="420ABE87">
            <w:pPr>
              <w:keepNext w:val="0"/>
              <w:keepLines w:val="0"/>
              <w:pageBreakBefore w:val="0"/>
              <w:shd w:val="clear"/>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c>
          <w:tcPr>
            <w:tcW w:w="1643" w:type="dxa"/>
            <w:tcBorders>
              <w:top w:val="outset" w:color="auto" w:sz="6" w:space="0"/>
              <w:left w:val="outset" w:color="auto" w:sz="6" w:space="0"/>
              <w:bottom w:val="outset" w:color="auto" w:sz="6" w:space="0"/>
              <w:right w:val="outset" w:color="auto" w:sz="6" w:space="0"/>
            </w:tcBorders>
            <w:noWrap w:val="0"/>
            <w:vAlign w:val="center"/>
          </w:tcPr>
          <w:p w14:paraId="3A3C6A12">
            <w:pPr>
              <w:pStyle w:val="71"/>
              <w:keepNext w:val="0"/>
              <w:keepLines w:val="0"/>
              <w:pageBreakBefore w:val="0"/>
              <w:shd w:val="clear"/>
              <w:kinsoku/>
              <w:wordWrap/>
              <w:overflowPunct/>
              <w:autoSpaceDE/>
              <w:autoSpaceDN/>
              <w:bidi w:val="0"/>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配送方案</w:t>
            </w:r>
          </w:p>
          <w:p w14:paraId="7DECE79A">
            <w:pPr>
              <w:pStyle w:val="71"/>
              <w:keepNext w:val="0"/>
              <w:keepLines w:val="0"/>
              <w:pageBreakBefore w:val="0"/>
              <w:shd w:val="clear"/>
              <w:kinsoku/>
              <w:wordWrap/>
              <w:overflowPunct/>
              <w:autoSpaceDE/>
              <w:autoSpaceDN/>
              <w:bidi w:val="0"/>
              <w:snapToGrid/>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（10分）</w:t>
            </w:r>
          </w:p>
        </w:tc>
        <w:tc>
          <w:tcPr>
            <w:tcW w:w="5908" w:type="dxa"/>
            <w:tcBorders>
              <w:top w:val="outset" w:color="auto" w:sz="6" w:space="0"/>
              <w:left w:val="outset" w:color="auto" w:sz="6" w:space="0"/>
              <w:bottom w:val="outset" w:color="auto" w:sz="6" w:space="0"/>
              <w:right w:val="outset" w:color="auto" w:sz="6" w:space="0"/>
            </w:tcBorders>
            <w:noWrap w:val="0"/>
            <w:vAlign w:val="center"/>
          </w:tcPr>
          <w:p w14:paraId="05FC7AF6">
            <w:pPr>
              <w:pStyle w:val="71"/>
              <w:keepNext w:val="0"/>
              <w:keepLines w:val="0"/>
              <w:pageBreakBefore w:val="0"/>
              <w:numPr>
                <w:ilvl w:val="0"/>
                <w:numId w:val="0"/>
              </w:numPr>
              <w:shd w:val="clear"/>
              <w:kinsoku/>
              <w:wordWrap/>
              <w:overflowPunct/>
              <w:autoSpaceDE/>
              <w:autoSpaceDN/>
              <w:bidi w:val="0"/>
              <w:snapToGrid/>
              <w:spacing w:line="24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highlight w:val="none"/>
                <w:lang w:val="en-US" w:eastAsia="zh-CN" w:bidi="ar-SA"/>
              </w:rPr>
              <w:t>拥有供货配送能力和良好的信誉；</w:t>
            </w:r>
          </w:p>
          <w:p w14:paraId="342AD48F">
            <w:pPr>
              <w:pStyle w:val="71"/>
              <w:keepNext w:val="0"/>
              <w:keepLines w:val="0"/>
              <w:pageBreakBefore w:val="0"/>
              <w:numPr>
                <w:ilvl w:val="0"/>
                <w:numId w:val="0"/>
              </w:numPr>
              <w:shd w:val="clear"/>
              <w:kinsoku/>
              <w:wordWrap/>
              <w:overflowPunct/>
              <w:autoSpaceDE/>
              <w:autoSpaceDN/>
              <w:bidi w:val="0"/>
              <w:snapToGri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highlight w:val="none"/>
                <w:lang w:val="en-US" w:eastAsia="zh-CN" w:bidi="ar-SA"/>
              </w:rPr>
              <w:t>有提供快速完整服务的能力；</w:t>
            </w:r>
          </w:p>
          <w:p w14:paraId="026E0891">
            <w:pPr>
              <w:pStyle w:val="71"/>
              <w:keepNext w:val="0"/>
              <w:keepLines w:val="0"/>
              <w:pageBreakBefore w:val="0"/>
              <w:numPr>
                <w:ilvl w:val="0"/>
                <w:numId w:val="0"/>
              </w:numPr>
              <w:shd w:val="clear"/>
              <w:kinsoku/>
              <w:wordWrap/>
              <w:overflowPunct/>
              <w:autoSpaceDE/>
              <w:autoSpaceDN/>
              <w:bidi w:val="0"/>
              <w:snapToGri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highlight w:val="none"/>
                <w:lang w:val="en-US" w:eastAsia="zh-CN" w:bidi="ar-SA"/>
              </w:rPr>
              <w:t>编制实施方案及质保体系切实可行；</w:t>
            </w:r>
          </w:p>
          <w:p w14:paraId="796163BE">
            <w:pPr>
              <w:pStyle w:val="71"/>
              <w:keepNext w:val="0"/>
              <w:keepLines w:val="0"/>
              <w:pageBreakBefore w:val="0"/>
              <w:numPr>
                <w:ilvl w:val="0"/>
                <w:numId w:val="0"/>
              </w:numPr>
              <w:shd w:val="clear"/>
              <w:kinsoku/>
              <w:wordWrap/>
              <w:overflowPunct/>
              <w:autoSpaceDE/>
              <w:autoSpaceDN/>
              <w:bidi w:val="0"/>
              <w:snapToGri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highlight w:val="none"/>
                <w:lang w:val="en-US" w:eastAsia="zh-CN" w:bidi="ar-SA"/>
              </w:rPr>
              <w:t>突发情况处理时间及方案(包含但不限于紧急送货方案、自然灾害送货方案等)，，对应急响应并在最快时间到达现场，并解决问题(按</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承诺时间最短)；</w:t>
            </w:r>
          </w:p>
          <w:p w14:paraId="749A5AFE">
            <w:pPr>
              <w:pStyle w:val="71"/>
              <w:keepNext w:val="0"/>
              <w:keepLines w:val="0"/>
              <w:pageBreakBefore w:val="0"/>
              <w:numPr>
                <w:ilvl w:val="0"/>
                <w:numId w:val="0"/>
              </w:numPr>
              <w:shd w:val="clear"/>
              <w:kinsoku/>
              <w:wordWrap/>
              <w:overflowPunct/>
              <w:autoSpaceDE/>
              <w:autoSpaceDN/>
              <w:bidi w:val="0"/>
              <w:snapToGrid/>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highlight w:val="none"/>
                <w:lang w:val="en-US" w:eastAsia="zh-CN" w:bidi="ar-SA"/>
              </w:rPr>
              <w:t>提供详细应急策略及承诺实施方案切实可行。</w:t>
            </w:r>
          </w:p>
          <w:p w14:paraId="1FB659C0">
            <w:pPr>
              <w:pStyle w:val="71"/>
              <w:keepNext w:val="0"/>
              <w:keepLines w:val="0"/>
              <w:pageBreakBefore w:val="0"/>
              <w:numPr>
                <w:ilvl w:val="0"/>
                <w:numId w:val="0"/>
              </w:numPr>
              <w:shd w:val="clear"/>
              <w:kinsoku/>
              <w:wordWrap/>
              <w:overflowPunct/>
              <w:autoSpaceDE/>
              <w:autoSpaceDN/>
              <w:bidi w:val="0"/>
              <w:snapToGrid/>
              <w:spacing w:line="240" w:lineRule="auto"/>
              <w:ind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所有要素齐全且完全满足项目要求得10分，每缺一个要素扣2分，每个要素里每有一处内容缺陷(缺陷是指:存在不适用项目实际情况的情形、凭空编造、内容前后不一致、前后逻辑错误、涉及的规范及标准错误、地点区域错误、内容缺失、不符合采购需求等)扣1分(扣完为止)。</w:t>
            </w:r>
          </w:p>
          <w:p w14:paraId="0D434190">
            <w:pPr>
              <w:pStyle w:val="71"/>
              <w:keepNext w:val="0"/>
              <w:keepLines w:val="0"/>
              <w:pageBreakBefore w:val="0"/>
              <w:numPr>
                <w:ilvl w:val="0"/>
                <w:numId w:val="0"/>
              </w:numPr>
              <w:shd w:val="clear"/>
              <w:kinsoku/>
              <w:wordWrap/>
              <w:overflowPunct/>
              <w:autoSpaceDE/>
              <w:autoSpaceDN/>
              <w:bidi w:val="0"/>
              <w:snapToGrid/>
              <w:spacing w:line="240" w:lineRule="auto"/>
              <w:ind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需根据所投标段提供针对性服务方案。</w:t>
            </w:r>
          </w:p>
        </w:tc>
        <w:tc>
          <w:tcPr>
            <w:tcW w:w="1073" w:type="dxa"/>
            <w:tcBorders>
              <w:left w:val="outset" w:color="auto" w:sz="6" w:space="0"/>
              <w:right w:val="outset" w:color="auto" w:sz="6" w:space="0"/>
            </w:tcBorders>
            <w:noWrap w:val="0"/>
            <w:vAlign w:val="center"/>
          </w:tcPr>
          <w:p w14:paraId="38BFC316">
            <w:pPr>
              <w:pStyle w:val="70"/>
              <w:keepNext w:val="0"/>
              <w:keepLines w:val="0"/>
              <w:pageBreakBefore w:val="0"/>
              <w:shd w:val="clear"/>
              <w:kinsoku/>
              <w:wordWrap/>
              <w:overflowPunct/>
              <w:autoSpaceDE/>
              <w:autoSpaceDN/>
              <w:bidi w:val="0"/>
              <w:snapToGrid/>
              <w:spacing w:line="240" w:lineRule="auto"/>
              <w:jc w:val="center"/>
              <w:rPr>
                <w:rFonts w:hint="eastAsia" w:ascii="宋体" w:hAnsi="宋体" w:eastAsia="宋体" w:cs="宋体"/>
                <w:color w:val="auto"/>
                <w:kern w:val="2"/>
                <w:sz w:val="24"/>
                <w:szCs w:val="24"/>
                <w:highlight w:val="none"/>
                <w:lang w:val="zh-CN"/>
              </w:rPr>
            </w:pPr>
          </w:p>
        </w:tc>
      </w:tr>
      <w:tr w14:paraId="51A26DA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56" w:hRule="atLeast"/>
        </w:trPr>
        <w:tc>
          <w:tcPr>
            <w:tcW w:w="463" w:type="dxa"/>
            <w:vMerge w:val="restart"/>
            <w:tcBorders>
              <w:top w:val="outset" w:color="auto" w:sz="6" w:space="0"/>
              <w:left w:val="outset" w:color="auto" w:sz="6" w:space="0"/>
              <w:bottom w:val="outset" w:color="auto" w:sz="6" w:space="0"/>
              <w:right w:val="outset" w:color="auto" w:sz="6" w:space="0"/>
            </w:tcBorders>
            <w:noWrap w:val="0"/>
            <w:vAlign w:val="center"/>
          </w:tcPr>
          <w:p w14:paraId="279550C1">
            <w:pPr>
              <w:pStyle w:val="70"/>
              <w:keepNext w:val="0"/>
              <w:keepLines w:val="0"/>
              <w:pageBreakBefore w:val="0"/>
              <w:shd w:val="clear"/>
              <w:kinsoku/>
              <w:wordWrap/>
              <w:overflowPunct/>
              <w:autoSpaceDE/>
              <w:autoSpaceDN/>
              <w:bidi w:val="0"/>
              <w:snapToGrid/>
              <w:spacing w:line="240" w:lineRule="auto"/>
              <w:jc w:val="center"/>
              <w:rPr>
                <w:rFonts w:hint="eastAsia" w:ascii="宋体" w:hAnsi="宋体" w:eastAsia="宋体" w:cs="宋体"/>
                <w:color w:val="auto"/>
                <w:sz w:val="24"/>
                <w:szCs w:val="24"/>
                <w:highlight w:val="none"/>
              </w:rPr>
            </w:pPr>
          </w:p>
        </w:tc>
        <w:tc>
          <w:tcPr>
            <w:tcW w:w="2673" w:type="dxa"/>
            <w:gridSpan w:val="2"/>
            <w:tcBorders>
              <w:top w:val="single" w:color="auto" w:sz="4" w:space="0"/>
              <w:left w:val="outset" w:color="auto" w:sz="6" w:space="0"/>
              <w:bottom w:val="outset" w:color="auto" w:sz="6" w:space="0"/>
              <w:right w:val="outset" w:color="auto" w:sz="6" w:space="0"/>
            </w:tcBorders>
            <w:noWrap w:val="0"/>
            <w:vAlign w:val="center"/>
          </w:tcPr>
          <w:p w14:paraId="5ABF7C87">
            <w:pPr>
              <w:keepNext w:val="0"/>
              <w:keepLines w:val="0"/>
              <w:pageBreakBefore w:val="0"/>
              <w:shd w:val="clear"/>
              <w:kinsoku/>
              <w:wordWrap/>
              <w:overflowPunct/>
              <w:topLinePunct/>
              <w:autoSpaceDE/>
              <w:autoSpaceDN/>
              <w:bidi w:val="0"/>
              <w:snapToGrid/>
              <w:spacing w:line="24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合计</w:t>
            </w:r>
          </w:p>
        </w:tc>
        <w:tc>
          <w:tcPr>
            <w:tcW w:w="6981" w:type="dxa"/>
            <w:gridSpan w:val="2"/>
            <w:tcBorders>
              <w:top w:val="outset" w:color="auto" w:sz="6" w:space="0"/>
              <w:left w:val="outset" w:color="auto" w:sz="6" w:space="0"/>
              <w:bottom w:val="outset" w:color="auto" w:sz="6" w:space="0"/>
              <w:right w:val="outset" w:color="auto" w:sz="6" w:space="0"/>
            </w:tcBorders>
            <w:noWrap w:val="0"/>
            <w:vAlign w:val="center"/>
          </w:tcPr>
          <w:p w14:paraId="1DA14F05">
            <w:pPr>
              <w:keepNext w:val="0"/>
              <w:keepLines w:val="0"/>
              <w:pageBreakBefore w:val="0"/>
              <w:shd w:val="clear"/>
              <w:kinsoku/>
              <w:wordWrap/>
              <w:overflowPunct/>
              <w:topLinePunct/>
              <w:autoSpaceDE/>
              <w:autoSpaceDN/>
              <w:bidi w:val="0"/>
              <w:snapToGrid/>
              <w:spacing w:line="24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0</w:t>
            </w:r>
          </w:p>
        </w:tc>
      </w:tr>
      <w:tr w14:paraId="71204ED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13" w:hRule="atLeast"/>
        </w:trPr>
        <w:tc>
          <w:tcPr>
            <w:tcW w:w="463" w:type="dxa"/>
            <w:vMerge w:val="continue"/>
            <w:tcBorders>
              <w:top w:val="outset" w:color="auto" w:sz="6" w:space="0"/>
              <w:left w:val="outset" w:color="auto" w:sz="6" w:space="0"/>
              <w:bottom w:val="outset" w:color="auto" w:sz="6" w:space="0"/>
              <w:right w:val="outset" w:color="auto" w:sz="6" w:space="0"/>
            </w:tcBorders>
            <w:noWrap w:val="0"/>
            <w:vAlign w:val="center"/>
          </w:tcPr>
          <w:p w14:paraId="77C78E0A">
            <w:pPr>
              <w:pStyle w:val="70"/>
              <w:keepNext w:val="0"/>
              <w:keepLines w:val="0"/>
              <w:pageBreakBefore w:val="0"/>
              <w:shd w:val="clear"/>
              <w:kinsoku/>
              <w:wordWrap/>
              <w:overflowPunct/>
              <w:autoSpaceDE/>
              <w:autoSpaceDN/>
              <w:bidi w:val="0"/>
              <w:snapToGrid/>
              <w:spacing w:line="240" w:lineRule="auto"/>
              <w:jc w:val="center"/>
              <w:rPr>
                <w:rFonts w:hint="eastAsia" w:ascii="宋体" w:hAnsi="宋体" w:eastAsia="宋体" w:cs="宋体"/>
                <w:color w:val="auto"/>
                <w:sz w:val="24"/>
                <w:szCs w:val="24"/>
                <w:highlight w:val="none"/>
              </w:rPr>
            </w:pPr>
          </w:p>
        </w:tc>
        <w:tc>
          <w:tcPr>
            <w:tcW w:w="9654" w:type="dxa"/>
            <w:gridSpan w:val="4"/>
            <w:tcBorders>
              <w:top w:val="outset" w:color="auto" w:sz="6" w:space="0"/>
              <w:left w:val="outset" w:color="auto" w:sz="6" w:space="0"/>
              <w:bottom w:val="outset" w:color="auto" w:sz="6" w:space="0"/>
              <w:right w:val="outset" w:color="auto" w:sz="6" w:space="0"/>
            </w:tcBorders>
            <w:noWrap w:val="0"/>
            <w:vAlign w:val="center"/>
          </w:tcPr>
          <w:p w14:paraId="2E9AE212">
            <w:pPr>
              <w:keepNext w:val="0"/>
              <w:keepLines w:val="0"/>
              <w:pageBreakBefore w:val="0"/>
              <w:shd w:val="clear"/>
              <w:kinsoku/>
              <w:wordWrap/>
              <w:overflowPunct/>
              <w:topLinePunct/>
              <w:autoSpaceDE/>
              <w:autoSpaceDN/>
              <w:bidi w:val="0"/>
              <w:snapToGrid/>
              <w:spacing w:line="240" w:lineRule="auto"/>
              <w:jc w:val="left"/>
              <w:rPr>
                <w:rFonts w:hint="eastAsia" w:ascii="宋体" w:hAnsi="宋体" w:eastAsia="宋体" w:cs="宋体"/>
                <w:color w:val="auto"/>
                <w:sz w:val="24"/>
                <w:szCs w:val="24"/>
                <w:highlight w:val="none"/>
                <w:lang w:val="zh-CN"/>
              </w:rPr>
            </w:pPr>
          </w:p>
        </w:tc>
      </w:tr>
    </w:tbl>
    <w:p w14:paraId="29ECEA7E">
      <w:pPr>
        <w:spacing w:line="360" w:lineRule="auto"/>
        <w:outlineLvl w:val="2"/>
        <w:rPr>
          <w:rFonts w:ascii="time of new roman" w:hAnsi="time of new roman"/>
          <w:color w:val="auto"/>
          <w:sz w:val="24"/>
          <w:szCs w:val="24"/>
          <w:highlight w:val="none"/>
        </w:rPr>
      </w:pPr>
    </w:p>
    <w:p w14:paraId="523A216F">
      <w:pPr>
        <w:spacing w:line="360" w:lineRule="auto"/>
        <w:outlineLvl w:val="2"/>
        <w:rPr>
          <w:rFonts w:hint="eastAsia" w:ascii="宋体" w:hAnsi="宋体" w:eastAsia="宋体" w:cs="Times New Roman"/>
          <w:b/>
          <w:color w:val="auto"/>
          <w:sz w:val="24"/>
          <w:highlight w:val="none"/>
        </w:rPr>
      </w:pPr>
      <w:bookmarkStart w:id="754" w:name="_Toc422162006"/>
      <w:bookmarkStart w:id="755" w:name="_Toc389763145"/>
      <w:bookmarkStart w:id="756" w:name="_Toc392064531"/>
      <w:bookmarkStart w:id="757" w:name="_Toc498899398"/>
      <w:bookmarkStart w:id="758" w:name="_Toc514177068"/>
      <w:bookmarkStart w:id="759" w:name="_Toc524517877"/>
      <w:bookmarkStart w:id="760" w:name="_Toc11944607"/>
      <w:bookmarkStart w:id="761" w:name="_Toc422865435"/>
      <w:bookmarkStart w:id="762" w:name="_Toc10446434"/>
      <w:bookmarkStart w:id="763" w:name="_Toc418023347"/>
      <w:bookmarkStart w:id="764" w:name="_Toc524368805"/>
      <w:bookmarkStart w:id="765" w:name="_Toc470184455"/>
      <w:bookmarkStart w:id="766" w:name="_Toc487044266"/>
      <w:bookmarkStart w:id="767" w:name="_Toc11931300"/>
      <w:bookmarkStart w:id="768" w:name="_Toc494832102"/>
      <w:bookmarkStart w:id="769" w:name="_Toc439513175"/>
      <w:bookmarkStart w:id="770" w:name="_Toc9864102"/>
      <w:bookmarkStart w:id="771" w:name="_Toc403072955"/>
      <w:bookmarkStart w:id="772" w:name="_Toc439679282"/>
      <w:bookmarkStart w:id="773" w:name="_Toc439513459"/>
      <w:bookmarkStart w:id="774" w:name="_Toc13148"/>
      <w:bookmarkStart w:id="775" w:name="_Toc414510794"/>
      <w:bookmarkStart w:id="776" w:name="_Toc438722144"/>
      <w:bookmarkStart w:id="777" w:name="_Toc403580052"/>
      <w:bookmarkStart w:id="778" w:name="_Toc477879854"/>
      <w:bookmarkStart w:id="779" w:name="_Toc458635610"/>
      <w:bookmarkStart w:id="780" w:name="_Toc425347676"/>
      <w:bookmarkStart w:id="781" w:name="_Toc409601380"/>
      <w:bookmarkStart w:id="782" w:name="_Toc479325606"/>
      <w:bookmarkStart w:id="783" w:name="_Toc416208500"/>
      <w:bookmarkStart w:id="784" w:name="_Toc5124224"/>
      <w:bookmarkStart w:id="785" w:name="_Toc9612866"/>
      <w:bookmarkStart w:id="786" w:name="_Toc16399"/>
      <w:bookmarkStart w:id="787" w:name="_Toc523170357"/>
      <w:bookmarkStart w:id="788" w:name="_Toc509337066"/>
      <w:bookmarkStart w:id="789" w:name="_Toc438508611"/>
      <w:bookmarkStart w:id="790" w:name="_Toc479340803"/>
      <w:bookmarkStart w:id="791" w:name="_Toc458980409"/>
      <w:bookmarkStart w:id="792" w:name="_Toc438513748"/>
      <w:bookmarkStart w:id="793" w:name="_Toc389080939"/>
      <w:bookmarkStart w:id="794" w:name="_Toc498871266"/>
      <w:bookmarkStart w:id="795" w:name="_Toc12619"/>
      <w:bookmarkStart w:id="796" w:name="_Toc522529820"/>
      <w:bookmarkStart w:id="797" w:name="_Toc509337181"/>
      <w:bookmarkStart w:id="798" w:name="_Toc486969393"/>
    </w:p>
    <w:p w14:paraId="473E60F5">
      <w:pPr>
        <w:spacing w:line="360" w:lineRule="auto"/>
        <w:outlineLvl w:val="2"/>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附表</w:t>
      </w:r>
      <w:r>
        <w:rPr>
          <w:rFonts w:hint="eastAsia" w:ascii="宋体" w:hAnsi="宋体" w:eastAsia="宋体" w:cs="Times New Roman"/>
          <w:b/>
          <w:color w:val="auto"/>
          <w:sz w:val="24"/>
          <w:highlight w:val="none"/>
          <w:lang w:val="en-US" w:eastAsia="zh-CN"/>
        </w:rPr>
        <w:t>4</w:t>
      </w:r>
      <w:r>
        <w:rPr>
          <w:rFonts w:hint="eastAsia" w:ascii="宋体" w:hAnsi="宋体" w:eastAsia="宋体" w:cs="Times New Roman"/>
          <w:b/>
          <w:color w:val="auto"/>
          <w:sz w:val="24"/>
          <w:highlight w:val="none"/>
        </w:rPr>
        <w:t xml:space="preserve"> 价格响应性评审表</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tbl>
      <w:tblPr>
        <w:tblStyle w:val="29"/>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723"/>
        <w:gridCol w:w="7825"/>
      </w:tblGrid>
      <w:tr w14:paraId="40C2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1399" w:type="dxa"/>
            <w:tcBorders>
              <w:top w:val="single" w:color="auto" w:sz="4" w:space="0"/>
              <w:left w:val="single" w:color="auto" w:sz="4" w:space="0"/>
              <w:bottom w:val="single" w:color="auto" w:sz="4" w:space="0"/>
              <w:right w:val="single" w:color="auto" w:sz="4" w:space="0"/>
            </w:tcBorders>
            <w:noWrap w:val="0"/>
            <w:vAlign w:val="center"/>
          </w:tcPr>
          <w:p w14:paraId="73F0EB04">
            <w:pPr>
              <w:widowControl/>
              <w:adjustRightInd w:val="0"/>
              <w:spacing w:line="360" w:lineRule="atLeas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投标</w:t>
            </w:r>
          </w:p>
          <w:p w14:paraId="151F0B25">
            <w:pPr>
              <w:widowControl/>
              <w:adjustRightInd w:val="0"/>
              <w:spacing w:line="360" w:lineRule="atLeast"/>
              <w:jc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报价</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1AB32D8B">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30分</w:t>
            </w:r>
          </w:p>
        </w:tc>
        <w:tc>
          <w:tcPr>
            <w:tcW w:w="7825" w:type="dxa"/>
            <w:tcBorders>
              <w:top w:val="single" w:color="auto" w:sz="4" w:space="0"/>
              <w:left w:val="single" w:color="auto" w:sz="4" w:space="0"/>
              <w:bottom w:val="single" w:color="auto" w:sz="4" w:space="0"/>
              <w:right w:val="single" w:color="auto" w:sz="4" w:space="0"/>
            </w:tcBorders>
            <w:noWrap w:val="0"/>
            <w:vAlign w:val="center"/>
          </w:tcPr>
          <w:p w14:paraId="71E8AB8C">
            <w:pPr>
              <w:spacing w:line="400" w:lineRule="exac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满足招标文件要求且投标价格最</w:t>
            </w:r>
            <w:r>
              <w:rPr>
                <w:rFonts w:hint="eastAsia" w:ascii="宋体" w:hAnsi="宋体" w:cs="宋体"/>
                <w:b/>
                <w:bCs/>
                <w:color w:val="000000"/>
                <w:sz w:val="24"/>
                <w:szCs w:val="24"/>
                <w:highlight w:val="none"/>
                <w:lang w:val="en-US" w:eastAsia="zh-CN"/>
              </w:rPr>
              <w:t>高</w:t>
            </w:r>
            <w:r>
              <w:rPr>
                <w:rFonts w:hint="eastAsia" w:ascii="宋体" w:hAnsi="宋体" w:eastAsia="宋体" w:cs="宋体"/>
                <w:b/>
                <w:bCs/>
                <w:color w:val="000000"/>
                <w:sz w:val="24"/>
                <w:szCs w:val="24"/>
                <w:highlight w:val="none"/>
              </w:rPr>
              <w:t>的投标报价为评标基准价，其价格分为满分。其他</w:t>
            </w:r>
            <w:r>
              <w:rPr>
                <w:rFonts w:hint="eastAsia" w:ascii="宋体" w:hAnsi="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的价格分统一按照下列公式计算：投标报价得分=（评标基准价/有效投标报价）×30</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（计算结果保留两位小数）</w:t>
            </w:r>
          </w:p>
          <w:p w14:paraId="0C0E5B8A">
            <w:pPr>
              <w:pStyle w:val="36"/>
              <w:ind w:left="0" w:leftChars="0" w:firstLine="0" w:firstLineChars="0"/>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其中：评标基准价=1-有效最高投标报价</w:t>
            </w:r>
          </w:p>
          <w:p w14:paraId="56FE7567">
            <w:pPr>
              <w:pStyle w:val="36"/>
              <w:ind w:firstLine="723" w:firstLineChars="300"/>
              <w:rPr>
                <w:rFonts w:hint="eastAsia"/>
                <w:highlight w:val="none"/>
              </w:rPr>
            </w:pPr>
            <w:r>
              <w:rPr>
                <w:rFonts w:hint="eastAsia" w:ascii="宋体" w:hAnsi="宋体" w:eastAsia="宋体" w:cs="宋体"/>
                <w:b/>
                <w:bCs/>
                <w:color w:val="000000"/>
                <w:kern w:val="2"/>
                <w:sz w:val="24"/>
                <w:szCs w:val="24"/>
                <w:highlight w:val="none"/>
                <w:lang w:val="en-US" w:eastAsia="zh-CN" w:bidi="ar-SA"/>
              </w:rPr>
              <w:t>投标报价=1-有效投标报价</w:t>
            </w:r>
          </w:p>
        </w:tc>
      </w:tr>
    </w:tbl>
    <w:p w14:paraId="23E944F7">
      <w:pPr>
        <w:spacing w:line="360" w:lineRule="auto"/>
        <w:rPr>
          <w:rFonts w:ascii="宋体" w:hAnsi="宋体"/>
          <w:color w:val="auto"/>
          <w:sz w:val="24"/>
          <w:szCs w:val="24"/>
          <w:highlight w:val="none"/>
        </w:rPr>
      </w:pPr>
    </w:p>
    <w:p w14:paraId="544F6D50">
      <w:pPr>
        <w:spacing w:line="360" w:lineRule="auto"/>
        <w:rPr>
          <w:rFonts w:hint="eastAsia" w:ascii="宋体" w:hAnsi="宋体"/>
          <w:b/>
          <w:color w:val="auto"/>
          <w:sz w:val="28"/>
          <w:szCs w:val="28"/>
          <w:highlight w:val="none"/>
        </w:rPr>
      </w:pPr>
    </w:p>
    <w:p w14:paraId="2F9E6CA1">
      <w:pPr>
        <w:spacing w:line="360" w:lineRule="auto"/>
        <w:rPr>
          <w:rFonts w:hint="eastAsia" w:ascii="宋体" w:hAnsi="宋体"/>
          <w:b/>
          <w:color w:val="auto"/>
          <w:sz w:val="28"/>
          <w:szCs w:val="28"/>
          <w:highlight w:val="none"/>
        </w:rPr>
      </w:pPr>
    </w:p>
    <w:p w14:paraId="46970D0D">
      <w:pPr>
        <w:spacing w:line="360" w:lineRule="auto"/>
        <w:rPr>
          <w:rFonts w:hint="eastAsia" w:ascii="宋体" w:hAnsi="宋体"/>
          <w:b/>
          <w:color w:val="auto"/>
          <w:sz w:val="28"/>
          <w:szCs w:val="28"/>
          <w:highlight w:val="none"/>
        </w:rPr>
      </w:pPr>
    </w:p>
    <w:p w14:paraId="6ED264B9">
      <w:pPr>
        <w:spacing w:line="360" w:lineRule="auto"/>
        <w:rPr>
          <w:rFonts w:hint="eastAsia" w:ascii="宋体" w:hAnsi="宋体"/>
          <w:b/>
          <w:color w:val="auto"/>
          <w:sz w:val="28"/>
          <w:szCs w:val="28"/>
          <w:highlight w:val="none"/>
        </w:rPr>
      </w:pPr>
    </w:p>
    <w:p w14:paraId="1F5899F4">
      <w:pPr>
        <w:spacing w:line="360" w:lineRule="auto"/>
        <w:rPr>
          <w:rFonts w:hint="eastAsia" w:ascii="宋体" w:hAnsi="宋体"/>
          <w:b/>
          <w:color w:val="auto"/>
          <w:sz w:val="28"/>
          <w:szCs w:val="28"/>
          <w:highlight w:val="none"/>
        </w:rPr>
      </w:pPr>
    </w:p>
    <w:p w14:paraId="6AC7BA0F">
      <w:pPr>
        <w:pStyle w:val="2"/>
        <w:spacing w:line="360" w:lineRule="auto"/>
        <w:jc w:val="center"/>
        <w:rPr>
          <w:rFonts w:ascii="宋体" w:hAnsi="宋体" w:eastAsia="宋体"/>
          <w:color w:val="auto"/>
          <w:sz w:val="48"/>
          <w:szCs w:val="48"/>
          <w:highlight w:val="none"/>
        </w:rPr>
      </w:pPr>
      <w:bookmarkStart w:id="799" w:name="_Toc599"/>
      <w:bookmarkStart w:id="800" w:name="_Toc297209399"/>
      <w:r>
        <w:rPr>
          <w:rFonts w:hint="eastAsia" w:ascii="宋体" w:hAnsi="宋体" w:eastAsia="宋体"/>
          <w:color w:val="auto"/>
          <w:sz w:val="48"/>
          <w:szCs w:val="48"/>
          <w:highlight w:val="none"/>
        </w:rPr>
        <w:t>第五章 合同（样本）</w:t>
      </w:r>
      <w:bookmarkEnd w:id="799"/>
      <w:bookmarkEnd w:id="800"/>
    </w:p>
    <w:p w14:paraId="5D1EA4A1">
      <w:pPr>
        <w:pStyle w:val="44"/>
        <w:rPr>
          <w:color w:val="auto"/>
          <w:highlight w:val="none"/>
        </w:rPr>
      </w:pPr>
      <w:bookmarkStart w:id="801" w:name="_Toc527703760"/>
      <w:r>
        <w:rPr>
          <w:rFonts w:hint="eastAsia"/>
          <w:color w:val="auto"/>
          <w:sz w:val="28"/>
          <w:szCs w:val="24"/>
          <w:highlight w:val="none"/>
        </w:rPr>
        <w:t>注：本合同条款仅供参考，最终以甲方提供的样本并经甲乙双方协商一致的合同为准。</w:t>
      </w:r>
    </w:p>
    <w:bookmarkEnd w:id="801"/>
    <w:p w14:paraId="5C2438CA">
      <w:pPr>
        <w:jc w:val="center"/>
        <w:rPr>
          <w:rFonts w:asciiTheme="minorEastAsia" w:hAnsiTheme="minorEastAsia"/>
          <w:b/>
          <w:sz w:val="44"/>
          <w:szCs w:val="44"/>
          <w:highlight w:val="none"/>
        </w:rPr>
      </w:pPr>
      <w:bookmarkStart w:id="802" w:name="_Toc297209400"/>
      <w:r>
        <w:rPr>
          <w:rFonts w:hint="eastAsia" w:asciiTheme="minorEastAsia" w:hAnsiTheme="minorEastAsia"/>
          <w:b/>
          <w:sz w:val="44"/>
          <w:szCs w:val="44"/>
          <w:highlight w:val="none"/>
        </w:rPr>
        <w:t>学校食堂供货协议书</w:t>
      </w:r>
    </w:p>
    <w:p w14:paraId="37F0019E">
      <w:pPr>
        <w:spacing w:line="480" w:lineRule="auto"/>
        <w:rPr>
          <w:rFonts w:asciiTheme="minorEastAsia" w:hAnsiTheme="minorEastAsia"/>
          <w:sz w:val="24"/>
          <w:szCs w:val="24"/>
          <w:highlight w:val="none"/>
        </w:rPr>
      </w:pPr>
      <w:r>
        <w:rPr>
          <w:rFonts w:hint="eastAsia" w:asciiTheme="minorEastAsia" w:hAnsiTheme="minorEastAsia"/>
          <w:b/>
          <w:sz w:val="24"/>
          <w:szCs w:val="24"/>
          <w:highlight w:val="none"/>
        </w:rPr>
        <w:t>甲方:</w:t>
      </w:r>
      <w:r>
        <w:rPr>
          <w:rFonts w:hint="eastAsia" w:asciiTheme="minorEastAsia" w:hAnsiTheme="minorEastAsia"/>
          <w:b/>
          <w:sz w:val="24"/>
          <w:szCs w:val="24"/>
          <w:highlight w:val="none"/>
          <w:lang w:val="en-US" w:eastAsia="zh-CN"/>
        </w:rPr>
        <w:t xml:space="preserve"> </w:t>
      </w:r>
      <w:r>
        <w:rPr>
          <w:rFonts w:hint="eastAsia" w:asciiTheme="minorEastAsia" w:hAnsiTheme="minorEastAsia"/>
          <w:b/>
          <w:sz w:val="24"/>
          <w:szCs w:val="24"/>
          <w:highlight w:val="none"/>
          <w:u w:val="single"/>
        </w:rPr>
        <w:t xml:space="preserve">                         </w:t>
      </w:r>
    </w:p>
    <w:p w14:paraId="103357B6">
      <w:pPr>
        <w:spacing w:line="480" w:lineRule="auto"/>
        <w:rPr>
          <w:rFonts w:asciiTheme="minorEastAsia" w:hAnsiTheme="minorEastAsia"/>
          <w:b/>
          <w:sz w:val="24"/>
          <w:szCs w:val="24"/>
          <w:highlight w:val="none"/>
        </w:rPr>
      </w:pPr>
      <w:r>
        <w:rPr>
          <w:rFonts w:hint="eastAsia" w:asciiTheme="minorEastAsia" w:hAnsiTheme="minorEastAsia"/>
          <w:b/>
          <w:sz w:val="24"/>
          <w:szCs w:val="24"/>
          <w:highlight w:val="none"/>
        </w:rPr>
        <w:t>乙方：</w:t>
      </w:r>
      <w:r>
        <w:rPr>
          <w:rFonts w:hint="eastAsia" w:asciiTheme="minorEastAsia" w:hAnsiTheme="minorEastAsia"/>
          <w:b/>
          <w:sz w:val="24"/>
          <w:szCs w:val="24"/>
          <w:highlight w:val="none"/>
          <w:u w:val="single"/>
        </w:rPr>
        <w:t xml:space="preserve">                         </w:t>
      </w:r>
    </w:p>
    <w:p w14:paraId="5D67791D">
      <w:pPr>
        <w:spacing w:line="480" w:lineRule="auto"/>
        <w:ind w:firstLine="480" w:firstLineChars="200"/>
        <w:rPr>
          <w:rFonts w:asciiTheme="minorEastAsia" w:hAnsiTheme="minorEastAsia"/>
          <w:sz w:val="24"/>
          <w:szCs w:val="24"/>
          <w:highlight w:val="none"/>
          <w:u w:val="single"/>
        </w:rPr>
      </w:pPr>
      <w:r>
        <w:rPr>
          <w:rFonts w:hint="eastAsia" w:asciiTheme="minorEastAsia" w:hAnsiTheme="minorEastAsia"/>
          <w:sz w:val="24"/>
          <w:szCs w:val="24"/>
          <w:highlight w:val="none"/>
        </w:rPr>
        <w:t xml:space="preserve">甲方因学生食堂需要，委托乙方负责为甲方提供  </w:t>
      </w:r>
      <w:r>
        <w:rPr>
          <w:rFonts w:hint="eastAsia" w:asciiTheme="minorEastAsia" w:hAnsiTheme="minorEastAsia"/>
          <w:sz w:val="24"/>
          <w:szCs w:val="24"/>
          <w:highlight w:val="none"/>
          <w:u w:val="single"/>
        </w:rPr>
        <w:t xml:space="preserve">                  </w:t>
      </w:r>
      <w:r>
        <w:rPr>
          <w:rFonts w:hint="eastAsia" w:asciiTheme="minorEastAsia" w:hAnsiTheme="minorEastAsia"/>
          <w:sz w:val="24"/>
          <w:szCs w:val="24"/>
          <w:highlight w:val="none"/>
        </w:rPr>
        <w:t>(注:蔬菜水果类、肉制品类、粮油类、调料副食类、冻货类、牛奶酸奶、饮料类等)，双方本着诚信、负责的原则，经协商达成如下协议：</w:t>
      </w:r>
    </w:p>
    <w:p w14:paraId="5F36DC81">
      <w:pPr>
        <w:spacing w:line="480" w:lineRule="auto"/>
        <w:rPr>
          <w:rFonts w:asciiTheme="minorEastAsia" w:hAnsiTheme="minorEastAsia"/>
          <w:b/>
          <w:sz w:val="24"/>
          <w:szCs w:val="24"/>
          <w:highlight w:val="none"/>
        </w:rPr>
      </w:pPr>
      <w:r>
        <w:rPr>
          <w:rFonts w:hint="eastAsia" w:asciiTheme="minorEastAsia" w:hAnsiTheme="minorEastAsia"/>
          <w:b/>
          <w:sz w:val="24"/>
          <w:szCs w:val="24"/>
          <w:highlight w:val="none"/>
        </w:rPr>
        <w:t>一、乙方责任、义务</w:t>
      </w:r>
    </w:p>
    <w:p w14:paraId="7DE91B0A">
      <w:pPr>
        <w:spacing w:line="48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(一)、供应食品、食材保质保量</w:t>
      </w:r>
    </w:p>
    <w:p w14:paraId="6FC5A628">
      <w:pPr>
        <w:spacing w:line="48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1、蔬菜类:蔬菜必须新鲜，不能提供有腐败、变质等情况的蔬菜。</w:t>
      </w:r>
    </w:p>
    <w:p w14:paraId="4335D44E">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sz w:val="24"/>
          <w:szCs w:val="24"/>
          <w:highlight w:val="none"/>
        </w:rPr>
        <w:t>2、肉制品类:必</w:t>
      </w:r>
      <w:r>
        <w:rPr>
          <w:rFonts w:hint="eastAsia" w:asciiTheme="minorEastAsia" w:hAnsiTheme="minorEastAsia"/>
          <w:color w:val="auto"/>
          <w:sz w:val="24"/>
          <w:szCs w:val="24"/>
          <w:highlight w:val="none"/>
        </w:rPr>
        <w:t>须是经过有关部门质检合格且在保质期以内的肉制品，无注水、无异味，无霉烂变质，且所提供的肉制品能提供有效的肉品品质证明和肉品检验合格证明。</w:t>
      </w:r>
    </w:p>
    <w:p w14:paraId="3D515740">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3、油类、调味、面粉、大米品类:供货时剩余保质期不少于</w:t>
      </w:r>
      <w:r>
        <w:rPr>
          <w:rFonts w:hint="eastAsia" w:asciiTheme="minorEastAsia" w:hAnsiTheme="minorEastAsia"/>
          <w:color w:val="auto"/>
          <w:sz w:val="24"/>
          <w:szCs w:val="24"/>
          <w:highlight w:val="none"/>
          <w:lang w:val="en-US" w:eastAsia="zh-CN"/>
        </w:rPr>
        <w:t>三分之二</w:t>
      </w:r>
      <w:r>
        <w:rPr>
          <w:rFonts w:hint="eastAsia" w:asciiTheme="minorEastAsia" w:hAnsiTheme="minorEastAsia"/>
          <w:color w:val="auto"/>
          <w:sz w:val="24"/>
          <w:szCs w:val="24"/>
          <w:highlight w:val="none"/>
        </w:rPr>
        <w:t>，且有质量安全认证标志，有检验报告单。</w:t>
      </w:r>
    </w:p>
    <w:p w14:paraId="2ED1F3DA">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(二)、提供相关证件、票据</w:t>
      </w:r>
    </w:p>
    <w:p w14:paraId="5F84B8E9">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1、乙方必须提供本人经营的所有证件的复印件给甲方(营业执照、食品经营许可证、税务登记证、法人身份证、健康证、检验报告单等复印件并加盖个人或本店印章)。</w:t>
      </w:r>
    </w:p>
    <w:p w14:paraId="658CFE23">
      <w:pPr>
        <w:spacing w:line="480" w:lineRule="auto"/>
        <w:ind w:firstLine="480" w:firstLineChars="200"/>
        <w:rPr>
          <w:rFonts w:asciiTheme="minorEastAsia" w:hAnsiTheme="minorEastAsia"/>
          <w:iCs/>
          <w:color w:val="auto"/>
          <w:sz w:val="24"/>
          <w:szCs w:val="24"/>
          <w:highlight w:val="none"/>
        </w:rPr>
      </w:pPr>
      <w:r>
        <w:rPr>
          <w:rFonts w:hint="eastAsia" w:asciiTheme="minorEastAsia" w:hAnsiTheme="minorEastAsia"/>
          <w:color w:val="auto"/>
          <w:sz w:val="24"/>
          <w:szCs w:val="24"/>
          <w:highlight w:val="none"/>
        </w:rPr>
        <w:t>2、乙方必须及时提供供应学校食品、食材的相关票证(发票签字收据等)</w:t>
      </w:r>
      <w:r>
        <w:rPr>
          <w:rFonts w:hint="eastAsia" w:asciiTheme="minorEastAsia" w:hAnsiTheme="minorEastAsia"/>
          <w:iCs/>
          <w:color w:val="auto"/>
          <w:sz w:val="24"/>
          <w:szCs w:val="24"/>
          <w:highlight w:val="none"/>
        </w:rPr>
        <w:t>并详细备注品名、规格、生产日期、保质期等信息。</w:t>
      </w:r>
    </w:p>
    <w:p w14:paraId="206BDD2A">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3、乙方每周提供一份采购食品、食材的批发价格。</w:t>
      </w:r>
    </w:p>
    <w:p w14:paraId="4D484CF7">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(三)、交货时间及相关事宜</w:t>
      </w:r>
    </w:p>
    <w:p w14:paraId="3DA6FC35">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1、乙方必须是本人或固定一人长期送货，不得指派来路不明的临时人员送货。</w:t>
      </w:r>
    </w:p>
    <w:p w14:paraId="74A3C104">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2、甲方所购的食品、食材无论数量多少，乙方应无条件、按时</w:t>
      </w:r>
      <w:r>
        <w:rPr>
          <w:rFonts w:hint="eastAsia" w:asciiTheme="minorEastAsia" w:hAnsiTheme="minorEastAsia"/>
          <w:color w:val="auto"/>
          <w:sz w:val="24"/>
          <w:highlight w:val="none"/>
        </w:rPr>
        <w:t>保质保量</w:t>
      </w:r>
      <w:r>
        <w:rPr>
          <w:rFonts w:hint="eastAsia" w:asciiTheme="minorEastAsia" w:hAnsiTheme="minorEastAsia"/>
          <w:color w:val="auto"/>
          <w:sz w:val="24"/>
          <w:szCs w:val="24"/>
          <w:highlight w:val="none"/>
        </w:rPr>
        <w:t>为甲方送货。</w:t>
      </w:r>
    </w:p>
    <w:p w14:paraId="00B7DCDC">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3、乙方所提供的食品、食材的品种由甲方决定；乙方供应食品、食材价格以</w:t>
      </w:r>
      <w:r>
        <w:rPr>
          <w:rFonts w:hint="eastAsia" w:asciiTheme="minorEastAsia" w:hAnsiTheme="minorEastAsia"/>
          <w:color w:val="auto"/>
          <w:sz w:val="24"/>
          <w:szCs w:val="24"/>
          <w:highlight w:val="none"/>
          <w:lang w:eastAsia="zh-CN"/>
        </w:rPr>
        <w:t>和硕县家满福超市、乐万家超市、幸福生活超市、亨瑞市场、综合市场等销售商</w:t>
      </w:r>
      <w:r>
        <w:rPr>
          <w:rFonts w:hint="eastAsia" w:asciiTheme="minorEastAsia" w:hAnsiTheme="minorEastAsia"/>
          <w:color w:val="auto"/>
          <w:sz w:val="24"/>
          <w:szCs w:val="24"/>
          <w:highlight w:val="none"/>
        </w:rPr>
        <w:t>同类同质食材批发价上浮</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%为标准，同时与</w:t>
      </w:r>
      <w:r>
        <w:rPr>
          <w:rFonts w:hint="eastAsia" w:asciiTheme="minorEastAsia" w:hAnsiTheme="minorEastAsia"/>
          <w:color w:val="auto"/>
          <w:sz w:val="24"/>
          <w:szCs w:val="24"/>
          <w:highlight w:val="none"/>
          <w:lang w:eastAsia="zh-CN"/>
        </w:rPr>
        <w:t>和硕县家满福超市、乐万家超市、幸福生活超市、亨瑞市场、综合市场等销售商</w:t>
      </w:r>
      <w:r>
        <w:rPr>
          <w:rFonts w:hint="eastAsia" w:asciiTheme="minorEastAsia" w:hAnsiTheme="minorEastAsia"/>
          <w:color w:val="auto"/>
          <w:sz w:val="24"/>
          <w:szCs w:val="24"/>
          <w:highlight w:val="none"/>
        </w:rPr>
        <w:t>同时期、同类同质食材零售价下浮</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w:t>
      </w:r>
    </w:p>
    <w:p w14:paraId="508A03AF">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4、甲方食堂所需的食品、食材乙方负责送货上门，于每天约定时间送到甲方食堂。超出约定时间30分钟，则将扣除当日货款10％作为处罚。</w:t>
      </w:r>
    </w:p>
    <w:p w14:paraId="3F0CF245">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如遇不可抗拒特殊情况，无法按时送达货物，乙方需提前通知甲方并立即想办法解决困难，最终配送到达时间不得超过约定时间一小时，如乙方在规定时间内没有配送到，影响师生正常就餐的，或供货商在供货期内无故停止供货的，甲方有权扣留其未支付的全部供货款并取消其供货资格。</w:t>
      </w:r>
    </w:p>
    <w:p w14:paraId="5CD193D7">
      <w:pPr>
        <w:spacing w:line="480"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6、甲方若需临时加送食品、食材(提前3小时通知乙方)，乙方必须无条件按时送达。</w:t>
      </w:r>
    </w:p>
    <w:p w14:paraId="5F34C0DA">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7、 若乙方所提供的食品、食材价格高于约定价格或以次充好不能确保食品、食材质量两次以上(含两次)的，则甲方有权利拒绝付款并随时终止本协议。</w:t>
      </w:r>
    </w:p>
    <w:p w14:paraId="61DDD82D">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(四)、供货时间:由甲乙双方商定，一经确定双方必须严格执行。</w:t>
      </w:r>
    </w:p>
    <w:p w14:paraId="3D77825E">
      <w:pPr>
        <w:spacing w:line="480" w:lineRule="auto"/>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二、甲方职责</w:t>
      </w:r>
    </w:p>
    <w:p w14:paraId="72285B05">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1、甲方必须按商定的时间向乙方提前通知采购的食品、食材数量、规格等。</w:t>
      </w:r>
    </w:p>
    <w:p w14:paraId="00622D45">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2、甲方必须按本合同规定及时支付乙方采购食品、食材的货款。</w:t>
      </w:r>
    </w:p>
    <w:p w14:paraId="17C2D4F5">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3、食品、食材送到后，甲方负责当场验收数量、质量，发现问题乙方需及时退换；验收后因甲方保管不善造成食品、食材变质、过期等责任由甲方负责。</w:t>
      </w:r>
    </w:p>
    <w:p w14:paraId="37A6C0D1">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4、甲方每周组织相关人员到</w:t>
      </w:r>
      <w:r>
        <w:rPr>
          <w:rFonts w:hint="eastAsia" w:asciiTheme="minorEastAsia" w:hAnsiTheme="minorEastAsia"/>
          <w:color w:val="auto"/>
          <w:sz w:val="24"/>
          <w:szCs w:val="24"/>
          <w:highlight w:val="none"/>
          <w:lang w:eastAsia="zh-CN"/>
        </w:rPr>
        <w:t>和硕县家满福超市、乐万家超市、幸福生活超市等市</w:t>
      </w:r>
      <w:r>
        <w:rPr>
          <w:rFonts w:hint="eastAsia" w:asciiTheme="minorEastAsia" w:hAnsiTheme="minorEastAsia"/>
          <w:color w:val="auto"/>
          <w:sz w:val="24"/>
          <w:szCs w:val="24"/>
          <w:highlight w:val="none"/>
        </w:rPr>
        <w:t>市场、新汇佳超市、名家超市等地对所采购食品、食材进行询价，作为付款依据。</w:t>
      </w:r>
    </w:p>
    <w:p w14:paraId="4A99369B">
      <w:pPr>
        <w:spacing w:line="480" w:lineRule="auto"/>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三、资金支付方式：</w:t>
      </w:r>
    </w:p>
    <w:p w14:paraId="641CFD68">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通过政采云平台及时支付</w:t>
      </w:r>
      <w:r>
        <w:rPr>
          <w:rFonts w:hint="eastAsia" w:asciiTheme="minorEastAsia" w:hAnsiTheme="minorEastAsia"/>
          <w:iCs/>
          <w:color w:val="auto"/>
          <w:sz w:val="24"/>
          <w:szCs w:val="24"/>
          <w:highlight w:val="none"/>
        </w:rPr>
        <w:t>(</w:t>
      </w:r>
      <w:r>
        <w:rPr>
          <w:rFonts w:hint="eastAsia" w:asciiTheme="minorEastAsia" w:hAnsiTheme="minorEastAsia"/>
          <w:iCs/>
          <w:color w:val="auto"/>
          <w:sz w:val="24"/>
          <w:szCs w:val="24"/>
          <w:highlight w:val="none"/>
          <w:lang w:val="en-US" w:eastAsia="zh-CN"/>
        </w:rPr>
        <w:t>月度结账</w:t>
      </w:r>
      <w:r>
        <w:rPr>
          <w:rFonts w:hint="eastAsia" w:asciiTheme="minorEastAsia" w:hAnsiTheme="minorEastAsia"/>
          <w:iCs/>
          <w:color w:val="auto"/>
          <w:sz w:val="24"/>
          <w:szCs w:val="24"/>
          <w:highlight w:val="none"/>
        </w:rPr>
        <w:t>，若因学校工作影响不能及时支付的要提前与甲方沟通)</w:t>
      </w:r>
      <w:r>
        <w:rPr>
          <w:rFonts w:hint="eastAsia" w:asciiTheme="minorEastAsia" w:hAnsiTheme="minorEastAsia"/>
          <w:color w:val="auto"/>
          <w:sz w:val="24"/>
          <w:szCs w:val="24"/>
          <w:highlight w:val="none"/>
        </w:rPr>
        <w:t>，因乙方责任造成货款支付不能及时到位的，甲方不承担责任。</w:t>
      </w:r>
    </w:p>
    <w:p w14:paraId="0AA9D6D1">
      <w:pPr>
        <w:spacing w:line="480" w:lineRule="auto"/>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四、安全责任</w:t>
      </w:r>
    </w:p>
    <w:p w14:paraId="77589F39">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甲方师生员工因食用食堂饭菜发生中毒事故，经有关单位鉴定，如确定因乙方提供的食品、食材质量问题引发的，乙方除需负担全额医药费外，并应承担法律上一切责任且放弃先诉抗辩权。甲方应立即解除此协议。</w:t>
      </w:r>
    </w:p>
    <w:p w14:paraId="359E2346">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2、甲方师生员工因食用食堂饭菜导致食物中毒，经有关单位鉴定，如确定为甲方加工过程中造成的问题，甲方自行负责全额医药费，与乙方无关。</w:t>
      </w:r>
    </w:p>
    <w:p w14:paraId="53A9570C">
      <w:pPr>
        <w:spacing w:line="480" w:lineRule="auto"/>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五、协议期限</w:t>
      </w:r>
    </w:p>
    <w:p w14:paraId="00AF80CF">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此协议自</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年</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月</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日至</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年</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月</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日终止(试用期一个月)。</w:t>
      </w:r>
    </w:p>
    <w:p w14:paraId="1782AF52">
      <w:pPr>
        <w:spacing w:line="480" w:lineRule="auto"/>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六、未尽事项，依政府采购法及食品卫生管理法规之相关规定办理。</w:t>
      </w:r>
    </w:p>
    <w:p w14:paraId="4CFA4E33">
      <w:pPr>
        <w:spacing w:line="480" w:lineRule="auto"/>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七、本合同式三份，甲乙双方各执一份，报教育局一份。</w:t>
      </w:r>
    </w:p>
    <w:p w14:paraId="38ADE543">
      <w:pPr>
        <w:spacing w:line="480" w:lineRule="auto"/>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八、本协议经甲乙双方签章后生效</w:t>
      </w:r>
    </w:p>
    <w:p w14:paraId="5F9317BC">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甲方：（签章）                   乙方：（签章）</w:t>
      </w:r>
    </w:p>
    <w:p w14:paraId="58F8F916">
      <w:pPr>
        <w:spacing w:line="480" w:lineRule="auto"/>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甲方代表签字：                  乙方代表签字：</w:t>
      </w:r>
    </w:p>
    <w:p w14:paraId="6F62915B">
      <w:pPr>
        <w:spacing w:line="480" w:lineRule="auto"/>
        <w:ind w:firstLine="480" w:firstLineChars="200"/>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年  月 日</w:t>
      </w:r>
    </w:p>
    <w:p w14:paraId="55E9346F">
      <w:pPr>
        <w:widowControl/>
        <w:jc w:val="left"/>
        <w:rPr>
          <w:rFonts w:hint="eastAsia" w:ascii="宋体" w:hAnsi="宋体"/>
          <w:color w:val="auto"/>
          <w:sz w:val="24"/>
          <w:szCs w:val="24"/>
          <w:highlight w:val="none"/>
          <w:u w:val="single"/>
        </w:rPr>
      </w:pPr>
    </w:p>
    <w:p w14:paraId="61BB0163">
      <w:pPr>
        <w:widowControl/>
        <w:jc w:val="left"/>
        <w:rPr>
          <w:rFonts w:hint="eastAsia" w:ascii="宋体" w:hAnsi="宋体"/>
          <w:color w:val="auto"/>
          <w:sz w:val="24"/>
          <w:szCs w:val="24"/>
          <w:highlight w:val="none"/>
          <w:u w:val="single"/>
        </w:rPr>
      </w:pPr>
    </w:p>
    <w:p w14:paraId="040A2FFF">
      <w:pPr>
        <w:spacing w:line="360" w:lineRule="auto"/>
        <w:rPr>
          <w:rFonts w:ascii="宋体" w:hAnsi="宋体"/>
          <w:color w:val="auto"/>
          <w:sz w:val="24"/>
          <w:szCs w:val="24"/>
          <w:highlight w:val="none"/>
          <w:u w:val="single"/>
        </w:rPr>
      </w:pPr>
    </w:p>
    <w:p w14:paraId="74FC5BD8">
      <w:pPr>
        <w:pStyle w:val="2"/>
        <w:spacing w:line="360" w:lineRule="auto"/>
        <w:jc w:val="center"/>
        <w:outlineLvl w:val="9"/>
        <w:rPr>
          <w:rFonts w:hint="eastAsia" w:ascii="宋体" w:hAnsi="宋体" w:eastAsia="宋体"/>
          <w:color w:val="auto"/>
          <w:sz w:val="48"/>
          <w:szCs w:val="48"/>
          <w:highlight w:val="none"/>
        </w:rPr>
      </w:pPr>
    </w:p>
    <w:p w14:paraId="2A6BAA8B">
      <w:pPr>
        <w:pStyle w:val="2"/>
        <w:spacing w:line="360" w:lineRule="auto"/>
        <w:jc w:val="center"/>
        <w:rPr>
          <w:rFonts w:hint="eastAsia" w:ascii="宋体" w:hAnsi="宋体" w:eastAsia="宋体"/>
          <w:color w:val="auto"/>
          <w:sz w:val="48"/>
          <w:szCs w:val="48"/>
          <w:highlight w:val="none"/>
        </w:rPr>
      </w:pPr>
      <w:bookmarkStart w:id="803" w:name="_Toc22252"/>
      <w:r>
        <w:rPr>
          <w:rFonts w:hint="eastAsia" w:ascii="宋体" w:hAnsi="宋体" w:eastAsia="宋体"/>
          <w:color w:val="auto"/>
          <w:sz w:val="48"/>
          <w:szCs w:val="48"/>
          <w:highlight w:val="none"/>
        </w:rPr>
        <w:t>第六章 投标文件格式</w:t>
      </w:r>
      <w:bookmarkEnd w:id="802"/>
      <w:bookmarkEnd w:id="803"/>
    </w:p>
    <w:p w14:paraId="4D57810C">
      <w:pPr>
        <w:keepNext w:val="0"/>
        <w:keepLines w:val="0"/>
        <w:pageBreakBefore w:val="0"/>
        <w:widowControl w:val="0"/>
        <w:kinsoku/>
        <w:wordWrap/>
        <w:overflowPunct/>
        <w:topLinePunct w:val="0"/>
        <w:autoSpaceDE/>
        <w:autoSpaceDN/>
        <w:bidi w:val="0"/>
        <w:adjustRightInd/>
        <w:snapToGrid/>
        <w:spacing w:after="100" w:line="360" w:lineRule="exact"/>
        <w:ind w:right="102"/>
        <w:jc w:val="center"/>
        <w:textAlignment w:val="auto"/>
        <w:rPr>
          <w:rFonts w:hint="eastAsia" w:ascii="宋体" w:hAnsi="宋体" w:eastAsia="宋体" w:cs="宋体"/>
          <w:b/>
          <w:bCs/>
          <w:color w:val="auto"/>
          <w:sz w:val="32"/>
          <w:szCs w:val="32"/>
          <w:highlight w:val="none"/>
          <w:u w:val="none"/>
        </w:rPr>
      </w:pPr>
      <w:r>
        <w:rPr>
          <w:color w:val="auto"/>
          <w:highlight w:val="none"/>
        </w:rPr>
        <w:br w:type="page"/>
      </w:r>
      <w:r>
        <w:rPr>
          <w:rFonts w:hint="eastAsia" w:ascii="宋体" w:hAnsi="宋体" w:eastAsia="宋体" w:cs="宋体"/>
          <w:b/>
          <w:bCs/>
          <w:color w:val="auto"/>
          <w:sz w:val="32"/>
          <w:szCs w:val="32"/>
          <w:highlight w:val="none"/>
          <w:u w:val="none"/>
        </w:rPr>
        <w:t>目 录</w:t>
      </w:r>
    </w:p>
    <w:p w14:paraId="1FD4D25F">
      <w:pPr>
        <w:pStyle w:val="27"/>
        <w:rPr>
          <w:rFonts w:hint="eastAsia"/>
          <w:color w:val="auto"/>
          <w:highlight w:val="none"/>
        </w:rPr>
      </w:pPr>
    </w:p>
    <w:p w14:paraId="5A0ACD4D">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（1）投标函；</w:t>
      </w:r>
    </w:p>
    <w:p w14:paraId="48140134">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（2）法定代表人身份证明书、法定代表人授权委托书；</w:t>
      </w:r>
    </w:p>
    <w:p w14:paraId="13553E9D">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（3）企业信誉信息截图；</w:t>
      </w:r>
    </w:p>
    <w:p w14:paraId="4BE4C835">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（4）报价一览表；</w:t>
      </w:r>
    </w:p>
    <w:p w14:paraId="1197B502">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5</w:t>
      </w: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供应商</w:t>
      </w:r>
      <w:r>
        <w:rPr>
          <w:rFonts w:hint="eastAsia" w:ascii="宋体" w:hAnsi="宋体" w:eastAsia="宋体" w:cs="宋体"/>
          <w:b/>
          <w:bCs/>
          <w:color w:val="auto"/>
          <w:sz w:val="24"/>
          <w:szCs w:val="24"/>
          <w:highlight w:val="none"/>
          <w:u w:val="none"/>
          <w:lang w:val="en-US" w:eastAsia="zh-CN"/>
        </w:rPr>
        <w:t>概况一览表；</w:t>
      </w:r>
    </w:p>
    <w:p w14:paraId="69525113">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6</w:t>
      </w: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供应商</w:t>
      </w:r>
      <w:r>
        <w:rPr>
          <w:rFonts w:hint="eastAsia" w:ascii="宋体" w:hAnsi="宋体" w:eastAsia="宋体" w:cs="宋体"/>
          <w:b/>
          <w:bCs/>
          <w:color w:val="auto"/>
          <w:sz w:val="24"/>
          <w:szCs w:val="24"/>
          <w:highlight w:val="none"/>
          <w:u w:val="none"/>
          <w:lang w:val="en-US" w:eastAsia="zh-CN"/>
        </w:rPr>
        <w:t>递交投标保证金汇款凭证或保函；</w:t>
      </w:r>
    </w:p>
    <w:p w14:paraId="03F006E1">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7</w:t>
      </w:r>
      <w:r>
        <w:rPr>
          <w:rFonts w:hint="eastAsia" w:ascii="宋体" w:hAnsi="宋体" w:eastAsia="宋体" w:cs="宋体"/>
          <w:b/>
          <w:bCs/>
          <w:color w:val="auto"/>
          <w:sz w:val="24"/>
          <w:szCs w:val="24"/>
          <w:highlight w:val="none"/>
          <w:u w:val="none"/>
          <w:lang w:val="en-US" w:eastAsia="zh-CN"/>
        </w:rPr>
        <w:t>）投标企业类型声明函；</w:t>
      </w:r>
    </w:p>
    <w:p w14:paraId="117CBAF7">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8</w:t>
      </w: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近三年项目业绩一览表</w:t>
      </w:r>
      <w:r>
        <w:rPr>
          <w:rFonts w:hint="eastAsia" w:ascii="宋体" w:hAnsi="宋体" w:eastAsia="宋体" w:cs="宋体"/>
          <w:b/>
          <w:bCs/>
          <w:color w:val="auto"/>
          <w:sz w:val="24"/>
          <w:szCs w:val="24"/>
          <w:highlight w:val="none"/>
          <w:u w:val="none"/>
          <w:lang w:val="en-US" w:eastAsia="zh-CN"/>
        </w:rPr>
        <w:t xml:space="preserve"> ；</w:t>
      </w:r>
    </w:p>
    <w:p w14:paraId="0054BD1C">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（9）</w:t>
      </w:r>
      <w:r>
        <w:rPr>
          <w:rFonts w:hint="eastAsia" w:ascii="宋体" w:hAnsi="宋体" w:eastAsia="宋体" w:cs="宋体"/>
          <w:b/>
          <w:bCs/>
          <w:color w:val="auto"/>
          <w:sz w:val="24"/>
          <w:szCs w:val="24"/>
          <w:highlight w:val="none"/>
          <w:u w:val="none"/>
          <w:lang w:val="en-US" w:eastAsia="zh-CN"/>
        </w:rPr>
        <w:t>配送车辆</w:t>
      </w:r>
    </w:p>
    <w:p w14:paraId="6C01A813">
      <w:pPr>
        <w:spacing w:after="100" w:line="265" w:lineRule="auto"/>
        <w:ind w:right="103"/>
        <w:jc w:val="left"/>
        <w:rPr>
          <w:rFonts w:hint="eastAsia" w:ascii="宋体" w:hAnsi="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（10）人员配备</w:t>
      </w:r>
    </w:p>
    <w:p w14:paraId="63F9D149">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hAnsi="宋体" w:eastAsia="宋体" w:cs="宋体"/>
          <w:b/>
          <w:bCs/>
          <w:color w:val="auto"/>
          <w:sz w:val="24"/>
          <w:szCs w:val="24"/>
          <w:highlight w:val="none"/>
          <w:u w:val="none"/>
          <w:lang w:val="en-US" w:eastAsia="zh-CN"/>
        </w:rPr>
        <w:t>（</w:t>
      </w:r>
      <w:r>
        <w:rPr>
          <w:rFonts w:hint="eastAsia" w:hAnsi="宋体" w:cs="宋体"/>
          <w:b/>
          <w:bCs/>
          <w:color w:val="auto"/>
          <w:sz w:val="24"/>
          <w:szCs w:val="24"/>
          <w:highlight w:val="none"/>
          <w:u w:val="none"/>
          <w:lang w:val="en-US" w:eastAsia="zh-CN"/>
        </w:rPr>
        <w:t>11</w:t>
      </w:r>
      <w:r>
        <w:rPr>
          <w:rFonts w:hint="eastAsia"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产品质量和售后服务承诺</w:t>
      </w:r>
    </w:p>
    <w:p w14:paraId="53DB432A">
      <w:pPr>
        <w:pStyle w:val="37"/>
        <w:ind w:left="0" w:leftChars="0" w:firstLine="0" w:firstLineChars="0"/>
        <w:rPr>
          <w:rFonts w:hint="eastAsia"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w:t>
      </w:r>
      <w:r>
        <w:rPr>
          <w:rFonts w:hint="eastAsia" w:hAnsi="宋体" w:cs="宋体"/>
          <w:b/>
          <w:bCs/>
          <w:color w:val="auto"/>
          <w:sz w:val="24"/>
          <w:szCs w:val="24"/>
          <w:highlight w:val="none"/>
          <w:u w:val="none"/>
          <w:lang w:val="en-US" w:eastAsia="zh-CN"/>
        </w:rPr>
        <w:t>12</w:t>
      </w:r>
      <w:r>
        <w:rPr>
          <w:rFonts w:hint="eastAsia" w:ascii="宋体" w:hAnsi="宋体" w:eastAsia="宋体" w:cs="宋体"/>
          <w:b/>
          <w:bCs/>
          <w:color w:val="auto"/>
          <w:sz w:val="24"/>
          <w:szCs w:val="24"/>
          <w:highlight w:val="none"/>
          <w:u w:val="none"/>
          <w:lang w:val="en-US" w:eastAsia="zh-CN"/>
        </w:rPr>
        <w:t>）</w:t>
      </w:r>
      <w:r>
        <w:rPr>
          <w:rFonts w:hint="eastAsia" w:hAnsi="宋体" w:eastAsia="宋体" w:cs="宋体"/>
          <w:b/>
          <w:bCs/>
          <w:color w:val="auto"/>
          <w:sz w:val="24"/>
          <w:szCs w:val="24"/>
          <w:highlight w:val="none"/>
          <w:u w:val="none"/>
          <w:lang w:val="en-US" w:eastAsia="zh-CN"/>
        </w:rPr>
        <w:t>项目管理制度</w:t>
      </w:r>
    </w:p>
    <w:p w14:paraId="3361044C">
      <w:pPr>
        <w:pStyle w:val="37"/>
        <w:ind w:left="0" w:leftChars="0" w:firstLine="0" w:firstLineChars="0"/>
        <w:rPr>
          <w:rFonts w:hint="eastAsia" w:ascii="宋体" w:hAnsi="宋体" w:eastAsia="宋体" w:cs="宋体"/>
          <w:b/>
          <w:bCs/>
          <w:color w:val="auto"/>
          <w:sz w:val="24"/>
          <w:szCs w:val="24"/>
          <w:highlight w:val="none"/>
          <w:u w:val="none"/>
          <w:lang w:val="en-US" w:eastAsia="zh-CN"/>
        </w:rPr>
      </w:pPr>
      <w:r>
        <w:rPr>
          <w:rFonts w:hint="eastAsia" w:hAnsi="宋体" w:cs="宋体"/>
          <w:b/>
          <w:bCs/>
          <w:color w:val="auto"/>
          <w:sz w:val="24"/>
          <w:szCs w:val="24"/>
          <w:highlight w:val="none"/>
          <w:u w:val="none"/>
          <w:lang w:val="en-US" w:eastAsia="zh-CN"/>
        </w:rPr>
        <w:t>（13）</w:t>
      </w:r>
      <w:r>
        <w:rPr>
          <w:rFonts w:hint="eastAsia" w:ascii="宋体" w:hAnsi="宋体" w:eastAsia="宋体" w:cs="宋体"/>
          <w:b/>
          <w:bCs/>
          <w:color w:val="auto"/>
          <w:sz w:val="24"/>
          <w:szCs w:val="24"/>
          <w:highlight w:val="none"/>
          <w:u w:val="none"/>
          <w:lang w:val="en-US" w:eastAsia="zh-CN"/>
        </w:rPr>
        <w:t>食材安全管理方案</w:t>
      </w:r>
    </w:p>
    <w:p w14:paraId="700E6136">
      <w:pPr>
        <w:pStyle w:val="37"/>
        <w:ind w:left="0" w:leftChars="0" w:firstLine="0" w:firstLineChars="0"/>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w:t>
      </w:r>
      <w:r>
        <w:rPr>
          <w:rFonts w:hint="eastAsia" w:hAnsi="宋体" w:cs="宋体"/>
          <w:b/>
          <w:bCs/>
          <w:color w:val="auto"/>
          <w:sz w:val="24"/>
          <w:szCs w:val="24"/>
          <w:highlight w:val="none"/>
          <w:u w:val="none"/>
          <w:lang w:val="en-US" w:eastAsia="zh-CN"/>
        </w:rPr>
        <w:t>4</w:t>
      </w:r>
      <w:r>
        <w:rPr>
          <w:rFonts w:hint="eastAsia" w:ascii="宋体" w:hAnsi="宋体" w:eastAsia="宋体" w:cs="宋体"/>
          <w:b/>
          <w:bCs/>
          <w:color w:val="auto"/>
          <w:sz w:val="24"/>
          <w:szCs w:val="24"/>
          <w:highlight w:val="none"/>
          <w:u w:val="none"/>
          <w:lang w:val="en-US" w:eastAsia="zh-CN"/>
        </w:rPr>
        <w:t>）</w:t>
      </w:r>
      <w:r>
        <w:rPr>
          <w:rFonts w:hint="eastAsia" w:hAnsi="宋体" w:cs="宋体"/>
          <w:b/>
          <w:bCs/>
          <w:color w:val="auto"/>
          <w:sz w:val="24"/>
          <w:szCs w:val="24"/>
          <w:highlight w:val="none"/>
          <w:u w:val="none"/>
          <w:lang w:val="en-US" w:eastAsia="zh-CN"/>
        </w:rPr>
        <w:t>储存、保鲜方案</w:t>
      </w:r>
    </w:p>
    <w:p w14:paraId="6B21E39E">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cs="宋体"/>
          <w:b/>
          <w:bCs/>
          <w:color w:val="auto"/>
          <w:sz w:val="24"/>
          <w:szCs w:val="24"/>
          <w:highlight w:val="none"/>
          <w:u w:val="none"/>
          <w:lang w:val="en-US" w:eastAsia="zh-CN"/>
        </w:rPr>
        <w:t>5</w:t>
      </w:r>
      <w:r>
        <w:rPr>
          <w:rFonts w:hint="eastAsia" w:ascii="宋体" w:hAnsi="宋体" w:eastAsia="宋体" w:cs="宋体"/>
          <w:b/>
          <w:bCs/>
          <w:color w:val="auto"/>
          <w:sz w:val="24"/>
          <w:szCs w:val="24"/>
          <w:highlight w:val="none"/>
          <w:u w:val="none"/>
          <w:lang w:val="en-US" w:eastAsia="zh-CN"/>
        </w:rPr>
        <w:t>）配送</w:t>
      </w:r>
      <w:r>
        <w:rPr>
          <w:rFonts w:hint="eastAsia" w:hAnsi="宋体" w:cs="宋体"/>
          <w:b/>
          <w:bCs/>
          <w:color w:val="auto"/>
          <w:sz w:val="24"/>
          <w:szCs w:val="24"/>
          <w:highlight w:val="none"/>
          <w:u w:val="none"/>
          <w:lang w:val="en-US" w:eastAsia="zh-CN"/>
        </w:rPr>
        <w:t>方案</w:t>
      </w:r>
    </w:p>
    <w:p w14:paraId="12A65210">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cs="宋体"/>
          <w:b/>
          <w:bCs/>
          <w:color w:val="auto"/>
          <w:sz w:val="24"/>
          <w:szCs w:val="24"/>
          <w:highlight w:val="none"/>
          <w:u w:val="none"/>
          <w:lang w:val="en-US" w:eastAsia="zh-CN"/>
        </w:rPr>
        <w:t>6</w:t>
      </w:r>
      <w:r>
        <w:rPr>
          <w:rFonts w:hint="eastAsia" w:ascii="宋体" w:hAnsi="宋体" w:eastAsia="宋体" w:cs="宋体"/>
          <w:b/>
          <w:bCs/>
          <w:color w:val="auto"/>
          <w:sz w:val="24"/>
          <w:szCs w:val="24"/>
          <w:highlight w:val="none"/>
          <w:u w:val="none"/>
          <w:lang w:val="en-US" w:eastAsia="zh-CN"/>
        </w:rPr>
        <w:t>）商务、技术偏离表</w:t>
      </w:r>
    </w:p>
    <w:p w14:paraId="3BADA6DC">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cs="宋体"/>
          <w:b/>
          <w:bCs/>
          <w:color w:val="auto"/>
          <w:sz w:val="24"/>
          <w:szCs w:val="24"/>
          <w:highlight w:val="none"/>
          <w:u w:val="none"/>
          <w:lang w:val="en-US" w:eastAsia="zh-CN"/>
        </w:rPr>
        <w:t>7</w:t>
      </w:r>
      <w:r>
        <w:rPr>
          <w:rFonts w:hint="eastAsia" w:ascii="宋体" w:hAnsi="宋体" w:eastAsia="宋体" w:cs="宋体"/>
          <w:b/>
          <w:bCs/>
          <w:color w:val="auto"/>
          <w:sz w:val="24"/>
          <w:szCs w:val="24"/>
          <w:highlight w:val="none"/>
          <w:u w:val="none"/>
          <w:lang w:val="en-US" w:eastAsia="zh-CN"/>
        </w:rPr>
        <w:t>）反商业贿赂承诺书</w:t>
      </w:r>
    </w:p>
    <w:p w14:paraId="58AF4C32">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cs="宋体"/>
          <w:b/>
          <w:bCs/>
          <w:color w:val="auto"/>
          <w:sz w:val="24"/>
          <w:szCs w:val="24"/>
          <w:highlight w:val="none"/>
          <w:u w:val="none"/>
          <w:lang w:val="en-US" w:eastAsia="zh-CN"/>
        </w:rPr>
        <w:t>8</w:t>
      </w:r>
      <w:r>
        <w:rPr>
          <w:rFonts w:hint="eastAsia" w:ascii="宋体" w:hAnsi="宋体" w:eastAsia="宋体" w:cs="宋体"/>
          <w:b/>
          <w:bCs/>
          <w:color w:val="auto"/>
          <w:sz w:val="24"/>
          <w:szCs w:val="24"/>
          <w:highlight w:val="none"/>
          <w:u w:val="none"/>
          <w:lang w:val="en-US" w:eastAsia="zh-CN"/>
        </w:rPr>
        <w:t>）关于投标资料真实性的承诺书</w:t>
      </w:r>
    </w:p>
    <w:p w14:paraId="7F31A6DF">
      <w:pPr>
        <w:spacing w:after="100" w:line="265" w:lineRule="auto"/>
        <w:ind w:right="103"/>
        <w:jc w:val="left"/>
        <w:rPr>
          <w:rFonts w:hint="default" w:ascii="宋体" w:hAnsi="宋体" w:eastAsia="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（19）2023年或2024年财务审计报告或财务报表（新成立企业可不提供）</w:t>
      </w:r>
    </w:p>
    <w:p w14:paraId="2A9F398E">
      <w:pPr>
        <w:spacing w:after="100" w:line="265" w:lineRule="auto"/>
        <w:ind w:right="103"/>
        <w:jc w:val="left"/>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20</w:t>
      </w:r>
      <w:r>
        <w:rPr>
          <w:rFonts w:hint="eastAsia" w:ascii="宋体" w:hAnsi="宋体" w:eastAsia="宋体" w:cs="宋体"/>
          <w:b/>
          <w:bCs/>
          <w:color w:val="auto"/>
          <w:sz w:val="24"/>
          <w:szCs w:val="24"/>
          <w:highlight w:val="none"/>
          <w:u w:val="none"/>
          <w:lang w:val="en-US" w:eastAsia="zh-CN"/>
        </w:rPr>
        <w:t>）要求提供的其它材料以及</w:t>
      </w:r>
      <w:r>
        <w:rPr>
          <w:rFonts w:hint="eastAsia" w:ascii="宋体" w:hAnsi="宋体" w:cs="宋体"/>
          <w:b/>
          <w:bCs/>
          <w:color w:val="auto"/>
          <w:sz w:val="24"/>
          <w:szCs w:val="24"/>
          <w:highlight w:val="none"/>
          <w:u w:val="none"/>
          <w:lang w:val="en-US" w:eastAsia="zh-CN"/>
        </w:rPr>
        <w:t>供应商</w:t>
      </w:r>
      <w:r>
        <w:rPr>
          <w:rFonts w:hint="eastAsia" w:ascii="宋体" w:hAnsi="宋体" w:eastAsia="宋体" w:cs="宋体"/>
          <w:b/>
          <w:bCs/>
          <w:color w:val="auto"/>
          <w:sz w:val="24"/>
          <w:szCs w:val="24"/>
          <w:highlight w:val="none"/>
          <w:u w:val="none"/>
          <w:lang w:val="en-US" w:eastAsia="zh-CN"/>
        </w:rPr>
        <w:t>认为需要提交的材料</w:t>
      </w:r>
    </w:p>
    <w:p w14:paraId="7EEE53BF">
      <w:pPr>
        <w:spacing w:after="100" w:line="265" w:lineRule="auto"/>
        <w:ind w:right="103"/>
        <w:jc w:val="left"/>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注：</w:t>
      </w:r>
      <w:r>
        <w:rPr>
          <w:rFonts w:hint="eastAsia" w:ascii="宋体" w:hAnsi="宋体" w:cs="宋体"/>
          <w:b/>
          <w:bCs/>
          <w:color w:val="auto"/>
          <w:sz w:val="24"/>
          <w:szCs w:val="24"/>
          <w:highlight w:val="none"/>
          <w:u w:val="none"/>
          <w:lang w:eastAsia="zh-CN"/>
        </w:rPr>
        <w:t>供应商</w:t>
      </w:r>
      <w:r>
        <w:rPr>
          <w:rFonts w:hint="eastAsia" w:ascii="宋体" w:hAnsi="宋体" w:eastAsia="宋体" w:cs="宋体"/>
          <w:b/>
          <w:bCs/>
          <w:color w:val="auto"/>
          <w:sz w:val="24"/>
          <w:szCs w:val="24"/>
          <w:highlight w:val="none"/>
          <w:u w:val="none"/>
        </w:rPr>
        <w:t>根据评标方法如有需要的其他资料自行添加，以上材料须加盖单位公章，</w:t>
      </w:r>
      <w:r>
        <w:rPr>
          <w:rFonts w:hint="eastAsia" w:ascii="宋体" w:hAnsi="宋体" w:cs="宋体"/>
          <w:b/>
          <w:bCs/>
          <w:color w:val="auto"/>
          <w:sz w:val="24"/>
          <w:szCs w:val="24"/>
          <w:highlight w:val="none"/>
          <w:u w:val="none"/>
          <w:lang w:eastAsia="zh-CN"/>
        </w:rPr>
        <w:t>供应商</w:t>
      </w:r>
      <w:r>
        <w:rPr>
          <w:rFonts w:hint="eastAsia" w:ascii="宋体" w:hAnsi="宋体" w:eastAsia="宋体" w:cs="宋体"/>
          <w:b/>
          <w:bCs/>
          <w:color w:val="auto"/>
          <w:sz w:val="24"/>
          <w:szCs w:val="24"/>
          <w:highlight w:val="none"/>
          <w:u w:val="none"/>
        </w:rPr>
        <w:t>需将</w:t>
      </w:r>
      <w:r>
        <w:rPr>
          <w:rFonts w:hint="eastAsia" w:ascii="宋体" w:hAnsi="宋体" w:cs="宋体"/>
          <w:b/>
          <w:bCs/>
          <w:color w:val="auto"/>
          <w:sz w:val="24"/>
          <w:szCs w:val="24"/>
          <w:highlight w:val="none"/>
          <w:u w:val="none"/>
          <w:lang w:eastAsia="zh-CN"/>
        </w:rPr>
        <w:t>投标文件</w:t>
      </w:r>
      <w:r>
        <w:rPr>
          <w:rFonts w:hint="eastAsia" w:ascii="宋体" w:hAnsi="宋体" w:eastAsia="宋体" w:cs="宋体"/>
          <w:b/>
          <w:bCs/>
          <w:color w:val="auto"/>
          <w:sz w:val="24"/>
          <w:szCs w:val="24"/>
          <w:highlight w:val="none"/>
          <w:u w:val="none"/>
        </w:rPr>
        <w:t>按上述顺序装订成册。</w:t>
      </w:r>
    </w:p>
    <w:p w14:paraId="289C71D5">
      <w:pPr>
        <w:pStyle w:val="11"/>
        <w:rPr>
          <w:rFonts w:hint="eastAsia"/>
          <w:color w:val="auto"/>
          <w:highlight w:val="none"/>
        </w:rPr>
      </w:pPr>
    </w:p>
    <w:p w14:paraId="5B65CDC7">
      <w:pPr>
        <w:spacing w:after="100" w:line="265" w:lineRule="auto"/>
        <w:ind w:right="103"/>
        <w:jc w:val="center"/>
        <w:rPr>
          <w:rFonts w:hint="eastAsia" w:ascii="黑体" w:hAnsi="黑体" w:eastAsia="黑体" w:cs="Tahoma"/>
          <w:b/>
          <w:bCs/>
          <w:color w:val="auto"/>
          <w:sz w:val="36"/>
          <w:szCs w:val="36"/>
          <w:highlight w:val="none"/>
          <w:u w:val="single"/>
        </w:rPr>
      </w:pPr>
    </w:p>
    <w:p w14:paraId="461F0756">
      <w:pPr>
        <w:pStyle w:val="11"/>
        <w:rPr>
          <w:rFonts w:hint="eastAsia"/>
          <w:color w:val="auto"/>
          <w:highlight w:val="none"/>
        </w:rPr>
      </w:pPr>
    </w:p>
    <w:p w14:paraId="7E460F7C">
      <w:pPr>
        <w:rPr>
          <w:rFonts w:hint="eastAsia"/>
          <w:color w:val="auto"/>
          <w:highlight w:val="none"/>
        </w:rPr>
      </w:pPr>
    </w:p>
    <w:p w14:paraId="6D41F020">
      <w:pPr>
        <w:pStyle w:val="11"/>
        <w:ind w:left="0" w:leftChars="0" w:firstLine="0" w:firstLineChars="0"/>
        <w:rPr>
          <w:rFonts w:hint="eastAsia"/>
          <w:color w:val="auto"/>
          <w:highlight w:val="none"/>
        </w:rPr>
      </w:pPr>
    </w:p>
    <w:p w14:paraId="0781B044">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投  标  函</w:t>
      </w:r>
    </w:p>
    <w:p w14:paraId="7E3512B8">
      <w:pPr>
        <w:spacing w:line="360" w:lineRule="auto"/>
        <w:ind w:firstLine="48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招标人</w:t>
      </w:r>
      <w:r>
        <w:rPr>
          <w:rFonts w:hint="eastAsia" w:ascii="宋体" w:hAnsi="宋体" w:eastAsia="宋体" w:cs="宋体"/>
          <w:color w:val="auto"/>
          <w:sz w:val="24"/>
          <w:szCs w:val="24"/>
          <w:highlight w:val="none"/>
          <w:u w:val="none"/>
          <w:lang w:eastAsia="zh-CN"/>
        </w:rPr>
        <w:t>）</w:t>
      </w:r>
    </w:p>
    <w:p w14:paraId="013319F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经研究，我们决定参加</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项目</w:t>
      </w:r>
      <w:r>
        <w:rPr>
          <w:rFonts w:hint="eastAsia" w:ascii="宋体" w:hAnsi="宋体" w:eastAsia="宋体" w:cs="宋体"/>
          <w:color w:val="auto"/>
          <w:sz w:val="24"/>
          <w:szCs w:val="24"/>
          <w:highlight w:val="none"/>
          <w:u w:val="single"/>
          <w:lang w:val="en-US" w:eastAsia="zh-CN"/>
        </w:rPr>
        <w:t>名称、标项名称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的招标活动并投标，为此，我方郑重声明以下诸点，并负法律责任。</w:t>
      </w:r>
    </w:p>
    <w:p w14:paraId="6492C5EE">
      <w:pPr>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一、我方承诺以</w:t>
      </w:r>
      <w:r>
        <w:rPr>
          <w:rFonts w:hint="eastAsia" w:ascii="宋体" w:hAnsi="宋体" w:cs="宋体"/>
          <w:color w:val="auto"/>
          <w:sz w:val="24"/>
          <w:szCs w:val="24"/>
          <w:highlight w:val="none"/>
          <w:lang w:val="en-US" w:eastAsia="zh-CN"/>
        </w:rPr>
        <w:t>下浮率</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承担本次项目</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文件中要求所有工作，</w:t>
      </w:r>
      <w:r>
        <w:rPr>
          <w:rFonts w:hint="eastAsia" w:ascii="宋体" w:hAnsi="宋体" w:cs="宋体"/>
          <w:color w:val="auto"/>
          <w:sz w:val="24"/>
          <w:szCs w:val="24"/>
          <w:highlight w:val="none"/>
          <w:lang w:val="en-US" w:eastAsia="zh-CN"/>
        </w:rPr>
        <w:t>合同履约</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6A6E77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二、完全响应</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文件中所有条款。</w:t>
      </w:r>
    </w:p>
    <w:p w14:paraId="56F013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三、一旦我方中标，我方保证在贵方约定的日期：合同签订后个工作日交货，</w:t>
      </w:r>
      <w:r>
        <w:rPr>
          <w:rFonts w:hint="eastAsia" w:ascii="宋体" w:hAnsi="宋体" w:cs="宋体"/>
          <w:color w:val="auto"/>
          <w:sz w:val="24"/>
          <w:szCs w:val="24"/>
          <w:highlight w:val="none"/>
          <w:lang w:val="en-US" w:eastAsia="zh-CN"/>
        </w:rPr>
        <w:t>检验</w:t>
      </w:r>
      <w:r>
        <w:rPr>
          <w:rFonts w:hint="eastAsia" w:ascii="宋体" w:hAnsi="宋体" w:eastAsia="宋体" w:cs="宋体"/>
          <w:color w:val="auto"/>
          <w:sz w:val="24"/>
          <w:szCs w:val="24"/>
          <w:highlight w:val="none"/>
        </w:rPr>
        <w:t>、验收完毕。</w:t>
      </w:r>
    </w:p>
    <w:p w14:paraId="6D20D9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四、如果我方中标，非业主原因，我方保证将按下列质量要求完成本</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产品质量，质量要求：</w:t>
      </w:r>
      <w:r>
        <w:rPr>
          <w:rFonts w:hint="eastAsia" w:ascii="宋体" w:hAnsi="宋体" w:eastAsia="宋体" w:cs="宋体"/>
          <w:color w:val="auto"/>
          <w:sz w:val="24"/>
          <w:szCs w:val="24"/>
          <w:highlight w:val="none"/>
          <w:u w:val="single"/>
        </w:rPr>
        <w:t>合格，必须达到国家规定的标准。</w:t>
      </w:r>
    </w:p>
    <w:p w14:paraId="2F3596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五、如果我方中标，我方将按</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文件规定的时间内签订合同。如果违约，我方愿以投标保证金作为赔偿金，同时贵方有权终止我方中标并选择其它</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6AFF95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六、如果我方中标，到达现场的</w:t>
      </w:r>
      <w:r>
        <w:rPr>
          <w:rFonts w:hint="eastAsia" w:ascii="宋体" w:hAnsi="宋体" w:eastAsia="宋体" w:cs="宋体"/>
          <w:color w:val="auto"/>
          <w:sz w:val="24"/>
          <w:szCs w:val="24"/>
          <w:highlight w:val="none"/>
          <w:lang w:eastAsia="zh-CN"/>
        </w:rPr>
        <w:t>货物</w:t>
      </w:r>
      <w:r>
        <w:rPr>
          <w:rFonts w:hint="eastAsia" w:ascii="宋体" w:hAnsi="宋体" w:eastAsia="宋体" w:cs="宋体"/>
          <w:color w:val="auto"/>
          <w:sz w:val="24"/>
          <w:szCs w:val="24"/>
          <w:highlight w:val="none"/>
        </w:rPr>
        <w:t>质量、品牌、型号与</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文件要求不一致的，</w:t>
      </w:r>
      <w:r>
        <w:rPr>
          <w:rFonts w:hint="eastAsia" w:ascii="宋体" w:hAnsi="宋体" w:cs="宋体"/>
          <w:color w:val="auto"/>
          <w:sz w:val="24"/>
          <w:szCs w:val="24"/>
          <w:highlight w:val="none"/>
          <w:lang w:val="en-US" w:eastAsia="zh-CN"/>
        </w:rPr>
        <w:t>供货</w:t>
      </w:r>
      <w:r>
        <w:rPr>
          <w:rFonts w:hint="eastAsia" w:ascii="宋体" w:hAnsi="宋体" w:eastAsia="宋体" w:cs="宋体"/>
          <w:color w:val="auto"/>
          <w:sz w:val="24"/>
          <w:szCs w:val="24"/>
          <w:highlight w:val="none"/>
        </w:rPr>
        <w:t>质量达不到一次性合格,我方将进行整改直至贵方验收合格为止，并愿以中标价的10%作为违约金。</w:t>
      </w:r>
    </w:p>
    <w:p w14:paraId="10F001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七、贵方的</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文件、答疑文件、</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文件文件补充、</w:t>
      </w:r>
      <w:r>
        <w:rPr>
          <w:rFonts w:hint="eastAsia" w:ascii="宋体" w:hAnsi="宋体" w:cs="宋体"/>
          <w:color w:val="auto"/>
          <w:sz w:val="24"/>
          <w:szCs w:val="24"/>
          <w:highlight w:val="none"/>
          <w:lang w:eastAsia="zh-CN"/>
        </w:rPr>
        <w:t>成交通知书</w:t>
      </w:r>
      <w:r>
        <w:rPr>
          <w:rFonts w:hint="eastAsia" w:ascii="宋体" w:hAnsi="宋体" w:eastAsia="宋体" w:cs="宋体"/>
          <w:color w:val="auto"/>
          <w:sz w:val="24"/>
          <w:szCs w:val="24"/>
          <w:highlight w:val="none"/>
        </w:rPr>
        <w:t>和本</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将做为合同附件，具有同等法律效力。</w:t>
      </w:r>
    </w:p>
    <w:p w14:paraId="539F4AB7">
      <w:pPr>
        <w:spacing w:line="360" w:lineRule="auto"/>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八、到货地点：</w:t>
      </w:r>
      <w:r>
        <w:rPr>
          <w:rFonts w:hint="eastAsia" w:ascii="宋体" w:hAnsi="宋体" w:cs="宋体"/>
          <w:color w:val="auto"/>
          <w:sz w:val="24"/>
          <w:szCs w:val="24"/>
          <w:highlight w:val="none"/>
          <w:u w:val="single"/>
          <w:lang w:val="en-US" w:eastAsia="zh-CN"/>
        </w:rPr>
        <w:t xml:space="preserve">                  </w:t>
      </w:r>
    </w:p>
    <w:p w14:paraId="6A950B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九、如果我方未中标，贵方没有必要对我方做出任何解释和说明，我方将充分尊重和理解贵方的选择。</w:t>
      </w:r>
    </w:p>
    <w:p w14:paraId="124C46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有效期为</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w:t>
      </w:r>
    </w:p>
    <w:p w14:paraId="5599F925">
      <w:pPr>
        <w:spacing w:line="360" w:lineRule="auto"/>
        <w:ind w:right="105" w:rightChars="50" w:firstLine="480" w:firstLineChars="200"/>
        <w:rPr>
          <w:rFonts w:hint="eastAsia" w:ascii="宋体" w:hAnsi="宋体" w:eastAsia="宋体" w:cs="宋体"/>
          <w:color w:val="auto"/>
          <w:sz w:val="24"/>
          <w:szCs w:val="24"/>
          <w:highlight w:val="none"/>
          <w:lang w:val="en-US" w:eastAsia="zh-CN"/>
        </w:rPr>
      </w:pPr>
    </w:p>
    <w:p w14:paraId="6A8847A6">
      <w:pPr>
        <w:spacing w:line="360" w:lineRule="auto"/>
        <w:ind w:right="105" w:rightChars="50" w:firstLine="480" w:firstLineChars="200"/>
        <w:rPr>
          <w:rFonts w:hint="eastAsia" w:ascii="宋体" w:hAnsi="宋体" w:eastAsia="宋体" w:cs="宋体"/>
          <w:color w:val="auto"/>
          <w:sz w:val="24"/>
          <w:szCs w:val="24"/>
          <w:highlight w:val="none"/>
          <w:lang w:val="en-US" w:eastAsia="zh-CN"/>
        </w:rPr>
      </w:pPr>
    </w:p>
    <w:p w14:paraId="45C156E7">
      <w:pPr>
        <w:spacing w:line="360" w:lineRule="auto"/>
        <w:ind w:right="105" w:rightChars="5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名称（公章）：</w:t>
      </w:r>
    </w:p>
    <w:p w14:paraId="59ACFACD">
      <w:pPr>
        <w:spacing w:line="360" w:lineRule="auto"/>
        <w:ind w:right="105" w:rightChars="5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232F6551">
      <w:pPr>
        <w:spacing w:line="360" w:lineRule="auto"/>
        <w:ind w:right="105" w:rightChars="5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w:t>
      </w:r>
    </w:p>
    <w:p w14:paraId="3C62A2E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eastAsia="zh-CN"/>
        </w:rPr>
        <w:t>：</w:t>
      </w:r>
    </w:p>
    <w:p w14:paraId="36FA818A">
      <w:pPr>
        <w:spacing w:after="100" w:line="265" w:lineRule="auto"/>
        <w:ind w:right="103"/>
        <w:jc w:val="center"/>
        <w:rPr>
          <w:rFonts w:hint="eastAsia" w:ascii="黑体" w:hAnsi="黑体" w:eastAsia="黑体" w:cs="Tahoma"/>
          <w:b/>
          <w:bCs/>
          <w:color w:val="auto"/>
          <w:sz w:val="36"/>
          <w:szCs w:val="36"/>
          <w:highlight w:val="none"/>
          <w:u w:val="single"/>
        </w:rPr>
      </w:pPr>
    </w:p>
    <w:p w14:paraId="45BE8F12">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39B75385">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（2）法定代表人身份证明书</w:t>
      </w:r>
    </w:p>
    <w:p w14:paraId="2E95A97B">
      <w:pPr>
        <w:spacing w:line="360" w:lineRule="auto"/>
        <w:jc w:val="center"/>
        <w:rPr>
          <w:rFonts w:hint="eastAsia" w:ascii="宋体" w:hAnsi="宋体" w:eastAsia="宋体" w:cs="宋体"/>
          <w:b/>
          <w:color w:val="auto"/>
          <w:sz w:val="28"/>
          <w:szCs w:val="28"/>
          <w:highlight w:val="none"/>
          <w:lang w:val="en-US" w:eastAsia="zh-CN"/>
        </w:rPr>
      </w:pPr>
    </w:p>
    <w:p w14:paraId="6640BF3A">
      <w:pPr>
        <w:spacing w:line="360" w:lineRule="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lang w:bidi="ar"/>
        </w:rPr>
        <w:t>单位名称：</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val="en-US" w:eastAsia="zh-CN" w:bidi="ar"/>
        </w:rPr>
        <w:t xml:space="preserve"> </w:t>
      </w:r>
    </w:p>
    <w:p w14:paraId="2B507EC8">
      <w:pPr>
        <w:spacing w:line="360" w:lineRule="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lang w:bidi="ar"/>
        </w:rPr>
        <w:t>企业类型：</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val="en-US" w:eastAsia="zh-CN" w:bidi="ar"/>
        </w:rPr>
        <w:t xml:space="preserve"> </w:t>
      </w:r>
    </w:p>
    <w:p w14:paraId="560EB9E6">
      <w:pPr>
        <w:spacing w:line="360" w:lineRule="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lang w:bidi="ar"/>
        </w:rPr>
        <w:t>地    址：</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val="en-US" w:eastAsia="zh-CN" w:bidi="ar"/>
        </w:rPr>
        <w:t xml:space="preserve"> </w:t>
      </w:r>
    </w:p>
    <w:p w14:paraId="384CE91B">
      <w:pPr>
        <w:spacing w:line="360" w:lineRule="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lang w:bidi="ar"/>
        </w:rPr>
        <w:t>营业期限：</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val="en-US" w:eastAsia="zh-CN" w:bidi="ar"/>
        </w:rPr>
        <w:t xml:space="preserve"> </w:t>
      </w:r>
    </w:p>
    <w:p w14:paraId="257E5D06">
      <w:pPr>
        <w:spacing w:line="360" w:lineRule="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lang w:bidi="ar"/>
        </w:rPr>
        <w:t>成立时间：</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val="en-US" w:eastAsia="zh-CN" w:bidi="ar"/>
        </w:rPr>
        <w:t xml:space="preserve"> </w:t>
      </w:r>
    </w:p>
    <w:p w14:paraId="70BD4B1A">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姓名：</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 xml:space="preserve">         性别：</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 xml:space="preserve">  </w:t>
      </w:r>
    </w:p>
    <w:p w14:paraId="54ACEE0A">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bidi="ar"/>
        </w:rPr>
        <w:t>年龄：</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 xml:space="preserve">       </w:t>
      </w:r>
      <w:r>
        <w:rPr>
          <w:rFonts w:hint="eastAsia" w:ascii="宋体" w:hAnsi="宋体" w:eastAsia="宋体" w:cs="宋体"/>
          <w:bCs/>
          <w:color w:val="auto"/>
          <w:sz w:val="24"/>
          <w:szCs w:val="24"/>
          <w:highlight w:val="none"/>
          <w:lang w:val="en-US" w:eastAsia="zh-CN" w:bidi="ar"/>
        </w:rPr>
        <w:t xml:space="preserve"> </w:t>
      </w:r>
      <w:r>
        <w:rPr>
          <w:rFonts w:hint="eastAsia" w:ascii="宋体" w:hAnsi="宋体" w:eastAsia="宋体" w:cs="宋体"/>
          <w:bCs/>
          <w:color w:val="auto"/>
          <w:sz w:val="24"/>
          <w:szCs w:val="24"/>
          <w:highlight w:val="none"/>
          <w:lang w:bidi="ar"/>
        </w:rPr>
        <w:t xml:space="preserve"> 职务：</w:t>
      </w:r>
      <w:r>
        <w:rPr>
          <w:rFonts w:hint="eastAsia" w:ascii="宋体" w:hAnsi="宋体" w:eastAsia="宋体" w:cs="宋体"/>
          <w:bCs/>
          <w:color w:val="auto"/>
          <w:sz w:val="24"/>
          <w:szCs w:val="24"/>
          <w:highlight w:val="none"/>
          <w:u w:val="single"/>
          <w:lang w:bidi="ar"/>
        </w:rPr>
        <w:t xml:space="preserve">               </w:t>
      </w:r>
    </w:p>
    <w:p w14:paraId="5770A14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系 </w:t>
      </w:r>
      <w:r>
        <w:rPr>
          <w:rFonts w:hint="eastAsia" w:ascii="宋体" w:hAnsi="宋体" w:eastAsia="宋体" w:cs="宋体"/>
          <w:bCs/>
          <w:color w:val="auto"/>
          <w:sz w:val="24"/>
          <w:szCs w:val="24"/>
          <w:highlight w:val="none"/>
          <w:u w:val="single"/>
          <w:lang w:bidi="ar"/>
        </w:rPr>
        <w:t xml:space="preserve">         （</w:t>
      </w:r>
      <w:r>
        <w:rPr>
          <w:rFonts w:hint="eastAsia" w:ascii="宋体" w:hAnsi="宋体" w:cs="宋体"/>
          <w:bCs/>
          <w:color w:val="auto"/>
          <w:sz w:val="24"/>
          <w:szCs w:val="24"/>
          <w:highlight w:val="none"/>
          <w:u w:val="single"/>
          <w:lang w:eastAsia="zh-CN" w:bidi="ar"/>
        </w:rPr>
        <w:t>供应商</w:t>
      </w:r>
      <w:r>
        <w:rPr>
          <w:rFonts w:hint="eastAsia" w:ascii="宋体" w:hAnsi="宋体" w:eastAsia="宋体" w:cs="宋体"/>
          <w:bCs/>
          <w:color w:val="auto"/>
          <w:sz w:val="24"/>
          <w:szCs w:val="24"/>
          <w:highlight w:val="none"/>
          <w:u w:val="single"/>
          <w:lang w:bidi="ar"/>
        </w:rPr>
        <w:t xml:space="preserve">名称）               </w:t>
      </w:r>
      <w:r>
        <w:rPr>
          <w:rFonts w:hint="eastAsia" w:ascii="宋体" w:hAnsi="宋体" w:eastAsia="宋体" w:cs="宋体"/>
          <w:bCs/>
          <w:color w:val="auto"/>
          <w:sz w:val="24"/>
          <w:szCs w:val="24"/>
          <w:highlight w:val="none"/>
          <w:lang w:bidi="ar"/>
        </w:rPr>
        <w:t>的法定代表人。</w:t>
      </w:r>
    </w:p>
    <w:p w14:paraId="2B77DF1B">
      <w:pPr>
        <w:spacing w:line="360" w:lineRule="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特此证明。</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39"/>
      </w:tblGrid>
      <w:tr w14:paraId="68AF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402" w:type="dxa"/>
            <w:noWrap w:val="0"/>
            <w:vAlign w:val="center"/>
          </w:tcPr>
          <w:p w14:paraId="3917CB41">
            <w:pPr>
              <w:spacing w:line="360" w:lineRule="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法定代表人身份证（正面）</w:t>
            </w:r>
          </w:p>
        </w:tc>
        <w:tc>
          <w:tcPr>
            <w:tcW w:w="3439" w:type="dxa"/>
            <w:noWrap w:val="0"/>
            <w:vAlign w:val="center"/>
          </w:tcPr>
          <w:p w14:paraId="401A9712">
            <w:pPr>
              <w:spacing w:line="360" w:lineRule="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法</w:t>
            </w:r>
            <w:r>
              <w:rPr>
                <w:rFonts w:hint="eastAsia" w:ascii="宋体" w:hAnsi="宋体" w:eastAsia="宋体" w:cs="宋体"/>
                <w:bCs/>
                <w:color w:val="auto"/>
                <w:sz w:val="24"/>
                <w:szCs w:val="24"/>
                <w:highlight w:val="none"/>
                <w:lang w:val="en-US" w:eastAsia="zh-CN" w:bidi="ar"/>
              </w:rPr>
              <w:t>定代表人身份证（背面）</w:t>
            </w:r>
          </w:p>
        </w:tc>
      </w:tr>
    </w:tbl>
    <w:p w14:paraId="00735575">
      <w:pPr>
        <w:rPr>
          <w:rFonts w:hint="eastAsia" w:ascii="宋体" w:hAnsi="宋体" w:eastAsia="宋体" w:cs="宋体"/>
          <w:b/>
          <w:color w:val="auto"/>
          <w:sz w:val="24"/>
          <w:szCs w:val="24"/>
          <w:highlight w:val="none"/>
        </w:rPr>
      </w:pPr>
    </w:p>
    <w:p w14:paraId="56730389">
      <w:pPr>
        <w:rPr>
          <w:rFonts w:hint="eastAsia" w:ascii="宋体" w:hAnsi="宋体" w:eastAsia="宋体" w:cs="宋体"/>
          <w:bCs/>
          <w:color w:val="auto"/>
          <w:sz w:val="24"/>
          <w:szCs w:val="24"/>
          <w:highlight w:val="none"/>
        </w:rPr>
      </w:pPr>
    </w:p>
    <w:p w14:paraId="5EA4EB11">
      <w:pPr>
        <w:rPr>
          <w:rFonts w:hint="eastAsia" w:ascii="宋体" w:hAnsi="宋体" w:eastAsia="宋体" w:cs="宋体"/>
          <w:bCs/>
          <w:color w:val="auto"/>
          <w:sz w:val="24"/>
          <w:szCs w:val="24"/>
          <w:highlight w:val="none"/>
        </w:rPr>
      </w:pPr>
    </w:p>
    <w:p w14:paraId="415FF187">
      <w:pPr>
        <w:rPr>
          <w:rFonts w:hint="eastAsia" w:ascii="宋体" w:hAnsi="宋体" w:eastAsia="宋体" w:cs="宋体"/>
          <w:bCs/>
          <w:color w:val="auto"/>
          <w:sz w:val="24"/>
          <w:szCs w:val="24"/>
          <w:highlight w:val="none"/>
        </w:rPr>
      </w:pPr>
    </w:p>
    <w:p w14:paraId="31F2BFC3">
      <w:pPr>
        <w:jc w:val="left"/>
        <w:rPr>
          <w:rFonts w:hint="eastAsia" w:ascii="宋体" w:hAnsi="宋体" w:eastAsia="宋体" w:cs="宋体"/>
          <w:bCs/>
          <w:color w:val="auto"/>
          <w:sz w:val="24"/>
          <w:szCs w:val="24"/>
          <w:highlight w:val="none"/>
          <w:u w:val="single"/>
          <w:lang w:bidi="ar"/>
        </w:rPr>
      </w:pPr>
      <w:r>
        <w:rPr>
          <w:rFonts w:hint="eastAsia" w:ascii="宋体" w:hAnsi="宋体" w:cs="宋体"/>
          <w:bCs/>
          <w:color w:val="auto"/>
          <w:sz w:val="24"/>
          <w:szCs w:val="24"/>
          <w:highlight w:val="none"/>
          <w:lang w:eastAsia="zh-CN" w:bidi="ar"/>
        </w:rPr>
        <w:t>供应商</w:t>
      </w:r>
      <w:r>
        <w:rPr>
          <w:rFonts w:hint="eastAsia" w:ascii="宋体" w:hAnsi="宋体" w:eastAsia="宋体" w:cs="宋体"/>
          <w:bCs/>
          <w:color w:val="auto"/>
          <w:sz w:val="24"/>
          <w:szCs w:val="24"/>
          <w:highlight w:val="none"/>
          <w:lang w:val="en-US" w:eastAsia="zh-CN" w:bidi="ar"/>
        </w:rPr>
        <w:t>名称</w:t>
      </w:r>
      <w:r>
        <w:rPr>
          <w:rFonts w:hint="eastAsia" w:ascii="宋体" w:hAnsi="宋体" w:eastAsia="宋体" w:cs="宋体"/>
          <w:bCs/>
          <w:color w:val="auto"/>
          <w:sz w:val="24"/>
          <w:szCs w:val="24"/>
          <w:highlight w:val="none"/>
          <w:lang w:bidi="ar"/>
        </w:rPr>
        <w:t>：</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none"/>
          <w:lang w:bidi="ar"/>
        </w:rPr>
        <w:t>（</w:t>
      </w:r>
      <w:r>
        <w:rPr>
          <w:rFonts w:hint="eastAsia" w:ascii="宋体" w:hAnsi="宋体" w:eastAsia="宋体" w:cs="宋体"/>
          <w:bCs/>
          <w:color w:val="auto"/>
          <w:sz w:val="24"/>
          <w:szCs w:val="24"/>
          <w:highlight w:val="none"/>
          <w:u w:val="none"/>
          <w:lang w:val="en-US" w:eastAsia="zh-CN" w:bidi="ar"/>
        </w:rPr>
        <w:t>公</w:t>
      </w:r>
      <w:r>
        <w:rPr>
          <w:rFonts w:hint="eastAsia" w:ascii="宋体" w:hAnsi="宋体" w:eastAsia="宋体" w:cs="宋体"/>
          <w:bCs/>
          <w:color w:val="auto"/>
          <w:sz w:val="24"/>
          <w:szCs w:val="24"/>
          <w:highlight w:val="none"/>
          <w:u w:val="none"/>
          <w:lang w:bidi="ar"/>
        </w:rPr>
        <w:t>章）</w:t>
      </w:r>
    </w:p>
    <w:p w14:paraId="2D1D247E">
      <w:pPr>
        <w:pStyle w:val="27"/>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bCs/>
          <w:color w:val="auto"/>
          <w:sz w:val="24"/>
          <w:szCs w:val="24"/>
          <w:highlight w:val="none"/>
          <w:u w:val="single"/>
          <w:lang w:bidi="ar"/>
        </w:rPr>
        <w:t xml:space="preserve">                  </w:t>
      </w:r>
    </w:p>
    <w:p w14:paraId="5244809E">
      <w:pPr>
        <w:spacing w:line="360" w:lineRule="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日  期：</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年</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月</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日</w:t>
      </w:r>
    </w:p>
    <w:p w14:paraId="581ACA6C">
      <w:pPr>
        <w:spacing w:line="360" w:lineRule="auto"/>
        <w:rPr>
          <w:rFonts w:hint="eastAsia" w:ascii="宋体" w:hAnsi="宋体" w:eastAsia="宋体" w:cs="宋体"/>
          <w:b/>
          <w:color w:val="auto"/>
          <w:sz w:val="24"/>
          <w:szCs w:val="24"/>
          <w:highlight w:val="none"/>
        </w:rPr>
      </w:pPr>
    </w:p>
    <w:p w14:paraId="2E83E0D0">
      <w:pPr>
        <w:spacing w:line="360" w:lineRule="auto"/>
        <w:rPr>
          <w:rFonts w:hint="eastAsia" w:ascii="宋体" w:hAnsi="宋体" w:eastAsia="宋体" w:cs="宋体"/>
          <w:b/>
          <w:color w:val="auto"/>
          <w:sz w:val="24"/>
          <w:szCs w:val="24"/>
          <w:highlight w:val="none"/>
        </w:rPr>
      </w:pPr>
    </w:p>
    <w:p w14:paraId="554B6603">
      <w:pPr>
        <w:spacing w:line="360" w:lineRule="auto"/>
        <w:rPr>
          <w:rFonts w:hint="eastAsia" w:ascii="宋体" w:hAnsi="宋体" w:eastAsia="宋体" w:cs="宋体"/>
          <w:b/>
          <w:color w:val="auto"/>
          <w:sz w:val="24"/>
          <w:szCs w:val="24"/>
          <w:highlight w:val="none"/>
        </w:rPr>
      </w:pPr>
    </w:p>
    <w:p w14:paraId="7E25FAD6">
      <w:pPr>
        <w:spacing w:line="360" w:lineRule="auto"/>
        <w:rPr>
          <w:rFonts w:hint="eastAsia" w:ascii="宋体" w:hAnsi="宋体" w:eastAsia="宋体" w:cs="宋体"/>
          <w:b/>
          <w:color w:val="auto"/>
          <w:sz w:val="24"/>
          <w:szCs w:val="24"/>
          <w:highlight w:val="none"/>
        </w:rPr>
      </w:pPr>
    </w:p>
    <w:p w14:paraId="7B12B4F5">
      <w:pPr>
        <w:spacing w:line="360" w:lineRule="auto"/>
        <w:rPr>
          <w:rFonts w:hint="eastAsia" w:ascii="宋体" w:hAnsi="宋体" w:eastAsia="宋体" w:cs="宋体"/>
          <w:b/>
          <w:color w:val="auto"/>
          <w:sz w:val="24"/>
          <w:szCs w:val="24"/>
          <w:highlight w:val="none"/>
        </w:rPr>
      </w:pPr>
    </w:p>
    <w:p w14:paraId="6C5C9FA8">
      <w:pPr>
        <w:spacing w:line="360" w:lineRule="auto"/>
        <w:rPr>
          <w:rFonts w:hint="eastAsia" w:ascii="宋体" w:hAnsi="宋体" w:eastAsia="宋体" w:cs="宋体"/>
          <w:b/>
          <w:color w:val="auto"/>
          <w:sz w:val="24"/>
          <w:szCs w:val="24"/>
          <w:highlight w:val="none"/>
        </w:rPr>
      </w:pPr>
    </w:p>
    <w:p w14:paraId="43B6F723">
      <w:pPr>
        <w:spacing w:line="360" w:lineRule="auto"/>
        <w:rPr>
          <w:rFonts w:hint="eastAsia" w:ascii="宋体" w:hAnsi="宋体" w:eastAsia="宋体" w:cs="宋体"/>
          <w:b/>
          <w:color w:val="auto"/>
          <w:sz w:val="24"/>
          <w:szCs w:val="24"/>
          <w:highlight w:val="none"/>
        </w:rPr>
      </w:pPr>
    </w:p>
    <w:p w14:paraId="65709F26">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68BDC1DD">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法定代表人授权委托书</w:t>
      </w:r>
    </w:p>
    <w:p w14:paraId="4CD6C828">
      <w:pPr>
        <w:spacing w:line="360" w:lineRule="auto"/>
        <w:jc w:val="center"/>
        <w:rPr>
          <w:rFonts w:hint="eastAsia" w:ascii="宋体" w:hAnsi="宋体" w:eastAsia="宋体" w:cs="宋体"/>
          <w:b/>
          <w:color w:val="auto"/>
          <w:sz w:val="28"/>
          <w:szCs w:val="28"/>
          <w:highlight w:val="none"/>
          <w:lang w:val="en-US" w:eastAsia="zh-CN"/>
        </w:rPr>
      </w:pPr>
    </w:p>
    <w:p w14:paraId="551540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招标人名称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CD91A00">
      <w:pPr>
        <w:tabs>
          <w:tab w:val="left" w:pos="5527"/>
        </w:tabs>
        <w:bidi w:val="0"/>
        <w:spacing w:line="360" w:lineRule="auto"/>
        <w:ind w:firstLine="480" w:firstLineChars="200"/>
        <w:outlineLvl w:val="9"/>
        <w:rPr>
          <w:rFonts w:hint="eastAsia" w:ascii="宋体" w:hAnsi="宋体" w:eastAsia="宋体" w:cs="宋体"/>
          <w:sz w:val="24"/>
          <w:szCs w:val="22"/>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（职务或职称）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（姓名）为我单位本次授权委托人，全权处理此次</w:t>
      </w:r>
      <w:r>
        <w:rPr>
          <w:rFonts w:hint="eastAsia" w:ascii="宋体" w:hAnsi="宋体" w:eastAsia="宋体" w:cs="宋体"/>
          <w:color w:val="auto"/>
          <w:sz w:val="24"/>
          <w:szCs w:val="24"/>
          <w:highlight w:val="none"/>
          <w:u w:val="single"/>
        </w:rPr>
        <w:t xml:space="preserve"> 项目名称</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 xml:space="preserve">            、包段名称：        </w:t>
      </w:r>
      <w:r>
        <w:rPr>
          <w:rFonts w:hint="eastAsia" w:ascii="宋体" w:hAnsi="宋体" w:eastAsia="宋体" w:cs="宋体"/>
          <w:color w:val="auto"/>
          <w:sz w:val="24"/>
          <w:szCs w:val="24"/>
          <w:highlight w:val="none"/>
        </w:rPr>
        <w:t>招投标活动的一切事宜。</w:t>
      </w:r>
      <w:r>
        <w:rPr>
          <w:rFonts w:hint="eastAsia" w:ascii="宋体" w:hAnsi="宋体" w:eastAsia="宋体" w:cs="宋体"/>
          <w:sz w:val="24"/>
          <w:szCs w:val="22"/>
          <w:highlight w:val="none"/>
        </w:rPr>
        <w:t>代理人在处理</w:t>
      </w:r>
      <w:r>
        <w:rPr>
          <w:rFonts w:hint="eastAsia" w:ascii="宋体" w:hAnsi="宋体" w:eastAsia="宋体" w:cs="宋体"/>
          <w:color w:val="auto"/>
          <w:sz w:val="24"/>
          <w:szCs w:val="24"/>
          <w:highlight w:val="none"/>
        </w:rPr>
        <w:t>招投标</w:t>
      </w:r>
      <w:r>
        <w:rPr>
          <w:rFonts w:hint="eastAsia" w:ascii="宋体" w:hAnsi="宋体" w:eastAsia="宋体" w:cs="宋体"/>
          <w:sz w:val="24"/>
          <w:szCs w:val="22"/>
          <w:highlight w:val="none"/>
        </w:rPr>
        <w:t>的过程中所签署的一切文件和处理与之有关的一切事务，我均予以承认。</w:t>
      </w:r>
    </w:p>
    <w:p w14:paraId="28822AC9">
      <w:pPr>
        <w:tabs>
          <w:tab w:val="left" w:pos="5527"/>
        </w:tabs>
        <w:bidi w:val="0"/>
        <w:spacing w:line="360" w:lineRule="auto"/>
        <w:ind w:firstLine="480" w:firstLineChars="200"/>
        <w:outlineLvl w:val="9"/>
        <w:rPr>
          <w:rFonts w:hint="eastAsia" w:ascii="宋体" w:hAnsi="宋体" w:eastAsia="宋体" w:cs="宋体"/>
          <w:sz w:val="24"/>
          <w:szCs w:val="22"/>
          <w:highlight w:val="none"/>
        </w:rPr>
      </w:pPr>
      <w:r>
        <w:rPr>
          <w:rFonts w:hint="eastAsia" w:ascii="宋体" w:hAnsi="宋体" w:eastAsia="宋体" w:cs="宋体"/>
          <w:sz w:val="24"/>
          <w:szCs w:val="22"/>
          <w:highlight w:val="none"/>
        </w:rPr>
        <w:t>授权期限</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u w:val="single"/>
          <w:lang w:val="en-US" w:eastAsia="zh-CN"/>
        </w:rPr>
        <w:t xml:space="preserve">     </w:t>
      </w:r>
      <w:r>
        <w:rPr>
          <w:rFonts w:hint="eastAsia" w:ascii="宋体" w:hAnsi="宋体" w:eastAsia="宋体" w:cs="宋体"/>
          <w:sz w:val="24"/>
          <w:szCs w:val="22"/>
          <w:highlight w:val="none"/>
        </w:rPr>
        <w:t>年</w:t>
      </w:r>
      <w:r>
        <w:rPr>
          <w:rFonts w:hint="eastAsia" w:ascii="宋体" w:hAnsi="宋体" w:eastAsia="宋体" w:cs="宋体"/>
          <w:sz w:val="24"/>
          <w:szCs w:val="22"/>
          <w:highlight w:val="none"/>
          <w:u w:val="single"/>
          <w:lang w:val="en-US" w:eastAsia="zh-CN"/>
        </w:rPr>
        <w:t xml:space="preserve">   </w:t>
      </w:r>
      <w:r>
        <w:rPr>
          <w:rFonts w:hint="eastAsia" w:ascii="宋体" w:hAnsi="宋体" w:eastAsia="宋体" w:cs="宋体"/>
          <w:sz w:val="24"/>
          <w:szCs w:val="22"/>
          <w:highlight w:val="none"/>
        </w:rPr>
        <w:t>月</w:t>
      </w:r>
      <w:r>
        <w:rPr>
          <w:rFonts w:hint="eastAsia" w:ascii="宋体" w:hAnsi="宋体" w:eastAsia="宋体" w:cs="宋体"/>
          <w:sz w:val="24"/>
          <w:szCs w:val="22"/>
          <w:highlight w:val="none"/>
          <w:u w:val="single"/>
          <w:lang w:val="en-US" w:eastAsia="zh-CN"/>
        </w:rPr>
        <w:t xml:space="preserve">   </w:t>
      </w:r>
      <w:r>
        <w:rPr>
          <w:rFonts w:hint="eastAsia" w:ascii="宋体" w:hAnsi="宋体" w:eastAsia="宋体" w:cs="宋体"/>
          <w:sz w:val="24"/>
          <w:szCs w:val="22"/>
          <w:highlight w:val="none"/>
        </w:rPr>
        <w:t>日至</w:t>
      </w:r>
      <w:r>
        <w:rPr>
          <w:rFonts w:hint="eastAsia" w:ascii="宋体" w:hAnsi="宋体" w:eastAsia="宋体" w:cs="宋体"/>
          <w:sz w:val="24"/>
          <w:szCs w:val="22"/>
          <w:highlight w:val="none"/>
          <w:u w:val="single"/>
          <w:lang w:val="en-US" w:eastAsia="zh-CN"/>
        </w:rPr>
        <w:t xml:space="preserve">     </w:t>
      </w:r>
      <w:r>
        <w:rPr>
          <w:rFonts w:hint="eastAsia" w:ascii="宋体" w:hAnsi="宋体" w:eastAsia="宋体" w:cs="宋体"/>
          <w:sz w:val="24"/>
          <w:szCs w:val="22"/>
          <w:highlight w:val="none"/>
        </w:rPr>
        <w:t>年</w:t>
      </w:r>
      <w:r>
        <w:rPr>
          <w:rFonts w:hint="eastAsia" w:ascii="宋体" w:hAnsi="宋体" w:eastAsia="宋体" w:cs="宋体"/>
          <w:sz w:val="24"/>
          <w:szCs w:val="22"/>
          <w:highlight w:val="none"/>
          <w:u w:val="single"/>
          <w:lang w:val="en-US" w:eastAsia="zh-CN"/>
        </w:rPr>
        <w:t xml:space="preserve">   </w:t>
      </w:r>
      <w:r>
        <w:rPr>
          <w:rFonts w:hint="eastAsia" w:ascii="宋体" w:hAnsi="宋体" w:eastAsia="宋体" w:cs="宋体"/>
          <w:sz w:val="24"/>
          <w:szCs w:val="22"/>
          <w:highlight w:val="none"/>
        </w:rPr>
        <w:t>月</w:t>
      </w:r>
      <w:r>
        <w:rPr>
          <w:rFonts w:hint="eastAsia" w:ascii="宋体" w:hAnsi="宋体" w:eastAsia="宋体" w:cs="宋体"/>
          <w:sz w:val="24"/>
          <w:szCs w:val="22"/>
          <w:highlight w:val="none"/>
          <w:u w:val="single"/>
          <w:lang w:val="en-US" w:eastAsia="zh-CN"/>
        </w:rPr>
        <w:t xml:space="preserve">   </w:t>
      </w:r>
      <w:r>
        <w:rPr>
          <w:rFonts w:hint="eastAsia" w:ascii="宋体" w:hAnsi="宋体" w:eastAsia="宋体" w:cs="宋体"/>
          <w:sz w:val="24"/>
          <w:szCs w:val="22"/>
          <w:highlight w:val="none"/>
        </w:rPr>
        <w:t>日</w:t>
      </w:r>
    </w:p>
    <w:p w14:paraId="03C3C964">
      <w:pPr>
        <w:tabs>
          <w:tab w:val="left" w:pos="5527"/>
        </w:tabs>
        <w:bidi w:val="0"/>
        <w:spacing w:line="360" w:lineRule="auto"/>
        <w:ind w:firstLine="480" w:firstLineChars="200"/>
        <w:outlineLvl w:val="9"/>
        <w:rPr>
          <w:rFonts w:hint="eastAsia" w:ascii="宋体" w:hAnsi="宋体" w:eastAsia="宋体" w:cs="宋体"/>
          <w:sz w:val="24"/>
          <w:szCs w:val="22"/>
          <w:highlight w:val="none"/>
        </w:rPr>
      </w:pPr>
      <w:r>
        <w:rPr>
          <w:rFonts w:hint="eastAsia" w:ascii="宋体" w:hAnsi="宋体" w:eastAsia="宋体" w:cs="宋体"/>
          <w:sz w:val="24"/>
          <w:szCs w:val="22"/>
          <w:highlight w:val="none"/>
        </w:rPr>
        <w:t>委托代理人无转委权。特此委托。</w:t>
      </w:r>
    </w:p>
    <w:p w14:paraId="568FF19A">
      <w:pPr>
        <w:spacing w:line="360" w:lineRule="auto"/>
        <w:ind w:firstLine="480" w:firstLineChars="200"/>
        <w:rPr>
          <w:rFonts w:hint="eastAsia" w:ascii="宋体" w:hAnsi="宋体" w:eastAsia="宋体" w:cs="宋体"/>
          <w:color w:val="auto"/>
          <w:sz w:val="24"/>
          <w:szCs w:val="24"/>
          <w:highlight w:val="none"/>
        </w:rPr>
      </w:pPr>
    </w:p>
    <w:p w14:paraId="0FA397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（附法定代表人、授权委托人身份证明复印件）</w:t>
      </w:r>
    </w:p>
    <w:p w14:paraId="760077BA">
      <w:pPr>
        <w:spacing w:line="360" w:lineRule="auto"/>
        <w:ind w:firstLine="480" w:firstLineChars="200"/>
        <w:rPr>
          <w:rFonts w:hint="eastAsia" w:ascii="宋体" w:hAnsi="宋体" w:eastAsia="宋体" w:cs="宋体"/>
          <w:color w:val="auto"/>
          <w:sz w:val="24"/>
          <w:szCs w:val="24"/>
          <w:highlight w:val="none"/>
        </w:rPr>
      </w:pPr>
    </w:p>
    <w:tbl>
      <w:tblPr>
        <w:tblStyle w:val="29"/>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59D54AC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14:paraId="18036397">
            <w:pPr>
              <w:pStyle w:val="73"/>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32" w:type="dxa"/>
            <w:noWrap w:val="0"/>
            <w:vAlign w:val="center"/>
          </w:tcPr>
          <w:p w14:paraId="5DFC6F9F">
            <w:pPr>
              <w:pStyle w:val="73"/>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r w14:paraId="64952E8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14:paraId="779878DC">
            <w:pPr>
              <w:pStyle w:val="73"/>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32" w:type="dxa"/>
            <w:noWrap w:val="0"/>
            <w:vAlign w:val="center"/>
          </w:tcPr>
          <w:p w14:paraId="28C27494">
            <w:pPr>
              <w:pStyle w:val="73"/>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bl>
    <w:p w14:paraId="2BF4F2D2">
      <w:pPr>
        <w:widowControl/>
        <w:snapToGrid w:val="0"/>
        <w:spacing w:line="360" w:lineRule="auto"/>
        <w:ind w:firstLine="480" w:firstLineChars="200"/>
        <w:rPr>
          <w:rFonts w:hint="eastAsia" w:ascii="宋体" w:hAnsi="宋体" w:eastAsia="宋体" w:cs="宋体"/>
          <w:color w:val="auto"/>
          <w:sz w:val="24"/>
          <w:szCs w:val="24"/>
          <w:highlight w:val="none"/>
        </w:rPr>
      </w:pPr>
    </w:p>
    <w:p w14:paraId="58FE0F98">
      <w:pPr>
        <w:spacing w:line="360" w:lineRule="auto"/>
        <w:ind w:right="105" w:rightChars="5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名称（公章）：</w:t>
      </w:r>
    </w:p>
    <w:p w14:paraId="3D8AFF45">
      <w:pPr>
        <w:spacing w:line="360" w:lineRule="auto"/>
        <w:ind w:right="105" w:rightChars="5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57170DF8">
      <w:pPr>
        <w:widowControl/>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w:t>
      </w:r>
      <w:r>
        <w:rPr>
          <w:rFonts w:hint="eastAsia" w:ascii="宋体" w:hAnsi="宋体" w:cs="宋体"/>
          <w:color w:val="auto"/>
          <w:sz w:val="24"/>
          <w:szCs w:val="24"/>
          <w:highlight w:val="none"/>
          <w:lang w:val="en-US" w:eastAsia="zh-CN"/>
        </w:rPr>
        <w:t>委托</w:t>
      </w:r>
      <w:r>
        <w:rPr>
          <w:rFonts w:hint="eastAsia" w:ascii="宋体" w:hAnsi="宋体" w:eastAsia="宋体" w:cs="宋体"/>
          <w:color w:val="auto"/>
          <w:sz w:val="24"/>
          <w:szCs w:val="24"/>
          <w:highlight w:val="none"/>
        </w:rPr>
        <w:t>人（签字）：</w:t>
      </w:r>
    </w:p>
    <w:p w14:paraId="31BBD346">
      <w:pPr>
        <w:pStyle w:val="74"/>
        <w:outlineLvl w:val="9"/>
        <w:rPr>
          <w:rFonts w:hint="eastAsia" w:ascii="黑体" w:hAnsi="黑体" w:eastAsia="黑体" w:cs="Tahoma"/>
          <w:b w:val="0"/>
          <w:bCs/>
          <w:color w:val="auto"/>
          <w:sz w:val="21"/>
          <w:szCs w:val="21"/>
          <w:highlight w:val="none"/>
        </w:rPr>
      </w:pPr>
    </w:p>
    <w:p w14:paraId="163F8CAD">
      <w:pPr>
        <w:spacing w:after="100" w:line="265" w:lineRule="auto"/>
        <w:ind w:right="103"/>
        <w:jc w:val="center"/>
        <w:rPr>
          <w:rFonts w:hint="eastAsia" w:ascii="黑体" w:hAnsi="黑体" w:eastAsia="黑体" w:cs="Tahoma"/>
          <w:b/>
          <w:bCs/>
          <w:color w:val="auto"/>
          <w:sz w:val="36"/>
          <w:szCs w:val="36"/>
          <w:highlight w:val="none"/>
          <w:u w:val="single"/>
        </w:rPr>
      </w:pPr>
    </w:p>
    <w:p w14:paraId="6C00A4D1">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sz w:val="28"/>
          <w:szCs w:val="28"/>
          <w:highlight w:val="none"/>
          <w:lang w:val="en-US" w:eastAsia="zh-CN"/>
        </w:rPr>
        <w:t>（3）企业信誉信息截图</w:t>
      </w:r>
    </w:p>
    <w:p w14:paraId="499275FF">
      <w:pPr>
        <w:spacing w:line="360" w:lineRule="auto"/>
        <w:jc w:val="center"/>
        <w:rPr>
          <w:rFonts w:hint="eastAsia" w:ascii="仿宋" w:hAnsi="仿宋" w:eastAsia="仿宋" w:cs="宋体"/>
          <w:b w:val="0"/>
          <w:bCs/>
          <w:color w:val="auto"/>
          <w:sz w:val="24"/>
          <w:highlight w:val="none"/>
        </w:rPr>
      </w:pPr>
      <w:r>
        <w:rPr>
          <w:rFonts w:hint="eastAsia" w:ascii="仿宋" w:hAnsi="仿宋" w:eastAsia="仿宋" w:cs="宋体"/>
          <w:b w:val="0"/>
          <w:bCs/>
          <w:color w:val="auto"/>
          <w:sz w:val="24"/>
          <w:highlight w:val="none"/>
        </w:rPr>
        <w:t>“信用中国”、“中国政府采购网”查询截图</w:t>
      </w:r>
    </w:p>
    <w:p w14:paraId="07726B51">
      <w:pPr>
        <w:spacing w:line="360" w:lineRule="auto"/>
        <w:jc w:val="center"/>
        <w:rPr>
          <w:rFonts w:hint="eastAsia" w:ascii="仿宋" w:hAnsi="仿宋" w:eastAsia="仿宋" w:cs="宋体"/>
          <w:b/>
          <w:color w:val="auto"/>
          <w:sz w:val="24"/>
          <w:highlight w:val="none"/>
        </w:rPr>
      </w:pPr>
    </w:p>
    <w:p w14:paraId="1182D682">
      <w:pPr>
        <w:pStyle w:val="27"/>
        <w:rPr>
          <w:rFonts w:hint="eastAsia" w:ascii="仿宋" w:hAnsi="仿宋" w:eastAsia="仿宋" w:cs="宋体"/>
          <w:b/>
          <w:color w:val="auto"/>
          <w:sz w:val="24"/>
          <w:highlight w:val="none"/>
        </w:rPr>
      </w:pPr>
    </w:p>
    <w:p w14:paraId="3818E0BD">
      <w:pPr>
        <w:spacing w:line="360" w:lineRule="auto"/>
        <w:jc w:val="center"/>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 xml:space="preserve"> </w:t>
      </w:r>
    </w:p>
    <w:p w14:paraId="43E4536D">
      <w:pPr>
        <w:spacing w:line="360" w:lineRule="auto"/>
        <w:jc w:val="center"/>
        <w:rPr>
          <w:rFonts w:hint="eastAsia" w:ascii="宋体" w:hAnsi="宋体" w:eastAsia="宋体" w:cs="宋体"/>
          <w:b/>
          <w:color w:val="auto"/>
          <w:sz w:val="28"/>
          <w:szCs w:val="28"/>
          <w:highlight w:val="none"/>
          <w:lang w:val="en-US" w:eastAsia="zh-CN"/>
        </w:rPr>
      </w:pPr>
      <w:r>
        <w:rPr>
          <w:rFonts w:hint="eastAsia" w:ascii="仿宋" w:hAnsi="仿宋" w:eastAsia="仿宋" w:cs="宋体"/>
          <w:b/>
          <w:color w:val="auto"/>
          <w:sz w:val="24"/>
          <w:highlight w:val="none"/>
          <w:lang w:val="en-US" w:eastAsia="zh-CN"/>
        </w:rPr>
        <w:br w:type="page"/>
      </w:r>
      <w:r>
        <w:rPr>
          <w:rFonts w:hint="eastAsia" w:ascii="宋体" w:hAnsi="宋体" w:eastAsia="宋体" w:cs="宋体"/>
          <w:b/>
          <w:color w:val="auto"/>
          <w:sz w:val="28"/>
          <w:szCs w:val="28"/>
          <w:highlight w:val="none"/>
          <w:lang w:val="en-US" w:eastAsia="zh-CN"/>
        </w:rPr>
        <w:t>（4）报价一览表</w:t>
      </w:r>
    </w:p>
    <w:tbl>
      <w:tblPr>
        <w:tblStyle w:val="29"/>
        <w:tblpPr w:leftFromText="180" w:rightFromText="180" w:vertAnchor="text" w:horzAnchor="margin" w:tblpXSpec="center" w:tblpY="2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3872"/>
        <w:gridCol w:w="1540"/>
        <w:gridCol w:w="2679"/>
      </w:tblGrid>
      <w:tr w14:paraId="6C8C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848" w:type="dxa"/>
            <w:noWrap w:val="0"/>
            <w:vAlign w:val="center"/>
          </w:tcPr>
          <w:p w14:paraId="1603E490">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p>
        </w:tc>
        <w:tc>
          <w:tcPr>
            <w:tcW w:w="8091" w:type="dxa"/>
            <w:gridSpan w:val="3"/>
            <w:noWrap w:val="0"/>
            <w:vAlign w:val="center"/>
          </w:tcPr>
          <w:p w14:paraId="5057907A">
            <w:pPr>
              <w:spacing w:line="240" w:lineRule="auto"/>
              <w:rPr>
                <w:rFonts w:hint="eastAsia" w:ascii="宋体" w:hAnsi="宋体" w:eastAsia="宋体" w:cs="宋体"/>
                <w:color w:val="auto"/>
                <w:sz w:val="24"/>
                <w:szCs w:val="24"/>
                <w:highlight w:val="none"/>
              </w:rPr>
            </w:pPr>
          </w:p>
        </w:tc>
      </w:tr>
      <w:tr w14:paraId="107E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848" w:type="dxa"/>
            <w:noWrap w:val="0"/>
            <w:vAlign w:val="center"/>
          </w:tcPr>
          <w:p w14:paraId="4EA194D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8091" w:type="dxa"/>
            <w:gridSpan w:val="3"/>
            <w:noWrap w:val="0"/>
            <w:vAlign w:val="center"/>
          </w:tcPr>
          <w:p w14:paraId="32A9C655">
            <w:pPr>
              <w:spacing w:line="240" w:lineRule="auto"/>
              <w:rPr>
                <w:rFonts w:hint="eastAsia" w:ascii="宋体" w:hAnsi="宋体" w:eastAsia="宋体" w:cs="宋体"/>
                <w:color w:val="auto"/>
                <w:sz w:val="24"/>
                <w:szCs w:val="24"/>
                <w:highlight w:val="none"/>
              </w:rPr>
            </w:pPr>
          </w:p>
        </w:tc>
      </w:tr>
      <w:tr w14:paraId="36AF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13956BF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3872" w:type="dxa"/>
            <w:noWrap w:val="0"/>
            <w:vAlign w:val="center"/>
          </w:tcPr>
          <w:p w14:paraId="4AB6988F">
            <w:pPr>
              <w:spacing w:line="240" w:lineRule="auto"/>
              <w:rPr>
                <w:rFonts w:hint="eastAsia" w:ascii="宋体" w:hAnsi="宋体" w:eastAsia="宋体" w:cs="宋体"/>
                <w:color w:val="auto"/>
                <w:sz w:val="24"/>
                <w:szCs w:val="24"/>
                <w:highlight w:val="none"/>
              </w:rPr>
            </w:pPr>
          </w:p>
        </w:tc>
        <w:tc>
          <w:tcPr>
            <w:tcW w:w="1540" w:type="dxa"/>
            <w:noWrap w:val="0"/>
            <w:vAlign w:val="center"/>
          </w:tcPr>
          <w:p w14:paraId="24BD0C6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679" w:type="dxa"/>
            <w:noWrap w:val="0"/>
            <w:vAlign w:val="center"/>
          </w:tcPr>
          <w:p w14:paraId="76A7456A">
            <w:pPr>
              <w:spacing w:line="240" w:lineRule="auto"/>
              <w:rPr>
                <w:rFonts w:hint="eastAsia" w:ascii="宋体" w:hAnsi="宋体" w:eastAsia="宋体" w:cs="宋体"/>
                <w:color w:val="auto"/>
                <w:sz w:val="24"/>
                <w:szCs w:val="24"/>
                <w:highlight w:val="none"/>
              </w:rPr>
            </w:pPr>
          </w:p>
        </w:tc>
      </w:tr>
      <w:tr w14:paraId="5B68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0EADA20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w:t>
            </w:r>
          </w:p>
        </w:tc>
        <w:tc>
          <w:tcPr>
            <w:tcW w:w="3872" w:type="dxa"/>
            <w:noWrap w:val="0"/>
            <w:vAlign w:val="center"/>
          </w:tcPr>
          <w:p w14:paraId="00A14A1B">
            <w:pPr>
              <w:spacing w:line="240" w:lineRule="auto"/>
              <w:rPr>
                <w:rFonts w:hint="eastAsia" w:ascii="宋体" w:hAnsi="宋体" w:eastAsia="宋体" w:cs="宋体"/>
                <w:color w:val="auto"/>
                <w:sz w:val="24"/>
                <w:szCs w:val="24"/>
                <w:highlight w:val="none"/>
              </w:rPr>
            </w:pPr>
          </w:p>
        </w:tc>
        <w:tc>
          <w:tcPr>
            <w:tcW w:w="1540" w:type="dxa"/>
            <w:noWrap w:val="0"/>
            <w:vAlign w:val="center"/>
          </w:tcPr>
          <w:p w14:paraId="38F665A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679" w:type="dxa"/>
            <w:noWrap w:val="0"/>
            <w:vAlign w:val="center"/>
          </w:tcPr>
          <w:p w14:paraId="2E912438">
            <w:pPr>
              <w:spacing w:line="240" w:lineRule="auto"/>
              <w:rPr>
                <w:rFonts w:hint="eastAsia" w:ascii="宋体" w:hAnsi="宋体" w:eastAsia="宋体" w:cs="宋体"/>
                <w:color w:val="auto"/>
                <w:sz w:val="24"/>
                <w:szCs w:val="24"/>
                <w:highlight w:val="none"/>
              </w:rPr>
            </w:pPr>
          </w:p>
        </w:tc>
      </w:tr>
      <w:tr w14:paraId="3960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2516CDA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投标项目名称</w:t>
            </w:r>
          </w:p>
        </w:tc>
        <w:tc>
          <w:tcPr>
            <w:tcW w:w="8091" w:type="dxa"/>
            <w:gridSpan w:val="3"/>
            <w:noWrap w:val="0"/>
            <w:vAlign w:val="center"/>
          </w:tcPr>
          <w:p w14:paraId="3421537B">
            <w:pPr>
              <w:spacing w:line="240" w:lineRule="auto"/>
              <w:rPr>
                <w:rFonts w:hint="eastAsia" w:ascii="宋体" w:hAnsi="宋体" w:eastAsia="宋体" w:cs="宋体"/>
                <w:color w:val="auto"/>
                <w:sz w:val="24"/>
                <w:szCs w:val="24"/>
                <w:highlight w:val="none"/>
              </w:rPr>
            </w:pPr>
          </w:p>
        </w:tc>
      </w:tr>
      <w:tr w14:paraId="7FB4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46E61409">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标项名称</w:t>
            </w:r>
          </w:p>
        </w:tc>
        <w:tc>
          <w:tcPr>
            <w:tcW w:w="8091" w:type="dxa"/>
            <w:gridSpan w:val="3"/>
            <w:noWrap w:val="0"/>
            <w:vAlign w:val="center"/>
          </w:tcPr>
          <w:p w14:paraId="67BC10C4">
            <w:pPr>
              <w:spacing w:line="240" w:lineRule="auto"/>
              <w:rPr>
                <w:rFonts w:hint="eastAsia" w:ascii="宋体" w:hAnsi="宋体" w:eastAsia="宋体" w:cs="宋体"/>
                <w:color w:val="auto"/>
                <w:sz w:val="24"/>
                <w:szCs w:val="24"/>
                <w:highlight w:val="none"/>
              </w:rPr>
            </w:pPr>
          </w:p>
        </w:tc>
      </w:tr>
      <w:tr w14:paraId="6DF1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1848" w:type="dxa"/>
            <w:noWrap w:val="0"/>
            <w:vAlign w:val="center"/>
          </w:tcPr>
          <w:p w14:paraId="7D4CCC6C">
            <w:pPr>
              <w:spacing w:line="240" w:lineRule="auto"/>
              <w:jc w:val="cente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报价</w:t>
            </w:r>
          </w:p>
          <w:p w14:paraId="66DD3D4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（下浮率）</w:t>
            </w:r>
          </w:p>
        </w:tc>
        <w:tc>
          <w:tcPr>
            <w:tcW w:w="8091" w:type="dxa"/>
            <w:gridSpan w:val="3"/>
            <w:noWrap w:val="0"/>
            <w:vAlign w:val="center"/>
          </w:tcPr>
          <w:p w14:paraId="59D60BC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Cs/>
                <w:color w:val="auto"/>
                <w:sz w:val="24"/>
                <w:szCs w:val="24"/>
                <w:highlight w:val="none"/>
              </w:rPr>
            </w:pPr>
            <w:r>
              <w:rPr>
                <w:rFonts w:hint="eastAsia" w:ascii="Arial" w:hAnsi="Arial" w:cs="Arial"/>
                <w:bCs/>
                <w:color w:val="auto"/>
                <w:sz w:val="24"/>
                <w:szCs w:val="24"/>
                <w:highlight w:val="none"/>
                <w:lang w:val="en-US" w:eastAsia="zh-CN"/>
              </w:rPr>
              <w:t>%</w:t>
            </w: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540ECA32">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Cs/>
                <w:color w:val="auto"/>
                <w:sz w:val="24"/>
                <w:szCs w:val="24"/>
                <w:highlight w:val="none"/>
              </w:rPr>
            </w:pPr>
            <w:r>
              <w:rPr>
                <w:rFonts w:hint="eastAsia" w:ascii="Arial" w:hAnsi="Arial" w:cs="Arial"/>
                <w:bCs/>
                <w:color w:val="auto"/>
                <w:sz w:val="24"/>
                <w:szCs w:val="24"/>
                <w:highlight w:val="none"/>
                <w:lang w:val="en-US" w:eastAsia="zh-CN"/>
              </w:rPr>
              <w:t>%</w:t>
            </w: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tc>
      </w:tr>
      <w:tr w14:paraId="1B8D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1848" w:type="dxa"/>
            <w:noWrap w:val="0"/>
            <w:vAlign w:val="center"/>
          </w:tcPr>
          <w:p w14:paraId="0BAE7DF0">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合同履约期</w:t>
            </w:r>
          </w:p>
        </w:tc>
        <w:tc>
          <w:tcPr>
            <w:tcW w:w="8091" w:type="dxa"/>
            <w:gridSpan w:val="3"/>
            <w:noWrap w:val="0"/>
            <w:vAlign w:val="center"/>
          </w:tcPr>
          <w:p w14:paraId="105DBFE9">
            <w:pPr>
              <w:spacing w:line="240" w:lineRule="auto"/>
              <w:jc w:val="left"/>
              <w:rPr>
                <w:rFonts w:hint="eastAsia" w:ascii="宋体" w:hAnsi="宋体" w:eastAsia="宋体" w:cs="宋体"/>
                <w:b/>
                <w:bCs/>
                <w:color w:val="auto"/>
                <w:sz w:val="24"/>
                <w:szCs w:val="24"/>
                <w:highlight w:val="none"/>
                <w:u w:val="single"/>
              </w:rPr>
            </w:pPr>
          </w:p>
        </w:tc>
      </w:tr>
      <w:tr w14:paraId="51FD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1848" w:type="dxa"/>
            <w:noWrap w:val="0"/>
            <w:vAlign w:val="center"/>
          </w:tcPr>
          <w:p w14:paraId="512FCF3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091" w:type="dxa"/>
            <w:gridSpan w:val="3"/>
            <w:noWrap w:val="0"/>
            <w:vAlign w:val="center"/>
          </w:tcPr>
          <w:p w14:paraId="5BE005AD">
            <w:pPr>
              <w:pStyle w:val="41"/>
              <w:spacing w:before="74" w:line="400" w:lineRule="exact"/>
              <w:ind w:left="42" w:leftChars="20" w:right="42" w:rightChars="20"/>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投标报价下浮应包括：有关本项目所需货物采购、包装费、运输费、保险费、人员工资、验收、售后服务、税金等。运输途中风险由供应商自行承担；</w:t>
            </w:r>
          </w:p>
          <w:p w14:paraId="208D25F6">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（本项目为一次报价，即一次报价为最终报价）</w:t>
            </w:r>
          </w:p>
        </w:tc>
      </w:tr>
    </w:tbl>
    <w:p w14:paraId="7EBB43EA">
      <w:pPr>
        <w:spacing w:line="360" w:lineRule="auto"/>
        <w:rPr>
          <w:rFonts w:hint="eastAsia" w:ascii="宋体" w:hAnsi="宋体" w:eastAsia="宋体" w:cs="宋体"/>
          <w:b/>
          <w:bCs/>
          <w:color w:val="auto"/>
          <w:sz w:val="24"/>
          <w:szCs w:val="24"/>
          <w:highlight w:val="none"/>
          <w:lang w:val="en-US" w:eastAsia="zh-CN"/>
        </w:rPr>
      </w:pPr>
    </w:p>
    <w:p w14:paraId="0EE6D39F">
      <w:pPr>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注：本项目为</w:t>
      </w:r>
      <w:r>
        <w:rPr>
          <w:rFonts w:hint="eastAsia" w:ascii="宋体" w:hAnsi="宋体" w:cs="宋体"/>
          <w:b/>
          <w:bCs/>
          <w:color w:val="auto"/>
          <w:sz w:val="24"/>
          <w:szCs w:val="24"/>
          <w:highlight w:val="none"/>
          <w:lang w:val="en-US" w:eastAsia="zh-CN"/>
        </w:rPr>
        <w:t>下浮率报价</w:t>
      </w:r>
      <w:r>
        <w:rPr>
          <w:rFonts w:hint="eastAsia" w:ascii="宋体" w:hAnsi="宋体" w:eastAsia="宋体" w:cs="宋体"/>
          <w:b/>
          <w:bCs/>
          <w:color w:val="auto"/>
          <w:sz w:val="24"/>
          <w:szCs w:val="24"/>
          <w:highlight w:val="none"/>
          <w:lang w:val="en-US" w:eastAsia="zh-CN"/>
        </w:rPr>
        <w:t>，报价</w:t>
      </w:r>
      <w:r>
        <w:rPr>
          <w:rFonts w:hint="eastAsia" w:ascii="宋体" w:hAnsi="宋体" w:cs="宋体"/>
          <w:b/>
          <w:bCs/>
          <w:color w:val="auto"/>
          <w:sz w:val="24"/>
          <w:szCs w:val="24"/>
          <w:highlight w:val="none"/>
          <w:lang w:val="en-US" w:eastAsia="zh-CN"/>
        </w:rPr>
        <w:t>低</w:t>
      </w:r>
      <w:r>
        <w:rPr>
          <w:rFonts w:hint="eastAsia" w:ascii="宋体" w:hAnsi="宋体" w:eastAsia="宋体" w:cs="宋体"/>
          <w:b/>
          <w:bCs/>
          <w:color w:val="auto"/>
          <w:sz w:val="24"/>
          <w:szCs w:val="24"/>
          <w:highlight w:val="none"/>
          <w:lang w:val="en-US" w:eastAsia="zh-CN"/>
        </w:rPr>
        <w:t>过最</w:t>
      </w:r>
      <w:r>
        <w:rPr>
          <w:rFonts w:hint="eastAsia" w:ascii="宋体" w:hAnsi="宋体" w:cs="宋体"/>
          <w:b/>
          <w:bCs/>
          <w:color w:val="auto"/>
          <w:sz w:val="24"/>
          <w:szCs w:val="24"/>
          <w:highlight w:val="none"/>
          <w:lang w:val="en-US" w:eastAsia="zh-CN"/>
        </w:rPr>
        <w:t>低</w:t>
      </w:r>
      <w:r>
        <w:rPr>
          <w:rFonts w:hint="eastAsia" w:ascii="宋体" w:hAnsi="宋体" w:eastAsia="宋体" w:cs="宋体"/>
          <w:b/>
          <w:bCs/>
          <w:color w:val="auto"/>
          <w:sz w:val="24"/>
          <w:szCs w:val="24"/>
          <w:highlight w:val="none"/>
          <w:lang w:val="en-US" w:eastAsia="zh-CN"/>
        </w:rPr>
        <w:t>限价为无效响应</w:t>
      </w:r>
    </w:p>
    <w:p w14:paraId="00E24C20">
      <w:pPr>
        <w:spacing w:line="360" w:lineRule="auto"/>
        <w:rPr>
          <w:rFonts w:hint="eastAsia" w:ascii="宋体" w:hAnsi="宋体" w:eastAsia="宋体" w:cs="宋体"/>
          <w:color w:val="auto"/>
          <w:sz w:val="24"/>
          <w:szCs w:val="24"/>
          <w:highlight w:val="none"/>
        </w:rPr>
      </w:pPr>
    </w:p>
    <w:p w14:paraId="4843B5DB">
      <w:pPr>
        <w:spacing w:line="360" w:lineRule="auto"/>
        <w:ind w:right="105" w:rightChars="50"/>
        <w:rPr>
          <w:rFonts w:hint="eastAsia" w:ascii="宋体" w:hAnsi="宋体" w:eastAsia="宋体" w:cs="宋体"/>
          <w:color w:val="auto"/>
          <w:sz w:val="24"/>
          <w:szCs w:val="24"/>
          <w:highlight w:val="none"/>
        </w:rPr>
      </w:pPr>
    </w:p>
    <w:p w14:paraId="7BA430F9">
      <w:pPr>
        <w:spacing w:line="360" w:lineRule="auto"/>
        <w:ind w:right="105" w:rightChars="5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0BB1229">
      <w:pPr>
        <w:spacing w:line="360" w:lineRule="auto"/>
        <w:ind w:right="105" w:rightChars="5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7795A8C5">
      <w:pPr>
        <w:spacing w:line="360" w:lineRule="auto"/>
        <w:ind w:right="105" w:rightChars="50"/>
        <w:rPr>
          <w:rFonts w:hint="eastAsia" w:ascii="仿宋" w:hAnsi="仿宋" w:eastAsia="仿宋" w:cs="宋体"/>
          <w:color w:val="auto"/>
          <w:sz w:val="24"/>
          <w:highlight w:val="none"/>
          <w:u w:val="single"/>
        </w:rPr>
      </w:pPr>
      <w:r>
        <w:rPr>
          <w:rFonts w:hint="eastAsia" w:ascii="仿宋" w:hAnsi="仿宋" w:eastAsia="仿宋" w:cs="宋体"/>
          <w:color w:val="auto"/>
          <w:sz w:val="24"/>
          <w:highlight w:val="none"/>
          <w:u w:val="single"/>
        </w:rPr>
        <w:br w:type="page"/>
      </w:r>
    </w:p>
    <w:p w14:paraId="24EB1690">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供应商</w:t>
      </w:r>
      <w:r>
        <w:rPr>
          <w:rFonts w:hint="eastAsia" w:ascii="宋体" w:hAnsi="宋体" w:eastAsia="宋体" w:cs="宋体"/>
          <w:b/>
          <w:color w:val="auto"/>
          <w:sz w:val="28"/>
          <w:szCs w:val="28"/>
          <w:highlight w:val="none"/>
          <w:lang w:val="en-US" w:eastAsia="zh-CN"/>
        </w:rPr>
        <w:t>概况一览表</w:t>
      </w:r>
    </w:p>
    <w:p w14:paraId="0B681453">
      <w:pPr>
        <w:pStyle w:val="82"/>
        <w:tabs>
          <w:tab w:val="left" w:pos="5570"/>
        </w:tabs>
        <w:spacing w:before="123" w:line="240" w:lineRule="auto"/>
        <w:ind w:left="217"/>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项目名称</w:t>
      </w:r>
      <w:r>
        <w:rPr>
          <w:rFonts w:hint="eastAsia" w:ascii="宋体" w:hAnsi="宋体" w:eastAsia="宋体" w:cs="宋体"/>
          <w:color w:val="auto"/>
          <w:sz w:val="24"/>
          <w:highlight w:val="none"/>
        </w:rPr>
        <w:t>：</w:t>
      </w:r>
    </w:p>
    <w:p w14:paraId="1ACB4426">
      <w:pPr>
        <w:pStyle w:val="82"/>
        <w:tabs>
          <w:tab w:val="left" w:pos="5570"/>
        </w:tabs>
        <w:spacing w:before="123" w:line="240" w:lineRule="auto"/>
        <w:ind w:left="217"/>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标项</w:t>
      </w:r>
      <w:r>
        <w:rPr>
          <w:rFonts w:hint="eastAsia" w:ascii="宋体" w:hAnsi="宋体" w:eastAsia="宋体" w:cs="宋体"/>
          <w:color w:val="auto"/>
          <w:sz w:val="24"/>
          <w:highlight w:val="none"/>
          <w:lang w:eastAsia="zh-CN"/>
        </w:rPr>
        <w:t>名称</w:t>
      </w:r>
      <w:r>
        <w:rPr>
          <w:rFonts w:hint="eastAsia" w:ascii="宋体" w:hAnsi="宋体" w:eastAsia="宋体" w:cs="宋体"/>
          <w:color w:val="auto"/>
          <w:sz w:val="24"/>
          <w:highlight w:val="none"/>
        </w:rPr>
        <w:t>：</w:t>
      </w:r>
    </w:p>
    <w:p w14:paraId="6585C724">
      <w:pPr>
        <w:pStyle w:val="82"/>
        <w:tabs>
          <w:tab w:val="left" w:pos="5570"/>
        </w:tabs>
        <w:spacing w:before="123" w:line="240" w:lineRule="auto"/>
        <w:ind w:left="217"/>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bl>
      <w:tblPr>
        <w:tblStyle w:val="29"/>
        <w:tblW w:w="4975"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513"/>
        <w:gridCol w:w="2249"/>
        <w:gridCol w:w="2068"/>
        <w:gridCol w:w="1625"/>
        <w:gridCol w:w="2252"/>
      </w:tblGrid>
      <w:tr w14:paraId="2CEDD74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bottom w:val="single" w:color="000000" w:sz="4" w:space="0"/>
              <w:right w:val="single" w:color="000000" w:sz="4" w:space="0"/>
            </w:tcBorders>
            <w:noWrap w:val="0"/>
            <w:vAlign w:val="center"/>
          </w:tcPr>
          <w:p w14:paraId="063EBAF3">
            <w:pPr>
              <w:pStyle w:val="41"/>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p>
        </w:tc>
        <w:tc>
          <w:tcPr>
            <w:tcW w:w="4220" w:type="pct"/>
            <w:gridSpan w:val="4"/>
            <w:tcBorders>
              <w:left w:val="single" w:color="000000" w:sz="4" w:space="0"/>
              <w:bottom w:val="single" w:color="000000" w:sz="4" w:space="0"/>
            </w:tcBorders>
            <w:noWrap w:val="0"/>
            <w:vAlign w:val="center"/>
          </w:tcPr>
          <w:p w14:paraId="6FD1445B">
            <w:pPr>
              <w:pStyle w:val="83"/>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auto"/>
                <w:sz w:val="24"/>
                <w:szCs w:val="24"/>
                <w:highlight w:val="none"/>
              </w:rPr>
            </w:pPr>
          </w:p>
        </w:tc>
      </w:tr>
      <w:tr w14:paraId="2E8D17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6" w:hRule="atLeast"/>
          <w:jc w:val="center"/>
        </w:trPr>
        <w:tc>
          <w:tcPr>
            <w:tcW w:w="779" w:type="pct"/>
            <w:tcBorders>
              <w:top w:val="single" w:color="000000" w:sz="4" w:space="0"/>
              <w:bottom w:val="single" w:color="000000" w:sz="4" w:space="0"/>
              <w:right w:val="single" w:color="000000" w:sz="4" w:space="0"/>
            </w:tcBorders>
            <w:noWrap w:val="0"/>
            <w:vAlign w:val="center"/>
          </w:tcPr>
          <w:p w14:paraId="66CCCA47">
            <w:pPr>
              <w:pStyle w:val="41"/>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联系地址</w:t>
            </w:r>
          </w:p>
        </w:tc>
        <w:tc>
          <w:tcPr>
            <w:tcW w:w="4220" w:type="pct"/>
            <w:gridSpan w:val="4"/>
            <w:tcBorders>
              <w:top w:val="single" w:color="000000" w:sz="4" w:space="0"/>
              <w:left w:val="single" w:color="000000" w:sz="4" w:space="0"/>
              <w:bottom w:val="single" w:color="000000" w:sz="4" w:space="0"/>
            </w:tcBorders>
            <w:noWrap w:val="0"/>
            <w:vAlign w:val="center"/>
          </w:tcPr>
          <w:p w14:paraId="11A4BC0C">
            <w:pPr>
              <w:pStyle w:val="83"/>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auto"/>
                <w:sz w:val="24"/>
                <w:szCs w:val="24"/>
                <w:highlight w:val="none"/>
              </w:rPr>
            </w:pPr>
          </w:p>
        </w:tc>
      </w:tr>
      <w:tr w14:paraId="1A528C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19" w:hRule="atLeast"/>
          <w:jc w:val="center"/>
        </w:trPr>
        <w:tc>
          <w:tcPr>
            <w:tcW w:w="779" w:type="pct"/>
            <w:tcBorders>
              <w:top w:val="single" w:color="000000" w:sz="4" w:space="0"/>
              <w:bottom w:val="single" w:color="000000" w:sz="4" w:space="0"/>
              <w:right w:val="single" w:color="000000" w:sz="4" w:space="0"/>
            </w:tcBorders>
            <w:noWrap w:val="0"/>
            <w:vAlign w:val="center"/>
          </w:tcPr>
          <w:p w14:paraId="6B977C89">
            <w:pPr>
              <w:pStyle w:val="41"/>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供应商从业人员数量</w:t>
            </w:r>
          </w:p>
        </w:tc>
        <w:tc>
          <w:tcPr>
            <w:tcW w:w="4220" w:type="pct"/>
            <w:gridSpan w:val="4"/>
            <w:tcBorders>
              <w:top w:val="single" w:color="000000" w:sz="4" w:space="0"/>
              <w:left w:val="single" w:color="000000" w:sz="4" w:space="0"/>
              <w:bottom w:val="single" w:color="auto" w:sz="4" w:space="0"/>
            </w:tcBorders>
            <w:noWrap w:val="0"/>
            <w:vAlign w:val="center"/>
          </w:tcPr>
          <w:p w14:paraId="09CB5D01">
            <w:pPr>
              <w:pStyle w:val="83"/>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auto"/>
                <w:sz w:val="24"/>
                <w:szCs w:val="24"/>
                <w:highlight w:val="none"/>
              </w:rPr>
            </w:pPr>
          </w:p>
        </w:tc>
      </w:tr>
      <w:tr w14:paraId="61EE33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top w:val="single" w:color="000000" w:sz="4" w:space="0"/>
              <w:bottom w:val="single" w:color="000000" w:sz="4" w:space="0"/>
              <w:right w:val="single" w:color="auto" w:sz="4" w:space="0"/>
            </w:tcBorders>
            <w:noWrap w:val="0"/>
            <w:vAlign w:val="center"/>
          </w:tcPr>
          <w:p w14:paraId="385FE917">
            <w:pPr>
              <w:pStyle w:val="41"/>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p>
        </w:tc>
        <w:tc>
          <w:tcPr>
            <w:tcW w:w="1158" w:type="pct"/>
            <w:tcBorders>
              <w:top w:val="single" w:color="auto" w:sz="4" w:space="0"/>
              <w:left w:val="single" w:color="auto" w:sz="4" w:space="0"/>
              <w:bottom w:val="single" w:color="auto" w:sz="4" w:space="0"/>
              <w:right w:val="nil"/>
            </w:tcBorders>
            <w:noWrap w:val="0"/>
            <w:vAlign w:val="center"/>
          </w:tcPr>
          <w:p w14:paraId="518F61D9">
            <w:pPr>
              <w:pStyle w:val="41"/>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p>
        </w:tc>
        <w:tc>
          <w:tcPr>
            <w:tcW w:w="1065" w:type="pct"/>
            <w:tcBorders>
              <w:top w:val="single" w:color="auto" w:sz="4" w:space="0"/>
              <w:left w:val="nil"/>
              <w:bottom w:val="single" w:color="auto" w:sz="4" w:space="0"/>
              <w:right w:val="nil"/>
            </w:tcBorders>
            <w:noWrap w:val="0"/>
            <w:vAlign w:val="center"/>
          </w:tcPr>
          <w:p w14:paraId="5F9124A3">
            <w:pPr>
              <w:pStyle w:val="41"/>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职务：</w:t>
            </w:r>
          </w:p>
        </w:tc>
        <w:tc>
          <w:tcPr>
            <w:tcW w:w="837" w:type="pct"/>
            <w:tcBorders>
              <w:top w:val="single" w:color="auto" w:sz="4" w:space="0"/>
              <w:left w:val="nil"/>
              <w:bottom w:val="single" w:color="auto" w:sz="4" w:space="0"/>
              <w:right w:val="nil"/>
            </w:tcBorders>
            <w:noWrap w:val="0"/>
            <w:vAlign w:val="center"/>
          </w:tcPr>
          <w:p w14:paraId="74A8CE4C">
            <w:pPr>
              <w:pStyle w:val="41"/>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职称：</w:t>
            </w:r>
          </w:p>
        </w:tc>
        <w:tc>
          <w:tcPr>
            <w:tcW w:w="1159" w:type="pct"/>
            <w:tcBorders>
              <w:top w:val="single" w:color="auto" w:sz="4" w:space="0"/>
              <w:left w:val="nil"/>
              <w:bottom w:val="single" w:color="auto" w:sz="4" w:space="0"/>
              <w:right w:val="single" w:color="auto" w:sz="4" w:space="0"/>
            </w:tcBorders>
            <w:noWrap w:val="0"/>
            <w:vAlign w:val="center"/>
          </w:tcPr>
          <w:p w14:paraId="67E98AD6">
            <w:pPr>
              <w:pStyle w:val="41"/>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p>
        </w:tc>
      </w:tr>
      <w:tr w14:paraId="39C9B1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6" w:hRule="atLeast"/>
          <w:jc w:val="center"/>
        </w:trPr>
        <w:tc>
          <w:tcPr>
            <w:tcW w:w="779" w:type="pct"/>
            <w:tcBorders>
              <w:top w:val="single" w:color="000000" w:sz="4" w:space="0"/>
              <w:bottom w:val="single" w:color="000000" w:sz="4" w:space="0"/>
              <w:right w:val="single" w:color="auto" w:sz="4" w:space="0"/>
            </w:tcBorders>
            <w:noWrap w:val="0"/>
            <w:vAlign w:val="center"/>
          </w:tcPr>
          <w:p w14:paraId="1B8EEFD1">
            <w:pPr>
              <w:pStyle w:val="41"/>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负责人</w:t>
            </w:r>
          </w:p>
        </w:tc>
        <w:tc>
          <w:tcPr>
            <w:tcW w:w="1158" w:type="pct"/>
            <w:tcBorders>
              <w:top w:val="single" w:color="auto" w:sz="4" w:space="0"/>
              <w:left w:val="single" w:color="auto" w:sz="4" w:space="0"/>
              <w:bottom w:val="single" w:color="auto" w:sz="4" w:space="0"/>
              <w:right w:val="nil"/>
            </w:tcBorders>
            <w:noWrap w:val="0"/>
            <w:vAlign w:val="center"/>
          </w:tcPr>
          <w:p w14:paraId="00FADD83">
            <w:pPr>
              <w:pStyle w:val="41"/>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p>
        </w:tc>
        <w:tc>
          <w:tcPr>
            <w:tcW w:w="1065" w:type="pct"/>
            <w:tcBorders>
              <w:top w:val="single" w:color="auto" w:sz="4" w:space="0"/>
              <w:left w:val="nil"/>
              <w:bottom w:val="single" w:color="auto" w:sz="4" w:space="0"/>
              <w:right w:val="nil"/>
            </w:tcBorders>
            <w:noWrap w:val="0"/>
            <w:vAlign w:val="center"/>
          </w:tcPr>
          <w:p w14:paraId="6EE7A77C">
            <w:pPr>
              <w:pStyle w:val="41"/>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职务：</w:t>
            </w:r>
          </w:p>
        </w:tc>
        <w:tc>
          <w:tcPr>
            <w:tcW w:w="837" w:type="pct"/>
            <w:tcBorders>
              <w:top w:val="single" w:color="auto" w:sz="4" w:space="0"/>
              <w:left w:val="nil"/>
              <w:bottom w:val="single" w:color="auto" w:sz="4" w:space="0"/>
              <w:right w:val="nil"/>
            </w:tcBorders>
            <w:noWrap w:val="0"/>
            <w:vAlign w:val="center"/>
          </w:tcPr>
          <w:p w14:paraId="109102BC">
            <w:pPr>
              <w:pStyle w:val="41"/>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职称：</w:t>
            </w:r>
          </w:p>
        </w:tc>
        <w:tc>
          <w:tcPr>
            <w:tcW w:w="1159" w:type="pct"/>
            <w:tcBorders>
              <w:top w:val="single" w:color="auto" w:sz="4" w:space="0"/>
              <w:left w:val="nil"/>
              <w:bottom w:val="single" w:color="auto" w:sz="4" w:space="0"/>
              <w:right w:val="single" w:color="auto" w:sz="4" w:space="0"/>
            </w:tcBorders>
            <w:noWrap w:val="0"/>
            <w:vAlign w:val="center"/>
          </w:tcPr>
          <w:p w14:paraId="16F12709">
            <w:pPr>
              <w:pStyle w:val="41"/>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p>
        </w:tc>
      </w:tr>
      <w:tr w14:paraId="31E8078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vMerge w:val="restart"/>
            <w:tcBorders>
              <w:top w:val="single" w:color="000000" w:sz="4" w:space="0"/>
              <w:right w:val="single" w:color="auto" w:sz="4" w:space="0"/>
            </w:tcBorders>
            <w:noWrap w:val="0"/>
            <w:vAlign w:val="center"/>
          </w:tcPr>
          <w:p w14:paraId="11275814">
            <w:pPr>
              <w:pStyle w:val="41"/>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2223" w:type="pct"/>
            <w:gridSpan w:val="2"/>
            <w:tcBorders>
              <w:top w:val="single" w:color="auto" w:sz="4" w:space="0"/>
              <w:left w:val="single" w:color="auto" w:sz="4" w:space="0"/>
              <w:bottom w:val="nil"/>
              <w:right w:val="nil"/>
            </w:tcBorders>
            <w:noWrap w:val="0"/>
            <w:vAlign w:val="center"/>
          </w:tcPr>
          <w:p w14:paraId="228ED5F4">
            <w:pPr>
              <w:pStyle w:val="41"/>
              <w:keepNext w:val="0"/>
              <w:keepLines w:val="0"/>
              <w:pageBreakBefore w:val="0"/>
              <w:tabs>
                <w:tab w:val="left" w:pos="3735"/>
              </w:tabs>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联系人：</w:t>
            </w:r>
            <w:r>
              <w:rPr>
                <w:rFonts w:hint="eastAsia" w:ascii="宋体" w:hAnsi="宋体" w:eastAsia="宋体" w:cs="宋体"/>
                <w:color w:val="auto"/>
                <w:kern w:val="2"/>
                <w:sz w:val="24"/>
                <w:szCs w:val="24"/>
                <w:highlight w:val="none"/>
                <w:lang w:val="en-US" w:eastAsia="zh-CN"/>
              </w:rPr>
              <w:t xml:space="preserve">             </w:t>
            </w:r>
          </w:p>
        </w:tc>
        <w:tc>
          <w:tcPr>
            <w:tcW w:w="1996" w:type="pct"/>
            <w:gridSpan w:val="2"/>
            <w:tcBorders>
              <w:top w:val="single" w:color="auto" w:sz="4" w:space="0"/>
              <w:left w:val="nil"/>
              <w:bottom w:val="nil"/>
              <w:right w:val="single" w:color="auto" w:sz="4" w:space="0"/>
            </w:tcBorders>
            <w:noWrap w:val="0"/>
            <w:vAlign w:val="center"/>
          </w:tcPr>
          <w:p w14:paraId="2C8D2A1B">
            <w:pPr>
              <w:pStyle w:val="41"/>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电话：</w:t>
            </w:r>
          </w:p>
        </w:tc>
      </w:tr>
      <w:tr w14:paraId="404543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0" w:hRule="atLeast"/>
          <w:jc w:val="center"/>
        </w:trPr>
        <w:tc>
          <w:tcPr>
            <w:tcW w:w="779" w:type="pct"/>
            <w:vMerge w:val="continue"/>
            <w:tcBorders>
              <w:bottom w:val="single" w:color="000000" w:sz="4" w:space="0"/>
              <w:right w:val="single" w:color="auto" w:sz="4" w:space="0"/>
            </w:tcBorders>
            <w:noWrap w:val="0"/>
            <w:vAlign w:val="center"/>
          </w:tcPr>
          <w:p w14:paraId="6D5F3166">
            <w:pPr>
              <w:pStyle w:val="41"/>
              <w:keepNext w:val="0"/>
              <w:keepLines w:val="0"/>
              <w:pageBreakBefore w:val="0"/>
              <w:tabs>
                <w:tab w:val="left" w:pos="3673"/>
              </w:tabs>
              <w:kinsoku/>
              <w:wordWrap/>
              <w:overflowPunct/>
              <w:topLinePunct w:val="0"/>
              <w:autoSpaceDE/>
              <w:autoSpaceDN/>
              <w:bidi w:val="0"/>
              <w:adjustRightInd/>
              <w:snapToGrid/>
              <w:spacing w:before="120"/>
              <w:ind w:left="102"/>
              <w:textAlignment w:val="auto"/>
              <w:rPr>
                <w:color w:val="auto"/>
                <w:highlight w:val="none"/>
              </w:rPr>
            </w:pPr>
          </w:p>
        </w:tc>
        <w:tc>
          <w:tcPr>
            <w:tcW w:w="2223" w:type="pct"/>
            <w:gridSpan w:val="2"/>
            <w:tcBorders>
              <w:top w:val="nil"/>
              <w:left w:val="single" w:color="auto" w:sz="4" w:space="0"/>
              <w:bottom w:val="single" w:color="auto" w:sz="4" w:space="0"/>
              <w:right w:val="nil"/>
            </w:tcBorders>
            <w:noWrap w:val="0"/>
            <w:vAlign w:val="center"/>
          </w:tcPr>
          <w:p w14:paraId="1B56DB4D">
            <w:pPr>
              <w:pStyle w:val="41"/>
              <w:keepNext w:val="0"/>
              <w:keepLines w:val="0"/>
              <w:pageBreakBefore w:val="0"/>
              <w:tabs>
                <w:tab w:val="left" w:pos="3673"/>
              </w:tabs>
              <w:kinsoku/>
              <w:wordWrap/>
              <w:overflowPunct/>
              <w:topLinePunct w:val="0"/>
              <w:autoSpaceDE/>
              <w:autoSpaceDN/>
              <w:bidi w:val="0"/>
              <w:adjustRightInd/>
              <w:snapToGrid/>
              <w:spacing w:before="120"/>
              <w:ind w:left="102"/>
              <w:textAlignment w:val="auto"/>
              <w:rPr>
                <w:color w:val="auto"/>
                <w:highlight w:val="none"/>
              </w:rPr>
            </w:pPr>
            <w:r>
              <w:rPr>
                <w:rFonts w:hint="eastAsia" w:ascii="宋体" w:hAnsi="宋体" w:eastAsia="宋体" w:cs="宋体"/>
                <w:color w:val="auto"/>
                <w:kern w:val="2"/>
                <w:sz w:val="24"/>
                <w:szCs w:val="24"/>
                <w:highlight w:val="none"/>
                <w:lang w:eastAsia="zh-CN"/>
              </w:rPr>
              <w:t xml:space="preserve">传  真： </w:t>
            </w:r>
          </w:p>
        </w:tc>
        <w:tc>
          <w:tcPr>
            <w:tcW w:w="1996" w:type="pct"/>
            <w:gridSpan w:val="2"/>
            <w:tcBorders>
              <w:top w:val="nil"/>
              <w:left w:val="nil"/>
              <w:bottom w:val="single" w:color="auto" w:sz="4" w:space="0"/>
              <w:right w:val="single" w:color="auto" w:sz="4" w:space="0"/>
            </w:tcBorders>
            <w:noWrap w:val="0"/>
            <w:vAlign w:val="center"/>
          </w:tcPr>
          <w:p w14:paraId="668EA0CA">
            <w:pPr>
              <w:pStyle w:val="41"/>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邮箱：</w:t>
            </w:r>
          </w:p>
        </w:tc>
      </w:tr>
      <w:tr w14:paraId="7673A8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top w:val="single" w:color="000000" w:sz="4" w:space="0"/>
              <w:bottom w:val="single" w:color="auto" w:sz="4" w:space="0"/>
              <w:right w:val="single" w:color="000000" w:sz="4" w:space="0"/>
            </w:tcBorders>
            <w:noWrap w:val="0"/>
            <w:vAlign w:val="center"/>
          </w:tcPr>
          <w:p w14:paraId="31BFCC3F">
            <w:pPr>
              <w:pStyle w:val="41"/>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基本账户</w:t>
            </w:r>
          </w:p>
        </w:tc>
        <w:tc>
          <w:tcPr>
            <w:tcW w:w="2223" w:type="pct"/>
            <w:gridSpan w:val="2"/>
            <w:tcBorders>
              <w:top w:val="single" w:color="auto" w:sz="4" w:space="0"/>
              <w:left w:val="single" w:color="000000" w:sz="4" w:space="0"/>
              <w:bottom w:val="single" w:color="auto" w:sz="4" w:space="0"/>
              <w:right w:val="nil"/>
            </w:tcBorders>
            <w:noWrap w:val="0"/>
            <w:vAlign w:val="center"/>
          </w:tcPr>
          <w:p w14:paraId="115315DF">
            <w:pPr>
              <w:pStyle w:val="41"/>
              <w:keepNext w:val="0"/>
              <w:keepLines w:val="0"/>
              <w:pageBreakBefore w:val="0"/>
              <w:kinsoku/>
              <w:wordWrap/>
              <w:overflowPunct/>
              <w:topLinePunct w:val="0"/>
              <w:autoSpaceDE/>
              <w:autoSpaceDN/>
              <w:bidi w:val="0"/>
              <w:adjustRightInd/>
              <w:snapToGrid/>
              <w:spacing w:before="120"/>
              <w:ind w:left="3461" w:leftChars="48" w:hanging="3360" w:hangingChars="14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名  称：          </w:t>
            </w:r>
          </w:p>
        </w:tc>
        <w:tc>
          <w:tcPr>
            <w:tcW w:w="1996" w:type="pct"/>
            <w:gridSpan w:val="2"/>
            <w:tcBorders>
              <w:top w:val="single" w:color="auto" w:sz="4" w:space="0"/>
              <w:left w:val="nil"/>
              <w:bottom w:val="single" w:color="auto" w:sz="4" w:space="0"/>
            </w:tcBorders>
            <w:noWrap w:val="0"/>
            <w:vAlign w:val="center"/>
          </w:tcPr>
          <w:p w14:paraId="5637DE09">
            <w:pPr>
              <w:pStyle w:val="41"/>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账号：</w:t>
            </w:r>
          </w:p>
        </w:tc>
      </w:tr>
      <w:tr w14:paraId="22145A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1" w:hRule="atLeast"/>
          <w:jc w:val="center"/>
        </w:trPr>
        <w:tc>
          <w:tcPr>
            <w:tcW w:w="779" w:type="pct"/>
            <w:vMerge w:val="restart"/>
            <w:tcBorders>
              <w:top w:val="single" w:color="auto" w:sz="4" w:space="0"/>
              <w:right w:val="single" w:color="000000" w:sz="4" w:space="0"/>
            </w:tcBorders>
            <w:noWrap w:val="0"/>
            <w:vAlign w:val="center"/>
          </w:tcPr>
          <w:p w14:paraId="5CF9C151">
            <w:pPr>
              <w:pStyle w:val="41"/>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供应商关联情况</w:t>
            </w:r>
          </w:p>
        </w:tc>
        <w:tc>
          <w:tcPr>
            <w:tcW w:w="4220" w:type="pct"/>
            <w:gridSpan w:val="4"/>
            <w:tcBorders>
              <w:top w:val="single" w:color="auto" w:sz="4" w:space="0"/>
              <w:left w:val="single" w:color="000000" w:sz="4" w:space="0"/>
              <w:bottom w:val="nil"/>
            </w:tcBorders>
            <w:noWrap w:val="0"/>
            <w:vAlign w:val="center"/>
          </w:tcPr>
          <w:p w14:paraId="12D97954">
            <w:pPr>
              <w:pStyle w:val="41"/>
              <w:keepNext w:val="0"/>
              <w:keepLines w:val="0"/>
              <w:pageBreakBefore w:val="0"/>
              <w:kinsoku/>
              <w:wordWrap/>
              <w:overflowPunct/>
              <w:topLinePunct w:val="0"/>
              <w:autoSpaceDE/>
              <w:autoSpaceDN/>
              <w:bidi w:val="0"/>
              <w:adjustRightInd/>
              <w:snapToGrid/>
              <w:spacing w:before="120" w:line="242" w:lineRule="exact"/>
              <w:ind w:left="101"/>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1：与我公司单位负责人为同一人的其他单位名称： </w:t>
            </w:r>
          </w:p>
        </w:tc>
      </w:tr>
      <w:tr w14:paraId="5E9A2A0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2269E935">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rPr>
            </w:pPr>
          </w:p>
        </w:tc>
        <w:tc>
          <w:tcPr>
            <w:tcW w:w="4220" w:type="pct"/>
            <w:gridSpan w:val="4"/>
            <w:tcBorders>
              <w:top w:val="nil"/>
              <w:left w:val="single" w:color="000000" w:sz="4" w:space="0"/>
              <w:bottom w:val="nil"/>
            </w:tcBorders>
            <w:noWrap w:val="0"/>
            <w:vAlign w:val="center"/>
          </w:tcPr>
          <w:p w14:paraId="38728475">
            <w:pPr>
              <w:pStyle w:val="41"/>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□无； </w:t>
            </w:r>
          </w:p>
        </w:tc>
      </w:tr>
      <w:tr w14:paraId="1197C8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137318FC">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lang w:eastAsia="en-US"/>
              </w:rPr>
            </w:pPr>
          </w:p>
        </w:tc>
        <w:tc>
          <w:tcPr>
            <w:tcW w:w="4220" w:type="pct"/>
            <w:gridSpan w:val="4"/>
            <w:tcBorders>
              <w:top w:val="nil"/>
              <w:left w:val="single" w:color="000000" w:sz="4" w:space="0"/>
              <w:bottom w:val="nil"/>
            </w:tcBorders>
            <w:noWrap w:val="0"/>
            <w:vAlign w:val="center"/>
          </w:tcPr>
          <w:p w14:paraId="133BC268">
            <w:pPr>
              <w:pStyle w:val="41"/>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有：</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spacing w:val="68"/>
                <w:kern w:val="2"/>
                <w:sz w:val="24"/>
                <w:szCs w:val="24"/>
                <w:highlight w:val="none"/>
              </w:rPr>
              <w:t xml:space="preserve"> </w:t>
            </w:r>
            <w:r>
              <w:rPr>
                <w:rFonts w:hint="eastAsia" w:ascii="宋体" w:hAnsi="宋体" w:eastAsia="宋体" w:cs="宋体"/>
                <w:color w:val="auto"/>
                <w:kern w:val="2"/>
                <w:sz w:val="24"/>
                <w:szCs w:val="24"/>
                <w:highlight w:val="none"/>
              </w:rPr>
              <w:t xml:space="preserve">。 </w:t>
            </w:r>
          </w:p>
        </w:tc>
      </w:tr>
      <w:tr w14:paraId="617195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17C19DC1">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lang w:eastAsia="en-US"/>
              </w:rPr>
            </w:pPr>
          </w:p>
        </w:tc>
        <w:tc>
          <w:tcPr>
            <w:tcW w:w="4220" w:type="pct"/>
            <w:gridSpan w:val="4"/>
            <w:tcBorders>
              <w:top w:val="nil"/>
              <w:left w:val="single" w:color="000000" w:sz="4" w:space="0"/>
              <w:bottom w:val="nil"/>
            </w:tcBorders>
            <w:noWrap w:val="0"/>
            <w:vAlign w:val="center"/>
          </w:tcPr>
          <w:p w14:paraId="546FB136">
            <w:pPr>
              <w:pStyle w:val="41"/>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2、与我公司存在控股、管理关系的其他单位的名称： </w:t>
            </w:r>
          </w:p>
        </w:tc>
      </w:tr>
      <w:tr w14:paraId="61D5B23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5ED9EA52">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rPr>
            </w:pPr>
          </w:p>
        </w:tc>
        <w:tc>
          <w:tcPr>
            <w:tcW w:w="4220" w:type="pct"/>
            <w:gridSpan w:val="4"/>
            <w:tcBorders>
              <w:top w:val="nil"/>
              <w:left w:val="single" w:color="000000" w:sz="4" w:space="0"/>
              <w:bottom w:val="nil"/>
            </w:tcBorders>
            <w:noWrap w:val="0"/>
            <w:vAlign w:val="center"/>
          </w:tcPr>
          <w:p w14:paraId="6CE8C644">
            <w:pPr>
              <w:pStyle w:val="41"/>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□无； </w:t>
            </w:r>
          </w:p>
        </w:tc>
      </w:tr>
      <w:tr w14:paraId="6065CB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52C72193">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lang w:eastAsia="en-US"/>
              </w:rPr>
            </w:pPr>
          </w:p>
        </w:tc>
        <w:tc>
          <w:tcPr>
            <w:tcW w:w="4220" w:type="pct"/>
            <w:gridSpan w:val="4"/>
            <w:tcBorders>
              <w:top w:val="nil"/>
              <w:left w:val="single" w:color="000000" w:sz="4" w:space="0"/>
              <w:bottom w:val="nil"/>
            </w:tcBorders>
            <w:noWrap w:val="0"/>
            <w:vAlign w:val="center"/>
          </w:tcPr>
          <w:p w14:paraId="242C44DE">
            <w:pPr>
              <w:pStyle w:val="41"/>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有：</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spacing w:val="68"/>
                <w:kern w:val="2"/>
                <w:sz w:val="24"/>
                <w:szCs w:val="24"/>
                <w:highlight w:val="none"/>
              </w:rPr>
              <w:t xml:space="preserve"> </w:t>
            </w:r>
            <w:r>
              <w:rPr>
                <w:rFonts w:hint="eastAsia" w:ascii="宋体" w:hAnsi="宋体" w:eastAsia="宋体" w:cs="宋体"/>
                <w:color w:val="auto"/>
                <w:kern w:val="2"/>
                <w:sz w:val="24"/>
                <w:szCs w:val="24"/>
                <w:highlight w:val="none"/>
              </w:rPr>
              <w:t xml:space="preserve">。 </w:t>
            </w:r>
          </w:p>
        </w:tc>
      </w:tr>
      <w:tr w14:paraId="2E1D503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1" w:hRule="atLeast"/>
          <w:jc w:val="center"/>
        </w:trPr>
        <w:tc>
          <w:tcPr>
            <w:tcW w:w="779" w:type="pct"/>
            <w:vMerge w:val="continue"/>
            <w:tcBorders>
              <w:right w:val="single" w:color="000000" w:sz="4" w:space="0"/>
            </w:tcBorders>
            <w:noWrap w:val="0"/>
            <w:vAlign w:val="center"/>
          </w:tcPr>
          <w:p w14:paraId="0C8A8324">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lang w:eastAsia="en-US"/>
              </w:rPr>
            </w:pPr>
          </w:p>
        </w:tc>
        <w:tc>
          <w:tcPr>
            <w:tcW w:w="4220" w:type="pct"/>
            <w:gridSpan w:val="4"/>
            <w:tcBorders>
              <w:top w:val="nil"/>
              <w:left w:val="single" w:color="000000" w:sz="4" w:space="0"/>
              <w:bottom w:val="nil"/>
            </w:tcBorders>
            <w:noWrap w:val="0"/>
            <w:vAlign w:val="center"/>
          </w:tcPr>
          <w:p w14:paraId="060936BC">
            <w:pPr>
              <w:pStyle w:val="41"/>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14:paraId="2A0406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00" w:hRule="atLeast"/>
          <w:jc w:val="center"/>
        </w:trPr>
        <w:tc>
          <w:tcPr>
            <w:tcW w:w="779" w:type="pct"/>
            <w:vMerge w:val="continue"/>
            <w:tcBorders>
              <w:right w:val="single" w:color="000000" w:sz="4" w:space="0"/>
            </w:tcBorders>
            <w:noWrap w:val="0"/>
            <w:vAlign w:val="center"/>
          </w:tcPr>
          <w:p w14:paraId="21B91706">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lang w:eastAsia="en-US"/>
              </w:rPr>
            </w:pPr>
          </w:p>
        </w:tc>
        <w:tc>
          <w:tcPr>
            <w:tcW w:w="4220" w:type="pct"/>
            <w:gridSpan w:val="4"/>
            <w:tcBorders>
              <w:top w:val="nil"/>
              <w:left w:val="single" w:color="000000" w:sz="4" w:space="0"/>
              <w:bottom w:val="nil"/>
            </w:tcBorders>
            <w:noWrap w:val="0"/>
            <w:vAlign w:val="center"/>
          </w:tcPr>
          <w:p w14:paraId="1FB947B1">
            <w:pPr>
              <w:pStyle w:val="41"/>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1、“单位负责人”是指单位法定代表人或者法律、行政法规规定代表单位行使职权的主要负责人。</w:t>
            </w:r>
          </w:p>
        </w:tc>
      </w:tr>
      <w:tr w14:paraId="7584C48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24" w:hRule="atLeast"/>
          <w:jc w:val="center"/>
        </w:trPr>
        <w:tc>
          <w:tcPr>
            <w:tcW w:w="779" w:type="pct"/>
            <w:vMerge w:val="continue"/>
            <w:tcBorders>
              <w:bottom w:val="single" w:color="auto" w:sz="4" w:space="0"/>
              <w:right w:val="single" w:color="000000" w:sz="4" w:space="0"/>
            </w:tcBorders>
            <w:noWrap w:val="0"/>
            <w:vAlign w:val="center"/>
          </w:tcPr>
          <w:p w14:paraId="44481692">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auto"/>
                <w:sz w:val="24"/>
                <w:szCs w:val="24"/>
                <w:highlight w:val="none"/>
              </w:rPr>
            </w:pPr>
          </w:p>
        </w:tc>
        <w:tc>
          <w:tcPr>
            <w:tcW w:w="4220" w:type="pct"/>
            <w:gridSpan w:val="4"/>
            <w:tcBorders>
              <w:top w:val="nil"/>
              <w:left w:val="single" w:color="000000" w:sz="4" w:space="0"/>
              <w:bottom w:val="single" w:color="auto" w:sz="4" w:space="0"/>
            </w:tcBorders>
            <w:noWrap w:val="0"/>
            <w:vAlign w:val="center"/>
          </w:tcPr>
          <w:p w14:paraId="5BB12F9A">
            <w:pPr>
              <w:pStyle w:val="41"/>
              <w:keepNext w:val="0"/>
              <w:keepLines w:val="0"/>
              <w:pageBreakBefore w:val="0"/>
              <w:kinsoku/>
              <w:wordWrap/>
              <w:overflowPunct/>
              <w:topLinePunct w:val="0"/>
              <w:autoSpaceDE/>
              <w:autoSpaceDN/>
              <w:bidi w:val="0"/>
              <w:adjustRightInd/>
              <w:snapToGrid/>
              <w:spacing w:before="120"/>
              <w:ind w:left="102"/>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2、本条所规定的控股、管理关系仅限于直接控股、直接管理关系，不包括间接的控股或管理关系。</w:t>
            </w:r>
          </w:p>
        </w:tc>
      </w:tr>
    </w:tbl>
    <w:p w14:paraId="454BC09B">
      <w:pPr>
        <w:spacing w:line="360" w:lineRule="auto"/>
        <w:ind w:firstLine="28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我们保证上述声明中的资料和数据是真实的、正确的，我们同意如贵方要求，可以出示相关证明文件。（</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附相关证明材料</w:t>
      </w:r>
      <w:r>
        <w:rPr>
          <w:rFonts w:hint="eastAsia" w:ascii="宋体" w:hAnsi="宋体" w:cs="宋体"/>
          <w:color w:val="auto"/>
          <w:sz w:val="24"/>
          <w:szCs w:val="24"/>
          <w:highlight w:val="none"/>
          <w:lang w:eastAsia="zh-CN"/>
        </w:rPr>
        <w:t>：营业执照、开户许可证有有效的《食品经营许可证》或《食品生产许可证》。</w:t>
      </w:r>
    </w:p>
    <w:p w14:paraId="18D22DA8">
      <w:pPr>
        <w:spacing w:line="360" w:lineRule="auto"/>
        <w:ind w:right="105" w:rightChars="50"/>
        <w:rPr>
          <w:rFonts w:hint="eastAsia" w:ascii="宋体" w:hAnsi="宋体" w:eastAsia="宋体" w:cs="宋体"/>
          <w:color w:val="auto"/>
          <w:sz w:val="24"/>
          <w:szCs w:val="24"/>
          <w:highlight w:val="none"/>
          <w:lang w:val="en-US" w:eastAsia="zh-CN"/>
        </w:rPr>
      </w:pPr>
    </w:p>
    <w:p w14:paraId="2F2D776D">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90ACEDD">
      <w:pPr>
        <w:spacing w:line="360" w:lineRule="auto"/>
        <w:ind w:right="105" w:rightChars="50"/>
        <w:rPr>
          <w:rFonts w:hint="eastAsia" w:ascii="宋体" w:hAnsi="宋体" w:eastAsia="宋体" w:cs="宋体"/>
          <w:b/>
          <w:color w:val="auto"/>
          <w:sz w:val="28"/>
          <w:szCs w:val="28"/>
          <w:highlight w:val="none"/>
          <w:lang w:val="en-US" w:eastAsia="zh-CN"/>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8"/>
          <w:szCs w:val="28"/>
          <w:highlight w:val="none"/>
          <w:lang w:val="en-US" w:eastAsia="zh-CN"/>
        </w:rPr>
        <w:br w:type="page"/>
      </w:r>
    </w:p>
    <w:p w14:paraId="0F62BD08">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《屠宰许可证》、《动物防疫条件合格证》或有效期内的动物检疫合格证明的承诺函</w:t>
      </w:r>
    </w:p>
    <w:p w14:paraId="7B0C5C20">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cs="宋体"/>
          <w:b w:val="0"/>
          <w:bCs/>
          <w:color w:val="auto"/>
          <w:sz w:val="28"/>
          <w:szCs w:val="28"/>
          <w:highlight w:val="none"/>
          <w:lang w:val="en-US" w:eastAsia="zh-CN"/>
        </w:rPr>
        <w:t>（非生产厂家或屠宰企业承诺函格式自拟）</w:t>
      </w:r>
    </w:p>
    <w:p w14:paraId="163234A5">
      <w:pPr>
        <w:spacing w:line="360" w:lineRule="auto"/>
        <w:jc w:val="center"/>
        <w:rPr>
          <w:rFonts w:hint="eastAsia" w:ascii="宋体" w:hAnsi="宋体" w:eastAsia="宋体" w:cs="宋体"/>
          <w:b/>
          <w:color w:val="auto"/>
          <w:sz w:val="28"/>
          <w:szCs w:val="28"/>
          <w:highlight w:val="none"/>
          <w:lang w:val="en-US" w:eastAsia="zh-CN"/>
        </w:rPr>
      </w:pPr>
    </w:p>
    <w:p w14:paraId="67ADC8D4">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4"/>
          <w:szCs w:val="24"/>
          <w:highlight w:val="none"/>
          <w:lang w:val="en-US" w:eastAsia="zh-CN"/>
        </w:rPr>
        <w:t>注：</w:t>
      </w:r>
      <w:r>
        <w:rPr>
          <w:rFonts w:hint="eastAsia" w:cs="宋体"/>
          <w:b/>
          <w:bCs/>
          <w:color w:val="auto"/>
          <w:sz w:val="24"/>
          <w:szCs w:val="24"/>
          <w:highlight w:val="none"/>
          <w:lang w:val="en-US" w:eastAsia="zh-CN"/>
        </w:rPr>
        <w:t>标项二供应商若为生产厂家或屠宰企业，还须提供行政主管部门颁发的《屠宰许可证》、《动物防疫条件合格证》，非生产厂家或屠宰企业须提供若中标后能够每批次供货服务开具动物检疫合格证明或提供所投牛羊猪肉类产品的有效期内的动物检疫合格证明的承诺函。</w:t>
      </w:r>
      <w:r>
        <w:rPr>
          <w:rFonts w:hint="eastAsia" w:ascii="宋体" w:hAnsi="宋体" w:eastAsia="宋体" w:cs="宋体"/>
          <w:b/>
          <w:color w:val="auto"/>
          <w:sz w:val="24"/>
          <w:szCs w:val="24"/>
          <w:highlight w:val="none"/>
          <w:lang w:val="en-US" w:eastAsia="zh-CN"/>
        </w:rPr>
        <w:t>（加盖公章）</w:t>
      </w:r>
    </w:p>
    <w:p w14:paraId="045D7205">
      <w:pPr>
        <w:spacing w:line="360" w:lineRule="auto"/>
        <w:ind w:right="105" w:rightChars="50"/>
        <w:rPr>
          <w:rFonts w:hint="eastAsia" w:ascii="宋体" w:hAnsi="宋体" w:cs="宋体"/>
          <w:color w:val="auto"/>
          <w:sz w:val="24"/>
          <w:szCs w:val="24"/>
          <w:highlight w:val="none"/>
          <w:lang w:val="en-US" w:eastAsia="zh-CN"/>
        </w:rPr>
      </w:pPr>
    </w:p>
    <w:p w14:paraId="31389521">
      <w:pPr>
        <w:spacing w:line="360" w:lineRule="auto"/>
        <w:ind w:right="105" w:rightChars="50"/>
        <w:rPr>
          <w:rFonts w:hint="eastAsia" w:ascii="宋体" w:hAnsi="宋体" w:cs="宋体"/>
          <w:color w:val="auto"/>
          <w:sz w:val="24"/>
          <w:szCs w:val="24"/>
          <w:highlight w:val="none"/>
          <w:lang w:val="en-US" w:eastAsia="zh-CN"/>
        </w:rPr>
      </w:pPr>
    </w:p>
    <w:p w14:paraId="23F3537B">
      <w:pPr>
        <w:spacing w:line="360" w:lineRule="auto"/>
        <w:ind w:right="105" w:rightChars="50"/>
        <w:rPr>
          <w:rFonts w:hint="eastAsia" w:ascii="宋体" w:hAnsi="宋体" w:cs="宋体"/>
          <w:color w:val="auto"/>
          <w:sz w:val="24"/>
          <w:szCs w:val="24"/>
          <w:highlight w:val="none"/>
          <w:lang w:val="en-US" w:eastAsia="zh-CN"/>
        </w:rPr>
      </w:pPr>
    </w:p>
    <w:p w14:paraId="5222EBB0">
      <w:pPr>
        <w:spacing w:line="360" w:lineRule="auto"/>
        <w:ind w:right="105" w:rightChars="50"/>
        <w:rPr>
          <w:rFonts w:hint="eastAsia" w:ascii="宋体" w:hAnsi="宋体" w:cs="宋体"/>
          <w:color w:val="auto"/>
          <w:sz w:val="24"/>
          <w:szCs w:val="24"/>
          <w:highlight w:val="none"/>
          <w:lang w:val="en-US" w:eastAsia="zh-CN"/>
        </w:rPr>
      </w:pPr>
    </w:p>
    <w:p w14:paraId="4296B64B">
      <w:pPr>
        <w:spacing w:line="360" w:lineRule="auto"/>
        <w:ind w:right="105" w:rightChars="50"/>
        <w:rPr>
          <w:rFonts w:hint="eastAsia" w:ascii="宋体" w:hAnsi="宋体" w:cs="宋体"/>
          <w:color w:val="auto"/>
          <w:sz w:val="24"/>
          <w:szCs w:val="24"/>
          <w:highlight w:val="none"/>
          <w:lang w:val="en-US" w:eastAsia="zh-CN"/>
        </w:rPr>
      </w:pPr>
    </w:p>
    <w:p w14:paraId="09CA738F">
      <w:pPr>
        <w:spacing w:line="360" w:lineRule="auto"/>
        <w:ind w:right="105" w:rightChars="50"/>
        <w:rPr>
          <w:rFonts w:hint="eastAsia" w:ascii="宋体" w:hAnsi="宋体" w:cs="宋体"/>
          <w:color w:val="auto"/>
          <w:sz w:val="24"/>
          <w:szCs w:val="24"/>
          <w:highlight w:val="none"/>
          <w:lang w:val="en-US" w:eastAsia="zh-CN"/>
        </w:rPr>
      </w:pPr>
    </w:p>
    <w:p w14:paraId="0D12BE72">
      <w:pPr>
        <w:spacing w:line="360" w:lineRule="auto"/>
        <w:ind w:right="105" w:rightChars="50"/>
        <w:rPr>
          <w:rFonts w:hint="eastAsia" w:ascii="宋体" w:hAnsi="宋体" w:cs="宋体"/>
          <w:color w:val="auto"/>
          <w:sz w:val="24"/>
          <w:szCs w:val="24"/>
          <w:highlight w:val="none"/>
          <w:lang w:val="en-US" w:eastAsia="zh-CN"/>
        </w:rPr>
      </w:pPr>
    </w:p>
    <w:p w14:paraId="65C5394A">
      <w:pPr>
        <w:spacing w:line="360" w:lineRule="auto"/>
        <w:ind w:right="105" w:rightChars="50"/>
        <w:rPr>
          <w:rFonts w:hint="eastAsia" w:ascii="宋体" w:hAnsi="宋体" w:cs="宋体"/>
          <w:color w:val="auto"/>
          <w:sz w:val="24"/>
          <w:szCs w:val="24"/>
          <w:highlight w:val="none"/>
          <w:lang w:val="en-US" w:eastAsia="zh-CN"/>
        </w:rPr>
      </w:pPr>
    </w:p>
    <w:p w14:paraId="253A4204">
      <w:pPr>
        <w:spacing w:line="360" w:lineRule="auto"/>
        <w:ind w:right="105" w:rightChars="50"/>
        <w:rPr>
          <w:rFonts w:hint="eastAsia" w:ascii="宋体" w:hAnsi="宋体" w:cs="宋体"/>
          <w:color w:val="auto"/>
          <w:sz w:val="24"/>
          <w:szCs w:val="24"/>
          <w:highlight w:val="none"/>
          <w:lang w:val="en-US" w:eastAsia="zh-CN"/>
        </w:rPr>
      </w:pPr>
    </w:p>
    <w:p w14:paraId="5E7F6257">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03042E0">
      <w:pPr>
        <w:spacing w:line="360" w:lineRule="auto"/>
        <w:ind w:right="105" w:rightChars="50"/>
        <w:rPr>
          <w:rFonts w:hint="eastAsia"/>
          <w:color w:val="auto"/>
          <w:highlight w:val="non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03BA4B29">
      <w:pPr>
        <w:rPr>
          <w:rFonts w:hint="eastAsia" w:ascii="宋体" w:hAnsi="宋体" w:eastAsia="宋体" w:cs="宋体"/>
          <w:b/>
          <w:color w:val="auto"/>
          <w:sz w:val="28"/>
          <w:szCs w:val="28"/>
          <w:highlight w:val="none"/>
          <w:lang w:val="en-US" w:eastAsia="zh-CN"/>
        </w:rPr>
      </w:pPr>
    </w:p>
    <w:p w14:paraId="1C90051D">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6A249014">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供应商</w:t>
      </w:r>
      <w:r>
        <w:rPr>
          <w:rFonts w:hint="eastAsia" w:ascii="宋体" w:hAnsi="宋体" w:eastAsia="宋体" w:cs="宋体"/>
          <w:b/>
          <w:color w:val="auto"/>
          <w:sz w:val="28"/>
          <w:szCs w:val="28"/>
          <w:highlight w:val="none"/>
          <w:lang w:val="en-US" w:eastAsia="zh-CN"/>
        </w:rPr>
        <w:t>递交投标保证金汇款凭证或保函</w:t>
      </w:r>
    </w:p>
    <w:p w14:paraId="7EADDCA7">
      <w:pPr>
        <w:spacing w:line="360" w:lineRule="auto"/>
        <w:jc w:val="center"/>
        <w:rPr>
          <w:rFonts w:hint="eastAsia" w:ascii="宋体" w:hAnsi="宋体" w:eastAsia="宋体" w:cs="宋体"/>
          <w:b/>
          <w:color w:val="auto"/>
          <w:sz w:val="28"/>
          <w:szCs w:val="28"/>
          <w:highlight w:val="none"/>
          <w:lang w:val="en-US" w:eastAsia="zh-CN"/>
        </w:rPr>
      </w:pPr>
    </w:p>
    <w:p w14:paraId="7977A94C">
      <w:pPr>
        <w:spacing w:after="100" w:line="265" w:lineRule="auto"/>
        <w:ind w:right="103"/>
        <w:jc w:val="center"/>
        <w:rPr>
          <w:rFonts w:hint="eastAsia" w:ascii="黑体" w:hAnsi="黑体" w:eastAsia="黑体" w:cs="Tahoma"/>
          <w:b/>
          <w:bCs/>
          <w:color w:val="auto"/>
          <w:sz w:val="36"/>
          <w:szCs w:val="36"/>
          <w:highlight w:val="none"/>
          <w:u w:val="single"/>
        </w:rPr>
      </w:pPr>
    </w:p>
    <w:p w14:paraId="0703351B">
      <w:pPr>
        <w:spacing w:after="100" w:line="265" w:lineRule="auto"/>
        <w:ind w:right="103"/>
        <w:jc w:val="center"/>
        <w:rPr>
          <w:rFonts w:hint="eastAsia" w:ascii="黑体" w:hAnsi="黑体" w:eastAsia="黑体" w:cs="Tahoma"/>
          <w:b/>
          <w:bCs/>
          <w:color w:val="auto"/>
          <w:sz w:val="36"/>
          <w:szCs w:val="36"/>
          <w:highlight w:val="none"/>
          <w:u w:val="single"/>
        </w:rPr>
      </w:pPr>
    </w:p>
    <w:p w14:paraId="244B2603">
      <w:pPr>
        <w:spacing w:after="100" w:line="265" w:lineRule="auto"/>
        <w:ind w:right="103"/>
        <w:jc w:val="center"/>
        <w:rPr>
          <w:rFonts w:hint="eastAsia" w:ascii="黑体" w:hAnsi="黑体" w:eastAsia="黑体" w:cs="Tahoma"/>
          <w:b/>
          <w:bCs/>
          <w:color w:val="auto"/>
          <w:sz w:val="36"/>
          <w:szCs w:val="36"/>
          <w:highlight w:val="none"/>
          <w:u w:val="single"/>
        </w:rPr>
      </w:pPr>
    </w:p>
    <w:p w14:paraId="708676C8">
      <w:pPr>
        <w:pStyle w:val="11"/>
        <w:rPr>
          <w:rFonts w:hint="eastAsia" w:ascii="黑体" w:hAnsi="黑体" w:eastAsia="黑体" w:cs="Tahoma"/>
          <w:b/>
          <w:bCs/>
          <w:color w:val="auto"/>
          <w:sz w:val="36"/>
          <w:szCs w:val="36"/>
          <w:highlight w:val="none"/>
          <w:u w:val="single"/>
        </w:rPr>
      </w:pPr>
    </w:p>
    <w:p w14:paraId="30C119DF">
      <w:pPr>
        <w:rPr>
          <w:rFonts w:hint="eastAsia" w:ascii="黑体" w:hAnsi="黑体" w:eastAsia="黑体" w:cs="Tahoma"/>
          <w:b/>
          <w:bCs/>
          <w:color w:val="auto"/>
          <w:sz w:val="36"/>
          <w:szCs w:val="36"/>
          <w:highlight w:val="none"/>
          <w:u w:val="single"/>
        </w:rPr>
      </w:pPr>
    </w:p>
    <w:p w14:paraId="534D3FDC">
      <w:pPr>
        <w:pStyle w:val="11"/>
        <w:rPr>
          <w:rFonts w:hint="eastAsia" w:ascii="黑体" w:hAnsi="黑体" w:eastAsia="黑体" w:cs="Tahoma"/>
          <w:b/>
          <w:bCs/>
          <w:color w:val="auto"/>
          <w:sz w:val="36"/>
          <w:szCs w:val="36"/>
          <w:highlight w:val="none"/>
          <w:u w:val="single"/>
        </w:rPr>
      </w:pPr>
    </w:p>
    <w:p w14:paraId="3EF4F20A">
      <w:pPr>
        <w:rPr>
          <w:rFonts w:hint="eastAsia" w:ascii="黑体" w:hAnsi="黑体" w:eastAsia="黑体" w:cs="Tahoma"/>
          <w:b/>
          <w:bCs/>
          <w:color w:val="auto"/>
          <w:sz w:val="36"/>
          <w:szCs w:val="36"/>
          <w:highlight w:val="none"/>
          <w:u w:val="single"/>
        </w:rPr>
      </w:pPr>
    </w:p>
    <w:p w14:paraId="610E0FB8">
      <w:pPr>
        <w:pStyle w:val="11"/>
        <w:rPr>
          <w:rFonts w:hint="eastAsia" w:ascii="黑体" w:hAnsi="黑体" w:eastAsia="黑体" w:cs="Tahoma"/>
          <w:b/>
          <w:bCs/>
          <w:color w:val="auto"/>
          <w:sz w:val="36"/>
          <w:szCs w:val="36"/>
          <w:highlight w:val="none"/>
          <w:u w:val="single"/>
        </w:rPr>
      </w:pPr>
    </w:p>
    <w:p w14:paraId="3CF7A22D">
      <w:pPr>
        <w:rPr>
          <w:rFonts w:hint="eastAsia" w:ascii="黑体" w:hAnsi="黑体" w:eastAsia="黑体" w:cs="Tahoma"/>
          <w:b/>
          <w:bCs/>
          <w:color w:val="auto"/>
          <w:sz w:val="36"/>
          <w:szCs w:val="36"/>
          <w:highlight w:val="none"/>
          <w:u w:val="single"/>
        </w:rPr>
      </w:pPr>
    </w:p>
    <w:p w14:paraId="2CE2F3C6">
      <w:pPr>
        <w:pStyle w:val="11"/>
        <w:rPr>
          <w:rFonts w:hint="eastAsia" w:ascii="黑体" w:hAnsi="黑体" w:eastAsia="黑体" w:cs="Tahoma"/>
          <w:b/>
          <w:bCs/>
          <w:color w:val="auto"/>
          <w:sz w:val="36"/>
          <w:szCs w:val="36"/>
          <w:highlight w:val="none"/>
          <w:u w:val="single"/>
        </w:rPr>
      </w:pPr>
    </w:p>
    <w:p w14:paraId="1AB3DEA8">
      <w:pPr>
        <w:rPr>
          <w:rFonts w:hint="eastAsia" w:ascii="黑体" w:hAnsi="黑体" w:eastAsia="黑体" w:cs="Tahoma"/>
          <w:b/>
          <w:bCs/>
          <w:color w:val="auto"/>
          <w:sz w:val="36"/>
          <w:szCs w:val="36"/>
          <w:highlight w:val="none"/>
          <w:u w:val="single"/>
        </w:rPr>
      </w:pPr>
    </w:p>
    <w:p w14:paraId="5C15179A">
      <w:pPr>
        <w:pStyle w:val="11"/>
        <w:rPr>
          <w:rFonts w:hint="eastAsia" w:ascii="黑体" w:hAnsi="黑体" w:eastAsia="黑体" w:cs="Tahoma"/>
          <w:b/>
          <w:bCs/>
          <w:color w:val="auto"/>
          <w:sz w:val="36"/>
          <w:szCs w:val="36"/>
          <w:highlight w:val="none"/>
          <w:u w:val="single"/>
        </w:rPr>
      </w:pPr>
    </w:p>
    <w:p w14:paraId="58C32811">
      <w:pPr>
        <w:rPr>
          <w:rFonts w:hint="eastAsia" w:ascii="黑体" w:hAnsi="黑体" w:eastAsia="黑体" w:cs="Tahoma"/>
          <w:b/>
          <w:bCs/>
          <w:color w:val="auto"/>
          <w:sz w:val="36"/>
          <w:szCs w:val="36"/>
          <w:highlight w:val="none"/>
          <w:u w:val="single"/>
        </w:rPr>
      </w:pPr>
    </w:p>
    <w:p w14:paraId="4F0BB00C">
      <w:pPr>
        <w:pStyle w:val="11"/>
        <w:rPr>
          <w:rFonts w:hint="eastAsia" w:ascii="黑体" w:hAnsi="黑体" w:eastAsia="黑体" w:cs="Tahoma"/>
          <w:b/>
          <w:bCs/>
          <w:color w:val="auto"/>
          <w:sz w:val="36"/>
          <w:szCs w:val="36"/>
          <w:highlight w:val="none"/>
          <w:u w:val="single"/>
        </w:rPr>
      </w:pPr>
    </w:p>
    <w:p w14:paraId="4BDF2928">
      <w:pPr>
        <w:rPr>
          <w:rFonts w:hint="eastAsia" w:ascii="黑体" w:hAnsi="黑体" w:eastAsia="黑体" w:cs="Tahoma"/>
          <w:b/>
          <w:bCs/>
          <w:color w:val="auto"/>
          <w:sz w:val="36"/>
          <w:szCs w:val="36"/>
          <w:highlight w:val="none"/>
          <w:u w:val="single"/>
        </w:rPr>
      </w:pPr>
    </w:p>
    <w:p w14:paraId="41B0B452">
      <w:pPr>
        <w:pStyle w:val="11"/>
        <w:rPr>
          <w:rFonts w:hint="eastAsia"/>
          <w:color w:val="auto"/>
          <w:highlight w:val="none"/>
        </w:rPr>
      </w:pPr>
    </w:p>
    <w:p w14:paraId="429319A5">
      <w:pPr>
        <w:spacing w:after="100" w:line="265" w:lineRule="auto"/>
        <w:ind w:right="103"/>
        <w:jc w:val="center"/>
        <w:rPr>
          <w:rFonts w:hint="eastAsia" w:ascii="黑体" w:hAnsi="黑体" w:eastAsia="黑体" w:cs="Tahoma"/>
          <w:b/>
          <w:bCs/>
          <w:color w:val="auto"/>
          <w:sz w:val="36"/>
          <w:szCs w:val="36"/>
          <w:highlight w:val="none"/>
          <w:u w:val="single"/>
        </w:rPr>
      </w:pPr>
    </w:p>
    <w:p w14:paraId="3D6A2BB5">
      <w:pPr>
        <w:spacing w:after="100" w:line="265" w:lineRule="auto"/>
        <w:ind w:right="103"/>
        <w:jc w:val="center"/>
        <w:rPr>
          <w:rFonts w:hint="eastAsia" w:ascii="黑体" w:hAnsi="黑体" w:eastAsia="黑体" w:cs="Tahoma"/>
          <w:b/>
          <w:bCs/>
          <w:color w:val="auto"/>
          <w:sz w:val="36"/>
          <w:szCs w:val="36"/>
          <w:highlight w:val="none"/>
          <w:u w:val="single"/>
        </w:rPr>
      </w:pPr>
    </w:p>
    <w:p w14:paraId="7BFEC783">
      <w:pPr>
        <w:spacing w:line="360" w:lineRule="auto"/>
        <w:jc w:val="center"/>
        <w:rPr>
          <w:rFonts w:hint="eastAsia" w:ascii="宋体" w:hAnsi="宋体" w:eastAsia="宋体" w:cs="宋体"/>
          <w:b/>
          <w:color w:val="auto"/>
          <w:sz w:val="28"/>
          <w:szCs w:val="28"/>
          <w:highlight w:val="none"/>
          <w:lang w:val="en-US" w:eastAsia="zh-CN"/>
        </w:rPr>
      </w:pPr>
    </w:p>
    <w:p w14:paraId="03E0287D">
      <w:pPr>
        <w:pStyle w:val="11"/>
        <w:rPr>
          <w:rFonts w:hint="eastAsia"/>
          <w:color w:val="auto"/>
          <w:highlight w:val="none"/>
          <w:lang w:val="en-US" w:eastAsia="zh-CN"/>
        </w:rPr>
      </w:pPr>
    </w:p>
    <w:p w14:paraId="16ADD739">
      <w:pPr>
        <w:pStyle w:val="11"/>
        <w:numPr>
          <w:ilvl w:val="0"/>
          <w:numId w:val="0"/>
        </w:numPr>
        <w:autoSpaceDE w:val="0"/>
        <w:autoSpaceDN w:val="0"/>
        <w:adjustRightInd w:val="0"/>
        <w:snapToGrid w:val="0"/>
        <w:spacing w:line="360" w:lineRule="auto"/>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sz w:val="28"/>
          <w:szCs w:val="28"/>
          <w:highlight w:val="none"/>
          <w:lang w:val="en-US" w:eastAsia="zh-CN"/>
        </w:rPr>
        <w:br w:type="page"/>
      </w:r>
    </w:p>
    <w:p w14:paraId="50392D0E">
      <w:pPr>
        <w:numPr>
          <w:ilvl w:val="0"/>
          <w:numId w:val="7"/>
        </w:numPr>
        <w:ind w:firstLine="3373" w:firstLineChars="1400"/>
        <w:rPr>
          <w:rStyle w:val="88"/>
          <w:rFonts w:hint="eastAsia" w:asciiTheme="minorEastAsia" w:hAnsiTheme="minorEastAsia" w:eastAsiaTheme="minorEastAsia" w:cstheme="minorEastAsia"/>
          <w:b/>
          <w:bCs/>
          <w:color w:val="auto"/>
          <w:sz w:val="24"/>
          <w:szCs w:val="24"/>
        </w:rPr>
      </w:pPr>
      <w:r>
        <w:rPr>
          <w:rStyle w:val="35"/>
          <w:rFonts w:hint="eastAsia" w:asciiTheme="minorEastAsia" w:hAnsiTheme="minorEastAsia" w:eastAsiaTheme="minorEastAsia" w:cstheme="minorEastAsia"/>
          <w:b/>
          <w:color w:val="auto"/>
          <w:kern w:val="2"/>
          <w:sz w:val="24"/>
          <w:szCs w:val="24"/>
          <w:highlight w:val="none"/>
          <w:lang w:val="en-US" w:eastAsia="zh-CN" w:bidi="ar-SA"/>
        </w:rPr>
        <w:t>中小企业声明函</w:t>
      </w:r>
      <w:r>
        <w:rPr>
          <w:rStyle w:val="88"/>
          <w:rFonts w:hint="eastAsia" w:asciiTheme="minorEastAsia" w:hAnsiTheme="minorEastAsia" w:eastAsiaTheme="minorEastAsia" w:cstheme="minorEastAsia"/>
          <w:b/>
          <w:bCs/>
          <w:color w:val="auto"/>
          <w:sz w:val="24"/>
          <w:szCs w:val="24"/>
        </w:rPr>
        <w:t>（货物）</w:t>
      </w:r>
    </w:p>
    <w:p w14:paraId="1CEAABDC">
      <w:pPr>
        <w:pStyle w:val="22"/>
        <w:rPr>
          <w:rFonts w:hint="eastAsia"/>
        </w:rPr>
      </w:pPr>
    </w:p>
    <w:p w14:paraId="46C59AB0">
      <w:pPr>
        <w:pStyle w:val="4"/>
        <w:spacing w:before="0" w:after="0"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本公司郑重声明，根据《政府采购促进中小企业发展管理办法》（财库﹝2020﹞46号）的规定，本公司参加</w:t>
      </w:r>
      <w:r>
        <w:rPr>
          <w:rFonts w:hint="eastAsia" w:asciiTheme="minorEastAsia" w:hAnsiTheme="minorEastAsia" w:eastAsiaTheme="minorEastAsia" w:cstheme="minorEastAsia"/>
          <w:b w:val="0"/>
          <w:color w:val="auto"/>
          <w:sz w:val="24"/>
          <w:szCs w:val="24"/>
          <w:u w:val="single"/>
        </w:rPr>
        <w:t xml:space="preserve"> 项目名称</w:t>
      </w:r>
      <w:r>
        <w:rPr>
          <w:rFonts w:hint="eastAsia" w:asciiTheme="minorEastAsia" w:hAnsiTheme="minorEastAsia" w:eastAsiaTheme="minorEastAsia" w:cstheme="minorEastAsia"/>
          <w:b w:val="0"/>
          <w:color w:val="auto"/>
          <w:sz w:val="24"/>
          <w:szCs w:val="24"/>
        </w:rPr>
        <w:t>采购活动，提供的货物全部由符合政策要求的中小企业制造。相关企业的具体情况如下：</w:t>
      </w:r>
    </w:p>
    <w:p w14:paraId="3673EDC1">
      <w:pPr>
        <w:pStyle w:val="4"/>
        <w:numPr>
          <w:ilvl w:val="0"/>
          <w:numId w:val="8"/>
        </w:numPr>
        <w:spacing w:before="0" w:after="0"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u w:val="single"/>
        </w:rPr>
        <w:t xml:space="preserve">        （标的名称）</w:t>
      </w:r>
      <w:r>
        <w:rPr>
          <w:rFonts w:hint="eastAsia" w:asciiTheme="minorEastAsia" w:hAnsiTheme="minorEastAsia" w:eastAsiaTheme="minorEastAsia" w:cstheme="minorEastAsia"/>
          <w:b w:val="0"/>
          <w:color w:val="auto"/>
          <w:sz w:val="24"/>
          <w:szCs w:val="24"/>
        </w:rPr>
        <w:t>，属于</w:t>
      </w:r>
      <w:r>
        <w:rPr>
          <w:rFonts w:hint="eastAsia" w:asciiTheme="minorEastAsia" w:hAnsiTheme="minorEastAsia" w:eastAsiaTheme="minorEastAsia" w:cstheme="minorEastAsia"/>
          <w:b w:val="0"/>
          <w:color w:val="auto"/>
          <w:sz w:val="24"/>
          <w:szCs w:val="24"/>
          <w:u w:val="single"/>
        </w:rPr>
        <w:t xml:space="preserve"> （ 零售业  ）  </w:t>
      </w:r>
      <w:r>
        <w:rPr>
          <w:rFonts w:hint="eastAsia" w:asciiTheme="minorEastAsia" w:hAnsiTheme="minorEastAsia" w:eastAsiaTheme="minorEastAsia" w:cstheme="minorEastAsia"/>
          <w:b w:val="0"/>
          <w:color w:val="auto"/>
          <w:sz w:val="24"/>
          <w:szCs w:val="24"/>
        </w:rPr>
        <w:t>；制造商为</w:t>
      </w:r>
      <w:r>
        <w:rPr>
          <w:rFonts w:hint="eastAsia" w:asciiTheme="minorEastAsia" w:hAnsiTheme="minorEastAsia" w:eastAsiaTheme="minorEastAsia" w:cstheme="minorEastAsia"/>
          <w:b w:val="0"/>
          <w:color w:val="auto"/>
          <w:sz w:val="24"/>
          <w:szCs w:val="24"/>
          <w:u w:val="single"/>
        </w:rPr>
        <w:t xml:space="preserve">       （企业名称）</w:t>
      </w:r>
      <w:r>
        <w:rPr>
          <w:rFonts w:hint="eastAsia" w:asciiTheme="minorEastAsia" w:hAnsiTheme="minorEastAsia" w:eastAsiaTheme="minorEastAsia" w:cstheme="minorEastAsia"/>
          <w:b w:val="0"/>
          <w:color w:val="auto"/>
          <w:sz w:val="24"/>
          <w:szCs w:val="24"/>
        </w:rPr>
        <w:t>，从业人员</w:t>
      </w:r>
      <w:r>
        <w:rPr>
          <w:rFonts w:hint="eastAsia" w:asciiTheme="minorEastAsia" w:hAnsiTheme="minorEastAsia" w:eastAsiaTheme="minorEastAsia" w:cstheme="minorEastAsia"/>
          <w:b w:val="0"/>
          <w:color w:val="auto"/>
          <w:sz w:val="24"/>
          <w:szCs w:val="24"/>
          <w:u w:val="single"/>
        </w:rPr>
        <w:t xml:space="preserve">        </w:t>
      </w:r>
      <w:r>
        <w:rPr>
          <w:rFonts w:hint="eastAsia" w:asciiTheme="minorEastAsia" w:hAnsiTheme="minorEastAsia" w:eastAsiaTheme="minorEastAsia" w:cstheme="minorEastAsia"/>
          <w:b w:val="0"/>
          <w:color w:val="auto"/>
          <w:sz w:val="24"/>
          <w:szCs w:val="24"/>
        </w:rPr>
        <w:t>人，营业收入为</w:t>
      </w:r>
      <w:r>
        <w:rPr>
          <w:rFonts w:hint="eastAsia" w:asciiTheme="minorEastAsia" w:hAnsiTheme="minorEastAsia" w:eastAsiaTheme="minorEastAsia" w:cstheme="minorEastAsia"/>
          <w:b w:val="0"/>
          <w:color w:val="auto"/>
          <w:sz w:val="24"/>
          <w:szCs w:val="24"/>
          <w:u w:val="single"/>
        </w:rPr>
        <w:t xml:space="preserve">        </w:t>
      </w:r>
      <w:r>
        <w:rPr>
          <w:rFonts w:hint="eastAsia" w:asciiTheme="minorEastAsia" w:hAnsiTheme="minorEastAsia" w:eastAsiaTheme="minorEastAsia" w:cstheme="minorEastAsia"/>
          <w:b w:val="0"/>
          <w:color w:val="auto"/>
          <w:sz w:val="24"/>
          <w:szCs w:val="24"/>
        </w:rPr>
        <w:t>万元，资产总额为</w:t>
      </w:r>
      <w:r>
        <w:rPr>
          <w:rFonts w:hint="eastAsia" w:asciiTheme="minorEastAsia" w:hAnsiTheme="minorEastAsia" w:eastAsiaTheme="minorEastAsia" w:cstheme="minorEastAsia"/>
          <w:b w:val="0"/>
          <w:color w:val="auto"/>
          <w:sz w:val="24"/>
          <w:szCs w:val="24"/>
          <w:u w:val="single"/>
        </w:rPr>
        <w:t xml:space="preserve">        </w:t>
      </w:r>
      <w:r>
        <w:rPr>
          <w:rFonts w:hint="eastAsia" w:asciiTheme="minorEastAsia" w:hAnsiTheme="minorEastAsia" w:eastAsiaTheme="minorEastAsia" w:cstheme="minorEastAsia"/>
          <w:b w:val="0"/>
          <w:color w:val="auto"/>
          <w:sz w:val="24"/>
          <w:szCs w:val="24"/>
        </w:rPr>
        <w:t>万元，属于</w:t>
      </w:r>
      <w:r>
        <w:rPr>
          <w:rFonts w:hint="eastAsia" w:asciiTheme="minorEastAsia" w:hAnsiTheme="minorEastAsia" w:eastAsiaTheme="minorEastAsia" w:cstheme="minorEastAsia"/>
          <w:b w:val="0"/>
          <w:color w:val="auto"/>
          <w:sz w:val="24"/>
          <w:szCs w:val="24"/>
          <w:u w:val="single"/>
        </w:rPr>
        <w:t>（中型企业、小型企业、微型企业）</w:t>
      </w:r>
      <w:r>
        <w:rPr>
          <w:rFonts w:hint="eastAsia" w:asciiTheme="minorEastAsia" w:hAnsiTheme="minorEastAsia" w:eastAsiaTheme="minorEastAsia" w:cstheme="minorEastAsia"/>
          <w:b w:val="0"/>
          <w:color w:val="auto"/>
          <w:sz w:val="24"/>
          <w:szCs w:val="24"/>
        </w:rPr>
        <w:t>；</w:t>
      </w:r>
    </w:p>
    <w:p w14:paraId="2ED00678">
      <w:pPr>
        <w:pStyle w:val="4"/>
        <w:numPr>
          <w:ilvl w:val="0"/>
          <w:numId w:val="8"/>
        </w:numPr>
        <w:spacing w:before="0" w:after="0"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u w:val="single"/>
        </w:rPr>
        <w:t xml:space="preserve">        （标的名称）</w:t>
      </w:r>
      <w:r>
        <w:rPr>
          <w:rFonts w:hint="eastAsia" w:asciiTheme="minorEastAsia" w:hAnsiTheme="minorEastAsia" w:eastAsiaTheme="minorEastAsia" w:cstheme="minorEastAsia"/>
          <w:b w:val="0"/>
          <w:color w:val="auto"/>
          <w:sz w:val="24"/>
          <w:szCs w:val="24"/>
        </w:rPr>
        <w:t>，属于</w:t>
      </w:r>
      <w:r>
        <w:rPr>
          <w:rFonts w:hint="eastAsia" w:asciiTheme="minorEastAsia" w:hAnsiTheme="minorEastAsia" w:eastAsiaTheme="minorEastAsia" w:cstheme="minorEastAsia"/>
          <w:b w:val="0"/>
          <w:color w:val="auto"/>
          <w:sz w:val="24"/>
          <w:szCs w:val="24"/>
          <w:u w:val="single"/>
        </w:rPr>
        <w:t xml:space="preserve"> （ 零售业 ）  </w:t>
      </w:r>
      <w:r>
        <w:rPr>
          <w:rFonts w:hint="eastAsia" w:asciiTheme="minorEastAsia" w:hAnsiTheme="minorEastAsia" w:eastAsiaTheme="minorEastAsia" w:cstheme="minorEastAsia"/>
          <w:b w:val="0"/>
          <w:color w:val="auto"/>
          <w:sz w:val="24"/>
          <w:szCs w:val="24"/>
        </w:rPr>
        <w:t>；制造商为</w:t>
      </w:r>
      <w:r>
        <w:rPr>
          <w:rFonts w:hint="eastAsia" w:asciiTheme="minorEastAsia" w:hAnsiTheme="minorEastAsia" w:eastAsiaTheme="minorEastAsia" w:cstheme="minorEastAsia"/>
          <w:b w:val="0"/>
          <w:color w:val="auto"/>
          <w:sz w:val="24"/>
          <w:szCs w:val="24"/>
          <w:u w:val="single"/>
        </w:rPr>
        <w:t xml:space="preserve">       （企业名称）</w:t>
      </w:r>
      <w:r>
        <w:rPr>
          <w:rFonts w:hint="eastAsia" w:asciiTheme="minorEastAsia" w:hAnsiTheme="minorEastAsia" w:eastAsiaTheme="minorEastAsia" w:cstheme="minorEastAsia"/>
          <w:b w:val="0"/>
          <w:color w:val="auto"/>
          <w:sz w:val="24"/>
          <w:szCs w:val="24"/>
        </w:rPr>
        <w:t>，从业人员</w:t>
      </w:r>
      <w:r>
        <w:rPr>
          <w:rFonts w:hint="eastAsia" w:asciiTheme="minorEastAsia" w:hAnsiTheme="minorEastAsia" w:eastAsiaTheme="minorEastAsia" w:cstheme="minorEastAsia"/>
          <w:b w:val="0"/>
          <w:color w:val="auto"/>
          <w:sz w:val="24"/>
          <w:szCs w:val="24"/>
          <w:u w:val="single"/>
        </w:rPr>
        <w:t xml:space="preserve">        </w:t>
      </w:r>
      <w:r>
        <w:rPr>
          <w:rFonts w:hint="eastAsia" w:asciiTheme="minorEastAsia" w:hAnsiTheme="minorEastAsia" w:eastAsiaTheme="minorEastAsia" w:cstheme="minorEastAsia"/>
          <w:b w:val="0"/>
          <w:color w:val="auto"/>
          <w:sz w:val="24"/>
          <w:szCs w:val="24"/>
        </w:rPr>
        <w:t>人，营业收入为</w:t>
      </w:r>
      <w:r>
        <w:rPr>
          <w:rFonts w:hint="eastAsia" w:asciiTheme="minorEastAsia" w:hAnsiTheme="minorEastAsia" w:eastAsiaTheme="minorEastAsia" w:cstheme="minorEastAsia"/>
          <w:b w:val="0"/>
          <w:color w:val="auto"/>
          <w:sz w:val="24"/>
          <w:szCs w:val="24"/>
          <w:u w:val="single"/>
        </w:rPr>
        <w:t xml:space="preserve">        </w:t>
      </w:r>
      <w:r>
        <w:rPr>
          <w:rFonts w:hint="eastAsia" w:asciiTheme="minorEastAsia" w:hAnsiTheme="minorEastAsia" w:eastAsiaTheme="minorEastAsia" w:cstheme="minorEastAsia"/>
          <w:b w:val="0"/>
          <w:color w:val="auto"/>
          <w:sz w:val="24"/>
          <w:szCs w:val="24"/>
        </w:rPr>
        <w:t>万元，资产总额为</w:t>
      </w:r>
      <w:r>
        <w:rPr>
          <w:rFonts w:hint="eastAsia" w:asciiTheme="minorEastAsia" w:hAnsiTheme="minorEastAsia" w:eastAsiaTheme="minorEastAsia" w:cstheme="minorEastAsia"/>
          <w:b w:val="0"/>
          <w:color w:val="auto"/>
          <w:sz w:val="24"/>
          <w:szCs w:val="24"/>
          <w:u w:val="single"/>
        </w:rPr>
        <w:t xml:space="preserve">        </w:t>
      </w:r>
      <w:r>
        <w:rPr>
          <w:rFonts w:hint="eastAsia" w:asciiTheme="minorEastAsia" w:hAnsiTheme="minorEastAsia" w:eastAsiaTheme="minorEastAsia" w:cstheme="minorEastAsia"/>
          <w:b w:val="0"/>
          <w:color w:val="auto"/>
          <w:sz w:val="24"/>
          <w:szCs w:val="24"/>
        </w:rPr>
        <w:t>万元，属于</w:t>
      </w:r>
      <w:r>
        <w:rPr>
          <w:rFonts w:hint="eastAsia" w:asciiTheme="minorEastAsia" w:hAnsiTheme="minorEastAsia" w:eastAsiaTheme="minorEastAsia" w:cstheme="minorEastAsia"/>
          <w:b w:val="0"/>
          <w:color w:val="auto"/>
          <w:sz w:val="24"/>
          <w:szCs w:val="24"/>
          <w:u w:val="single"/>
        </w:rPr>
        <w:t>（中型企业、小型企业、微型企业）</w:t>
      </w:r>
      <w:r>
        <w:rPr>
          <w:rFonts w:hint="eastAsia" w:asciiTheme="minorEastAsia" w:hAnsiTheme="minorEastAsia" w:eastAsiaTheme="minorEastAsia" w:cstheme="minorEastAsia"/>
          <w:b w:val="0"/>
          <w:color w:val="auto"/>
          <w:sz w:val="24"/>
          <w:szCs w:val="24"/>
        </w:rPr>
        <w:t>；</w:t>
      </w:r>
    </w:p>
    <w:p w14:paraId="7732D882">
      <w:pPr>
        <w:rPr>
          <w:rFonts w:hint="eastAsia" w:asciiTheme="minorEastAsia" w:hAnsiTheme="minorEastAsia" w:eastAsiaTheme="minorEastAsia" w:cstheme="minorEastAsia"/>
          <w:color w:val="auto"/>
          <w:sz w:val="24"/>
          <w:szCs w:val="24"/>
        </w:rPr>
      </w:pPr>
    </w:p>
    <w:p w14:paraId="546DD1CF">
      <w:pPr>
        <w:pStyle w:val="4"/>
        <w:spacing w:before="0" w:after="0"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w:t>
      </w:r>
    </w:p>
    <w:p w14:paraId="3279C961">
      <w:pPr>
        <w:pStyle w:val="4"/>
        <w:spacing w:before="0" w:after="0"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以上企业，不属于大企业的分支机构，不存在控股股东为大企业的情形，也不存在与大企业的负责人为同一人的情形。</w:t>
      </w:r>
    </w:p>
    <w:p w14:paraId="72F2CABD">
      <w:pPr>
        <w:pStyle w:val="4"/>
        <w:spacing w:before="0" w:after="0" w:line="360" w:lineRule="auto"/>
        <w:ind w:firstLine="480" w:firstLineChars="200"/>
        <w:rPr>
          <w:rStyle w:val="88"/>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val="0"/>
          <w:color w:val="auto"/>
          <w:sz w:val="24"/>
          <w:szCs w:val="24"/>
        </w:rPr>
        <w:t>本企业对上述声明内容的真实性负责。如有虚假，将依法承担相应责任。</w:t>
      </w:r>
    </w:p>
    <w:p w14:paraId="096437A7">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color w:val="auto"/>
          <w:sz w:val="24"/>
          <w:szCs w:val="24"/>
        </w:rPr>
        <w:t>供应商名称（盖章）：</w:t>
      </w:r>
    </w:p>
    <w:p w14:paraId="3DF7CF20">
      <w:pPr>
        <w:spacing w:line="36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法定代表人或委托代理人（签字或盖章）：</w:t>
      </w:r>
    </w:p>
    <w:p w14:paraId="7161E408">
      <w:pPr>
        <w:spacing w:line="36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     年   月   日</w:t>
      </w:r>
    </w:p>
    <w:p w14:paraId="3FFF5AE4">
      <w:pPr>
        <w:rPr>
          <w:rFonts w:hint="eastAsia" w:asciiTheme="minorEastAsia" w:hAnsiTheme="minorEastAsia" w:eastAsiaTheme="minorEastAsia" w:cstheme="minorEastAsia"/>
          <w:color w:val="auto"/>
          <w:kern w:val="0"/>
          <w:sz w:val="24"/>
          <w:szCs w:val="24"/>
          <w:lang w:val="en-GB"/>
        </w:rPr>
      </w:pPr>
      <w:r>
        <w:rPr>
          <w:rFonts w:hint="eastAsia" w:asciiTheme="minorEastAsia" w:hAnsiTheme="minorEastAsia" w:eastAsiaTheme="minorEastAsia" w:cstheme="minorEastAsia"/>
          <w:color w:val="auto"/>
          <w:kern w:val="0"/>
          <w:sz w:val="24"/>
          <w:szCs w:val="24"/>
          <w:lang w:val="en-GB"/>
        </w:rPr>
        <w:t>说明:</w:t>
      </w:r>
    </w:p>
    <w:p w14:paraId="0E8C24A6">
      <w:pPr>
        <w:rPr>
          <w:rFonts w:hint="eastAsia" w:asciiTheme="minorEastAsia" w:hAnsiTheme="minorEastAsia" w:eastAsiaTheme="minorEastAsia" w:cstheme="minorEastAsia"/>
          <w:color w:val="auto"/>
          <w:kern w:val="0"/>
          <w:sz w:val="24"/>
          <w:szCs w:val="24"/>
          <w:lang w:val="en-GB"/>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0"/>
          <w:sz w:val="24"/>
          <w:szCs w:val="24"/>
          <w:lang w:val="en-GB"/>
        </w:rPr>
        <w:t>响应供应商认为其为中小企业的应提交本函，并明确企业类型，否则评审时不能享受相应的价格扣除。</w:t>
      </w:r>
    </w:p>
    <w:p w14:paraId="521C2591">
      <w:pPr>
        <w:rPr>
          <w:rFonts w:hint="eastAsia" w:asciiTheme="minorEastAsia" w:hAnsiTheme="minorEastAsia" w:eastAsiaTheme="minorEastAsia" w:cstheme="minorEastAsia"/>
          <w:color w:val="auto"/>
          <w:kern w:val="0"/>
          <w:sz w:val="24"/>
          <w:szCs w:val="24"/>
          <w:lang w:val="en-GB"/>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eastAsiaTheme="minorEastAsia" w:cstheme="minorEastAsia"/>
          <w:color w:val="auto"/>
          <w:kern w:val="0"/>
          <w:sz w:val="24"/>
          <w:szCs w:val="24"/>
          <w:lang w:val="en-GB"/>
        </w:rPr>
        <w:t>响应供应商提供其他小型或微型企业提供服务时，应同时提供《中小企业声明函》，否则评审时不能享受相应的价格扣除。</w:t>
      </w:r>
    </w:p>
    <w:p w14:paraId="608A20AC">
      <w:pPr>
        <w:rPr>
          <w:rFonts w:hint="eastAsia" w:asciiTheme="minorEastAsia" w:hAnsiTheme="minorEastAsia" w:eastAsiaTheme="minorEastAsia" w:cstheme="minorEastAsia"/>
          <w:color w:val="auto"/>
          <w:kern w:val="0"/>
          <w:sz w:val="24"/>
          <w:szCs w:val="24"/>
          <w:lang w:val="en-GB"/>
        </w:rPr>
      </w:pP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color w:val="auto"/>
          <w:kern w:val="0"/>
          <w:sz w:val="24"/>
          <w:szCs w:val="24"/>
          <w:lang w:val="en-GB"/>
        </w:rPr>
        <w:t xml:space="preserve">采购项目包含多种标的物的，货物制造商的相关信息应全部列入《中小企业声明函》，并由投标人出具并加盖投标人公章。 </w:t>
      </w:r>
    </w:p>
    <w:p w14:paraId="731C8638">
      <w:pPr>
        <w:rPr>
          <w:rFonts w:hint="eastAsia" w:asciiTheme="minorEastAsia" w:hAnsiTheme="minorEastAsia" w:eastAsiaTheme="minorEastAsia" w:cstheme="minorEastAsia"/>
          <w:color w:val="auto"/>
          <w:kern w:val="0"/>
          <w:sz w:val="24"/>
          <w:szCs w:val="24"/>
          <w:lang w:val="en-GB"/>
        </w:rPr>
      </w:pPr>
      <w:r>
        <w:rPr>
          <w:rFonts w:hint="eastAsia" w:asciiTheme="minorEastAsia" w:hAnsiTheme="minorEastAsia" w:eastAsiaTheme="minorEastAsia" w:cstheme="minorEastAsia"/>
          <w:color w:val="auto"/>
          <w:kern w:val="0"/>
          <w:sz w:val="24"/>
          <w:szCs w:val="24"/>
          <w:lang w:val="en-GB"/>
        </w:rPr>
        <w:t>4.若投标人所供货物不是由中小企业制造，请勿提交《中小企业声明函》。</w:t>
      </w:r>
    </w:p>
    <w:p w14:paraId="561CFD33">
      <w:pPr>
        <w:rPr>
          <w:rFonts w:hint="eastAsia" w:asciiTheme="minorEastAsia" w:hAnsiTheme="minorEastAsia" w:eastAsiaTheme="minorEastAsia" w:cstheme="minorEastAsia"/>
          <w:color w:val="auto"/>
          <w:kern w:val="0"/>
          <w:sz w:val="24"/>
          <w:szCs w:val="24"/>
          <w:lang w:val="en-GB"/>
        </w:rPr>
      </w:pPr>
      <w:r>
        <w:rPr>
          <w:rFonts w:hint="eastAsia" w:asciiTheme="minorEastAsia" w:hAnsiTheme="minorEastAsia" w:eastAsiaTheme="minorEastAsia" w:cstheme="minorEastAsia"/>
          <w:color w:val="auto"/>
          <w:kern w:val="0"/>
          <w:sz w:val="24"/>
          <w:szCs w:val="24"/>
          <w:lang w:val="en-GB"/>
        </w:rPr>
        <w:t xml:space="preserve"> 5.此声明函将随中标结果同时公告，接受社会监督。</w:t>
      </w:r>
    </w:p>
    <w:p w14:paraId="46520565">
      <w:pPr>
        <w:rPr>
          <w:rFonts w:hint="eastAsia" w:ascii="仿宋" w:hAnsi="仿宋" w:eastAsia="仿宋" w:cs="仿宋"/>
          <w:color w:val="auto"/>
        </w:rPr>
      </w:pPr>
    </w:p>
    <w:p w14:paraId="32BED35B">
      <w:pPr>
        <w:pStyle w:val="22"/>
        <w:numPr>
          <w:ilvl w:val="0"/>
          <w:numId w:val="0"/>
        </w:numPr>
        <w:ind w:left="1042" w:leftChars="0"/>
        <w:jc w:val="both"/>
        <w:rPr>
          <w:rFonts w:hint="eastAsia"/>
          <w:lang w:val="en-US" w:eastAsia="zh-CN"/>
        </w:rPr>
      </w:pPr>
    </w:p>
    <w:p w14:paraId="321942DC">
      <w:pPr>
        <w:pStyle w:val="66"/>
        <w:widowControl w:val="0"/>
        <w:autoSpaceDE w:val="0"/>
        <w:autoSpaceDN w:val="0"/>
        <w:spacing w:before="0" w:after="0" w:line="440" w:lineRule="exact"/>
        <w:ind w:left="0" w:leftChars="0" w:firstLine="11384" w:firstLineChars="1575"/>
        <w:jc w:val="center"/>
        <w:rPr>
          <w:rFonts w:hint="eastAsia" w:ascii="宋体" w:hAnsi="宋体" w:eastAsia="宋体" w:cs="QEWSUC+??¨¬?"/>
          <w:b/>
          <w:color w:val="auto"/>
          <w:kern w:val="2"/>
          <w:sz w:val="28"/>
          <w:szCs w:val="24"/>
          <w:highlight w:val="none"/>
          <w:lang w:val="en-US" w:eastAsia="zh-CN"/>
        </w:rPr>
      </w:pPr>
      <w:r>
        <w:rPr>
          <w:rStyle w:val="35"/>
          <w:rFonts w:hint="eastAsia" w:ascii="仿宋" w:hAnsi="仿宋" w:eastAsia="仿宋" w:cs="仿宋"/>
          <w:b/>
          <w:color w:val="auto"/>
          <w:kern w:val="2"/>
          <w:szCs w:val="24"/>
          <w:highlight w:val="none"/>
          <w:lang w:val="en-US" w:eastAsia="zh-CN" w:bidi="ar-SA"/>
        </w:rPr>
        <w:br w:type="page"/>
      </w:r>
    </w:p>
    <w:p w14:paraId="287748D7">
      <w:pPr>
        <w:keepNext w:val="0"/>
        <w:keepLines w:val="0"/>
        <w:pageBreakBefore w:val="0"/>
        <w:widowControl w:val="0"/>
        <w:tabs>
          <w:tab w:val="left" w:pos="6300"/>
        </w:tabs>
        <w:kinsoku/>
        <w:wordWrap/>
        <w:overflowPunct/>
        <w:topLinePunct w:val="0"/>
        <w:autoSpaceDE/>
        <w:autoSpaceDN/>
        <w:bidi w:val="0"/>
        <w:adjustRightInd/>
        <w:snapToGrid w:val="0"/>
        <w:spacing w:before="157" w:beforeLines="50" w:line="500" w:lineRule="exact"/>
        <w:ind w:firstLine="2530" w:firstLineChars="900"/>
        <w:jc w:val="both"/>
        <w:textAlignment w:val="auto"/>
        <w:outlineLvl w:val="0"/>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残疾人福利性单位声明函（如有）</w:t>
      </w:r>
    </w:p>
    <w:p w14:paraId="5A896A76">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21BD42D9">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招标人</w:t>
      </w:r>
      <w:r>
        <w:rPr>
          <w:rFonts w:hint="eastAsia" w:ascii="宋体" w:hAnsi="宋体" w:eastAsia="宋体" w:cs="宋体"/>
          <w:color w:val="auto"/>
          <w:sz w:val="24"/>
          <w:szCs w:val="24"/>
          <w:highlight w:val="none"/>
          <w:u w:val="single"/>
        </w:rPr>
        <w:t>）单位</w:t>
      </w:r>
      <w:r>
        <w:rPr>
          <w:rFonts w:hint="eastAsia" w:ascii="宋体" w:hAnsi="宋体" w:eastAsia="宋体" w:cs="宋体"/>
          <w:color w:val="auto"/>
          <w:sz w:val="24"/>
          <w:szCs w:val="24"/>
          <w:highlight w:val="none"/>
        </w:rPr>
        <w:t>的______项目采购活动提供本单位制造的货物</w:t>
      </w:r>
      <w:r>
        <w:rPr>
          <w:rFonts w:hint="eastAsia" w:ascii="宋体" w:hAnsi="宋体" w:eastAsia="宋体" w:cs="宋体"/>
          <w:color w:val="auto"/>
          <w:sz w:val="24"/>
          <w:szCs w:val="24"/>
          <w:highlight w:val="none"/>
          <w:u w:val="single"/>
        </w:rPr>
        <w:t>（由本单位承担工程/提供服务）</w:t>
      </w:r>
      <w:r>
        <w:rPr>
          <w:rFonts w:hint="eastAsia" w:ascii="宋体" w:hAnsi="宋体" w:eastAsia="宋体" w:cs="宋体"/>
          <w:color w:val="auto"/>
          <w:sz w:val="24"/>
          <w:szCs w:val="24"/>
          <w:highlight w:val="none"/>
        </w:rPr>
        <w:t>，或者提供其他残疾人福利性单位制造的货物（不包括使用非残疾人福利性单位注册商标的货物）。</w:t>
      </w:r>
    </w:p>
    <w:p w14:paraId="72431165">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6B8C84F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66F921A8">
      <w:pPr>
        <w:spacing w:line="46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投标单位：</w:t>
      </w:r>
      <w:r>
        <w:rPr>
          <w:rFonts w:hint="eastAsia" w:ascii="宋体" w:hAnsi="宋体" w:eastAsia="宋体" w:cs="宋体"/>
          <w:bCs/>
          <w:color w:val="auto"/>
          <w:sz w:val="24"/>
          <w:szCs w:val="24"/>
          <w:highlight w:val="none"/>
          <w:u w:val="single"/>
        </w:rPr>
        <w:t xml:space="preserve">   （全称）（盖章）  </w:t>
      </w:r>
    </w:p>
    <w:p w14:paraId="4224DB02">
      <w:pPr>
        <w:pStyle w:val="10"/>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bCs/>
          <w:color w:val="auto"/>
          <w:sz w:val="24"/>
          <w:szCs w:val="24"/>
          <w:highlight w:val="none"/>
          <w:u w:val="single"/>
        </w:rPr>
        <w:t>（签字或盖章）</w:t>
      </w:r>
    </w:p>
    <w:p w14:paraId="67B76559">
      <w:pPr>
        <w:widowControl/>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9ACCABE">
      <w:pPr>
        <w:spacing w:line="360" w:lineRule="auto"/>
        <w:jc w:val="left"/>
        <w:rPr>
          <w:rFonts w:hint="eastAsia" w:ascii="宋体" w:hAnsi="宋体" w:eastAsia="宋体" w:cs="宋体"/>
          <w:bCs/>
          <w:color w:val="auto"/>
          <w:sz w:val="24"/>
          <w:szCs w:val="24"/>
          <w:highlight w:val="none"/>
        </w:rPr>
      </w:pPr>
    </w:p>
    <w:p w14:paraId="5B7B722A">
      <w:pPr>
        <w:widowControl/>
        <w:spacing w:line="440" w:lineRule="exact"/>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注：须提供证明材料（能反映出企业残疾人的占比等情况的材料及残疾人证等）。</w:t>
      </w:r>
    </w:p>
    <w:p w14:paraId="4C26EA8C">
      <w:pPr>
        <w:spacing w:line="360" w:lineRule="auto"/>
        <w:ind w:firstLine="220" w:firstLineChars="100"/>
        <w:jc w:val="left"/>
        <w:rPr>
          <w:rFonts w:hint="eastAsia" w:ascii="宋体" w:hAnsi="宋体" w:eastAsia="宋体" w:cs="宋体"/>
          <w:bCs/>
          <w:color w:val="auto"/>
          <w:sz w:val="22"/>
          <w:szCs w:val="30"/>
          <w:highlight w:val="none"/>
        </w:rPr>
      </w:pPr>
    </w:p>
    <w:p w14:paraId="4A8680EB">
      <w:pPr>
        <w:spacing w:line="360" w:lineRule="auto"/>
        <w:jc w:val="center"/>
        <w:rPr>
          <w:rFonts w:hint="eastAsia" w:ascii="宋体" w:hAnsi="宋体" w:eastAsia="宋体" w:cs="宋体"/>
          <w:b/>
          <w:bCs/>
          <w:color w:val="auto"/>
          <w:sz w:val="30"/>
          <w:szCs w:val="30"/>
          <w:highlight w:val="none"/>
        </w:rPr>
      </w:pPr>
    </w:p>
    <w:p w14:paraId="4A7928A7">
      <w:pPr>
        <w:widowControl/>
        <w:spacing w:line="560" w:lineRule="exact"/>
        <w:jc w:val="center"/>
        <w:rPr>
          <w:rFonts w:hint="eastAsia" w:ascii="宋体" w:hAnsi="宋体" w:eastAsia="宋体" w:cs="宋体"/>
          <w:b/>
          <w:color w:val="auto"/>
          <w:sz w:val="32"/>
          <w:szCs w:val="32"/>
          <w:highlight w:val="none"/>
        </w:rPr>
      </w:pPr>
    </w:p>
    <w:p w14:paraId="2D2C33DC">
      <w:pPr>
        <w:widowControl/>
        <w:spacing w:line="560" w:lineRule="exact"/>
        <w:jc w:val="center"/>
        <w:rPr>
          <w:rFonts w:hint="eastAsia" w:ascii="宋体" w:hAnsi="宋体" w:eastAsia="宋体" w:cs="宋体"/>
          <w:b/>
          <w:color w:val="auto"/>
          <w:sz w:val="32"/>
          <w:szCs w:val="32"/>
          <w:highlight w:val="none"/>
        </w:rPr>
      </w:pPr>
    </w:p>
    <w:p w14:paraId="1C5F94E2">
      <w:pPr>
        <w:widowControl/>
        <w:spacing w:line="560" w:lineRule="exact"/>
        <w:jc w:val="center"/>
        <w:rPr>
          <w:rStyle w:val="35"/>
          <w:rFonts w:hint="eastAsia" w:ascii="宋体" w:hAnsi="宋体" w:eastAsia="宋体" w:cs="宋体"/>
          <w:b/>
          <w:color w:val="auto"/>
          <w:kern w:val="2"/>
          <w:szCs w:val="24"/>
          <w:highlight w:val="none"/>
          <w:lang w:val="en-US" w:eastAsia="zh-CN" w:bidi="ar-SA"/>
        </w:rPr>
      </w:pPr>
      <w:r>
        <w:rPr>
          <w:rStyle w:val="35"/>
          <w:rFonts w:hint="eastAsia" w:ascii="仿宋" w:hAnsi="仿宋" w:eastAsia="仿宋" w:cs="仿宋"/>
          <w:b/>
          <w:color w:val="auto"/>
          <w:kern w:val="2"/>
          <w:szCs w:val="24"/>
          <w:highlight w:val="none"/>
          <w:lang w:val="en-US" w:eastAsia="zh-CN" w:bidi="ar-SA"/>
        </w:rPr>
        <w:br w:type="page"/>
      </w:r>
      <w:r>
        <w:rPr>
          <w:rFonts w:hint="eastAsia" w:ascii="宋体" w:hAnsi="宋体" w:eastAsia="宋体" w:cs="宋体"/>
          <w:b/>
          <w:color w:val="auto"/>
          <w:kern w:val="2"/>
          <w:sz w:val="28"/>
          <w:szCs w:val="28"/>
          <w:highlight w:val="none"/>
          <w:lang w:val="en-US" w:eastAsia="zh-CN" w:bidi="ar-SA"/>
        </w:rPr>
        <w:t>监狱企业证明文件（如有）</w:t>
      </w:r>
    </w:p>
    <w:p w14:paraId="31F0F311">
      <w:pPr>
        <w:spacing w:line="400" w:lineRule="exact"/>
        <w:ind w:firstLine="480" w:firstLineChars="200"/>
        <w:jc w:val="left"/>
        <w:rPr>
          <w:rFonts w:hint="eastAsia" w:ascii="宋体" w:hAnsi="宋体" w:eastAsia="宋体" w:cs="宋体"/>
          <w:color w:val="auto"/>
          <w:sz w:val="24"/>
          <w:highlight w:val="none"/>
        </w:rPr>
      </w:pPr>
    </w:p>
    <w:p w14:paraId="342E78AC">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监狱企业证明（如属于监狱企业，需提供由省级以上监狱管理局、戒毒管理局（含新疆生产建设兵团）出具的属于监狱企业的证明文件）；</w:t>
      </w:r>
    </w:p>
    <w:p w14:paraId="57CA4DC3">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2.证明材料加盖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p w14:paraId="70D51EB6">
      <w:pPr>
        <w:rPr>
          <w:rFonts w:hint="eastAsia" w:ascii="宋体" w:hAnsi="宋体" w:eastAsia="宋体" w:cs="宋体"/>
          <w:color w:val="auto"/>
          <w:sz w:val="24"/>
          <w:szCs w:val="24"/>
          <w:highlight w:val="none"/>
        </w:rPr>
      </w:pPr>
    </w:p>
    <w:p w14:paraId="215F0AFA">
      <w:pPr>
        <w:rPr>
          <w:rFonts w:hint="eastAsia" w:ascii="宋体" w:hAnsi="宋体" w:eastAsia="宋体" w:cs="宋体"/>
          <w:color w:val="auto"/>
          <w:sz w:val="24"/>
          <w:highlight w:val="none"/>
        </w:rPr>
      </w:pPr>
    </w:p>
    <w:p w14:paraId="4D0ACED7">
      <w:pPr>
        <w:rPr>
          <w:rFonts w:hint="eastAsia" w:ascii="宋体" w:hAnsi="宋体" w:eastAsia="宋体" w:cs="宋体"/>
          <w:color w:val="auto"/>
          <w:sz w:val="24"/>
          <w:highlight w:val="none"/>
        </w:rPr>
      </w:pPr>
    </w:p>
    <w:p w14:paraId="28F10FCE">
      <w:pPr>
        <w:rPr>
          <w:rFonts w:hint="eastAsia" w:ascii="宋体" w:hAnsi="宋体" w:eastAsia="宋体" w:cs="宋体"/>
          <w:color w:val="auto"/>
          <w:sz w:val="24"/>
          <w:highlight w:val="none"/>
        </w:rPr>
      </w:pPr>
    </w:p>
    <w:p w14:paraId="4FC59D9E">
      <w:pPr>
        <w:rPr>
          <w:rFonts w:hint="eastAsia" w:ascii="宋体" w:hAnsi="宋体" w:eastAsia="宋体" w:cs="宋体"/>
          <w:color w:val="auto"/>
          <w:sz w:val="24"/>
          <w:highlight w:val="none"/>
        </w:rPr>
      </w:pPr>
    </w:p>
    <w:p w14:paraId="0AAAA1D5">
      <w:pPr>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color w:val="auto"/>
          <w:sz w:val="24"/>
          <w:highlight w:val="none"/>
        </w:rPr>
        <w:br w:type="page"/>
      </w:r>
      <w:r>
        <w:rPr>
          <w:rFonts w:hint="eastAsia" w:ascii="宋体" w:hAnsi="宋体" w:eastAsia="宋体" w:cs="宋体"/>
          <w:b/>
          <w:color w:val="auto"/>
          <w:kern w:val="2"/>
          <w:sz w:val="28"/>
          <w:szCs w:val="28"/>
          <w:highlight w:val="none"/>
          <w:lang w:val="en-US" w:eastAsia="zh-CN" w:bidi="ar-SA"/>
        </w:rPr>
        <w:t>不参与围标串标承诺书</w:t>
      </w:r>
    </w:p>
    <w:p w14:paraId="48E74AE5">
      <w:pPr>
        <w:pStyle w:val="10"/>
        <w:rPr>
          <w:rFonts w:hint="eastAsia" w:ascii="宋体" w:hAnsi="宋体" w:eastAsia="宋体" w:cs="宋体"/>
          <w:color w:val="auto"/>
          <w:highlight w:val="none"/>
          <w:lang w:eastAsia="zh-CN"/>
        </w:rPr>
      </w:pPr>
    </w:p>
    <w:p w14:paraId="5B09EC32">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本人作为经授权</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代表，清楚知晓我单位本项目投标活动，对以下事项作出承诺：</w:t>
      </w:r>
    </w:p>
    <w:p w14:paraId="78240B05">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我单位和我本人遵循公开、公平、公正、诚实守信的原则，依法依规参与本项目竞标。</w:t>
      </w:r>
    </w:p>
    <w:p w14:paraId="65F9A579">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我单位和我本人在本项目招投标活动中，未参与围标串标。</w:t>
      </w:r>
    </w:p>
    <w:p w14:paraId="3174F4A8">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我单位如被查实在本项目招标投标活动中存在围标串标行为的，递交</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行为作为实施串通投标违法行为的关键环节，本人承担直接责任人员法律责任，接受相应行政处罚和失信惩戒。</w:t>
      </w:r>
    </w:p>
    <w:p w14:paraId="1E4450B0">
      <w:pPr>
        <w:widowControl/>
        <w:spacing w:line="560" w:lineRule="exact"/>
        <w:jc w:val="center"/>
        <w:rPr>
          <w:rStyle w:val="35"/>
          <w:rFonts w:hint="eastAsia" w:ascii="宋体" w:hAnsi="宋体" w:eastAsia="宋体" w:cs="宋体"/>
          <w:b/>
          <w:color w:val="auto"/>
          <w:kern w:val="2"/>
          <w:szCs w:val="24"/>
          <w:highlight w:val="none"/>
          <w:lang w:val="en-US" w:eastAsia="zh-CN" w:bidi="ar-SA"/>
        </w:rPr>
      </w:pPr>
    </w:p>
    <w:p w14:paraId="43BF40A9">
      <w:pPr>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《不参与围标串标承诺书》签署页</w:t>
      </w:r>
    </w:p>
    <w:p w14:paraId="1B4DB143">
      <w:pPr>
        <w:numPr>
          <w:ilvl w:val="0"/>
          <w:numId w:val="0"/>
        </w:numPr>
        <w:spacing w:line="360" w:lineRule="auto"/>
        <w:ind w:left="21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7D7CEB65">
      <w:pPr>
        <w:pStyle w:val="37"/>
        <w:ind w:left="0" w:leftChars="0" w:firstLine="240" w:firstLineChars="1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标项名称：</w:t>
      </w:r>
      <w:r>
        <w:rPr>
          <w:rFonts w:hint="eastAsia" w:ascii="宋体" w:hAnsi="宋体" w:eastAsia="宋体" w:cs="宋体"/>
          <w:color w:val="auto"/>
          <w:sz w:val="24"/>
          <w:szCs w:val="24"/>
          <w:highlight w:val="none"/>
        </w:rPr>
        <w:t xml:space="preserve">  </w:t>
      </w:r>
    </w:p>
    <w:p w14:paraId="0D06B94D">
      <w:pPr>
        <w:pStyle w:val="37"/>
        <w:ind w:left="0" w:leftChars="0" w:firstLine="240" w:firstLineChars="100"/>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项目编号：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186DEDF8">
      <w:pPr>
        <w:numPr>
          <w:ilvl w:val="0"/>
          <w:numId w:val="0"/>
        </w:numPr>
        <w:spacing w:line="360" w:lineRule="auto"/>
        <w:ind w:left="21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日</w:t>
      </w:r>
    </w:p>
    <w:p w14:paraId="22F31AD7">
      <w:pPr>
        <w:pStyle w:val="10"/>
        <w:rPr>
          <w:rFonts w:hint="eastAsia" w:ascii="宋体" w:hAnsi="宋体" w:eastAsia="宋体" w:cs="宋体"/>
          <w:color w:val="auto"/>
          <w:sz w:val="22"/>
          <w:szCs w:val="22"/>
          <w:highlight w:val="none"/>
          <w:lang w:eastAsia="zh-CN"/>
        </w:rPr>
      </w:pPr>
    </w:p>
    <w:tbl>
      <w:tblPr>
        <w:tblStyle w:val="29"/>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959"/>
        <w:gridCol w:w="3696"/>
      </w:tblGrid>
      <w:tr w14:paraId="5092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4" w:type="dxa"/>
            <w:noWrap w:val="0"/>
            <w:vAlign w:val="center"/>
          </w:tcPr>
          <w:p w14:paraId="16732D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959" w:type="dxa"/>
            <w:noWrap w:val="0"/>
            <w:vAlign w:val="center"/>
          </w:tcPr>
          <w:p w14:paraId="4C6F92D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投标单位名称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盖章</w:t>
            </w:r>
            <w:r>
              <w:rPr>
                <w:rFonts w:hint="eastAsia" w:ascii="宋体" w:hAnsi="宋体" w:cs="宋体"/>
                <w:color w:val="auto"/>
                <w:sz w:val="24"/>
                <w:szCs w:val="24"/>
                <w:highlight w:val="none"/>
                <w:lang w:eastAsia="zh-CN"/>
              </w:rPr>
              <w:t>）</w:t>
            </w:r>
          </w:p>
        </w:tc>
        <w:tc>
          <w:tcPr>
            <w:tcW w:w="3696" w:type="dxa"/>
            <w:noWrap w:val="0"/>
            <w:vAlign w:val="center"/>
          </w:tcPr>
          <w:p w14:paraId="414DA9D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投标单位代表签名</w:t>
            </w:r>
          </w:p>
        </w:tc>
      </w:tr>
      <w:tr w14:paraId="5845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4" w:type="dxa"/>
            <w:noWrap w:val="0"/>
            <w:vAlign w:val="center"/>
          </w:tcPr>
          <w:p w14:paraId="720EFDB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59" w:type="dxa"/>
            <w:noWrap w:val="0"/>
            <w:vAlign w:val="center"/>
          </w:tcPr>
          <w:p w14:paraId="791B0F00">
            <w:pPr>
              <w:jc w:val="center"/>
              <w:rPr>
                <w:rFonts w:hint="eastAsia" w:ascii="宋体" w:hAnsi="宋体" w:eastAsia="宋体" w:cs="宋体"/>
                <w:color w:val="auto"/>
                <w:sz w:val="24"/>
                <w:szCs w:val="24"/>
                <w:highlight w:val="none"/>
              </w:rPr>
            </w:pPr>
          </w:p>
        </w:tc>
        <w:tc>
          <w:tcPr>
            <w:tcW w:w="3696" w:type="dxa"/>
            <w:noWrap w:val="0"/>
            <w:vAlign w:val="center"/>
          </w:tcPr>
          <w:p w14:paraId="2C90F50B">
            <w:pPr>
              <w:jc w:val="center"/>
              <w:rPr>
                <w:rFonts w:hint="eastAsia" w:ascii="宋体" w:hAnsi="宋体" w:eastAsia="宋体" w:cs="宋体"/>
                <w:color w:val="auto"/>
                <w:sz w:val="24"/>
                <w:szCs w:val="24"/>
                <w:highlight w:val="none"/>
              </w:rPr>
            </w:pPr>
          </w:p>
        </w:tc>
      </w:tr>
    </w:tbl>
    <w:p w14:paraId="7CB7444C">
      <w:pPr>
        <w:pStyle w:val="11"/>
        <w:rPr>
          <w:rFonts w:hint="eastAsia"/>
          <w:color w:val="auto"/>
          <w:sz w:val="22"/>
          <w:szCs w:val="21"/>
          <w:highlight w:val="none"/>
          <w:lang w:val="en-US" w:eastAsia="zh-CN"/>
        </w:rPr>
      </w:pPr>
    </w:p>
    <w:p w14:paraId="49721D24">
      <w:pPr>
        <w:rPr>
          <w:rFonts w:hint="eastAsia"/>
          <w:color w:val="auto"/>
          <w:sz w:val="20"/>
          <w:szCs w:val="22"/>
          <w:highlight w:val="none"/>
          <w:lang w:val="en-US" w:eastAsia="zh-CN"/>
        </w:rPr>
      </w:pPr>
    </w:p>
    <w:p w14:paraId="71110FCC">
      <w:pPr>
        <w:pStyle w:val="11"/>
        <w:rPr>
          <w:rFonts w:hint="eastAsia"/>
          <w:color w:val="auto"/>
          <w:sz w:val="22"/>
          <w:szCs w:val="21"/>
          <w:highlight w:val="none"/>
          <w:lang w:val="en-US" w:eastAsia="zh-CN"/>
        </w:rPr>
      </w:pPr>
    </w:p>
    <w:p w14:paraId="5D20A95A">
      <w:pPr>
        <w:rPr>
          <w:rFonts w:hint="eastAsia"/>
          <w:color w:val="auto"/>
          <w:highlight w:val="none"/>
          <w:lang w:val="en-US" w:eastAsia="zh-CN"/>
        </w:rPr>
      </w:pPr>
    </w:p>
    <w:p w14:paraId="7E7EF385">
      <w:pPr>
        <w:pStyle w:val="11"/>
        <w:rPr>
          <w:rFonts w:hint="eastAsia"/>
          <w:color w:val="auto"/>
          <w:highlight w:val="none"/>
          <w:lang w:val="en-US" w:eastAsia="zh-CN"/>
        </w:rPr>
      </w:pPr>
    </w:p>
    <w:p w14:paraId="518410BD">
      <w:pPr>
        <w:rPr>
          <w:rFonts w:hint="eastAsia"/>
          <w:color w:val="auto"/>
          <w:highlight w:val="none"/>
          <w:lang w:val="en-US" w:eastAsia="zh-CN"/>
        </w:rPr>
      </w:pPr>
    </w:p>
    <w:p w14:paraId="5980B3CB">
      <w:pPr>
        <w:pStyle w:val="11"/>
        <w:rPr>
          <w:rFonts w:hint="eastAsia"/>
          <w:color w:val="auto"/>
          <w:highlight w:val="none"/>
          <w:lang w:val="en-US" w:eastAsia="zh-CN"/>
        </w:rPr>
      </w:pPr>
    </w:p>
    <w:p w14:paraId="2D2F011A">
      <w:pPr>
        <w:rPr>
          <w:rFonts w:hint="eastAsia"/>
          <w:color w:val="auto"/>
          <w:highlight w:val="none"/>
          <w:lang w:val="en-US" w:eastAsia="zh-CN"/>
        </w:rPr>
      </w:pPr>
    </w:p>
    <w:p w14:paraId="70D571A0">
      <w:pPr>
        <w:pStyle w:val="11"/>
        <w:rPr>
          <w:rFonts w:hint="eastAsia"/>
          <w:color w:val="auto"/>
          <w:highlight w:val="none"/>
          <w:lang w:val="en-US" w:eastAsia="zh-CN"/>
        </w:rPr>
      </w:pPr>
    </w:p>
    <w:p w14:paraId="647B8E42">
      <w:pPr>
        <w:rPr>
          <w:rFonts w:hint="eastAsia"/>
          <w:color w:val="auto"/>
          <w:highlight w:val="none"/>
          <w:lang w:val="en-US" w:eastAsia="zh-CN"/>
        </w:rPr>
      </w:pPr>
    </w:p>
    <w:p w14:paraId="6D919C1A">
      <w:pPr>
        <w:pStyle w:val="11"/>
        <w:rPr>
          <w:rFonts w:hint="eastAsia"/>
          <w:color w:val="auto"/>
          <w:highlight w:val="none"/>
          <w:lang w:val="en-US" w:eastAsia="zh-CN"/>
        </w:rPr>
      </w:pPr>
    </w:p>
    <w:p w14:paraId="1CECCAAA">
      <w:pPr>
        <w:rPr>
          <w:rFonts w:hint="eastAsia"/>
          <w:color w:val="auto"/>
          <w:highlight w:val="none"/>
          <w:lang w:val="en-US" w:eastAsia="zh-CN"/>
        </w:rPr>
      </w:pPr>
    </w:p>
    <w:p w14:paraId="6EC8F11F">
      <w:pPr>
        <w:pStyle w:val="11"/>
        <w:rPr>
          <w:rFonts w:hint="eastAsia"/>
          <w:color w:val="auto"/>
          <w:highlight w:val="none"/>
          <w:lang w:val="en-US" w:eastAsia="zh-CN"/>
        </w:rPr>
      </w:pPr>
    </w:p>
    <w:p w14:paraId="15DF006A">
      <w:pPr>
        <w:rPr>
          <w:rFonts w:hint="eastAsia"/>
          <w:color w:val="auto"/>
          <w:highlight w:val="none"/>
          <w:lang w:val="en-US" w:eastAsia="zh-CN"/>
        </w:rPr>
      </w:pPr>
    </w:p>
    <w:p w14:paraId="6E590B45">
      <w:pPr>
        <w:spacing w:line="360" w:lineRule="auto"/>
        <w:jc w:val="center"/>
        <w:rPr>
          <w:rFonts w:hint="eastAsia" w:ascii="宋体" w:hAnsi="宋体" w:eastAsia="宋体" w:cs="宋体"/>
          <w:b/>
          <w:color w:val="auto"/>
          <w:sz w:val="28"/>
          <w:szCs w:val="28"/>
          <w:highlight w:val="none"/>
          <w:lang w:val="en-US" w:eastAsia="zh-CN"/>
        </w:rPr>
      </w:pPr>
    </w:p>
    <w:p w14:paraId="44622E7D">
      <w:pPr>
        <w:spacing w:line="360" w:lineRule="auto"/>
        <w:jc w:val="center"/>
        <w:rPr>
          <w:rFonts w:hint="eastAsia" w:ascii="宋体" w:hAnsi="宋体" w:eastAsia="宋体" w:cs="宋体"/>
          <w:b/>
          <w:color w:val="auto"/>
          <w:sz w:val="28"/>
          <w:szCs w:val="28"/>
          <w:highlight w:val="none"/>
          <w:lang w:val="en-US" w:eastAsia="zh-CN"/>
        </w:rPr>
      </w:pPr>
    </w:p>
    <w:p w14:paraId="63B0B4BE">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00BED3D8">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近三年项目业绩一览表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2"/>
        <w:gridCol w:w="1493"/>
        <w:gridCol w:w="1329"/>
        <w:gridCol w:w="1497"/>
        <w:gridCol w:w="1403"/>
        <w:gridCol w:w="1422"/>
        <w:gridCol w:w="1440"/>
      </w:tblGrid>
      <w:tr w14:paraId="7033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172" w:type="dxa"/>
            <w:noWrap w:val="0"/>
            <w:vAlign w:val="center"/>
          </w:tcPr>
          <w:p w14:paraId="14A429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93" w:type="dxa"/>
            <w:noWrap w:val="0"/>
            <w:vAlign w:val="center"/>
          </w:tcPr>
          <w:p w14:paraId="2E5F1F4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329" w:type="dxa"/>
            <w:noWrap w:val="0"/>
            <w:vAlign w:val="center"/>
          </w:tcPr>
          <w:p w14:paraId="2A84DB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招标单位</w:t>
            </w:r>
          </w:p>
        </w:tc>
        <w:tc>
          <w:tcPr>
            <w:tcW w:w="1497" w:type="dxa"/>
            <w:noWrap w:val="0"/>
            <w:vAlign w:val="center"/>
          </w:tcPr>
          <w:p w14:paraId="2677268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1403" w:type="dxa"/>
            <w:noWrap w:val="0"/>
            <w:vAlign w:val="center"/>
          </w:tcPr>
          <w:p w14:paraId="14A00F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c>
          <w:tcPr>
            <w:tcW w:w="1422" w:type="dxa"/>
            <w:noWrap w:val="0"/>
            <w:vAlign w:val="center"/>
          </w:tcPr>
          <w:p w14:paraId="4F31EB4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440" w:type="dxa"/>
            <w:noWrap w:val="0"/>
            <w:vAlign w:val="center"/>
          </w:tcPr>
          <w:p w14:paraId="71763E5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7408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0CACC23F">
            <w:pPr>
              <w:spacing w:line="360" w:lineRule="auto"/>
              <w:jc w:val="center"/>
              <w:rPr>
                <w:rFonts w:hint="eastAsia" w:ascii="宋体" w:hAnsi="宋体" w:eastAsia="宋体" w:cs="宋体"/>
                <w:color w:val="auto"/>
                <w:sz w:val="24"/>
                <w:szCs w:val="24"/>
                <w:highlight w:val="none"/>
              </w:rPr>
            </w:pPr>
          </w:p>
        </w:tc>
        <w:tc>
          <w:tcPr>
            <w:tcW w:w="1493" w:type="dxa"/>
            <w:noWrap w:val="0"/>
            <w:vAlign w:val="center"/>
          </w:tcPr>
          <w:p w14:paraId="0A52FF1B">
            <w:pPr>
              <w:spacing w:line="360" w:lineRule="auto"/>
              <w:jc w:val="center"/>
              <w:rPr>
                <w:rFonts w:hint="eastAsia" w:ascii="宋体" w:hAnsi="宋体" w:eastAsia="宋体" w:cs="宋体"/>
                <w:color w:val="auto"/>
                <w:sz w:val="24"/>
                <w:szCs w:val="24"/>
                <w:highlight w:val="none"/>
              </w:rPr>
            </w:pPr>
          </w:p>
        </w:tc>
        <w:tc>
          <w:tcPr>
            <w:tcW w:w="1329" w:type="dxa"/>
            <w:noWrap w:val="0"/>
            <w:vAlign w:val="top"/>
          </w:tcPr>
          <w:p w14:paraId="7FD2A1B6">
            <w:pPr>
              <w:spacing w:line="360" w:lineRule="auto"/>
              <w:jc w:val="center"/>
              <w:rPr>
                <w:rFonts w:hint="eastAsia" w:ascii="宋体" w:hAnsi="宋体" w:eastAsia="宋体" w:cs="宋体"/>
                <w:color w:val="auto"/>
                <w:sz w:val="24"/>
                <w:szCs w:val="24"/>
                <w:highlight w:val="none"/>
              </w:rPr>
            </w:pPr>
          </w:p>
        </w:tc>
        <w:tc>
          <w:tcPr>
            <w:tcW w:w="1497" w:type="dxa"/>
            <w:noWrap w:val="0"/>
            <w:vAlign w:val="center"/>
          </w:tcPr>
          <w:p w14:paraId="4E735A0D">
            <w:pPr>
              <w:spacing w:line="360" w:lineRule="auto"/>
              <w:jc w:val="center"/>
              <w:rPr>
                <w:rFonts w:hint="eastAsia" w:ascii="宋体" w:hAnsi="宋体" w:eastAsia="宋体" w:cs="宋体"/>
                <w:color w:val="auto"/>
                <w:sz w:val="24"/>
                <w:szCs w:val="24"/>
                <w:highlight w:val="none"/>
              </w:rPr>
            </w:pPr>
          </w:p>
        </w:tc>
        <w:tc>
          <w:tcPr>
            <w:tcW w:w="1403" w:type="dxa"/>
            <w:noWrap w:val="0"/>
            <w:vAlign w:val="center"/>
          </w:tcPr>
          <w:p w14:paraId="064003C2">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42983EFC">
            <w:pPr>
              <w:spacing w:line="360" w:lineRule="auto"/>
              <w:jc w:val="center"/>
              <w:rPr>
                <w:rFonts w:hint="eastAsia" w:ascii="宋体" w:hAnsi="宋体" w:eastAsia="宋体" w:cs="宋体"/>
                <w:color w:val="auto"/>
                <w:sz w:val="24"/>
                <w:szCs w:val="24"/>
                <w:highlight w:val="none"/>
              </w:rPr>
            </w:pPr>
          </w:p>
        </w:tc>
        <w:tc>
          <w:tcPr>
            <w:tcW w:w="1440" w:type="dxa"/>
            <w:noWrap w:val="0"/>
            <w:vAlign w:val="center"/>
          </w:tcPr>
          <w:p w14:paraId="657C1398">
            <w:pPr>
              <w:spacing w:line="360" w:lineRule="auto"/>
              <w:jc w:val="center"/>
              <w:rPr>
                <w:rFonts w:hint="eastAsia" w:ascii="宋体" w:hAnsi="宋体" w:eastAsia="宋体" w:cs="宋体"/>
                <w:color w:val="auto"/>
                <w:sz w:val="24"/>
                <w:szCs w:val="24"/>
                <w:highlight w:val="none"/>
              </w:rPr>
            </w:pPr>
          </w:p>
        </w:tc>
      </w:tr>
      <w:tr w14:paraId="15EF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228DC82A">
            <w:pPr>
              <w:spacing w:line="360" w:lineRule="auto"/>
              <w:jc w:val="center"/>
              <w:rPr>
                <w:rFonts w:hint="eastAsia" w:ascii="宋体" w:hAnsi="宋体" w:eastAsia="宋体" w:cs="宋体"/>
                <w:color w:val="auto"/>
                <w:sz w:val="24"/>
                <w:szCs w:val="24"/>
                <w:highlight w:val="none"/>
              </w:rPr>
            </w:pPr>
          </w:p>
        </w:tc>
        <w:tc>
          <w:tcPr>
            <w:tcW w:w="1493" w:type="dxa"/>
            <w:noWrap w:val="0"/>
            <w:vAlign w:val="center"/>
          </w:tcPr>
          <w:p w14:paraId="25DBF312">
            <w:pPr>
              <w:spacing w:line="360" w:lineRule="auto"/>
              <w:jc w:val="center"/>
              <w:rPr>
                <w:rFonts w:hint="eastAsia" w:ascii="宋体" w:hAnsi="宋体" w:eastAsia="宋体" w:cs="宋体"/>
                <w:color w:val="auto"/>
                <w:sz w:val="24"/>
                <w:szCs w:val="24"/>
                <w:highlight w:val="none"/>
              </w:rPr>
            </w:pPr>
          </w:p>
        </w:tc>
        <w:tc>
          <w:tcPr>
            <w:tcW w:w="1329" w:type="dxa"/>
            <w:noWrap w:val="0"/>
            <w:vAlign w:val="top"/>
          </w:tcPr>
          <w:p w14:paraId="08378308">
            <w:pPr>
              <w:spacing w:line="360" w:lineRule="auto"/>
              <w:jc w:val="center"/>
              <w:rPr>
                <w:rFonts w:hint="eastAsia" w:ascii="宋体" w:hAnsi="宋体" w:eastAsia="宋体" w:cs="宋体"/>
                <w:color w:val="auto"/>
                <w:sz w:val="24"/>
                <w:szCs w:val="24"/>
                <w:highlight w:val="none"/>
              </w:rPr>
            </w:pPr>
          </w:p>
        </w:tc>
        <w:tc>
          <w:tcPr>
            <w:tcW w:w="1497" w:type="dxa"/>
            <w:noWrap w:val="0"/>
            <w:vAlign w:val="center"/>
          </w:tcPr>
          <w:p w14:paraId="1D683CCB">
            <w:pPr>
              <w:spacing w:line="360" w:lineRule="auto"/>
              <w:jc w:val="center"/>
              <w:rPr>
                <w:rFonts w:hint="eastAsia" w:ascii="宋体" w:hAnsi="宋体" w:eastAsia="宋体" w:cs="宋体"/>
                <w:color w:val="auto"/>
                <w:sz w:val="24"/>
                <w:szCs w:val="24"/>
                <w:highlight w:val="none"/>
              </w:rPr>
            </w:pPr>
          </w:p>
        </w:tc>
        <w:tc>
          <w:tcPr>
            <w:tcW w:w="1403" w:type="dxa"/>
            <w:noWrap w:val="0"/>
            <w:vAlign w:val="center"/>
          </w:tcPr>
          <w:p w14:paraId="75D99678">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0B376266">
            <w:pPr>
              <w:spacing w:line="360" w:lineRule="auto"/>
              <w:jc w:val="center"/>
              <w:rPr>
                <w:rFonts w:hint="eastAsia" w:ascii="宋体" w:hAnsi="宋体" w:eastAsia="宋体" w:cs="宋体"/>
                <w:color w:val="auto"/>
                <w:sz w:val="24"/>
                <w:szCs w:val="24"/>
                <w:highlight w:val="none"/>
              </w:rPr>
            </w:pPr>
          </w:p>
        </w:tc>
        <w:tc>
          <w:tcPr>
            <w:tcW w:w="1440" w:type="dxa"/>
            <w:noWrap w:val="0"/>
            <w:vAlign w:val="center"/>
          </w:tcPr>
          <w:p w14:paraId="11CC6287">
            <w:pPr>
              <w:spacing w:line="360" w:lineRule="auto"/>
              <w:jc w:val="center"/>
              <w:rPr>
                <w:rFonts w:hint="eastAsia" w:ascii="宋体" w:hAnsi="宋体" w:eastAsia="宋体" w:cs="宋体"/>
                <w:color w:val="auto"/>
                <w:sz w:val="24"/>
                <w:szCs w:val="24"/>
                <w:highlight w:val="none"/>
              </w:rPr>
            </w:pPr>
          </w:p>
        </w:tc>
      </w:tr>
      <w:tr w14:paraId="319D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766DCF24">
            <w:pPr>
              <w:spacing w:line="360" w:lineRule="auto"/>
              <w:jc w:val="center"/>
              <w:rPr>
                <w:rFonts w:hint="eastAsia" w:ascii="宋体" w:hAnsi="宋体" w:eastAsia="宋体" w:cs="宋体"/>
                <w:color w:val="auto"/>
                <w:sz w:val="24"/>
                <w:szCs w:val="24"/>
                <w:highlight w:val="none"/>
              </w:rPr>
            </w:pPr>
          </w:p>
        </w:tc>
        <w:tc>
          <w:tcPr>
            <w:tcW w:w="1493" w:type="dxa"/>
            <w:noWrap w:val="0"/>
            <w:vAlign w:val="center"/>
          </w:tcPr>
          <w:p w14:paraId="582E458E">
            <w:pPr>
              <w:spacing w:line="360" w:lineRule="auto"/>
              <w:jc w:val="center"/>
              <w:rPr>
                <w:rFonts w:hint="eastAsia" w:ascii="宋体" w:hAnsi="宋体" w:eastAsia="宋体" w:cs="宋体"/>
                <w:color w:val="auto"/>
                <w:sz w:val="24"/>
                <w:szCs w:val="24"/>
                <w:highlight w:val="none"/>
              </w:rPr>
            </w:pPr>
          </w:p>
        </w:tc>
        <w:tc>
          <w:tcPr>
            <w:tcW w:w="1329" w:type="dxa"/>
            <w:noWrap w:val="0"/>
            <w:vAlign w:val="top"/>
          </w:tcPr>
          <w:p w14:paraId="71824AB9">
            <w:pPr>
              <w:spacing w:line="360" w:lineRule="auto"/>
              <w:jc w:val="center"/>
              <w:rPr>
                <w:rFonts w:hint="eastAsia" w:ascii="宋体" w:hAnsi="宋体" w:eastAsia="宋体" w:cs="宋体"/>
                <w:color w:val="auto"/>
                <w:sz w:val="24"/>
                <w:szCs w:val="24"/>
                <w:highlight w:val="none"/>
              </w:rPr>
            </w:pPr>
          </w:p>
        </w:tc>
        <w:tc>
          <w:tcPr>
            <w:tcW w:w="1497" w:type="dxa"/>
            <w:noWrap w:val="0"/>
            <w:vAlign w:val="center"/>
          </w:tcPr>
          <w:p w14:paraId="7744F370">
            <w:pPr>
              <w:spacing w:line="360" w:lineRule="auto"/>
              <w:jc w:val="center"/>
              <w:rPr>
                <w:rFonts w:hint="eastAsia" w:ascii="宋体" w:hAnsi="宋体" w:eastAsia="宋体" w:cs="宋体"/>
                <w:color w:val="auto"/>
                <w:sz w:val="24"/>
                <w:szCs w:val="24"/>
                <w:highlight w:val="none"/>
              </w:rPr>
            </w:pPr>
          </w:p>
        </w:tc>
        <w:tc>
          <w:tcPr>
            <w:tcW w:w="1403" w:type="dxa"/>
            <w:noWrap w:val="0"/>
            <w:vAlign w:val="center"/>
          </w:tcPr>
          <w:p w14:paraId="75BDA5E3">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6BB345FE">
            <w:pPr>
              <w:spacing w:line="360" w:lineRule="auto"/>
              <w:jc w:val="center"/>
              <w:rPr>
                <w:rFonts w:hint="eastAsia" w:ascii="宋体" w:hAnsi="宋体" w:eastAsia="宋体" w:cs="宋体"/>
                <w:color w:val="auto"/>
                <w:sz w:val="24"/>
                <w:szCs w:val="24"/>
                <w:highlight w:val="none"/>
              </w:rPr>
            </w:pPr>
          </w:p>
        </w:tc>
        <w:tc>
          <w:tcPr>
            <w:tcW w:w="1440" w:type="dxa"/>
            <w:noWrap w:val="0"/>
            <w:vAlign w:val="center"/>
          </w:tcPr>
          <w:p w14:paraId="642FC427">
            <w:pPr>
              <w:spacing w:line="360" w:lineRule="auto"/>
              <w:jc w:val="center"/>
              <w:rPr>
                <w:rFonts w:hint="eastAsia" w:ascii="宋体" w:hAnsi="宋体" w:eastAsia="宋体" w:cs="宋体"/>
                <w:color w:val="auto"/>
                <w:sz w:val="24"/>
                <w:szCs w:val="24"/>
                <w:highlight w:val="none"/>
              </w:rPr>
            </w:pPr>
          </w:p>
        </w:tc>
      </w:tr>
      <w:tr w14:paraId="5AA3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1172" w:type="dxa"/>
            <w:noWrap w:val="0"/>
            <w:vAlign w:val="top"/>
          </w:tcPr>
          <w:p w14:paraId="74479571">
            <w:pPr>
              <w:spacing w:line="360" w:lineRule="auto"/>
              <w:jc w:val="center"/>
              <w:rPr>
                <w:rFonts w:hint="eastAsia" w:ascii="宋体" w:hAnsi="宋体" w:eastAsia="宋体" w:cs="宋体"/>
                <w:color w:val="auto"/>
                <w:sz w:val="24"/>
                <w:szCs w:val="24"/>
                <w:highlight w:val="none"/>
              </w:rPr>
            </w:pPr>
          </w:p>
        </w:tc>
        <w:tc>
          <w:tcPr>
            <w:tcW w:w="1493" w:type="dxa"/>
            <w:noWrap w:val="0"/>
            <w:vAlign w:val="center"/>
          </w:tcPr>
          <w:p w14:paraId="37F9DD82">
            <w:pPr>
              <w:spacing w:line="360" w:lineRule="auto"/>
              <w:jc w:val="center"/>
              <w:rPr>
                <w:rFonts w:hint="eastAsia" w:ascii="宋体" w:hAnsi="宋体" w:eastAsia="宋体" w:cs="宋体"/>
                <w:color w:val="auto"/>
                <w:sz w:val="24"/>
                <w:szCs w:val="24"/>
                <w:highlight w:val="none"/>
              </w:rPr>
            </w:pPr>
          </w:p>
        </w:tc>
        <w:tc>
          <w:tcPr>
            <w:tcW w:w="1329" w:type="dxa"/>
            <w:noWrap w:val="0"/>
            <w:vAlign w:val="top"/>
          </w:tcPr>
          <w:p w14:paraId="56BC5890">
            <w:pPr>
              <w:spacing w:line="360" w:lineRule="auto"/>
              <w:jc w:val="center"/>
              <w:rPr>
                <w:rFonts w:hint="eastAsia" w:ascii="宋体" w:hAnsi="宋体" w:eastAsia="宋体" w:cs="宋体"/>
                <w:color w:val="auto"/>
                <w:sz w:val="24"/>
                <w:szCs w:val="24"/>
                <w:highlight w:val="none"/>
              </w:rPr>
            </w:pPr>
          </w:p>
        </w:tc>
        <w:tc>
          <w:tcPr>
            <w:tcW w:w="1497" w:type="dxa"/>
            <w:noWrap w:val="0"/>
            <w:vAlign w:val="center"/>
          </w:tcPr>
          <w:p w14:paraId="031E55F9">
            <w:pPr>
              <w:spacing w:line="360" w:lineRule="auto"/>
              <w:jc w:val="center"/>
              <w:rPr>
                <w:rFonts w:hint="eastAsia" w:ascii="宋体" w:hAnsi="宋体" w:eastAsia="宋体" w:cs="宋体"/>
                <w:color w:val="auto"/>
                <w:sz w:val="24"/>
                <w:szCs w:val="24"/>
                <w:highlight w:val="none"/>
              </w:rPr>
            </w:pPr>
          </w:p>
        </w:tc>
        <w:tc>
          <w:tcPr>
            <w:tcW w:w="1403" w:type="dxa"/>
            <w:noWrap w:val="0"/>
            <w:vAlign w:val="center"/>
          </w:tcPr>
          <w:p w14:paraId="15A61F16">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59E7C04E">
            <w:pPr>
              <w:spacing w:line="360" w:lineRule="auto"/>
              <w:jc w:val="center"/>
              <w:rPr>
                <w:rFonts w:hint="eastAsia" w:ascii="宋体" w:hAnsi="宋体" w:eastAsia="宋体" w:cs="宋体"/>
                <w:color w:val="auto"/>
                <w:sz w:val="24"/>
                <w:szCs w:val="24"/>
                <w:highlight w:val="none"/>
              </w:rPr>
            </w:pPr>
          </w:p>
        </w:tc>
        <w:tc>
          <w:tcPr>
            <w:tcW w:w="1440" w:type="dxa"/>
            <w:noWrap w:val="0"/>
            <w:vAlign w:val="center"/>
          </w:tcPr>
          <w:p w14:paraId="0931B2A7">
            <w:pPr>
              <w:spacing w:line="360" w:lineRule="auto"/>
              <w:jc w:val="center"/>
              <w:rPr>
                <w:rFonts w:hint="eastAsia" w:ascii="宋体" w:hAnsi="宋体" w:eastAsia="宋体" w:cs="宋体"/>
                <w:color w:val="auto"/>
                <w:sz w:val="24"/>
                <w:szCs w:val="24"/>
                <w:highlight w:val="none"/>
              </w:rPr>
            </w:pPr>
          </w:p>
        </w:tc>
      </w:tr>
      <w:tr w14:paraId="5D4D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6021FCE9">
            <w:pPr>
              <w:spacing w:line="360" w:lineRule="auto"/>
              <w:jc w:val="center"/>
              <w:rPr>
                <w:rFonts w:hint="eastAsia" w:ascii="宋体" w:hAnsi="宋体" w:eastAsia="宋体" w:cs="宋体"/>
                <w:color w:val="auto"/>
                <w:sz w:val="24"/>
                <w:szCs w:val="24"/>
                <w:highlight w:val="none"/>
              </w:rPr>
            </w:pPr>
          </w:p>
        </w:tc>
        <w:tc>
          <w:tcPr>
            <w:tcW w:w="1493" w:type="dxa"/>
            <w:noWrap w:val="0"/>
            <w:vAlign w:val="center"/>
          </w:tcPr>
          <w:p w14:paraId="2B87FA27">
            <w:pPr>
              <w:spacing w:line="360" w:lineRule="auto"/>
              <w:jc w:val="center"/>
              <w:rPr>
                <w:rFonts w:hint="eastAsia" w:ascii="宋体" w:hAnsi="宋体" w:eastAsia="宋体" w:cs="宋体"/>
                <w:color w:val="auto"/>
                <w:sz w:val="24"/>
                <w:szCs w:val="24"/>
                <w:highlight w:val="none"/>
              </w:rPr>
            </w:pPr>
          </w:p>
        </w:tc>
        <w:tc>
          <w:tcPr>
            <w:tcW w:w="1329" w:type="dxa"/>
            <w:noWrap w:val="0"/>
            <w:vAlign w:val="top"/>
          </w:tcPr>
          <w:p w14:paraId="17E2FCAF">
            <w:pPr>
              <w:spacing w:line="360" w:lineRule="auto"/>
              <w:jc w:val="center"/>
              <w:rPr>
                <w:rFonts w:hint="eastAsia" w:ascii="宋体" w:hAnsi="宋体" w:eastAsia="宋体" w:cs="宋体"/>
                <w:color w:val="auto"/>
                <w:sz w:val="24"/>
                <w:szCs w:val="24"/>
                <w:highlight w:val="none"/>
              </w:rPr>
            </w:pPr>
          </w:p>
        </w:tc>
        <w:tc>
          <w:tcPr>
            <w:tcW w:w="1497" w:type="dxa"/>
            <w:noWrap w:val="0"/>
            <w:vAlign w:val="center"/>
          </w:tcPr>
          <w:p w14:paraId="1623721D">
            <w:pPr>
              <w:spacing w:line="360" w:lineRule="auto"/>
              <w:jc w:val="center"/>
              <w:rPr>
                <w:rFonts w:hint="eastAsia" w:ascii="宋体" w:hAnsi="宋体" w:eastAsia="宋体" w:cs="宋体"/>
                <w:color w:val="auto"/>
                <w:sz w:val="24"/>
                <w:szCs w:val="24"/>
                <w:highlight w:val="none"/>
              </w:rPr>
            </w:pPr>
          </w:p>
        </w:tc>
        <w:tc>
          <w:tcPr>
            <w:tcW w:w="1403" w:type="dxa"/>
            <w:noWrap w:val="0"/>
            <w:vAlign w:val="center"/>
          </w:tcPr>
          <w:p w14:paraId="5C634CFA">
            <w:pPr>
              <w:spacing w:line="360" w:lineRule="auto"/>
              <w:jc w:val="center"/>
              <w:rPr>
                <w:rFonts w:hint="eastAsia" w:ascii="宋体" w:hAnsi="宋体" w:eastAsia="宋体" w:cs="宋体"/>
                <w:color w:val="auto"/>
                <w:sz w:val="24"/>
                <w:szCs w:val="24"/>
                <w:highlight w:val="none"/>
              </w:rPr>
            </w:pPr>
          </w:p>
        </w:tc>
        <w:tc>
          <w:tcPr>
            <w:tcW w:w="1422" w:type="dxa"/>
            <w:noWrap w:val="0"/>
            <w:vAlign w:val="center"/>
          </w:tcPr>
          <w:p w14:paraId="2751E7EB">
            <w:pPr>
              <w:spacing w:line="360" w:lineRule="auto"/>
              <w:jc w:val="center"/>
              <w:rPr>
                <w:rFonts w:hint="eastAsia" w:ascii="宋体" w:hAnsi="宋体" w:eastAsia="宋体" w:cs="宋体"/>
                <w:color w:val="auto"/>
                <w:sz w:val="24"/>
                <w:szCs w:val="24"/>
                <w:highlight w:val="none"/>
              </w:rPr>
            </w:pPr>
          </w:p>
        </w:tc>
        <w:tc>
          <w:tcPr>
            <w:tcW w:w="1440" w:type="dxa"/>
            <w:noWrap w:val="0"/>
            <w:vAlign w:val="center"/>
          </w:tcPr>
          <w:p w14:paraId="20A270F5">
            <w:pPr>
              <w:spacing w:line="360" w:lineRule="auto"/>
              <w:jc w:val="center"/>
              <w:rPr>
                <w:rFonts w:hint="eastAsia" w:ascii="宋体" w:hAnsi="宋体" w:eastAsia="宋体" w:cs="宋体"/>
                <w:color w:val="auto"/>
                <w:sz w:val="24"/>
                <w:szCs w:val="24"/>
                <w:highlight w:val="none"/>
              </w:rPr>
            </w:pPr>
          </w:p>
        </w:tc>
      </w:tr>
    </w:tbl>
    <w:p w14:paraId="0419E78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须附业绩合同或</w:t>
      </w:r>
      <w:r>
        <w:rPr>
          <w:rFonts w:hint="eastAsia" w:ascii="宋体" w:hAnsi="宋体" w:cs="宋体"/>
          <w:color w:val="auto"/>
          <w:sz w:val="24"/>
          <w:szCs w:val="24"/>
          <w:highlight w:val="none"/>
          <w:lang w:val="en-US" w:eastAsia="zh-CN"/>
        </w:rPr>
        <w:t>中标/成交</w:t>
      </w:r>
      <w:r>
        <w:rPr>
          <w:rFonts w:hint="eastAsia" w:ascii="宋体" w:hAnsi="宋体" w:cs="宋体"/>
          <w:color w:val="auto"/>
          <w:sz w:val="24"/>
          <w:szCs w:val="24"/>
          <w:highlight w:val="none"/>
          <w:lang w:eastAsia="zh-CN"/>
        </w:rPr>
        <w:t>通知书</w:t>
      </w:r>
      <w:r>
        <w:rPr>
          <w:rFonts w:hint="eastAsia" w:ascii="宋体" w:hAnsi="宋体" w:eastAsia="宋体" w:cs="宋体"/>
          <w:color w:val="auto"/>
          <w:sz w:val="24"/>
          <w:szCs w:val="24"/>
          <w:highlight w:val="none"/>
        </w:rPr>
        <w:t>复印件（加盖单位公章）。</w:t>
      </w:r>
    </w:p>
    <w:p w14:paraId="3F5761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2、近三年业绩指从20</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7月</w:t>
      </w:r>
      <w:r>
        <w:rPr>
          <w:rFonts w:hint="eastAsia" w:ascii="宋体" w:hAnsi="宋体" w:eastAsia="宋体" w:cs="宋体"/>
          <w:color w:val="auto"/>
          <w:sz w:val="24"/>
          <w:szCs w:val="24"/>
          <w:highlight w:val="none"/>
          <w:lang w:val="en-US" w:eastAsia="zh-CN"/>
        </w:rPr>
        <w:t>至今类似项目业绩一览表</w:t>
      </w:r>
    </w:p>
    <w:p w14:paraId="5B53DBCB">
      <w:pPr>
        <w:spacing w:line="360" w:lineRule="auto"/>
        <w:ind w:right="105" w:rightChars="50"/>
        <w:rPr>
          <w:rFonts w:hint="eastAsia" w:ascii="宋体" w:hAnsi="宋体" w:eastAsia="宋体" w:cs="宋体"/>
          <w:color w:val="auto"/>
          <w:sz w:val="24"/>
          <w:szCs w:val="24"/>
          <w:highlight w:val="none"/>
          <w:lang w:val="en-US" w:eastAsia="zh-CN"/>
        </w:rPr>
      </w:pPr>
    </w:p>
    <w:p w14:paraId="3CDB2F3E">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03478C">
      <w:pPr>
        <w:spacing w:line="360" w:lineRule="auto"/>
        <w:jc w:val="left"/>
        <w:rPr>
          <w:rFonts w:hint="eastAsia" w:ascii="宋体" w:hAnsi="宋体" w:eastAsia="宋体" w:cs="宋体"/>
          <w:b/>
          <w:color w:val="auto"/>
          <w:sz w:val="28"/>
          <w:szCs w:val="28"/>
          <w:highlight w:val="none"/>
          <w:lang w:val="en-US" w:eastAsia="zh-CN"/>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693E6F3A">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48CBEBAA">
      <w:pPr>
        <w:spacing w:line="360" w:lineRule="auto"/>
        <w:jc w:val="center"/>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9</w:t>
      </w:r>
      <w:r>
        <w:rPr>
          <w:rFonts w:hint="eastAsia" w:ascii="宋体" w:hAnsi="宋体" w:eastAsia="宋体" w:cs="宋体"/>
          <w:b/>
          <w:color w:val="auto"/>
          <w:sz w:val="28"/>
          <w:szCs w:val="28"/>
          <w:highlight w:val="none"/>
          <w:lang w:val="en-US" w:eastAsia="zh-CN"/>
        </w:rPr>
        <w:t>）配送车辆</w:t>
      </w:r>
    </w:p>
    <w:p w14:paraId="3C4906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（格式自拟）</w:t>
      </w:r>
    </w:p>
    <w:p w14:paraId="61CBE304">
      <w:pPr>
        <w:spacing w:line="360" w:lineRule="auto"/>
        <w:jc w:val="center"/>
        <w:rPr>
          <w:rFonts w:hint="eastAsia" w:ascii="宋体" w:hAnsi="宋体" w:eastAsia="宋体" w:cs="宋体"/>
          <w:b/>
          <w:color w:val="auto"/>
          <w:sz w:val="28"/>
          <w:szCs w:val="28"/>
          <w:highlight w:val="none"/>
          <w:lang w:val="en-US" w:eastAsia="zh-CN"/>
        </w:rPr>
      </w:pPr>
    </w:p>
    <w:p w14:paraId="5DDFB8E6">
      <w:pPr>
        <w:pStyle w:val="13"/>
        <w:rPr>
          <w:rFonts w:hint="eastAsia" w:ascii="宋体" w:hAnsi="宋体" w:eastAsia="宋体" w:cs="宋体"/>
          <w:b/>
          <w:color w:val="auto"/>
          <w:sz w:val="28"/>
          <w:szCs w:val="28"/>
          <w:highlight w:val="none"/>
          <w:lang w:val="en-US" w:eastAsia="zh-CN"/>
        </w:rPr>
      </w:pPr>
    </w:p>
    <w:p w14:paraId="274443E8">
      <w:pPr>
        <w:pStyle w:val="14"/>
        <w:rPr>
          <w:rFonts w:hint="eastAsia" w:ascii="宋体" w:hAnsi="宋体" w:eastAsia="宋体" w:cs="宋体"/>
          <w:b/>
          <w:color w:val="auto"/>
          <w:sz w:val="28"/>
          <w:szCs w:val="28"/>
          <w:highlight w:val="none"/>
          <w:lang w:val="en-US" w:eastAsia="zh-CN"/>
        </w:rPr>
      </w:pPr>
    </w:p>
    <w:p w14:paraId="45289E27">
      <w:pPr>
        <w:pStyle w:val="14"/>
        <w:rPr>
          <w:rFonts w:hint="eastAsia" w:ascii="宋体" w:hAnsi="宋体" w:eastAsia="宋体" w:cs="宋体"/>
          <w:b/>
          <w:color w:val="auto"/>
          <w:sz w:val="28"/>
          <w:szCs w:val="28"/>
          <w:highlight w:val="none"/>
          <w:lang w:val="en-US" w:eastAsia="zh-CN"/>
        </w:rPr>
      </w:pPr>
    </w:p>
    <w:p w14:paraId="1438B8D9">
      <w:pPr>
        <w:pStyle w:val="14"/>
        <w:rPr>
          <w:rFonts w:hint="eastAsia" w:ascii="宋体" w:hAnsi="宋体" w:eastAsia="宋体" w:cs="宋体"/>
          <w:b/>
          <w:color w:val="auto"/>
          <w:sz w:val="28"/>
          <w:szCs w:val="28"/>
          <w:highlight w:val="none"/>
          <w:lang w:val="en-US" w:eastAsia="zh-CN"/>
        </w:rPr>
      </w:pPr>
    </w:p>
    <w:p w14:paraId="19437910">
      <w:pPr>
        <w:pStyle w:val="11"/>
        <w:numPr>
          <w:ilvl w:val="0"/>
          <w:numId w:val="0"/>
        </w:numPr>
        <w:autoSpaceDE w:val="0"/>
        <w:autoSpaceDN w:val="0"/>
        <w:adjustRightInd w:val="0"/>
        <w:snapToGrid w:val="0"/>
        <w:spacing w:line="360" w:lineRule="auto"/>
        <w:jc w:val="both"/>
        <w:rPr>
          <w:rFonts w:hint="eastAsia"/>
          <w:color w:val="auto"/>
          <w:highlight w:val="none"/>
          <w:lang w:val="en-US" w:eastAsia="zh-CN"/>
        </w:rPr>
      </w:pPr>
    </w:p>
    <w:p w14:paraId="2ECB31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注：1、拟用于本项目的每一辆车均须提供本车辆的行驶证或车辆登记证复印件，每辆车都需提供司机及配送人员健康证才可得分（注：所提供证件须属同一牌号车辆）；</w:t>
      </w:r>
    </w:p>
    <w:p w14:paraId="479BBB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2、供应商拥有自有车辆的提供行驶证或登记证，所有人名称须与供应商一致；拥有租赁车辆的提供租赁协议复印件。</w:t>
      </w:r>
    </w:p>
    <w:p w14:paraId="609A7C73">
      <w:pPr>
        <w:pStyle w:val="11"/>
        <w:rPr>
          <w:rFonts w:hint="eastAsia"/>
          <w:color w:val="auto"/>
          <w:highlight w:val="none"/>
          <w:lang w:val="en-US" w:eastAsia="zh-CN"/>
        </w:rPr>
      </w:pPr>
    </w:p>
    <w:p w14:paraId="3C20A7E0">
      <w:pPr>
        <w:rPr>
          <w:rFonts w:hint="eastAsia"/>
          <w:color w:val="auto"/>
          <w:highlight w:val="none"/>
          <w:lang w:val="en-US" w:eastAsia="zh-CN"/>
        </w:rPr>
      </w:pPr>
    </w:p>
    <w:p w14:paraId="3204B658">
      <w:pPr>
        <w:pStyle w:val="11"/>
        <w:rPr>
          <w:rFonts w:hint="eastAsia"/>
          <w:color w:val="auto"/>
          <w:highlight w:val="none"/>
          <w:lang w:val="en-US" w:eastAsia="zh-CN"/>
        </w:rPr>
      </w:pPr>
    </w:p>
    <w:p w14:paraId="7B56469D">
      <w:pPr>
        <w:rPr>
          <w:rFonts w:hint="eastAsia"/>
          <w:color w:val="auto"/>
          <w:highlight w:val="none"/>
          <w:lang w:val="en-US" w:eastAsia="zh-CN"/>
        </w:rPr>
      </w:pPr>
    </w:p>
    <w:p w14:paraId="77FFF9E6">
      <w:pPr>
        <w:pStyle w:val="11"/>
        <w:rPr>
          <w:rFonts w:hint="eastAsia"/>
          <w:color w:val="auto"/>
          <w:highlight w:val="none"/>
          <w:lang w:val="en-US" w:eastAsia="zh-CN"/>
        </w:rPr>
      </w:pPr>
    </w:p>
    <w:p w14:paraId="71BACC82">
      <w:pPr>
        <w:rPr>
          <w:rFonts w:hint="eastAsia"/>
          <w:color w:val="auto"/>
          <w:highlight w:val="none"/>
          <w:lang w:val="en-US" w:eastAsia="zh-CN"/>
        </w:rPr>
      </w:pPr>
    </w:p>
    <w:p w14:paraId="15FE986F">
      <w:pPr>
        <w:pStyle w:val="11"/>
        <w:rPr>
          <w:rFonts w:hint="eastAsia"/>
          <w:color w:val="auto"/>
          <w:highlight w:val="none"/>
          <w:lang w:val="en-US" w:eastAsia="zh-CN"/>
        </w:rPr>
      </w:pPr>
    </w:p>
    <w:p w14:paraId="40187FFA">
      <w:pPr>
        <w:rPr>
          <w:rFonts w:hint="eastAsia"/>
          <w:color w:val="auto"/>
          <w:highlight w:val="none"/>
          <w:lang w:val="en-US" w:eastAsia="zh-CN"/>
        </w:rPr>
      </w:pPr>
    </w:p>
    <w:p w14:paraId="1FCA6F3D">
      <w:pPr>
        <w:pStyle w:val="11"/>
        <w:rPr>
          <w:rFonts w:hint="eastAsia"/>
          <w:color w:val="auto"/>
          <w:highlight w:val="none"/>
          <w:lang w:val="en-US" w:eastAsia="zh-CN"/>
        </w:rPr>
      </w:pPr>
    </w:p>
    <w:p w14:paraId="18A3088B">
      <w:pPr>
        <w:rPr>
          <w:rFonts w:hint="eastAsia"/>
          <w:color w:val="auto"/>
          <w:highlight w:val="none"/>
          <w:lang w:val="en-US" w:eastAsia="zh-CN"/>
        </w:rPr>
      </w:pPr>
    </w:p>
    <w:p w14:paraId="5AAC9613">
      <w:pPr>
        <w:pStyle w:val="11"/>
        <w:rPr>
          <w:rFonts w:hint="eastAsia"/>
          <w:color w:val="auto"/>
          <w:highlight w:val="none"/>
          <w:lang w:val="en-US" w:eastAsia="zh-CN"/>
        </w:rPr>
      </w:pPr>
    </w:p>
    <w:p w14:paraId="03CCCF7F">
      <w:pPr>
        <w:rPr>
          <w:rFonts w:hint="eastAsia"/>
          <w:color w:val="auto"/>
          <w:highlight w:val="none"/>
          <w:lang w:val="en-US" w:eastAsia="zh-CN"/>
        </w:rPr>
      </w:pPr>
    </w:p>
    <w:p w14:paraId="77CB8CF2">
      <w:pPr>
        <w:pStyle w:val="11"/>
        <w:rPr>
          <w:rFonts w:hint="eastAsia"/>
          <w:color w:val="auto"/>
          <w:highlight w:val="none"/>
          <w:lang w:val="en-US" w:eastAsia="zh-CN"/>
        </w:rPr>
      </w:pPr>
    </w:p>
    <w:p w14:paraId="50FBE8DC">
      <w:pPr>
        <w:rPr>
          <w:rFonts w:hint="eastAsia"/>
          <w:color w:val="auto"/>
          <w:highlight w:val="none"/>
          <w:lang w:val="en-US" w:eastAsia="zh-CN"/>
        </w:rPr>
      </w:pPr>
    </w:p>
    <w:p w14:paraId="5C11F3A5">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9349E92">
      <w:pPr>
        <w:pStyle w:val="11"/>
        <w:tabs>
          <w:tab w:val="left" w:pos="6533"/>
        </w:tabs>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1E1EEE17">
      <w:pPr>
        <w:ind w:firstLine="720" w:firstLineChars="300"/>
        <w:rPr>
          <w:rFonts w:hint="eastAsia"/>
          <w:color w:val="auto"/>
          <w:highlight w:val="none"/>
          <w:lang w:val="en-US" w:eastAsia="zh-CN"/>
        </w:rPr>
      </w:pPr>
      <w:r>
        <w:rPr>
          <w:rFonts w:hint="eastAsia" w:ascii="宋体" w:hAnsi="宋体" w:eastAsia="宋体" w:cs="宋体"/>
          <w:color w:val="auto"/>
          <w:sz w:val="24"/>
          <w:szCs w:val="24"/>
          <w:highlight w:val="none"/>
        </w:rPr>
        <w:t>年   月   日</w:t>
      </w:r>
    </w:p>
    <w:p w14:paraId="65D19365">
      <w:pPr>
        <w:rPr>
          <w:rFonts w:hint="eastAsia"/>
          <w:color w:val="auto"/>
          <w:highlight w:val="none"/>
          <w:lang w:val="en-US" w:eastAsia="zh-CN"/>
        </w:rPr>
      </w:pPr>
    </w:p>
    <w:p w14:paraId="3CFF3DBC">
      <w:pPr>
        <w:pStyle w:val="11"/>
        <w:rPr>
          <w:rFonts w:hint="eastAsia"/>
          <w:color w:val="auto"/>
          <w:highlight w:val="none"/>
          <w:lang w:val="en-US" w:eastAsia="zh-CN"/>
        </w:rPr>
      </w:pPr>
    </w:p>
    <w:p w14:paraId="4F2639E6">
      <w:pPr>
        <w:rPr>
          <w:rFonts w:hint="eastAsia"/>
          <w:color w:val="auto"/>
          <w:highlight w:val="none"/>
          <w:lang w:val="en-US" w:eastAsia="zh-CN"/>
        </w:rPr>
      </w:pPr>
    </w:p>
    <w:p w14:paraId="2947E4CA">
      <w:pPr>
        <w:pStyle w:val="11"/>
        <w:rPr>
          <w:rFonts w:hint="eastAsia"/>
          <w:color w:val="auto"/>
          <w:highlight w:val="none"/>
          <w:lang w:val="en-US" w:eastAsia="zh-CN"/>
        </w:rPr>
      </w:pPr>
    </w:p>
    <w:p w14:paraId="08F0B328">
      <w:pPr>
        <w:rPr>
          <w:rFonts w:hint="eastAsia"/>
          <w:color w:val="auto"/>
          <w:highlight w:val="none"/>
          <w:lang w:val="en-US" w:eastAsia="zh-CN"/>
        </w:rPr>
      </w:pPr>
    </w:p>
    <w:p w14:paraId="657E5FAE">
      <w:pPr>
        <w:pStyle w:val="11"/>
        <w:rPr>
          <w:rFonts w:hint="eastAsia"/>
          <w:color w:val="auto"/>
          <w:highlight w:val="none"/>
          <w:lang w:val="en-US" w:eastAsia="zh-CN"/>
        </w:rPr>
      </w:pPr>
    </w:p>
    <w:p w14:paraId="6E803844">
      <w:pPr>
        <w:rPr>
          <w:rFonts w:hint="eastAsia"/>
          <w:color w:val="auto"/>
          <w:highlight w:val="none"/>
          <w:lang w:val="en-US" w:eastAsia="zh-CN"/>
        </w:rPr>
      </w:pPr>
    </w:p>
    <w:p w14:paraId="57EC1241">
      <w:pPr>
        <w:pStyle w:val="11"/>
        <w:rPr>
          <w:rFonts w:hint="eastAsia"/>
          <w:color w:val="auto"/>
          <w:highlight w:val="none"/>
          <w:lang w:val="en-US" w:eastAsia="zh-CN"/>
        </w:rPr>
      </w:pPr>
    </w:p>
    <w:p w14:paraId="6F7FC53F">
      <w:pPr>
        <w:rPr>
          <w:rFonts w:hint="eastAsia"/>
          <w:color w:val="auto"/>
          <w:highlight w:val="none"/>
          <w:lang w:val="en-US" w:eastAsia="zh-CN"/>
        </w:rPr>
      </w:pPr>
    </w:p>
    <w:p w14:paraId="05A07ED8">
      <w:pPr>
        <w:pStyle w:val="11"/>
        <w:rPr>
          <w:rFonts w:hint="eastAsia"/>
          <w:color w:val="auto"/>
          <w:highlight w:val="none"/>
          <w:lang w:val="en-US" w:eastAsia="zh-CN"/>
        </w:rPr>
      </w:pPr>
    </w:p>
    <w:p w14:paraId="0FBD065F">
      <w:pPr>
        <w:rPr>
          <w:rFonts w:hint="eastAsia"/>
          <w:color w:val="auto"/>
          <w:highlight w:val="none"/>
          <w:lang w:val="en-US" w:eastAsia="zh-CN"/>
        </w:rPr>
      </w:pPr>
    </w:p>
    <w:p w14:paraId="49762973">
      <w:pPr>
        <w:pStyle w:val="11"/>
        <w:rPr>
          <w:rFonts w:hint="eastAsia"/>
          <w:color w:val="auto"/>
          <w:highlight w:val="none"/>
          <w:lang w:val="en-US" w:eastAsia="zh-CN"/>
        </w:rPr>
      </w:pPr>
    </w:p>
    <w:p w14:paraId="50D0122E">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1B2582DB">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（10）</w:t>
      </w:r>
      <w:r>
        <w:rPr>
          <w:rFonts w:hint="eastAsia" w:ascii="宋体" w:hAnsi="宋体" w:eastAsia="宋体" w:cs="宋体"/>
          <w:b/>
          <w:color w:val="auto"/>
          <w:sz w:val="28"/>
          <w:szCs w:val="28"/>
          <w:highlight w:val="none"/>
          <w:lang w:val="en-US" w:eastAsia="zh-CN"/>
        </w:rPr>
        <w:t>人员配备</w:t>
      </w:r>
    </w:p>
    <w:p w14:paraId="28271359">
      <w:pPr>
        <w:numPr>
          <w:ilvl w:val="0"/>
          <w:numId w:val="0"/>
        </w:numPr>
        <w:spacing w:line="360" w:lineRule="auto"/>
        <w:ind w:left="732" w:leftChars="71" w:hanging="583" w:hangingChars="242"/>
        <w:rPr>
          <w:rFonts w:hint="eastAsia" w:ascii="宋体" w:hAnsi="宋体" w:eastAsia="宋体" w:cs="宋体"/>
          <w:b/>
          <w:sz w:val="24"/>
          <w:szCs w:val="24"/>
          <w:highlight w:val="none"/>
        </w:rPr>
      </w:pPr>
      <w:r>
        <w:rPr>
          <w:rFonts w:hint="default" w:ascii="宋体" w:hAnsi="宋体" w:eastAsia="宋体" w:cs="宋体"/>
          <w:b/>
          <w:kern w:val="2"/>
          <w:sz w:val="24"/>
          <w:szCs w:val="24"/>
          <w:highlight w:val="none"/>
          <w:lang w:val="en-US" w:eastAsia="zh-CN" w:bidi="ar-SA"/>
        </w:rPr>
        <w:t>1、</w:t>
      </w:r>
      <w:r>
        <w:rPr>
          <w:rFonts w:hint="eastAsia" w:ascii="宋体" w:hAnsi="宋体" w:eastAsia="宋体" w:cs="宋体"/>
          <w:b/>
          <w:sz w:val="24"/>
          <w:szCs w:val="24"/>
          <w:highlight w:val="none"/>
        </w:rPr>
        <w:t>项目负责人简历表</w:t>
      </w:r>
    </w:p>
    <w:tbl>
      <w:tblPr>
        <w:tblStyle w:val="29"/>
        <w:tblW w:w="0" w:type="auto"/>
        <w:jc w:val="center"/>
        <w:tblLayout w:type="fixed"/>
        <w:tblCellMar>
          <w:top w:w="0" w:type="dxa"/>
          <w:left w:w="108" w:type="dxa"/>
          <w:bottom w:w="0" w:type="dxa"/>
          <w:right w:w="108" w:type="dxa"/>
        </w:tblCellMar>
      </w:tblPr>
      <w:tblGrid>
        <w:gridCol w:w="1285"/>
        <w:gridCol w:w="1835"/>
        <w:gridCol w:w="1592"/>
        <w:gridCol w:w="1325"/>
        <w:gridCol w:w="1462"/>
        <w:gridCol w:w="2355"/>
      </w:tblGrid>
      <w:tr w14:paraId="5D0DB3C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03A940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835" w:type="dxa"/>
            <w:tcBorders>
              <w:top w:val="single" w:color="auto" w:sz="6" w:space="0"/>
              <w:left w:val="single" w:color="auto" w:sz="6" w:space="0"/>
              <w:bottom w:val="single" w:color="auto" w:sz="6" w:space="0"/>
              <w:right w:val="single" w:color="auto" w:sz="6" w:space="0"/>
            </w:tcBorders>
            <w:noWrap w:val="0"/>
            <w:vAlign w:val="center"/>
          </w:tcPr>
          <w:p w14:paraId="13500FB4">
            <w:pPr>
              <w:spacing w:line="360" w:lineRule="auto"/>
              <w:jc w:val="center"/>
              <w:rPr>
                <w:rFonts w:hint="eastAsia" w:ascii="宋体" w:hAnsi="宋体" w:eastAsia="宋体" w:cs="宋体"/>
                <w:sz w:val="24"/>
                <w:szCs w:val="24"/>
                <w:highlight w:val="none"/>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14:paraId="3E5EB01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325" w:type="dxa"/>
            <w:tcBorders>
              <w:top w:val="single" w:color="auto" w:sz="6" w:space="0"/>
              <w:left w:val="single" w:color="auto" w:sz="6" w:space="0"/>
              <w:bottom w:val="single" w:color="auto" w:sz="6" w:space="0"/>
              <w:right w:val="single" w:color="auto" w:sz="6" w:space="0"/>
            </w:tcBorders>
            <w:noWrap w:val="0"/>
            <w:vAlign w:val="center"/>
          </w:tcPr>
          <w:p w14:paraId="735E0467">
            <w:pPr>
              <w:spacing w:line="360" w:lineRule="auto"/>
              <w:jc w:val="center"/>
              <w:rPr>
                <w:rFonts w:hint="eastAsia" w:ascii="宋体" w:hAnsi="宋体" w:eastAsia="宋体" w:cs="宋体"/>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03E5EAE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EC8FABA">
            <w:pPr>
              <w:spacing w:line="360" w:lineRule="auto"/>
              <w:jc w:val="center"/>
              <w:rPr>
                <w:rFonts w:hint="eastAsia" w:ascii="宋体" w:hAnsi="宋体" w:eastAsia="宋体" w:cs="宋体"/>
                <w:sz w:val="24"/>
                <w:szCs w:val="24"/>
                <w:highlight w:val="none"/>
              </w:rPr>
            </w:pPr>
          </w:p>
        </w:tc>
      </w:tr>
      <w:tr w14:paraId="1B02410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7ABF8A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1C331113">
            <w:pPr>
              <w:spacing w:line="360" w:lineRule="auto"/>
              <w:jc w:val="center"/>
              <w:rPr>
                <w:rFonts w:hint="eastAsia" w:ascii="宋体" w:hAnsi="宋体" w:eastAsia="宋体" w:cs="宋体"/>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D74409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     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CD3EA67">
            <w:pPr>
              <w:spacing w:line="360" w:lineRule="auto"/>
              <w:jc w:val="center"/>
              <w:rPr>
                <w:rFonts w:hint="eastAsia" w:ascii="宋体" w:hAnsi="宋体" w:eastAsia="宋体" w:cs="宋体"/>
                <w:sz w:val="24"/>
                <w:szCs w:val="24"/>
                <w:highlight w:val="none"/>
              </w:rPr>
            </w:pPr>
          </w:p>
        </w:tc>
      </w:tr>
      <w:tr w14:paraId="65525F6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CE5503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学位</w:t>
            </w:r>
          </w:p>
        </w:tc>
        <w:tc>
          <w:tcPr>
            <w:tcW w:w="1835" w:type="dxa"/>
            <w:tcBorders>
              <w:top w:val="single" w:color="auto" w:sz="6" w:space="0"/>
              <w:left w:val="single" w:color="auto" w:sz="6" w:space="0"/>
              <w:bottom w:val="single" w:color="auto" w:sz="6" w:space="0"/>
              <w:right w:val="single" w:color="auto" w:sz="6" w:space="0"/>
            </w:tcBorders>
            <w:noWrap w:val="0"/>
            <w:vAlign w:val="center"/>
          </w:tcPr>
          <w:p w14:paraId="3F221687">
            <w:pPr>
              <w:spacing w:line="360" w:lineRule="auto"/>
              <w:jc w:val="center"/>
              <w:rPr>
                <w:rFonts w:hint="eastAsia" w:ascii="宋体" w:hAnsi="宋体" w:eastAsia="宋体" w:cs="宋体"/>
                <w:sz w:val="24"/>
                <w:szCs w:val="24"/>
                <w:highlight w:val="none"/>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14:paraId="7D104C5E">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是否具有健康证</w:t>
            </w:r>
          </w:p>
        </w:tc>
        <w:tc>
          <w:tcPr>
            <w:tcW w:w="1325" w:type="dxa"/>
            <w:tcBorders>
              <w:top w:val="single" w:color="auto" w:sz="6" w:space="0"/>
              <w:left w:val="single" w:color="auto" w:sz="6" w:space="0"/>
              <w:bottom w:val="single" w:color="auto" w:sz="6" w:space="0"/>
              <w:right w:val="single" w:color="auto" w:sz="6" w:space="0"/>
            </w:tcBorders>
            <w:noWrap w:val="0"/>
            <w:vAlign w:val="center"/>
          </w:tcPr>
          <w:p w14:paraId="2C749859">
            <w:pPr>
              <w:spacing w:line="360" w:lineRule="auto"/>
              <w:jc w:val="center"/>
              <w:rPr>
                <w:rFonts w:hint="eastAsia" w:ascii="宋体" w:hAnsi="宋体" w:eastAsia="宋体" w:cs="宋体"/>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2D6F97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2AB4CF2">
            <w:pPr>
              <w:spacing w:line="360" w:lineRule="auto"/>
              <w:jc w:val="center"/>
              <w:rPr>
                <w:rFonts w:hint="eastAsia" w:ascii="宋体" w:hAnsi="宋体" w:eastAsia="宋体" w:cs="宋体"/>
                <w:sz w:val="24"/>
                <w:szCs w:val="24"/>
                <w:highlight w:val="none"/>
              </w:rPr>
            </w:pPr>
          </w:p>
        </w:tc>
      </w:tr>
      <w:tr w14:paraId="315B287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2E9D65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现所在机构或部门</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20905D29">
            <w:pPr>
              <w:spacing w:line="360" w:lineRule="auto"/>
              <w:jc w:val="center"/>
              <w:rPr>
                <w:rFonts w:hint="eastAsia" w:ascii="宋体" w:hAnsi="宋体" w:eastAsia="宋体" w:cs="宋体"/>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E73ADC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41EF794">
            <w:pPr>
              <w:spacing w:line="360" w:lineRule="auto"/>
              <w:jc w:val="center"/>
              <w:rPr>
                <w:rFonts w:hint="eastAsia" w:ascii="宋体" w:hAnsi="宋体" w:eastAsia="宋体" w:cs="宋体"/>
                <w:sz w:val="24"/>
                <w:szCs w:val="24"/>
                <w:highlight w:val="none"/>
              </w:rPr>
            </w:pPr>
          </w:p>
        </w:tc>
      </w:tr>
      <w:tr w14:paraId="6BA9C5C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E1263D0">
            <w:pPr>
              <w:spacing w:line="360" w:lineRule="auto"/>
              <w:jc w:val="center"/>
              <w:rPr>
                <w:rFonts w:hint="eastAsia" w:ascii="宋体" w:hAnsi="宋体" w:eastAsia="宋体" w:cs="宋体"/>
                <w:sz w:val="24"/>
                <w:szCs w:val="24"/>
                <w:highlight w:val="none"/>
              </w:rPr>
            </w:pPr>
          </w:p>
          <w:p w14:paraId="5ED6357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主要经历</w:t>
            </w:r>
          </w:p>
          <w:p w14:paraId="0D09AA3A">
            <w:pPr>
              <w:spacing w:line="360" w:lineRule="auto"/>
              <w:jc w:val="center"/>
              <w:rPr>
                <w:rFonts w:hint="eastAsia" w:ascii="宋体" w:hAnsi="宋体" w:eastAsia="宋体" w:cs="宋体"/>
                <w:sz w:val="24"/>
                <w:szCs w:val="24"/>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31BCF956">
            <w:pPr>
              <w:spacing w:line="360" w:lineRule="auto"/>
              <w:jc w:val="center"/>
              <w:rPr>
                <w:rFonts w:hint="eastAsia" w:ascii="宋体" w:hAnsi="宋体" w:eastAsia="宋体" w:cs="宋体"/>
                <w:sz w:val="24"/>
                <w:szCs w:val="24"/>
                <w:highlight w:val="none"/>
              </w:rPr>
            </w:pPr>
          </w:p>
          <w:p w14:paraId="3742D1F8">
            <w:pPr>
              <w:spacing w:line="360" w:lineRule="auto"/>
              <w:jc w:val="center"/>
              <w:rPr>
                <w:rFonts w:hint="eastAsia" w:ascii="宋体" w:hAnsi="宋体" w:eastAsia="宋体" w:cs="宋体"/>
                <w:sz w:val="24"/>
                <w:szCs w:val="24"/>
                <w:highlight w:val="none"/>
              </w:rPr>
            </w:pPr>
          </w:p>
        </w:tc>
      </w:tr>
      <w:tr w14:paraId="141B5DA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5AE563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4DA7E3D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2DA107E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2492FCA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66A74D9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2798C5EF">
            <w:pPr>
              <w:spacing w:line="360" w:lineRule="auto"/>
              <w:jc w:val="center"/>
              <w:rPr>
                <w:rFonts w:hint="eastAsia" w:ascii="宋体" w:hAnsi="宋体" w:eastAsia="宋体" w:cs="宋体"/>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5298E3E">
            <w:pPr>
              <w:spacing w:line="360" w:lineRule="auto"/>
              <w:jc w:val="center"/>
              <w:rPr>
                <w:rFonts w:hint="eastAsia" w:ascii="宋体" w:hAnsi="宋体" w:eastAsia="宋体" w:cs="宋体"/>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C20C5C2">
            <w:pPr>
              <w:spacing w:line="360" w:lineRule="auto"/>
              <w:jc w:val="center"/>
              <w:rPr>
                <w:rFonts w:hint="eastAsia" w:ascii="宋体" w:hAnsi="宋体" w:eastAsia="宋体" w:cs="宋体"/>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770759B">
            <w:pPr>
              <w:spacing w:line="360" w:lineRule="auto"/>
              <w:jc w:val="center"/>
              <w:rPr>
                <w:rFonts w:hint="eastAsia" w:ascii="宋体" w:hAnsi="宋体" w:eastAsia="宋体" w:cs="宋体"/>
                <w:sz w:val="24"/>
                <w:szCs w:val="24"/>
                <w:highlight w:val="none"/>
              </w:rPr>
            </w:pPr>
          </w:p>
        </w:tc>
      </w:tr>
      <w:tr w14:paraId="6D83395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462E3BD">
            <w:pPr>
              <w:spacing w:line="360" w:lineRule="auto"/>
              <w:jc w:val="center"/>
              <w:rPr>
                <w:rFonts w:hint="eastAsia" w:ascii="宋体" w:hAnsi="宋体" w:eastAsia="宋体" w:cs="宋体"/>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C9E2B65">
            <w:pPr>
              <w:spacing w:line="360" w:lineRule="auto"/>
              <w:jc w:val="center"/>
              <w:rPr>
                <w:rFonts w:hint="eastAsia" w:ascii="宋体" w:hAnsi="宋体" w:eastAsia="宋体" w:cs="宋体"/>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63172179">
            <w:pPr>
              <w:spacing w:line="360" w:lineRule="auto"/>
              <w:jc w:val="center"/>
              <w:rPr>
                <w:rFonts w:hint="eastAsia" w:ascii="宋体" w:hAnsi="宋体" w:eastAsia="宋体" w:cs="宋体"/>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22BC586">
            <w:pPr>
              <w:spacing w:line="360" w:lineRule="auto"/>
              <w:jc w:val="center"/>
              <w:rPr>
                <w:rFonts w:hint="eastAsia" w:ascii="宋体" w:hAnsi="宋体" w:eastAsia="宋体" w:cs="宋体"/>
                <w:sz w:val="24"/>
                <w:szCs w:val="24"/>
                <w:highlight w:val="none"/>
              </w:rPr>
            </w:pPr>
          </w:p>
        </w:tc>
      </w:tr>
      <w:tr w14:paraId="35B541B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14FCBA9">
            <w:pPr>
              <w:spacing w:line="360" w:lineRule="auto"/>
              <w:jc w:val="center"/>
              <w:rPr>
                <w:rFonts w:hint="eastAsia" w:ascii="宋体" w:hAnsi="宋体" w:eastAsia="宋体" w:cs="宋体"/>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367E6F3F">
            <w:pPr>
              <w:spacing w:line="360" w:lineRule="auto"/>
              <w:jc w:val="center"/>
              <w:rPr>
                <w:rFonts w:hint="eastAsia" w:ascii="宋体" w:hAnsi="宋体" w:eastAsia="宋体" w:cs="宋体"/>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5BE298A3">
            <w:pPr>
              <w:spacing w:line="360" w:lineRule="auto"/>
              <w:jc w:val="center"/>
              <w:rPr>
                <w:rFonts w:hint="eastAsia" w:ascii="宋体" w:hAnsi="宋体" w:eastAsia="宋体" w:cs="宋体"/>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E1678CE">
            <w:pPr>
              <w:spacing w:line="360" w:lineRule="auto"/>
              <w:jc w:val="center"/>
              <w:rPr>
                <w:rFonts w:hint="eastAsia" w:ascii="宋体" w:hAnsi="宋体" w:eastAsia="宋体" w:cs="宋体"/>
                <w:sz w:val="24"/>
                <w:szCs w:val="24"/>
                <w:highlight w:val="none"/>
              </w:rPr>
            </w:pPr>
          </w:p>
        </w:tc>
      </w:tr>
    </w:tbl>
    <w:p w14:paraId="065269BD">
      <w:pPr>
        <w:pStyle w:val="11"/>
        <w:numPr>
          <w:ilvl w:val="0"/>
          <w:numId w:val="0"/>
        </w:numPr>
        <w:autoSpaceDE w:val="0"/>
        <w:autoSpaceDN w:val="0"/>
        <w:adjustRightInd w:val="0"/>
        <w:snapToGrid w:val="0"/>
        <w:spacing w:line="360" w:lineRule="auto"/>
        <w:jc w:val="both"/>
        <w:rPr>
          <w:rFonts w:hint="eastAsia"/>
          <w:color w:val="auto"/>
          <w:sz w:val="24"/>
          <w:szCs w:val="24"/>
          <w:highlight w:val="none"/>
          <w:lang w:val="en-US" w:eastAsia="zh-CN"/>
        </w:rPr>
      </w:pPr>
    </w:p>
    <w:p w14:paraId="2DF90954">
      <w:pPr>
        <w:pStyle w:val="11"/>
        <w:numPr>
          <w:ilvl w:val="0"/>
          <w:numId w:val="0"/>
        </w:numPr>
        <w:autoSpaceDE w:val="0"/>
        <w:autoSpaceDN w:val="0"/>
        <w:adjustRightInd w:val="0"/>
        <w:snapToGrid w:val="0"/>
        <w:spacing w:line="360" w:lineRule="auto"/>
        <w:jc w:val="both"/>
        <w:rPr>
          <w:rFonts w:hint="eastAsia"/>
          <w:color w:val="auto"/>
          <w:sz w:val="24"/>
          <w:szCs w:val="24"/>
          <w:highlight w:val="none"/>
          <w:lang w:val="en-US" w:eastAsia="zh-CN"/>
        </w:rPr>
      </w:pPr>
    </w:p>
    <w:p w14:paraId="380A4CD0">
      <w:pPr>
        <w:pStyle w:val="11"/>
        <w:numPr>
          <w:ilvl w:val="0"/>
          <w:numId w:val="0"/>
        </w:numPr>
        <w:autoSpaceDE w:val="0"/>
        <w:autoSpaceDN w:val="0"/>
        <w:adjustRightInd w:val="0"/>
        <w:snapToGrid w:val="0"/>
        <w:spacing w:line="360" w:lineRule="auto"/>
        <w:jc w:val="both"/>
        <w:rPr>
          <w:rFonts w:hint="default"/>
          <w:color w:val="auto"/>
          <w:sz w:val="24"/>
          <w:szCs w:val="24"/>
          <w:highlight w:val="none"/>
          <w:lang w:val="en-US" w:eastAsia="zh-CN"/>
        </w:rPr>
      </w:pPr>
      <w:r>
        <w:rPr>
          <w:rFonts w:hint="eastAsia"/>
          <w:color w:val="auto"/>
          <w:sz w:val="24"/>
          <w:szCs w:val="24"/>
          <w:highlight w:val="none"/>
          <w:lang w:val="en-US" w:eastAsia="zh-CN"/>
        </w:rPr>
        <w:t>注：</w:t>
      </w:r>
      <w:r>
        <w:rPr>
          <w:rFonts w:hint="eastAsia" w:ascii="宋体" w:hAnsi="宋体" w:eastAsia="宋体" w:cs="宋体"/>
          <w:color w:val="auto"/>
          <w:kern w:val="2"/>
          <w:sz w:val="24"/>
          <w:szCs w:val="24"/>
          <w:highlight w:val="none"/>
          <w:lang w:val="en-US" w:eastAsia="zh-CN" w:bidi="ar-SA"/>
        </w:rPr>
        <w:t>须提供人员登记表、人员简历、在本单位缴纳近三个月的社保缴纳证明或劳动合同，不提供不得分。如人员具有健康证需提供有效期内容健康证扫描件并加盖公章。</w:t>
      </w:r>
    </w:p>
    <w:p w14:paraId="7521964D">
      <w:pPr>
        <w:rPr>
          <w:rFonts w:hint="eastAsia" w:ascii="宋体" w:hAnsi="宋体" w:eastAsia="宋体" w:cs="宋体"/>
          <w:b/>
          <w:bCs/>
          <w:sz w:val="24"/>
          <w:szCs w:val="24"/>
          <w:highlight w:val="none"/>
        </w:rPr>
      </w:pPr>
    </w:p>
    <w:p w14:paraId="75343045">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7EA385D">
      <w:pPr>
        <w:pStyle w:val="11"/>
        <w:tabs>
          <w:tab w:val="left" w:pos="6533"/>
        </w:tabs>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4B4CA43A">
      <w:pPr>
        <w:rPr>
          <w:rFonts w:hint="eastAsia" w:ascii="宋体" w:hAnsi="宋体" w:eastAsia="宋体" w:cs="宋体"/>
          <w:b/>
          <w:bCs/>
          <w:sz w:val="24"/>
          <w:szCs w:val="24"/>
          <w:highlight w:val="none"/>
        </w:rPr>
      </w:pPr>
      <w:r>
        <w:rPr>
          <w:rFonts w:hint="eastAsia" w:ascii="宋体" w:hAnsi="宋体" w:eastAsia="宋体" w:cs="宋体"/>
          <w:color w:val="auto"/>
          <w:sz w:val="24"/>
          <w:szCs w:val="24"/>
          <w:highlight w:val="none"/>
        </w:rPr>
        <w:t>年   月   日</w:t>
      </w:r>
      <w:r>
        <w:rPr>
          <w:rFonts w:hint="eastAsia" w:ascii="宋体" w:hAnsi="宋体" w:eastAsia="宋体" w:cs="宋体"/>
          <w:b/>
          <w:bCs/>
          <w:sz w:val="24"/>
          <w:szCs w:val="24"/>
          <w:highlight w:val="none"/>
        </w:rPr>
        <w:br w:type="page"/>
      </w:r>
    </w:p>
    <w:p w14:paraId="6163ED62">
      <w:pPr>
        <w:autoSpaceDE w:val="0"/>
        <w:autoSpaceDN w:val="0"/>
        <w:adjustRightInd w:val="0"/>
        <w:spacing w:line="360" w:lineRule="auto"/>
        <w:ind w:firstLine="241" w:firstLineChars="1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2、拟投入本项目的主要成员表</w:t>
      </w:r>
    </w:p>
    <w:tbl>
      <w:tblPr>
        <w:tblStyle w:val="29"/>
        <w:tblW w:w="1013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315"/>
        <w:gridCol w:w="1356"/>
        <w:gridCol w:w="1333"/>
        <w:gridCol w:w="1388"/>
        <w:gridCol w:w="2166"/>
        <w:gridCol w:w="1611"/>
      </w:tblGrid>
      <w:tr w14:paraId="0A39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967" w:type="dxa"/>
            <w:noWrap w:val="0"/>
            <w:vAlign w:val="center"/>
          </w:tcPr>
          <w:p w14:paraId="4024A0C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315" w:type="dxa"/>
            <w:noWrap w:val="0"/>
            <w:vAlign w:val="center"/>
          </w:tcPr>
          <w:p w14:paraId="75B1DA4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1356" w:type="dxa"/>
            <w:noWrap w:val="0"/>
            <w:vAlign w:val="center"/>
          </w:tcPr>
          <w:p w14:paraId="57AA3FA6">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性别</w:t>
            </w:r>
          </w:p>
        </w:tc>
        <w:tc>
          <w:tcPr>
            <w:tcW w:w="1333" w:type="dxa"/>
            <w:noWrap w:val="0"/>
            <w:vAlign w:val="center"/>
          </w:tcPr>
          <w:p w14:paraId="4239ABA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职称</w:t>
            </w:r>
          </w:p>
        </w:tc>
        <w:tc>
          <w:tcPr>
            <w:tcW w:w="1388" w:type="dxa"/>
            <w:noWrap w:val="0"/>
            <w:vAlign w:val="center"/>
          </w:tcPr>
          <w:p w14:paraId="75FEB65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岗位</w:t>
            </w:r>
          </w:p>
        </w:tc>
        <w:tc>
          <w:tcPr>
            <w:tcW w:w="2166" w:type="dxa"/>
            <w:noWrap w:val="0"/>
            <w:vAlign w:val="center"/>
          </w:tcPr>
          <w:p w14:paraId="5EC1AF5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从事该岗位时间</w:t>
            </w:r>
          </w:p>
        </w:tc>
        <w:tc>
          <w:tcPr>
            <w:tcW w:w="1611" w:type="dxa"/>
            <w:noWrap w:val="0"/>
            <w:vAlign w:val="center"/>
          </w:tcPr>
          <w:p w14:paraId="03957951">
            <w:pPr>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是否具有健康证</w:t>
            </w:r>
          </w:p>
        </w:tc>
      </w:tr>
      <w:tr w14:paraId="6280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37FC9FD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315" w:type="dxa"/>
            <w:noWrap w:val="0"/>
            <w:vAlign w:val="center"/>
          </w:tcPr>
          <w:p w14:paraId="5D749DBB">
            <w:pPr>
              <w:spacing w:line="360" w:lineRule="auto"/>
              <w:jc w:val="center"/>
              <w:rPr>
                <w:rFonts w:hint="eastAsia" w:ascii="宋体" w:hAnsi="宋体" w:eastAsia="宋体" w:cs="宋体"/>
                <w:sz w:val="24"/>
                <w:highlight w:val="none"/>
              </w:rPr>
            </w:pPr>
          </w:p>
        </w:tc>
        <w:tc>
          <w:tcPr>
            <w:tcW w:w="1356" w:type="dxa"/>
            <w:noWrap w:val="0"/>
            <w:vAlign w:val="center"/>
          </w:tcPr>
          <w:p w14:paraId="7E4EEC45">
            <w:pPr>
              <w:spacing w:line="360" w:lineRule="auto"/>
              <w:jc w:val="center"/>
              <w:rPr>
                <w:rFonts w:hint="eastAsia" w:ascii="宋体" w:hAnsi="宋体" w:eastAsia="宋体" w:cs="宋体"/>
                <w:sz w:val="24"/>
                <w:highlight w:val="none"/>
              </w:rPr>
            </w:pPr>
          </w:p>
        </w:tc>
        <w:tc>
          <w:tcPr>
            <w:tcW w:w="1333" w:type="dxa"/>
            <w:noWrap w:val="0"/>
            <w:vAlign w:val="center"/>
          </w:tcPr>
          <w:p w14:paraId="2ACB3ACB">
            <w:pPr>
              <w:spacing w:line="360" w:lineRule="auto"/>
              <w:jc w:val="center"/>
              <w:rPr>
                <w:rFonts w:hint="eastAsia" w:ascii="宋体" w:hAnsi="宋体" w:eastAsia="宋体" w:cs="宋体"/>
                <w:sz w:val="24"/>
                <w:highlight w:val="none"/>
              </w:rPr>
            </w:pPr>
          </w:p>
        </w:tc>
        <w:tc>
          <w:tcPr>
            <w:tcW w:w="1388" w:type="dxa"/>
            <w:noWrap w:val="0"/>
            <w:vAlign w:val="center"/>
          </w:tcPr>
          <w:p w14:paraId="263D6D0B">
            <w:pPr>
              <w:spacing w:line="360" w:lineRule="auto"/>
              <w:jc w:val="center"/>
              <w:rPr>
                <w:rFonts w:hint="eastAsia" w:ascii="宋体" w:hAnsi="宋体" w:eastAsia="宋体" w:cs="宋体"/>
                <w:sz w:val="24"/>
                <w:highlight w:val="none"/>
              </w:rPr>
            </w:pPr>
          </w:p>
        </w:tc>
        <w:tc>
          <w:tcPr>
            <w:tcW w:w="2166" w:type="dxa"/>
            <w:noWrap w:val="0"/>
            <w:vAlign w:val="center"/>
          </w:tcPr>
          <w:p w14:paraId="7876D49D">
            <w:pPr>
              <w:spacing w:line="360" w:lineRule="auto"/>
              <w:jc w:val="center"/>
              <w:rPr>
                <w:rFonts w:hint="eastAsia" w:ascii="宋体" w:hAnsi="宋体" w:eastAsia="宋体" w:cs="宋体"/>
                <w:sz w:val="24"/>
                <w:highlight w:val="none"/>
              </w:rPr>
            </w:pPr>
          </w:p>
        </w:tc>
        <w:tc>
          <w:tcPr>
            <w:tcW w:w="1611" w:type="dxa"/>
            <w:noWrap w:val="0"/>
            <w:vAlign w:val="center"/>
          </w:tcPr>
          <w:p w14:paraId="7352B6B6">
            <w:pPr>
              <w:spacing w:line="360" w:lineRule="auto"/>
              <w:jc w:val="center"/>
              <w:rPr>
                <w:rFonts w:hint="eastAsia" w:ascii="宋体" w:hAnsi="宋体" w:eastAsia="宋体" w:cs="宋体"/>
                <w:sz w:val="24"/>
                <w:highlight w:val="none"/>
              </w:rPr>
            </w:pPr>
          </w:p>
        </w:tc>
      </w:tr>
      <w:tr w14:paraId="0A74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64360C4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315" w:type="dxa"/>
            <w:noWrap w:val="0"/>
            <w:vAlign w:val="center"/>
          </w:tcPr>
          <w:p w14:paraId="4C915237">
            <w:pPr>
              <w:spacing w:line="360" w:lineRule="auto"/>
              <w:jc w:val="center"/>
              <w:rPr>
                <w:rFonts w:hint="eastAsia" w:ascii="宋体" w:hAnsi="宋体" w:eastAsia="宋体" w:cs="宋体"/>
                <w:sz w:val="24"/>
                <w:highlight w:val="none"/>
              </w:rPr>
            </w:pPr>
          </w:p>
        </w:tc>
        <w:tc>
          <w:tcPr>
            <w:tcW w:w="1356" w:type="dxa"/>
            <w:noWrap w:val="0"/>
            <w:vAlign w:val="center"/>
          </w:tcPr>
          <w:p w14:paraId="7E7CFF81">
            <w:pPr>
              <w:spacing w:line="360" w:lineRule="auto"/>
              <w:jc w:val="center"/>
              <w:rPr>
                <w:rFonts w:hint="eastAsia" w:ascii="宋体" w:hAnsi="宋体" w:eastAsia="宋体" w:cs="宋体"/>
                <w:sz w:val="24"/>
                <w:highlight w:val="none"/>
              </w:rPr>
            </w:pPr>
          </w:p>
        </w:tc>
        <w:tc>
          <w:tcPr>
            <w:tcW w:w="1333" w:type="dxa"/>
            <w:noWrap w:val="0"/>
            <w:vAlign w:val="center"/>
          </w:tcPr>
          <w:p w14:paraId="7112E321">
            <w:pPr>
              <w:spacing w:line="360" w:lineRule="auto"/>
              <w:jc w:val="center"/>
              <w:rPr>
                <w:rFonts w:hint="eastAsia" w:ascii="宋体" w:hAnsi="宋体" w:eastAsia="宋体" w:cs="宋体"/>
                <w:sz w:val="24"/>
                <w:highlight w:val="none"/>
              </w:rPr>
            </w:pPr>
          </w:p>
        </w:tc>
        <w:tc>
          <w:tcPr>
            <w:tcW w:w="1388" w:type="dxa"/>
            <w:noWrap w:val="0"/>
            <w:vAlign w:val="center"/>
          </w:tcPr>
          <w:p w14:paraId="39EF229D">
            <w:pPr>
              <w:spacing w:line="360" w:lineRule="auto"/>
              <w:jc w:val="center"/>
              <w:rPr>
                <w:rFonts w:hint="eastAsia" w:ascii="宋体" w:hAnsi="宋体" w:eastAsia="宋体" w:cs="宋体"/>
                <w:sz w:val="24"/>
                <w:highlight w:val="none"/>
              </w:rPr>
            </w:pPr>
          </w:p>
        </w:tc>
        <w:tc>
          <w:tcPr>
            <w:tcW w:w="2166" w:type="dxa"/>
            <w:noWrap w:val="0"/>
            <w:vAlign w:val="center"/>
          </w:tcPr>
          <w:p w14:paraId="3B1AADA7">
            <w:pPr>
              <w:spacing w:line="360" w:lineRule="auto"/>
              <w:jc w:val="center"/>
              <w:rPr>
                <w:rFonts w:hint="eastAsia" w:ascii="宋体" w:hAnsi="宋体" w:eastAsia="宋体" w:cs="宋体"/>
                <w:sz w:val="24"/>
                <w:highlight w:val="none"/>
              </w:rPr>
            </w:pPr>
          </w:p>
        </w:tc>
        <w:tc>
          <w:tcPr>
            <w:tcW w:w="1611" w:type="dxa"/>
            <w:noWrap w:val="0"/>
            <w:vAlign w:val="center"/>
          </w:tcPr>
          <w:p w14:paraId="373F61E3">
            <w:pPr>
              <w:spacing w:line="360" w:lineRule="auto"/>
              <w:jc w:val="center"/>
              <w:rPr>
                <w:rFonts w:hint="eastAsia" w:ascii="宋体" w:hAnsi="宋体" w:eastAsia="宋体" w:cs="宋体"/>
                <w:sz w:val="24"/>
                <w:highlight w:val="none"/>
              </w:rPr>
            </w:pPr>
          </w:p>
        </w:tc>
      </w:tr>
      <w:tr w14:paraId="363A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dxa"/>
            <w:noWrap w:val="0"/>
            <w:vAlign w:val="center"/>
          </w:tcPr>
          <w:p w14:paraId="47557891">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315" w:type="dxa"/>
            <w:noWrap w:val="0"/>
            <w:vAlign w:val="center"/>
          </w:tcPr>
          <w:p w14:paraId="5C21C63C">
            <w:pPr>
              <w:spacing w:line="360" w:lineRule="auto"/>
              <w:jc w:val="center"/>
              <w:rPr>
                <w:rFonts w:hint="eastAsia" w:ascii="宋体" w:hAnsi="宋体" w:eastAsia="宋体" w:cs="宋体"/>
                <w:sz w:val="24"/>
                <w:highlight w:val="none"/>
              </w:rPr>
            </w:pPr>
          </w:p>
        </w:tc>
        <w:tc>
          <w:tcPr>
            <w:tcW w:w="1356" w:type="dxa"/>
            <w:noWrap w:val="0"/>
            <w:vAlign w:val="center"/>
          </w:tcPr>
          <w:p w14:paraId="52ABA4B7">
            <w:pPr>
              <w:spacing w:line="360" w:lineRule="auto"/>
              <w:jc w:val="center"/>
              <w:rPr>
                <w:rFonts w:hint="eastAsia" w:ascii="宋体" w:hAnsi="宋体" w:eastAsia="宋体" w:cs="宋体"/>
                <w:sz w:val="24"/>
                <w:highlight w:val="none"/>
              </w:rPr>
            </w:pPr>
          </w:p>
        </w:tc>
        <w:tc>
          <w:tcPr>
            <w:tcW w:w="1333" w:type="dxa"/>
            <w:noWrap w:val="0"/>
            <w:vAlign w:val="center"/>
          </w:tcPr>
          <w:p w14:paraId="36A96125">
            <w:pPr>
              <w:spacing w:line="360" w:lineRule="auto"/>
              <w:jc w:val="center"/>
              <w:rPr>
                <w:rFonts w:hint="eastAsia" w:ascii="宋体" w:hAnsi="宋体" w:eastAsia="宋体" w:cs="宋体"/>
                <w:sz w:val="24"/>
                <w:highlight w:val="none"/>
              </w:rPr>
            </w:pPr>
          </w:p>
        </w:tc>
        <w:tc>
          <w:tcPr>
            <w:tcW w:w="1388" w:type="dxa"/>
            <w:noWrap w:val="0"/>
            <w:vAlign w:val="center"/>
          </w:tcPr>
          <w:p w14:paraId="1F0693B5">
            <w:pPr>
              <w:spacing w:line="360" w:lineRule="auto"/>
              <w:jc w:val="center"/>
              <w:rPr>
                <w:rFonts w:hint="eastAsia" w:ascii="宋体" w:hAnsi="宋体" w:eastAsia="宋体" w:cs="宋体"/>
                <w:sz w:val="24"/>
                <w:highlight w:val="none"/>
              </w:rPr>
            </w:pPr>
          </w:p>
        </w:tc>
        <w:tc>
          <w:tcPr>
            <w:tcW w:w="2166" w:type="dxa"/>
            <w:noWrap w:val="0"/>
            <w:vAlign w:val="center"/>
          </w:tcPr>
          <w:p w14:paraId="748F4FEB">
            <w:pPr>
              <w:spacing w:line="360" w:lineRule="auto"/>
              <w:jc w:val="center"/>
              <w:rPr>
                <w:rFonts w:hint="eastAsia" w:ascii="宋体" w:hAnsi="宋体" w:eastAsia="宋体" w:cs="宋体"/>
                <w:sz w:val="24"/>
                <w:highlight w:val="none"/>
              </w:rPr>
            </w:pPr>
          </w:p>
        </w:tc>
        <w:tc>
          <w:tcPr>
            <w:tcW w:w="1611" w:type="dxa"/>
            <w:noWrap w:val="0"/>
            <w:vAlign w:val="center"/>
          </w:tcPr>
          <w:p w14:paraId="769E9EC6">
            <w:pPr>
              <w:spacing w:line="360" w:lineRule="auto"/>
              <w:jc w:val="center"/>
              <w:rPr>
                <w:rFonts w:hint="eastAsia" w:ascii="宋体" w:hAnsi="宋体" w:eastAsia="宋体" w:cs="宋体"/>
                <w:sz w:val="24"/>
                <w:highlight w:val="none"/>
              </w:rPr>
            </w:pPr>
          </w:p>
        </w:tc>
      </w:tr>
      <w:tr w14:paraId="6F0E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67" w:type="dxa"/>
            <w:noWrap w:val="0"/>
            <w:vAlign w:val="center"/>
          </w:tcPr>
          <w:p w14:paraId="0E7F9F4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15" w:type="dxa"/>
            <w:noWrap w:val="0"/>
            <w:vAlign w:val="center"/>
          </w:tcPr>
          <w:p w14:paraId="5075CDE0">
            <w:pPr>
              <w:spacing w:line="360" w:lineRule="auto"/>
              <w:jc w:val="center"/>
              <w:rPr>
                <w:rFonts w:hint="eastAsia" w:ascii="宋体" w:hAnsi="宋体" w:eastAsia="宋体" w:cs="宋体"/>
                <w:sz w:val="24"/>
                <w:highlight w:val="none"/>
              </w:rPr>
            </w:pPr>
          </w:p>
        </w:tc>
        <w:tc>
          <w:tcPr>
            <w:tcW w:w="1356" w:type="dxa"/>
            <w:noWrap w:val="0"/>
            <w:vAlign w:val="center"/>
          </w:tcPr>
          <w:p w14:paraId="2C905668">
            <w:pPr>
              <w:spacing w:line="360" w:lineRule="auto"/>
              <w:jc w:val="center"/>
              <w:rPr>
                <w:rFonts w:hint="eastAsia" w:ascii="宋体" w:hAnsi="宋体" w:eastAsia="宋体" w:cs="宋体"/>
                <w:sz w:val="24"/>
                <w:highlight w:val="none"/>
              </w:rPr>
            </w:pPr>
          </w:p>
        </w:tc>
        <w:tc>
          <w:tcPr>
            <w:tcW w:w="1333" w:type="dxa"/>
            <w:noWrap w:val="0"/>
            <w:vAlign w:val="center"/>
          </w:tcPr>
          <w:p w14:paraId="682C43B9">
            <w:pPr>
              <w:spacing w:line="360" w:lineRule="auto"/>
              <w:jc w:val="center"/>
              <w:rPr>
                <w:rFonts w:hint="eastAsia" w:ascii="宋体" w:hAnsi="宋体" w:eastAsia="宋体" w:cs="宋体"/>
                <w:sz w:val="24"/>
                <w:highlight w:val="none"/>
              </w:rPr>
            </w:pPr>
          </w:p>
        </w:tc>
        <w:tc>
          <w:tcPr>
            <w:tcW w:w="1388" w:type="dxa"/>
            <w:noWrap w:val="0"/>
            <w:vAlign w:val="center"/>
          </w:tcPr>
          <w:p w14:paraId="45098D29">
            <w:pPr>
              <w:spacing w:line="360" w:lineRule="auto"/>
              <w:jc w:val="center"/>
              <w:rPr>
                <w:rFonts w:hint="eastAsia" w:ascii="宋体" w:hAnsi="宋体" w:eastAsia="宋体" w:cs="宋体"/>
                <w:sz w:val="24"/>
                <w:highlight w:val="none"/>
              </w:rPr>
            </w:pPr>
          </w:p>
        </w:tc>
        <w:tc>
          <w:tcPr>
            <w:tcW w:w="2166" w:type="dxa"/>
            <w:noWrap w:val="0"/>
            <w:vAlign w:val="center"/>
          </w:tcPr>
          <w:p w14:paraId="1E8434AC">
            <w:pPr>
              <w:spacing w:line="360" w:lineRule="auto"/>
              <w:jc w:val="center"/>
              <w:rPr>
                <w:rFonts w:hint="eastAsia" w:ascii="宋体" w:hAnsi="宋体" w:eastAsia="宋体" w:cs="宋体"/>
                <w:sz w:val="24"/>
                <w:highlight w:val="none"/>
              </w:rPr>
            </w:pPr>
          </w:p>
        </w:tc>
        <w:tc>
          <w:tcPr>
            <w:tcW w:w="1611" w:type="dxa"/>
            <w:noWrap w:val="0"/>
            <w:vAlign w:val="center"/>
          </w:tcPr>
          <w:p w14:paraId="5861961A">
            <w:pPr>
              <w:spacing w:line="360" w:lineRule="auto"/>
              <w:jc w:val="center"/>
              <w:rPr>
                <w:rFonts w:hint="eastAsia" w:ascii="宋体" w:hAnsi="宋体" w:eastAsia="宋体" w:cs="宋体"/>
                <w:sz w:val="24"/>
                <w:highlight w:val="none"/>
              </w:rPr>
            </w:pPr>
          </w:p>
        </w:tc>
      </w:tr>
    </w:tbl>
    <w:p w14:paraId="3EA25AE4">
      <w:pPr>
        <w:pStyle w:val="11"/>
        <w:numPr>
          <w:ilvl w:val="0"/>
          <w:numId w:val="0"/>
        </w:numPr>
        <w:autoSpaceDE w:val="0"/>
        <w:autoSpaceDN w:val="0"/>
        <w:adjustRightInd w:val="0"/>
        <w:snapToGrid w:val="0"/>
        <w:spacing w:line="360" w:lineRule="auto"/>
        <w:jc w:val="both"/>
        <w:rPr>
          <w:rFonts w:hint="default"/>
          <w:color w:val="auto"/>
          <w:sz w:val="24"/>
          <w:szCs w:val="24"/>
          <w:highlight w:val="none"/>
          <w:lang w:val="en-US" w:eastAsia="zh-CN"/>
        </w:rPr>
      </w:pPr>
      <w:r>
        <w:rPr>
          <w:rFonts w:hint="eastAsia"/>
          <w:color w:val="auto"/>
          <w:sz w:val="24"/>
          <w:szCs w:val="24"/>
          <w:highlight w:val="none"/>
          <w:lang w:val="en-US" w:eastAsia="zh-CN"/>
        </w:rPr>
        <w:t>注：</w:t>
      </w:r>
      <w:r>
        <w:rPr>
          <w:rFonts w:hint="eastAsia" w:ascii="宋体" w:hAnsi="宋体" w:eastAsia="宋体" w:cs="宋体"/>
          <w:color w:val="auto"/>
          <w:kern w:val="2"/>
          <w:sz w:val="24"/>
          <w:szCs w:val="24"/>
          <w:highlight w:val="none"/>
          <w:lang w:val="en-US" w:eastAsia="zh-CN" w:bidi="ar-SA"/>
        </w:rPr>
        <w:t>须提供人员登记表、人员简历、在本单位缴纳近三个月的社保缴纳证明或劳动合同，不提供不得分。如人员具有健康证需提供有效期内容健康证扫描件并加盖公章。</w:t>
      </w:r>
    </w:p>
    <w:p w14:paraId="5060EEBE">
      <w:pPr>
        <w:pStyle w:val="11"/>
        <w:rPr>
          <w:rFonts w:hint="eastAsia"/>
          <w:color w:val="auto"/>
          <w:highlight w:val="none"/>
          <w:lang w:val="en-US" w:eastAsia="zh-CN"/>
        </w:rPr>
      </w:pPr>
    </w:p>
    <w:p w14:paraId="5C3CD866">
      <w:pPr>
        <w:rPr>
          <w:rFonts w:hint="eastAsia"/>
          <w:color w:val="auto"/>
          <w:highlight w:val="none"/>
          <w:lang w:val="en-US" w:eastAsia="zh-CN"/>
        </w:rPr>
      </w:pPr>
    </w:p>
    <w:p w14:paraId="4B49FF93">
      <w:pPr>
        <w:pStyle w:val="11"/>
        <w:rPr>
          <w:rFonts w:hint="eastAsia"/>
          <w:color w:val="auto"/>
          <w:highlight w:val="none"/>
          <w:lang w:val="en-US" w:eastAsia="zh-CN"/>
        </w:rPr>
      </w:pPr>
    </w:p>
    <w:p w14:paraId="2034E876">
      <w:pPr>
        <w:rPr>
          <w:rFonts w:hint="eastAsia"/>
          <w:color w:val="auto"/>
          <w:highlight w:val="none"/>
          <w:lang w:val="en-US" w:eastAsia="zh-CN"/>
        </w:rPr>
      </w:pPr>
    </w:p>
    <w:p w14:paraId="0C6D964C">
      <w:pPr>
        <w:pStyle w:val="11"/>
        <w:rPr>
          <w:rFonts w:hint="eastAsia"/>
          <w:color w:val="auto"/>
          <w:highlight w:val="none"/>
          <w:lang w:val="en-US" w:eastAsia="zh-CN"/>
        </w:rPr>
      </w:pPr>
    </w:p>
    <w:p w14:paraId="276F29E9">
      <w:pPr>
        <w:rPr>
          <w:rFonts w:hint="eastAsia"/>
          <w:color w:val="auto"/>
          <w:highlight w:val="none"/>
          <w:lang w:val="en-US" w:eastAsia="zh-CN"/>
        </w:rPr>
      </w:pPr>
    </w:p>
    <w:p w14:paraId="599D95BE">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29AB236">
      <w:pPr>
        <w:pStyle w:val="11"/>
        <w:tabs>
          <w:tab w:val="left" w:pos="6533"/>
        </w:tabs>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309F66F">
      <w:pPr>
        <w:ind w:firstLine="720" w:firstLineChars="300"/>
        <w:rPr>
          <w:rFonts w:hint="eastAsia"/>
          <w:color w:val="auto"/>
          <w:highlight w:val="none"/>
          <w:lang w:val="en-US" w:eastAsia="zh-CN"/>
        </w:rPr>
      </w:pPr>
      <w:r>
        <w:rPr>
          <w:rFonts w:hint="eastAsia" w:ascii="宋体" w:hAnsi="宋体" w:eastAsia="宋体" w:cs="宋体"/>
          <w:color w:val="auto"/>
          <w:sz w:val="24"/>
          <w:szCs w:val="24"/>
          <w:highlight w:val="none"/>
        </w:rPr>
        <w:t>年   月   日</w:t>
      </w:r>
    </w:p>
    <w:p w14:paraId="1962D7CD">
      <w:pPr>
        <w:pStyle w:val="37"/>
        <w:rPr>
          <w:rFonts w:hint="eastAsia"/>
          <w:color w:val="auto"/>
          <w:highlight w:val="none"/>
          <w:lang w:val="en-US" w:eastAsia="zh-CN"/>
        </w:rPr>
      </w:pPr>
    </w:p>
    <w:p w14:paraId="4B877EB2">
      <w:pPr>
        <w:numPr>
          <w:ilvl w:val="0"/>
          <w:numId w:val="0"/>
        </w:num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产品质量和售后服务承诺</w:t>
      </w:r>
    </w:p>
    <w:p w14:paraId="533156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（格式自拟）</w:t>
      </w:r>
    </w:p>
    <w:p w14:paraId="06FDF6B1">
      <w:pPr>
        <w:pStyle w:val="11"/>
        <w:numPr>
          <w:ilvl w:val="0"/>
          <w:numId w:val="0"/>
        </w:numPr>
        <w:autoSpaceDE w:val="0"/>
        <w:autoSpaceDN w:val="0"/>
        <w:adjustRightInd w:val="0"/>
        <w:snapToGrid w:val="0"/>
        <w:spacing w:line="360" w:lineRule="auto"/>
        <w:jc w:val="both"/>
        <w:rPr>
          <w:rFonts w:hint="eastAsia"/>
          <w:color w:val="auto"/>
          <w:highlight w:val="none"/>
          <w:lang w:val="en-US" w:eastAsia="zh-CN"/>
        </w:rPr>
      </w:pPr>
    </w:p>
    <w:p w14:paraId="62F8FFBD">
      <w:pPr>
        <w:rPr>
          <w:rFonts w:hint="eastAsia"/>
          <w:color w:val="auto"/>
          <w:highlight w:val="none"/>
          <w:lang w:val="en-US" w:eastAsia="zh-CN"/>
        </w:rPr>
      </w:pPr>
    </w:p>
    <w:p w14:paraId="4A721675">
      <w:pPr>
        <w:pStyle w:val="11"/>
        <w:rPr>
          <w:rFonts w:hint="eastAsia"/>
          <w:color w:val="auto"/>
          <w:highlight w:val="none"/>
          <w:lang w:val="en-US" w:eastAsia="zh-CN"/>
        </w:rPr>
      </w:pPr>
    </w:p>
    <w:p w14:paraId="64F58640">
      <w:pPr>
        <w:rPr>
          <w:rFonts w:hint="eastAsia"/>
          <w:color w:val="auto"/>
          <w:highlight w:val="none"/>
          <w:lang w:val="en-US" w:eastAsia="zh-CN"/>
        </w:rPr>
      </w:pPr>
    </w:p>
    <w:p w14:paraId="6037B865">
      <w:pPr>
        <w:pStyle w:val="11"/>
        <w:rPr>
          <w:rFonts w:hint="eastAsia"/>
          <w:color w:val="auto"/>
          <w:highlight w:val="none"/>
          <w:lang w:val="en-US" w:eastAsia="zh-CN"/>
        </w:rPr>
      </w:pPr>
    </w:p>
    <w:p w14:paraId="59E9947C">
      <w:pPr>
        <w:rPr>
          <w:rFonts w:hint="eastAsia"/>
          <w:color w:val="auto"/>
          <w:highlight w:val="none"/>
          <w:lang w:val="en-US" w:eastAsia="zh-CN"/>
        </w:rPr>
      </w:pPr>
    </w:p>
    <w:p w14:paraId="2CBDEBB4">
      <w:pPr>
        <w:pStyle w:val="11"/>
        <w:rPr>
          <w:rFonts w:hint="eastAsia"/>
          <w:color w:val="auto"/>
          <w:highlight w:val="none"/>
          <w:lang w:val="en-US" w:eastAsia="zh-CN"/>
        </w:rPr>
      </w:pPr>
    </w:p>
    <w:p w14:paraId="1A7427C0">
      <w:pPr>
        <w:rPr>
          <w:rFonts w:hint="eastAsia"/>
          <w:color w:val="auto"/>
          <w:highlight w:val="none"/>
          <w:lang w:val="en-US" w:eastAsia="zh-CN"/>
        </w:rPr>
      </w:pPr>
    </w:p>
    <w:p w14:paraId="24D6D878">
      <w:pPr>
        <w:pStyle w:val="11"/>
        <w:rPr>
          <w:rFonts w:hint="eastAsia"/>
          <w:color w:val="auto"/>
          <w:highlight w:val="none"/>
          <w:lang w:val="en-US" w:eastAsia="zh-CN"/>
        </w:rPr>
      </w:pPr>
    </w:p>
    <w:p w14:paraId="41434FF8">
      <w:pPr>
        <w:rPr>
          <w:rFonts w:hint="eastAsia"/>
          <w:color w:val="auto"/>
          <w:highlight w:val="none"/>
          <w:lang w:val="en-US" w:eastAsia="zh-CN"/>
        </w:rPr>
      </w:pPr>
    </w:p>
    <w:p w14:paraId="1C018340">
      <w:pPr>
        <w:pStyle w:val="11"/>
        <w:rPr>
          <w:rFonts w:hint="eastAsia"/>
          <w:color w:val="auto"/>
          <w:highlight w:val="none"/>
          <w:lang w:val="en-US" w:eastAsia="zh-CN"/>
        </w:rPr>
      </w:pPr>
    </w:p>
    <w:p w14:paraId="57EE548C">
      <w:pPr>
        <w:rPr>
          <w:rFonts w:hint="eastAsia"/>
          <w:color w:val="auto"/>
          <w:highlight w:val="none"/>
          <w:lang w:val="en-US" w:eastAsia="zh-CN"/>
        </w:rPr>
      </w:pPr>
    </w:p>
    <w:p w14:paraId="1C2161C3">
      <w:pPr>
        <w:pStyle w:val="11"/>
        <w:rPr>
          <w:rFonts w:hint="eastAsia"/>
          <w:color w:val="auto"/>
          <w:highlight w:val="none"/>
          <w:lang w:val="en-US" w:eastAsia="zh-CN"/>
        </w:rPr>
      </w:pPr>
    </w:p>
    <w:p w14:paraId="15522652">
      <w:pPr>
        <w:rPr>
          <w:rFonts w:hint="eastAsia"/>
          <w:color w:val="auto"/>
          <w:highlight w:val="none"/>
          <w:lang w:val="en-US" w:eastAsia="zh-CN"/>
        </w:rPr>
      </w:pPr>
    </w:p>
    <w:p w14:paraId="55A0A8FF">
      <w:pPr>
        <w:pStyle w:val="11"/>
        <w:rPr>
          <w:rFonts w:hint="eastAsia"/>
          <w:color w:val="auto"/>
          <w:highlight w:val="none"/>
          <w:lang w:val="en-US" w:eastAsia="zh-CN"/>
        </w:rPr>
      </w:pPr>
    </w:p>
    <w:p w14:paraId="0C91717E">
      <w:pPr>
        <w:rPr>
          <w:rFonts w:hint="eastAsia"/>
          <w:color w:val="auto"/>
          <w:highlight w:val="none"/>
          <w:lang w:val="en-US" w:eastAsia="zh-CN"/>
        </w:rPr>
      </w:pPr>
    </w:p>
    <w:p w14:paraId="7AA585B7">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3D2A02E">
      <w:pPr>
        <w:pStyle w:val="11"/>
        <w:tabs>
          <w:tab w:val="left" w:pos="6533"/>
        </w:tabs>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68CB6DEE">
      <w:pPr>
        <w:ind w:firstLine="720" w:firstLineChars="300"/>
        <w:rPr>
          <w:rFonts w:hint="eastAsia"/>
          <w:color w:val="auto"/>
          <w:highlight w:val="none"/>
          <w:lang w:val="en-US" w:eastAsia="zh-CN"/>
        </w:rPr>
      </w:pPr>
      <w:r>
        <w:rPr>
          <w:rFonts w:hint="eastAsia" w:ascii="宋体" w:hAnsi="宋体" w:eastAsia="宋体" w:cs="宋体"/>
          <w:color w:val="auto"/>
          <w:sz w:val="24"/>
          <w:szCs w:val="24"/>
          <w:highlight w:val="none"/>
        </w:rPr>
        <w:t>年   月   日</w:t>
      </w:r>
    </w:p>
    <w:p w14:paraId="6E27B769">
      <w:pPr>
        <w:pStyle w:val="37"/>
        <w:rPr>
          <w:rFonts w:hint="eastAsia"/>
          <w:color w:val="auto"/>
          <w:highlight w:val="none"/>
          <w:lang w:val="en-US" w:eastAsia="zh-CN"/>
        </w:rPr>
      </w:pPr>
    </w:p>
    <w:p w14:paraId="5AA766D6">
      <w:pPr>
        <w:pStyle w:val="37"/>
        <w:numPr>
          <w:ilvl w:val="0"/>
          <w:numId w:val="0"/>
        </w:numPr>
        <w:ind w:right="-58" w:rightChars="0"/>
        <w:rPr>
          <w:rFonts w:hint="eastAsia"/>
          <w:color w:val="auto"/>
          <w:highlight w:val="none"/>
          <w:lang w:val="en-US" w:eastAsia="zh-CN"/>
        </w:rPr>
      </w:pPr>
    </w:p>
    <w:p w14:paraId="27BB3574">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r>
        <w:rPr>
          <w:rFonts w:hint="eastAsia" w:ascii="宋体" w:hAnsi="宋体" w:cs="宋体"/>
          <w:b/>
          <w:color w:val="auto"/>
          <w:sz w:val="28"/>
          <w:szCs w:val="28"/>
          <w:highlight w:val="none"/>
          <w:lang w:val="en-US" w:eastAsia="zh-CN"/>
        </w:rPr>
        <w:t>（12）</w:t>
      </w:r>
      <w:r>
        <w:rPr>
          <w:rFonts w:hint="eastAsia" w:ascii="宋体" w:hAnsi="宋体" w:eastAsia="宋体" w:cs="宋体"/>
          <w:b/>
          <w:color w:val="auto"/>
          <w:sz w:val="28"/>
          <w:szCs w:val="28"/>
          <w:highlight w:val="none"/>
          <w:lang w:val="en-US" w:eastAsia="zh-CN"/>
        </w:rPr>
        <w:t>项目管理制度</w:t>
      </w:r>
    </w:p>
    <w:p w14:paraId="53B4EA2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（格式自拟）</w:t>
      </w:r>
    </w:p>
    <w:p w14:paraId="62637F1D">
      <w:pPr>
        <w:pStyle w:val="11"/>
        <w:rPr>
          <w:rFonts w:hint="eastAsia"/>
          <w:color w:val="auto"/>
          <w:highlight w:val="none"/>
          <w:lang w:val="en-US" w:eastAsia="zh-CN"/>
        </w:rPr>
      </w:pPr>
    </w:p>
    <w:p w14:paraId="0923265B">
      <w:pPr>
        <w:rPr>
          <w:rFonts w:hint="eastAsia"/>
          <w:color w:val="auto"/>
          <w:highlight w:val="none"/>
          <w:lang w:val="en-US" w:eastAsia="zh-CN"/>
        </w:rPr>
      </w:pPr>
    </w:p>
    <w:p w14:paraId="467BA5F6">
      <w:pPr>
        <w:pStyle w:val="11"/>
        <w:rPr>
          <w:rFonts w:hint="eastAsia"/>
          <w:color w:val="auto"/>
          <w:highlight w:val="none"/>
          <w:lang w:val="en-US" w:eastAsia="zh-CN"/>
        </w:rPr>
      </w:pPr>
    </w:p>
    <w:p w14:paraId="3227C68E">
      <w:pPr>
        <w:rPr>
          <w:rFonts w:hint="eastAsia"/>
          <w:color w:val="auto"/>
          <w:highlight w:val="none"/>
          <w:lang w:val="en-US" w:eastAsia="zh-CN"/>
        </w:rPr>
      </w:pPr>
    </w:p>
    <w:p w14:paraId="2ABF0540">
      <w:pPr>
        <w:pStyle w:val="11"/>
        <w:rPr>
          <w:rFonts w:hint="eastAsia"/>
          <w:color w:val="auto"/>
          <w:highlight w:val="none"/>
          <w:lang w:val="en-US" w:eastAsia="zh-CN"/>
        </w:rPr>
      </w:pPr>
    </w:p>
    <w:p w14:paraId="3FA6FE0E">
      <w:pPr>
        <w:rPr>
          <w:rFonts w:hint="eastAsia"/>
          <w:color w:val="auto"/>
          <w:highlight w:val="none"/>
          <w:lang w:val="en-US" w:eastAsia="zh-CN"/>
        </w:rPr>
      </w:pPr>
    </w:p>
    <w:p w14:paraId="5E155B0F">
      <w:pPr>
        <w:pStyle w:val="11"/>
        <w:rPr>
          <w:rFonts w:hint="eastAsia"/>
          <w:color w:val="auto"/>
          <w:highlight w:val="none"/>
          <w:lang w:val="en-US" w:eastAsia="zh-CN"/>
        </w:rPr>
      </w:pPr>
    </w:p>
    <w:p w14:paraId="372F703B">
      <w:pPr>
        <w:rPr>
          <w:rFonts w:hint="eastAsia"/>
          <w:color w:val="auto"/>
          <w:highlight w:val="none"/>
          <w:lang w:val="en-US" w:eastAsia="zh-CN"/>
        </w:rPr>
      </w:pPr>
    </w:p>
    <w:p w14:paraId="79453AF2">
      <w:pPr>
        <w:pStyle w:val="11"/>
        <w:rPr>
          <w:rFonts w:hint="eastAsia"/>
          <w:color w:val="auto"/>
          <w:highlight w:val="none"/>
          <w:lang w:val="en-US" w:eastAsia="zh-CN"/>
        </w:rPr>
      </w:pPr>
    </w:p>
    <w:p w14:paraId="419AD5D1">
      <w:pPr>
        <w:rPr>
          <w:rFonts w:hint="eastAsia"/>
          <w:color w:val="auto"/>
          <w:highlight w:val="none"/>
          <w:lang w:val="en-US" w:eastAsia="zh-CN"/>
        </w:rPr>
      </w:pPr>
    </w:p>
    <w:p w14:paraId="72686D59">
      <w:pPr>
        <w:pStyle w:val="11"/>
        <w:rPr>
          <w:rFonts w:hint="eastAsia"/>
          <w:color w:val="auto"/>
          <w:highlight w:val="none"/>
          <w:lang w:val="en-US" w:eastAsia="zh-CN"/>
        </w:rPr>
      </w:pPr>
    </w:p>
    <w:p w14:paraId="5D48F295">
      <w:pPr>
        <w:rPr>
          <w:rFonts w:hint="eastAsia"/>
          <w:color w:val="auto"/>
          <w:highlight w:val="none"/>
          <w:lang w:val="en-US" w:eastAsia="zh-CN"/>
        </w:rPr>
      </w:pPr>
    </w:p>
    <w:p w14:paraId="15B4DEE6">
      <w:pPr>
        <w:pStyle w:val="11"/>
        <w:rPr>
          <w:rFonts w:hint="eastAsia"/>
          <w:color w:val="auto"/>
          <w:highlight w:val="none"/>
          <w:lang w:val="en-US" w:eastAsia="zh-CN"/>
        </w:rPr>
      </w:pPr>
    </w:p>
    <w:p w14:paraId="2166332F">
      <w:pPr>
        <w:rPr>
          <w:rFonts w:hint="eastAsia"/>
          <w:color w:val="auto"/>
          <w:highlight w:val="none"/>
          <w:lang w:val="en-US" w:eastAsia="zh-CN"/>
        </w:rPr>
      </w:pPr>
    </w:p>
    <w:p w14:paraId="649FFFDC">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6739DED">
      <w:pPr>
        <w:pStyle w:val="11"/>
        <w:tabs>
          <w:tab w:val="left" w:pos="6533"/>
        </w:tabs>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45FE59BB">
      <w:pPr>
        <w:ind w:firstLine="720" w:firstLineChars="300"/>
        <w:rPr>
          <w:rFonts w:hint="eastAsia"/>
          <w:color w:val="auto"/>
          <w:highlight w:val="none"/>
          <w:lang w:val="en-US" w:eastAsia="zh-CN"/>
        </w:rPr>
      </w:pPr>
      <w:r>
        <w:rPr>
          <w:rFonts w:hint="eastAsia" w:ascii="宋体" w:hAnsi="宋体" w:eastAsia="宋体" w:cs="宋体"/>
          <w:color w:val="auto"/>
          <w:sz w:val="24"/>
          <w:szCs w:val="24"/>
          <w:highlight w:val="none"/>
        </w:rPr>
        <w:t>年   月   日</w:t>
      </w:r>
    </w:p>
    <w:p w14:paraId="35B06971">
      <w:pPr>
        <w:pStyle w:val="37"/>
        <w:rPr>
          <w:rFonts w:hint="eastAsia"/>
          <w:color w:val="auto"/>
          <w:highlight w:val="none"/>
          <w:lang w:val="en-US" w:eastAsia="zh-CN"/>
        </w:rPr>
      </w:pPr>
    </w:p>
    <w:p w14:paraId="0BF75617">
      <w:pPr>
        <w:pStyle w:val="37"/>
        <w:rPr>
          <w:rFonts w:hint="eastAsia"/>
          <w:color w:val="auto"/>
          <w:highlight w:val="none"/>
          <w:lang w:val="en-US" w:eastAsia="zh-CN"/>
        </w:rPr>
      </w:pPr>
    </w:p>
    <w:p w14:paraId="0BFE7E93">
      <w:pPr>
        <w:spacing w:line="360" w:lineRule="auto"/>
        <w:jc w:val="center"/>
        <w:rPr>
          <w:rFonts w:hint="eastAsia" w:ascii="宋体" w:hAnsi="宋体" w:eastAsia="宋体" w:cs="宋体"/>
          <w:b/>
          <w:color w:val="auto"/>
          <w:sz w:val="28"/>
          <w:szCs w:val="28"/>
          <w:highlight w:val="none"/>
          <w:lang w:val="en-US" w:eastAsia="zh-CN"/>
        </w:rPr>
      </w:pPr>
    </w:p>
    <w:p w14:paraId="6BBBD0DE">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2B9FF551">
      <w:pPr>
        <w:numPr>
          <w:ilvl w:val="0"/>
          <w:numId w:val="0"/>
        </w:numPr>
        <w:spacing w:line="360" w:lineRule="auto"/>
        <w:ind w:leftChars="0"/>
        <w:jc w:val="center"/>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（13）</w:t>
      </w:r>
      <w:r>
        <w:rPr>
          <w:rFonts w:hint="eastAsia" w:ascii="宋体" w:hAnsi="宋体" w:eastAsia="宋体" w:cs="宋体"/>
          <w:b/>
          <w:color w:val="auto"/>
          <w:sz w:val="28"/>
          <w:szCs w:val="28"/>
          <w:highlight w:val="none"/>
          <w:lang w:val="en-US" w:eastAsia="zh-CN"/>
        </w:rPr>
        <w:t>食材安全管理方案</w:t>
      </w:r>
    </w:p>
    <w:p w14:paraId="3384D6B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（格式自拟）</w:t>
      </w:r>
    </w:p>
    <w:p w14:paraId="1A5676DD">
      <w:pPr>
        <w:pStyle w:val="11"/>
        <w:rPr>
          <w:rFonts w:hint="eastAsia"/>
          <w:color w:val="auto"/>
          <w:highlight w:val="none"/>
          <w:lang w:val="en-US" w:eastAsia="zh-CN"/>
        </w:rPr>
      </w:pPr>
    </w:p>
    <w:p w14:paraId="6ABB6630">
      <w:pPr>
        <w:rPr>
          <w:rFonts w:hint="eastAsia"/>
          <w:color w:val="auto"/>
          <w:highlight w:val="none"/>
          <w:lang w:val="en-US" w:eastAsia="zh-CN"/>
        </w:rPr>
      </w:pPr>
    </w:p>
    <w:p w14:paraId="45F1BBAA">
      <w:pPr>
        <w:pStyle w:val="11"/>
        <w:rPr>
          <w:rFonts w:hint="eastAsia"/>
          <w:color w:val="auto"/>
          <w:highlight w:val="none"/>
          <w:lang w:val="en-US" w:eastAsia="zh-CN"/>
        </w:rPr>
      </w:pPr>
    </w:p>
    <w:p w14:paraId="7A498CA9">
      <w:pPr>
        <w:rPr>
          <w:rFonts w:hint="eastAsia"/>
          <w:color w:val="auto"/>
          <w:highlight w:val="none"/>
          <w:lang w:val="en-US" w:eastAsia="zh-CN"/>
        </w:rPr>
      </w:pPr>
    </w:p>
    <w:p w14:paraId="38BF5A16">
      <w:pPr>
        <w:pStyle w:val="11"/>
        <w:rPr>
          <w:rFonts w:hint="eastAsia"/>
          <w:color w:val="auto"/>
          <w:highlight w:val="none"/>
          <w:lang w:val="en-US" w:eastAsia="zh-CN"/>
        </w:rPr>
      </w:pPr>
    </w:p>
    <w:p w14:paraId="2A04F3FC">
      <w:pPr>
        <w:rPr>
          <w:rFonts w:hint="eastAsia"/>
          <w:color w:val="auto"/>
          <w:highlight w:val="none"/>
          <w:lang w:val="en-US" w:eastAsia="zh-CN"/>
        </w:rPr>
      </w:pPr>
    </w:p>
    <w:p w14:paraId="7B564AB1">
      <w:pPr>
        <w:pStyle w:val="11"/>
        <w:rPr>
          <w:rFonts w:hint="eastAsia"/>
          <w:color w:val="auto"/>
          <w:highlight w:val="none"/>
          <w:lang w:val="en-US" w:eastAsia="zh-CN"/>
        </w:rPr>
      </w:pPr>
    </w:p>
    <w:p w14:paraId="31ABFDCE">
      <w:pPr>
        <w:rPr>
          <w:rFonts w:hint="eastAsia"/>
          <w:color w:val="auto"/>
          <w:highlight w:val="none"/>
          <w:lang w:val="en-US" w:eastAsia="zh-CN"/>
        </w:rPr>
      </w:pPr>
    </w:p>
    <w:p w14:paraId="326A191A">
      <w:pPr>
        <w:pStyle w:val="11"/>
        <w:rPr>
          <w:rFonts w:hint="eastAsia"/>
          <w:color w:val="auto"/>
          <w:highlight w:val="none"/>
          <w:lang w:val="en-US" w:eastAsia="zh-CN"/>
        </w:rPr>
      </w:pPr>
    </w:p>
    <w:p w14:paraId="3BADC68C">
      <w:pPr>
        <w:rPr>
          <w:rFonts w:hint="eastAsia"/>
          <w:color w:val="auto"/>
          <w:highlight w:val="none"/>
          <w:lang w:val="en-US" w:eastAsia="zh-CN"/>
        </w:rPr>
      </w:pPr>
    </w:p>
    <w:p w14:paraId="0319F57A">
      <w:pPr>
        <w:pStyle w:val="11"/>
        <w:rPr>
          <w:rFonts w:hint="eastAsia"/>
          <w:color w:val="auto"/>
          <w:highlight w:val="none"/>
          <w:lang w:val="en-US" w:eastAsia="zh-CN"/>
        </w:rPr>
      </w:pPr>
    </w:p>
    <w:p w14:paraId="5FE55A93">
      <w:pPr>
        <w:rPr>
          <w:rFonts w:hint="eastAsia"/>
          <w:color w:val="auto"/>
          <w:highlight w:val="none"/>
          <w:lang w:val="en-US" w:eastAsia="zh-CN"/>
        </w:rPr>
      </w:pPr>
    </w:p>
    <w:p w14:paraId="22BB2E35">
      <w:pPr>
        <w:pStyle w:val="11"/>
        <w:rPr>
          <w:rFonts w:hint="eastAsia"/>
          <w:color w:val="auto"/>
          <w:highlight w:val="none"/>
          <w:lang w:val="en-US" w:eastAsia="zh-CN"/>
        </w:rPr>
      </w:pPr>
    </w:p>
    <w:p w14:paraId="630771B5">
      <w:pPr>
        <w:rPr>
          <w:rFonts w:hint="eastAsia"/>
          <w:color w:val="auto"/>
          <w:highlight w:val="none"/>
          <w:lang w:val="en-US" w:eastAsia="zh-CN"/>
        </w:rPr>
      </w:pPr>
    </w:p>
    <w:p w14:paraId="3289C64A">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54258A">
      <w:pPr>
        <w:pStyle w:val="11"/>
        <w:tabs>
          <w:tab w:val="left" w:pos="6533"/>
        </w:tabs>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2CB7B46C">
      <w:pPr>
        <w:ind w:firstLine="720" w:firstLineChars="300"/>
        <w:rPr>
          <w:rFonts w:hint="eastAsia"/>
          <w:color w:val="auto"/>
          <w:highlight w:val="none"/>
          <w:lang w:val="en-US" w:eastAsia="zh-CN"/>
        </w:rPr>
      </w:pPr>
      <w:r>
        <w:rPr>
          <w:rFonts w:hint="eastAsia" w:ascii="宋体" w:hAnsi="宋体" w:eastAsia="宋体" w:cs="宋体"/>
          <w:color w:val="auto"/>
          <w:sz w:val="24"/>
          <w:szCs w:val="24"/>
          <w:highlight w:val="none"/>
        </w:rPr>
        <w:t>年   月   日</w:t>
      </w:r>
    </w:p>
    <w:p w14:paraId="08756836">
      <w:pPr>
        <w:numPr>
          <w:ilvl w:val="0"/>
          <w:numId w:val="0"/>
        </w:numPr>
        <w:spacing w:line="360" w:lineRule="auto"/>
        <w:ind w:leftChars="0"/>
        <w:jc w:val="both"/>
        <w:rPr>
          <w:rFonts w:hint="eastAsia" w:ascii="宋体" w:hAnsi="宋体" w:eastAsia="宋体" w:cs="宋体"/>
          <w:b/>
          <w:color w:val="auto"/>
          <w:sz w:val="28"/>
          <w:szCs w:val="28"/>
          <w:highlight w:val="none"/>
          <w:lang w:val="en-US" w:eastAsia="zh-CN"/>
        </w:rPr>
      </w:pPr>
    </w:p>
    <w:p w14:paraId="4C5262A1">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7E8EC7F4">
      <w:pPr>
        <w:numPr>
          <w:ilvl w:val="0"/>
          <w:numId w:val="0"/>
        </w:numPr>
        <w:spacing w:line="360" w:lineRule="auto"/>
        <w:ind w:leftChars="0"/>
        <w:jc w:val="center"/>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（14）</w:t>
      </w:r>
      <w:r>
        <w:rPr>
          <w:rFonts w:hint="eastAsia" w:ascii="宋体" w:hAnsi="宋体" w:eastAsia="宋体" w:cs="宋体"/>
          <w:b/>
          <w:color w:val="auto"/>
          <w:sz w:val="28"/>
          <w:szCs w:val="28"/>
          <w:highlight w:val="none"/>
          <w:lang w:val="en-US" w:eastAsia="zh-CN"/>
        </w:rPr>
        <w:t>储存、保鲜方案</w:t>
      </w:r>
    </w:p>
    <w:p w14:paraId="64B4F76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（格式自拟）</w:t>
      </w:r>
    </w:p>
    <w:p w14:paraId="6CE3506A">
      <w:pPr>
        <w:pStyle w:val="11"/>
        <w:rPr>
          <w:rFonts w:hint="eastAsia"/>
          <w:color w:val="auto"/>
          <w:highlight w:val="none"/>
          <w:lang w:val="en-US" w:eastAsia="zh-CN"/>
        </w:rPr>
      </w:pPr>
    </w:p>
    <w:p w14:paraId="002A790B">
      <w:pPr>
        <w:rPr>
          <w:rFonts w:hint="eastAsia"/>
          <w:color w:val="auto"/>
          <w:highlight w:val="none"/>
          <w:lang w:val="en-US" w:eastAsia="zh-CN"/>
        </w:rPr>
      </w:pPr>
    </w:p>
    <w:p w14:paraId="463955F8">
      <w:pPr>
        <w:pStyle w:val="11"/>
        <w:rPr>
          <w:rFonts w:hint="eastAsia"/>
          <w:color w:val="auto"/>
          <w:highlight w:val="none"/>
          <w:lang w:val="en-US" w:eastAsia="zh-CN"/>
        </w:rPr>
      </w:pPr>
    </w:p>
    <w:p w14:paraId="707EEB01">
      <w:pPr>
        <w:rPr>
          <w:rFonts w:hint="eastAsia"/>
          <w:color w:val="auto"/>
          <w:highlight w:val="none"/>
          <w:lang w:val="en-US" w:eastAsia="zh-CN"/>
        </w:rPr>
      </w:pPr>
    </w:p>
    <w:p w14:paraId="79533A66">
      <w:pPr>
        <w:pStyle w:val="11"/>
        <w:rPr>
          <w:rFonts w:hint="eastAsia"/>
          <w:color w:val="auto"/>
          <w:highlight w:val="none"/>
          <w:lang w:val="en-US" w:eastAsia="zh-CN"/>
        </w:rPr>
      </w:pPr>
    </w:p>
    <w:p w14:paraId="4084F987">
      <w:pPr>
        <w:rPr>
          <w:rFonts w:hint="eastAsia"/>
          <w:color w:val="auto"/>
          <w:highlight w:val="none"/>
          <w:lang w:val="en-US" w:eastAsia="zh-CN"/>
        </w:rPr>
      </w:pPr>
    </w:p>
    <w:p w14:paraId="568F5CA7">
      <w:pPr>
        <w:pStyle w:val="11"/>
        <w:rPr>
          <w:rFonts w:hint="eastAsia"/>
          <w:color w:val="auto"/>
          <w:highlight w:val="none"/>
          <w:lang w:val="en-US" w:eastAsia="zh-CN"/>
        </w:rPr>
      </w:pPr>
    </w:p>
    <w:p w14:paraId="70EA4E46">
      <w:pPr>
        <w:rPr>
          <w:rFonts w:hint="eastAsia"/>
          <w:color w:val="auto"/>
          <w:highlight w:val="none"/>
          <w:lang w:val="en-US" w:eastAsia="zh-CN"/>
        </w:rPr>
      </w:pPr>
    </w:p>
    <w:p w14:paraId="222E4F70">
      <w:pPr>
        <w:pStyle w:val="11"/>
        <w:rPr>
          <w:rFonts w:hint="eastAsia"/>
          <w:color w:val="auto"/>
          <w:highlight w:val="none"/>
          <w:lang w:val="en-US" w:eastAsia="zh-CN"/>
        </w:rPr>
      </w:pPr>
    </w:p>
    <w:p w14:paraId="64C42478">
      <w:pPr>
        <w:rPr>
          <w:rFonts w:hint="eastAsia"/>
          <w:color w:val="auto"/>
          <w:highlight w:val="none"/>
          <w:lang w:val="en-US" w:eastAsia="zh-CN"/>
        </w:rPr>
      </w:pPr>
    </w:p>
    <w:p w14:paraId="4AE91E6F">
      <w:pPr>
        <w:pStyle w:val="11"/>
        <w:rPr>
          <w:rFonts w:hint="eastAsia"/>
          <w:color w:val="auto"/>
          <w:highlight w:val="none"/>
          <w:lang w:val="en-US" w:eastAsia="zh-CN"/>
        </w:rPr>
      </w:pPr>
    </w:p>
    <w:p w14:paraId="5808F050">
      <w:pPr>
        <w:rPr>
          <w:rFonts w:hint="eastAsia"/>
          <w:color w:val="auto"/>
          <w:highlight w:val="none"/>
          <w:lang w:val="en-US" w:eastAsia="zh-CN"/>
        </w:rPr>
      </w:pPr>
    </w:p>
    <w:p w14:paraId="73787137">
      <w:pPr>
        <w:pStyle w:val="11"/>
        <w:rPr>
          <w:rFonts w:hint="eastAsia"/>
          <w:color w:val="auto"/>
          <w:highlight w:val="none"/>
          <w:lang w:val="en-US" w:eastAsia="zh-CN"/>
        </w:rPr>
      </w:pPr>
    </w:p>
    <w:p w14:paraId="07151327">
      <w:pPr>
        <w:rPr>
          <w:rFonts w:hint="eastAsia"/>
          <w:color w:val="auto"/>
          <w:highlight w:val="none"/>
          <w:lang w:val="en-US" w:eastAsia="zh-CN"/>
        </w:rPr>
      </w:pPr>
    </w:p>
    <w:p w14:paraId="4BFB7E60">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E0DD2C1">
      <w:pPr>
        <w:pStyle w:val="11"/>
        <w:tabs>
          <w:tab w:val="left" w:pos="6533"/>
        </w:tabs>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1C80F05">
      <w:pPr>
        <w:ind w:firstLine="720" w:firstLineChars="300"/>
        <w:rPr>
          <w:rFonts w:hint="eastAsia"/>
          <w:color w:val="auto"/>
          <w:highlight w:val="none"/>
          <w:lang w:val="en-US" w:eastAsia="zh-CN"/>
        </w:rPr>
      </w:pPr>
      <w:r>
        <w:rPr>
          <w:rFonts w:hint="eastAsia" w:ascii="宋体" w:hAnsi="宋体" w:eastAsia="宋体" w:cs="宋体"/>
          <w:color w:val="auto"/>
          <w:sz w:val="24"/>
          <w:szCs w:val="24"/>
          <w:highlight w:val="none"/>
        </w:rPr>
        <w:t>年   月   日</w:t>
      </w:r>
    </w:p>
    <w:p w14:paraId="2D676683">
      <w:pPr>
        <w:rPr>
          <w:rFonts w:hint="eastAsia"/>
          <w:highlight w:val="none"/>
          <w:lang w:val="en-US" w:eastAsia="zh-CN"/>
        </w:rPr>
      </w:pPr>
      <w:r>
        <w:rPr>
          <w:rFonts w:hint="eastAsia"/>
          <w:highlight w:val="none"/>
          <w:lang w:val="en-US" w:eastAsia="zh-CN"/>
        </w:rPr>
        <w:br w:type="page"/>
      </w:r>
    </w:p>
    <w:p w14:paraId="208345E9">
      <w:pPr>
        <w:pStyle w:val="14"/>
        <w:rPr>
          <w:rFonts w:hint="eastAsia"/>
          <w:highlight w:val="none"/>
          <w:lang w:val="en-US" w:eastAsia="zh-CN"/>
        </w:rPr>
      </w:pPr>
    </w:p>
    <w:p w14:paraId="18B2483B">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）配送方案</w:t>
      </w:r>
    </w:p>
    <w:p w14:paraId="746B446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（格式自拟）</w:t>
      </w:r>
    </w:p>
    <w:p w14:paraId="285476A8">
      <w:pPr>
        <w:pStyle w:val="11"/>
        <w:rPr>
          <w:rFonts w:hint="eastAsia"/>
          <w:color w:val="auto"/>
          <w:highlight w:val="none"/>
          <w:lang w:val="en-US" w:eastAsia="zh-CN"/>
        </w:rPr>
      </w:pPr>
    </w:p>
    <w:p w14:paraId="22A1C267">
      <w:pPr>
        <w:rPr>
          <w:rFonts w:hint="eastAsia"/>
          <w:color w:val="auto"/>
          <w:highlight w:val="none"/>
          <w:lang w:val="en-US" w:eastAsia="zh-CN"/>
        </w:rPr>
      </w:pPr>
    </w:p>
    <w:p w14:paraId="33BE8080">
      <w:pPr>
        <w:pStyle w:val="11"/>
        <w:rPr>
          <w:rFonts w:hint="eastAsia"/>
          <w:color w:val="auto"/>
          <w:highlight w:val="none"/>
          <w:lang w:val="en-US" w:eastAsia="zh-CN"/>
        </w:rPr>
      </w:pPr>
    </w:p>
    <w:p w14:paraId="1F544358">
      <w:pPr>
        <w:rPr>
          <w:rFonts w:hint="eastAsia"/>
          <w:color w:val="auto"/>
          <w:highlight w:val="none"/>
          <w:lang w:val="en-US" w:eastAsia="zh-CN"/>
        </w:rPr>
      </w:pPr>
    </w:p>
    <w:p w14:paraId="6C62AEF6">
      <w:pPr>
        <w:pStyle w:val="11"/>
        <w:rPr>
          <w:rFonts w:hint="eastAsia"/>
          <w:color w:val="auto"/>
          <w:highlight w:val="none"/>
          <w:lang w:val="en-US" w:eastAsia="zh-CN"/>
        </w:rPr>
      </w:pPr>
    </w:p>
    <w:p w14:paraId="45BE0B62">
      <w:pPr>
        <w:rPr>
          <w:rFonts w:hint="eastAsia"/>
          <w:color w:val="auto"/>
          <w:highlight w:val="none"/>
          <w:lang w:val="en-US" w:eastAsia="zh-CN"/>
        </w:rPr>
      </w:pPr>
    </w:p>
    <w:p w14:paraId="7FD4B65F">
      <w:pPr>
        <w:pStyle w:val="11"/>
        <w:rPr>
          <w:rFonts w:hint="eastAsia"/>
          <w:color w:val="auto"/>
          <w:highlight w:val="none"/>
          <w:lang w:val="en-US" w:eastAsia="zh-CN"/>
        </w:rPr>
      </w:pPr>
    </w:p>
    <w:p w14:paraId="2007387C">
      <w:pPr>
        <w:rPr>
          <w:rFonts w:hint="eastAsia"/>
          <w:color w:val="auto"/>
          <w:highlight w:val="none"/>
          <w:lang w:val="en-US" w:eastAsia="zh-CN"/>
        </w:rPr>
      </w:pPr>
    </w:p>
    <w:p w14:paraId="630983E0">
      <w:pPr>
        <w:pStyle w:val="11"/>
        <w:rPr>
          <w:rFonts w:hint="eastAsia"/>
          <w:color w:val="auto"/>
          <w:highlight w:val="none"/>
          <w:lang w:val="en-US" w:eastAsia="zh-CN"/>
        </w:rPr>
      </w:pPr>
    </w:p>
    <w:p w14:paraId="1584069F">
      <w:pPr>
        <w:rPr>
          <w:rFonts w:hint="eastAsia"/>
          <w:color w:val="auto"/>
          <w:highlight w:val="none"/>
          <w:lang w:val="en-US" w:eastAsia="zh-CN"/>
        </w:rPr>
      </w:pPr>
    </w:p>
    <w:p w14:paraId="0DC2CA19">
      <w:pPr>
        <w:pStyle w:val="11"/>
        <w:rPr>
          <w:rFonts w:hint="eastAsia"/>
          <w:color w:val="auto"/>
          <w:highlight w:val="none"/>
          <w:lang w:val="en-US" w:eastAsia="zh-CN"/>
        </w:rPr>
      </w:pPr>
    </w:p>
    <w:p w14:paraId="33001E59">
      <w:pPr>
        <w:rPr>
          <w:rFonts w:hint="eastAsia"/>
          <w:color w:val="auto"/>
          <w:highlight w:val="none"/>
          <w:lang w:val="en-US" w:eastAsia="zh-CN"/>
        </w:rPr>
      </w:pPr>
    </w:p>
    <w:p w14:paraId="44F1680D">
      <w:pPr>
        <w:pStyle w:val="11"/>
        <w:rPr>
          <w:rFonts w:hint="eastAsia"/>
          <w:color w:val="auto"/>
          <w:highlight w:val="none"/>
          <w:lang w:val="en-US" w:eastAsia="zh-CN"/>
        </w:rPr>
      </w:pPr>
    </w:p>
    <w:p w14:paraId="7A7D885A">
      <w:pPr>
        <w:rPr>
          <w:rFonts w:hint="eastAsia"/>
          <w:color w:val="auto"/>
          <w:highlight w:val="none"/>
          <w:lang w:val="en-US" w:eastAsia="zh-CN"/>
        </w:rPr>
      </w:pPr>
    </w:p>
    <w:p w14:paraId="68B64E83">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F41D007">
      <w:pPr>
        <w:pStyle w:val="11"/>
        <w:tabs>
          <w:tab w:val="left" w:pos="6533"/>
        </w:tabs>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7279219D">
      <w:pPr>
        <w:spacing w:line="360" w:lineRule="auto"/>
        <w:ind w:right="105" w:right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月   日</w:t>
      </w:r>
      <w:r>
        <w:rPr>
          <w:rFonts w:hint="eastAsia" w:ascii="宋体" w:hAnsi="宋体" w:eastAsia="宋体" w:cs="宋体"/>
          <w:b/>
          <w:color w:val="auto"/>
          <w:sz w:val="28"/>
          <w:szCs w:val="28"/>
          <w:highlight w:val="none"/>
          <w:lang w:val="en-US" w:eastAsia="zh-CN"/>
        </w:rPr>
        <w:br w:type="page"/>
      </w:r>
    </w:p>
    <w:p w14:paraId="11FED908">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val="en-US" w:eastAsia="zh-CN"/>
        </w:rPr>
        <w:t>）商务、技术偏离表</w:t>
      </w:r>
    </w:p>
    <w:p w14:paraId="14C2842E">
      <w:pPr>
        <w:spacing w:line="360" w:lineRule="auto"/>
        <w:jc w:val="center"/>
        <w:rPr>
          <w:rFonts w:hint="eastAsia" w:ascii="宋体" w:hAnsi="宋体" w:eastAsia="宋体" w:cs="宋体"/>
          <w:color w:val="auto"/>
          <w:sz w:val="24"/>
          <w:szCs w:val="24"/>
          <w:highlight w:val="none"/>
        </w:rPr>
      </w:pPr>
    </w:p>
    <w:tbl>
      <w:tblPr>
        <w:tblStyle w:val="29"/>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150"/>
        <w:gridCol w:w="2445"/>
        <w:gridCol w:w="2472"/>
        <w:gridCol w:w="1033"/>
        <w:gridCol w:w="1094"/>
      </w:tblGrid>
      <w:tr w14:paraId="2705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7E78DD82">
            <w:pPr>
              <w:bidi w:val="0"/>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序号</w:t>
            </w:r>
          </w:p>
        </w:tc>
        <w:tc>
          <w:tcPr>
            <w:tcW w:w="2150" w:type="dxa"/>
            <w:noWrap w:val="0"/>
            <w:vAlign w:val="center"/>
          </w:tcPr>
          <w:p w14:paraId="302E7A82">
            <w:pPr>
              <w:bidi w:val="0"/>
              <w:jc w:val="center"/>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文件条目号</w:t>
            </w:r>
          </w:p>
        </w:tc>
        <w:tc>
          <w:tcPr>
            <w:tcW w:w="2445" w:type="dxa"/>
            <w:noWrap w:val="0"/>
            <w:vAlign w:val="center"/>
          </w:tcPr>
          <w:p w14:paraId="1AAA82E1">
            <w:pPr>
              <w:bidi w:val="0"/>
              <w:jc w:val="center"/>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文件的商务条款</w:t>
            </w:r>
          </w:p>
        </w:tc>
        <w:tc>
          <w:tcPr>
            <w:tcW w:w="2472" w:type="dxa"/>
            <w:noWrap w:val="0"/>
            <w:vAlign w:val="center"/>
          </w:tcPr>
          <w:p w14:paraId="5163F081">
            <w:pPr>
              <w:bidi w:val="0"/>
              <w:jc w:val="center"/>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的商务条款</w:t>
            </w:r>
          </w:p>
        </w:tc>
        <w:tc>
          <w:tcPr>
            <w:tcW w:w="1033" w:type="dxa"/>
            <w:noWrap w:val="0"/>
            <w:vAlign w:val="center"/>
          </w:tcPr>
          <w:p w14:paraId="6CA28545">
            <w:pPr>
              <w:bidi w:val="0"/>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偏离</w:t>
            </w:r>
          </w:p>
        </w:tc>
        <w:tc>
          <w:tcPr>
            <w:tcW w:w="1094" w:type="dxa"/>
            <w:noWrap w:val="0"/>
            <w:vAlign w:val="center"/>
          </w:tcPr>
          <w:p w14:paraId="2F6A0761">
            <w:pPr>
              <w:bidi w:val="0"/>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备注</w:t>
            </w:r>
          </w:p>
        </w:tc>
      </w:tr>
      <w:tr w14:paraId="274F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14BA8DC2">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4512B9E0">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3D6BA590">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041FD01F">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4AF091BF">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72D12964">
            <w:pPr>
              <w:spacing w:line="360" w:lineRule="auto"/>
              <w:jc w:val="center"/>
              <w:rPr>
                <w:rFonts w:hint="eastAsia" w:ascii="宋体" w:hAnsi="宋体" w:eastAsia="宋体" w:cs="宋体"/>
                <w:color w:val="auto"/>
                <w:sz w:val="24"/>
                <w:szCs w:val="24"/>
                <w:highlight w:val="none"/>
              </w:rPr>
            </w:pPr>
          </w:p>
        </w:tc>
      </w:tr>
      <w:tr w14:paraId="0EED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A8C53B3">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0B7C9812">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5A693F63">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24B9827D">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3B3CC202">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761FF6A6">
            <w:pPr>
              <w:spacing w:line="360" w:lineRule="auto"/>
              <w:jc w:val="center"/>
              <w:rPr>
                <w:rFonts w:hint="eastAsia" w:ascii="宋体" w:hAnsi="宋体" w:eastAsia="宋体" w:cs="宋体"/>
                <w:color w:val="auto"/>
                <w:sz w:val="24"/>
                <w:szCs w:val="24"/>
                <w:highlight w:val="none"/>
              </w:rPr>
            </w:pPr>
          </w:p>
        </w:tc>
      </w:tr>
      <w:tr w14:paraId="77F3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144E227C">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464F23D3">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52298AF9">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73F4B18C">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3DE1403A">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050D47A9">
            <w:pPr>
              <w:spacing w:line="360" w:lineRule="auto"/>
              <w:jc w:val="center"/>
              <w:rPr>
                <w:rFonts w:hint="eastAsia" w:ascii="宋体" w:hAnsi="宋体" w:eastAsia="宋体" w:cs="宋体"/>
                <w:color w:val="auto"/>
                <w:sz w:val="24"/>
                <w:szCs w:val="24"/>
                <w:highlight w:val="none"/>
              </w:rPr>
            </w:pPr>
          </w:p>
        </w:tc>
      </w:tr>
      <w:tr w14:paraId="030E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69F4CB0">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3E1AAB42">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3142D7B0">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573DFFF0">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52B3AFD6">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1440AD9F">
            <w:pPr>
              <w:spacing w:line="360" w:lineRule="auto"/>
              <w:jc w:val="center"/>
              <w:rPr>
                <w:rFonts w:hint="eastAsia" w:ascii="宋体" w:hAnsi="宋体" w:eastAsia="宋体" w:cs="宋体"/>
                <w:color w:val="auto"/>
                <w:sz w:val="24"/>
                <w:szCs w:val="24"/>
                <w:highlight w:val="none"/>
              </w:rPr>
            </w:pPr>
          </w:p>
        </w:tc>
      </w:tr>
      <w:tr w14:paraId="5099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5EB6E284">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78EAC5D7">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46316B4B">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1E7C9A61">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3D7FE7E1">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4DFBCB1F">
            <w:pPr>
              <w:spacing w:line="360" w:lineRule="auto"/>
              <w:jc w:val="center"/>
              <w:rPr>
                <w:rFonts w:hint="eastAsia" w:ascii="宋体" w:hAnsi="宋体" w:eastAsia="宋体" w:cs="宋体"/>
                <w:color w:val="auto"/>
                <w:sz w:val="24"/>
                <w:szCs w:val="24"/>
                <w:highlight w:val="none"/>
              </w:rPr>
            </w:pPr>
          </w:p>
        </w:tc>
      </w:tr>
      <w:tr w14:paraId="18D5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5BC043E2">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5B59E58B">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1230ED9C">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66AA3B1D">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04073998">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0339FD19">
            <w:pPr>
              <w:spacing w:line="360" w:lineRule="auto"/>
              <w:jc w:val="center"/>
              <w:rPr>
                <w:rFonts w:hint="eastAsia" w:ascii="宋体" w:hAnsi="宋体" w:eastAsia="宋体" w:cs="宋体"/>
                <w:color w:val="auto"/>
                <w:sz w:val="24"/>
                <w:szCs w:val="24"/>
                <w:highlight w:val="none"/>
              </w:rPr>
            </w:pPr>
          </w:p>
        </w:tc>
      </w:tr>
      <w:tr w14:paraId="544E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0EE72598">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55BAE480">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36659418">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2B72AD1D">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00BEBC8C">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597BBB34">
            <w:pPr>
              <w:spacing w:line="360" w:lineRule="auto"/>
              <w:jc w:val="center"/>
              <w:rPr>
                <w:rFonts w:hint="eastAsia" w:ascii="宋体" w:hAnsi="宋体" w:eastAsia="宋体" w:cs="宋体"/>
                <w:color w:val="auto"/>
                <w:sz w:val="24"/>
                <w:szCs w:val="24"/>
                <w:highlight w:val="none"/>
              </w:rPr>
            </w:pPr>
          </w:p>
        </w:tc>
      </w:tr>
      <w:tr w14:paraId="0417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6FAD67D5">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298E1988">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627D05AA">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010DB6B2">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7F3E86C5">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52F674E3">
            <w:pPr>
              <w:spacing w:line="360" w:lineRule="auto"/>
              <w:jc w:val="center"/>
              <w:rPr>
                <w:rFonts w:hint="eastAsia" w:ascii="宋体" w:hAnsi="宋体" w:eastAsia="宋体" w:cs="宋体"/>
                <w:color w:val="auto"/>
                <w:sz w:val="24"/>
                <w:szCs w:val="24"/>
                <w:highlight w:val="none"/>
              </w:rPr>
            </w:pPr>
          </w:p>
        </w:tc>
      </w:tr>
      <w:tr w14:paraId="37E8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05D98CC3">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62249AA9">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7D7AADB8">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4802996F">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4555A379">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4A2108C1">
            <w:pPr>
              <w:spacing w:line="360" w:lineRule="auto"/>
              <w:jc w:val="center"/>
              <w:rPr>
                <w:rFonts w:hint="eastAsia" w:ascii="宋体" w:hAnsi="宋体" w:eastAsia="宋体" w:cs="宋体"/>
                <w:color w:val="auto"/>
                <w:sz w:val="24"/>
                <w:szCs w:val="24"/>
                <w:highlight w:val="none"/>
              </w:rPr>
            </w:pPr>
          </w:p>
        </w:tc>
      </w:tr>
      <w:tr w14:paraId="27FC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73B37EF5">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092C3C53">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423D6E27">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474D259B">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779E9D53">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6A3163B6">
            <w:pPr>
              <w:spacing w:line="360" w:lineRule="auto"/>
              <w:jc w:val="center"/>
              <w:rPr>
                <w:rFonts w:hint="eastAsia" w:ascii="宋体" w:hAnsi="宋体" w:eastAsia="宋体" w:cs="宋体"/>
                <w:color w:val="auto"/>
                <w:sz w:val="24"/>
                <w:szCs w:val="24"/>
                <w:highlight w:val="none"/>
              </w:rPr>
            </w:pPr>
          </w:p>
        </w:tc>
      </w:tr>
      <w:tr w14:paraId="53D6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C2547EA">
            <w:pPr>
              <w:spacing w:line="360" w:lineRule="auto"/>
              <w:jc w:val="center"/>
              <w:rPr>
                <w:rFonts w:hint="eastAsia" w:ascii="宋体" w:hAnsi="宋体" w:eastAsia="宋体" w:cs="宋体"/>
                <w:color w:val="auto"/>
                <w:sz w:val="24"/>
                <w:szCs w:val="24"/>
                <w:highlight w:val="none"/>
              </w:rPr>
            </w:pPr>
          </w:p>
        </w:tc>
        <w:tc>
          <w:tcPr>
            <w:tcW w:w="2150" w:type="dxa"/>
            <w:noWrap w:val="0"/>
            <w:vAlign w:val="center"/>
          </w:tcPr>
          <w:p w14:paraId="1A30F965">
            <w:pPr>
              <w:spacing w:line="360" w:lineRule="auto"/>
              <w:jc w:val="center"/>
              <w:rPr>
                <w:rFonts w:hint="eastAsia" w:ascii="宋体" w:hAnsi="宋体" w:eastAsia="宋体" w:cs="宋体"/>
                <w:color w:val="auto"/>
                <w:sz w:val="24"/>
                <w:szCs w:val="24"/>
                <w:highlight w:val="none"/>
              </w:rPr>
            </w:pPr>
          </w:p>
        </w:tc>
        <w:tc>
          <w:tcPr>
            <w:tcW w:w="2445" w:type="dxa"/>
            <w:noWrap w:val="0"/>
            <w:vAlign w:val="center"/>
          </w:tcPr>
          <w:p w14:paraId="52259709">
            <w:pPr>
              <w:spacing w:line="360" w:lineRule="auto"/>
              <w:jc w:val="center"/>
              <w:rPr>
                <w:rFonts w:hint="eastAsia" w:ascii="宋体" w:hAnsi="宋体" w:eastAsia="宋体" w:cs="宋体"/>
                <w:color w:val="auto"/>
                <w:sz w:val="24"/>
                <w:szCs w:val="24"/>
                <w:highlight w:val="none"/>
              </w:rPr>
            </w:pPr>
          </w:p>
        </w:tc>
        <w:tc>
          <w:tcPr>
            <w:tcW w:w="2472" w:type="dxa"/>
            <w:noWrap w:val="0"/>
            <w:vAlign w:val="center"/>
          </w:tcPr>
          <w:p w14:paraId="50F1A7C9">
            <w:pPr>
              <w:spacing w:line="360" w:lineRule="auto"/>
              <w:jc w:val="center"/>
              <w:rPr>
                <w:rFonts w:hint="eastAsia" w:ascii="宋体" w:hAnsi="宋体" w:eastAsia="宋体" w:cs="宋体"/>
                <w:color w:val="auto"/>
                <w:sz w:val="24"/>
                <w:szCs w:val="24"/>
                <w:highlight w:val="none"/>
              </w:rPr>
            </w:pPr>
          </w:p>
        </w:tc>
        <w:tc>
          <w:tcPr>
            <w:tcW w:w="1033" w:type="dxa"/>
            <w:noWrap w:val="0"/>
            <w:vAlign w:val="center"/>
          </w:tcPr>
          <w:p w14:paraId="404472D0">
            <w:pPr>
              <w:spacing w:line="360" w:lineRule="auto"/>
              <w:jc w:val="center"/>
              <w:rPr>
                <w:rFonts w:hint="eastAsia" w:ascii="宋体" w:hAnsi="宋体" w:eastAsia="宋体" w:cs="宋体"/>
                <w:color w:val="auto"/>
                <w:sz w:val="24"/>
                <w:szCs w:val="24"/>
                <w:highlight w:val="none"/>
              </w:rPr>
            </w:pPr>
          </w:p>
        </w:tc>
        <w:tc>
          <w:tcPr>
            <w:tcW w:w="1094" w:type="dxa"/>
            <w:noWrap w:val="0"/>
            <w:vAlign w:val="center"/>
          </w:tcPr>
          <w:p w14:paraId="101E5312">
            <w:pPr>
              <w:spacing w:line="360" w:lineRule="auto"/>
              <w:jc w:val="center"/>
              <w:rPr>
                <w:rFonts w:hint="eastAsia" w:ascii="宋体" w:hAnsi="宋体" w:eastAsia="宋体" w:cs="宋体"/>
                <w:color w:val="auto"/>
                <w:sz w:val="24"/>
                <w:szCs w:val="24"/>
                <w:highlight w:val="none"/>
              </w:rPr>
            </w:pPr>
          </w:p>
        </w:tc>
      </w:tr>
    </w:tbl>
    <w:p w14:paraId="5CB48D5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注：凡</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中商务条款（包括交货期、付款、合同条款以及其它所有商务内容）与</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的，均应在此表中列出（内容较多的可以标注见</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第几页，</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）。未在本表中列明的</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视同响应</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w:t>
      </w:r>
    </w:p>
    <w:p w14:paraId="3A51F040">
      <w:pPr>
        <w:spacing w:line="360" w:lineRule="auto"/>
        <w:ind w:right="105" w:rightChars="50"/>
        <w:rPr>
          <w:rFonts w:hint="eastAsia" w:ascii="宋体" w:hAnsi="宋体" w:eastAsia="宋体" w:cs="宋体"/>
          <w:color w:val="auto"/>
          <w:sz w:val="24"/>
          <w:szCs w:val="24"/>
          <w:highlight w:val="none"/>
        </w:rPr>
      </w:pPr>
    </w:p>
    <w:p w14:paraId="683CD388">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5C9A162">
      <w:pPr>
        <w:spacing w:line="360" w:lineRule="auto"/>
        <w:ind w:right="105" w:right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483F1FD">
      <w:pPr>
        <w:spacing w:after="100" w:line="265" w:lineRule="auto"/>
        <w:ind w:right="103" w:firstLine="1440" w:firstLineChars="600"/>
        <w:jc w:val="both"/>
        <w:rPr>
          <w:rFonts w:hint="eastAsia" w:ascii="黑体" w:hAnsi="黑体" w:eastAsia="黑体" w:cs="Tahoma"/>
          <w:b/>
          <w:bCs/>
          <w:color w:val="auto"/>
          <w:sz w:val="36"/>
          <w:szCs w:val="36"/>
          <w:highlight w:val="none"/>
          <w:u w:val="single"/>
        </w:rPr>
      </w:pPr>
      <w:r>
        <w:rPr>
          <w:rFonts w:hint="eastAsia" w:ascii="宋体" w:hAnsi="宋体" w:eastAsia="宋体" w:cs="宋体"/>
          <w:color w:val="auto"/>
          <w:sz w:val="24"/>
          <w:szCs w:val="24"/>
          <w:highlight w:val="none"/>
        </w:rPr>
        <w:t>年   月   日</w:t>
      </w:r>
    </w:p>
    <w:p w14:paraId="44DEB198">
      <w:pPr>
        <w:pStyle w:val="11"/>
        <w:ind w:left="0" w:leftChars="0" w:firstLine="0" w:firstLineChars="0"/>
        <w:rPr>
          <w:rFonts w:hint="eastAsia"/>
          <w:color w:val="auto"/>
          <w:highlight w:val="none"/>
        </w:rPr>
      </w:pPr>
    </w:p>
    <w:p w14:paraId="27007F4D">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sz w:val="28"/>
          <w:szCs w:val="28"/>
          <w:highlight w:val="none"/>
          <w:lang w:val="en-US" w:eastAsia="zh-CN"/>
        </w:rPr>
        <w:t>技 术 偏 离 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988"/>
        <w:gridCol w:w="1533"/>
        <w:gridCol w:w="1533"/>
        <w:gridCol w:w="1533"/>
        <w:gridCol w:w="1533"/>
      </w:tblGrid>
      <w:tr w14:paraId="566F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76BFC8F">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88" w:type="dxa"/>
            <w:noWrap w:val="0"/>
            <w:vAlign w:val="center"/>
          </w:tcPr>
          <w:p w14:paraId="629B0B35">
            <w:pPr>
              <w:bidi w:val="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条目号</w:t>
            </w:r>
          </w:p>
        </w:tc>
        <w:tc>
          <w:tcPr>
            <w:tcW w:w="1533" w:type="dxa"/>
            <w:noWrap w:val="0"/>
            <w:vAlign w:val="center"/>
          </w:tcPr>
          <w:p w14:paraId="219ABF2A">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招标规格</w:t>
            </w:r>
          </w:p>
        </w:tc>
        <w:tc>
          <w:tcPr>
            <w:tcW w:w="1533" w:type="dxa"/>
            <w:noWrap w:val="0"/>
            <w:vAlign w:val="center"/>
          </w:tcPr>
          <w:p w14:paraId="6504E5FD">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投标规格</w:t>
            </w:r>
          </w:p>
        </w:tc>
        <w:tc>
          <w:tcPr>
            <w:tcW w:w="1533" w:type="dxa"/>
            <w:noWrap w:val="0"/>
            <w:vAlign w:val="center"/>
          </w:tcPr>
          <w:p w14:paraId="04AE0BA7">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1533" w:type="dxa"/>
            <w:noWrap w:val="0"/>
            <w:vAlign w:val="center"/>
          </w:tcPr>
          <w:p w14:paraId="7EC8C09F">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18D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B8B293D">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188493E6">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3F5C2704">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626D013">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054BE49">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64F6E321">
            <w:pPr>
              <w:spacing w:line="360" w:lineRule="auto"/>
              <w:jc w:val="center"/>
              <w:rPr>
                <w:rFonts w:hint="eastAsia" w:ascii="宋体" w:hAnsi="宋体" w:eastAsia="宋体" w:cs="宋体"/>
                <w:color w:val="auto"/>
                <w:sz w:val="24"/>
                <w:szCs w:val="24"/>
                <w:highlight w:val="none"/>
              </w:rPr>
            </w:pPr>
          </w:p>
        </w:tc>
      </w:tr>
      <w:tr w14:paraId="7C24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836A727">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43E96D80">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26F3341B">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3068EA22">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AB28429">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4D15615">
            <w:pPr>
              <w:spacing w:line="360" w:lineRule="auto"/>
              <w:jc w:val="center"/>
              <w:rPr>
                <w:rFonts w:hint="eastAsia" w:ascii="宋体" w:hAnsi="宋体" w:eastAsia="宋体" w:cs="宋体"/>
                <w:color w:val="auto"/>
                <w:sz w:val="24"/>
                <w:szCs w:val="24"/>
                <w:highlight w:val="none"/>
              </w:rPr>
            </w:pPr>
          </w:p>
        </w:tc>
      </w:tr>
      <w:tr w14:paraId="7059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99AD6BF">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1DF7AE30">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28F55B06">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0857DD49">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0A907CD8">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29812BE3">
            <w:pPr>
              <w:spacing w:line="360" w:lineRule="auto"/>
              <w:jc w:val="center"/>
              <w:rPr>
                <w:rFonts w:hint="eastAsia" w:ascii="宋体" w:hAnsi="宋体" w:eastAsia="宋体" w:cs="宋体"/>
                <w:color w:val="auto"/>
                <w:sz w:val="24"/>
                <w:szCs w:val="24"/>
                <w:highlight w:val="none"/>
              </w:rPr>
            </w:pPr>
          </w:p>
        </w:tc>
      </w:tr>
      <w:tr w14:paraId="28E0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C037F1A">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367C893D">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28BEA55E">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126DFD44">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F14A8EC">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375B0AF4">
            <w:pPr>
              <w:spacing w:line="360" w:lineRule="auto"/>
              <w:jc w:val="center"/>
              <w:rPr>
                <w:rFonts w:hint="eastAsia" w:ascii="宋体" w:hAnsi="宋体" w:eastAsia="宋体" w:cs="宋体"/>
                <w:color w:val="auto"/>
                <w:sz w:val="24"/>
                <w:szCs w:val="24"/>
                <w:highlight w:val="none"/>
              </w:rPr>
            </w:pPr>
          </w:p>
        </w:tc>
      </w:tr>
      <w:tr w14:paraId="315F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012ADF97">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7CA45E66">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43A9BCC">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626307F6">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23AF99F9">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3C545B9">
            <w:pPr>
              <w:spacing w:line="360" w:lineRule="auto"/>
              <w:jc w:val="center"/>
              <w:rPr>
                <w:rFonts w:hint="eastAsia" w:ascii="宋体" w:hAnsi="宋体" w:eastAsia="宋体" w:cs="宋体"/>
                <w:color w:val="auto"/>
                <w:sz w:val="24"/>
                <w:szCs w:val="24"/>
                <w:highlight w:val="none"/>
              </w:rPr>
            </w:pPr>
          </w:p>
        </w:tc>
      </w:tr>
      <w:tr w14:paraId="7540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4A3472DA">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0C4C5859">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282C32F">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5D38B60B">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24F710C">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7F811CC">
            <w:pPr>
              <w:spacing w:line="360" w:lineRule="auto"/>
              <w:jc w:val="center"/>
              <w:rPr>
                <w:rFonts w:hint="eastAsia" w:ascii="宋体" w:hAnsi="宋体" w:eastAsia="宋体" w:cs="宋体"/>
                <w:color w:val="auto"/>
                <w:sz w:val="24"/>
                <w:szCs w:val="24"/>
                <w:highlight w:val="none"/>
              </w:rPr>
            </w:pPr>
          </w:p>
        </w:tc>
      </w:tr>
      <w:tr w14:paraId="314A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2EE9FC5">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661198C7">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E9F8761">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165CAF5B">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5D5A7E7A">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1B99983">
            <w:pPr>
              <w:spacing w:line="360" w:lineRule="auto"/>
              <w:jc w:val="center"/>
              <w:rPr>
                <w:rFonts w:hint="eastAsia" w:ascii="宋体" w:hAnsi="宋体" w:eastAsia="宋体" w:cs="宋体"/>
                <w:color w:val="auto"/>
                <w:sz w:val="24"/>
                <w:szCs w:val="24"/>
                <w:highlight w:val="none"/>
              </w:rPr>
            </w:pPr>
          </w:p>
        </w:tc>
      </w:tr>
      <w:tr w14:paraId="4E9C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2D4E2749">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67543CDF">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1C85FA54">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ABFA9C7">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8415ADC">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08D2C157">
            <w:pPr>
              <w:spacing w:line="360" w:lineRule="auto"/>
              <w:jc w:val="center"/>
              <w:rPr>
                <w:rFonts w:hint="eastAsia" w:ascii="宋体" w:hAnsi="宋体" w:eastAsia="宋体" w:cs="宋体"/>
                <w:color w:val="auto"/>
                <w:sz w:val="24"/>
                <w:szCs w:val="24"/>
                <w:highlight w:val="none"/>
              </w:rPr>
            </w:pPr>
          </w:p>
        </w:tc>
      </w:tr>
      <w:tr w14:paraId="4D35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02A27CA">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0B92BD4A">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C1C73C6">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672471A3">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F0171BB">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1B5F09EC">
            <w:pPr>
              <w:spacing w:line="360" w:lineRule="auto"/>
              <w:jc w:val="center"/>
              <w:rPr>
                <w:rFonts w:hint="eastAsia" w:ascii="宋体" w:hAnsi="宋体" w:eastAsia="宋体" w:cs="宋体"/>
                <w:color w:val="auto"/>
                <w:sz w:val="24"/>
                <w:szCs w:val="24"/>
                <w:highlight w:val="none"/>
              </w:rPr>
            </w:pPr>
          </w:p>
        </w:tc>
      </w:tr>
      <w:tr w14:paraId="237F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06E70ED6">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354B2A60">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7C5FE647">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0695150B">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4ED71B5B">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58E63490">
            <w:pPr>
              <w:spacing w:line="360" w:lineRule="auto"/>
              <w:jc w:val="center"/>
              <w:rPr>
                <w:rFonts w:hint="eastAsia" w:ascii="宋体" w:hAnsi="宋体" w:eastAsia="宋体" w:cs="宋体"/>
                <w:color w:val="auto"/>
                <w:sz w:val="24"/>
                <w:szCs w:val="24"/>
                <w:highlight w:val="none"/>
              </w:rPr>
            </w:pPr>
          </w:p>
        </w:tc>
      </w:tr>
      <w:tr w14:paraId="6739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5368D617">
            <w:pPr>
              <w:spacing w:line="360" w:lineRule="auto"/>
              <w:jc w:val="center"/>
              <w:rPr>
                <w:rFonts w:hint="eastAsia" w:ascii="宋体" w:hAnsi="宋体" w:eastAsia="宋体" w:cs="宋体"/>
                <w:color w:val="auto"/>
                <w:sz w:val="24"/>
                <w:szCs w:val="24"/>
                <w:highlight w:val="none"/>
              </w:rPr>
            </w:pPr>
          </w:p>
        </w:tc>
        <w:tc>
          <w:tcPr>
            <w:tcW w:w="2988" w:type="dxa"/>
            <w:noWrap w:val="0"/>
            <w:vAlign w:val="center"/>
          </w:tcPr>
          <w:p w14:paraId="7CCC25BA">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5230FD58">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0B759B38">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1EBD1FB4">
            <w:pPr>
              <w:spacing w:line="360" w:lineRule="auto"/>
              <w:jc w:val="center"/>
              <w:rPr>
                <w:rFonts w:hint="eastAsia" w:ascii="宋体" w:hAnsi="宋体" w:eastAsia="宋体" w:cs="宋体"/>
                <w:color w:val="auto"/>
                <w:sz w:val="24"/>
                <w:szCs w:val="24"/>
                <w:highlight w:val="none"/>
              </w:rPr>
            </w:pPr>
          </w:p>
        </w:tc>
        <w:tc>
          <w:tcPr>
            <w:tcW w:w="1533" w:type="dxa"/>
            <w:noWrap w:val="0"/>
            <w:vAlign w:val="center"/>
          </w:tcPr>
          <w:p w14:paraId="5F517E39">
            <w:pPr>
              <w:spacing w:line="360" w:lineRule="auto"/>
              <w:jc w:val="center"/>
              <w:rPr>
                <w:rFonts w:hint="eastAsia" w:ascii="宋体" w:hAnsi="宋体" w:eastAsia="宋体" w:cs="宋体"/>
                <w:color w:val="auto"/>
                <w:sz w:val="24"/>
                <w:szCs w:val="24"/>
                <w:highlight w:val="none"/>
              </w:rPr>
            </w:pPr>
          </w:p>
        </w:tc>
      </w:tr>
    </w:tbl>
    <w:p w14:paraId="533E1F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注：凡</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中技术条款（包括投标技术参数等所有技术内容）与</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的，均应在此表中列出（内容较多的可以标注见</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第几页，</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）。未在本表中列明的</w:t>
      </w:r>
      <w:r>
        <w:rPr>
          <w:rFonts w:hint="eastAsia" w:ascii="宋体" w:hAnsi="宋体" w:eastAsia="宋体" w:cs="宋体"/>
          <w:color w:val="auto"/>
          <w:sz w:val="24"/>
          <w:szCs w:val="24"/>
          <w:highlight w:val="none"/>
          <w:lang w:eastAsia="zh-CN"/>
        </w:rPr>
        <w:t>偏离</w:t>
      </w:r>
      <w:r>
        <w:rPr>
          <w:rFonts w:hint="eastAsia" w:ascii="宋体" w:hAnsi="宋体" w:eastAsia="宋体" w:cs="宋体"/>
          <w:color w:val="auto"/>
          <w:sz w:val="24"/>
          <w:szCs w:val="24"/>
          <w:highlight w:val="none"/>
        </w:rPr>
        <w:t>视同响应</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规定。</w:t>
      </w:r>
    </w:p>
    <w:p w14:paraId="07A8AE66">
      <w:pPr>
        <w:spacing w:line="360" w:lineRule="auto"/>
        <w:ind w:right="105" w:rightChars="50"/>
        <w:rPr>
          <w:rFonts w:hint="eastAsia" w:ascii="宋体" w:hAnsi="宋体" w:eastAsia="宋体" w:cs="宋体"/>
          <w:color w:val="auto"/>
          <w:sz w:val="24"/>
          <w:szCs w:val="24"/>
          <w:highlight w:val="none"/>
          <w:lang w:val="en-US" w:eastAsia="zh-CN"/>
        </w:rPr>
      </w:pPr>
    </w:p>
    <w:p w14:paraId="0F00E8A2">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8F186BA">
      <w:pPr>
        <w:spacing w:line="360" w:lineRule="auto"/>
        <w:ind w:right="105" w:right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6EF76D6">
      <w:pPr>
        <w:spacing w:after="100" w:line="265" w:lineRule="auto"/>
        <w:ind w:right="103" w:firstLine="1440" w:firstLineChars="600"/>
        <w:jc w:val="both"/>
        <w:rPr>
          <w:rFonts w:hint="eastAsia" w:ascii="黑体" w:hAnsi="黑体" w:eastAsia="黑体" w:cs="Tahoma"/>
          <w:b/>
          <w:bCs/>
          <w:color w:val="auto"/>
          <w:sz w:val="36"/>
          <w:szCs w:val="36"/>
          <w:highlight w:val="none"/>
          <w:u w:val="single"/>
        </w:rPr>
      </w:pPr>
      <w:r>
        <w:rPr>
          <w:rFonts w:hint="eastAsia" w:ascii="宋体" w:hAnsi="宋体" w:eastAsia="宋体" w:cs="宋体"/>
          <w:color w:val="auto"/>
          <w:sz w:val="24"/>
          <w:szCs w:val="24"/>
          <w:highlight w:val="none"/>
        </w:rPr>
        <w:t>年   月   日</w:t>
      </w:r>
    </w:p>
    <w:p w14:paraId="42D28620">
      <w:pPr>
        <w:pStyle w:val="11"/>
        <w:ind w:left="0" w:leftChars="0" w:firstLine="0" w:firstLineChars="0"/>
        <w:rPr>
          <w:rFonts w:hint="eastAsia"/>
          <w:color w:val="auto"/>
          <w:highlight w:val="none"/>
        </w:rPr>
      </w:pPr>
    </w:p>
    <w:p w14:paraId="7507C36C">
      <w:pPr>
        <w:rPr>
          <w:rFonts w:hint="eastAsia"/>
          <w:color w:val="auto"/>
          <w:highlight w:val="none"/>
        </w:rPr>
      </w:pPr>
    </w:p>
    <w:p w14:paraId="752AFFD9">
      <w:pPr>
        <w:pStyle w:val="11"/>
        <w:rPr>
          <w:rFonts w:hint="eastAsia"/>
          <w:color w:val="auto"/>
          <w:highlight w:val="none"/>
        </w:rPr>
      </w:pPr>
    </w:p>
    <w:p w14:paraId="2139F396">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）反商业贿赂承诺书</w:t>
      </w:r>
    </w:p>
    <w:p w14:paraId="043DD6DF">
      <w:pPr>
        <w:spacing w:line="360" w:lineRule="exact"/>
        <w:rPr>
          <w:rFonts w:hint="eastAsia" w:ascii="宋体" w:hAnsi="宋体" w:eastAsia="宋体" w:cs="宋体"/>
          <w:color w:val="auto"/>
          <w:sz w:val="24"/>
          <w:szCs w:val="24"/>
          <w:highlight w:val="none"/>
        </w:rPr>
      </w:pPr>
    </w:p>
    <w:p w14:paraId="77076E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为了从源头上防治腐败，杜绝商业贿赂行为的发生，更好地配合政府采购的工作，我们</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承诺如下：</w:t>
      </w:r>
    </w:p>
    <w:p w14:paraId="539E81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1、不以各种名义给</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或采购代理机构借或送现金、有价证券及物品;</w:t>
      </w:r>
    </w:p>
    <w:p w14:paraId="682537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2、不以个人名义邀请</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或采购代理机构工作人员参与考察旅游活动和宴请活动；</w:t>
      </w:r>
    </w:p>
    <w:p w14:paraId="3838A8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3、不发生与采购事项有关的其他违规违纪行为。</w:t>
      </w:r>
    </w:p>
    <w:p w14:paraId="36852D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如违反其中一项，</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或采购代理机构将向新疆维吾尔自治区采购办反映将其列入政府采购黑名单并终止投标资格，今后不得参与新疆维吾尔自治区政府采购招投标活动，触犯法律由司法部门处理。</w:t>
      </w:r>
    </w:p>
    <w:p w14:paraId="0D30B1A4">
      <w:pPr>
        <w:pStyle w:val="12"/>
        <w:spacing w:line="360" w:lineRule="auto"/>
        <w:ind w:left="420" w:leftChars="200"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249B281">
      <w:pPr>
        <w:pStyle w:val="12"/>
        <w:spacing w:line="360" w:lineRule="exact"/>
        <w:ind w:left="420" w:leftChars="200" w:firstLine="2930" w:firstLineChars="1221"/>
        <w:jc w:val="left"/>
        <w:rPr>
          <w:rFonts w:hint="eastAsia" w:ascii="宋体" w:hAnsi="宋体" w:eastAsia="宋体" w:cs="宋体"/>
          <w:color w:val="auto"/>
          <w:sz w:val="24"/>
          <w:szCs w:val="24"/>
          <w:highlight w:val="none"/>
        </w:rPr>
      </w:pPr>
    </w:p>
    <w:p w14:paraId="5D5CB91E">
      <w:pPr>
        <w:pStyle w:val="12"/>
        <w:spacing w:line="360" w:lineRule="exact"/>
        <w:ind w:left="420" w:leftChars="200" w:firstLine="2930" w:firstLineChars="1221"/>
        <w:jc w:val="left"/>
        <w:rPr>
          <w:rFonts w:hint="eastAsia" w:ascii="宋体" w:hAnsi="宋体" w:eastAsia="宋体" w:cs="宋体"/>
          <w:color w:val="auto"/>
          <w:sz w:val="24"/>
          <w:szCs w:val="24"/>
          <w:highlight w:val="none"/>
        </w:rPr>
      </w:pPr>
    </w:p>
    <w:p w14:paraId="28165E54">
      <w:pPr>
        <w:pStyle w:val="12"/>
        <w:spacing w:line="360" w:lineRule="exact"/>
        <w:ind w:left="420" w:leftChars="200" w:firstLine="2930" w:firstLineChars="1221"/>
        <w:jc w:val="left"/>
        <w:rPr>
          <w:rFonts w:hint="eastAsia" w:ascii="宋体" w:hAnsi="宋体" w:eastAsia="宋体" w:cs="宋体"/>
          <w:color w:val="auto"/>
          <w:sz w:val="24"/>
          <w:szCs w:val="24"/>
          <w:highlight w:val="none"/>
        </w:rPr>
      </w:pPr>
    </w:p>
    <w:p w14:paraId="756A105C">
      <w:pPr>
        <w:pStyle w:val="12"/>
        <w:spacing w:line="360" w:lineRule="exact"/>
        <w:ind w:left="420" w:leftChars="200" w:firstLine="2930" w:firstLineChars="1221"/>
        <w:jc w:val="left"/>
        <w:rPr>
          <w:rFonts w:hint="eastAsia" w:ascii="宋体" w:hAnsi="宋体" w:eastAsia="宋体" w:cs="宋体"/>
          <w:color w:val="auto"/>
          <w:sz w:val="24"/>
          <w:szCs w:val="24"/>
          <w:highlight w:val="none"/>
        </w:rPr>
      </w:pPr>
    </w:p>
    <w:p w14:paraId="60211ABF">
      <w:pPr>
        <w:pStyle w:val="12"/>
        <w:spacing w:line="360" w:lineRule="exact"/>
        <w:ind w:left="420" w:leftChars="200" w:firstLine="540"/>
        <w:jc w:val="right"/>
        <w:rPr>
          <w:rFonts w:hint="eastAsia" w:ascii="宋体" w:hAnsi="宋体" w:eastAsia="宋体" w:cs="宋体"/>
          <w:color w:val="auto"/>
          <w:sz w:val="24"/>
          <w:szCs w:val="24"/>
          <w:highlight w:val="none"/>
        </w:rPr>
      </w:pPr>
    </w:p>
    <w:p w14:paraId="6207BF3A">
      <w:pPr>
        <w:spacing w:line="360" w:lineRule="auto"/>
        <w:ind w:right="105" w:rightChars="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C77D275">
      <w:pPr>
        <w:spacing w:line="360" w:lineRule="auto"/>
        <w:ind w:right="105" w:right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1667702E">
      <w:pPr>
        <w:pStyle w:val="12"/>
        <w:spacing w:line="360" w:lineRule="exact"/>
        <w:ind w:firstLine="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10E3DDD9">
      <w:pPr>
        <w:spacing w:after="100" w:line="265" w:lineRule="auto"/>
        <w:ind w:right="103"/>
        <w:jc w:val="center"/>
        <w:rPr>
          <w:rFonts w:hint="eastAsia" w:ascii="黑体" w:hAnsi="黑体" w:eastAsia="黑体" w:cs="Tahoma"/>
          <w:b/>
          <w:bCs/>
          <w:color w:val="auto"/>
          <w:sz w:val="36"/>
          <w:szCs w:val="36"/>
          <w:highlight w:val="none"/>
          <w:u w:val="single"/>
        </w:rPr>
      </w:pPr>
    </w:p>
    <w:p w14:paraId="0E438F80">
      <w:pPr>
        <w:pStyle w:val="11"/>
        <w:rPr>
          <w:rFonts w:hint="eastAsia" w:ascii="黑体" w:hAnsi="黑体" w:eastAsia="黑体" w:cs="Tahoma"/>
          <w:b/>
          <w:bCs/>
          <w:color w:val="auto"/>
          <w:sz w:val="36"/>
          <w:szCs w:val="36"/>
          <w:highlight w:val="none"/>
          <w:u w:val="single"/>
        </w:rPr>
      </w:pPr>
    </w:p>
    <w:p w14:paraId="4A112454">
      <w:pPr>
        <w:rPr>
          <w:rFonts w:hint="eastAsia" w:ascii="黑体" w:hAnsi="黑体" w:eastAsia="黑体" w:cs="Tahoma"/>
          <w:b/>
          <w:bCs/>
          <w:color w:val="auto"/>
          <w:sz w:val="36"/>
          <w:szCs w:val="36"/>
          <w:highlight w:val="none"/>
          <w:u w:val="single"/>
        </w:rPr>
      </w:pPr>
    </w:p>
    <w:p w14:paraId="05F88646">
      <w:pPr>
        <w:pStyle w:val="11"/>
        <w:rPr>
          <w:rFonts w:hint="eastAsia"/>
          <w:color w:val="auto"/>
          <w:highlight w:val="none"/>
        </w:rPr>
      </w:pPr>
    </w:p>
    <w:p w14:paraId="7D4CAA56">
      <w:pPr>
        <w:spacing w:line="360" w:lineRule="auto"/>
        <w:jc w:val="center"/>
        <w:rPr>
          <w:rFonts w:hint="eastAsia" w:ascii="宋体" w:hAnsi="宋体" w:eastAsia="宋体" w:cs="宋体"/>
          <w:b/>
          <w:color w:val="auto"/>
          <w:sz w:val="28"/>
          <w:szCs w:val="28"/>
          <w:highlight w:val="none"/>
          <w:lang w:val="en-US" w:eastAsia="zh-CN"/>
        </w:rPr>
      </w:pPr>
      <w:r>
        <w:rPr>
          <w:rFonts w:hint="eastAsia"/>
          <w:color w:val="auto"/>
          <w:highlight w:val="none"/>
        </w:rPr>
        <w:br w:type="page"/>
      </w: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）关于投标资料真实性的承诺书</w:t>
      </w:r>
    </w:p>
    <w:p w14:paraId="1E688F56">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关于对本</w:t>
      </w:r>
      <w:r>
        <w:rPr>
          <w:rFonts w:hint="eastAsia" w:ascii="宋体" w:hAnsi="宋体" w:cs="宋体"/>
          <w:b/>
          <w:color w:val="auto"/>
          <w:sz w:val="28"/>
          <w:szCs w:val="28"/>
          <w:highlight w:val="none"/>
          <w:lang w:val="en-US" w:eastAsia="zh-CN"/>
        </w:rPr>
        <w:t>投标文件</w:t>
      </w:r>
      <w:r>
        <w:rPr>
          <w:rFonts w:hint="eastAsia" w:ascii="宋体" w:hAnsi="宋体" w:eastAsia="宋体" w:cs="宋体"/>
          <w:b/>
          <w:color w:val="auto"/>
          <w:sz w:val="28"/>
          <w:szCs w:val="28"/>
          <w:highlight w:val="none"/>
          <w:lang w:val="en-US" w:eastAsia="zh-CN"/>
        </w:rPr>
        <w:t>中资料真实性的承诺</w:t>
      </w:r>
    </w:p>
    <w:p w14:paraId="3AB25460">
      <w:pPr>
        <w:spacing w:line="360" w:lineRule="exact"/>
        <w:jc w:val="center"/>
        <w:rPr>
          <w:rFonts w:hint="eastAsia" w:ascii="黑体" w:hAnsi="黑体" w:eastAsia="黑体"/>
          <w:b/>
          <w:color w:val="auto"/>
          <w:sz w:val="24"/>
          <w:highlight w:val="none"/>
        </w:rPr>
      </w:pPr>
    </w:p>
    <w:p w14:paraId="3343FC25">
      <w:pPr>
        <w:spacing w:line="600" w:lineRule="auto"/>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rPr>
        <w:t>至：</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u w:val="single"/>
          <w:lang w:val="en-US" w:eastAsia="zh-CN"/>
        </w:rPr>
        <w:t>招标人</w:t>
      </w:r>
      <w:r>
        <w:rPr>
          <w:rFonts w:hint="eastAsia" w:ascii="宋体" w:hAnsi="宋体" w:eastAsia="宋体" w:cs="宋体"/>
          <w:b w:val="0"/>
          <w:bCs/>
          <w:color w:val="auto"/>
          <w:sz w:val="21"/>
          <w:szCs w:val="21"/>
          <w:highlight w:val="none"/>
          <w:u w:val="single"/>
        </w:rPr>
        <w:t xml:space="preserve">）  </w:t>
      </w:r>
    </w:p>
    <w:p w14:paraId="64FCA677">
      <w:pPr>
        <w:spacing w:line="48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根据《中华人民共和国政府采购法》、《中华人民共和国政府采购法实施条例》等有关法律、法规的规定和</w:t>
      </w:r>
      <w:r>
        <w:rPr>
          <w:rFonts w:hint="eastAsia" w:ascii="宋体" w:hAnsi="宋体" w:eastAsia="宋体" w:cs="宋体"/>
          <w:color w:val="auto"/>
          <w:sz w:val="21"/>
          <w:szCs w:val="21"/>
          <w:highlight w:val="none"/>
          <w:u w:val="single"/>
        </w:rPr>
        <w:t>    （项目名称</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标项名称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的要求，我公司在</w:t>
      </w:r>
      <w:r>
        <w:rPr>
          <w:rFonts w:hint="eastAsia" w:ascii="宋体" w:hAnsi="宋体" w:eastAsia="宋体" w:cs="宋体"/>
          <w:color w:val="auto"/>
          <w:sz w:val="21"/>
          <w:szCs w:val="21"/>
          <w:highlight w:val="none"/>
          <w:u w:val="single"/>
        </w:rPr>
        <w:t>   （项目名称</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标项名称</w:t>
      </w:r>
      <w:r>
        <w:rPr>
          <w:rFonts w:hint="eastAsia" w:ascii="宋体" w:hAnsi="宋体" w:eastAsia="宋体" w:cs="宋体"/>
          <w:color w:val="auto"/>
          <w:sz w:val="21"/>
          <w:szCs w:val="21"/>
          <w:highlight w:val="none"/>
          <w:u w:val="single"/>
        </w:rPr>
        <w:t>）   </w:t>
      </w: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rPr>
        <w:t>中所提供资料真实性作如下承诺：</w:t>
      </w:r>
    </w:p>
    <w:p w14:paraId="07B31932">
      <w:pPr>
        <w:spacing w:line="48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我公司将严格按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要求，在编制本</w:t>
      </w: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时，对</w:t>
      </w:r>
      <w:r>
        <w:rPr>
          <w:rFonts w:hint="eastAsia" w:ascii="宋体" w:hAnsi="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 xml:space="preserve">中所提供的资料全部真实和正确，并对提供的所有资料（资格、业绩、其他材料等）的真实性负责！ </w:t>
      </w:r>
    </w:p>
    <w:p w14:paraId="4F5BF588">
      <w:pPr>
        <w:spacing w:line="48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对提供的全部资料中有存在不真实（伪造或租借等虚假资料）情形，将无条件接受任何处罚，自行承担由此引起的一切责任！</w:t>
      </w:r>
    </w:p>
    <w:p w14:paraId="155ADFD3">
      <w:pPr>
        <w:spacing w:line="480" w:lineRule="auto"/>
        <w:ind w:firstLine="632" w:firstLineChars="300"/>
        <w:rPr>
          <w:rFonts w:hint="eastAsia" w:ascii="宋体" w:hAnsi="宋体" w:eastAsia="宋体" w:cs="宋体"/>
          <w:b/>
          <w:color w:val="auto"/>
          <w:sz w:val="21"/>
          <w:szCs w:val="21"/>
          <w:highlight w:val="none"/>
        </w:rPr>
      </w:pPr>
    </w:p>
    <w:p w14:paraId="719B60AF">
      <w:pPr>
        <w:spacing w:line="48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特此承诺</w:t>
      </w:r>
    </w:p>
    <w:p w14:paraId="1E6E0E5E">
      <w:pPr>
        <w:spacing w:line="480" w:lineRule="auto"/>
        <w:ind w:firstLine="632" w:firstLineChars="300"/>
        <w:rPr>
          <w:rFonts w:hint="eastAsia" w:ascii="宋体" w:hAnsi="宋体" w:eastAsia="宋体" w:cs="宋体"/>
          <w:b/>
          <w:color w:val="auto"/>
          <w:sz w:val="21"/>
          <w:szCs w:val="21"/>
          <w:highlight w:val="none"/>
        </w:rPr>
      </w:pPr>
    </w:p>
    <w:p w14:paraId="3055A0A6">
      <w:pPr>
        <w:spacing w:line="480" w:lineRule="auto"/>
        <w:ind w:firstLine="1470" w:firstLineChars="700"/>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lang w:val="en-US" w:eastAsia="zh-CN"/>
        </w:rPr>
        <w:t>名称</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公</w:t>
      </w:r>
      <w:r>
        <w:rPr>
          <w:rFonts w:hint="eastAsia" w:ascii="宋体" w:hAnsi="宋体" w:eastAsia="宋体" w:cs="宋体"/>
          <w:b w:val="0"/>
          <w:bCs/>
          <w:color w:val="auto"/>
          <w:sz w:val="21"/>
          <w:szCs w:val="21"/>
          <w:highlight w:val="none"/>
        </w:rPr>
        <w:t>章）</w:t>
      </w:r>
      <w:r>
        <w:rPr>
          <w:rFonts w:hint="eastAsia" w:ascii="宋体" w:hAnsi="宋体" w:eastAsia="宋体" w:cs="宋体"/>
          <w:b w:val="0"/>
          <w:bCs/>
          <w:color w:val="auto"/>
          <w:sz w:val="21"/>
          <w:szCs w:val="21"/>
          <w:highlight w:val="none"/>
          <w:u w:val="single"/>
        </w:rPr>
        <w:t xml:space="preserve">                         </w:t>
      </w:r>
    </w:p>
    <w:p w14:paraId="1CF15819">
      <w:pPr>
        <w:spacing w:line="480" w:lineRule="auto"/>
        <w:ind w:firstLine="1470" w:firstLineChars="700"/>
        <w:rPr>
          <w:rFonts w:hint="eastAsia" w:ascii="宋体" w:hAnsi="宋体" w:eastAsia="宋体" w:cs="宋体"/>
          <w:b w:val="0"/>
          <w:bCs/>
          <w:color w:val="auto"/>
          <w:sz w:val="21"/>
          <w:szCs w:val="21"/>
          <w:highlight w:val="none"/>
          <w:u w:val="single"/>
        </w:rPr>
      </w:pPr>
      <w:r>
        <w:rPr>
          <w:rFonts w:hint="eastAsia" w:ascii="宋体" w:hAnsi="宋体" w:eastAsia="宋体" w:cs="宋体"/>
          <w:b w:val="0"/>
          <w:bCs/>
          <w:color w:val="auto"/>
          <w:sz w:val="21"/>
          <w:szCs w:val="21"/>
          <w:highlight w:val="none"/>
        </w:rPr>
        <w:t>法定代表人：（</w:t>
      </w:r>
      <w:r>
        <w:rPr>
          <w:rFonts w:hint="eastAsia" w:ascii="宋体" w:hAnsi="宋体" w:eastAsia="宋体" w:cs="宋体"/>
          <w:b w:val="0"/>
          <w:bCs/>
          <w:color w:val="auto"/>
          <w:sz w:val="21"/>
          <w:szCs w:val="21"/>
          <w:highlight w:val="none"/>
          <w:lang w:val="en-US" w:eastAsia="zh-CN"/>
        </w:rPr>
        <w:t>签字或盖章</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u w:val="single"/>
        </w:rPr>
        <w:t xml:space="preserve">                    </w:t>
      </w:r>
    </w:p>
    <w:p w14:paraId="42D7D09E">
      <w:pPr>
        <w:spacing w:line="480" w:lineRule="auto"/>
        <w:ind w:firstLine="1470" w:firstLineChars="7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有效的联系方式：</w:t>
      </w:r>
      <w:r>
        <w:rPr>
          <w:rFonts w:hint="eastAsia" w:ascii="宋体" w:hAnsi="宋体" w:eastAsia="宋体" w:cs="宋体"/>
          <w:b w:val="0"/>
          <w:bCs/>
          <w:color w:val="auto"/>
          <w:sz w:val="21"/>
          <w:szCs w:val="21"/>
          <w:highlight w:val="none"/>
          <w:u w:val="single"/>
        </w:rPr>
        <w:t xml:space="preserve">                                   </w:t>
      </w:r>
    </w:p>
    <w:p w14:paraId="1EABC8B7">
      <w:pPr>
        <w:spacing w:line="480" w:lineRule="auto"/>
        <w:ind w:firstLine="3780" w:firstLineChars="18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年      月       日</w:t>
      </w:r>
    </w:p>
    <w:p w14:paraId="2FB3D47C">
      <w:pPr>
        <w:spacing w:line="480" w:lineRule="auto"/>
        <w:rPr>
          <w:rFonts w:hint="eastAsia" w:ascii="宋体" w:hAnsi="宋体" w:eastAsia="宋体" w:cs="宋体"/>
          <w:b/>
          <w:color w:val="auto"/>
          <w:sz w:val="21"/>
          <w:szCs w:val="21"/>
          <w:highlight w:val="none"/>
        </w:rPr>
      </w:pPr>
    </w:p>
    <w:p w14:paraId="70F1DFA0">
      <w:pPr>
        <w:keepNext/>
        <w:keepLines/>
        <w:pageBreakBefore w:val="0"/>
        <w:widowControl w:val="0"/>
        <w:numPr>
          <w:ilvl w:val="0"/>
          <w:numId w:val="0"/>
        </w:numPr>
        <w:tabs>
          <w:tab w:val="left" w:pos="425"/>
          <w:tab w:val="left" w:pos="5852"/>
        </w:tabs>
        <w:kinsoku/>
        <w:wordWrap/>
        <w:overflowPunct/>
        <w:topLinePunct w:val="0"/>
        <w:autoSpaceDE/>
        <w:autoSpaceDN/>
        <w:bidi w:val="0"/>
        <w:adjustRightInd/>
        <w:snapToGrid w:val="0"/>
        <w:spacing w:line="480" w:lineRule="auto"/>
        <w:ind w:leftChars="0"/>
        <w:textAlignment w:val="auto"/>
        <w:outlineLvl w:val="9"/>
        <w:rPr>
          <w:rFonts w:ascii="黑体" w:hAnsi="黑体" w:eastAsia="黑体"/>
          <w:b w:val="0"/>
          <w:bCs/>
          <w:color w:val="auto"/>
          <w:sz w:val="21"/>
          <w:szCs w:val="21"/>
          <w:highlight w:val="none"/>
        </w:rPr>
      </w:pPr>
      <w:r>
        <w:rPr>
          <w:rFonts w:hint="eastAsia" w:ascii="宋体" w:hAnsi="宋体" w:eastAsia="宋体" w:cs="宋体"/>
          <w:b w:val="0"/>
          <w:bCs/>
          <w:color w:val="auto"/>
          <w:sz w:val="21"/>
          <w:szCs w:val="21"/>
          <w:highlight w:val="none"/>
        </w:rPr>
        <w:t>说明：投标</w:t>
      </w:r>
      <w:r>
        <w:rPr>
          <w:rFonts w:hint="eastAsia" w:ascii="宋体" w:hAnsi="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未提供此承诺的，内容应填写完整，否则其投标将被拒绝！</w:t>
      </w:r>
    </w:p>
    <w:p w14:paraId="29848536">
      <w:pPr>
        <w:pStyle w:val="74"/>
        <w:widowControl w:val="0"/>
        <w:numPr>
          <w:ilvl w:val="0"/>
          <w:numId w:val="0"/>
        </w:numPr>
        <w:spacing w:line="0" w:lineRule="atLeast"/>
        <w:jc w:val="center"/>
        <w:outlineLvl w:val="9"/>
        <w:rPr>
          <w:rFonts w:hint="eastAsia" w:ascii="黑体" w:hAnsi="黑体" w:eastAsia="黑体"/>
          <w:b/>
          <w:color w:val="auto"/>
          <w:szCs w:val="28"/>
          <w:highlight w:val="none"/>
          <w:lang w:val="en-US" w:eastAsia="zh-CN"/>
        </w:rPr>
      </w:pPr>
    </w:p>
    <w:p w14:paraId="7A4BA7AD">
      <w:pPr>
        <w:pStyle w:val="74"/>
        <w:widowControl w:val="0"/>
        <w:numPr>
          <w:ilvl w:val="0"/>
          <w:numId w:val="0"/>
        </w:numPr>
        <w:spacing w:line="0" w:lineRule="atLeast"/>
        <w:jc w:val="center"/>
        <w:outlineLvl w:val="9"/>
        <w:rPr>
          <w:rFonts w:hint="eastAsia" w:ascii="黑体" w:hAnsi="黑体" w:eastAsia="黑体"/>
          <w:b/>
          <w:color w:val="auto"/>
          <w:szCs w:val="28"/>
          <w:highlight w:val="none"/>
          <w:lang w:val="en-US" w:eastAsia="zh-CN"/>
        </w:rPr>
      </w:pPr>
    </w:p>
    <w:p w14:paraId="40D6E1B8">
      <w:pPr>
        <w:pStyle w:val="74"/>
        <w:widowControl w:val="0"/>
        <w:numPr>
          <w:ilvl w:val="0"/>
          <w:numId w:val="0"/>
        </w:numPr>
        <w:spacing w:line="0" w:lineRule="atLeast"/>
        <w:jc w:val="center"/>
        <w:outlineLvl w:val="9"/>
        <w:rPr>
          <w:rFonts w:hint="eastAsia" w:ascii="黑体" w:hAnsi="黑体" w:eastAsia="黑体"/>
          <w:b/>
          <w:color w:val="auto"/>
          <w:szCs w:val="28"/>
          <w:highlight w:val="none"/>
          <w:lang w:val="en-US" w:eastAsia="zh-CN"/>
        </w:rPr>
      </w:pPr>
    </w:p>
    <w:p w14:paraId="5697EEB2">
      <w:pPr>
        <w:pStyle w:val="74"/>
        <w:widowControl w:val="0"/>
        <w:numPr>
          <w:ilvl w:val="0"/>
          <w:numId w:val="0"/>
        </w:numPr>
        <w:spacing w:line="0" w:lineRule="atLeast"/>
        <w:jc w:val="center"/>
        <w:outlineLvl w:val="9"/>
        <w:rPr>
          <w:rFonts w:hint="eastAsia" w:ascii="黑体" w:hAnsi="黑体" w:eastAsia="黑体"/>
          <w:b/>
          <w:color w:val="auto"/>
          <w:szCs w:val="28"/>
          <w:highlight w:val="none"/>
          <w:lang w:val="en-US" w:eastAsia="zh-CN"/>
        </w:rPr>
      </w:pPr>
    </w:p>
    <w:p w14:paraId="33EBB5DA">
      <w:pPr>
        <w:pStyle w:val="74"/>
        <w:widowControl w:val="0"/>
        <w:numPr>
          <w:ilvl w:val="0"/>
          <w:numId w:val="0"/>
        </w:numPr>
        <w:spacing w:line="0" w:lineRule="atLeast"/>
        <w:jc w:val="center"/>
        <w:outlineLvl w:val="9"/>
        <w:rPr>
          <w:rFonts w:hint="eastAsia" w:ascii="黑体" w:hAnsi="黑体" w:eastAsia="黑体"/>
          <w:b/>
          <w:color w:val="auto"/>
          <w:szCs w:val="28"/>
          <w:highlight w:val="none"/>
          <w:lang w:val="en-US" w:eastAsia="zh-CN"/>
        </w:rPr>
      </w:pPr>
    </w:p>
    <w:p w14:paraId="3C5B8E0A">
      <w:pPr>
        <w:pStyle w:val="74"/>
        <w:widowControl w:val="0"/>
        <w:numPr>
          <w:ilvl w:val="0"/>
          <w:numId w:val="0"/>
        </w:numPr>
        <w:spacing w:line="0" w:lineRule="atLeast"/>
        <w:jc w:val="both"/>
        <w:outlineLvl w:val="9"/>
        <w:rPr>
          <w:rFonts w:hint="eastAsia" w:ascii="黑体" w:hAnsi="黑体" w:eastAsia="黑体"/>
          <w:b/>
          <w:color w:val="auto"/>
          <w:szCs w:val="28"/>
          <w:highlight w:val="none"/>
          <w:lang w:val="en-US" w:eastAsia="zh-CN"/>
        </w:rPr>
      </w:pPr>
    </w:p>
    <w:p w14:paraId="1C646287">
      <w:pPr>
        <w:spacing w:line="360" w:lineRule="auto"/>
        <w:jc w:val="center"/>
        <w:rPr>
          <w:rFonts w:hint="eastAsia" w:ascii="宋体" w:hAnsi="宋体" w:eastAsia="宋体" w:cs="宋体"/>
          <w:b/>
          <w:color w:val="auto"/>
          <w:sz w:val="28"/>
          <w:szCs w:val="28"/>
          <w:highlight w:val="none"/>
          <w:lang w:val="en-US" w:eastAsia="zh-CN"/>
        </w:rPr>
      </w:pPr>
    </w:p>
    <w:p w14:paraId="50D7FA83">
      <w:pPr>
        <w:spacing w:line="360" w:lineRule="auto"/>
        <w:jc w:val="center"/>
        <w:rPr>
          <w:rFonts w:hint="eastAsia" w:ascii="宋体" w:hAnsi="宋体" w:eastAsia="宋体" w:cs="宋体"/>
          <w:b/>
          <w:color w:val="auto"/>
          <w:sz w:val="28"/>
          <w:szCs w:val="28"/>
          <w:highlight w:val="none"/>
          <w:lang w:val="en-US" w:eastAsia="zh-CN"/>
        </w:rPr>
      </w:pPr>
    </w:p>
    <w:p w14:paraId="3625EA88">
      <w:pPr>
        <w:spacing w:line="360" w:lineRule="auto"/>
        <w:jc w:val="center"/>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(19)2023年或2024年财务审计报告或财务报表（新成立企业可不提供）</w:t>
      </w:r>
    </w:p>
    <w:p w14:paraId="2B9AD88A">
      <w:pPr>
        <w:keepLines w:val="0"/>
        <w:pageBreakBefore w:val="0"/>
        <w:widowControl w:val="0"/>
        <w:kinsoku/>
        <w:overflowPunct/>
        <w:bidi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w:t>
      </w:r>
      <w:r>
        <w:rPr>
          <w:rStyle w:val="65"/>
          <w:rFonts w:hint="eastAsia" w:ascii="宋体" w:hAnsi="宋体" w:eastAsia="宋体" w:cs="宋体"/>
          <w:b w:val="0"/>
          <w:bCs/>
          <w:color w:val="auto"/>
          <w:sz w:val="24"/>
          <w:szCs w:val="24"/>
          <w:highlight w:val="none"/>
        </w:rPr>
        <w:t>202</w:t>
      </w:r>
      <w:r>
        <w:rPr>
          <w:rStyle w:val="65"/>
          <w:rFonts w:hint="eastAsia" w:ascii="宋体" w:hAnsi="宋体" w:cs="宋体"/>
          <w:b w:val="0"/>
          <w:bCs/>
          <w:color w:val="auto"/>
          <w:sz w:val="24"/>
          <w:szCs w:val="24"/>
          <w:highlight w:val="none"/>
          <w:lang w:val="en-US" w:eastAsia="zh-CN"/>
        </w:rPr>
        <w:t>3</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或202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年</w:t>
      </w:r>
      <w:r>
        <w:rPr>
          <w:rFonts w:hint="eastAsia" w:ascii="宋体" w:hAnsi="宋体" w:eastAsia="宋体" w:cs="宋体"/>
          <w:color w:val="auto"/>
          <w:kern w:val="0"/>
          <w:sz w:val="24"/>
          <w:szCs w:val="24"/>
          <w:highlight w:val="none"/>
        </w:rPr>
        <w:t>度内财务会计报表，包括资产负债表、利润表、现金流量表和财务情况说明书。</w:t>
      </w:r>
    </w:p>
    <w:p w14:paraId="431FFF39">
      <w:pPr>
        <w:keepLines w:val="0"/>
        <w:pageBreakBefore w:val="0"/>
        <w:widowControl w:val="0"/>
        <w:kinsoku/>
        <w:overflowPunct/>
        <w:bidi w:val="0"/>
        <w:spacing w:line="44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（注：若无会计事务所或审计机构审计的财务会计报表，可提供公司内部财务报表</w:t>
      </w:r>
      <w:r>
        <w:rPr>
          <w:rFonts w:hint="eastAsia" w:ascii="宋体" w:hAnsi="宋体" w:eastAsia="宋体" w:cs="宋体"/>
          <w:b/>
          <w:color w:val="auto"/>
          <w:kern w:val="0"/>
          <w:sz w:val="24"/>
          <w:szCs w:val="24"/>
          <w:highlight w:val="none"/>
          <w:lang w:eastAsia="zh-CN"/>
        </w:rPr>
        <w:t>，新成立企业不提供。</w:t>
      </w:r>
      <w:r>
        <w:rPr>
          <w:rFonts w:hint="eastAsia" w:ascii="宋体" w:hAnsi="宋体" w:eastAsia="宋体" w:cs="宋体"/>
          <w:b/>
          <w:color w:val="auto"/>
          <w:kern w:val="0"/>
          <w:sz w:val="24"/>
          <w:szCs w:val="24"/>
          <w:highlight w:val="none"/>
        </w:rPr>
        <w:t>）</w:t>
      </w:r>
    </w:p>
    <w:p w14:paraId="72989244">
      <w:pPr>
        <w:spacing w:line="360" w:lineRule="auto"/>
        <w:jc w:val="center"/>
        <w:rPr>
          <w:rFonts w:hint="default" w:ascii="宋体" w:hAnsi="宋体" w:eastAsia="宋体" w:cs="宋体"/>
          <w:b/>
          <w:color w:val="auto"/>
          <w:sz w:val="28"/>
          <w:szCs w:val="28"/>
          <w:highlight w:val="none"/>
          <w:lang w:val="en-US" w:eastAsia="zh-CN"/>
        </w:rPr>
      </w:pPr>
    </w:p>
    <w:p w14:paraId="273B1CFD">
      <w:pPr>
        <w:spacing w:line="360" w:lineRule="auto"/>
        <w:jc w:val="center"/>
        <w:rPr>
          <w:rFonts w:hint="default" w:ascii="宋体" w:hAnsi="宋体" w:eastAsia="宋体" w:cs="宋体"/>
          <w:b/>
          <w:color w:val="auto"/>
          <w:sz w:val="28"/>
          <w:szCs w:val="28"/>
          <w:highlight w:val="none"/>
          <w:lang w:val="en-US" w:eastAsia="zh-CN"/>
        </w:rPr>
      </w:pPr>
    </w:p>
    <w:p w14:paraId="5F4405DF">
      <w:pPr>
        <w:spacing w:line="360" w:lineRule="auto"/>
        <w:jc w:val="center"/>
        <w:rPr>
          <w:rFonts w:hint="default" w:ascii="宋体" w:hAnsi="宋体" w:eastAsia="宋体" w:cs="宋体"/>
          <w:b/>
          <w:color w:val="auto"/>
          <w:sz w:val="28"/>
          <w:szCs w:val="28"/>
          <w:highlight w:val="none"/>
          <w:lang w:val="en-US" w:eastAsia="zh-CN"/>
        </w:rPr>
      </w:pPr>
    </w:p>
    <w:p w14:paraId="1D81347F">
      <w:pPr>
        <w:spacing w:line="360" w:lineRule="auto"/>
        <w:jc w:val="center"/>
        <w:rPr>
          <w:rFonts w:hint="default" w:ascii="宋体" w:hAnsi="宋体" w:eastAsia="宋体" w:cs="宋体"/>
          <w:b/>
          <w:color w:val="auto"/>
          <w:sz w:val="28"/>
          <w:szCs w:val="28"/>
          <w:highlight w:val="none"/>
          <w:lang w:val="en-US" w:eastAsia="zh-CN"/>
        </w:rPr>
      </w:pPr>
    </w:p>
    <w:p w14:paraId="01E156DB">
      <w:pPr>
        <w:spacing w:line="360" w:lineRule="auto"/>
        <w:jc w:val="center"/>
        <w:rPr>
          <w:rFonts w:hint="default" w:ascii="宋体" w:hAnsi="宋体" w:eastAsia="宋体" w:cs="宋体"/>
          <w:b/>
          <w:color w:val="auto"/>
          <w:sz w:val="28"/>
          <w:szCs w:val="28"/>
          <w:highlight w:val="none"/>
          <w:lang w:val="en-US" w:eastAsia="zh-CN"/>
        </w:rPr>
      </w:pPr>
    </w:p>
    <w:p w14:paraId="3C9C2F64">
      <w:pPr>
        <w:spacing w:line="360" w:lineRule="auto"/>
        <w:jc w:val="center"/>
        <w:rPr>
          <w:rFonts w:hint="default" w:ascii="宋体" w:hAnsi="宋体" w:eastAsia="宋体" w:cs="宋体"/>
          <w:b/>
          <w:color w:val="auto"/>
          <w:sz w:val="28"/>
          <w:szCs w:val="28"/>
          <w:highlight w:val="none"/>
          <w:lang w:val="en-US" w:eastAsia="zh-CN"/>
        </w:rPr>
      </w:pPr>
    </w:p>
    <w:p w14:paraId="2DCC2FAB">
      <w:pPr>
        <w:spacing w:line="360" w:lineRule="auto"/>
        <w:jc w:val="center"/>
        <w:rPr>
          <w:rFonts w:hint="default" w:ascii="宋体" w:hAnsi="宋体" w:eastAsia="宋体" w:cs="宋体"/>
          <w:b/>
          <w:color w:val="auto"/>
          <w:sz w:val="28"/>
          <w:szCs w:val="28"/>
          <w:highlight w:val="none"/>
          <w:lang w:val="en-US" w:eastAsia="zh-CN"/>
        </w:rPr>
      </w:pPr>
    </w:p>
    <w:p w14:paraId="595021A6">
      <w:pPr>
        <w:spacing w:line="360" w:lineRule="auto"/>
        <w:jc w:val="center"/>
        <w:rPr>
          <w:rFonts w:hint="default" w:ascii="宋体" w:hAnsi="宋体" w:eastAsia="宋体" w:cs="宋体"/>
          <w:b/>
          <w:color w:val="auto"/>
          <w:sz w:val="28"/>
          <w:szCs w:val="28"/>
          <w:highlight w:val="none"/>
          <w:lang w:val="en-US" w:eastAsia="zh-CN"/>
        </w:rPr>
      </w:pPr>
    </w:p>
    <w:p w14:paraId="30E23583">
      <w:pPr>
        <w:spacing w:line="360" w:lineRule="auto"/>
        <w:jc w:val="center"/>
        <w:rPr>
          <w:rFonts w:hint="default" w:ascii="宋体" w:hAnsi="宋体" w:eastAsia="宋体" w:cs="宋体"/>
          <w:b/>
          <w:color w:val="auto"/>
          <w:sz w:val="28"/>
          <w:szCs w:val="28"/>
          <w:highlight w:val="none"/>
          <w:lang w:val="en-US" w:eastAsia="zh-CN"/>
        </w:rPr>
      </w:pPr>
    </w:p>
    <w:p w14:paraId="313811CF">
      <w:pPr>
        <w:spacing w:line="360" w:lineRule="auto"/>
        <w:jc w:val="center"/>
        <w:rPr>
          <w:rFonts w:hint="default" w:ascii="宋体" w:hAnsi="宋体" w:eastAsia="宋体" w:cs="宋体"/>
          <w:b/>
          <w:color w:val="auto"/>
          <w:sz w:val="28"/>
          <w:szCs w:val="28"/>
          <w:highlight w:val="none"/>
          <w:lang w:val="en-US" w:eastAsia="zh-CN"/>
        </w:rPr>
      </w:pPr>
    </w:p>
    <w:p w14:paraId="3DF2A214">
      <w:pPr>
        <w:spacing w:line="360" w:lineRule="auto"/>
        <w:jc w:val="center"/>
        <w:rPr>
          <w:rFonts w:hint="default" w:ascii="宋体" w:hAnsi="宋体" w:eastAsia="宋体" w:cs="宋体"/>
          <w:b/>
          <w:color w:val="auto"/>
          <w:sz w:val="28"/>
          <w:szCs w:val="28"/>
          <w:highlight w:val="none"/>
          <w:lang w:val="en-US" w:eastAsia="zh-CN"/>
        </w:rPr>
      </w:pPr>
    </w:p>
    <w:p w14:paraId="36627033">
      <w:pPr>
        <w:spacing w:line="360" w:lineRule="auto"/>
        <w:jc w:val="center"/>
        <w:rPr>
          <w:rFonts w:hint="default" w:ascii="宋体" w:hAnsi="宋体" w:eastAsia="宋体" w:cs="宋体"/>
          <w:b/>
          <w:color w:val="auto"/>
          <w:sz w:val="28"/>
          <w:szCs w:val="28"/>
          <w:highlight w:val="none"/>
          <w:lang w:val="en-US" w:eastAsia="zh-CN"/>
        </w:rPr>
      </w:pPr>
    </w:p>
    <w:p w14:paraId="2E4E0193">
      <w:pPr>
        <w:spacing w:line="360" w:lineRule="auto"/>
        <w:jc w:val="center"/>
        <w:rPr>
          <w:rFonts w:hint="default" w:ascii="宋体" w:hAnsi="宋体" w:eastAsia="宋体" w:cs="宋体"/>
          <w:b/>
          <w:color w:val="auto"/>
          <w:sz w:val="28"/>
          <w:szCs w:val="28"/>
          <w:highlight w:val="none"/>
          <w:lang w:val="en-US" w:eastAsia="zh-CN"/>
        </w:rPr>
      </w:pPr>
    </w:p>
    <w:p w14:paraId="565F8BEB">
      <w:pPr>
        <w:spacing w:line="360" w:lineRule="auto"/>
        <w:jc w:val="center"/>
        <w:rPr>
          <w:rFonts w:hint="default" w:ascii="宋体" w:hAnsi="宋体" w:eastAsia="宋体" w:cs="宋体"/>
          <w:b/>
          <w:color w:val="auto"/>
          <w:sz w:val="28"/>
          <w:szCs w:val="28"/>
          <w:highlight w:val="none"/>
          <w:lang w:val="en-US" w:eastAsia="zh-CN"/>
        </w:rPr>
      </w:pPr>
    </w:p>
    <w:p w14:paraId="0B3171EA">
      <w:pPr>
        <w:spacing w:line="360" w:lineRule="auto"/>
        <w:jc w:val="center"/>
        <w:rPr>
          <w:rFonts w:hint="default" w:ascii="宋体" w:hAnsi="宋体" w:eastAsia="宋体" w:cs="宋体"/>
          <w:b/>
          <w:color w:val="auto"/>
          <w:sz w:val="28"/>
          <w:szCs w:val="28"/>
          <w:highlight w:val="none"/>
          <w:lang w:val="en-US" w:eastAsia="zh-CN"/>
        </w:rPr>
      </w:pPr>
    </w:p>
    <w:p w14:paraId="4AAC8145">
      <w:pPr>
        <w:spacing w:line="360" w:lineRule="auto"/>
        <w:jc w:val="center"/>
        <w:rPr>
          <w:rFonts w:hint="default" w:ascii="宋体" w:hAnsi="宋体" w:eastAsia="宋体" w:cs="宋体"/>
          <w:b/>
          <w:color w:val="auto"/>
          <w:sz w:val="28"/>
          <w:szCs w:val="28"/>
          <w:highlight w:val="none"/>
          <w:lang w:val="en-US" w:eastAsia="zh-CN"/>
        </w:rPr>
      </w:pPr>
    </w:p>
    <w:p w14:paraId="01C8829D">
      <w:pPr>
        <w:spacing w:line="360" w:lineRule="auto"/>
        <w:jc w:val="center"/>
        <w:rPr>
          <w:rFonts w:hint="default" w:ascii="宋体" w:hAnsi="宋体" w:eastAsia="宋体" w:cs="宋体"/>
          <w:b/>
          <w:color w:val="auto"/>
          <w:sz w:val="28"/>
          <w:szCs w:val="28"/>
          <w:highlight w:val="none"/>
          <w:lang w:val="en-US" w:eastAsia="zh-CN"/>
        </w:rPr>
      </w:pPr>
    </w:p>
    <w:p w14:paraId="28277B0F">
      <w:pPr>
        <w:spacing w:line="360" w:lineRule="auto"/>
        <w:jc w:val="center"/>
        <w:rPr>
          <w:rFonts w:hint="default" w:ascii="宋体" w:hAnsi="宋体" w:eastAsia="宋体" w:cs="宋体"/>
          <w:b/>
          <w:color w:val="auto"/>
          <w:sz w:val="28"/>
          <w:szCs w:val="28"/>
          <w:highlight w:val="none"/>
          <w:lang w:val="en-US" w:eastAsia="zh-CN"/>
        </w:rPr>
      </w:pPr>
    </w:p>
    <w:p w14:paraId="7375EF82">
      <w:pPr>
        <w:spacing w:line="360" w:lineRule="auto"/>
        <w:jc w:val="center"/>
        <w:rPr>
          <w:rFonts w:hint="default" w:ascii="宋体" w:hAnsi="宋体" w:eastAsia="宋体" w:cs="宋体"/>
          <w:b/>
          <w:color w:val="auto"/>
          <w:sz w:val="28"/>
          <w:szCs w:val="28"/>
          <w:highlight w:val="none"/>
          <w:lang w:val="en-US" w:eastAsia="zh-CN"/>
        </w:rPr>
      </w:pPr>
    </w:p>
    <w:p w14:paraId="79AB4A7A">
      <w:pPr>
        <w:spacing w:line="360" w:lineRule="auto"/>
        <w:jc w:val="center"/>
        <w:rPr>
          <w:rFonts w:hint="default" w:ascii="宋体" w:hAnsi="宋体" w:eastAsia="宋体" w:cs="宋体"/>
          <w:b/>
          <w:color w:val="auto"/>
          <w:sz w:val="28"/>
          <w:szCs w:val="28"/>
          <w:highlight w:val="none"/>
          <w:lang w:val="en-US" w:eastAsia="zh-CN"/>
        </w:rPr>
      </w:pPr>
    </w:p>
    <w:p w14:paraId="004D99FF">
      <w:pPr>
        <w:spacing w:line="360" w:lineRule="auto"/>
        <w:jc w:val="center"/>
        <w:rPr>
          <w:rFonts w:hint="default" w:ascii="宋体" w:hAnsi="宋体" w:eastAsia="宋体" w:cs="宋体"/>
          <w:b/>
          <w:color w:val="auto"/>
          <w:sz w:val="28"/>
          <w:szCs w:val="28"/>
          <w:highlight w:val="none"/>
          <w:lang w:val="en-US" w:eastAsia="zh-CN"/>
        </w:rPr>
      </w:pPr>
    </w:p>
    <w:p w14:paraId="36E6499B">
      <w:pPr>
        <w:spacing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w:t>
      </w:r>
      <w:r>
        <w:rPr>
          <w:rFonts w:hint="eastAsia" w:ascii="宋体" w:hAnsi="宋体" w:cs="宋体"/>
          <w:b/>
          <w:color w:val="auto"/>
          <w:sz w:val="28"/>
          <w:szCs w:val="28"/>
          <w:highlight w:val="none"/>
          <w:lang w:val="en-US" w:eastAsia="zh-CN"/>
        </w:rPr>
        <w:t>20</w:t>
      </w:r>
      <w:r>
        <w:rPr>
          <w:rFonts w:hint="eastAsia" w:ascii="宋体" w:hAnsi="宋体" w:eastAsia="宋体" w:cs="宋体"/>
          <w:b/>
          <w:color w:val="auto"/>
          <w:sz w:val="28"/>
          <w:szCs w:val="28"/>
          <w:highlight w:val="none"/>
          <w:lang w:val="en-US" w:eastAsia="zh-CN"/>
        </w:rPr>
        <w:t>）要求提供的其它材料以及</w:t>
      </w:r>
      <w:r>
        <w:rPr>
          <w:rFonts w:hint="eastAsia" w:ascii="宋体" w:hAnsi="宋体" w:cs="宋体"/>
          <w:b/>
          <w:color w:val="auto"/>
          <w:sz w:val="28"/>
          <w:szCs w:val="28"/>
          <w:highlight w:val="none"/>
          <w:lang w:val="en-US" w:eastAsia="zh-CN"/>
        </w:rPr>
        <w:t>供应商</w:t>
      </w:r>
      <w:r>
        <w:rPr>
          <w:rFonts w:hint="eastAsia" w:ascii="宋体" w:hAnsi="宋体" w:eastAsia="宋体" w:cs="宋体"/>
          <w:b/>
          <w:color w:val="auto"/>
          <w:sz w:val="28"/>
          <w:szCs w:val="28"/>
          <w:highlight w:val="none"/>
          <w:lang w:val="en-US" w:eastAsia="zh-CN"/>
        </w:rPr>
        <w:t>认为需要提交的材料</w:t>
      </w:r>
    </w:p>
    <w:p w14:paraId="21D5A050">
      <w:pPr>
        <w:pStyle w:val="74"/>
        <w:widowControl w:val="0"/>
        <w:numPr>
          <w:ilvl w:val="0"/>
          <w:numId w:val="0"/>
        </w:numPr>
        <w:spacing w:line="0" w:lineRule="atLeast"/>
        <w:jc w:val="center"/>
        <w:outlineLvl w:val="9"/>
        <w:rPr>
          <w:rFonts w:hint="eastAsia" w:ascii="黑体" w:hAnsi="黑体" w:eastAsia="黑体"/>
          <w:b/>
          <w:color w:val="auto"/>
          <w:szCs w:val="28"/>
          <w:highlight w:val="none"/>
          <w:lang w:val="en-US" w:eastAsia="zh-CN"/>
        </w:rPr>
      </w:pPr>
    </w:p>
    <w:p w14:paraId="2BC6CED8">
      <w:pPr>
        <w:pStyle w:val="24"/>
        <w:spacing w:line="480" w:lineRule="exact"/>
        <w:jc w:val="center"/>
        <w:rPr>
          <w:rFonts w:hint="eastAsia" w:ascii="宋体" w:hAnsi="宋体" w:eastAsia="宋体" w:cs="宋体"/>
          <w:snapToGrid w:val="0"/>
          <w:color w:val="000000"/>
          <w:spacing w:val="9"/>
          <w:kern w:val="0"/>
          <w:sz w:val="22"/>
          <w:szCs w:val="22"/>
          <w:highlight w:val="none"/>
          <w:lang w:val="en-US" w:eastAsia="zh-CN"/>
        </w:rPr>
      </w:pPr>
      <w:r>
        <w:rPr>
          <w:rFonts w:hint="eastAsia" w:ascii="宋体" w:hAnsi="宋体" w:eastAsia="宋体" w:cs="宋体"/>
          <w:snapToGrid w:val="0"/>
          <w:color w:val="000000"/>
          <w:spacing w:val="9"/>
          <w:kern w:val="0"/>
          <w:sz w:val="22"/>
          <w:szCs w:val="22"/>
          <w:highlight w:val="none"/>
          <w:lang w:val="en-US" w:eastAsia="zh-CN"/>
        </w:rPr>
        <w:t>（1）承诺书</w:t>
      </w:r>
    </w:p>
    <w:p w14:paraId="0A40E43B">
      <w:pPr>
        <w:pStyle w:val="24"/>
        <w:spacing w:line="480" w:lineRule="exact"/>
        <w:rPr>
          <w:rFonts w:hint="eastAsia" w:ascii="宋体" w:hAnsi="宋体" w:eastAsia="宋体" w:cs="宋体"/>
          <w:snapToGrid w:val="0"/>
          <w:color w:val="000000"/>
          <w:spacing w:val="9"/>
          <w:kern w:val="0"/>
          <w:sz w:val="22"/>
          <w:szCs w:val="22"/>
          <w:highlight w:val="none"/>
          <w:lang w:val="en-US" w:eastAsia="zh-CN"/>
        </w:rPr>
      </w:pPr>
    </w:p>
    <w:p w14:paraId="0290D620">
      <w:pPr>
        <w:pStyle w:val="24"/>
        <w:spacing w:line="480" w:lineRule="exact"/>
        <w:rPr>
          <w:rFonts w:hint="eastAsia" w:ascii="宋体" w:hAnsi="宋体" w:eastAsia="宋体" w:cs="宋体"/>
          <w:snapToGrid w:val="0"/>
          <w:color w:val="000000"/>
          <w:spacing w:val="9"/>
          <w:kern w:val="0"/>
          <w:sz w:val="22"/>
          <w:szCs w:val="22"/>
          <w:highlight w:val="none"/>
          <w:lang w:val="en-US" w:eastAsia="zh-CN"/>
        </w:rPr>
      </w:pPr>
      <w:r>
        <w:rPr>
          <w:rFonts w:hint="eastAsia" w:ascii="宋体" w:hAnsi="宋体" w:eastAsia="宋体" w:cs="宋体"/>
          <w:snapToGrid w:val="0"/>
          <w:color w:val="000000"/>
          <w:spacing w:val="9"/>
          <w:kern w:val="0"/>
          <w:sz w:val="22"/>
          <w:szCs w:val="22"/>
          <w:highlight w:val="none"/>
          <w:lang w:val="en-US" w:eastAsia="zh-CN"/>
        </w:rPr>
        <w:t>我单位参加</w:t>
      </w:r>
      <w:r>
        <w:rPr>
          <w:rFonts w:hint="eastAsia" w:ascii="宋体" w:hAnsi="宋体" w:eastAsia="宋体" w:cs="宋体"/>
          <w:snapToGrid w:val="0"/>
          <w:color w:val="000000"/>
          <w:spacing w:val="9"/>
          <w:kern w:val="0"/>
          <w:sz w:val="22"/>
          <w:szCs w:val="22"/>
          <w:highlight w:val="none"/>
          <w:u w:val="single"/>
          <w:lang w:val="en-US" w:eastAsia="zh-CN"/>
        </w:rPr>
        <w:t xml:space="preserve">                    </w:t>
      </w:r>
      <w:r>
        <w:rPr>
          <w:rFonts w:hint="eastAsia" w:ascii="宋体" w:hAnsi="宋体" w:eastAsia="宋体" w:cs="宋体"/>
          <w:snapToGrid w:val="0"/>
          <w:color w:val="000000"/>
          <w:spacing w:val="9"/>
          <w:kern w:val="0"/>
          <w:sz w:val="22"/>
          <w:szCs w:val="22"/>
          <w:highlight w:val="none"/>
          <w:lang w:val="en-US" w:eastAsia="zh-CN"/>
        </w:rPr>
        <w:t>采购活动，郑重承诺具备以下条件;</w:t>
      </w:r>
    </w:p>
    <w:p w14:paraId="6AFE650D">
      <w:pPr>
        <w:pStyle w:val="24"/>
        <w:spacing w:line="480" w:lineRule="exact"/>
        <w:rPr>
          <w:rFonts w:hint="eastAsia" w:ascii="宋体" w:hAnsi="宋体" w:eastAsia="宋体" w:cs="宋体"/>
          <w:snapToGrid w:val="0"/>
          <w:color w:val="000000"/>
          <w:spacing w:val="9"/>
          <w:kern w:val="0"/>
          <w:sz w:val="22"/>
          <w:szCs w:val="22"/>
          <w:highlight w:val="none"/>
          <w:lang w:val="en-US" w:eastAsia="zh-CN"/>
        </w:rPr>
      </w:pPr>
      <w:r>
        <w:rPr>
          <w:rFonts w:hint="eastAsia" w:ascii="宋体" w:hAnsi="宋体" w:eastAsia="宋体" w:cs="宋体"/>
          <w:snapToGrid w:val="0"/>
          <w:color w:val="000000"/>
          <w:spacing w:val="9"/>
          <w:kern w:val="0"/>
          <w:sz w:val="22"/>
          <w:szCs w:val="22"/>
          <w:highlight w:val="none"/>
          <w:lang w:val="en-US" w:eastAsia="zh-CN"/>
        </w:rPr>
        <w:t>1、具有独立承担民事责任的能力;</w:t>
      </w:r>
    </w:p>
    <w:p w14:paraId="70EF7213">
      <w:pPr>
        <w:pStyle w:val="24"/>
        <w:spacing w:line="480" w:lineRule="exact"/>
        <w:rPr>
          <w:rFonts w:hint="eastAsia" w:ascii="宋体" w:hAnsi="宋体" w:eastAsia="宋体" w:cs="宋体"/>
          <w:snapToGrid w:val="0"/>
          <w:color w:val="000000"/>
          <w:spacing w:val="9"/>
          <w:kern w:val="0"/>
          <w:sz w:val="22"/>
          <w:szCs w:val="22"/>
          <w:highlight w:val="none"/>
          <w:lang w:val="en-US" w:eastAsia="zh-CN"/>
        </w:rPr>
      </w:pPr>
      <w:r>
        <w:rPr>
          <w:rFonts w:hint="eastAsia" w:ascii="宋体" w:hAnsi="宋体" w:eastAsia="宋体" w:cs="宋体"/>
          <w:snapToGrid w:val="0"/>
          <w:color w:val="000000"/>
          <w:spacing w:val="9"/>
          <w:kern w:val="0"/>
          <w:sz w:val="22"/>
          <w:szCs w:val="22"/>
          <w:highlight w:val="none"/>
          <w:lang w:val="en-US" w:eastAsia="zh-CN"/>
        </w:rPr>
        <w:t>2、具有良好的商业信誉和健全的财务会计制度;</w:t>
      </w:r>
    </w:p>
    <w:p w14:paraId="4C0452E4">
      <w:pPr>
        <w:pStyle w:val="24"/>
        <w:spacing w:line="480" w:lineRule="exact"/>
        <w:rPr>
          <w:rFonts w:hint="eastAsia" w:ascii="宋体" w:hAnsi="宋体" w:eastAsia="宋体" w:cs="宋体"/>
          <w:snapToGrid w:val="0"/>
          <w:color w:val="000000"/>
          <w:spacing w:val="9"/>
          <w:kern w:val="0"/>
          <w:sz w:val="22"/>
          <w:szCs w:val="22"/>
          <w:highlight w:val="none"/>
          <w:lang w:val="en-US" w:eastAsia="zh-CN"/>
        </w:rPr>
      </w:pPr>
      <w:r>
        <w:rPr>
          <w:rFonts w:hint="eastAsia" w:ascii="宋体" w:hAnsi="宋体" w:eastAsia="宋体" w:cs="宋体"/>
          <w:snapToGrid w:val="0"/>
          <w:color w:val="000000"/>
          <w:spacing w:val="9"/>
          <w:kern w:val="0"/>
          <w:sz w:val="22"/>
          <w:szCs w:val="22"/>
          <w:highlight w:val="none"/>
          <w:lang w:val="en-US" w:eastAsia="zh-CN"/>
        </w:rPr>
        <w:t>3、具有履行合同所必需的设备和专业技术能力;</w:t>
      </w:r>
    </w:p>
    <w:p w14:paraId="7DF4A766">
      <w:pPr>
        <w:pStyle w:val="24"/>
        <w:spacing w:line="480" w:lineRule="exact"/>
        <w:rPr>
          <w:rFonts w:hint="eastAsia" w:ascii="宋体" w:hAnsi="宋体" w:eastAsia="宋体" w:cs="宋体"/>
          <w:snapToGrid w:val="0"/>
          <w:color w:val="000000"/>
          <w:spacing w:val="9"/>
          <w:kern w:val="0"/>
          <w:sz w:val="22"/>
          <w:szCs w:val="22"/>
          <w:highlight w:val="none"/>
          <w:lang w:val="en-US" w:eastAsia="zh-CN"/>
        </w:rPr>
      </w:pPr>
      <w:r>
        <w:rPr>
          <w:rFonts w:hint="eastAsia" w:ascii="宋体" w:hAnsi="宋体" w:eastAsia="宋体" w:cs="宋体"/>
          <w:snapToGrid w:val="0"/>
          <w:color w:val="000000"/>
          <w:spacing w:val="9"/>
          <w:kern w:val="0"/>
          <w:sz w:val="22"/>
          <w:szCs w:val="22"/>
          <w:highlight w:val="none"/>
          <w:lang w:val="en-US" w:eastAsia="zh-CN"/>
        </w:rPr>
        <w:t>4、有依法缴纳税收和社会保障资金的良好记录;</w:t>
      </w:r>
    </w:p>
    <w:p w14:paraId="2B7DCFCE">
      <w:pPr>
        <w:pStyle w:val="24"/>
        <w:spacing w:line="480" w:lineRule="exact"/>
        <w:rPr>
          <w:rFonts w:hint="eastAsia" w:ascii="宋体" w:hAnsi="宋体" w:eastAsia="宋体" w:cs="宋体"/>
          <w:snapToGrid w:val="0"/>
          <w:color w:val="000000"/>
          <w:spacing w:val="9"/>
          <w:kern w:val="0"/>
          <w:sz w:val="22"/>
          <w:szCs w:val="22"/>
          <w:highlight w:val="none"/>
          <w:lang w:val="en-US" w:eastAsia="zh-CN"/>
        </w:rPr>
      </w:pPr>
      <w:r>
        <w:rPr>
          <w:rFonts w:hint="eastAsia" w:ascii="宋体" w:hAnsi="宋体" w:eastAsia="宋体" w:cs="宋体"/>
          <w:snapToGrid w:val="0"/>
          <w:color w:val="000000"/>
          <w:spacing w:val="9"/>
          <w:kern w:val="0"/>
          <w:sz w:val="22"/>
          <w:szCs w:val="22"/>
          <w:highlight w:val="none"/>
          <w:lang w:val="en-US" w:eastAsia="zh-CN"/>
        </w:rPr>
        <w:t>5、参加采购活动前三年内，在经营活动中没有重大违法记录;</w:t>
      </w:r>
    </w:p>
    <w:p w14:paraId="6DF7EE66">
      <w:pPr>
        <w:pStyle w:val="24"/>
        <w:spacing w:line="480" w:lineRule="exact"/>
        <w:rPr>
          <w:rFonts w:hint="eastAsia" w:ascii="宋体" w:hAnsi="宋体" w:eastAsia="宋体" w:cs="宋体"/>
          <w:snapToGrid w:val="0"/>
          <w:color w:val="000000"/>
          <w:spacing w:val="9"/>
          <w:kern w:val="0"/>
          <w:sz w:val="22"/>
          <w:szCs w:val="22"/>
          <w:highlight w:val="none"/>
          <w:lang w:val="en-US" w:eastAsia="zh-CN"/>
        </w:rPr>
      </w:pPr>
      <w:r>
        <w:rPr>
          <w:rFonts w:hint="eastAsia" w:ascii="宋体" w:hAnsi="宋体" w:eastAsia="宋体" w:cs="宋体"/>
          <w:snapToGrid w:val="0"/>
          <w:color w:val="000000"/>
          <w:spacing w:val="9"/>
          <w:kern w:val="0"/>
          <w:sz w:val="22"/>
          <w:szCs w:val="22"/>
          <w:highlight w:val="none"/>
          <w:lang w:val="en-US" w:eastAsia="zh-CN"/>
        </w:rPr>
        <w:t>6、法律、行政法规规定的其他条件。</w:t>
      </w:r>
    </w:p>
    <w:p w14:paraId="0BF6E1B9">
      <w:pPr>
        <w:pStyle w:val="24"/>
        <w:spacing w:line="480" w:lineRule="exact"/>
        <w:rPr>
          <w:rFonts w:hint="eastAsia" w:ascii="宋体" w:hAnsi="宋体" w:eastAsia="宋体" w:cs="宋体"/>
          <w:snapToGrid w:val="0"/>
          <w:color w:val="000000"/>
          <w:spacing w:val="9"/>
          <w:kern w:val="0"/>
          <w:sz w:val="22"/>
          <w:szCs w:val="22"/>
          <w:highlight w:val="none"/>
          <w:lang w:val="en-US" w:eastAsia="zh-CN"/>
        </w:rPr>
      </w:pPr>
    </w:p>
    <w:p w14:paraId="4F6C0670">
      <w:pPr>
        <w:pStyle w:val="24"/>
        <w:spacing w:line="480" w:lineRule="exact"/>
        <w:jc w:val="right"/>
        <w:rPr>
          <w:rFonts w:hint="eastAsia" w:ascii="宋体" w:hAnsi="宋体" w:eastAsia="宋体" w:cs="宋体"/>
          <w:snapToGrid w:val="0"/>
          <w:color w:val="000000"/>
          <w:spacing w:val="9"/>
          <w:kern w:val="0"/>
          <w:sz w:val="22"/>
          <w:szCs w:val="22"/>
          <w:highlight w:val="none"/>
          <w:lang w:val="en-US" w:eastAsia="zh-CN"/>
        </w:rPr>
      </w:pPr>
    </w:p>
    <w:p w14:paraId="57FAF520">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right"/>
        <w:textAlignment w:val="baseline"/>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供应商</w:t>
      </w:r>
      <w:r>
        <w:rPr>
          <w:rFonts w:hint="eastAsia" w:ascii="宋体" w:hAnsi="宋体" w:eastAsia="宋体" w:cs="宋体"/>
          <w:sz w:val="22"/>
          <w:szCs w:val="22"/>
          <w:highlight w:val="none"/>
        </w:rPr>
        <w:t xml:space="preserve"> :</w:t>
      </w:r>
      <w:r>
        <w:rPr>
          <w:rFonts w:hint="eastAsia" w:ascii="宋体" w:hAnsi="宋体" w:eastAsia="宋体" w:cs="宋体"/>
          <w:spacing w:val="-1"/>
          <w:sz w:val="22"/>
          <w:szCs w:val="22"/>
          <w:highlight w:val="none"/>
          <w:u w:val="single" w:color="auto"/>
        </w:rPr>
        <w:t xml:space="preserve"> </w:t>
      </w:r>
      <w:r>
        <w:rPr>
          <w:rFonts w:hint="eastAsia" w:ascii="宋体" w:hAnsi="宋体" w:eastAsia="宋体" w:cs="宋体"/>
          <w:spacing w:val="-1"/>
          <w:sz w:val="22"/>
          <w:szCs w:val="22"/>
          <w:highlight w:val="none"/>
          <w:u w:val="single" w:color="auto"/>
          <w:lang w:val="en-US" w:eastAsia="zh-CN"/>
        </w:rPr>
        <w:t xml:space="preserve">       </w:t>
      </w:r>
      <w:r>
        <w:rPr>
          <w:rFonts w:hint="eastAsia" w:ascii="宋体" w:hAnsi="宋体" w:eastAsia="宋体" w:cs="宋体"/>
          <w:sz w:val="22"/>
          <w:szCs w:val="22"/>
          <w:highlight w:val="none"/>
          <w:u w:val="single" w:color="auto"/>
        </w:rPr>
        <w:t xml:space="preserve">  </w:t>
      </w:r>
      <w:r>
        <w:rPr>
          <w:rFonts w:hint="eastAsia" w:ascii="宋体" w:hAnsi="宋体" w:eastAsia="宋体" w:cs="宋体"/>
          <w:sz w:val="22"/>
          <w:szCs w:val="22"/>
          <w:highlight w:val="none"/>
        </w:rPr>
        <w:t xml:space="preserve">（盖章) </w:t>
      </w:r>
    </w:p>
    <w:p w14:paraId="681A394A">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right"/>
        <w:textAlignment w:val="baseline"/>
        <w:rPr>
          <w:rFonts w:hint="eastAsia" w:ascii="宋体" w:hAnsi="宋体" w:eastAsia="宋体" w:cs="宋体"/>
          <w:spacing w:val="3"/>
          <w:sz w:val="22"/>
          <w:szCs w:val="22"/>
          <w:highlight w:val="none"/>
        </w:rPr>
      </w:pPr>
      <w:r>
        <w:rPr>
          <w:rFonts w:hint="eastAsia" w:ascii="宋体" w:hAnsi="宋体" w:eastAsia="宋体" w:cs="宋体"/>
          <w:spacing w:val="9"/>
          <w:sz w:val="22"/>
          <w:szCs w:val="22"/>
          <w:highlight w:val="none"/>
        </w:rPr>
        <w:t>法定代表人</w:t>
      </w:r>
      <w:r>
        <w:rPr>
          <w:rFonts w:hint="eastAsia" w:ascii="宋体" w:hAnsi="宋体" w:eastAsia="宋体" w:cs="宋体"/>
          <w:spacing w:val="8"/>
          <w:sz w:val="22"/>
          <w:szCs w:val="22"/>
          <w:highlight w:val="none"/>
        </w:rPr>
        <w:t>或委托代理人</w:t>
      </w:r>
      <w:r>
        <w:rPr>
          <w:rFonts w:hint="eastAsia" w:ascii="宋体" w:hAnsi="宋体" w:eastAsia="宋体" w:cs="宋体"/>
          <w:spacing w:val="2"/>
          <w:sz w:val="22"/>
          <w:szCs w:val="22"/>
          <w:highlight w:val="none"/>
        </w:rPr>
        <w:t>:</w:t>
      </w:r>
      <w:r>
        <w:rPr>
          <w:rFonts w:hint="eastAsia" w:ascii="宋体" w:hAnsi="宋体" w:eastAsia="宋体" w:cs="宋体"/>
          <w:sz w:val="22"/>
          <w:szCs w:val="22"/>
          <w:highlight w:val="none"/>
          <w:u w:val="single" w:color="auto"/>
        </w:rPr>
        <w:t xml:space="preserve"> </w:t>
      </w:r>
      <w:r>
        <w:rPr>
          <w:rFonts w:hint="eastAsia" w:ascii="宋体" w:hAnsi="宋体" w:eastAsia="宋体" w:cs="宋体"/>
          <w:sz w:val="22"/>
          <w:szCs w:val="22"/>
          <w:highlight w:val="none"/>
          <w:u w:val="single" w:color="auto"/>
          <w:lang w:val="en-US" w:eastAsia="zh-CN"/>
        </w:rPr>
        <w:t xml:space="preserve">       </w:t>
      </w:r>
      <w:r>
        <w:rPr>
          <w:rFonts w:hint="eastAsia" w:ascii="宋体" w:hAnsi="宋体" w:eastAsia="宋体" w:cs="宋体"/>
          <w:sz w:val="22"/>
          <w:szCs w:val="22"/>
          <w:highlight w:val="none"/>
          <w:u w:val="single" w:color="auto"/>
        </w:rPr>
        <w:t xml:space="preserve">  </w:t>
      </w:r>
      <w:r>
        <w:rPr>
          <w:rFonts w:hint="eastAsia" w:ascii="宋体" w:hAnsi="宋体" w:eastAsia="宋体" w:cs="宋体"/>
          <w:spacing w:val="8"/>
          <w:sz w:val="22"/>
          <w:szCs w:val="22"/>
          <w:highlight w:val="none"/>
        </w:rPr>
        <w:t>（签字</w:t>
      </w:r>
      <w:r>
        <w:rPr>
          <w:rFonts w:hint="eastAsia" w:ascii="宋体" w:hAnsi="宋体" w:eastAsia="宋体" w:cs="宋体"/>
          <w:spacing w:val="3"/>
          <w:sz w:val="22"/>
          <w:szCs w:val="22"/>
          <w:highlight w:val="none"/>
        </w:rPr>
        <w:t>)</w:t>
      </w:r>
    </w:p>
    <w:p w14:paraId="47B79DF9">
      <w:pPr>
        <w:bidi w:val="0"/>
        <w:ind w:left="5880" w:leftChars="2800" w:firstLine="0" w:firstLineChars="0"/>
        <w:jc w:val="left"/>
        <w:rPr>
          <w:rFonts w:ascii="宋体" w:hAnsi="宋体"/>
          <w:b/>
          <w:bCs/>
          <w:color w:val="auto"/>
          <w:sz w:val="36"/>
          <w:highlight w:val="none"/>
        </w:rPr>
      </w:pPr>
      <w:r>
        <w:rPr>
          <w:rFonts w:hint="eastAsia" w:ascii="宋体" w:hAnsi="宋体" w:eastAsia="宋体" w:cs="宋体"/>
          <w:spacing w:val="-1"/>
          <w:sz w:val="22"/>
          <w:szCs w:val="22"/>
          <w:highlight w:val="none"/>
          <w:u w:val="single" w:color="auto"/>
        </w:rPr>
        <w:t xml:space="preserve">     </w:t>
      </w:r>
      <w:r>
        <w:rPr>
          <w:rFonts w:hint="eastAsia" w:ascii="宋体" w:hAnsi="宋体" w:eastAsia="宋体" w:cs="宋体"/>
          <w:sz w:val="22"/>
          <w:szCs w:val="22"/>
          <w:highlight w:val="none"/>
        </w:rPr>
        <w:t>年</w:t>
      </w:r>
      <w:r>
        <w:rPr>
          <w:rFonts w:hint="eastAsia" w:ascii="宋体" w:hAnsi="宋体" w:eastAsia="宋体" w:cs="宋体"/>
          <w:spacing w:val="-1"/>
          <w:sz w:val="22"/>
          <w:szCs w:val="22"/>
          <w:highlight w:val="none"/>
          <w:u w:val="single" w:color="auto"/>
        </w:rPr>
        <w:t xml:space="preserve">     </w:t>
      </w:r>
      <w:r>
        <w:rPr>
          <w:rFonts w:hint="eastAsia" w:ascii="宋体" w:hAnsi="宋体" w:eastAsia="宋体" w:cs="宋体"/>
          <w:sz w:val="22"/>
          <w:szCs w:val="22"/>
          <w:highlight w:val="none"/>
        </w:rPr>
        <w:t>月</w:t>
      </w:r>
      <w:r>
        <w:rPr>
          <w:rFonts w:hint="eastAsia" w:ascii="宋体" w:hAnsi="宋体" w:eastAsia="宋体" w:cs="宋体"/>
          <w:spacing w:val="-1"/>
          <w:sz w:val="22"/>
          <w:szCs w:val="22"/>
          <w:highlight w:val="none"/>
          <w:u w:val="single" w:color="auto"/>
        </w:rPr>
        <w:t xml:space="preserve"> </w:t>
      </w:r>
      <w:r>
        <w:rPr>
          <w:rFonts w:hint="eastAsia" w:ascii="宋体" w:hAnsi="宋体" w:eastAsia="宋体" w:cs="宋体"/>
          <w:sz w:val="22"/>
          <w:szCs w:val="22"/>
          <w:highlight w:val="none"/>
          <w:u w:val="single" w:color="auto"/>
        </w:rPr>
        <w:t xml:space="preserve">  </w:t>
      </w:r>
      <w:r>
        <w:rPr>
          <w:rFonts w:hint="eastAsia" w:ascii="宋体" w:hAnsi="宋体" w:eastAsia="宋体" w:cs="宋体"/>
          <w:sz w:val="22"/>
          <w:szCs w:val="22"/>
          <w:highlight w:val="none"/>
        </w:rPr>
        <w:t>日</w:t>
      </w:r>
    </w:p>
    <w:p w14:paraId="633445C7">
      <w:pPr>
        <w:rPr>
          <w:rFonts w:ascii="宋体" w:hAnsi="宋体"/>
          <w:b/>
          <w:bCs/>
          <w:color w:val="auto"/>
          <w:sz w:val="36"/>
          <w:highlight w:val="none"/>
        </w:rPr>
      </w:pPr>
    </w:p>
    <w:p w14:paraId="1F58E062">
      <w:pPr>
        <w:pStyle w:val="24"/>
        <w:spacing w:line="480" w:lineRule="exact"/>
        <w:rPr>
          <w:rFonts w:hint="eastAsia" w:ascii="宋体" w:hAnsi="宋体" w:eastAsia="宋体" w:cs="宋体"/>
          <w:b/>
          <w:sz w:val="24"/>
          <w:szCs w:val="24"/>
          <w:highlight w:val="none"/>
        </w:rPr>
      </w:pPr>
    </w:p>
    <w:p w14:paraId="1F28765F">
      <w:pPr>
        <w:pStyle w:val="24"/>
        <w:spacing w:line="480" w:lineRule="exact"/>
        <w:rPr>
          <w:rFonts w:hint="eastAsia" w:ascii="宋体" w:hAnsi="宋体" w:eastAsia="宋体" w:cs="宋体"/>
          <w:b/>
          <w:sz w:val="24"/>
          <w:szCs w:val="24"/>
          <w:highlight w:val="none"/>
        </w:rPr>
      </w:pPr>
    </w:p>
    <w:p w14:paraId="1AEDF99B">
      <w:pPr>
        <w:spacing w:line="480" w:lineRule="exact"/>
        <w:rPr>
          <w:rFonts w:hint="eastAsia" w:ascii="宋体" w:hAnsi="宋体" w:eastAsia="宋体" w:cs="宋体"/>
          <w:b/>
          <w:bCs/>
          <w:sz w:val="24"/>
          <w:szCs w:val="24"/>
          <w:highlight w:val="none"/>
        </w:rPr>
      </w:pPr>
    </w:p>
    <w:p w14:paraId="2D5D05D6">
      <w:pPr>
        <w:rPr>
          <w:rFonts w:hint="eastAsia" w:ascii="宋体" w:hAnsi="宋体" w:eastAsia="宋体" w:cs="宋体"/>
          <w:sz w:val="24"/>
          <w:szCs w:val="24"/>
          <w:highlight w:val="none"/>
        </w:rPr>
      </w:pPr>
    </w:p>
    <w:sectPr>
      <w:headerReference r:id="rId8" w:type="default"/>
      <w:footerReference r:id="rId9" w:type="default"/>
      <w:pgSz w:w="11906" w:h="16838"/>
      <w:pgMar w:top="1440" w:right="1080" w:bottom="1440" w:left="1080" w:header="568" w:footer="623"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 of new roman">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QEWSUC+??¨¬?">
    <w:altName w:val="宋体"/>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5035">
    <w:pPr>
      <w:pStyle w:val="47"/>
      <w:pBdr>
        <w:top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45ED7">
    <w:pPr>
      <w:pStyle w:val="47"/>
      <w:pBdr>
        <w:top w:val="none" w:color="auto" w:sz="0" w:space="0"/>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D23C0">
    <w:pPr>
      <w:pStyle w:val="47"/>
      <w:pBdr>
        <w:top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4F13E0">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14F13E0">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550F">
    <w:pPr>
      <w:pStyle w:val="47"/>
      <w:pBdr>
        <w:top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B6C8B7">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9B6C8B7">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43C18">
    <w:pPr>
      <w:pStyle w:val="20"/>
      <w:pBdr>
        <w:bottom w:val="double" w:color="auto" w:sz="8" w:space="1"/>
      </w:pBdr>
      <w:spacing w:beforeAutospacing="0"/>
      <w:jc w:val="both"/>
      <w:rPr>
        <w:rFonts w:ascii="宋体" w:hAnsi="宋体"/>
        <w:color w:val="000000"/>
      </w:rPr>
    </w:pPr>
    <w:r>
      <w:rPr>
        <w:rFonts w:hint="eastAsia" w:ascii="宋体" w:hAnsi="宋体" w:eastAsia="宋体" w:cs="宋体"/>
        <w:sz w:val="24"/>
        <w:szCs w:val="24"/>
      </w:rPr>
      <w:t>新疆益双工程管理有限公司</w:t>
    </w:r>
    <w:r>
      <w:rPr>
        <w:rFonts w:hint="eastAsia" w:ascii="宋体" w:hAnsi="宋体" w:cs="宋体"/>
        <w:b/>
        <w:bCs/>
        <w:caps/>
        <w:sz w:val="13"/>
        <w:szCs w:val="13"/>
        <w:lang w:val="en-US" w:eastAsia="zh-CN"/>
      </w:rPr>
      <w:t xml:space="preserve">     </w:t>
    </w:r>
    <w:r>
      <w:rPr>
        <w:rFonts w:hint="eastAsia" w:ascii="宋体" w:hAnsi="宋体" w:cs="宋体"/>
        <w:b/>
        <w:bCs/>
        <w:szCs w:val="18"/>
      </w:rPr>
      <w:t xml:space="preserve">  </w:t>
    </w:r>
    <w:r>
      <w:rPr>
        <w:rFonts w:hint="eastAsia" w:ascii="宋体" w:hAnsi="宋体" w:cs="宋体"/>
        <w:b/>
        <w:bCs/>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A83B">
    <w:pPr>
      <w:pStyle w:val="20"/>
      <w:pBdr>
        <w:bottom w:val="double" w:color="auto" w:sz="8" w:space="1"/>
      </w:pBdr>
      <w:spacing w:beforeAutospacing="0"/>
      <w:jc w:val="both"/>
      <w:rPr>
        <w:rFonts w:hint="eastAsia" w:ascii="宋体" w:hAnsi="宋体" w:eastAsia="宋体" w:cs="宋体"/>
        <w:b/>
        <w:bCs/>
        <w:szCs w:val="18"/>
        <w:lang w:val="en-US" w:eastAsia="zh-CN"/>
      </w:rPr>
    </w:pPr>
  </w:p>
  <w:p w14:paraId="79F6B1F0">
    <w:pPr>
      <w:pStyle w:val="20"/>
      <w:pBdr>
        <w:bottom w:val="double" w:color="auto" w:sz="8" w:space="1"/>
      </w:pBdr>
      <w:spacing w:beforeAutospacing="0"/>
      <w:jc w:val="both"/>
      <w:rPr>
        <w:rFonts w:ascii="宋体" w:hAnsi="宋体"/>
        <w:color w:val="000000"/>
      </w:rPr>
    </w:pPr>
    <w:r>
      <w:rPr>
        <w:rFonts w:hint="eastAsia" w:ascii="宋体" w:hAnsi="宋体" w:eastAsia="宋体" w:cs="宋体"/>
        <w:sz w:val="24"/>
        <w:szCs w:val="24"/>
      </w:rPr>
      <w:t>新疆益双工程管理有限公司</w:t>
    </w:r>
    <w:r>
      <w:rPr>
        <w:rFonts w:hint="eastAsia" w:ascii="宋体" w:hAnsi="宋体" w:cs="宋体"/>
        <w:b/>
        <w:bCs/>
        <w:szCs w:val="18"/>
        <w:lang w:val="en-US" w:eastAsia="zh-CN"/>
      </w:rPr>
      <w:t xml:space="preserve">                                                   </w:t>
    </w:r>
    <w:r>
      <w:rPr>
        <w:rFonts w:hint="eastAsia" w:ascii="宋体" w:hAnsi="宋体" w:cs="宋体"/>
        <w:b/>
        <w:bCs/>
        <w:szCs w:val="18"/>
      </w:rPr>
      <w:t>公开·公平·公正·诚信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B9C7">
    <w:pPr>
      <w:pStyle w:val="20"/>
      <w:pBdr>
        <w:bottom w:val="none" w:color="auto" w:sz="0" w:space="1"/>
      </w:pBdr>
      <w:jc w:val="both"/>
      <w:rPr>
        <w:rFonts w:ascii="宋体" w:hAns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4E5AD"/>
    <w:multiLevelType w:val="singleLevel"/>
    <w:tmpl w:val="8494E5AD"/>
    <w:lvl w:ilvl="0" w:tentative="0">
      <w:start w:val="1"/>
      <w:numFmt w:val="decimal"/>
      <w:lvlText w:val="(%1)"/>
      <w:lvlJc w:val="left"/>
      <w:pPr>
        <w:ind w:left="425" w:hanging="425"/>
      </w:pPr>
      <w:rPr>
        <w:rFonts w:hint="default"/>
      </w:rPr>
    </w:lvl>
  </w:abstractNum>
  <w:abstractNum w:abstractNumId="1">
    <w:nsid w:val="91173B6B"/>
    <w:multiLevelType w:val="singleLevel"/>
    <w:tmpl w:val="91173B6B"/>
    <w:lvl w:ilvl="0" w:tentative="0">
      <w:start w:val="7"/>
      <w:numFmt w:val="decimal"/>
      <w:suff w:val="nothing"/>
      <w:lvlText w:val="（%1）"/>
      <w:lvlJc w:val="left"/>
    </w:lvl>
  </w:abstractNum>
  <w:abstractNum w:abstractNumId="2">
    <w:nsid w:val="0000000C"/>
    <w:multiLevelType w:val="multilevel"/>
    <w:tmpl w:val="0000000C"/>
    <w:lvl w:ilvl="0" w:tentative="0">
      <w:start w:val="1"/>
      <w:numFmt w:val="decimal"/>
      <w:lvlText w:val="（%1）"/>
      <w:lvlJc w:val="left"/>
      <w:pPr>
        <w:tabs>
          <w:tab w:val="left" w:pos="1080"/>
        </w:tabs>
        <w:ind w:left="1080" w:hanging="720"/>
      </w:pPr>
      <w:rPr>
        <w:rFonts w:hint="default"/>
        <w:b w:val="0"/>
      </w:rPr>
    </w:lvl>
    <w:lvl w:ilvl="1" w:tentative="0">
      <w:start w:val="1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4">
    <w:nsid w:val="0000001E"/>
    <w:multiLevelType w:val="multilevel"/>
    <w:tmpl w:val="0000001E"/>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10B216D"/>
    <w:multiLevelType w:val="multilevel"/>
    <w:tmpl w:val="010B216D"/>
    <w:lvl w:ilvl="0" w:tentative="0">
      <w:start w:val="1"/>
      <w:numFmt w:val="decimal"/>
      <w:lvlText w:val="%1."/>
      <w:lvlJc w:val="left"/>
      <w:pPr>
        <w:tabs>
          <w:tab w:val="left" w:pos="147"/>
        </w:tabs>
        <w:ind w:left="147" w:hanging="425"/>
      </w:pPr>
      <w:rPr>
        <w:rFonts w:hint="eastAsia"/>
        <w:b/>
        <w:i w:val="0"/>
        <w:sz w:val="28"/>
        <w:szCs w:val="28"/>
      </w:rPr>
    </w:lvl>
    <w:lvl w:ilvl="1" w:tentative="0">
      <w:start w:val="1"/>
      <w:numFmt w:val="decimal"/>
      <w:lvlText w:val="%1.%2."/>
      <w:lvlJc w:val="left"/>
      <w:pPr>
        <w:tabs>
          <w:tab w:val="left" w:pos="289"/>
        </w:tabs>
        <w:ind w:left="289" w:hanging="567"/>
      </w:pPr>
      <w:rPr>
        <w:rFonts w:hint="eastAsia" w:ascii="宋体" w:hAnsi="宋体" w:eastAsia="宋体"/>
        <w:b/>
        <w:i w:val="0"/>
        <w:sz w:val="24"/>
        <w:szCs w:val="24"/>
      </w:rPr>
    </w:lvl>
    <w:lvl w:ilvl="2" w:tentative="0">
      <w:start w:val="1"/>
      <w:numFmt w:val="decimal"/>
      <w:lvlText w:val="%1.%2.%3."/>
      <w:lvlJc w:val="left"/>
      <w:pPr>
        <w:tabs>
          <w:tab w:val="left" w:pos="1050"/>
        </w:tabs>
        <w:ind w:left="1050" w:hanging="624"/>
      </w:pPr>
      <w:rPr>
        <w:rFonts w:hint="eastAsia" w:ascii="宋体" w:eastAsia="宋体"/>
        <w:b w:val="0"/>
        <w:i w:val="0"/>
        <w:sz w:val="24"/>
        <w:szCs w:val="24"/>
      </w:rPr>
    </w:lvl>
    <w:lvl w:ilvl="3" w:tentative="0">
      <w:start w:val="1"/>
      <w:numFmt w:val="decimal"/>
      <w:lvlText w:val="%1.%2.%3.%4."/>
      <w:lvlJc w:val="left"/>
      <w:pPr>
        <w:tabs>
          <w:tab w:val="left" w:pos="573"/>
        </w:tabs>
        <w:ind w:left="573" w:hanging="851"/>
      </w:pPr>
      <w:rPr>
        <w:rFonts w:hint="eastAsia"/>
      </w:rPr>
    </w:lvl>
    <w:lvl w:ilvl="4" w:tentative="0">
      <w:start w:val="1"/>
      <w:numFmt w:val="decimal"/>
      <w:lvlText w:val="%1.%2.%3.%4.%5."/>
      <w:lvlJc w:val="left"/>
      <w:pPr>
        <w:tabs>
          <w:tab w:val="left" w:pos="714"/>
        </w:tabs>
        <w:ind w:left="714" w:hanging="992"/>
      </w:pPr>
      <w:rPr>
        <w:rFonts w:hint="eastAsia"/>
      </w:rPr>
    </w:lvl>
    <w:lvl w:ilvl="5" w:tentative="0">
      <w:start w:val="1"/>
      <w:numFmt w:val="decimal"/>
      <w:lvlText w:val="%1.%2.%3.%4.%5.%6."/>
      <w:lvlJc w:val="left"/>
      <w:pPr>
        <w:tabs>
          <w:tab w:val="left" w:pos="856"/>
        </w:tabs>
        <w:ind w:left="856" w:hanging="1134"/>
      </w:pPr>
      <w:rPr>
        <w:rFonts w:hint="eastAsia"/>
      </w:rPr>
    </w:lvl>
    <w:lvl w:ilvl="6" w:tentative="0">
      <w:start w:val="1"/>
      <w:numFmt w:val="decimal"/>
      <w:lvlText w:val="%1.%2.%3.%4.%5.%6.%7."/>
      <w:lvlJc w:val="left"/>
      <w:pPr>
        <w:tabs>
          <w:tab w:val="left" w:pos="998"/>
        </w:tabs>
        <w:ind w:left="998" w:hanging="1276"/>
      </w:pPr>
      <w:rPr>
        <w:rFonts w:hint="eastAsia"/>
      </w:rPr>
    </w:lvl>
    <w:lvl w:ilvl="7" w:tentative="0">
      <w:start w:val="1"/>
      <w:numFmt w:val="decimal"/>
      <w:lvlText w:val="%1.%2.%3.%4.%5.%6.%7.%8."/>
      <w:lvlJc w:val="left"/>
      <w:pPr>
        <w:tabs>
          <w:tab w:val="left" w:pos="1140"/>
        </w:tabs>
        <w:ind w:left="1140" w:hanging="1418"/>
      </w:pPr>
      <w:rPr>
        <w:rFonts w:hint="eastAsia"/>
      </w:rPr>
    </w:lvl>
    <w:lvl w:ilvl="8" w:tentative="0">
      <w:start w:val="1"/>
      <w:numFmt w:val="decimal"/>
      <w:lvlText w:val="%1.%2.%3.%4.%5.%6.%7.%8.%9."/>
      <w:lvlJc w:val="left"/>
      <w:pPr>
        <w:tabs>
          <w:tab w:val="left" w:pos="1281"/>
        </w:tabs>
        <w:ind w:left="1281" w:hanging="1559"/>
      </w:pPr>
      <w:rPr>
        <w:rFonts w:hint="eastAsia"/>
      </w:rPr>
    </w:lvl>
  </w:abstractNum>
  <w:abstractNum w:abstractNumId="6">
    <w:nsid w:val="0264A9F5"/>
    <w:multiLevelType w:val="singleLevel"/>
    <w:tmpl w:val="0264A9F5"/>
    <w:lvl w:ilvl="0" w:tentative="0">
      <w:start w:val="2"/>
      <w:numFmt w:val="chineseCounting"/>
      <w:suff w:val="space"/>
      <w:lvlText w:val="第%1章"/>
      <w:lvlJc w:val="left"/>
      <w:rPr>
        <w:rFonts w:hint="eastAsia"/>
      </w:rPr>
    </w:lvl>
  </w:abstractNum>
  <w:abstractNum w:abstractNumId="7">
    <w:nsid w:val="3DCA4FA0"/>
    <w:multiLevelType w:val="singleLevel"/>
    <w:tmpl w:val="3DCA4FA0"/>
    <w:lvl w:ilvl="0" w:tentative="0">
      <w:start w:val="1"/>
      <w:numFmt w:val="decimal"/>
      <w:suff w:val="space"/>
      <w:lvlText w:val="%1."/>
      <w:lvlJc w:val="left"/>
    </w:lvl>
  </w:abstractNum>
  <w:num w:numId="1">
    <w:abstractNumId w:val="6"/>
  </w:num>
  <w:num w:numId="2">
    <w:abstractNumId w:val="5"/>
  </w:num>
  <w:num w:numId="3">
    <w:abstractNumId w:val="0"/>
  </w:num>
  <w:num w:numId="4">
    <w:abstractNumId w:val="2"/>
  </w:num>
  <w:num w:numId="5">
    <w:abstractNumId w:val="4"/>
    <w:lvlOverride w:ilvl="1">
      <w:startOverride w:val="1"/>
    </w:lvlOverride>
  </w:num>
  <w:num w:numId="6">
    <w:abstractNumId w:val="3"/>
    <w:lvlOverride w:ilvl="1">
      <w:startOverride w:val="1"/>
    </w:lvlOverride>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4ZTQxYjhjMGUwNGU4OWY5NGNkYWFhNTBiY2E5ZjAifQ=="/>
  </w:docVars>
  <w:rsids>
    <w:rsidRoot w:val="7C6102CA"/>
    <w:rsid w:val="009703E2"/>
    <w:rsid w:val="00A23DF8"/>
    <w:rsid w:val="00CD3536"/>
    <w:rsid w:val="01264972"/>
    <w:rsid w:val="012E5582"/>
    <w:rsid w:val="018411F9"/>
    <w:rsid w:val="018A1427"/>
    <w:rsid w:val="01AF5801"/>
    <w:rsid w:val="01C0753F"/>
    <w:rsid w:val="01DC4A7B"/>
    <w:rsid w:val="026B3007"/>
    <w:rsid w:val="02BE17C0"/>
    <w:rsid w:val="02C93700"/>
    <w:rsid w:val="03D14035"/>
    <w:rsid w:val="03F67601"/>
    <w:rsid w:val="04272A60"/>
    <w:rsid w:val="043B46F7"/>
    <w:rsid w:val="052F5775"/>
    <w:rsid w:val="058E05D6"/>
    <w:rsid w:val="06080E63"/>
    <w:rsid w:val="0730397D"/>
    <w:rsid w:val="07685977"/>
    <w:rsid w:val="07A33243"/>
    <w:rsid w:val="07C25034"/>
    <w:rsid w:val="07CA09F7"/>
    <w:rsid w:val="07CD6512"/>
    <w:rsid w:val="07E01DA1"/>
    <w:rsid w:val="07E353BA"/>
    <w:rsid w:val="07FD7B72"/>
    <w:rsid w:val="087D1CE6"/>
    <w:rsid w:val="08D65C03"/>
    <w:rsid w:val="08FA5A7C"/>
    <w:rsid w:val="0AAA4F5E"/>
    <w:rsid w:val="0AC210FB"/>
    <w:rsid w:val="0AC34508"/>
    <w:rsid w:val="0B5C5BE2"/>
    <w:rsid w:val="0BB941D6"/>
    <w:rsid w:val="0BBF17D2"/>
    <w:rsid w:val="0C950876"/>
    <w:rsid w:val="0CDE203D"/>
    <w:rsid w:val="0D006A41"/>
    <w:rsid w:val="0D576FA9"/>
    <w:rsid w:val="0D5C71FC"/>
    <w:rsid w:val="0DD51C7C"/>
    <w:rsid w:val="0E2D1AB8"/>
    <w:rsid w:val="0EC92CCF"/>
    <w:rsid w:val="0F5352EA"/>
    <w:rsid w:val="0F60670D"/>
    <w:rsid w:val="0F9D6E7C"/>
    <w:rsid w:val="10063231"/>
    <w:rsid w:val="106B37DA"/>
    <w:rsid w:val="111E393A"/>
    <w:rsid w:val="11513FC9"/>
    <w:rsid w:val="11586146"/>
    <w:rsid w:val="11891659"/>
    <w:rsid w:val="126C329A"/>
    <w:rsid w:val="12B021A5"/>
    <w:rsid w:val="143B037F"/>
    <w:rsid w:val="14983A03"/>
    <w:rsid w:val="15DD207F"/>
    <w:rsid w:val="1613704A"/>
    <w:rsid w:val="164C2472"/>
    <w:rsid w:val="16774157"/>
    <w:rsid w:val="16FE12D6"/>
    <w:rsid w:val="174A0844"/>
    <w:rsid w:val="176A1687"/>
    <w:rsid w:val="17BE19D3"/>
    <w:rsid w:val="184A0AFE"/>
    <w:rsid w:val="18F0158C"/>
    <w:rsid w:val="1A137C0A"/>
    <w:rsid w:val="1A470ADE"/>
    <w:rsid w:val="1AA50DAF"/>
    <w:rsid w:val="1BD16179"/>
    <w:rsid w:val="1CDE733B"/>
    <w:rsid w:val="1DFB23A5"/>
    <w:rsid w:val="1F7F7C9A"/>
    <w:rsid w:val="1FD2426D"/>
    <w:rsid w:val="20CA3473"/>
    <w:rsid w:val="21627873"/>
    <w:rsid w:val="216565AC"/>
    <w:rsid w:val="218473D6"/>
    <w:rsid w:val="22E9024C"/>
    <w:rsid w:val="23452FA8"/>
    <w:rsid w:val="23B41CEE"/>
    <w:rsid w:val="24C3687B"/>
    <w:rsid w:val="24F77EC0"/>
    <w:rsid w:val="25857827"/>
    <w:rsid w:val="25E92311"/>
    <w:rsid w:val="2677074C"/>
    <w:rsid w:val="26B6076C"/>
    <w:rsid w:val="270627E5"/>
    <w:rsid w:val="273C1350"/>
    <w:rsid w:val="27AE68D5"/>
    <w:rsid w:val="29192A8A"/>
    <w:rsid w:val="29240E10"/>
    <w:rsid w:val="292D6084"/>
    <w:rsid w:val="297C16ED"/>
    <w:rsid w:val="29826D04"/>
    <w:rsid w:val="29FA2D3E"/>
    <w:rsid w:val="2A4B359A"/>
    <w:rsid w:val="2AB10A39"/>
    <w:rsid w:val="2ACB06DD"/>
    <w:rsid w:val="2AF57A1F"/>
    <w:rsid w:val="2B3564E7"/>
    <w:rsid w:val="2C673F8F"/>
    <w:rsid w:val="2DF06932"/>
    <w:rsid w:val="2E9C2118"/>
    <w:rsid w:val="308570DA"/>
    <w:rsid w:val="30B60B19"/>
    <w:rsid w:val="31EE1492"/>
    <w:rsid w:val="32B142C5"/>
    <w:rsid w:val="32E4458C"/>
    <w:rsid w:val="338B0CB3"/>
    <w:rsid w:val="33BB397D"/>
    <w:rsid w:val="33DA14EB"/>
    <w:rsid w:val="34394463"/>
    <w:rsid w:val="360D5D60"/>
    <w:rsid w:val="36BA6FD7"/>
    <w:rsid w:val="370734D3"/>
    <w:rsid w:val="375B3FD0"/>
    <w:rsid w:val="379F3DB1"/>
    <w:rsid w:val="37CE53E5"/>
    <w:rsid w:val="384756D9"/>
    <w:rsid w:val="3A1F08B8"/>
    <w:rsid w:val="3A5B4683"/>
    <w:rsid w:val="3A6B10EF"/>
    <w:rsid w:val="3A966B3D"/>
    <w:rsid w:val="3B1F54E9"/>
    <w:rsid w:val="3C733073"/>
    <w:rsid w:val="3CA0477C"/>
    <w:rsid w:val="3D0E6912"/>
    <w:rsid w:val="3D2A48AF"/>
    <w:rsid w:val="3DA60DBB"/>
    <w:rsid w:val="3F201D3F"/>
    <w:rsid w:val="3F9115F7"/>
    <w:rsid w:val="4039660E"/>
    <w:rsid w:val="41874A60"/>
    <w:rsid w:val="42091919"/>
    <w:rsid w:val="42214618"/>
    <w:rsid w:val="42AE4EBA"/>
    <w:rsid w:val="42E11F12"/>
    <w:rsid w:val="42F269E4"/>
    <w:rsid w:val="4420119C"/>
    <w:rsid w:val="444043A0"/>
    <w:rsid w:val="446E2FFB"/>
    <w:rsid w:val="44B81158"/>
    <w:rsid w:val="4515120E"/>
    <w:rsid w:val="45795917"/>
    <w:rsid w:val="46DE61F7"/>
    <w:rsid w:val="47376F28"/>
    <w:rsid w:val="482F6A01"/>
    <w:rsid w:val="48A04659"/>
    <w:rsid w:val="48BD120C"/>
    <w:rsid w:val="490B5F77"/>
    <w:rsid w:val="49965848"/>
    <w:rsid w:val="4AE50A49"/>
    <w:rsid w:val="4C1E4731"/>
    <w:rsid w:val="4C4F261E"/>
    <w:rsid w:val="4CB46925"/>
    <w:rsid w:val="4D0F29B4"/>
    <w:rsid w:val="4D624012"/>
    <w:rsid w:val="4E481A1B"/>
    <w:rsid w:val="4F4E7E9B"/>
    <w:rsid w:val="4F645B70"/>
    <w:rsid w:val="4FF71993"/>
    <w:rsid w:val="506863A4"/>
    <w:rsid w:val="50A87DCF"/>
    <w:rsid w:val="51AB3D3B"/>
    <w:rsid w:val="52205158"/>
    <w:rsid w:val="525D18A5"/>
    <w:rsid w:val="52BB04BB"/>
    <w:rsid w:val="52EC489E"/>
    <w:rsid w:val="539354E6"/>
    <w:rsid w:val="53A26D8B"/>
    <w:rsid w:val="53A616BE"/>
    <w:rsid w:val="53D10525"/>
    <w:rsid w:val="55221353"/>
    <w:rsid w:val="553E3924"/>
    <w:rsid w:val="55521B18"/>
    <w:rsid w:val="56014040"/>
    <w:rsid w:val="57A82053"/>
    <w:rsid w:val="57C503E8"/>
    <w:rsid w:val="58590A55"/>
    <w:rsid w:val="5860589F"/>
    <w:rsid w:val="58F24A5D"/>
    <w:rsid w:val="594352B9"/>
    <w:rsid w:val="599E3C95"/>
    <w:rsid w:val="5BB606DB"/>
    <w:rsid w:val="5C724FDF"/>
    <w:rsid w:val="5CAC2EA5"/>
    <w:rsid w:val="5D7B4A24"/>
    <w:rsid w:val="5E9E4518"/>
    <w:rsid w:val="5F4E1F86"/>
    <w:rsid w:val="5FDC210C"/>
    <w:rsid w:val="605A5A16"/>
    <w:rsid w:val="61CE4C4E"/>
    <w:rsid w:val="62C74B48"/>
    <w:rsid w:val="63193702"/>
    <w:rsid w:val="63F42489"/>
    <w:rsid w:val="64FF69C6"/>
    <w:rsid w:val="65AA5C1A"/>
    <w:rsid w:val="65D35C16"/>
    <w:rsid w:val="6728304C"/>
    <w:rsid w:val="682B1129"/>
    <w:rsid w:val="68E94ED4"/>
    <w:rsid w:val="69C10905"/>
    <w:rsid w:val="69E2746E"/>
    <w:rsid w:val="69E55F18"/>
    <w:rsid w:val="6A1A02B8"/>
    <w:rsid w:val="6A514D30"/>
    <w:rsid w:val="6A57276D"/>
    <w:rsid w:val="6B055394"/>
    <w:rsid w:val="6B2D401B"/>
    <w:rsid w:val="6B457399"/>
    <w:rsid w:val="6D082649"/>
    <w:rsid w:val="6D777F71"/>
    <w:rsid w:val="6DF37DB4"/>
    <w:rsid w:val="6E856472"/>
    <w:rsid w:val="6EB83BFB"/>
    <w:rsid w:val="6EC73BDC"/>
    <w:rsid w:val="6EFE2975"/>
    <w:rsid w:val="6FD474BA"/>
    <w:rsid w:val="70ED2282"/>
    <w:rsid w:val="713F665A"/>
    <w:rsid w:val="719C7699"/>
    <w:rsid w:val="71A1411C"/>
    <w:rsid w:val="726A30B5"/>
    <w:rsid w:val="726F1C96"/>
    <w:rsid w:val="72E2393D"/>
    <w:rsid w:val="735D4177"/>
    <w:rsid w:val="73C848E1"/>
    <w:rsid w:val="74335393"/>
    <w:rsid w:val="74472FBD"/>
    <w:rsid w:val="74743DBF"/>
    <w:rsid w:val="7478018D"/>
    <w:rsid w:val="751D0CB9"/>
    <w:rsid w:val="754B57C9"/>
    <w:rsid w:val="75F04281"/>
    <w:rsid w:val="75FB17A4"/>
    <w:rsid w:val="768349D1"/>
    <w:rsid w:val="77274F82"/>
    <w:rsid w:val="774B2230"/>
    <w:rsid w:val="777955C2"/>
    <w:rsid w:val="778B00FF"/>
    <w:rsid w:val="778B3E9C"/>
    <w:rsid w:val="77B33C85"/>
    <w:rsid w:val="782D11B6"/>
    <w:rsid w:val="78B848C2"/>
    <w:rsid w:val="78D7490A"/>
    <w:rsid w:val="78EA70A7"/>
    <w:rsid w:val="7959691A"/>
    <w:rsid w:val="79B871A5"/>
    <w:rsid w:val="79BD2A0E"/>
    <w:rsid w:val="79CD2453"/>
    <w:rsid w:val="7AC309A5"/>
    <w:rsid w:val="7C0106C9"/>
    <w:rsid w:val="7C184379"/>
    <w:rsid w:val="7C6102CA"/>
    <w:rsid w:val="7CE65A86"/>
    <w:rsid w:val="7CF9504E"/>
    <w:rsid w:val="7D817AAD"/>
    <w:rsid w:val="7E45629C"/>
    <w:rsid w:val="7FF77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8"/>
    <w:qFormat/>
    <w:uiPriority w:val="0"/>
    <w:pPr>
      <w:keepNext/>
      <w:keepLines/>
      <w:spacing w:before="340" w:beforeLines="0" w:after="330" w:afterLines="0" w:line="578" w:lineRule="auto"/>
      <w:outlineLvl w:val="0"/>
    </w:pPr>
    <w:rPr>
      <w:rFonts w:eastAsia="楷体_GB2312"/>
      <w:b/>
      <w:kern w:val="44"/>
      <w:sz w:val="72"/>
    </w:rPr>
  </w:style>
  <w:style w:type="paragraph" w:styleId="3">
    <w:name w:val="heading 2"/>
    <w:basedOn w:val="1"/>
    <w:next w:val="1"/>
    <w:qFormat/>
    <w:uiPriority w:val="0"/>
    <w:pPr>
      <w:keepNext/>
      <w:keepLines/>
      <w:spacing w:before="20" w:beforeLines="0" w:after="20" w:afterLines="0" w:line="500" w:lineRule="exact"/>
      <w:outlineLvl w:val="1"/>
    </w:pPr>
    <w:rPr>
      <w:rFonts w:ascii="宋体" w:hAnsi="宋体"/>
      <w:b/>
      <w:sz w:val="28"/>
    </w:rPr>
  </w:style>
  <w:style w:type="paragraph" w:styleId="4">
    <w:name w:val="heading 3"/>
    <w:basedOn w:val="1"/>
    <w:next w:val="1"/>
    <w:qFormat/>
    <w:uiPriority w:val="0"/>
    <w:pPr>
      <w:keepNext/>
      <w:keepLines/>
      <w:spacing w:before="260" w:beforeLines="0" w:after="260" w:afterLines="0" w:line="400" w:lineRule="exact"/>
      <w:outlineLvl w:val="2"/>
    </w:pPr>
    <w:rPr>
      <w:rFonts w:ascii="宋体" w:hAnsi="宋体"/>
      <w:b/>
      <w:sz w:val="24"/>
    </w:rPr>
  </w:style>
  <w:style w:type="paragraph" w:styleId="5">
    <w:name w:val="heading 4"/>
    <w:basedOn w:val="1"/>
    <w:next w:val="6"/>
    <w:qFormat/>
    <w:uiPriority w:val="0"/>
    <w:pPr>
      <w:keepNext/>
      <w:spacing w:line="480" w:lineRule="atLeast"/>
      <w:jc w:val="left"/>
      <w:outlineLvl w:val="3"/>
    </w:pPr>
    <w:rPr>
      <w:rFonts w:ascii="楷体_GB2312" w:eastAsia="楷体_GB2312"/>
      <w:sz w:val="30"/>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pPr>
  </w:style>
  <w:style w:type="paragraph" w:styleId="7">
    <w:name w:val="index 8"/>
    <w:basedOn w:val="1"/>
    <w:next w:val="1"/>
    <w:qFormat/>
    <w:uiPriority w:val="0"/>
    <w:pPr>
      <w:spacing w:line="276" w:lineRule="auto"/>
      <w:jc w:val="left"/>
    </w:pPr>
    <w:rPr>
      <w:rFonts w:ascii="宋体" w:hAnsi="宋体"/>
      <w:color w:val="FF0000"/>
      <w:szCs w:val="21"/>
    </w:rPr>
  </w:style>
  <w:style w:type="paragraph" w:styleId="8">
    <w:name w:val="toa heading"/>
    <w:basedOn w:val="1"/>
    <w:next w:val="1"/>
    <w:qFormat/>
    <w:uiPriority w:val="0"/>
    <w:pPr>
      <w:spacing w:before="120"/>
    </w:pPr>
    <w:rPr>
      <w:rFonts w:ascii="Arial" w:hAnsi="Arial" w:cs="Arial"/>
      <w:sz w:val="24"/>
      <w:szCs w:val="24"/>
    </w:rPr>
  </w:style>
  <w:style w:type="paragraph" w:styleId="9">
    <w:name w:val="annotation text"/>
    <w:basedOn w:val="1"/>
    <w:qFormat/>
    <w:uiPriority w:val="0"/>
    <w:pPr>
      <w:jc w:val="left"/>
    </w:pPr>
  </w:style>
  <w:style w:type="paragraph" w:styleId="10">
    <w:name w:val="Body Text"/>
    <w:basedOn w:val="1"/>
    <w:next w:val="11"/>
    <w:qFormat/>
    <w:uiPriority w:val="0"/>
    <w:pPr>
      <w:spacing w:line="480" w:lineRule="atLeast"/>
    </w:pPr>
    <w:rPr>
      <w:rFonts w:ascii="楷体_GB2312" w:eastAsia="楷体_GB2312"/>
      <w:b/>
      <w:sz w:val="30"/>
    </w:r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Body Text Indent"/>
    <w:basedOn w:val="1"/>
    <w:next w:val="1"/>
    <w:qFormat/>
    <w:uiPriority w:val="0"/>
    <w:pPr>
      <w:ind w:firstLine="700" w:firstLineChars="250"/>
    </w:pPr>
    <w:rPr>
      <w:rFonts w:ascii="楷体_GB2312" w:hAnsi="宋体" w:eastAsia="楷体_GB2312"/>
      <w:sz w:val="28"/>
    </w:rPr>
  </w:style>
  <w:style w:type="paragraph" w:styleId="13">
    <w:name w:val="List 2"/>
    <w:basedOn w:val="1"/>
    <w:next w:val="14"/>
    <w:qFormat/>
    <w:uiPriority w:val="0"/>
    <w:pPr>
      <w:ind w:left="100" w:leftChars="200" w:hanging="200" w:hangingChars="200"/>
    </w:pPr>
  </w:style>
  <w:style w:type="paragraph" w:styleId="14">
    <w:name w:val="Plain Text"/>
    <w:basedOn w:val="1"/>
    <w:qFormat/>
    <w:uiPriority w:val="0"/>
    <w:rPr>
      <w:rFonts w:ascii="宋体" w:hAnsi="Courier New"/>
    </w:rPr>
  </w:style>
  <w:style w:type="paragraph" w:styleId="15">
    <w:name w:val="toc 3"/>
    <w:basedOn w:val="1"/>
    <w:next w:val="1"/>
    <w:qFormat/>
    <w:uiPriority w:val="39"/>
    <w:pPr>
      <w:tabs>
        <w:tab w:val="right" w:leader="dot" w:pos="9345"/>
        <w:tab w:val="right" w:leader="dot" w:pos="9450"/>
      </w:tabs>
      <w:spacing w:line="360" w:lineRule="auto"/>
      <w:ind w:left="525"/>
      <w:jc w:val="left"/>
    </w:pPr>
    <w:rPr>
      <w:i/>
      <w:iCs/>
      <w:szCs w:val="24"/>
    </w:rPr>
  </w:style>
  <w:style w:type="paragraph" w:styleId="16">
    <w:name w:val="Date"/>
    <w:basedOn w:val="1"/>
    <w:next w:val="1"/>
    <w:qFormat/>
    <w:uiPriority w:val="0"/>
    <w:pPr>
      <w:autoSpaceDE w:val="0"/>
      <w:autoSpaceDN w:val="0"/>
      <w:adjustRightInd w:val="0"/>
      <w:spacing w:line="312" w:lineRule="atLeast"/>
      <w:textAlignment w:val="baseline"/>
    </w:pPr>
    <w:rPr>
      <w:kern w:val="0"/>
      <w:sz w:val="32"/>
    </w:rPr>
  </w:style>
  <w:style w:type="paragraph" w:styleId="17">
    <w:name w:val="Body Text Indent 2"/>
    <w:basedOn w:val="1"/>
    <w:qFormat/>
    <w:uiPriority w:val="0"/>
    <w:pPr>
      <w:spacing w:line="360" w:lineRule="auto"/>
      <w:ind w:firstLine="555"/>
    </w:pPr>
    <w:rPr>
      <w:rFonts w:ascii="仿宋_GB2312" w:eastAsia="仿宋_GB2312"/>
      <w:sz w:val="28"/>
    </w:rPr>
  </w:style>
  <w:style w:type="paragraph" w:styleId="18">
    <w:name w:val="footer"/>
    <w:basedOn w:val="1"/>
    <w:qFormat/>
    <w:uiPriority w:val="99"/>
    <w:pPr>
      <w:tabs>
        <w:tab w:val="center" w:pos="4153"/>
        <w:tab w:val="right" w:pos="8306"/>
      </w:tabs>
      <w:snapToGrid w:val="0"/>
      <w:jc w:val="left"/>
    </w:pPr>
    <w:rPr>
      <w:sz w:val="18"/>
    </w:rPr>
  </w:style>
  <w:style w:type="paragraph" w:styleId="19">
    <w:name w:val="envelope return"/>
    <w:basedOn w:val="1"/>
    <w:qFormat/>
    <w:uiPriority w:val="99"/>
    <w:pPr>
      <w:snapToGrid w:val="0"/>
    </w:pPr>
    <w:rPr>
      <w:rFonts w:ascii="Arial" w:hAnsi="Arial" w:cs="Arial"/>
    </w:rPr>
  </w:style>
  <w:style w:type="paragraph" w:styleId="20">
    <w:name w:val="header"/>
    <w:basedOn w:val="1"/>
    <w:qFormat/>
    <w:uiPriority w:val="0"/>
    <w:pPr>
      <w:pBdr>
        <w:bottom w:val="thinThickMediumGap" w:color="auto" w:sz="18"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9180"/>
      </w:tabs>
      <w:spacing w:after="120" w:afterLines="0" w:line="480" w:lineRule="auto"/>
      <w:jc w:val="center"/>
    </w:pPr>
    <w:rPr>
      <w:b/>
      <w:sz w:val="28"/>
      <w:szCs w:val="28"/>
    </w:rPr>
  </w:style>
  <w:style w:type="paragraph" w:styleId="22">
    <w:name w:val="Subtitle"/>
    <w:basedOn w:val="1"/>
    <w:next w:val="1"/>
    <w:qFormat/>
    <w:uiPriority w:val="11"/>
    <w:pPr>
      <w:wordWrap w:val="0"/>
      <w:spacing w:after="60"/>
      <w:ind w:left="1024" w:firstLine="18"/>
      <w:jc w:val="center"/>
    </w:pPr>
    <w:rPr>
      <w:rFonts w:ascii="Calibri" w:hAnsi="Calibri" w:eastAsia="宋体" w:cs="Times New Roman"/>
      <w:sz w:val="21"/>
      <w:szCs w:val="22"/>
      <w:lang w:val="en-US" w:eastAsia="zh-CN" w:bidi="ar-SA"/>
    </w:rPr>
  </w:style>
  <w:style w:type="paragraph" w:styleId="23">
    <w:name w:val="List"/>
    <w:basedOn w:val="1"/>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24">
    <w:name w:val="footnote text"/>
    <w:basedOn w:val="1"/>
    <w:qFormat/>
    <w:uiPriority w:val="0"/>
    <w:pPr>
      <w:snapToGrid w:val="0"/>
      <w:jc w:val="left"/>
    </w:pPr>
    <w:rPr>
      <w:rFonts w:eastAsia="楷体_GB2312"/>
      <w:sz w:val="18"/>
      <w:szCs w:val="18"/>
    </w:rPr>
  </w:style>
  <w:style w:type="paragraph" w:styleId="25">
    <w:name w:val="toc 2"/>
    <w:basedOn w:val="1"/>
    <w:next w:val="1"/>
    <w:qFormat/>
    <w:uiPriority w:val="39"/>
    <w:pPr>
      <w:tabs>
        <w:tab w:val="right" w:leader="dot" w:pos="9180"/>
      </w:tabs>
      <w:spacing w:line="360" w:lineRule="auto"/>
      <w:ind w:left="210"/>
      <w:jc w:val="left"/>
    </w:pPr>
    <w:rPr>
      <w:smallCaps/>
      <w:szCs w:val="24"/>
    </w:rPr>
  </w:style>
  <w:style w:type="paragraph" w:styleId="26">
    <w:name w:val="Normal (Web)"/>
    <w:basedOn w:val="1"/>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27">
    <w:name w:val="Body Text First Indent"/>
    <w:basedOn w:val="10"/>
    <w:next w:val="1"/>
    <w:qFormat/>
    <w:uiPriority w:val="99"/>
    <w:pPr>
      <w:spacing w:after="120"/>
      <w:ind w:firstLine="420" w:firstLineChars="100"/>
    </w:pPr>
  </w:style>
  <w:style w:type="paragraph" w:styleId="28">
    <w:name w:val="Body Text First Indent 2"/>
    <w:basedOn w:val="12"/>
    <w:qFormat/>
    <w:uiPriority w:val="99"/>
    <w:pPr>
      <w:tabs>
        <w:tab w:val="left" w:pos="0"/>
        <w:tab w:val="left" w:pos="993"/>
        <w:tab w:val="left" w:pos="1134"/>
      </w:tabs>
      <w:ind w:firstLine="420" w:firstLineChars="200"/>
    </w:p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Hyperlink"/>
    <w:basedOn w:val="31"/>
    <w:qFormat/>
    <w:uiPriority w:val="99"/>
    <w:rPr>
      <w:color w:val="000000"/>
      <w:sz w:val="18"/>
      <w:szCs w:val="18"/>
      <w:u w:val="none"/>
    </w:rPr>
  </w:style>
  <w:style w:type="character" w:styleId="34">
    <w:name w:val="HTML Sample"/>
    <w:basedOn w:val="31"/>
    <w:qFormat/>
    <w:uiPriority w:val="0"/>
    <w:rPr>
      <w:rFonts w:ascii="Courier New" w:hAnsi="Courier New"/>
    </w:rPr>
  </w:style>
  <w:style w:type="character" w:customStyle="1" w:styleId="35">
    <w:name w:val="标题 1 Char"/>
    <w:link w:val="2"/>
    <w:qFormat/>
    <w:uiPriority w:val="0"/>
    <w:rPr>
      <w:rFonts w:eastAsia="楷体_GB2312"/>
      <w:b/>
      <w:kern w:val="44"/>
      <w:sz w:val="72"/>
    </w:rPr>
  </w:style>
  <w:style w:type="paragraph" w:customStyle="1" w:styleId="36">
    <w:name w:val="样式 正文首行缩进 2 + 首行缩进:  2 字符"/>
    <w:basedOn w:val="1"/>
    <w:qFormat/>
    <w:uiPriority w:val="0"/>
    <w:pPr>
      <w:spacing w:line="360" w:lineRule="auto"/>
      <w:ind w:firstLine="480" w:firstLineChars="200"/>
    </w:pPr>
    <w:rPr>
      <w:szCs w:val="21"/>
    </w:rPr>
  </w:style>
  <w:style w:type="paragraph" w:customStyle="1" w:styleId="37">
    <w:name w:val="BodyText"/>
    <w:basedOn w:val="1"/>
    <w:next w:val="38"/>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38">
    <w:name w:val="UserStyle_0"/>
    <w:next w:val="1"/>
    <w:qFormat/>
    <w:uiPriority w:val="0"/>
    <w:pPr>
      <w:textAlignment w:val="baseline"/>
    </w:pPr>
    <w:rPr>
      <w:rFonts w:ascii="Times New Roman" w:hAnsi="Times New Roman" w:eastAsia="宋体" w:cs="Times New Roman"/>
      <w:sz w:val="32"/>
      <w:szCs w:val="22"/>
      <w:lang w:val="en-US" w:eastAsia="zh-CN" w:bidi="ar-SA"/>
    </w:rPr>
  </w:style>
  <w:style w:type="paragraph" w:customStyle="1" w:styleId="39">
    <w:name w:val="目录 53"/>
    <w:basedOn w:val="1"/>
    <w:next w:val="1"/>
    <w:qFormat/>
    <w:uiPriority w:val="0"/>
    <w:pPr>
      <w:ind w:left="840"/>
    </w:pPr>
    <w:rPr>
      <w:sz w:val="18"/>
    </w:rPr>
  </w:style>
  <w:style w:type="paragraph" w:customStyle="1" w:styleId="40">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Table Paragraph"/>
    <w:basedOn w:val="1"/>
    <w:qFormat/>
    <w:uiPriority w:val="1"/>
  </w:style>
  <w:style w:type="paragraph" w:customStyle="1" w:styleId="42">
    <w:name w:val="xl29"/>
    <w:basedOn w:val="1"/>
    <w:qFormat/>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43">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44">
    <w:name w:val="表"/>
    <w:basedOn w:val="1"/>
    <w:qFormat/>
    <w:uiPriority w:val="0"/>
    <w:pPr>
      <w:spacing w:line="360" w:lineRule="auto"/>
    </w:pPr>
    <w:rPr>
      <w:rFonts w:ascii="宋体" w:hAnsi="宋体"/>
      <w:b/>
      <w:bCs/>
    </w:rPr>
  </w:style>
  <w:style w:type="paragraph" w:customStyle="1" w:styleId="45">
    <w:name w:val="样式 小四 段前: 5 磅 段后: 5 磅 首行缩进:  2 字符"/>
    <w:basedOn w:val="1"/>
    <w:qFormat/>
    <w:uiPriority w:val="0"/>
    <w:pPr>
      <w:spacing w:line="360" w:lineRule="auto"/>
    </w:pPr>
    <w:rPr>
      <w:rFonts w:ascii="宋体" w:hAnsi="宋体"/>
      <w:sz w:val="24"/>
      <w:szCs w:val="21"/>
    </w:rPr>
  </w:style>
  <w:style w:type="character" w:customStyle="1" w:styleId="46">
    <w:name w:val="p141"/>
    <w:qFormat/>
    <w:uiPriority w:val="0"/>
    <w:rPr>
      <w:sz w:val="21"/>
      <w:szCs w:val="21"/>
    </w:rPr>
  </w:style>
  <w:style w:type="paragraph" w:customStyle="1" w:styleId="47">
    <w:name w:val="页脚2"/>
    <w:basedOn w:val="1"/>
    <w:qFormat/>
    <w:uiPriority w:val="0"/>
    <w:pPr>
      <w:widowControl/>
      <w:pBdr>
        <w:top w:val="single" w:color="auto" w:sz="6" w:space="0"/>
      </w:pBdr>
      <w:jc w:val="right"/>
      <w:textAlignment w:val="center"/>
    </w:pPr>
    <w:rPr>
      <w:rFonts w:ascii="宋体" w:hAnsi="宋体"/>
      <w:kern w:val="0"/>
      <w:sz w:val="18"/>
      <w:szCs w:val="18"/>
    </w:rPr>
  </w:style>
  <w:style w:type="character" w:customStyle="1" w:styleId="48">
    <w:name w:val="font31"/>
    <w:basedOn w:val="31"/>
    <w:qFormat/>
    <w:uiPriority w:val="0"/>
    <w:rPr>
      <w:rFonts w:hint="eastAsia" w:ascii="宋体" w:hAnsi="宋体" w:eastAsia="宋体" w:cs="宋体"/>
      <w:b/>
      <w:bCs/>
      <w:color w:val="000000"/>
      <w:sz w:val="22"/>
      <w:szCs w:val="22"/>
      <w:u w:val="none"/>
    </w:rPr>
  </w:style>
  <w:style w:type="character" w:customStyle="1" w:styleId="49">
    <w:name w:val="font21"/>
    <w:basedOn w:val="31"/>
    <w:qFormat/>
    <w:uiPriority w:val="0"/>
    <w:rPr>
      <w:rFonts w:hint="eastAsia" w:ascii="宋体" w:hAnsi="宋体" w:eastAsia="宋体" w:cs="宋体"/>
      <w:color w:val="000000"/>
      <w:sz w:val="22"/>
      <w:szCs w:val="22"/>
      <w:u w:val="none"/>
    </w:rPr>
  </w:style>
  <w:style w:type="character" w:customStyle="1" w:styleId="50">
    <w:name w:val="font71"/>
    <w:basedOn w:val="31"/>
    <w:qFormat/>
    <w:uiPriority w:val="0"/>
    <w:rPr>
      <w:rFonts w:hint="default" w:ascii="Times New Roman" w:hAnsi="Times New Roman" w:cs="Times New Roman"/>
      <w:color w:val="000000"/>
      <w:sz w:val="22"/>
      <w:szCs w:val="22"/>
      <w:u w:val="none"/>
    </w:rPr>
  </w:style>
  <w:style w:type="character" w:customStyle="1" w:styleId="51">
    <w:name w:val="font51"/>
    <w:basedOn w:val="31"/>
    <w:qFormat/>
    <w:uiPriority w:val="0"/>
    <w:rPr>
      <w:rFonts w:hint="eastAsia" w:ascii="宋体" w:hAnsi="宋体" w:eastAsia="宋体" w:cs="宋体"/>
      <w:color w:val="000000"/>
      <w:sz w:val="18"/>
      <w:szCs w:val="18"/>
      <w:u w:val="none"/>
    </w:rPr>
  </w:style>
  <w:style w:type="character" w:customStyle="1" w:styleId="52">
    <w:name w:val="font41"/>
    <w:basedOn w:val="31"/>
    <w:qFormat/>
    <w:uiPriority w:val="0"/>
    <w:rPr>
      <w:rFonts w:hint="eastAsia" w:ascii="宋体" w:hAnsi="宋体" w:eastAsia="宋体" w:cs="宋体"/>
      <w:color w:val="000000"/>
      <w:sz w:val="20"/>
      <w:szCs w:val="20"/>
      <w:u w:val="none"/>
    </w:rPr>
  </w:style>
  <w:style w:type="character" w:customStyle="1" w:styleId="53">
    <w:name w:val="font61"/>
    <w:basedOn w:val="31"/>
    <w:qFormat/>
    <w:uiPriority w:val="0"/>
    <w:rPr>
      <w:rFonts w:hint="default" w:ascii="Times New Roman" w:hAnsi="Times New Roman" w:cs="Times New Roman"/>
      <w:color w:val="000000"/>
      <w:sz w:val="20"/>
      <w:szCs w:val="20"/>
      <w:u w:val="none"/>
    </w:rPr>
  </w:style>
  <w:style w:type="character" w:customStyle="1" w:styleId="54">
    <w:name w:val="font91"/>
    <w:basedOn w:val="31"/>
    <w:qFormat/>
    <w:uiPriority w:val="0"/>
    <w:rPr>
      <w:rFonts w:hint="eastAsia" w:ascii="宋体" w:hAnsi="宋体" w:eastAsia="宋体" w:cs="宋体"/>
      <w:b/>
      <w:bCs/>
      <w:color w:val="000000"/>
      <w:sz w:val="24"/>
      <w:szCs w:val="24"/>
      <w:u w:val="none"/>
    </w:rPr>
  </w:style>
  <w:style w:type="character" w:customStyle="1" w:styleId="55">
    <w:name w:val="font01"/>
    <w:basedOn w:val="31"/>
    <w:qFormat/>
    <w:uiPriority w:val="0"/>
    <w:rPr>
      <w:rFonts w:hint="eastAsia" w:ascii="宋体" w:hAnsi="宋体" w:eastAsia="宋体" w:cs="宋体"/>
      <w:color w:val="000000"/>
      <w:sz w:val="24"/>
      <w:szCs w:val="24"/>
      <w:u w:val="none"/>
    </w:rPr>
  </w:style>
  <w:style w:type="character" w:customStyle="1" w:styleId="56">
    <w:name w:val="font101"/>
    <w:basedOn w:val="31"/>
    <w:qFormat/>
    <w:uiPriority w:val="0"/>
    <w:rPr>
      <w:rFonts w:hint="eastAsia" w:ascii="宋体" w:hAnsi="宋体" w:eastAsia="宋体" w:cs="宋体"/>
      <w:b/>
      <w:bCs/>
      <w:color w:val="000000"/>
      <w:sz w:val="24"/>
      <w:szCs w:val="24"/>
      <w:u w:val="none"/>
    </w:rPr>
  </w:style>
  <w:style w:type="paragraph" w:customStyle="1" w:styleId="57">
    <w:name w:val="列出段落11"/>
    <w:basedOn w:val="1"/>
    <w:qFormat/>
    <w:uiPriority w:val="0"/>
    <w:pPr>
      <w:ind w:firstLine="420" w:firstLineChars="200"/>
    </w:pPr>
  </w:style>
  <w:style w:type="paragraph" w:customStyle="1" w:styleId="58">
    <w:name w:val="列出段落1"/>
    <w:basedOn w:val="1"/>
    <w:qFormat/>
    <w:uiPriority w:val="0"/>
    <w:pPr>
      <w:ind w:firstLine="420" w:firstLineChars="200"/>
    </w:pPr>
  </w:style>
  <w:style w:type="paragraph" w:styleId="59">
    <w:name w:val="List Paragraph"/>
    <w:basedOn w:val="1"/>
    <w:qFormat/>
    <w:uiPriority w:val="34"/>
    <w:pPr>
      <w:ind w:firstLine="420" w:firstLineChars="200"/>
    </w:pPr>
  </w:style>
  <w:style w:type="paragraph" w:customStyle="1" w:styleId="6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纯文本1 New New New New New New New New"/>
    <w:basedOn w:val="1"/>
    <w:qFormat/>
    <w:uiPriority w:val="0"/>
    <w:pPr>
      <w:widowControl w:val="0"/>
      <w:suppressAutoHyphens/>
    </w:pPr>
    <w:rPr>
      <w:rFonts w:ascii="宋体"/>
      <w:kern w:val="2"/>
      <w:szCs w:val="20"/>
      <w:lang w:eastAsia="ar-SA"/>
    </w:rPr>
  </w:style>
  <w:style w:type="character" w:customStyle="1" w:styleId="65">
    <w:name w:val="标题 2 字符"/>
    <w:qFormat/>
    <w:uiPriority w:val="99"/>
    <w:rPr>
      <w:b/>
      <w:kern w:val="2"/>
      <w:sz w:val="24"/>
      <w:szCs w:val="24"/>
    </w:rPr>
  </w:style>
  <w:style w:type="paragraph" w:customStyle="1" w:styleId="66">
    <w:name w:val="Normal_8"/>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67">
    <w:name w:val="Normal_0"/>
    <w:next w:val="28"/>
    <w:qFormat/>
    <w:uiPriority w:val="0"/>
    <w:rPr>
      <w:rFonts w:ascii="Times New Roman" w:hAnsi="Times New Roman" w:eastAsia="Times New Roman" w:cs="Times New Roman"/>
      <w:sz w:val="24"/>
      <w:szCs w:val="24"/>
      <w:lang w:bidi="ar-SA"/>
    </w:rPr>
  </w:style>
  <w:style w:type="paragraph" w:customStyle="1" w:styleId="68">
    <w:name w:val="Normal_3"/>
    <w:qFormat/>
    <w:uiPriority w:val="0"/>
    <w:rPr>
      <w:rFonts w:ascii="黑体" w:hAnsi="黑体" w:eastAsia="黑体" w:cs="Times New Roman"/>
      <w:b/>
      <w:sz w:val="32"/>
      <w:szCs w:val="24"/>
      <w:lang w:bidi="ar-SA"/>
    </w:rPr>
  </w:style>
  <w:style w:type="paragraph" w:customStyle="1" w:styleId="69">
    <w:name w:val="WPSOffice手动目录 1"/>
    <w:qFormat/>
    <w:uiPriority w:val="0"/>
    <w:pPr>
      <w:ind w:leftChars="0"/>
    </w:pPr>
    <w:rPr>
      <w:rFonts w:ascii="Times New Roman" w:hAnsi="Times New Roman" w:eastAsia="宋体" w:cs="Times New Roman"/>
      <w:sz w:val="20"/>
      <w:szCs w:val="20"/>
    </w:rPr>
  </w:style>
  <w:style w:type="paragraph" w:customStyle="1" w:styleId="70">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1">
    <w:name w:val="样式 样式 样式 左侧:  2 字符1 + 首行缩进:  2 字符1 + 首行缩进:  2 字符"/>
    <w:basedOn w:val="1"/>
    <w:qFormat/>
    <w:uiPriority w:val="0"/>
    <w:pPr>
      <w:widowControl/>
      <w:spacing w:before="60" w:after="120" w:line="440" w:lineRule="atLeast"/>
      <w:ind w:firstLine="480"/>
    </w:pPr>
    <w:rPr>
      <w:rFonts w:hint="eastAsia"/>
      <w:sz w:val="24"/>
      <w:szCs w:val="20"/>
    </w:rPr>
  </w:style>
  <w:style w:type="paragraph" w:customStyle="1" w:styleId="72">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paragraph" w:customStyle="1" w:styleId="73">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74">
    <w:name w:val="样式3"/>
    <w:basedOn w:val="14"/>
    <w:qFormat/>
    <w:uiPriority w:val="0"/>
    <w:pPr>
      <w:spacing w:line="0" w:lineRule="atLeast"/>
      <w:outlineLvl w:val="0"/>
    </w:pPr>
    <w:rPr>
      <w:sz w:val="28"/>
    </w:rPr>
  </w:style>
  <w:style w:type="paragraph" w:customStyle="1" w:styleId="75">
    <w:name w:val="È±Ê¡ÎÄ±¾"/>
    <w:basedOn w:val="1"/>
    <w:qFormat/>
    <w:uiPriority w:val="0"/>
    <w:pPr>
      <w:widowControl/>
      <w:overflowPunct w:val="0"/>
      <w:autoSpaceDE w:val="0"/>
      <w:autoSpaceDN w:val="0"/>
      <w:adjustRightInd w:val="0"/>
      <w:jc w:val="left"/>
    </w:pPr>
    <w:rPr>
      <w:kern w:val="0"/>
      <w:sz w:val="24"/>
    </w:rPr>
  </w:style>
  <w:style w:type="paragraph" w:customStyle="1" w:styleId="76">
    <w:name w:val="正文文本_0"/>
    <w:basedOn w:val="77"/>
    <w:unhideWhenUsed/>
    <w:qFormat/>
    <w:uiPriority w:val="0"/>
    <w:pPr>
      <w:spacing w:after="120"/>
    </w:pPr>
    <w:rPr>
      <w:rFonts w:ascii="Times New Roman" w:hAnsi="Times New Roman" w:eastAsia="仿宋_GB2312"/>
      <w:sz w:val="28"/>
      <w:szCs w:val="24"/>
    </w:rPr>
  </w:style>
  <w:style w:type="paragraph" w:customStyle="1" w:styleId="77">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Table Text"/>
    <w:basedOn w:val="1"/>
    <w:autoRedefine/>
    <w:semiHidden/>
    <w:qFormat/>
    <w:uiPriority w:val="0"/>
    <w:rPr>
      <w:rFonts w:ascii="宋体" w:hAnsi="宋体" w:eastAsia="宋体" w:cs="宋体"/>
      <w:sz w:val="24"/>
      <w:szCs w:val="24"/>
      <w:lang w:val="en-US" w:eastAsia="en-US" w:bidi="ar-SA"/>
    </w:rPr>
  </w:style>
  <w:style w:type="table" w:customStyle="1" w:styleId="79">
    <w:name w:val="Table Normal"/>
    <w:autoRedefine/>
    <w:semiHidden/>
    <w:unhideWhenUsed/>
    <w:qFormat/>
    <w:uiPriority w:val="0"/>
    <w:tblPr>
      <w:tblCellMar>
        <w:top w:w="0" w:type="dxa"/>
        <w:left w:w="0" w:type="dxa"/>
        <w:bottom w:w="0" w:type="dxa"/>
        <w:right w:w="0" w:type="dxa"/>
      </w:tblCellMar>
    </w:tblPr>
  </w:style>
  <w:style w:type="paragraph" w:customStyle="1" w:styleId="80">
    <w:name w:val="正文文本首行缩进1"/>
    <w:basedOn w:val="10"/>
    <w:autoRedefine/>
    <w:qFormat/>
    <w:uiPriority w:val="0"/>
    <w:pPr>
      <w:ind w:firstLine="420" w:firstLineChars="100"/>
    </w:pPr>
    <w:rPr>
      <w:sz w:val="30"/>
    </w:rPr>
  </w:style>
  <w:style w:type="paragraph" w:customStyle="1" w:styleId="81">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82">
    <w:name w:val="正文文本_1_0"/>
    <w:basedOn w:val="83"/>
    <w:qFormat/>
    <w:uiPriority w:val="0"/>
    <w:pPr>
      <w:spacing w:after="120"/>
    </w:pPr>
    <w:rPr>
      <w:rFonts w:ascii="Times New Roman" w:hAnsi="Times New Roman"/>
    </w:rPr>
  </w:style>
  <w:style w:type="paragraph" w:customStyle="1" w:styleId="83">
    <w:name w:val="正文_0_2_0"/>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84">
    <w:name w:val="日期_0"/>
    <w:basedOn w:val="85"/>
    <w:next w:val="86"/>
    <w:qFormat/>
    <w:uiPriority w:val="0"/>
    <w:pPr>
      <w:ind w:left="100" w:leftChars="2500"/>
    </w:pPr>
    <w:rPr>
      <w:rFonts w:ascii="Times New Roman" w:hAnsi="Times New Roman"/>
      <w:szCs w:val="24"/>
    </w:rPr>
  </w:style>
  <w:style w:type="paragraph" w:customStyle="1" w:styleId="85">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12"/>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Char Char Char Char Char Char Char Char Char Char Char Char Char Char1 Char Char Char Char"/>
    <w:basedOn w:val="1"/>
    <w:autoRedefine/>
    <w:qFormat/>
    <w:uiPriority w:val="0"/>
    <w:rPr>
      <w:szCs w:val="21"/>
    </w:rPr>
  </w:style>
  <w:style w:type="character" w:customStyle="1" w:styleId="88">
    <w:name w:val="标题 1 字符"/>
    <w:link w:val="2"/>
    <w:qFormat/>
    <w:uiPriority w:val="0"/>
    <w:rPr>
      <w:b/>
      <w:kern w:val="44"/>
      <w:sz w:val="44"/>
    </w:rPr>
  </w:style>
  <w:style w:type="paragraph" w:customStyle="1" w:styleId="89">
    <w:name w:val="UserStyle_2"/>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15311</Words>
  <Characters>16369</Characters>
  <Lines>0</Lines>
  <Paragraphs>0</Paragraphs>
  <TotalTime>8</TotalTime>
  <ScaleCrop>false</ScaleCrop>
  <LinksUpToDate>false</LinksUpToDate>
  <CharactersWithSpaces>16509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2023-02-21T08:19:00Z</dcterms:created>
  <dc:creator>Se7en</dc:creator>
  <cp:lastModifiedBy>李文</cp:lastModifiedBy>
  <cp:lastPrinted>2024-09-04T03:36:00Z</cp:lastPrinted>
  <dcterms:modified xsi:type="dcterms:W3CDTF">2025-07-10T08:30:22Z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92EA30A5BDC648A5BA9EC8F769834B66_13</vt:lpwstr>
  </property>
  <property fmtid="{D5CDD505-2E9C-101B-9397-08002B2CF9AE}" pid="4" name="KSOTemplateDocerSaveRecord">
    <vt:lpwstr>eyJoZGlkIjoiNjY3MTJjNzNlNGRhZWE1OTNmNjljNWJhMGM2OTU4N2QiLCJ1c2VySWQiOiIxNDU3NjUyMjk4In0=</vt:lpwstr>
  </property>
</Properties>
</file>