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35111">
      <w:pPr>
        <w:snapToGrid w:val="0"/>
        <w:spacing w:line="360" w:lineRule="auto"/>
        <w:jc w:val="center"/>
        <w:outlineLvl w:val="9"/>
        <w:rPr>
          <w:rFonts w:hint="eastAsia" w:ascii="仿宋" w:hAnsi="仿宋" w:eastAsia="仿宋" w:cs="仿宋"/>
          <w:b/>
          <w:color w:val="auto"/>
          <w:sz w:val="36"/>
          <w:szCs w:val="36"/>
          <w:highlight w:val="none"/>
          <w:lang w:eastAsia="zh-CN"/>
        </w:rPr>
      </w:pPr>
    </w:p>
    <w:p w14:paraId="27A6AE16">
      <w:pPr>
        <w:snapToGrid w:val="0"/>
        <w:spacing w:line="360" w:lineRule="auto"/>
        <w:jc w:val="center"/>
        <w:outlineLvl w:val="9"/>
        <w:rPr>
          <w:rFonts w:hint="eastAsia" w:ascii="仿宋" w:hAnsi="仿宋" w:eastAsia="仿宋" w:cs="仿宋"/>
          <w:b/>
          <w:color w:val="auto"/>
          <w:sz w:val="36"/>
          <w:szCs w:val="36"/>
          <w:highlight w:val="none"/>
          <w:lang w:eastAsia="zh-CN"/>
        </w:rPr>
      </w:pPr>
    </w:p>
    <w:p w14:paraId="2ED5B179">
      <w:pPr>
        <w:snapToGrid w:val="0"/>
        <w:spacing w:line="360" w:lineRule="auto"/>
        <w:jc w:val="center"/>
        <w:outlineLvl w:val="9"/>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36"/>
          <w:szCs w:val="36"/>
          <w:highlight w:val="none"/>
          <w:lang w:eastAsia="zh-CN"/>
        </w:rPr>
        <w:t>2025年第三十七幼儿园设施设备采购-二标段（三次）</w:t>
      </w:r>
    </w:p>
    <w:p w14:paraId="1B74CF05">
      <w:pPr>
        <w:jc w:val="center"/>
        <w:outlineLvl w:val="9"/>
        <w:rPr>
          <w:rFonts w:hint="eastAsia" w:ascii="仿宋" w:hAnsi="仿宋" w:eastAsia="仿宋" w:cs="仿宋"/>
          <w:b/>
          <w:bCs/>
          <w:color w:val="auto"/>
          <w:sz w:val="32"/>
          <w:szCs w:val="32"/>
          <w:highlight w:val="none"/>
        </w:rPr>
      </w:pPr>
    </w:p>
    <w:p w14:paraId="72904F05">
      <w:pPr>
        <w:jc w:val="center"/>
        <w:outlineLvl w:val="9"/>
        <w:rPr>
          <w:rFonts w:hint="eastAsia" w:ascii="仿宋" w:hAnsi="仿宋" w:eastAsia="仿宋" w:cs="仿宋"/>
          <w:b/>
          <w:bCs/>
          <w:color w:val="auto"/>
          <w:sz w:val="32"/>
          <w:szCs w:val="32"/>
          <w:highlight w:val="none"/>
        </w:rPr>
      </w:pPr>
    </w:p>
    <w:p w14:paraId="71EBC737">
      <w:pPr>
        <w:jc w:val="center"/>
        <w:outlineLvl w:val="9"/>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rPr>
        <w:t>项目编号：</w:t>
      </w:r>
      <w:r>
        <w:rPr>
          <w:rFonts w:hint="eastAsia" w:ascii="仿宋" w:hAnsi="仿宋" w:eastAsia="仿宋" w:cs="仿宋"/>
          <w:b/>
          <w:bCs/>
          <w:color w:val="auto"/>
          <w:sz w:val="32"/>
          <w:szCs w:val="32"/>
          <w:highlight w:val="none"/>
          <w:lang w:eastAsia="zh-CN"/>
        </w:rPr>
        <w:t>XJYS(ZFCG)2025-002-02</w:t>
      </w:r>
    </w:p>
    <w:p w14:paraId="596AF385">
      <w:pPr>
        <w:snapToGrid w:val="0"/>
        <w:spacing w:line="360" w:lineRule="auto"/>
        <w:jc w:val="center"/>
        <w:outlineLvl w:val="9"/>
        <w:rPr>
          <w:rFonts w:hint="eastAsia" w:ascii="仿宋" w:hAnsi="仿宋" w:eastAsia="仿宋" w:cs="仿宋"/>
          <w:b/>
          <w:color w:val="auto"/>
          <w:sz w:val="48"/>
          <w:szCs w:val="48"/>
          <w:highlight w:val="none"/>
        </w:rPr>
      </w:pPr>
    </w:p>
    <w:p w14:paraId="09A41C62">
      <w:pPr>
        <w:snapToGrid w:val="0"/>
        <w:spacing w:line="360" w:lineRule="auto"/>
        <w:jc w:val="center"/>
        <w:outlineLvl w:val="9"/>
        <w:rPr>
          <w:rFonts w:hint="eastAsia" w:ascii="仿宋" w:hAnsi="仿宋" w:eastAsia="仿宋" w:cs="仿宋"/>
          <w:b/>
          <w:color w:val="auto"/>
          <w:sz w:val="48"/>
          <w:szCs w:val="48"/>
          <w:highlight w:val="none"/>
        </w:rPr>
      </w:pPr>
    </w:p>
    <w:p w14:paraId="1BD7F04D">
      <w:pPr>
        <w:pStyle w:val="8"/>
        <w:outlineLvl w:val="9"/>
        <w:rPr>
          <w:rFonts w:hint="eastAsia" w:ascii="仿宋" w:hAnsi="仿宋" w:eastAsia="仿宋" w:cs="仿宋"/>
          <w:b/>
          <w:color w:val="auto"/>
          <w:sz w:val="48"/>
          <w:szCs w:val="48"/>
          <w:highlight w:val="none"/>
        </w:rPr>
      </w:pPr>
    </w:p>
    <w:p w14:paraId="73B8F75E">
      <w:pPr>
        <w:pStyle w:val="8"/>
        <w:outlineLvl w:val="9"/>
        <w:rPr>
          <w:rFonts w:hint="eastAsia" w:ascii="仿宋" w:hAnsi="仿宋" w:eastAsia="仿宋" w:cs="仿宋"/>
          <w:b/>
          <w:color w:val="auto"/>
          <w:sz w:val="48"/>
          <w:szCs w:val="48"/>
          <w:highlight w:val="none"/>
        </w:rPr>
      </w:pPr>
    </w:p>
    <w:p w14:paraId="13E49D79">
      <w:pPr>
        <w:snapToGrid w:val="0"/>
        <w:spacing w:line="360" w:lineRule="auto"/>
        <w:jc w:val="center"/>
        <w:outlineLvl w:val="9"/>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公开招标文件</w:t>
      </w:r>
    </w:p>
    <w:p w14:paraId="51903AC1">
      <w:pPr>
        <w:snapToGrid w:val="0"/>
        <w:spacing w:line="360" w:lineRule="auto"/>
        <w:outlineLvl w:val="9"/>
        <w:rPr>
          <w:rFonts w:hint="eastAsia" w:ascii="仿宋" w:hAnsi="仿宋" w:eastAsia="仿宋" w:cs="仿宋"/>
          <w:b/>
          <w:color w:val="auto"/>
          <w:sz w:val="28"/>
          <w:szCs w:val="28"/>
          <w:highlight w:val="none"/>
        </w:rPr>
      </w:pPr>
    </w:p>
    <w:p w14:paraId="49DF6CE9">
      <w:pPr>
        <w:pStyle w:val="8"/>
        <w:outlineLvl w:val="9"/>
        <w:rPr>
          <w:rFonts w:hint="eastAsia" w:ascii="仿宋" w:hAnsi="仿宋" w:eastAsia="仿宋" w:cs="仿宋"/>
          <w:color w:val="auto"/>
          <w:highlight w:val="none"/>
        </w:rPr>
      </w:pPr>
    </w:p>
    <w:p w14:paraId="3F1C4C68">
      <w:pPr>
        <w:pStyle w:val="8"/>
        <w:outlineLvl w:val="9"/>
        <w:rPr>
          <w:rFonts w:hint="eastAsia" w:ascii="仿宋" w:hAnsi="仿宋" w:eastAsia="仿宋" w:cs="仿宋"/>
          <w:color w:val="auto"/>
          <w:highlight w:val="none"/>
        </w:rPr>
      </w:pPr>
    </w:p>
    <w:p w14:paraId="5C8C7771">
      <w:pPr>
        <w:pStyle w:val="12"/>
        <w:outlineLvl w:val="9"/>
        <w:rPr>
          <w:rFonts w:hint="eastAsia" w:ascii="仿宋" w:hAnsi="仿宋" w:eastAsia="仿宋" w:cs="仿宋"/>
          <w:color w:val="auto"/>
          <w:highlight w:val="none"/>
        </w:rPr>
      </w:pPr>
    </w:p>
    <w:p w14:paraId="474F7946">
      <w:pPr>
        <w:pStyle w:val="8"/>
        <w:outlineLvl w:val="9"/>
        <w:rPr>
          <w:rFonts w:hint="eastAsia" w:ascii="仿宋" w:hAnsi="仿宋" w:eastAsia="仿宋" w:cs="仿宋"/>
          <w:color w:val="auto"/>
          <w:highlight w:val="none"/>
        </w:rPr>
      </w:pPr>
    </w:p>
    <w:p w14:paraId="7201FEAA">
      <w:pPr>
        <w:outlineLvl w:val="9"/>
        <w:rPr>
          <w:rFonts w:hint="eastAsia" w:ascii="仿宋" w:hAnsi="仿宋" w:eastAsia="仿宋" w:cs="仿宋"/>
          <w:color w:val="auto"/>
          <w:highlight w:val="none"/>
        </w:rPr>
      </w:pPr>
    </w:p>
    <w:p w14:paraId="193F09F8">
      <w:pPr>
        <w:ind w:firstLine="640" w:firstLineChars="200"/>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采购单位：</w:t>
      </w:r>
      <w:r>
        <w:rPr>
          <w:rFonts w:hint="eastAsia" w:ascii="仿宋" w:hAnsi="仿宋" w:eastAsia="仿宋" w:cs="仿宋"/>
          <w:color w:val="auto"/>
          <w:sz w:val="32"/>
          <w:szCs w:val="32"/>
          <w:highlight w:val="none"/>
          <w:lang w:eastAsia="zh-CN"/>
        </w:rPr>
        <w:t>库尔勒市第二幼儿园</w:t>
      </w:r>
    </w:p>
    <w:p w14:paraId="456298FD">
      <w:pPr>
        <w:spacing w:beforeLines="50" w:afterLines="50"/>
        <w:ind w:firstLine="640" w:firstLineChars="200"/>
        <w:textAlignment w:val="baseline"/>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采购代理机构：</w:t>
      </w:r>
      <w:r>
        <w:rPr>
          <w:rFonts w:hint="eastAsia" w:ascii="仿宋" w:hAnsi="仿宋" w:eastAsia="仿宋" w:cs="仿宋"/>
          <w:color w:val="auto"/>
          <w:sz w:val="32"/>
          <w:szCs w:val="32"/>
          <w:highlight w:val="none"/>
          <w:lang w:eastAsia="zh-CN"/>
        </w:rPr>
        <w:t>新疆益双工程管理有限公司</w:t>
      </w:r>
    </w:p>
    <w:p w14:paraId="48A8911E">
      <w:pPr>
        <w:pStyle w:val="8"/>
        <w:outlineLvl w:val="9"/>
        <w:rPr>
          <w:rFonts w:hint="eastAsia" w:ascii="仿宋" w:hAnsi="仿宋" w:eastAsia="仿宋" w:cs="仿宋"/>
          <w:color w:val="auto"/>
          <w:highlight w:val="none"/>
        </w:rPr>
      </w:pPr>
    </w:p>
    <w:p w14:paraId="2591590F">
      <w:pPr>
        <w:jc w:val="center"/>
        <w:outlineLvl w:val="9"/>
        <w:rPr>
          <w:rFonts w:hint="eastAsia" w:ascii="仿宋" w:hAnsi="仿宋" w:eastAsia="仿宋" w:cs="仿宋"/>
          <w:b/>
          <w:bCs/>
          <w:color w:val="auto"/>
          <w:sz w:val="30"/>
          <w:szCs w:val="32"/>
          <w:highlight w:val="none"/>
          <w:lang w:eastAsia="zh-CN"/>
        </w:rPr>
      </w:pPr>
      <w:r>
        <w:rPr>
          <w:rFonts w:hint="eastAsia" w:ascii="仿宋" w:hAnsi="仿宋" w:eastAsia="仿宋" w:cs="仿宋"/>
          <w:b/>
          <w:bCs/>
          <w:color w:val="auto"/>
          <w:sz w:val="30"/>
          <w:szCs w:val="32"/>
          <w:highlight w:val="none"/>
          <w:lang w:eastAsia="zh-CN"/>
        </w:rPr>
        <w:t>202</w:t>
      </w:r>
      <w:r>
        <w:rPr>
          <w:rFonts w:hint="eastAsia" w:ascii="仿宋" w:hAnsi="仿宋" w:eastAsia="仿宋" w:cs="仿宋"/>
          <w:b/>
          <w:bCs/>
          <w:color w:val="auto"/>
          <w:sz w:val="30"/>
          <w:szCs w:val="32"/>
          <w:highlight w:val="none"/>
          <w:lang w:val="en-US" w:eastAsia="zh-CN"/>
        </w:rPr>
        <w:t>5</w:t>
      </w:r>
      <w:r>
        <w:rPr>
          <w:rFonts w:hint="eastAsia" w:ascii="仿宋" w:hAnsi="仿宋" w:eastAsia="仿宋" w:cs="仿宋"/>
          <w:b/>
          <w:bCs/>
          <w:color w:val="auto"/>
          <w:sz w:val="30"/>
          <w:szCs w:val="32"/>
          <w:highlight w:val="none"/>
          <w:lang w:eastAsia="zh-CN"/>
        </w:rPr>
        <w:t>年</w:t>
      </w:r>
      <w:r>
        <w:rPr>
          <w:rFonts w:hint="eastAsia" w:ascii="仿宋" w:hAnsi="仿宋" w:eastAsia="仿宋" w:cs="仿宋"/>
          <w:b/>
          <w:bCs/>
          <w:color w:val="auto"/>
          <w:sz w:val="30"/>
          <w:szCs w:val="32"/>
          <w:highlight w:val="none"/>
          <w:lang w:val="en-US" w:eastAsia="zh-CN"/>
        </w:rPr>
        <w:t>6</w:t>
      </w:r>
      <w:r>
        <w:rPr>
          <w:rFonts w:hint="eastAsia" w:ascii="仿宋" w:hAnsi="仿宋" w:eastAsia="仿宋" w:cs="仿宋"/>
          <w:b/>
          <w:bCs/>
          <w:color w:val="auto"/>
          <w:sz w:val="30"/>
          <w:szCs w:val="32"/>
          <w:highlight w:val="none"/>
          <w:lang w:eastAsia="zh-CN"/>
        </w:rPr>
        <w:t>月</w:t>
      </w:r>
    </w:p>
    <w:p w14:paraId="33FD90DB">
      <w:pPr>
        <w:kinsoku w:val="0"/>
        <w:autoSpaceDE w:val="0"/>
        <w:autoSpaceDN w:val="0"/>
        <w:spacing w:line="360" w:lineRule="auto"/>
        <w:ind w:firstLine="420"/>
        <w:jc w:val="center"/>
        <w:outlineLvl w:val="9"/>
        <w:rPr>
          <w:rFonts w:hint="eastAsia" w:ascii="仿宋" w:hAnsi="仿宋" w:eastAsia="仿宋" w:cs="仿宋"/>
          <w:b/>
          <w:color w:val="auto"/>
          <w:sz w:val="40"/>
          <w:szCs w:val="48"/>
          <w:highlight w:val="none"/>
          <w:lang w:eastAsia="zh-CN"/>
        </w:rPr>
        <w:sectPr>
          <w:pgSz w:w="11906" w:h="16838"/>
          <w:pgMar w:top="1418" w:right="1106" w:bottom="1418" w:left="1418" w:header="851" w:footer="992" w:gutter="0"/>
          <w:pgNumType w:fmt="decimal" w:start="1"/>
          <w:cols w:space="720" w:num="1"/>
          <w:docGrid w:type="lines" w:linePitch="312" w:charSpace="0"/>
        </w:sectPr>
      </w:pPr>
    </w:p>
    <w:p w14:paraId="03D0FDC4">
      <w:pPr>
        <w:kinsoku w:val="0"/>
        <w:autoSpaceDE w:val="0"/>
        <w:autoSpaceDN w:val="0"/>
        <w:spacing w:line="360" w:lineRule="auto"/>
        <w:ind w:firstLine="420"/>
        <w:jc w:val="center"/>
        <w:outlineLvl w:val="9"/>
        <w:rPr>
          <w:rFonts w:hint="eastAsia" w:ascii="仿宋" w:hAnsi="仿宋" w:eastAsia="仿宋" w:cs="仿宋"/>
          <w:color w:val="auto"/>
          <w:sz w:val="40"/>
          <w:szCs w:val="48"/>
          <w:highlight w:val="none"/>
          <w:lang w:val="zh-CN"/>
        </w:rPr>
      </w:pPr>
      <w:r>
        <w:rPr>
          <w:rFonts w:hint="eastAsia" w:ascii="仿宋" w:hAnsi="仿宋" w:eastAsia="仿宋" w:cs="仿宋"/>
          <w:b/>
          <w:color w:val="auto"/>
          <w:sz w:val="40"/>
          <w:szCs w:val="48"/>
          <w:highlight w:val="none"/>
          <w:lang w:eastAsia="zh-CN"/>
        </w:rPr>
        <w:t>2025年第三十七幼儿园设施设备采购-二标段（三次）</w:t>
      </w:r>
    </w:p>
    <w:p w14:paraId="4F1DB3E6">
      <w:pPr>
        <w:kinsoku w:val="0"/>
        <w:spacing w:line="360" w:lineRule="auto"/>
        <w:outlineLvl w:val="9"/>
        <w:rPr>
          <w:rFonts w:hint="eastAsia" w:ascii="仿宋" w:hAnsi="仿宋" w:eastAsia="仿宋" w:cs="仿宋"/>
          <w:color w:val="auto"/>
          <w:sz w:val="28"/>
          <w:szCs w:val="21"/>
          <w:highlight w:val="none"/>
        </w:rPr>
      </w:pPr>
    </w:p>
    <w:p w14:paraId="3B1FD56F">
      <w:pPr>
        <w:kinsoku w:val="0"/>
        <w:spacing w:line="360" w:lineRule="auto"/>
        <w:ind w:left="2527" w:leftChars="266" w:hanging="1968" w:hangingChars="700"/>
        <w:outlineLvl w:val="9"/>
        <w:rPr>
          <w:rFonts w:hint="eastAsia" w:ascii="仿宋" w:hAnsi="仿宋" w:eastAsia="仿宋" w:cs="仿宋"/>
          <w:color w:val="auto"/>
          <w:highlight w:val="none"/>
          <w:lang w:eastAsia="zh-CN"/>
        </w:rPr>
      </w:pPr>
      <w:r>
        <w:rPr>
          <w:rFonts w:hint="eastAsia" w:ascii="仿宋" w:hAnsi="仿宋" w:eastAsia="仿宋" w:cs="仿宋"/>
          <w:b/>
          <w:color w:val="auto"/>
          <w:sz w:val="28"/>
          <w:szCs w:val="28"/>
          <w:highlight w:val="none"/>
        </w:rPr>
        <w:t xml:space="preserve">项目名称: </w:t>
      </w:r>
      <w:r>
        <w:rPr>
          <w:rFonts w:hint="eastAsia" w:ascii="仿宋" w:hAnsi="仿宋" w:eastAsia="仿宋" w:cs="仿宋"/>
          <w:b/>
          <w:color w:val="auto"/>
          <w:spacing w:val="-20"/>
          <w:sz w:val="28"/>
          <w:szCs w:val="28"/>
          <w:highlight w:val="none"/>
          <w:lang w:eastAsia="zh-CN"/>
        </w:rPr>
        <w:t>2025年第三十七幼儿园设施设备采购-二标段（三次）</w:t>
      </w:r>
    </w:p>
    <w:p w14:paraId="13709CB3">
      <w:pPr>
        <w:kinsoku w:val="0"/>
        <w:spacing w:line="360" w:lineRule="auto"/>
        <w:ind w:firstLine="562" w:firstLineChars="200"/>
        <w:outlineLvl w:val="9"/>
        <w:rPr>
          <w:rFonts w:hint="eastAsia" w:ascii="仿宋" w:hAnsi="仿宋" w:eastAsia="仿宋" w:cs="仿宋"/>
          <w:b/>
          <w:color w:val="auto"/>
          <w:sz w:val="28"/>
          <w:szCs w:val="28"/>
          <w:highlight w:val="none"/>
        </w:rPr>
      </w:pPr>
    </w:p>
    <w:p w14:paraId="711C7860">
      <w:pPr>
        <w:kinsoku w:val="0"/>
        <w:spacing w:line="360" w:lineRule="auto"/>
        <w:ind w:firstLine="562" w:firstLineChars="200"/>
        <w:outlineLvl w:val="9"/>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建设规模：</w:t>
      </w:r>
      <w:r>
        <w:rPr>
          <w:rFonts w:hint="eastAsia" w:ascii="仿宋" w:hAnsi="仿宋" w:eastAsia="仿宋" w:cs="仿宋"/>
          <w:b/>
          <w:color w:val="auto"/>
          <w:sz w:val="28"/>
          <w:szCs w:val="28"/>
          <w:highlight w:val="none"/>
          <w:lang w:eastAsia="zh-CN"/>
        </w:rPr>
        <w:t>采购第三十七幼儿园办公设备、教学设备等一批（具体内容详见采购清单）</w:t>
      </w:r>
    </w:p>
    <w:p w14:paraId="3A825B0A">
      <w:pPr>
        <w:kinsoku w:val="0"/>
        <w:autoSpaceDE w:val="0"/>
        <w:autoSpaceDN w:val="0"/>
        <w:spacing w:line="360" w:lineRule="auto"/>
        <w:ind w:left="567" w:leftChars="270" w:firstLine="141" w:firstLineChars="50"/>
        <w:jc w:val="left"/>
        <w:outlineLvl w:val="9"/>
        <w:rPr>
          <w:rFonts w:hint="eastAsia" w:ascii="仿宋" w:hAnsi="仿宋" w:eastAsia="仿宋" w:cs="仿宋"/>
          <w:b/>
          <w:color w:val="auto"/>
          <w:sz w:val="28"/>
          <w:szCs w:val="28"/>
          <w:highlight w:val="none"/>
        </w:rPr>
      </w:pPr>
    </w:p>
    <w:p w14:paraId="13976E7C">
      <w:pPr>
        <w:kinsoku w:val="0"/>
        <w:autoSpaceDE w:val="0"/>
        <w:autoSpaceDN w:val="0"/>
        <w:spacing w:line="360" w:lineRule="auto"/>
        <w:ind w:left="567" w:leftChars="270" w:firstLine="141" w:firstLineChars="50"/>
        <w:jc w:val="left"/>
        <w:outlineLvl w:val="9"/>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 xml:space="preserve">招标单 位: </w:t>
      </w:r>
      <w:r>
        <w:rPr>
          <w:rFonts w:hint="eastAsia" w:ascii="仿宋" w:hAnsi="仿宋" w:eastAsia="仿宋" w:cs="仿宋"/>
          <w:b/>
          <w:color w:val="auto"/>
          <w:sz w:val="28"/>
          <w:szCs w:val="28"/>
          <w:highlight w:val="none"/>
          <w:lang w:eastAsia="zh-CN"/>
        </w:rPr>
        <w:t>库尔勒市第二幼儿园</w:t>
      </w:r>
    </w:p>
    <w:p w14:paraId="53DDFF48">
      <w:pPr>
        <w:kinsoku w:val="0"/>
        <w:autoSpaceDE w:val="0"/>
        <w:autoSpaceDN w:val="0"/>
        <w:spacing w:line="360" w:lineRule="auto"/>
        <w:ind w:left="567" w:leftChars="270" w:firstLine="141" w:firstLineChars="50"/>
        <w:jc w:val="left"/>
        <w:outlineLvl w:val="9"/>
        <w:rPr>
          <w:rFonts w:hint="eastAsia" w:ascii="仿宋" w:hAnsi="仿宋" w:eastAsia="仿宋" w:cs="仿宋"/>
          <w:color w:val="auto"/>
          <w:kern w:val="0"/>
          <w:sz w:val="28"/>
          <w:szCs w:val="21"/>
          <w:highlight w:val="none"/>
        </w:rPr>
      </w:pPr>
      <w:r>
        <w:rPr>
          <w:rFonts w:hint="eastAsia" w:ascii="仿宋" w:hAnsi="仿宋" w:eastAsia="仿宋" w:cs="仿宋"/>
          <w:b/>
          <w:color w:val="auto"/>
          <w:sz w:val="28"/>
          <w:szCs w:val="28"/>
          <w:highlight w:val="none"/>
        </w:rPr>
        <w:t>法定代表人（</w:t>
      </w:r>
      <w:r>
        <w:rPr>
          <w:rFonts w:hint="eastAsia" w:ascii="仿宋" w:hAnsi="仿宋" w:eastAsia="仿宋" w:cs="仿宋"/>
          <w:b/>
          <w:color w:val="auto"/>
          <w:sz w:val="28"/>
          <w:szCs w:val="28"/>
          <w:highlight w:val="none"/>
          <w:lang w:val="en-US" w:eastAsia="zh-CN"/>
        </w:rPr>
        <w:t>签字或盖章</w:t>
      </w:r>
      <w:r>
        <w:rPr>
          <w:rFonts w:hint="eastAsia" w:ascii="仿宋" w:hAnsi="仿宋" w:eastAsia="仿宋" w:cs="仿宋"/>
          <w:b/>
          <w:color w:val="auto"/>
          <w:sz w:val="28"/>
          <w:szCs w:val="28"/>
          <w:highlight w:val="none"/>
        </w:rPr>
        <w:t>）：</w:t>
      </w:r>
    </w:p>
    <w:p w14:paraId="09C1D82C">
      <w:pPr>
        <w:kinsoku w:val="0"/>
        <w:spacing w:line="360" w:lineRule="auto"/>
        <w:ind w:left="567" w:leftChars="270" w:firstLine="141" w:firstLineChars="50"/>
        <w:jc w:val="left"/>
        <w:outlineLvl w:val="9"/>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联    系    人：</w:t>
      </w:r>
      <w:r>
        <w:rPr>
          <w:rFonts w:hint="eastAsia" w:ascii="仿宋" w:hAnsi="仿宋" w:eastAsia="仿宋" w:cs="仿宋"/>
          <w:b/>
          <w:color w:val="auto"/>
          <w:sz w:val="28"/>
          <w:szCs w:val="28"/>
          <w:highlight w:val="none"/>
          <w:lang w:eastAsia="zh-CN"/>
        </w:rPr>
        <w:t>高慧慧 </w:t>
      </w:r>
    </w:p>
    <w:p w14:paraId="0F878ACB">
      <w:pPr>
        <w:kinsoku w:val="0"/>
        <w:spacing w:line="360" w:lineRule="auto"/>
        <w:ind w:left="567" w:leftChars="270" w:firstLine="141" w:firstLineChars="50"/>
        <w:jc w:val="left"/>
        <w:outlineLvl w:val="9"/>
        <w:rPr>
          <w:rFonts w:hint="eastAsia" w:ascii="仿宋" w:hAnsi="仿宋" w:eastAsia="仿宋" w:cs="仿宋"/>
          <w:color w:val="auto"/>
          <w:kern w:val="0"/>
          <w:sz w:val="28"/>
          <w:szCs w:val="21"/>
          <w:highlight w:val="none"/>
          <w:lang w:eastAsia="zh-CN"/>
        </w:rPr>
      </w:pPr>
      <w:r>
        <w:rPr>
          <w:rFonts w:hint="eastAsia" w:ascii="仿宋" w:hAnsi="仿宋" w:eastAsia="仿宋" w:cs="仿宋"/>
          <w:b/>
          <w:color w:val="auto"/>
          <w:sz w:val="28"/>
          <w:szCs w:val="28"/>
          <w:highlight w:val="none"/>
        </w:rPr>
        <w:t>联  系  电  话：</w:t>
      </w:r>
      <w:r>
        <w:rPr>
          <w:rFonts w:hint="eastAsia" w:ascii="仿宋" w:hAnsi="仿宋" w:eastAsia="仿宋" w:cs="仿宋"/>
          <w:b/>
          <w:color w:val="auto"/>
          <w:sz w:val="28"/>
          <w:szCs w:val="28"/>
          <w:highlight w:val="none"/>
          <w:lang w:eastAsia="zh-CN"/>
        </w:rPr>
        <w:t>19999197179</w:t>
      </w:r>
    </w:p>
    <w:p w14:paraId="445AC62D">
      <w:pPr>
        <w:kinsoku w:val="0"/>
        <w:spacing w:line="360" w:lineRule="auto"/>
        <w:ind w:left="567" w:leftChars="270" w:firstLine="141" w:firstLineChars="50"/>
        <w:jc w:val="left"/>
        <w:outlineLvl w:val="9"/>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邮  政  编  码：841</w:t>
      </w:r>
      <w:r>
        <w:rPr>
          <w:rFonts w:hint="eastAsia" w:ascii="仿宋" w:hAnsi="仿宋" w:eastAsia="仿宋" w:cs="仿宋"/>
          <w:b/>
          <w:color w:val="auto"/>
          <w:sz w:val="28"/>
          <w:szCs w:val="28"/>
          <w:highlight w:val="none"/>
          <w:lang w:val="en-US" w:eastAsia="zh-CN"/>
        </w:rPr>
        <w:t>000</w:t>
      </w:r>
    </w:p>
    <w:p w14:paraId="5ED7BA18">
      <w:pPr>
        <w:kinsoku w:val="0"/>
        <w:spacing w:line="360" w:lineRule="auto"/>
        <w:jc w:val="left"/>
        <w:outlineLvl w:val="9"/>
        <w:rPr>
          <w:rFonts w:hint="eastAsia" w:ascii="仿宋" w:hAnsi="仿宋" w:eastAsia="仿宋" w:cs="仿宋"/>
          <w:b/>
          <w:color w:val="auto"/>
          <w:sz w:val="28"/>
          <w:szCs w:val="28"/>
          <w:highlight w:val="none"/>
        </w:rPr>
      </w:pPr>
    </w:p>
    <w:p w14:paraId="37522F3B">
      <w:pPr>
        <w:kinsoku w:val="0"/>
        <w:spacing w:line="360" w:lineRule="auto"/>
        <w:ind w:left="567" w:leftChars="270" w:firstLine="141" w:firstLineChars="50"/>
        <w:jc w:val="left"/>
        <w:outlineLvl w:val="9"/>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招标代理机构（公章）：</w:t>
      </w:r>
      <w:r>
        <w:rPr>
          <w:rFonts w:hint="eastAsia" w:ascii="仿宋" w:hAnsi="仿宋" w:eastAsia="仿宋" w:cs="仿宋"/>
          <w:b/>
          <w:color w:val="auto"/>
          <w:sz w:val="28"/>
          <w:szCs w:val="32"/>
          <w:highlight w:val="none"/>
          <w:lang w:eastAsia="zh-CN"/>
        </w:rPr>
        <w:t>新疆益双工程管理有限公司</w:t>
      </w:r>
    </w:p>
    <w:p w14:paraId="78D2441B">
      <w:pPr>
        <w:kinsoku w:val="0"/>
        <w:spacing w:line="360" w:lineRule="auto"/>
        <w:ind w:left="567" w:leftChars="270" w:firstLine="141" w:firstLineChars="50"/>
        <w:jc w:val="left"/>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法定代表人（</w:t>
      </w:r>
      <w:r>
        <w:rPr>
          <w:rFonts w:hint="eastAsia" w:ascii="仿宋" w:hAnsi="仿宋" w:eastAsia="仿宋" w:cs="仿宋"/>
          <w:b/>
          <w:color w:val="auto"/>
          <w:sz w:val="28"/>
          <w:szCs w:val="28"/>
          <w:highlight w:val="none"/>
          <w:lang w:val="en-US" w:eastAsia="zh-CN"/>
        </w:rPr>
        <w:t>签字或盖章</w:t>
      </w:r>
      <w:r>
        <w:rPr>
          <w:rFonts w:hint="eastAsia" w:ascii="仿宋" w:hAnsi="仿宋" w:eastAsia="仿宋" w:cs="仿宋"/>
          <w:b/>
          <w:color w:val="auto"/>
          <w:sz w:val="28"/>
          <w:szCs w:val="28"/>
          <w:highlight w:val="none"/>
        </w:rPr>
        <w:t>）：</w:t>
      </w:r>
    </w:p>
    <w:p w14:paraId="281430B2">
      <w:pPr>
        <w:tabs>
          <w:tab w:val="left" w:pos="3780"/>
        </w:tabs>
        <w:kinsoku w:val="0"/>
        <w:spacing w:line="360" w:lineRule="auto"/>
        <w:ind w:left="567" w:leftChars="270" w:firstLine="141" w:firstLineChars="50"/>
        <w:jc w:val="left"/>
        <w:outlineLvl w:val="9"/>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委 托 代 理 人：</w:t>
      </w:r>
      <w:r>
        <w:rPr>
          <w:rFonts w:hint="eastAsia" w:ascii="仿宋" w:hAnsi="仿宋" w:eastAsia="仿宋" w:cs="仿宋"/>
          <w:b/>
          <w:color w:val="auto"/>
          <w:sz w:val="28"/>
          <w:szCs w:val="28"/>
          <w:highlight w:val="none"/>
          <w:lang w:eastAsia="zh-CN"/>
        </w:rPr>
        <w:t>周先生</w:t>
      </w:r>
    </w:p>
    <w:p w14:paraId="0A4DB77E">
      <w:pPr>
        <w:tabs>
          <w:tab w:val="left" w:pos="3780"/>
        </w:tabs>
        <w:kinsoku w:val="0"/>
        <w:spacing w:line="360" w:lineRule="auto"/>
        <w:ind w:left="567" w:leftChars="270" w:firstLine="141" w:firstLineChars="50"/>
        <w:jc w:val="left"/>
        <w:outlineLvl w:val="9"/>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联  系  电  话：</w:t>
      </w:r>
      <w:r>
        <w:rPr>
          <w:rFonts w:hint="eastAsia" w:ascii="仿宋" w:hAnsi="仿宋" w:eastAsia="仿宋" w:cs="仿宋"/>
          <w:b/>
          <w:color w:val="auto"/>
          <w:sz w:val="28"/>
          <w:szCs w:val="28"/>
          <w:highlight w:val="none"/>
          <w:lang w:eastAsia="zh-CN"/>
        </w:rPr>
        <w:t>18699639766</w:t>
      </w:r>
    </w:p>
    <w:p w14:paraId="1BD0CFCE">
      <w:pPr>
        <w:kinsoku w:val="0"/>
        <w:spacing w:line="360" w:lineRule="auto"/>
        <w:ind w:left="567" w:leftChars="270" w:firstLine="141" w:firstLineChars="50"/>
        <w:jc w:val="left"/>
        <w:outlineLvl w:val="9"/>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联  系  地  址：库尔勒市</w:t>
      </w:r>
      <w:r>
        <w:rPr>
          <w:rFonts w:hint="eastAsia" w:ascii="仿宋" w:hAnsi="仿宋" w:eastAsia="仿宋" w:cs="仿宋"/>
          <w:b/>
          <w:color w:val="auto"/>
          <w:sz w:val="28"/>
          <w:szCs w:val="28"/>
          <w:highlight w:val="none"/>
          <w:lang w:val="en-US" w:eastAsia="zh-CN"/>
        </w:rPr>
        <w:t>铁克其路冠农汇景台门面3栋3层</w:t>
      </w:r>
    </w:p>
    <w:p w14:paraId="4D686B8C">
      <w:pPr>
        <w:kinsoku w:val="0"/>
        <w:spacing w:line="360" w:lineRule="auto"/>
        <w:ind w:left="567" w:leftChars="270" w:firstLine="141" w:firstLineChars="50"/>
        <w:jc w:val="left"/>
        <w:outlineLvl w:val="9"/>
        <w:rPr>
          <w:rFonts w:hint="eastAsia" w:ascii="仿宋" w:hAnsi="仿宋" w:eastAsia="仿宋" w:cs="仿宋"/>
          <w:color w:val="auto"/>
          <w:sz w:val="28"/>
          <w:szCs w:val="21"/>
          <w:highlight w:val="none"/>
        </w:rPr>
        <w:sectPr>
          <w:footerReference r:id="rId3" w:type="default"/>
          <w:pgSz w:w="11906" w:h="16838"/>
          <w:pgMar w:top="1418" w:right="1106" w:bottom="1418" w:left="1418" w:header="851" w:footer="992" w:gutter="0"/>
          <w:pgNumType w:fmt="decimal" w:start="1"/>
          <w:cols w:space="720" w:num="1"/>
          <w:docGrid w:type="lines" w:linePitch="312" w:charSpace="0"/>
        </w:sectPr>
      </w:pPr>
      <w:r>
        <w:rPr>
          <w:rFonts w:hint="eastAsia" w:ascii="仿宋" w:hAnsi="仿宋" w:eastAsia="仿宋" w:cs="仿宋"/>
          <w:b/>
          <w:color w:val="auto"/>
          <w:sz w:val="28"/>
          <w:szCs w:val="28"/>
          <w:highlight w:val="none"/>
        </w:rPr>
        <w:t>邮  政  编  码：841000</w:t>
      </w:r>
    </w:p>
    <w:p w14:paraId="04BA5876">
      <w:pPr>
        <w:spacing w:beforeLines="50" w:afterLines="50" w:line="360" w:lineRule="auto"/>
        <w:jc w:val="center"/>
        <w:outlineLvl w:val="9"/>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目    录</w:t>
      </w:r>
    </w:p>
    <w:p w14:paraId="7120B5B0">
      <w:pPr>
        <w:pStyle w:val="33"/>
        <w:spacing w:line="360" w:lineRule="auto"/>
        <w:ind w:firstLine="270" w:firstLineChars="112"/>
        <w:outlineLvl w:val="9"/>
        <w:rPr>
          <w:rFonts w:hint="eastAsia" w:ascii="仿宋" w:hAnsi="仿宋" w:eastAsia="仿宋" w:cs="仿宋"/>
          <w:b/>
          <w:bCs/>
          <w:color w:val="auto"/>
          <w:highlight w:val="none"/>
        </w:rPr>
      </w:pPr>
      <w:r>
        <w:rPr>
          <w:rFonts w:hint="eastAsia" w:ascii="仿宋" w:hAnsi="仿宋" w:eastAsia="仿宋" w:cs="仿宋"/>
          <w:b/>
          <w:bCs/>
          <w:color w:val="auto"/>
          <w:highlight w:val="none"/>
        </w:rPr>
        <w:t>第一部分 招标公告</w:t>
      </w:r>
    </w:p>
    <w:p w14:paraId="39E54467">
      <w:pPr>
        <w:pStyle w:val="33"/>
        <w:spacing w:line="360" w:lineRule="auto"/>
        <w:ind w:firstLine="748" w:firstLineChars="312"/>
        <w:outlineLvl w:val="9"/>
        <w:rPr>
          <w:rFonts w:hint="eastAsia" w:ascii="仿宋" w:hAnsi="仿宋" w:eastAsia="仿宋" w:cs="仿宋"/>
          <w:b/>
          <w:bCs/>
          <w:color w:val="auto"/>
          <w:highlight w:val="none"/>
        </w:rPr>
      </w:pPr>
      <w:r>
        <w:rPr>
          <w:rFonts w:hint="eastAsia" w:ascii="仿宋" w:hAnsi="仿宋" w:eastAsia="仿宋" w:cs="仿宋"/>
          <w:color w:val="auto"/>
          <w:highlight w:val="none"/>
        </w:rPr>
        <w:t>招标公告</w:t>
      </w:r>
    </w:p>
    <w:p w14:paraId="693CF68E">
      <w:pPr>
        <w:pStyle w:val="33"/>
        <w:spacing w:line="360" w:lineRule="auto"/>
        <w:ind w:firstLine="270" w:firstLineChars="112"/>
        <w:outlineLvl w:val="9"/>
        <w:rPr>
          <w:rFonts w:hint="eastAsia" w:ascii="仿宋" w:hAnsi="仿宋" w:eastAsia="仿宋" w:cs="仿宋"/>
          <w:b/>
          <w:bCs/>
          <w:color w:val="auto"/>
          <w:highlight w:val="none"/>
        </w:rPr>
      </w:pPr>
      <w:r>
        <w:rPr>
          <w:rFonts w:hint="eastAsia" w:ascii="仿宋" w:hAnsi="仿宋" w:eastAsia="仿宋" w:cs="仿宋"/>
          <w:b/>
          <w:bCs/>
          <w:color w:val="auto"/>
          <w:highlight w:val="none"/>
        </w:rPr>
        <w:t>第二部分 投标须知</w:t>
      </w:r>
    </w:p>
    <w:p w14:paraId="24A2659E">
      <w:pPr>
        <w:pStyle w:val="33"/>
        <w:spacing w:line="360" w:lineRule="auto"/>
        <w:ind w:firstLine="720" w:firstLineChars="300"/>
        <w:outlineLvl w:val="9"/>
        <w:rPr>
          <w:rFonts w:hint="eastAsia" w:ascii="仿宋" w:hAnsi="仿宋" w:eastAsia="仿宋" w:cs="仿宋"/>
          <w:color w:val="auto"/>
          <w:highlight w:val="none"/>
        </w:rPr>
      </w:pPr>
      <w:r>
        <w:rPr>
          <w:rFonts w:hint="eastAsia" w:ascii="仿宋" w:hAnsi="仿宋" w:eastAsia="仿宋" w:cs="仿宋"/>
          <w:color w:val="auto"/>
          <w:highlight w:val="none"/>
        </w:rPr>
        <w:t>投标须知</w:t>
      </w:r>
    </w:p>
    <w:p w14:paraId="3E395203">
      <w:pPr>
        <w:pStyle w:val="33"/>
        <w:spacing w:line="360" w:lineRule="auto"/>
        <w:ind w:firstLine="241" w:firstLineChars="100"/>
        <w:outlineLvl w:val="9"/>
        <w:rPr>
          <w:rFonts w:hint="eastAsia" w:ascii="仿宋" w:hAnsi="仿宋" w:eastAsia="仿宋" w:cs="仿宋"/>
          <w:b/>
          <w:bCs/>
          <w:color w:val="auto"/>
          <w:highlight w:val="none"/>
        </w:rPr>
      </w:pPr>
      <w:r>
        <w:rPr>
          <w:rFonts w:hint="eastAsia" w:ascii="仿宋" w:hAnsi="仿宋" w:eastAsia="仿宋" w:cs="仿宋"/>
          <w:b/>
          <w:bCs/>
          <w:color w:val="auto"/>
          <w:highlight w:val="none"/>
        </w:rPr>
        <w:t xml:space="preserve">第三部分 </w:t>
      </w:r>
      <w:r>
        <w:rPr>
          <w:rFonts w:hint="eastAsia" w:ascii="仿宋" w:hAnsi="仿宋" w:eastAsia="仿宋" w:cs="仿宋"/>
          <w:b/>
          <w:color w:val="auto"/>
          <w:kern w:val="2"/>
          <w:sz w:val="28"/>
          <w:szCs w:val="36"/>
          <w:highlight w:val="none"/>
        </w:rPr>
        <w:t>货物需求、技术规格说明</w:t>
      </w:r>
    </w:p>
    <w:p w14:paraId="73758CCC">
      <w:pPr>
        <w:spacing w:line="360" w:lineRule="auto"/>
        <w:ind w:firstLine="720" w:firstLineChars="3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第一章 技术规格及报价明细表</w:t>
      </w:r>
    </w:p>
    <w:p w14:paraId="34240402">
      <w:pPr>
        <w:pStyle w:val="33"/>
        <w:spacing w:line="360" w:lineRule="auto"/>
        <w:ind w:firstLine="241" w:firstLineChars="100"/>
        <w:outlineLvl w:val="9"/>
        <w:rPr>
          <w:rFonts w:hint="eastAsia" w:ascii="仿宋" w:hAnsi="仿宋" w:eastAsia="仿宋" w:cs="仿宋"/>
          <w:b/>
          <w:bCs/>
          <w:color w:val="auto"/>
          <w:highlight w:val="none"/>
        </w:rPr>
      </w:pPr>
      <w:r>
        <w:rPr>
          <w:rFonts w:hint="eastAsia" w:ascii="仿宋" w:hAnsi="仿宋" w:eastAsia="仿宋" w:cs="仿宋"/>
          <w:b/>
          <w:bCs/>
          <w:color w:val="auto"/>
          <w:highlight w:val="none"/>
        </w:rPr>
        <w:t>第四部分 招标说明</w:t>
      </w:r>
    </w:p>
    <w:p w14:paraId="6F11E616">
      <w:pPr>
        <w:pStyle w:val="33"/>
        <w:spacing w:line="360" w:lineRule="auto"/>
        <w:ind w:firstLine="241" w:firstLineChars="100"/>
        <w:outlineLvl w:val="9"/>
        <w:rPr>
          <w:rFonts w:hint="eastAsia" w:ascii="仿宋" w:hAnsi="仿宋" w:eastAsia="仿宋" w:cs="仿宋"/>
          <w:color w:val="auto"/>
          <w:highlight w:val="none"/>
        </w:rPr>
      </w:pPr>
      <w:r>
        <w:rPr>
          <w:rFonts w:hint="eastAsia" w:ascii="仿宋" w:hAnsi="仿宋" w:eastAsia="仿宋" w:cs="仿宋"/>
          <w:b/>
          <w:bCs/>
          <w:color w:val="auto"/>
          <w:highlight w:val="none"/>
        </w:rPr>
        <w:t>第五部分 投标说明</w:t>
      </w:r>
    </w:p>
    <w:p w14:paraId="67CA30E3">
      <w:pPr>
        <w:spacing w:line="360" w:lineRule="auto"/>
        <w:ind w:firstLine="720" w:firstLineChars="3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第一章 对投标方的资质要求</w:t>
      </w:r>
    </w:p>
    <w:p w14:paraId="238F4FE1">
      <w:pPr>
        <w:spacing w:line="360" w:lineRule="auto"/>
        <w:ind w:firstLine="720" w:firstLineChars="3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第二章 投标文件的编写</w:t>
      </w:r>
    </w:p>
    <w:p w14:paraId="00FCC521">
      <w:pPr>
        <w:spacing w:line="360" w:lineRule="auto"/>
        <w:ind w:firstLine="720" w:firstLineChars="3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第三章 投标文件的递交</w:t>
      </w:r>
    </w:p>
    <w:p w14:paraId="434C656B">
      <w:pPr>
        <w:spacing w:line="360" w:lineRule="auto"/>
        <w:ind w:firstLine="720" w:firstLineChars="3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第四章 评标委员会</w:t>
      </w:r>
    </w:p>
    <w:p w14:paraId="6B71F281">
      <w:pPr>
        <w:pStyle w:val="33"/>
        <w:spacing w:line="360" w:lineRule="auto"/>
        <w:ind w:firstLine="241" w:firstLineChars="100"/>
        <w:outlineLvl w:val="9"/>
        <w:rPr>
          <w:rFonts w:hint="eastAsia" w:ascii="仿宋" w:hAnsi="仿宋" w:eastAsia="仿宋" w:cs="仿宋"/>
          <w:color w:val="auto"/>
          <w:highlight w:val="none"/>
        </w:rPr>
      </w:pPr>
      <w:r>
        <w:rPr>
          <w:rFonts w:hint="eastAsia" w:ascii="仿宋" w:hAnsi="仿宋" w:eastAsia="仿宋" w:cs="仿宋"/>
          <w:b/>
          <w:bCs/>
          <w:color w:val="auto"/>
          <w:highlight w:val="none"/>
        </w:rPr>
        <w:t>第六部分 开标 评标 定标说明</w:t>
      </w:r>
    </w:p>
    <w:p w14:paraId="22245FBB">
      <w:pPr>
        <w:spacing w:line="360" w:lineRule="auto"/>
        <w:ind w:firstLine="720" w:firstLineChars="3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第一章 开　标</w:t>
      </w:r>
    </w:p>
    <w:p w14:paraId="1A344612">
      <w:pPr>
        <w:spacing w:line="360" w:lineRule="auto"/>
        <w:ind w:firstLine="720" w:firstLineChars="3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第二章 评　标</w:t>
      </w:r>
    </w:p>
    <w:p w14:paraId="7C8EB6C3">
      <w:pPr>
        <w:spacing w:line="360" w:lineRule="auto"/>
        <w:ind w:firstLine="720" w:firstLineChars="3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第三章 定　标</w:t>
      </w:r>
    </w:p>
    <w:p w14:paraId="6B73E64D">
      <w:pPr>
        <w:spacing w:line="360" w:lineRule="auto"/>
        <w:ind w:firstLine="720" w:firstLineChars="3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第四章 授予合同</w:t>
      </w:r>
    </w:p>
    <w:p w14:paraId="0EED79B8">
      <w:pPr>
        <w:pStyle w:val="33"/>
        <w:spacing w:line="360" w:lineRule="auto"/>
        <w:ind w:firstLine="241" w:firstLineChars="100"/>
        <w:outlineLvl w:val="9"/>
        <w:rPr>
          <w:rFonts w:hint="eastAsia" w:ascii="仿宋" w:hAnsi="仿宋" w:eastAsia="仿宋" w:cs="仿宋"/>
          <w:b/>
          <w:bCs/>
          <w:color w:val="auto"/>
          <w:highlight w:val="none"/>
        </w:rPr>
      </w:pPr>
      <w:r>
        <w:rPr>
          <w:rFonts w:hint="eastAsia" w:ascii="仿宋" w:hAnsi="仿宋" w:eastAsia="仿宋" w:cs="仿宋"/>
          <w:b/>
          <w:bCs/>
          <w:color w:val="auto"/>
          <w:highlight w:val="none"/>
        </w:rPr>
        <w:t>第七部分 商务部分</w:t>
      </w:r>
    </w:p>
    <w:p w14:paraId="03887093">
      <w:pPr>
        <w:pStyle w:val="33"/>
        <w:spacing w:line="360" w:lineRule="auto"/>
        <w:ind w:firstLine="720" w:firstLineChars="300"/>
        <w:outlineLvl w:val="9"/>
        <w:rPr>
          <w:rFonts w:hint="eastAsia" w:ascii="仿宋" w:hAnsi="仿宋" w:eastAsia="仿宋" w:cs="仿宋"/>
          <w:bCs/>
          <w:color w:val="auto"/>
          <w:kern w:val="2"/>
          <w:highlight w:val="none"/>
        </w:rPr>
      </w:pPr>
      <w:r>
        <w:rPr>
          <w:rFonts w:hint="eastAsia" w:ascii="仿宋" w:hAnsi="仿宋" w:eastAsia="仿宋" w:cs="仿宋"/>
          <w:bCs/>
          <w:color w:val="auto"/>
          <w:kern w:val="2"/>
          <w:highlight w:val="none"/>
        </w:rPr>
        <w:t xml:space="preserve">第一章 合同一般条款 </w:t>
      </w:r>
    </w:p>
    <w:p w14:paraId="379E2D40">
      <w:pPr>
        <w:pStyle w:val="33"/>
        <w:spacing w:line="360" w:lineRule="auto"/>
        <w:ind w:firstLine="720" w:firstLineChars="300"/>
        <w:outlineLvl w:val="9"/>
        <w:rPr>
          <w:rFonts w:hint="eastAsia" w:ascii="仿宋" w:hAnsi="仿宋" w:eastAsia="仿宋" w:cs="仿宋"/>
          <w:bCs/>
          <w:color w:val="auto"/>
          <w:kern w:val="2"/>
          <w:highlight w:val="none"/>
        </w:rPr>
      </w:pPr>
      <w:r>
        <w:rPr>
          <w:rFonts w:hint="eastAsia" w:ascii="仿宋" w:hAnsi="仿宋" w:eastAsia="仿宋" w:cs="仿宋"/>
          <w:bCs/>
          <w:color w:val="auto"/>
          <w:kern w:val="2"/>
          <w:highlight w:val="none"/>
        </w:rPr>
        <w:t xml:space="preserve">第二章 付款币种及方式 </w:t>
      </w:r>
    </w:p>
    <w:p w14:paraId="07D485E4">
      <w:pPr>
        <w:pStyle w:val="33"/>
        <w:spacing w:line="360" w:lineRule="auto"/>
        <w:ind w:firstLine="720" w:firstLineChars="300"/>
        <w:outlineLvl w:val="9"/>
        <w:rPr>
          <w:rFonts w:hint="eastAsia" w:ascii="仿宋" w:hAnsi="仿宋" w:eastAsia="仿宋" w:cs="仿宋"/>
          <w:bCs/>
          <w:color w:val="auto"/>
          <w:kern w:val="2"/>
          <w:highlight w:val="none"/>
        </w:rPr>
      </w:pPr>
      <w:r>
        <w:rPr>
          <w:rFonts w:hint="eastAsia" w:ascii="仿宋" w:hAnsi="仿宋" w:eastAsia="仿宋" w:cs="仿宋"/>
          <w:bCs/>
          <w:color w:val="auto"/>
          <w:kern w:val="2"/>
          <w:highlight w:val="none"/>
        </w:rPr>
        <w:t xml:space="preserve">第三章 服务承诺 </w:t>
      </w:r>
    </w:p>
    <w:p w14:paraId="4D2A1D6A">
      <w:pPr>
        <w:pStyle w:val="33"/>
        <w:spacing w:line="360" w:lineRule="auto"/>
        <w:ind w:firstLine="241" w:firstLineChars="100"/>
        <w:outlineLvl w:val="9"/>
        <w:rPr>
          <w:rFonts w:hint="eastAsia" w:ascii="仿宋" w:hAnsi="仿宋" w:eastAsia="仿宋" w:cs="仿宋"/>
          <w:b/>
          <w:bCs/>
          <w:color w:val="auto"/>
          <w:highlight w:val="none"/>
        </w:rPr>
      </w:pPr>
      <w:r>
        <w:rPr>
          <w:rFonts w:hint="eastAsia" w:ascii="仿宋" w:hAnsi="仿宋" w:eastAsia="仿宋" w:cs="仿宋"/>
          <w:b/>
          <w:bCs/>
          <w:color w:val="auto"/>
          <w:highlight w:val="none"/>
        </w:rPr>
        <w:t>第八部分  投标文件的编制装订</w:t>
      </w:r>
    </w:p>
    <w:p w14:paraId="0F8C7519">
      <w:pPr>
        <w:pStyle w:val="33"/>
        <w:spacing w:line="360" w:lineRule="auto"/>
        <w:ind w:firstLine="720" w:firstLineChars="300"/>
        <w:outlineLvl w:val="9"/>
        <w:rPr>
          <w:rFonts w:hint="eastAsia" w:ascii="仿宋" w:hAnsi="仿宋" w:eastAsia="仿宋" w:cs="仿宋"/>
          <w:color w:val="auto"/>
          <w:highlight w:val="none"/>
        </w:rPr>
      </w:pPr>
      <w:r>
        <w:rPr>
          <w:rFonts w:hint="eastAsia" w:ascii="仿宋" w:hAnsi="仿宋" w:eastAsia="仿宋" w:cs="仿宋"/>
          <w:color w:val="auto"/>
          <w:highlight w:val="none"/>
        </w:rPr>
        <w:t>一、投标文件编制和装订顺序</w:t>
      </w:r>
    </w:p>
    <w:p w14:paraId="6BC16DE7">
      <w:pPr>
        <w:pStyle w:val="33"/>
        <w:spacing w:line="360" w:lineRule="auto"/>
        <w:ind w:firstLine="720" w:firstLineChars="300"/>
        <w:outlineLvl w:val="9"/>
        <w:rPr>
          <w:rFonts w:hint="eastAsia" w:ascii="仿宋" w:hAnsi="仿宋" w:eastAsia="仿宋" w:cs="仿宋"/>
          <w:color w:val="auto"/>
          <w:highlight w:val="none"/>
        </w:rPr>
      </w:pPr>
      <w:r>
        <w:rPr>
          <w:rFonts w:hint="eastAsia" w:ascii="仿宋" w:hAnsi="仿宋" w:eastAsia="仿宋" w:cs="仿宋"/>
          <w:color w:val="auto"/>
          <w:highlight w:val="none"/>
        </w:rPr>
        <w:t xml:space="preserve">二、投标报价文件顺序及格式范本 </w:t>
      </w:r>
    </w:p>
    <w:p w14:paraId="549412F3">
      <w:pPr>
        <w:pStyle w:val="33"/>
        <w:spacing w:line="360" w:lineRule="auto"/>
        <w:ind w:firstLine="720" w:firstLineChars="300"/>
        <w:outlineLvl w:val="9"/>
        <w:rPr>
          <w:rFonts w:hint="eastAsia" w:ascii="仿宋" w:hAnsi="仿宋" w:eastAsia="仿宋" w:cs="仿宋"/>
          <w:color w:val="auto"/>
          <w:highlight w:val="none"/>
        </w:rPr>
      </w:pPr>
    </w:p>
    <w:p w14:paraId="4D0536A6">
      <w:pPr>
        <w:pStyle w:val="33"/>
        <w:spacing w:line="360" w:lineRule="auto"/>
        <w:outlineLvl w:val="9"/>
        <w:rPr>
          <w:rFonts w:hint="eastAsia" w:ascii="仿宋" w:hAnsi="仿宋" w:eastAsia="仿宋" w:cs="仿宋"/>
          <w:color w:val="auto"/>
          <w:highlight w:val="none"/>
        </w:rPr>
      </w:pPr>
    </w:p>
    <w:p w14:paraId="39368BDD">
      <w:pPr>
        <w:pStyle w:val="33"/>
        <w:spacing w:line="360" w:lineRule="auto"/>
        <w:ind w:firstLine="1084" w:firstLineChars="300"/>
        <w:jc w:val="center"/>
        <w:outlineLvl w:val="9"/>
        <w:rPr>
          <w:rFonts w:hint="eastAsia" w:ascii="仿宋" w:hAnsi="仿宋" w:eastAsia="仿宋" w:cs="仿宋"/>
          <w:b/>
          <w:color w:val="auto"/>
          <w:sz w:val="36"/>
          <w:szCs w:val="36"/>
          <w:highlight w:val="none"/>
        </w:rPr>
        <w:sectPr>
          <w:headerReference r:id="rId4" w:type="default"/>
          <w:footerReference r:id="rId5" w:type="default"/>
          <w:pgSz w:w="11906" w:h="16838"/>
          <w:pgMar w:top="1440" w:right="1800" w:bottom="1440" w:left="1800" w:header="851" w:footer="992" w:gutter="0"/>
          <w:pgNumType w:start="1"/>
          <w:cols w:space="720" w:num="1"/>
          <w:docGrid w:type="lines" w:linePitch="312" w:charSpace="0"/>
        </w:sectPr>
      </w:pPr>
    </w:p>
    <w:p w14:paraId="76E9F850">
      <w:pPr>
        <w:pStyle w:val="33"/>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第一部分 招标公告</w:t>
      </w:r>
    </w:p>
    <w:p w14:paraId="765B9419">
      <w:pPr>
        <w:spacing w:line="360" w:lineRule="auto"/>
        <w:ind w:firstLine="540" w:firstLineChars="225"/>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新疆益双工程管理有限公司</w:t>
      </w:r>
      <w:r>
        <w:rPr>
          <w:rFonts w:hint="eastAsia" w:ascii="仿宋" w:hAnsi="仿宋" w:eastAsia="仿宋" w:cs="仿宋"/>
          <w:color w:val="auto"/>
          <w:kern w:val="0"/>
          <w:sz w:val="24"/>
          <w:szCs w:val="24"/>
          <w:highlight w:val="none"/>
        </w:rPr>
        <w:t>受</w:t>
      </w:r>
      <w:r>
        <w:rPr>
          <w:rFonts w:hint="eastAsia" w:ascii="仿宋" w:hAnsi="仿宋" w:eastAsia="仿宋" w:cs="仿宋"/>
          <w:color w:val="auto"/>
          <w:sz w:val="24"/>
          <w:szCs w:val="24"/>
          <w:highlight w:val="none"/>
          <w:lang w:eastAsia="zh-CN"/>
        </w:rPr>
        <w:t>库尔勒市第二幼儿园</w:t>
      </w:r>
      <w:r>
        <w:rPr>
          <w:rFonts w:hint="eastAsia" w:ascii="仿宋" w:hAnsi="仿宋" w:eastAsia="仿宋" w:cs="仿宋"/>
          <w:color w:val="auto"/>
          <w:kern w:val="0"/>
          <w:sz w:val="24"/>
          <w:szCs w:val="24"/>
          <w:highlight w:val="none"/>
        </w:rPr>
        <w:t>的委托，现对</w:t>
      </w:r>
      <w:r>
        <w:rPr>
          <w:rFonts w:hint="eastAsia" w:ascii="仿宋" w:hAnsi="仿宋" w:eastAsia="仿宋" w:cs="仿宋"/>
          <w:color w:val="auto"/>
          <w:sz w:val="24"/>
          <w:szCs w:val="24"/>
          <w:highlight w:val="none"/>
          <w:lang w:eastAsia="zh-CN"/>
        </w:rPr>
        <w:t>2025年第三十七幼儿园设施设备采购-二标段（三次）</w:t>
      </w:r>
      <w:r>
        <w:rPr>
          <w:rFonts w:hint="eastAsia" w:ascii="仿宋" w:hAnsi="仿宋" w:eastAsia="仿宋" w:cs="仿宋"/>
          <w:color w:val="auto"/>
          <w:kern w:val="0"/>
          <w:sz w:val="24"/>
          <w:szCs w:val="24"/>
          <w:highlight w:val="none"/>
        </w:rPr>
        <w:t>以公开招标方式组织采购，欢迎符合条件的供应商参加投标。</w:t>
      </w:r>
    </w:p>
    <w:p w14:paraId="2D6DFC2A">
      <w:pPr>
        <w:spacing w:line="360" w:lineRule="auto"/>
        <w:ind w:firstLine="300" w:firstLineChars="12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一、项目基本情况</w:t>
      </w:r>
    </w:p>
    <w:p w14:paraId="15F320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XJYS(ZFCG)2025-002-02</w:t>
      </w:r>
    </w:p>
    <w:p w14:paraId="33D57F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2025年第三十七幼儿园设施设备采购-二标段（三次）</w:t>
      </w:r>
      <w:r>
        <w:rPr>
          <w:rFonts w:hint="eastAsia" w:ascii="仿宋" w:hAnsi="仿宋" w:eastAsia="仿宋" w:cs="仿宋"/>
          <w:color w:val="auto"/>
          <w:sz w:val="24"/>
          <w:szCs w:val="24"/>
          <w:highlight w:val="none"/>
        </w:rPr>
        <w:t xml:space="preserve">  </w:t>
      </w:r>
    </w:p>
    <w:p w14:paraId="72C475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100.00</w:t>
      </w:r>
      <w:r>
        <w:rPr>
          <w:rFonts w:hint="eastAsia" w:ascii="仿宋" w:hAnsi="仿宋" w:eastAsia="仿宋" w:cs="仿宋"/>
          <w:color w:val="auto"/>
          <w:sz w:val="24"/>
          <w:szCs w:val="24"/>
          <w:highlight w:val="none"/>
          <w:lang w:eastAsia="zh-CN"/>
        </w:rPr>
        <w:t>万元</w:t>
      </w:r>
    </w:p>
    <w:p w14:paraId="4AA4C3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采购需求</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val="en-US" w:eastAsia="zh-CN"/>
        </w:rPr>
        <w:t>采购第三十七幼儿园办公设备、教学设备等一批（具体内容详见采购清单）</w:t>
      </w:r>
    </w:p>
    <w:p w14:paraId="251D98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供货期：</w:t>
      </w:r>
      <w:r>
        <w:rPr>
          <w:rFonts w:hint="eastAsia" w:ascii="仿宋" w:hAnsi="仿宋" w:eastAsia="仿宋" w:cs="仿宋"/>
          <w:color w:val="auto"/>
          <w:sz w:val="24"/>
          <w:szCs w:val="24"/>
          <w:highlight w:val="none"/>
          <w:lang w:val="en-US" w:eastAsia="zh-CN"/>
        </w:rPr>
        <w:t>签订合同后15天完成供货及安装</w:t>
      </w:r>
      <w:r>
        <w:rPr>
          <w:rFonts w:hint="eastAsia" w:ascii="仿宋" w:hAnsi="仿宋" w:eastAsia="仿宋" w:cs="仿宋"/>
          <w:color w:val="auto"/>
          <w:sz w:val="24"/>
          <w:szCs w:val="24"/>
          <w:highlight w:val="none"/>
          <w:lang w:eastAsia="zh-CN"/>
        </w:rPr>
        <w:t>。</w:t>
      </w:r>
    </w:p>
    <w:p w14:paraId="7CE0EF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本项目（否）接受联合体投标。</w:t>
      </w:r>
    </w:p>
    <w:p w14:paraId="640058E2">
      <w:pPr>
        <w:pStyle w:val="8"/>
        <w:spacing w:line="360" w:lineRule="auto"/>
        <w:ind w:firstLine="480" w:firstLineChars="200"/>
        <w:outlineLvl w:val="9"/>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二、申请人的资格要求：</w:t>
      </w:r>
    </w:p>
    <w:p w14:paraId="15E3CB5E">
      <w:pPr>
        <w:pStyle w:val="35"/>
        <w:tabs>
          <w:tab w:val="left" w:pos="636"/>
        </w:tabs>
        <w:spacing w:line="360" w:lineRule="auto"/>
        <w:ind w:left="107" w:right="98" w:firstLine="480" w:firstLineChars="200"/>
        <w:outlineLvl w:val="9"/>
        <w:rPr>
          <w:rFonts w:hint="eastAsia" w:ascii="仿宋" w:hAnsi="仿宋" w:eastAsia="仿宋" w:cs="仿宋"/>
          <w:color w:val="auto"/>
          <w:kern w:val="0"/>
          <w:sz w:val="24"/>
          <w:szCs w:val="24"/>
          <w:highlight w:val="none"/>
          <w:lang w:val="en-US" w:bidi="ar-SA"/>
        </w:rPr>
      </w:pPr>
      <w:r>
        <w:rPr>
          <w:rFonts w:hint="eastAsia" w:ascii="仿宋" w:hAnsi="仿宋" w:eastAsia="仿宋" w:cs="仿宋"/>
          <w:color w:val="auto"/>
          <w:kern w:val="0"/>
          <w:sz w:val="24"/>
          <w:szCs w:val="24"/>
          <w:highlight w:val="none"/>
          <w:lang w:val="en-US" w:bidi="ar-SA"/>
        </w:rPr>
        <w:t>1.满足《中华人民共和国政府采购法》第二十二条规定；</w:t>
      </w:r>
    </w:p>
    <w:p w14:paraId="56BC8D1C">
      <w:pPr>
        <w:pStyle w:val="35"/>
        <w:tabs>
          <w:tab w:val="left" w:pos="636"/>
        </w:tabs>
        <w:spacing w:line="360" w:lineRule="auto"/>
        <w:ind w:left="107" w:right="98" w:firstLine="480" w:firstLineChars="200"/>
        <w:outlineLvl w:val="9"/>
        <w:rPr>
          <w:rFonts w:hint="eastAsia" w:ascii="仿宋" w:hAnsi="仿宋" w:eastAsia="仿宋" w:cs="仿宋"/>
          <w:color w:val="auto"/>
          <w:kern w:val="0"/>
          <w:sz w:val="24"/>
          <w:szCs w:val="24"/>
          <w:highlight w:val="none"/>
          <w:lang w:val="en-US" w:bidi="ar-SA"/>
        </w:rPr>
      </w:pPr>
      <w:r>
        <w:rPr>
          <w:rFonts w:hint="eastAsia" w:ascii="仿宋" w:hAnsi="仿宋" w:eastAsia="仿宋" w:cs="仿宋"/>
          <w:color w:val="auto"/>
          <w:kern w:val="0"/>
          <w:sz w:val="24"/>
          <w:szCs w:val="24"/>
          <w:highlight w:val="none"/>
          <w:lang w:val="en-US" w:bidi="ar-SA"/>
        </w:rPr>
        <w:t>2.本项目资格要求： </w:t>
      </w:r>
    </w:p>
    <w:p w14:paraId="443FEF8E">
      <w:pPr>
        <w:pStyle w:val="35"/>
        <w:tabs>
          <w:tab w:val="left" w:pos="636"/>
        </w:tabs>
        <w:spacing w:line="360" w:lineRule="auto"/>
        <w:ind w:firstLine="480" w:firstLineChars="200"/>
        <w:outlineLvl w:val="9"/>
        <w:rPr>
          <w:rFonts w:hint="eastAsia" w:ascii="仿宋" w:hAnsi="仿宋" w:eastAsia="仿宋" w:cs="仿宋"/>
          <w:color w:val="auto"/>
          <w:kern w:val="0"/>
          <w:sz w:val="24"/>
          <w:szCs w:val="24"/>
          <w:highlight w:val="none"/>
          <w:lang w:val="en-US" w:bidi="ar-SA"/>
        </w:rPr>
      </w:pPr>
      <w:r>
        <w:rPr>
          <w:rFonts w:hint="eastAsia" w:ascii="仿宋" w:hAnsi="仿宋" w:eastAsia="仿宋" w:cs="仿宋"/>
          <w:color w:val="auto"/>
          <w:kern w:val="0"/>
          <w:sz w:val="24"/>
          <w:szCs w:val="24"/>
          <w:highlight w:val="none"/>
          <w:lang w:val="en-US" w:bidi="ar-SA"/>
        </w:rPr>
        <w:t xml:space="preserve">（1）具有独立承担民事责任能力的在中华人民共和国境内注册的法人，提供有效的营业执照； </w:t>
      </w:r>
    </w:p>
    <w:p w14:paraId="2D2E6A4D">
      <w:pPr>
        <w:pStyle w:val="35"/>
        <w:tabs>
          <w:tab w:val="left" w:pos="636"/>
        </w:tabs>
        <w:spacing w:line="360" w:lineRule="auto"/>
        <w:ind w:left="479" w:leftChars="228"/>
        <w:outlineLvl w:val="9"/>
        <w:rPr>
          <w:rFonts w:hint="eastAsia" w:ascii="仿宋" w:hAnsi="仿宋" w:eastAsia="仿宋" w:cs="仿宋"/>
          <w:color w:val="auto"/>
          <w:sz w:val="24"/>
          <w:szCs w:val="21"/>
          <w:highlight w:val="none"/>
          <w:lang w:val="en-US"/>
        </w:rPr>
      </w:pPr>
      <w:r>
        <w:rPr>
          <w:rFonts w:hint="eastAsia" w:ascii="仿宋" w:hAnsi="仿宋" w:eastAsia="仿宋" w:cs="仿宋"/>
          <w:color w:val="auto"/>
          <w:kern w:val="0"/>
          <w:sz w:val="24"/>
          <w:szCs w:val="24"/>
          <w:highlight w:val="none"/>
          <w:lang w:val="en-US" w:bidi="ar-SA"/>
        </w:rPr>
        <w:t>（2）法定代表人资格证明书及身份证或法人授权委托书及被授权人身份证；</w:t>
      </w:r>
    </w:p>
    <w:p w14:paraId="4381F3B8">
      <w:pPr>
        <w:pStyle w:val="35"/>
        <w:tabs>
          <w:tab w:val="left" w:pos="636"/>
        </w:tabs>
        <w:spacing w:line="360" w:lineRule="auto"/>
        <w:ind w:left="479" w:leftChars="228"/>
        <w:outlineLvl w:val="9"/>
        <w:rPr>
          <w:rFonts w:hint="eastAsia" w:ascii="仿宋" w:hAnsi="仿宋" w:eastAsia="仿宋" w:cs="仿宋"/>
          <w:color w:val="auto"/>
          <w:sz w:val="24"/>
          <w:szCs w:val="21"/>
          <w:highlight w:val="none"/>
          <w:lang w:val="en-US"/>
        </w:rPr>
      </w:pPr>
      <w:r>
        <w:rPr>
          <w:rFonts w:hint="eastAsia" w:ascii="仿宋" w:hAnsi="仿宋" w:eastAsia="仿宋" w:cs="仿宋"/>
          <w:color w:val="auto"/>
          <w:sz w:val="24"/>
          <w:szCs w:val="21"/>
          <w:highlight w:val="none"/>
          <w:lang w:val="en-US"/>
        </w:rPr>
        <w:t>（</w:t>
      </w:r>
      <w:r>
        <w:rPr>
          <w:rFonts w:hint="eastAsia" w:ascii="仿宋" w:hAnsi="仿宋" w:eastAsia="仿宋" w:cs="仿宋"/>
          <w:color w:val="auto"/>
          <w:sz w:val="24"/>
          <w:szCs w:val="21"/>
          <w:highlight w:val="none"/>
          <w:lang w:val="en-US" w:eastAsia="zh-CN"/>
        </w:rPr>
        <w:t>3</w:t>
      </w:r>
      <w:r>
        <w:rPr>
          <w:rFonts w:hint="eastAsia" w:ascii="仿宋" w:hAnsi="仿宋" w:eastAsia="仿宋" w:cs="仿宋"/>
          <w:color w:val="auto"/>
          <w:sz w:val="24"/>
          <w:szCs w:val="21"/>
          <w:highlight w:val="none"/>
          <w:lang w:val="en-US"/>
        </w:rPr>
        <w:t>）具有履行合同所必需的机械设备和专业技术力量，并在人员、运输、资金等方面具有相应的能力；</w:t>
      </w:r>
    </w:p>
    <w:p w14:paraId="073039A9">
      <w:pPr>
        <w:pStyle w:val="35"/>
        <w:tabs>
          <w:tab w:val="left" w:pos="636"/>
        </w:tabs>
        <w:spacing w:line="360" w:lineRule="auto"/>
        <w:ind w:left="479" w:leftChars="228"/>
        <w:outlineLvl w:val="9"/>
        <w:rPr>
          <w:rFonts w:hint="eastAsia" w:ascii="仿宋" w:hAnsi="仿宋" w:eastAsia="仿宋" w:cs="仿宋"/>
          <w:color w:val="auto"/>
          <w:kern w:val="0"/>
          <w:sz w:val="24"/>
          <w:szCs w:val="24"/>
          <w:highlight w:val="none"/>
          <w:lang w:val="en-US" w:bidi="ar-SA"/>
        </w:rPr>
      </w:pPr>
      <w:r>
        <w:rPr>
          <w:rFonts w:hint="eastAsia" w:ascii="仿宋" w:hAnsi="仿宋" w:eastAsia="仿宋" w:cs="仿宋"/>
          <w:color w:val="auto"/>
          <w:sz w:val="24"/>
          <w:szCs w:val="21"/>
          <w:highlight w:val="none"/>
          <w:lang w:val="en-US"/>
        </w:rPr>
        <w:t>（</w:t>
      </w:r>
      <w:r>
        <w:rPr>
          <w:rFonts w:hint="eastAsia" w:ascii="仿宋" w:hAnsi="仿宋" w:eastAsia="仿宋" w:cs="仿宋"/>
          <w:color w:val="auto"/>
          <w:sz w:val="24"/>
          <w:szCs w:val="21"/>
          <w:highlight w:val="none"/>
          <w:lang w:val="en-US" w:eastAsia="zh-CN"/>
        </w:rPr>
        <w:t>4</w:t>
      </w:r>
      <w:r>
        <w:rPr>
          <w:rFonts w:hint="eastAsia" w:ascii="仿宋" w:hAnsi="仿宋" w:eastAsia="仿宋" w:cs="仿宋"/>
          <w:color w:val="auto"/>
          <w:sz w:val="24"/>
          <w:szCs w:val="21"/>
          <w:highlight w:val="none"/>
          <w:lang w:val="en-US"/>
        </w:rPr>
        <w:t>）</w:t>
      </w:r>
      <w:r>
        <w:rPr>
          <w:rFonts w:hint="eastAsia" w:ascii="仿宋" w:hAnsi="仿宋" w:eastAsia="仿宋" w:cs="仿宋"/>
          <w:color w:val="auto"/>
          <w:kern w:val="0"/>
          <w:sz w:val="24"/>
          <w:szCs w:val="24"/>
          <w:highlight w:val="none"/>
          <w:lang w:val="en-US" w:bidi="ar-SA"/>
        </w:rPr>
        <w:t>未被“信用中国”（www.creditchina.gov.cn）、中国政府采购网（www.ccgp.gov.cn）列入失信被执行人、重大税收违法案件当事人名单、政府采购严重违法失信行为记录名单；</w:t>
      </w:r>
    </w:p>
    <w:p w14:paraId="3ACFF973">
      <w:pPr>
        <w:pStyle w:val="35"/>
        <w:tabs>
          <w:tab w:val="left" w:pos="636"/>
        </w:tabs>
        <w:spacing w:line="360" w:lineRule="auto"/>
        <w:ind w:firstLine="480" w:firstLineChars="200"/>
        <w:outlineLvl w:val="9"/>
        <w:rPr>
          <w:rFonts w:hint="eastAsia" w:ascii="仿宋" w:hAnsi="仿宋" w:eastAsia="仿宋" w:cs="仿宋"/>
          <w:color w:val="auto"/>
          <w:kern w:val="0"/>
          <w:sz w:val="24"/>
          <w:szCs w:val="24"/>
          <w:highlight w:val="none"/>
          <w:lang w:val="en-US" w:bidi="ar-SA"/>
        </w:rPr>
      </w:pPr>
      <w:r>
        <w:rPr>
          <w:rFonts w:hint="eastAsia" w:ascii="仿宋" w:hAnsi="仿宋" w:eastAsia="仿宋" w:cs="仿宋"/>
          <w:color w:val="auto"/>
          <w:kern w:val="0"/>
          <w:sz w:val="24"/>
          <w:szCs w:val="24"/>
          <w:highlight w:val="none"/>
          <w:lang w:val="en-US" w:bidi="ar-SA"/>
        </w:rPr>
        <w:t>（</w:t>
      </w:r>
      <w:r>
        <w:rPr>
          <w:rFonts w:hint="eastAsia" w:ascii="仿宋" w:hAnsi="仿宋" w:eastAsia="仿宋" w:cs="仿宋"/>
          <w:color w:val="auto"/>
          <w:kern w:val="0"/>
          <w:sz w:val="24"/>
          <w:szCs w:val="24"/>
          <w:highlight w:val="none"/>
          <w:lang w:val="en-US" w:eastAsia="zh-CN" w:bidi="ar-SA"/>
        </w:rPr>
        <w:t>5</w:t>
      </w:r>
      <w:r>
        <w:rPr>
          <w:rFonts w:hint="eastAsia" w:ascii="仿宋" w:hAnsi="仿宋" w:eastAsia="仿宋" w:cs="仿宋"/>
          <w:color w:val="auto"/>
          <w:kern w:val="0"/>
          <w:sz w:val="24"/>
          <w:szCs w:val="24"/>
          <w:highlight w:val="none"/>
          <w:lang w:val="en-US" w:bidi="ar-SA"/>
        </w:rPr>
        <w:t>）单位负责人为同一人或者存在直接控股、管理关系的不同供应商，不得参加同一合同项下的政府采购活动。</w:t>
      </w:r>
    </w:p>
    <w:p w14:paraId="1BE30015">
      <w:pPr>
        <w:pStyle w:val="35"/>
        <w:tabs>
          <w:tab w:val="left" w:pos="636"/>
        </w:tabs>
        <w:spacing w:line="360" w:lineRule="auto"/>
        <w:ind w:firstLine="480" w:firstLineChars="200"/>
        <w:outlineLvl w:val="9"/>
        <w:rPr>
          <w:rFonts w:hint="eastAsia" w:ascii="仿宋" w:hAnsi="仿宋" w:eastAsia="仿宋" w:cs="仿宋"/>
          <w:color w:val="auto"/>
          <w:sz w:val="24"/>
          <w:szCs w:val="24"/>
          <w:highlight w:val="none"/>
          <w:lang w:val="en-US" w:bidi="ar-SA"/>
        </w:rPr>
      </w:pPr>
      <w:r>
        <w:rPr>
          <w:rFonts w:hint="eastAsia" w:ascii="仿宋" w:hAnsi="仿宋" w:eastAsia="仿宋" w:cs="仿宋"/>
          <w:color w:val="auto"/>
          <w:kern w:val="0"/>
          <w:sz w:val="24"/>
          <w:szCs w:val="24"/>
          <w:highlight w:val="none"/>
          <w:lang w:val="en-US" w:bidi="ar-SA"/>
        </w:rPr>
        <w:t>（</w:t>
      </w:r>
      <w:r>
        <w:rPr>
          <w:rFonts w:hint="eastAsia" w:ascii="仿宋" w:hAnsi="仿宋" w:eastAsia="仿宋" w:cs="仿宋"/>
          <w:color w:val="auto"/>
          <w:kern w:val="0"/>
          <w:sz w:val="24"/>
          <w:szCs w:val="24"/>
          <w:highlight w:val="none"/>
          <w:lang w:val="en-US" w:eastAsia="zh-CN" w:bidi="ar-SA"/>
        </w:rPr>
        <w:t>6</w:t>
      </w:r>
      <w:r>
        <w:rPr>
          <w:rFonts w:hint="eastAsia" w:ascii="仿宋" w:hAnsi="仿宋" w:eastAsia="仿宋" w:cs="仿宋"/>
          <w:color w:val="auto"/>
          <w:kern w:val="0"/>
          <w:sz w:val="24"/>
          <w:szCs w:val="24"/>
          <w:highlight w:val="none"/>
          <w:lang w:val="en-US" w:bidi="ar-SA"/>
        </w:rPr>
        <w:t>）</w:t>
      </w:r>
      <w:r>
        <w:rPr>
          <w:rFonts w:hint="eastAsia" w:ascii="仿宋" w:hAnsi="仿宋" w:eastAsia="仿宋" w:cs="仿宋"/>
          <w:color w:val="auto"/>
          <w:sz w:val="24"/>
          <w:szCs w:val="24"/>
          <w:highlight w:val="none"/>
          <w:lang w:val="en-US" w:bidi="ar-SA"/>
        </w:rPr>
        <w:t>本项目不接受联合体投标。</w:t>
      </w:r>
    </w:p>
    <w:p w14:paraId="7FEEFB1F">
      <w:pPr>
        <w:pStyle w:val="8"/>
        <w:spacing w:line="360" w:lineRule="auto"/>
        <w:ind w:firstLine="480" w:firstLineChars="200"/>
        <w:outlineLvl w:val="9"/>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三、政府采购政策支持</w:t>
      </w:r>
    </w:p>
    <w:p w14:paraId="2569D9F6">
      <w:pPr>
        <w:pStyle w:val="35"/>
        <w:tabs>
          <w:tab w:val="left" w:pos="636"/>
        </w:tabs>
        <w:spacing w:line="360" w:lineRule="auto"/>
        <w:ind w:left="107" w:right="98" w:firstLine="480" w:firstLineChars="200"/>
        <w:outlineLvl w:val="9"/>
        <w:rPr>
          <w:rFonts w:hint="eastAsia" w:ascii="仿宋" w:hAnsi="仿宋" w:eastAsia="仿宋" w:cs="仿宋"/>
          <w:color w:val="auto"/>
          <w:kern w:val="0"/>
          <w:sz w:val="24"/>
          <w:szCs w:val="24"/>
          <w:highlight w:val="none"/>
          <w:lang w:val="en-US" w:bidi="ar-SA"/>
        </w:rPr>
      </w:pPr>
      <w:r>
        <w:rPr>
          <w:rFonts w:hint="eastAsia" w:ascii="仿宋" w:hAnsi="仿宋" w:eastAsia="仿宋" w:cs="仿宋"/>
          <w:color w:val="auto"/>
          <w:kern w:val="0"/>
          <w:sz w:val="24"/>
          <w:szCs w:val="24"/>
          <w:highlight w:val="none"/>
          <w:lang w:val="en-US" w:bidi="ar-SA"/>
        </w:rPr>
        <w:t>1、财政部、国家发展改革委、生态环境部、市场监管总局《关于调整优化节能产品、环境标志产品政府采购执行机制的通知》（财库[2019]9 号文）；</w:t>
      </w:r>
    </w:p>
    <w:p w14:paraId="6EC1FB86">
      <w:pPr>
        <w:pStyle w:val="35"/>
        <w:tabs>
          <w:tab w:val="left" w:pos="636"/>
        </w:tabs>
        <w:spacing w:line="360" w:lineRule="auto"/>
        <w:ind w:left="107" w:right="98" w:firstLine="480" w:firstLineChars="200"/>
        <w:outlineLvl w:val="9"/>
        <w:rPr>
          <w:rFonts w:hint="eastAsia" w:ascii="仿宋" w:hAnsi="仿宋" w:eastAsia="仿宋" w:cs="仿宋"/>
          <w:color w:val="auto"/>
          <w:kern w:val="0"/>
          <w:sz w:val="24"/>
          <w:szCs w:val="24"/>
          <w:highlight w:val="none"/>
          <w:lang w:val="en-US" w:bidi="ar-SA"/>
        </w:rPr>
      </w:pPr>
      <w:r>
        <w:rPr>
          <w:rFonts w:hint="eastAsia" w:ascii="仿宋" w:hAnsi="仿宋" w:eastAsia="仿宋" w:cs="仿宋"/>
          <w:color w:val="auto"/>
          <w:kern w:val="0"/>
          <w:sz w:val="24"/>
          <w:szCs w:val="24"/>
          <w:highlight w:val="none"/>
          <w:lang w:val="en-US" w:bidi="ar-SA"/>
        </w:rPr>
        <w:t>2、财政部、生态环境部《关于印发环境标志产品政府采购品目清单的通知》（财库[2019]18 号文）；</w:t>
      </w:r>
    </w:p>
    <w:p w14:paraId="028209E4">
      <w:pPr>
        <w:pStyle w:val="35"/>
        <w:tabs>
          <w:tab w:val="left" w:pos="632"/>
        </w:tabs>
        <w:spacing w:before="43" w:line="360" w:lineRule="auto"/>
        <w:ind w:left="107" w:right="-15" w:firstLine="480" w:firstLineChars="200"/>
        <w:outlineLvl w:val="9"/>
        <w:rPr>
          <w:rFonts w:hint="eastAsia" w:ascii="仿宋" w:hAnsi="仿宋" w:eastAsia="仿宋" w:cs="仿宋"/>
          <w:color w:val="auto"/>
          <w:kern w:val="0"/>
          <w:sz w:val="24"/>
          <w:szCs w:val="24"/>
          <w:highlight w:val="none"/>
          <w:lang w:val="en-US" w:bidi="ar-SA"/>
        </w:rPr>
      </w:pPr>
      <w:r>
        <w:rPr>
          <w:rFonts w:hint="eastAsia" w:ascii="仿宋" w:hAnsi="仿宋" w:eastAsia="仿宋" w:cs="仿宋"/>
          <w:color w:val="auto"/>
          <w:kern w:val="0"/>
          <w:sz w:val="24"/>
          <w:szCs w:val="24"/>
          <w:highlight w:val="none"/>
          <w:lang w:val="en-US" w:bidi="ar-SA"/>
        </w:rPr>
        <w:t>3、财政部、发展改革委《关于印发节能产品政府采购品目清单的通知》</w:t>
      </w:r>
    </w:p>
    <w:p w14:paraId="780CC9BE">
      <w:pPr>
        <w:pStyle w:val="35"/>
        <w:spacing w:before="43" w:line="360" w:lineRule="auto"/>
        <w:ind w:left="107"/>
        <w:jc w:val="left"/>
        <w:outlineLvl w:val="9"/>
        <w:rPr>
          <w:rFonts w:hint="eastAsia" w:ascii="仿宋" w:hAnsi="仿宋" w:eastAsia="仿宋" w:cs="仿宋"/>
          <w:color w:val="auto"/>
          <w:kern w:val="0"/>
          <w:sz w:val="24"/>
          <w:szCs w:val="24"/>
          <w:highlight w:val="none"/>
          <w:lang w:val="en-US" w:bidi="ar-SA"/>
        </w:rPr>
      </w:pPr>
      <w:r>
        <w:rPr>
          <w:rFonts w:hint="eastAsia" w:ascii="仿宋" w:hAnsi="仿宋" w:eastAsia="仿宋" w:cs="仿宋"/>
          <w:color w:val="auto"/>
          <w:kern w:val="0"/>
          <w:sz w:val="24"/>
          <w:szCs w:val="24"/>
          <w:highlight w:val="none"/>
          <w:lang w:val="en-US" w:bidi="ar-SA"/>
        </w:rPr>
        <w:t>（财库[2019]19 号文）；</w:t>
      </w:r>
    </w:p>
    <w:p w14:paraId="5C2BA478">
      <w:pPr>
        <w:pStyle w:val="35"/>
        <w:tabs>
          <w:tab w:val="left" w:pos="632"/>
        </w:tabs>
        <w:spacing w:before="43" w:line="360" w:lineRule="auto"/>
        <w:ind w:left="107" w:right="-15" w:firstLine="480" w:firstLineChars="200"/>
        <w:outlineLvl w:val="9"/>
        <w:rPr>
          <w:rFonts w:hint="eastAsia" w:ascii="仿宋" w:hAnsi="仿宋" w:eastAsia="仿宋" w:cs="仿宋"/>
          <w:color w:val="auto"/>
          <w:kern w:val="0"/>
          <w:sz w:val="24"/>
          <w:szCs w:val="24"/>
          <w:highlight w:val="none"/>
          <w:lang w:val="en-US" w:bidi="ar-SA"/>
        </w:rPr>
      </w:pPr>
      <w:r>
        <w:rPr>
          <w:rFonts w:hint="eastAsia" w:ascii="仿宋" w:hAnsi="仿宋" w:eastAsia="仿宋" w:cs="仿宋"/>
          <w:color w:val="auto"/>
          <w:kern w:val="0"/>
          <w:sz w:val="24"/>
          <w:szCs w:val="24"/>
          <w:highlight w:val="none"/>
          <w:lang w:val="en-US" w:bidi="ar-SA"/>
        </w:rPr>
        <w:t>4、市场监管总局《市场监管总局关于发布参与实施政府采购节能产品、环境标志产品认证机构名录的公告》（2019 年第 16 号）；</w:t>
      </w:r>
    </w:p>
    <w:p w14:paraId="2F06A1E2">
      <w:pPr>
        <w:pStyle w:val="35"/>
        <w:tabs>
          <w:tab w:val="left" w:pos="636"/>
        </w:tabs>
        <w:spacing w:line="360" w:lineRule="auto"/>
        <w:ind w:left="107" w:right="98" w:firstLine="480" w:firstLineChars="200"/>
        <w:outlineLvl w:val="9"/>
        <w:rPr>
          <w:rFonts w:hint="eastAsia" w:ascii="仿宋" w:hAnsi="仿宋" w:eastAsia="仿宋" w:cs="仿宋"/>
          <w:color w:val="auto"/>
          <w:kern w:val="0"/>
          <w:sz w:val="24"/>
          <w:szCs w:val="24"/>
          <w:highlight w:val="none"/>
          <w:lang w:val="en-US" w:bidi="ar-SA"/>
        </w:rPr>
      </w:pPr>
      <w:r>
        <w:rPr>
          <w:rFonts w:hint="eastAsia" w:ascii="仿宋" w:hAnsi="仿宋" w:eastAsia="仿宋" w:cs="仿宋"/>
          <w:color w:val="auto"/>
          <w:kern w:val="0"/>
          <w:sz w:val="24"/>
          <w:szCs w:val="24"/>
          <w:highlight w:val="none"/>
          <w:lang w:val="en-US" w:bidi="ar-SA"/>
        </w:rPr>
        <w:t>5、财政部、工业和信息化部《关于印发《政府采购促进中小企业展暂行办法》的通知》（财库[20</w:t>
      </w:r>
      <w:r>
        <w:rPr>
          <w:rFonts w:hint="eastAsia" w:ascii="仿宋" w:hAnsi="仿宋" w:eastAsia="仿宋" w:cs="仿宋"/>
          <w:color w:val="auto"/>
          <w:kern w:val="0"/>
          <w:sz w:val="24"/>
          <w:szCs w:val="24"/>
          <w:highlight w:val="none"/>
          <w:lang w:val="en-US" w:eastAsia="zh-CN" w:bidi="ar-SA"/>
        </w:rPr>
        <w:t>20</w:t>
      </w:r>
      <w:r>
        <w:rPr>
          <w:rFonts w:hint="eastAsia" w:ascii="仿宋" w:hAnsi="仿宋" w:eastAsia="仿宋" w:cs="仿宋"/>
          <w:color w:val="auto"/>
          <w:kern w:val="0"/>
          <w:sz w:val="24"/>
          <w:szCs w:val="24"/>
          <w:highlight w:val="none"/>
          <w:lang w:val="en-US" w:bidi="ar-SA"/>
        </w:rPr>
        <w:t>]</w:t>
      </w:r>
      <w:r>
        <w:rPr>
          <w:rFonts w:hint="eastAsia" w:ascii="仿宋" w:hAnsi="仿宋" w:eastAsia="仿宋" w:cs="仿宋"/>
          <w:color w:val="auto"/>
          <w:kern w:val="0"/>
          <w:sz w:val="24"/>
          <w:szCs w:val="24"/>
          <w:highlight w:val="none"/>
          <w:lang w:val="en-US" w:eastAsia="zh-CN" w:bidi="ar-SA"/>
        </w:rPr>
        <w:t>46</w:t>
      </w:r>
      <w:r>
        <w:rPr>
          <w:rFonts w:hint="eastAsia" w:ascii="仿宋" w:hAnsi="仿宋" w:eastAsia="仿宋" w:cs="仿宋"/>
          <w:color w:val="auto"/>
          <w:kern w:val="0"/>
          <w:sz w:val="24"/>
          <w:szCs w:val="24"/>
          <w:highlight w:val="none"/>
          <w:lang w:val="en-US" w:bidi="ar-SA"/>
        </w:rPr>
        <w:t>号文）；</w:t>
      </w:r>
    </w:p>
    <w:p w14:paraId="7984D720">
      <w:pPr>
        <w:pStyle w:val="35"/>
        <w:tabs>
          <w:tab w:val="left" w:pos="636"/>
        </w:tabs>
        <w:spacing w:line="360" w:lineRule="auto"/>
        <w:ind w:left="107" w:right="98" w:firstLine="480" w:firstLineChars="200"/>
        <w:outlineLvl w:val="9"/>
        <w:rPr>
          <w:rFonts w:hint="eastAsia" w:ascii="仿宋" w:hAnsi="仿宋" w:eastAsia="仿宋" w:cs="仿宋"/>
          <w:color w:val="auto"/>
          <w:kern w:val="0"/>
          <w:sz w:val="24"/>
          <w:szCs w:val="24"/>
          <w:highlight w:val="none"/>
          <w:lang w:val="en-US" w:bidi="ar-SA"/>
        </w:rPr>
      </w:pPr>
      <w:r>
        <w:rPr>
          <w:rFonts w:hint="eastAsia" w:ascii="仿宋" w:hAnsi="仿宋" w:eastAsia="仿宋" w:cs="仿宋"/>
          <w:color w:val="auto"/>
          <w:kern w:val="0"/>
          <w:sz w:val="24"/>
          <w:szCs w:val="24"/>
          <w:highlight w:val="none"/>
          <w:lang w:val="en-US" w:bidi="ar-SA"/>
        </w:rPr>
        <w:t>6、财政部、民政部、中国残疾人联合会《关于促进残疾人就业政府采购政策的通知》（财库[2017]141 号）；</w:t>
      </w:r>
    </w:p>
    <w:p w14:paraId="3821B030">
      <w:pPr>
        <w:pStyle w:val="35"/>
        <w:spacing w:line="360" w:lineRule="auto"/>
        <w:ind w:left="107" w:right="-15" w:firstLine="480" w:firstLineChars="200"/>
        <w:jc w:val="left"/>
        <w:outlineLvl w:val="9"/>
        <w:rPr>
          <w:rFonts w:hint="eastAsia" w:ascii="仿宋" w:hAnsi="仿宋" w:eastAsia="仿宋" w:cs="仿宋"/>
          <w:color w:val="auto"/>
          <w:kern w:val="0"/>
          <w:sz w:val="24"/>
          <w:szCs w:val="24"/>
          <w:highlight w:val="none"/>
          <w:lang w:val="en-US" w:bidi="ar-SA"/>
        </w:rPr>
      </w:pPr>
      <w:r>
        <w:rPr>
          <w:rFonts w:hint="eastAsia" w:ascii="仿宋" w:hAnsi="仿宋" w:eastAsia="仿宋" w:cs="仿宋"/>
          <w:color w:val="auto"/>
          <w:kern w:val="0"/>
          <w:sz w:val="24"/>
          <w:szCs w:val="24"/>
          <w:highlight w:val="none"/>
          <w:lang w:val="en-US" w:bidi="ar-SA"/>
        </w:rPr>
        <w:t>7、财政部、司法部《关于政府采购支持监狱企业发展有关问题的通知》</w:t>
      </w:r>
    </w:p>
    <w:p w14:paraId="258FACFC">
      <w:pPr>
        <w:spacing w:line="360" w:lineRule="auto"/>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（财库[2014]68 号文）。（中小企业优惠、监狱企业、节能产品、环境标志产品等）。</w:t>
      </w:r>
    </w:p>
    <w:p w14:paraId="427D292F">
      <w:pPr>
        <w:pStyle w:val="35"/>
        <w:tabs>
          <w:tab w:val="left" w:pos="636"/>
        </w:tabs>
        <w:spacing w:line="360" w:lineRule="auto"/>
        <w:ind w:left="107" w:right="98" w:firstLine="480" w:firstLineChars="200"/>
        <w:outlineLvl w:val="9"/>
        <w:rPr>
          <w:rFonts w:hint="eastAsia" w:ascii="仿宋" w:hAnsi="仿宋" w:eastAsia="仿宋" w:cs="仿宋"/>
          <w:color w:val="auto"/>
          <w:kern w:val="0"/>
          <w:sz w:val="24"/>
          <w:szCs w:val="24"/>
          <w:highlight w:val="none"/>
          <w:lang w:val="en-US" w:bidi="ar-SA"/>
        </w:rPr>
      </w:pPr>
      <w:r>
        <w:rPr>
          <w:rFonts w:hint="eastAsia" w:ascii="仿宋" w:hAnsi="仿宋" w:eastAsia="仿宋" w:cs="仿宋"/>
          <w:color w:val="auto"/>
          <w:kern w:val="0"/>
          <w:sz w:val="24"/>
          <w:szCs w:val="24"/>
          <w:highlight w:val="none"/>
          <w:lang w:val="en-US" w:bidi="ar-SA"/>
        </w:rPr>
        <w:t>8、扶持中小企业政策：本项目为专门面向中小企业（含中型、小型、微型企业）采购项目。中小企业是工业和信息化部、国家统计局、发展改革委、财政部《中小企业划型标准规定》（工信部联企业〔2011〕300号）中划分的中、小、微型企业。 </w:t>
      </w:r>
    </w:p>
    <w:p w14:paraId="16CA7A43">
      <w:pPr>
        <w:pStyle w:val="35"/>
        <w:tabs>
          <w:tab w:val="left" w:pos="636"/>
        </w:tabs>
        <w:spacing w:line="360" w:lineRule="auto"/>
        <w:ind w:left="107" w:right="98" w:firstLine="480" w:firstLineChars="200"/>
        <w:outlineLvl w:val="9"/>
        <w:rPr>
          <w:rFonts w:hint="eastAsia" w:ascii="仿宋" w:hAnsi="仿宋" w:eastAsia="仿宋" w:cs="仿宋"/>
          <w:color w:val="auto"/>
          <w:kern w:val="0"/>
          <w:sz w:val="24"/>
          <w:szCs w:val="24"/>
          <w:highlight w:val="none"/>
          <w:lang w:val="en-US" w:bidi="ar-SA"/>
        </w:rPr>
      </w:pPr>
      <w:r>
        <w:rPr>
          <w:rFonts w:hint="eastAsia" w:ascii="仿宋" w:hAnsi="仿宋" w:eastAsia="仿宋" w:cs="仿宋"/>
          <w:color w:val="auto"/>
          <w:kern w:val="0"/>
          <w:sz w:val="24"/>
          <w:szCs w:val="24"/>
          <w:highlight w:val="none"/>
          <w:lang w:val="en-US" w:bidi="ar-SA"/>
        </w:rPr>
        <w:t>9、《关于运用政府采购政策支持脱贫攻坚的通知》（财库【2019】27号文）。  </w:t>
      </w:r>
    </w:p>
    <w:p w14:paraId="4ED5E92A">
      <w:pPr>
        <w:pStyle w:val="8"/>
        <w:spacing w:line="360" w:lineRule="auto"/>
        <w:ind w:firstLine="480" w:firstLineChars="200"/>
        <w:outlineLvl w:val="9"/>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四、获取（下载）采购文件</w:t>
      </w:r>
    </w:p>
    <w:p w14:paraId="040B56D2">
      <w:pPr>
        <w:pStyle w:val="35"/>
        <w:tabs>
          <w:tab w:val="left" w:pos="636"/>
        </w:tabs>
        <w:spacing w:line="360" w:lineRule="auto"/>
        <w:ind w:left="107" w:right="98" w:firstLine="480" w:firstLineChars="200"/>
        <w:outlineLvl w:val="9"/>
        <w:rPr>
          <w:rFonts w:hint="eastAsia" w:ascii="仿宋" w:hAnsi="仿宋" w:eastAsia="仿宋" w:cs="仿宋"/>
          <w:color w:val="auto"/>
          <w:kern w:val="0"/>
          <w:sz w:val="24"/>
          <w:szCs w:val="24"/>
          <w:highlight w:val="none"/>
          <w:lang w:val="en-US" w:bidi="ar-SA"/>
        </w:rPr>
      </w:pPr>
      <w:r>
        <w:rPr>
          <w:rFonts w:hint="eastAsia" w:ascii="仿宋" w:hAnsi="仿宋" w:eastAsia="仿宋" w:cs="仿宋"/>
          <w:color w:val="auto"/>
          <w:kern w:val="0"/>
          <w:sz w:val="24"/>
          <w:szCs w:val="24"/>
          <w:highlight w:val="none"/>
          <w:lang w:val="en-US" w:bidi="ar-SA"/>
        </w:rPr>
        <w:t>1、时间：</w:t>
      </w:r>
      <w:r>
        <w:rPr>
          <w:rFonts w:hint="eastAsia" w:ascii="仿宋" w:hAnsi="仿宋" w:eastAsia="仿宋" w:cs="仿宋"/>
          <w:color w:val="0000FF"/>
          <w:kern w:val="0"/>
          <w:sz w:val="24"/>
          <w:szCs w:val="24"/>
          <w:highlight w:val="none"/>
          <w:lang w:val="en-US" w:eastAsia="zh-CN" w:bidi="ar-SA"/>
        </w:rPr>
        <w:t>2025年6月18日</w:t>
      </w:r>
      <w:r>
        <w:rPr>
          <w:rFonts w:hint="eastAsia" w:ascii="仿宋" w:hAnsi="仿宋" w:eastAsia="仿宋" w:cs="仿宋"/>
          <w:color w:val="0000FF"/>
          <w:kern w:val="0"/>
          <w:sz w:val="24"/>
          <w:szCs w:val="24"/>
          <w:highlight w:val="none"/>
          <w:lang w:val="en-US" w:bidi="ar-SA"/>
        </w:rPr>
        <w:t>至</w:t>
      </w:r>
      <w:r>
        <w:rPr>
          <w:rFonts w:hint="eastAsia" w:ascii="仿宋" w:hAnsi="仿宋" w:eastAsia="仿宋" w:cs="仿宋"/>
          <w:color w:val="0000FF"/>
          <w:kern w:val="0"/>
          <w:sz w:val="24"/>
          <w:szCs w:val="24"/>
          <w:highlight w:val="none"/>
          <w:lang w:val="en-US" w:eastAsia="zh-CN" w:bidi="ar-SA"/>
        </w:rPr>
        <w:t>2025年6月25日</w:t>
      </w:r>
      <w:r>
        <w:rPr>
          <w:rFonts w:hint="eastAsia" w:ascii="仿宋" w:hAnsi="仿宋" w:eastAsia="仿宋" w:cs="仿宋"/>
          <w:color w:val="auto"/>
          <w:kern w:val="0"/>
          <w:sz w:val="24"/>
          <w:szCs w:val="24"/>
          <w:highlight w:val="none"/>
          <w:lang w:val="en-US" w:bidi="ar-SA"/>
        </w:rPr>
        <w:t>，每天上午10:00至13:30，下午16:00至19:30（北京时间，线上获取法定节假日除外）</w:t>
      </w:r>
    </w:p>
    <w:p w14:paraId="58E6BBA5">
      <w:pPr>
        <w:pStyle w:val="35"/>
        <w:tabs>
          <w:tab w:val="left" w:pos="636"/>
        </w:tabs>
        <w:spacing w:line="360" w:lineRule="auto"/>
        <w:ind w:left="107" w:right="98" w:firstLine="480" w:firstLineChars="200"/>
        <w:outlineLvl w:val="9"/>
        <w:rPr>
          <w:rFonts w:hint="eastAsia" w:ascii="仿宋" w:hAnsi="仿宋" w:eastAsia="仿宋" w:cs="仿宋"/>
          <w:color w:val="auto"/>
          <w:kern w:val="0"/>
          <w:sz w:val="24"/>
          <w:szCs w:val="24"/>
          <w:highlight w:val="none"/>
          <w:lang w:val="en-US" w:bidi="ar-SA"/>
        </w:rPr>
      </w:pPr>
      <w:r>
        <w:rPr>
          <w:rFonts w:hint="eastAsia" w:ascii="仿宋" w:hAnsi="仿宋" w:eastAsia="仿宋" w:cs="仿宋"/>
          <w:color w:val="auto"/>
          <w:kern w:val="0"/>
          <w:sz w:val="24"/>
          <w:szCs w:val="24"/>
          <w:highlight w:val="none"/>
          <w:lang w:val="en-US" w:bidi="ar-SA"/>
        </w:rPr>
        <w:t>2、地点（网址）：供应商登陆政采云平台http://www.zcygov.cn/，在线申请获取采购文件（登录政府采购云平台 → 项目采购 → 获取采购文件 → 申请，审核通过后可下载公开招标文件，如有操作性问题，可与政采云在线客服进行咨询，咨询电话：</w:t>
      </w:r>
      <w:r>
        <w:rPr>
          <w:rFonts w:hint="eastAsia" w:ascii="仿宋" w:hAnsi="仿宋" w:eastAsia="仿宋" w:cs="仿宋"/>
          <w:color w:val="auto"/>
          <w:kern w:val="0"/>
          <w:sz w:val="24"/>
          <w:szCs w:val="24"/>
          <w:highlight w:val="none"/>
          <w:lang w:val="en-US" w:eastAsia="zh-CN" w:bidi="ar-SA"/>
        </w:rPr>
        <w:t>95763</w:t>
      </w:r>
      <w:r>
        <w:rPr>
          <w:rFonts w:hint="eastAsia" w:ascii="仿宋" w:hAnsi="仿宋" w:eastAsia="仿宋" w:cs="仿宋"/>
          <w:color w:val="auto"/>
          <w:kern w:val="0"/>
          <w:sz w:val="24"/>
          <w:szCs w:val="24"/>
          <w:highlight w:val="none"/>
          <w:lang w:val="en-US" w:bidi="ar-SA"/>
        </w:rPr>
        <w:t>）  </w:t>
      </w:r>
    </w:p>
    <w:p w14:paraId="3A115C3B">
      <w:pPr>
        <w:pStyle w:val="35"/>
        <w:tabs>
          <w:tab w:val="left" w:pos="636"/>
        </w:tabs>
        <w:spacing w:line="360" w:lineRule="auto"/>
        <w:ind w:left="107" w:right="98" w:firstLine="480" w:firstLineChars="200"/>
        <w:outlineLvl w:val="9"/>
        <w:rPr>
          <w:rFonts w:hint="eastAsia" w:ascii="仿宋" w:hAnsi="仿宋" w:eastAsia="仿宋" w:cs="仿宋"/>
          <w:color w:val="auto"/>
          <w:kern w:val="0"/>
          <w:sz w:val="24"/>
          <w:szCs w:val="24"/>
          <w:highlight w:val="none"/>
          <w:lang w:val="en-US" w:bidi="ar-SA"/>
        </w:rPr>
      </w:pPr>
      <w:r>
        <w:rPr>
          <w:rFonts w:hint="eastAsia" w:ascii="仿宋" w:hAnsi="仿宋" w:eastAsia="仿宋" w:cs="仿宋"/>
          <w:color w:val="auto"/>
          <w:kern w:val="0"/>
          <w:sz w:val="24"/>
          <w:szCs w:val="24"/>
          <w:highlight w:val="none"/>
          <w:lang w:val="en-US" w:bidi="ar-SA"/>
        </w:rPr>
        <w:t>3、方式：线上获取 </w:t>
      </w:r>
    </w:p>
    <w:p w14:paraId="0CE2C3DF">
      <w:pPr>
        <w:pStyle w:val="35"/>
        <w:tabs>
          <w:tab w:val="left" w:pos="636"/>
        </w:tabs>
        <w:spacing w:line="360" w:lineRule="auto"/>
        <w:ind w:left="107" w:right="98" w:firstLine="480" w:firstLineChars="200"/>
        <w:outlineLvl w:val="9"/>
        <w:rPr>
          <w:rFonts w:hint="eastAsia" w:ascii="仿宋" w:hAnsi="仿宋" w:eastAsia="仿宋" w:cs="仿宋"/>
          <w:color w:val="auto"/>
          <w:kern w:val="0"/>
          <w:sz w:val="24"/>
          <w:szCs w:val="24"/>
          <w:highlight w:val="none"/>
          <w:lang w:val="en-US" w:bidi="ar-SA"/>
        </w:rPr>
      </w:pPr>
      <w:r>
        <w:rPr>
          <w:rFonts w:hint="eastAsia" w:ascii="仿宋" w:hAnsi="仿宋" w:eastAsia="仿宋" w:cs="仿宋"/>
          <w:color w:val="auto"/>
          <w:kern w:val="0"/>
          <w:sz w:val="24"/>
          <w:szCs w:val="24"/>
          <w:highlight w:val="none"/>
          <w:lang w:val="en-US" w:bidi="ar-SA"/>
        </w:rPr>
        <w:t>4、售价（元）：0元</w:t>
      </w:r>
    </w:p>
    <w:p w14:paraId="1B77C368">
      <w:pPr>
        <w:pStyle w:val="8"/>
        <w:spacing w:line="360" w:lineRule="auto"/>
        <w:ind w:firstLine="480" w:firstLineChars="200"/>
        <w:outlineLvl w:val="9"/>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五、</w:t>
      </w:r>
      <w:r>
        <w:rPr>
          <w:rFonts w:hint="eastAsia" w:ascii="仿宋" w:hAnsi="仿宋" w:eastAsia="仿宋" w:cs="仿宋"/>
          <w:color w:val="auto"/>
          <w:sz w:val="24"/>
          <w:szCs w:val="24"/>
          <w:highlight w:val="none"/>
          <w:lang w:val="en-US"/>
        </w:rPr>
        <w:t>提交响应文件截止时间、开标时间和地点</w:t>
      </w:r>
    </w:p>
    <w:p w14:paraId="4AA76C97">
      <w:pPr>
        <w:pStyle w:val="35"/>
        <w:tabs>
          <w:tab w:val="left" w:pos="636"/>
        </w:tabs>
        <w:spacing w:line="360" w:lineRule="auto"/>
        <w:ind w:left="107" w:right="98" w:firstLine="480" w:firstLineChars="200"/>
        <w:outlineLvl w:val="9"/>
        <w:rPr>
          <w:rFonts w:hint="eastAsia" w:ascii="仿宋" w:hAnsi="仿宋" w:eastAsia="仿宋" w:cs="仿宋"/>
          <w:color w:val="auto"/>
          <w:kern w:val="0"/>
          <w:sz w:val="24"/>
          <w:szCs w:val="24"/>
          <w:highlight w:val="none"/>
          <w:lang w:val="en-US" w:bidi="ar-SA"/>
        </w:rPr>
      </w:pPr>
      <w:r>
        <w:rPr>
          <w:rFonts w:hint="eastAsia" w:ascii="仿宋" w:hAnsi="仿宋" w:eastAsia="仿宋" w:cs="仿宋"/>
          <w:color w:val="auto"/>
          <w:kern w:val="0"/>
          <w:sz w:val="24"/>
          <w:szCs w:val="24"/>
          <w:highlight w:val="none"/>
          <w:lang w:val="en-US" w:bidi="ar-SA"/>
        </w:rPr>
        <w:t>提交响应文件截止时间：</w:t>
      </w:r>
      <w:r>
        <w:rPr>
          <w:rFonts w:hint="eastAsia" w:ascii="仿宋" w:hAnsi="仿宋" w:eastAsia="仿宋" w:cs="仿宋"/>
          <w:color w:val="0000FF"/>
          <w:sz w:val="24"/>
          <w:szCs w:val="24"/>
          <w:highlight w:val="none"/>
          <w:lang w:val="en-GB" w:eastAsia="zh-CN"/>
        </w:rPr>
        <w:t>202</w:t>
      </w:r>
      <w:r>
        <w:rPr>
          <w:rFonts w:hint="eastAsia" w:ascii="仿宋" w:hAnsi="仿宋" w:eastAsia="仿宋" w:cs="仿宋"/>
          <w:color w:val="0000FF"/>
          <w:sz w:val="24"/>
          <w:szCs w:val="24"/>
          <w:highlight w:val="none"/>
          <w:lang w:val="en-US" w:eastAsia="zh-CN"/>
        </w:rPr>
        <w:t>5</w:t>
      </w:r>
      <w:r>
        <w:rPr>
          <w:rFonts w:hint="eastAsia" w:ascii="仿宋" w:hAnsi="仿宋" w:eastAsia="仿宋" w:cs="仿宋"/>
          <w:color w:val="0000FF"/>
          <w:sz w:val="24"/>
          <w:szCs w:val="24"/>
          <w:highlight w:val="none"/>
          <w:lang w:val="en-GB" w:eastAsia="zh-CN"/>
        </w:rPr>
        <w:t>年</w:t>
      </w:r>
      <w:r>
        <w:rPr>
          <w:rFonts w:hint="eastAsia" w:ascii="仿宋" w:hAnsi="仿宋" w:eastAsia="仿宋" w:cs="仿宋"/>
          <w:color w:val="0000FF"/>
          <w:sz w:val="24"/>
          <w:szCs w:val="24"/>
          <w:highlight w:val="none"/>
          <w:lang w:val="en-US" w:eastAsia="zh-CN"/>
        </w:rPr>
        <w:t>7</w:t>
      </w:r>
      <w:r>
        <w:rPr>
          <w:rFonts w:hint="eastAsia" w:ascii="仿宋" w:hAnsi="仿宋" w:eastAsia="仿宋" w:cs="仿宋"/>
          <w:color w:val="0000FF"/>
          <w:sz w:val="24"/>
          <w:szCs w:val="24"/>
          <w:highlight w:val="none"/>
          <w:lang w:val="en-GB" w:eastAsia="zh-CN"/>
        </w:rPr>
        <w:t>月</w:t>
      </w:r>
      <w:r>
        <w:rPr>
          <w:rFonts w:hint="eastAsia" w:ascii="仿宋" w:hAnsi="仿宋" w:eastAsia="仿宋" w:cs="仿宋"/>
          <w:color w:val="0000FF"/>
          <w:sz w:val="24"/>
          <w:szCs w:val="24"/>
          <w:highlight w:val="none"/>
          <w:lang w:val="en-US" w:eastAsia="zh-CN"/>
        </w:rPr>
        <w:t>8</w:t>
      </w:r>
      <w:r>
        <w:rPr>
          <w:rFonts w:hint="eastAsia" w:ascii="仿宋" w:hAnsi="仿宋" w:eastAsia="仿宋" w:cs="仿宋"/>
          <w:color w:val="0000FF"/>
          <w:sz w:val="24"/>
          <w:szCs w:val="24"/>
          <w:highlight w:val="none"/>
          <w:lang w:val="en-GB" w:eastAsia="zh-CN"/>
        </w:rPr>
        <w:t>日</w:t>
      </w:r>
      <w:r>
        <w:rPr>
          <w:rFonts w:hint="eastAsia" w:ascii="仿宋" w:hAnsi="仿宋" w:eastAsia="仿宋" w:cs="仿宋"/>
          <w:color w:val="0000FF"/>
          <w:sz w:val="24"/>
          <w:szCs w:val="24"/>
          <w:highlight w:val="none"/>
          <w:lang w:val="en-GB"/>
        </w:rPr>
        <w:t xml:space="preserve"> </w:t>
      </w:r>
      <w:r>
        <w:rPr>
          <w:rFonts w:hint="eastAsia" w:ascii="仿宋" w:hAnsi="仿宋" w:eastAsia="仿宋" w:cs="仿宋"/>
          <w:color w:val="0000FF"/>
          <w:sz w:val="24"/>
          <w:szCs w:val="24"/>
          <w:highlight w:val="none"/>
          <w:lang w:val="en-US" w:eastAsia="zh-CN"/>
        </w:rPr>
        <w:t>10</w:t>
      </w:r>
      <w:r>
        <w:rPr>
          <w:rFonts w:hint="eastAsia" w:ascii="仿宋" w:hAnsi="仿宋" w:eastAsia="仿宋" w:cs="仿宋"/>
          <w:color w:val="0000FF"/>
          <w:sz w:val="24"/>
          <w:szCs w:val="24"/>
          <w:highlight w:val="none"/>
          <w:lang w:val="en-GB"/>
        </w:rPr>
        <w:t>:</w:t>
      </w:r>
      <w:r>
        <w:rPr>
          <w:rFonts w:hint="eastAsia" w:ascii="仿宋" w:hAnsi="仿宋" w:eastAsia="仿宋" w:cs="仿宋"/>
          <w:color w:val="0000FF"/>
          <w:sz w:val="24"/>
          <w:szCs w:val="24"/>
          <w:highlight w:val="none"/>
          <w:lang w:val="en-US" w:eastAsia="zh-CN"/>
        </w:rPr>
        <w:t>3</w:t>
      </w:r>
      <w:r>
        <w:rPr>
          <w:rFonts w:hint="eastAsia" w:ascii="仿宋" w:hAnsi="仿宋" w:eastAsia="仿宋" w:cs="仿宋"/>
          <w:color w:val="0000FF"/>
          <w:sz w:val="24"/>
          <w:szCs w:val="24"/>
          <w:highlight w:val="none"/>
          <w:lang w:val="en-GB"/>
        </w:rPr>
        <w:t>0</w:t>
      </w:r>
      <w:r>
        <w:rPr>
          <w:rFonts w:hint="eastAsia" w:ascii="仿宋" w:hAnsi="仿宋" w:eastAsia="仿宋" w:cs="仿宋"/>
          <w:color w:val="auto"/>
          <w:sz w:val="24"/>
          <w:szCs w:val="24"/>
          <w:highlight w:val="none"/>
          <w:lang w:val="en-GB"/>
        </w:rPr>
        <w:t>（北京时间）</w:t>
      </w:r>
    </w:p>
    <w:p w14:paraId="2261A080">
      <w:pPr>
        <w:pStyle w:val="35"/>
        <w:tabs>
          <w:tab w:val="left" w:pos="636"/>
        </w:tabs>
        <w:spacing w:line="360" w:lineRule="auto"/>
        <w:ind w:left="107" w:right="98" w:firstLine="480" w:firstLineChars="200"/>
        <w:outlineLvl w:val="9"/>
        <w:rPr>
          <w:rFonts w:hint="eastAsia" w:ascii="仿宋" w:hAnsi="仿宋" w:eastAsia="仿宋" w:cs="仿宋"/>
          <w:color w:val="auto"/>
          <w:kern w:val="0"/>
          <w:sz w:val="24"/>
          <w:szCs w:val="24"/>
          <w:highlight w:val="none"/>
          <w:lang w:val="en-US" w:bidi="ar-SA"/>
        </w:rPr>
      </w:pPr>
      <w:r>
        <w:rPr>
          <w:rFonts w:hint="eastAsia" w:ascii="仿宋" w:hAnsi="仿宋" w:eastAsia="仿宋" w:cs="仿宋"/>
          <w:color w:val="auto"/>
          <w:kern w:val="0"/>
          <w:sz w:val="24"/>
          <w:szCs w:val="24"/>
          <w:highlight w:val="none"/>
          <w:lang w:val="en-US" w:bidi="ar-SA"/>
        </w:rPr>
        <w:t>投标地点：政采云开标大厅（</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"https://www.zcygov.xn--cn)-np6ej63c8vhfp5b/" </w:instrText>
      </w:r>
      <w:r>
        <w:rPr>
          <w:rFonts w:hint="eastAsia" w:ascii="仿宋" w:hAnsi="仿宋" w:eastAsia="仿宋" w:cs="仿宋"/>
          <w:color w:val="auto"/>
          <w:highlight w:val="none"/>
        </w:rPr>
        <w:fldChar w:fldCharType="separate"/>
      </w:r>
      <w:r>
        <w:rPr>
          <w:rFonts w:hint="eastAsia" w:ascii="仿宋" w:hAnsi="仿宋" w:eastAsia="仿宋" w:cs="仿宋"/>
          <w:color w:val="auto"/>
          <w:kern w:val="0"/>
          <w:sz w:val="24"/>
          <w:szCs w:val="24"/>
          <w:highlight w:val="none"/>
          <w:lang w:val="en-US" w:bidi="ar-SA"/>
        </w:rPr>
        <w:t>https://www.zcygov.cn在线投标）</w:t>
      </w:r>
      <w:r>
        <w:rPr>
          <w:rFonts w:hint="eastAsia" w:ascii="仿宋" w:hAnsi="仿宋" w:eastAsia="仿宋" w:cs="仿宋"/>
          <w:color w:val="auto"/>
          <w:kern w:val="0"/>
          <w:sz w:val="24"/>
          <w:szCs w:val="24"/>
          <w:highlight w:val="none"/>
          <w:lang w:val="en-US" w:bidi="ar-SA"/>
        </w:rPr>
        <w:fldChar w:fldCharType="end"/>
      </w:r>
    </w:p>
    <w:p w14:paraId="6097EB91">
      <w:pPr>
        <w:pStyle w:val="35"/>
        <w:tabs>
          <w:tab w:val="left" w:pos="636"/>
        </w:tabs>
        <w:spacing w:line="360" w:lineRule="auto"/>
        <w:ind w:left="107" w:right="98" w:firstLine="480" w:firstLineChars="200"/>
        <w:outlineLvl w:val="9"/>
        <w:rPr>
          <w:rFonts w:hint="eastAsia" w:ascii="仿宋" w:hAnsi="仿宋" w:eastAsia="仿宋" w:cs="仿宋"/>
          <w:color w:val="auto"/>
          <w:kern w:val="0"/>
          <w:sz w:val="24"/>
          <w:szCs w:val="24"/>
          <w:highlight w:val="none"/>
          <w:lang w:val="en-US" w:bidi="ar-SA"/>
        </w:rPr>
      </w:pPr>
      <w:r>
        <w:rPr>
          <w:rFonts w:hint="eastAsia" w:ascii="仿宋" w:hAnsi="仿宋" w:eastAsia="仿宋" w:cs="仿宋"/>
          <w:color w:val="auto"/>
          <w:kern w:val="0"/>
          <w:sz w:val="24"/>
          <w:szCs w:val="24"/>
          <w:highlight w:val="none"/>
          <w:lang w:val="en-US" w:bidi="ar-SA"/>
        </w:rPr>
        <w:t>开标时间</w:t>
      </w: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0000FF"/>
          <w:sz w:val="24"/>
          <w:szCs w:val="24"/>
          <w:highlight w:val="none"/>
          <w:lang w:val="en-GB" w:eastAsia="zh-CN"/>
        </w:rPr>
        <w:t>202</w:t>
      </w:r>
      <w:r>
        <w:rPr>
          <w:rFonts w:hint="eastAsia" w:ascii="仿宋" w:hAnsi="仿宋" w:eastAsia="仿宋" w:cs="仿宋"/>
          <w:color w:val="0000FF"/>
          <w:sz w:val="24"/>
          <w:szCs w:val="24"/>
          <w:highlight w:val="none"/>
          <w:lang w:val="en-US" w:eastAsia="zh-CN"/>
        </w:rPr>
        <w:t>5</w:t>
      </w:r>
      <w:r>
        <w:rPr>
          <w:rFonts w:hint="eastAsia" w:ascii="仿宋" w:hAnsi="仿宋" w:eastAsia="仿宋" w:cs="仿宋"/>
          <w:color w:val="0000FF"/>
          <w:sz w:val="24"/>
          <w:szCs w:val="24"/>
          <w:highlight w:val="none"/>
          <w:lang w:val="en-GB" w:eastAsia="zh-CN"/>
        </w:rPr>
        <w:t>年</w:t>
      </w:r>
      <w:r>
        <w:rPr>
          <w:rFonts w:hint="eastAsia" w:ascii="仿宋" w:hAnsi="仿宋" w:eastAsia="仿宋" w:cs="仿宋"/>
          <w:color w:val="0000FF"/>
          <w:sz w:val="24"/>
          <w:szCs w:val="24"/>
          <w:highlight w:val="none"/>
          <w:lang w:val="en-US" w:eastAsia="zh-CN"/>
        </w:rPr>
        <w:t>7</w:t>
      </w:r>
      <w:r>
        <w:rPr>
          <w:rFonts w:hint="eastAsia" w:ascii="仿宋" w:hAnsi="仿宋" w:eastAsia="仿宋" w:cs="仿宋"/>
          <w:color w:val="0000FF"/>
          <w:sz w:val="24"/>
          <w:szCs w:val="24"/>
          <w:highlight w:val="none"/>
          <w:lang w:val="en-GB" w:eastAsia="zh-CN"/>
        </w:rPr>
        <w:t>月</w:t>
      </w:r>
      <w:r>
        <w:rPr>
          <w:rFonts w:hint="eastAsia" w:ascii="仿宋" w:hAnsi="仿宋" w:eastAsia="仿宋" w:cs="仿宋"/>
          <w:color w:val="0000FF"/>
          <w:sz w:val="24"/>
          <w:szCs w:val="24"/>
          <w:highlight w:val="none"/>
          <w:lang w:val="en-US" w:eastAsia="zh-CN"/>
        </w:rPr>
        <w:t>8</w:t>
      </w:r>
      <w:r>
        <w:rPr>
          <w:rFonts w:hint="eastAsia" w:ascii="仿宋" w:hAnsi="仿宋" w:eastAsia="仿宋" w:cs="仿宋"/>
          <w:color w:val="0000FF"/>
          <w:sz w:val="24"/>
          <w:szCs w:val="24"/>
          <w:highlight w:val="none"/>
          <w:lang w:val="en-GB" w:eastAsia="zh-CN"/>
        </w:rPr>
        <w:t>日</w:t>
      </w:r>
      <w:r>
        <w:rPr>
          <w:rFonts w:hint="eastAsia" w:ascii="仿宋" w:hAnsi="仿宋" w:eastAsia="仿宋" w:cs="仿宋"/>
          <w:color w:val="0000FF"/>
          <w:sz w:val="24"/>
          <w:szCs w:val="24"/>
          <w:highlight w:val="none"/>
          <w:lang w:val="en-GB"/>
        </w:rPr>
        <w:t xml:space="preserve"> </w:t>
      </w:r>
      <w:r>
        <w:rPr>
          <w:rFonts w:hint="eastAsia" w:ascii="仿宋" w:hAnsi="仿宋" w:eastAsia="仿宋" w:cs="仿宋"/>
          <w:color w:val="0000FF"/>
          <w:sz w:val="24"/>
          <w:szCs w:val="24"/>
          <w:highlight w:val="none"/>
          <w:lang w:val="en-US" w:eastAsia="zh-CN"/>
        </w:rPr>
        <w:t>10</w:t>
      </w:r>
      <w:r>
        <w:rPr>
          <w:rFonts w:hint="eastAsia" w:ascii="仿宋" w:hAnsi="仿宋" w:eastAsia="仿宋" w:cs="仿宋"/>
          <w:color w:val="0000FF"/>
          <w:sz w:val="24"/>
          <w:szCs w:val="24"/>
          <w:highlight w:val="none"/>
          <w:lang w:val="en-GB"/>
        </w:rPr>
        <w:t>:</w:t>
      </w:r>
      <w:r>
        <w:rPr>
          <w:rFonts w:hint="eastAsia" w:ascii="仿宋" w:hAnsi="仿宋" w:eastAsia="仿宋" w:cs="仿宋"/>
          <w:color w:val="0000FF"/>
          <w:sz w:val="24"/>
          <w:szCs w:val="24"/>
          <w:highlight w:val="none"/>
          <w:lang w:val="en-US" w:eastAsia="zh-CN"/>
        </w:rPr>
        <w:t>3</w:t>
      </w:r>
      <w:r>
        <w:rPr>
          <w:rFonts w:hint="eastAsia" w:ascii="仿宋" w:hAnsi="仿宋" w:eastAsia="仿宋" w:cs="仿宋"/>
          <w:color w:val="0000FF"/>
          <w:sz w:val="24"/>
          <w:szCs w:val="24"/>
          <w:highlight w:val="none"/>
          <w:lang w:val="en-GB"/>
        </w:rPr>
        <w:t>0</w:t>
      </w:r>
      <w:r>
        <w:rPr>
          <w:rFonts w:hint="eastAsia" w:ascii="仿宋" w:hAnsi="仿宋" w:eastAsia="仿宋" w:cs="仿宋"/>
          <w:color w:val="auto"/>
          <w:sz w:val="24"/>
          <w:szCs w:val="24"/>
          <w:highlight w:val="none"/>
          <w:lang w:val="en-GB"/>
        </w:rPr>
        <w:t>（北京时间）</w:t>
      </w:r>
    </w:p>
    <w:p w14:paraId="0B7EB5EC">
      <w:pPr>
        <w:pStyle w:val="35"/>
        <w:tabs>
          <w:tab w:val="left" w:pos="636"/>
        </w:tabs>
        <w:spacing w:line="360" w:lineRule="auto"/>
        <w:ind w:left="107" w:right="98" w:firstLine="480" w:firstLineChars="200"/>
        <w:outlineLvl w:val="9"/>
        <w:rPr>
          <w:rFonts w:hint="eastAsia" w:ascii="仿宋" w:hAnsi="仿宋" w:eastAsia="仿宋" w:cs="仿宋"/>
          <w:color w:val="auto"/>
          <w:sz w:val="24"/>
          <w:szCs w:val="24"/>
          <w:highlight w:val="none"/>
          <w:lang w:val="en-GB"/>
        </w:rPr>
      </w:pPr>
      <w:r>
        <w:rPr>
          <w:rFonts w:hint="eastAsia" w:ascii="仿宋" w:hAnsi="仿宋" w:eastAsia="仿宋" w:cs="仿宋"/>
          <w:color w:val="auto"/>
          <w:kern w:val="0"/>
          <w:sz w:val="24"/>
          <w:szCs w:val="24"/>
          <w:highlight w:val="none"/>
          <w:lang w:val="en-US" w:bidi="ar-SA"/>
        </w:rPr>
        <w:t>开标地点：政采云开标大厅（https://www.zcygov.cn在线投标）</w:t>
      </w:r>
    </w:p>
    <w:p w14:paraId="3DC24D09">
      <w:pPr>
        <w:pStyle w:val="8"/>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六、公告期限</w:t>
      </w:r>
    </w:p>
    <w:p w14:paraId="097AD613">
      <w:pPr>
        <w:pStyle w:val="35"/>
        <w:tabs>
          <w:tab w:val="left" w:pos="636"/>
        </w:tabs>
        <w:spacing w:line="360" w:lineRule="auto"/>
        <w:ind w:left="107" w:right="98" w:firstLine="480" w:firstLineChars="200"/>
        <w:outlineLvl w:val="9"/>
        <w:rPr>
          <w:rFonts w:hint="eastAsia" w:ascii="仿宋" w:hAnsi="仿宋" w:eastAsia="仿宋" w:cs="仿宋"/>
          <w:color w:val="auto"/>
          <w:kern w:val="0"/>
          <w:sz w:val="24"/>
          <w:szCs w:val="24"/>
          <w:highlight w:val="none"/>
          <w:lang w:val="en-GB" w:bidi="ar-SA"/>
        </w:rPr>
      </w:pPr>
      <w:r>
        <w:rPr>
          <w:rFonts w:hint="eastAsia" w:ascii="仿宋" w:hAnsi="仿宋" w:eastAsia="仿宋" w:cs="仿宋"/>
          <w:color w:val="auto"/>
          <w:kern w:val="0"/>
          <w:sz w:val="24"/>
          <w:szCs w:val="24"/>
          <w:highlight w:val="none"/>
          <w:lang w:val="en-GB" w:bidi="ar-SA"/>
        </w:rPr>
        <w:t>自本公告发布之日起</w:t>
      </w:r>
      <w:r>
        <w:rPr>
          <w:rFonts w:hint="eastAsia" w:ascii="仿宋" w:hAnsi="仿宋" w:eastAsia="仿宋" w:cs="仿宋"/>
          <w:color w:val="auto"/>
          <w:kern w:val="0"/>
          <w:sz w:val="24"/>
          <w:szCs w:val="24"/>
          <w:highlight w:val="none"/>
          <w:lang w:val="en-US" w:bidi="ar-SA"/>
        </w:rPr>
        <w:t>5</w:t>
      </w:r>
      <w:r>
        <w:rPr>
          <w:rFonts w:hint="eastAsia" w:ascii="仿宋" w:hAnsi="仿宋" w:eastAsia="仿宋" w:cs="仿宋"/>
          <w:color w:val="auto"/>
          <w:kern w:val="0"/>
          <w:sz w:val="24"/>
          <w:szCs w:val="24"/>
          <w:highlight w:val="none"/>
          <w:lang w:val="en-GB" w:bidi="ar-SA"/>
        </w:rPr>
        <w:t>个工作日。</w:t>
      </w:r>
    </w:p>
    <w:p w14:paraId="42BC92C3">
      <w:pPr>
        <w:pStyle w:val="8"/>
        <w:spacing w:line="360" w:lineRule="auto"/>
        <w:ind w:firstLine="480" w:firstLineChars="200"/>
        <w:outlineLvl w:val="9"/>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七、其他补充事宜</w:t>
      </w:r>
    </w:p>
    <w:p w14:paraId="7153FFCF">
      <w:pPr>
        <w:spacing w:line="360" w:lineRule="auto"/>
        <w:ind w:left="38" w:leftChars="18" w:right="36" w:rightChars="17"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1.本项目为电子招投标，供应商需要使用CA加密锁，凡参加本项目投标须自行申领CA加密锁。 </w:t>
      </w:r>
    </w:p>
    <w:p w14:paraId="5F0D73C3">
      <w:pPr>
        <w:spacing w:line="360" w:lineRule="auto"/>
        <w:ind w:left="38" w:leftChars="18" w:right="36" w:rightChars="17"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2.本项目实行网上投标，采用电子投标文件(供应商须使用CA加密锁通过政采云电子投标客户端制作投标文件)。若供应商参与投标，自行承担投标一切费用。 </w:t>
      </w:r>
    </w:p>
    <w:p w14:paraId="452301A6">
      <w:pPr>
        <w:spacing w:line="360" w:lineRule="auto"/>
        <w:ind w:left="38" w:leftChars="18" w:right="36" w:rightChars="17"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3.各供应商应确保是新疆维吾尔自治区政府采购网正式注册入库供应商，并完成CA数字证书申领。因未注册入库、未办理CA数字证书等原因造成无法投标或投标失败等后果由供应商自行承担。 </w:t>
      </w:r>
    </w:p>
    <w:p w14:paraId="00043B7B">
      <w:pPr>
        <w:spacing w:line="360" w:lineRule="auto"/>
        <w:ind w:left="38" w:leftChars="18" w:right="36" w:rightChars="17"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w:t>
      </w:r>
      <w:r>
        <w:rPr>
          <w:rFonts w:hint="eastAsia" w:ascii="仿宋" w:hAnsi="仿宋" w:eastAsia="仿宋" w:cs="仿宋"/>
          <w:color w:val="auto"/>
          <w:kern w:val="0"/>
          <w:sz w:val="24"/>
          <w:szCs w:val="24"/>
          <w:highlight w:val="none"/>
          <w:lang w:eastAsia="zh-CN"/>
        </w:rPr>
        <w:t>95763</w:t>
      </w:r>
      <w:r>
        <w:rPr>
          <w:rFonts w:hint="eastAsia" w:ascii="仿宋" w:hAnsi="仿宋" w:eastAsia="仿宋" w:cs="仿宋"/>
          <w:color w:val="auto"/>
          <w:kern w:val="0"/>
          <w:sz w:val="24"/>
          <w:szCs w:val="24"/>
          <w:highlight w:val="none"/>
        </w:rPr>
        <w:t xml:space="preserve">进行咨询。 </w:t>
      </w:r>
    </w:p>
    <w:p w14:paraId="1C266A9C">
      <w:pPr>
        <w:spacing w:line="360" w:lineRule="auto"/>
        <w:ind w:left="38" w:leftChars="18" w:right="36" w:rightChars="17"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5.供应商在开标时须使用制作加密电子投标文件所使用的CA锁及电脑，电脑须提前配置好浏览器（建议使用360浏览器或谷歌浏览器），以便开标时解锁。  </w:t>
      </w:r>
    </w:p>
    <w:p w14:paraId="6D5D8711">
      <w:pPr>
        <w:spacing w:line="360" w:lineRule="auto"/>
        <w:ind w:left="38" w:leftChars="18" w:right="36" w:rightChars="17"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6.投标保证金缴纳及确认时间：凡拟参加本次招标项目的供应商，必须在开标前将投标保证金汇入指定账户。投标保证金汇款凭证上用途栏应注明:</w:t>
      </w:r>
      <w:r>
        <w:rPr>
          <w:rFonts w:hint="eastAsia" w:ascii="仿宋" w:hAnsi="仿宋" w:eastAsia="仿宋" w:cs="仿宋"/>
          <w:color w:val="auto"/>
          <w:kern w:val="0"/>
          <w:sz w:val="24"/>
          <w:szCs w:val="24"/>
          <w:highlight w:val="none"/>
          <w:lang w:val="en-US" w:eastAsia="zh-CN"/>
        </w:rPr>
        <w:t>投标保证金</w:t>
      </w:r>
      <w:r>
        <w:rPr>
          <w:rFonts w:hint="eastAsia" w:ascii="仿宋" w:hAnsi="仿宋" w:eastAsia="仿宋" w:cs="仿宋"/>
          <w:color w:val="auto"/>
          <w:kern w:val="0"/>
          <w:sz w:val="24"/>
          <w:szCs w:val="24"/>
          <w:highlight w:val="none"/>
        </w:rPr>
        <w:t>+项目编号。否则，届时其投标将被拒绝。</w:t>
      </w:r>
    </w:p>
    <w:p w14:paraId="20DF35F9">
      <w:pPr>
        <w:spacing w:line="360" w:lineRule="auto"/>
        <w:ind w:left="38" w:leftChars="18" w:right="36" w:rightChars="17"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0438A070">
      <w:pPr>
        <w:spacing w:line="360" w:lineRule="auto"/>
        <w:ind w:left="38" w:leftChars="18" w:right="36" w:rightChars="17" w:firstLine="482" w:firstLineChars="200"/>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特别提示：</w:t>
      </w:r>
    </w:p>
    <w:p w14:paraId="50796D2C">
      <w:pPr>
        <w:spacing w:line="360" w:lineRule="auto"/>
        <w:ind w:right="36" w:rightChars="17"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1、采购限额标准以上，200万元以下的货物和服务采购项目、400万元以下的工程采购项目，适宜由中小企业提供的，采购人应当专门面向中小企业采购。</w:t>
      </w:r>
    </w:p>
    <w:p w14:paraId="6A15165B">
      <w:pPr>
        <w:spacing w:line="360" w:lineRule="auto"/>
        <w:ind w:left="38" w:leftChars="18" w:right="36" w:rightChars="17"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2、超过200万元的货物和服务采购项目，预留该部分采购项目预算总额的30%以上专门面向中小企业采购，其中预留给小微企业的比例不低于60%。</w:t>
      </w:r>
    </w:p>
    <w:p w14:paraId="40D957A2">
      <w:pPr>
        <w:spacing w:line="360" w:lineRule="auto"/>
        <w:ind w:left="38" w:leftChars="18" w:right="36" w:rightChars="17"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3、超过400万元的工程采购项目中适宜由中小企业提供的，预留该部分采购项目预算总额的40%以上专门面向中小企业采购，其中预留给小微企业的比例不低于60%。</w:t>
      </w:r>
    </w:p>
    <w:p w14:paraId="7D966BA6">
      <w:pPr>
        <w:spacing w:line="360" w:lineRule="auto"/>
        <w:ind w:left="38" w:leftChars="18" w:right="36" w:rightChars="17"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70E4745">
      <w:pPr>
        <w:spacing w:line="360" w:lineRule="auto"/>
        <w:ind w:left="38" w:leftChars="18" w:right="36" w:rightChars="17" w:firstLine="480" w:firstLineChars="200"/>
        <w:outlineLvl w:val="9"/>
        <w:rPr>
          <w:rFonts w:hint="eastAsia"/>
          <w:highlight w:val="none"/>
        </w:rPr>
      </w:pPr>
      <w:r>
        <w:rPr>
          <w:rFonts w:hint="eastAsia" w:ascii="仿宋" w:hAnsi="仿宋" w:eastAsia="仿宋" w:cs="仿宋"/>
          <w:color w:val="auto"/>
          <w:kern w:val="0"/>
          <w:sz w:val="24"/>
          <w:szCs w:val="24"/>
          <w:highlight w:val="none"/>
        </w:rPr>
        <w:t> 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2449060">
      <w:pPr>
        <w:spacing w:line="360" w:lineRule="auto"/>
        <w:ind w:firstLine="300" w:firstLineChars="12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八、对本次招标提出询问，请按以下方式联系。　　　　　　　　　　　　</w:t>
      </w:r>
    </w:p>
    <w:p w14:paraId="5C30C816">
      <w:pPr>
        <w:spacing w:line="360" w:lineRule="auto"/>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1.采购人信息</w:t>
      </w:r>
    </w:p>
    <w:p w14:paraId="7C788696">
      <w:pPr>
        <w:spacing w:line="360" w:lineRule="auto"/>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名    称：</w:t>
      </w:r>
      <w:r>
        <w:rPr>
          <w:rFonts w:hint="eastAsia" w:ascii="仿宋" w:hAnsi="仿宋" w:eastAsia="仿宋" w:cs="仿宋"/>
          <w:bCs/>
          <w:color w:val="auto"/>
          <w:sz w:val="24"/>
          <w:szCs w:val="24"/>
          <w:highlight w:val="none"/>
          <w:lang w:eastAsia="zh-CN"/>
        </w:rPr>
        <w:t>库尔勒市第二幼儿园</w:t>
      </w:r>
      <w:r>
        <w:rPr>
          <w:rFonts w:hint="eastAsia" w:ascii="仿宋" w:hAnsi="仿宋" w:eastAsia="仿宋" w:cs="仿宋"/>
          <w:bCs/>
          <w:color w:val="auto"/>
          <w:sz w:val="24"/>
          <w:szCs w:val="24"/>
          <w:highlight w:val="none"/>
        </w:rPr>
        <w:t>　　　　　　　　　　　</w:t>
      </w:r>
    </w:p>
    <w:p w14:paraId="1B5ACB33">
      <w:pPr>
        <w:spacing w:line="360" w:lineRule="auto"/>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地    址： 库尔勒市     </w:t>
      </w:r>
    </w:p>
    <w:p w14:paraId="7A04B011">
      <w:pPr>
        <w:spacing w:line="360" w:lineRule="auto"/>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项目联系人（询问）：</w:t>
      </w:r>
      <w:r>
        <w:rPr>
          <w:rFonts w:hint="eastAsia" w:ascii="仿宋" w:hAnsi="仿宋" w:eastAsia="仿宋" w:cs="仿宋"/>
          <w:bCs/>
          <w:color w:val="auto"/>
          <w:sz w:val="24"/>
          <w:szCs w:val="24"/>
          <w:highlight w:val="none"/>
          <w:lang w:eastAsia="zh-CN"/>
        </w:rPr>
        <w:t>高慧慧 </w:t>
      </w:r>
      <w:r>
        <w:rPr>
          <w:rFonts w:hint="eastAsia" w:ascii="仿宋" w:hAnsi="仿宋" w:eastAsia="仿宋" w:cs="仿宋"/>
          <w:bCs/>
          <w:color w:val="auto"/>
          <w:sz w:val="24"/>
          <w:szCs w:val="24"/>
          <w:highlight w:val="none"/>
        </w:rPr>
        <w:t>  　　　　　　　　　　</w:t>
      </w:r>
    </w:p>
    <w:p w14:paraId="39C9A475">
      <w:pPr>
        <w:spacing w:line="360" w:lineRule="auto"/>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项目联系方式（询问）：</w:t>
      </w:r>
      <w:r>
        <w:rPr>
          <w:rFonts w:hint="eastAsia" w:ascii="仿宋" w:hAnsi="仿宋" w:eastAsia="仿宋" w:cs="仿宋"/>
          <w:bCs/>
          <w:color w:val="auto"/>
          <w:sz w:val="24"/>
          <w:szCs w:val="24"/>
          <w:highlight w:val="none"/>
          <w:lang w:eastAsia="zh-CN"/>
        </w:rPr>
        <w:t>19999197179</w:t>
      </w:r>
      <w:r>
        <w:rPr>
          <w:rFonts w:hint="eastAsia" w:ascii="仿宋" w:hAnsi="仿宋" w:eastAsia="仿宋" w:cs="仿宋"/>
          <w:bCs/>
          <w:color w:val="auto"/>
          <w:sz w:val="24"/>
          <w:szCs w:val="24"/>
          <w:highlight w:val="none"/>
        </w:rPr>
        <w:t>　　　　　　　</w:t>
      </w:r>
      <w:r>
        <w:rPr>
          <w:rFonts w:hint="eastAsia" w:ascii="仿宋" w:hAnsi="仿宋" w:eastAsia="仿宋" w:cs="仿宋"/>
          <w:bCs/>
          <w:color w:val="auto"/>
          <w:sz w:val="24"/>
          <w:szCs w:val="24"/>
          <w:highlight w:val="none"/>
        </w:rPr>
        <w:br w:type="textWrapping"/>
      </w:r>
      <w:r>
        <w:rPr>
          <w:rFonts w:hint="eastAsia" w:ascii="仿宋" w:hAnsi="仿宋" w:eastAsia="仿宋" w:cs="仿宋"/>
          <w:bCs/>
          <w:color w:val="auto"/>
          <w:sz w:val="24"/>
          <w:szCs w:val="24"/>
          <w:highlight w:val="none"/>
        </w:rPr>
        <w:t>   2.采购代理机构信息</w:t>
      </w:r>
    </w:p>
    <w:p w14:paraId="2A4825BF">
      <w:pPr>
        <w:spacing w:line="360" w:lineRule="auto"/>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名    称：</w:t>
      </w:r>
      <w:r>
        <w:rPr>
          <w:rFonts w:hint="eastAsia" w:ascii="仿宋" w:hAnsi="仿宋" w:eastAsia="仿宋" w:cs="仿宋"/>
          <w:bCs/>
          <w:color w:val="auto"/>
          <w:sz w:val="24"/>
          <w:szCs w:val="24"/>
          <w:highlight w:val="none"/>
          <w:lang w:eastAsia="zh-CN"/>
        </w:rPr>
        <w:t>新疆益双工程管理有限公司</w:t>
      </w:r>
      <w:r>
        <w:rPr>
          <w:rFonts w:hint="eastAsia" w:ascii="仿宋" w:hAnsi="仿宋" w:eastAsia="仿宋" w:cs="仿宋"/>
          <w:bCs/>
          <w:color w:val="auto"/>
          <w:sz w:val="24"/>
          <w:szCs w:val="24"/>
          <w:highlight w:val="none"/>
        </w:rPr>
        <w:t> 　　　　　　　　　　　</w:t>
      </w:r>
    </w:p>
    <w:p w14:paraId="1FB229BA">
      <w:pPr>
        <w:spacing w:line="360" w:lineRule="auto"/>
        <w:ind w:firstLine="480" w:firstLineChars="200"/>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地    址：</w:t>
      </w:r>
      <w:r>
        <w:rPr>
          <w:rFonts w:hint="eastAsia" w:ascii="仿宋" w:hAnsi="仿宋" w:eastAsia="仿宋" w:cs="仿宋"/>
          <w:bCs/>
          <w:color w:val="auto"/>
          <w:sz w:val="24"/>
          <w:szCs w:val="24"/>
          <w:highlight w:val="none"/>
          <w:lang w:eastAsia="zh-CN"/>
        </w:rPr>
        <w:t>库尔勒市铁克其路冠农汇景台门面房3栋3层</w:t>
      </w:r>
    </w:p>
    <w:p w14:paraId="572259C4">
      <w:pPr>
        <w:spacing w:line="360" w:lineRule="auto"/>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项目联系人（询问）：</w:t>
      </w:r>
      <w:r>
        <w:rPr>
          <w:rFonts w:hint="eastAsia" w:ascii="仿宋" w:hAnsi="仿宋" w:eastAsia="仿宋" w:cs="仿宋"/>
          <w:bCs/>
          <w:color w:val="auto"/>
          <w:sz w:val="24"/>
          <w:szCs w:val="24"/>
          <w:highlight w:val="none"/>
          <w:lang w:eastAsia="zh-CN"/>
        </w:rPr>
        <w:t>周先生</w:t>
      </w:r>
      <w:r>
        <w:rPr>
          <w:rFonts w:hint="eastAsia" w:ascii="仿宋" w:hAnsi="仿宋" w:eastAsia="仿宋" w:cs="仿宋"/>
          <w:bCs/>
          <w:color w:val="auto"/>
          <w:sz w:val="24"/>
          <w:szCs w:val="24"/>
          <w:highlight w:val="none"/>
        </w:rPr>
        <w:t>　　　　　　　　　　　</w:t>
      </w:r>
    </w:p>
    <w:p w14:paraId="7F4D47F7">
      <w:pPr>
        <w:pStyle w:val="8"/>
        <w:spacing w:line="360" w:lineRule="auto"/>
        <w:ind w:firstLine="480" w:firstLineChars="200"/>
        <w:outlineLvl w:val="9"/>
        <w:rPr>
          <w:rFonts w:hint="eastAsia" w:ascii="仿宋" w:hAnsi="仿宋" w:eastAsia="仿宋" w:cs="仿宋"/>
          <w:b/>
          <w:color w:val="auto"/>
          <w:sz w:val="36"/>
          <w:highlight w:val="none"/>
        </w:rPr>
      </w:pPr>
      <w:r>
        <w:rPr>
          <w:rFonts w:hint="eastAsia" w:ascii="仿宋" w:hAnsi="仿宋" w:eastAsia="仿宋" w:cs="仿宋"/>
          <w:bCs/>
          <w:color w:val="auto"/>
          <w:sz w:val="24"/>
          <w:szCs w:val="24"/>
          <w:highlight w:val="none"/>
          <w:lang w:val="en-US"/>
        </w:rPr>
        <w:t>项目联系方式（询问）：</w:t>
      </w:r>
      <w:r>
        <w:rPr>
          <w:rFonts w:hint="eastAsia" w:ascii="仿宋" w:hAnsi="仿宋" w:eastAsia="仿宋" w:cs="仿宋"/>
          <w:bCs/>
          <w:color w:val="auto"/>
          <w:sz w:val="24"/>
          <w:szCs w:val="24"/>
          <w:highlight w:val="none"/>
          <w:lang w:val="en-US" w:eastAsia="zh-CN"/>
        </w:rPr>
        <w:t>18699639766</w:t>
      </w:r>
    </w:p>
    <w:p w14:paraId="7FB1060E">
      <w:pPr>
        <w:widowControl/>
        <w:spacing w:line="360" w:lineRule="auto"/>
        <w:jc w:val="center"/>
        <w:outlineLvl w:val="0"/>
        <w:rPr>
          <w:rFonts w:hint="eastAsia" w:ascii="仿宋" w:hAnsi="仿宋" w:eastAsia="仿宋" w:cs="仿宋"/>
          <w:b/>
          <w:color w:val="auto"/>
          <w:kern w:val="0"/>
          <w:sz w:val="36"/>
          <w:szCs w:val="36"/>
          <w:highlight w:val="none"/>
          <w:lang w:val="en-US" w:eastAsia="zh-CN" w:bidi="ar-SA"/>
        </w:rPr>
      </w:pPr>
      <w:r>
        <w:rPr>
          <w:rFonts w:hint="eastAsia" w:ascii="仿宋" w:hAnsi="仿宋" w:eastAsia="仿宋" w:cs="仿宋"/>
          <w:b/>
          <w:color w:val="auto"/>
          <w:kern w:val="0"/>
          <w:sz w:val="36"/>
          <w:szCs w:val="36"/>
          <w:highlight w:val="none"/>
          <w:lang w:val="en-US" w:eastAsia="zh-CN" w:bidi="ar-SA"/>
        </w:rPr>
        <w:t>第二部分 投标须知</w:t>
      </w:r>
    </w:p>
    <w:tbl>
      <w:tblPr>
        <w:tblStyle w:val="24"/>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269"/>
        <w:gridCol w:w="6915"/>
      </w:tblGrid>
      <w:tr w14:paraId="74745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34" w:type="dxa"/>
            <w:vAlign w:val="center"/>
          </w:tcPr>
          <w:p w14:paraId="62BFC42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项号</w:t>
            </w:r>
          </w:p>
        </w:tc>
        <w:tc>
          <w:tcPr>
            <w:tcW w:w="1269" w:type="dxa"/>
            <w:vAlign w:val="center"/>
          </w:tcPr>
          <w:p w14:paraId="72AFB61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6915" w:type="dxa"/>
            <w:vAlign w:val="center"/>
          </w:tcPr>
          <w:p w14:paraId="2478C9C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容</w:t>
            </w:r>
          </w:p>
        </w:tc>
      </w:tr>
      <w:tr w14:paraId="52B1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34" w:type="dxa"/>
            <w:vAlign w:val="center"/>
          </w:tcPr>
          <w:p w14:paraId="62FC4F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69" w:type="dxa"/>
            <w:vAlign w:val="center"/>
          </w:tcPr>
          <w:p w14:paraId="030683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6915" w:type="dxa"/>
            <w:vAlign w:val="center"/>
          </w:tcPr>
          <w:p w14:paraId="4AA27E4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2025年第三十七幼儿园设施设备采购-二标段（三次）</w:t>
            </w:r>
          </w:p>
        </w:tc>
      </w:tr>
      <w:tr w14:paraId="68771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4" w:type="dxa"/>
            <w:vAlign w:val="center"/>
          </w:tcPr>
          <w:p w14:paraId="57E6A9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69" w:type="dxa"/>
            <w:vAlign w:val="center"/>
          </w:tcPr>
          <w:p w14:paraId="1F1EF35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tc>
        <w:tc>
          <w:tcPr>
            <w:tcW w:w="6915" w:type="dxa"/>
            <w:vAlign w:val="center"/>
          </w:tcPr>
          <w:p w14:paraId="610CF6B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XJYS(ZFCG)2025-002-02</w:t>
            </w:r>
          </w:p>
        </w:tc>
      </w:tr>
      <w:tr w14:paraId="7FA6E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34" w:type="dxa"/>
            <w:vAlign w:val="center"/>
          </w:tcPr>
          <w:p w14:paraId="1811A3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269" w:type="dxa"/>
            <w:vAlign w:val="center"/>
          </w:tcPr>
          <w:p w14:paraId="4BCDA82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供货期</w:t>
            </w:r>
          </w:p>
        </w:tc>
        <w:tc>
          <w:tcPr>
            <w:tcW w:w="6915" w:type="dxa"/>
            <w:vAlign w:val="center"/>
          </w:tcPr>
          <w:p w14:paraId="6681140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签订合同后15天完成供货及安装</w:t>
            </w:r>
          </w:p>
        </w:tc>
      </w:tr>
      <w:tr w14:paraId="6340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34" w:type="dxa"/>
            <w:vAlign w:val="center"/>
          </w:tcPr>
          <w:p w14:paraId="624DC3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269" w:type="dxa"/>
            <w:vAlign w:val="center"/>
          </w:tcPr>
          <w:p w14:paraId="00F92F4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供货地点</w:t>
            </w:r>
          </w:p>
        </w:tc>
        <w:tc>
          <w:tcPr>
            <w:tcW w:w="6915" w:type="dxa"/>
            <w:vAlign w:val="center"/>
          </w:tcPr>
          <w:p w14:paraId="7DA05CA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第三十七幼儿园</w:t>
            </w:r>
          </w:p>
        </w:tc>
      </w:tr>
      <w:tr w14:paraId="730F1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34" w:type="dxa"/>
            <w:vAlign w:val="center"/>
          </w:tcPr>
          <w:p w14:paraId="18DE2AF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269" w:type="dxa"/>
            <w:vAlign w:val="center"/>
          </w:tcPr>
          <w:p w14:paraId="37F4D1F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资金来源</w:t>
            </w:r>
          </w:p>
        </w:tc>
        <w:tc>
          <w:tcPr>
            <w:tcW w:w="6915" w:type="dxa"/>
            <w:vAlign w:val="center"/>
          </w:tcPr>
          <w:p w14:paraId="0EF7F7D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专项资金</w:t>
            </w:r>
          </w:p>
        </w:tc>
      </w:tr>
      <w:tr w14:paraId="48B0A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34" w:type="dxa"/>
            <w:vAlign w:val="center"/>
          </w:tcPr>
          <w:p w14:paraId="28F821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269" w:type="dxa"/>
            <w:vAlign w:val="center"/>
          </w:tcPr>
          <w:p w14:paraId="5688122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采购方式</w:t>
            </w:r>
            <w:r>
              <w:rPr>
                <w:rFonts w:hint="eastAsia" w:ascii="仿宋" w:hAnsi="仿宋" w:eastAsia="仿宋" w:cs="仿宋"/>
                <w:color w:val="auto"/>
                <w:sz w:val="24"/>
                <w:szCs w:val="24"/>
                <w:highlight w:val="none"/>
                <w:lang w:val="en-US" w:eastAsia="zh-CN"/>
              </w:rPr>
              <w:t>及本项目所属行业</w:t>
            </w:r>
          </w:p>
        </w:tc>
        <w:tc>
          <w:tcPr>
            <w:tcW w:w="6915" w:type="dxa"/>
            <w:vAlign w:val="center"/>
          </w:tcPr>
          <w:p w14:paraId="087E7F1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采购方式：</w:t>
            </w:r>
            <w:r>
              <w:rPr>
                <w:rFonts w:hint="eastAsia" w:ascii="仿宋" w:hAnsi="仿宋" w:eastAsia="仿宋" w:cs="仿宋"/>
                <w:color w:val="auto"/>
                <w:sz w:val="24"/>
                <w:szCs w:val="24"/>
                <w:highlight w:val="none"/>
              </w:rPr>
              <w:t>公开招标</w:t>
            </w:r>
          </w:p>
          <w:p w14:paraId="3A7D9A5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本项目所属行业：零售业</w:t>
            </w:r>
          </w:p>
        </w:tc>
      </w:tr>
      <w:tr w14:paraId="744D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834" w:type="dxa"/>
            <w:vAlign w:val="center"/>
          </w:tcPr>
          <w:p w14:paraId="6505B04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269" w:type="dxa"/>
            <w:vAlign w:val="center"/>
          </w:tcPr>
          <w:p w14:paraId="2F13B7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tc>
        <w:tc>
          <w:tcPr>
            <w:tcW w:w="6915" w:type="dxa"/>
            <w:vAlign w:val="center"/>
          </w:tcPr>
          <w:p w14:paraId="214F067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库尔勒市第二幼儿园</w:t>
            </w:r>
            <w:r>
              <w:rPr>
                <w:rFonts w:hint="eastAsia" w:ascii="仿宋" w:hAnsi="仿宋" w:eastAsia="仿宋" w:cs="仿宋"/>
                <w:color w:val="auto"/>
                <w:sz w:val="24"/>
                <w:szCs w:val="24"/>
                <w:highlight w:val="none"/>
              </w:rPr>
              <w:t>　　　　　　　　　　　</w:t>
            </w:r>
          </w:p>
          <w:p w14:paraId="0D17F17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址：库尔勒市     </w:t>
            </w:r>
          </w:p>
          <w:p w14:paraId="52A94E1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eastAsia="zh-CN"/>
              </w:rPr>
              <w:t>高慧慧 </w:t>
            </w:r>
            <w:r>
              <w:rPr>
                <w:rFonts w:hint="eastAsia" w:ascii="仿宋" w:hAnsi="仿宋" w:eastAsia="仿宋" w:cs="仿宋"/>
                <w:color w:val="auto"/>
                <w:sz w:val="24"/>
                <w:szCs w:val="24"/>
                <w:highlight w:val="none"/>
              </w:rPr>
              <w:t> 　　　　　　　　　　</w:t>
            </w:r>
          </w:p>
          <w:p w14:paraId="739B86E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项目联系方式：</w:t>
            </w:r>
            <w:r>
              <w:rPr>
                <w:rFonts w:hint="eastAsia" w:ascii="仿宋" w:hAnsi="仿宋" w:eastAsia="仿宋" w:cs="仿宋"/>
                <w:bCs/>
                <w:color w:val="auto"/>
                <w:sz w:val="24"/>
                <w:szCs w:val="24"/>
                <w:highlight w:val="none"/>
                <w:lang w:eastAsia="zh-CN"/>
              </w:rPr>
              <w:t>19999197179</w:t>
            </w:r>
            <w:r>
              <w:rPr>
                <w:rFonts w:hint="eastAsia" w:ascii="仿宋" w:hAnsi="仿宋" w:eastAsia="仿宋" w:cs="仿宋"/>
                <w:bCs/>
                <w:color w:val="auto"/>
                <w:sz w:val="24"/>
                <w:szCs w:val="24"/>
                <w:highlight w:val="none"/>
              </w:rPr>
              <w:t>　</w:t>
            </w:r>
          </w:p>
        </w:tc>
      </w:tr>
      <w:tr w14:paraId="14E1F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834" w:type="dxa"/>
            <w:vAlign w:val="center"/>
          </w:tcPr>
          <w:p w14:paraId="686E6F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269" w:type="dxa"/>
            <w:vAlign w:val="center"/>
          </w:tcPr>
          <w:p w14:paraId="68AC186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w:t>
            </w:r>
          </w:p>
        </w:tc>
        <w:tc>
          <w:tcPr>
            <w:tcW w:w="6915" w:type="dxa"/>
            <w:vAlign w:val="center"/>
          </w:tcPr>
          <w:p w14:paraId="796BA88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新疆益双工程管理有限公司</w:t>
            </w:r>
            <w:r>
              <w:rPr>
                <w:rFonts w:hint="eastAsia" w:ascii="仿宋" w:hAnsi="仿宋" w:eastAsia="仿宋" w:cs="仿宋"/>
                <w:color w:val="auto"/>
                <w:sz w:val="24"/>
                <w:szCs w:val="24"/>
                <w:highlight w:val="none"/>
              </w:rPr>
              <w:t> 　　　　　　　　　　　</w:t>
            </w:r>
          </w:p>
          <w:p w14:paraId="0B5E585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eastAsia="zh-CN"/>
              </w:rPr>
              <w:t>库尔勒市铁克其路冠农汇景台门面房3栋3层</w:t>
            </w:r>
          </w:p>
          <w:p w14:paraId="0D45A60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eastAsia="zh-CN"/>
              </w:rPr>
              <w:t>周先生</w:t>
            </w:r>
            <w:r>
              <w:rPr>
                <w:rFonts w:hint="eastAsia" w:ascii="仿宋" w:hAnsi="仿宋" w:eastAsia="仿宋" w:cs="仿宋"/>
                <w:color w:val="auto"/>
                <w:sz w:val="24"/>
                <w:szCs w:val="24"/>
                <w:highlight w:val="none"/>
              </w:rPr>
              <w:t>   　　　　　　　　　　　</w:t>
            </w:r>
          </w:p>
          <w:p w14:paraId="24565B9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项目联系方式：</w:t>
            </w:r>
            <w:r>
              <w:rPr>
                <w:rFonts w:hint="eastAsia" w:ascii="仿宋" w:hAnsi="仿宋" w:eastAsia="仿宋" w:cs="仿宋"/>
                <w:color w:val="auto"/>
                <w:sz w:val="24"/>
                <w:szCs w:val="24"/>
                <w:highlight w:val="none"/>
                <w:lang w:eastAsia="zh-CN"/>
              </w:rPr>
              <w:t>18699639766</w:t>
            </w:r>
          </w:p>
        </w:tc>
      </w:tr>
      <w:tr w14:paraId="0B973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1" w:hRule="atLeast"/>
          <w:jc w:val="center"/>
        </w:trPr>
        <w:tc>
          <w:tcPr>
            <w:tcW w:w="834" w:type="dxa"/>
            <w:vAlign w:val="center"/>
          </w:tcPr>
          <w:p w14:paraId="1420E22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269" w:type="dxa"/>
            <w:vAlign w:val="center"/>
          </w:tcPr>
          <w:p w14:paraId="61CAE8F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投标人必备资质</w:t>
            </w:r>
          </w:p>
        </w:tc>
        <w:tc>
          <w:tcPr>
            <w:tcW w:w="6915" w:type="dxa"/>
            <w:vAlign w:val="center"/>
          </w:tcPr>
          <w:p w14:paraId="09C8322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（1）具有独立承担民事责任能力的在中华人民共和国境内注册的法人，提供有效的营业执照； </w:t>
            </w:r>
          </w:p>
          <w:p w14:paraId="5262885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（2）法定代表人资格证明书及身份证或法人授权委托书及被授权人身份证； </w:t>
            </w:r>
          </w:p>
          <w:p w14:paraId="4F414AD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（3）具有履行合同所必需的机械设备和专业技术力量，并在人员、运输、资金等方面具有相应的能力；</w:t>
            </w:r>
          </w:p>
          <w:p w14:paraId="0D54BFE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（4）未被“信用中国”（www.creditchina.gov.cn）、中国政府采购网（www.ccgp.gov.cn）列入失信被执行人、重大税收违法案件当事人名单、政府采购严重违法失信行为记录名单；</w:t>
            </w:r>
          </w:p>
          <w:p w14:paraId="2DEC564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（5）单位负责人为同一人或者存在直接控股、管理关系的不同供应商，不得参加同一合同项下的政府采购活动。</w:t>
            </w:r>
          </w:p>
          <w:p w14:paraId="5854DC8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rPr>
              <w:t>（6）本项目不接受联合体投标。</w:t>
            </w:r>
          </w:p>
        </w:tc>
      </w:tr>
      <w:tr w14:paraId="423B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34" w:type="dxa"/>
            <w:vAlign w:val="center"/>
          </w:tcPr>
          <w:p w14:paraId="2667F2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269" w:type="dxa"/>
            <w:vAlign w:val="center"/>
          </w:tcPr>
          <w:p w14:paraId="33DEEB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p>
        </w:tc>
        <w:tc>
          <w:tcPr>
            <w:tcW w:w="6915" w:type="dxa"/>
            <w:vAlign w:val="center"/>
          </w:tcPr>
          <w:p w14:paraId="02433F6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0000FF"/>
                <w:sz w:val="24"/>
                <w:szCs w:val="24"/>
                <w:highlight w:val="none"/>
                <w:lang w:val="en-GB" w:eastAsia="zh-CN"/>
              </w:rPr>
              <w:t>202</w:t>
            </w:r>
            <w:r>
              <w:rPr>
                <w:rFonts w:hint="eastAsia" w:ascii="仿宋" w:hAnsi="仿宋" w:eastAsia="仿宋" w:cs="仿宋"/>
                <w:color w:val="0000FF"/>
                <w:sz w:val="24"/>
                <w:szCs w:val="24"/>
                <w:highlight w:val="none"/>
                <w:lang w:val="en-US" w:eastAsia="zh-CN"/>
              </w:rPr>
              <w:t>5</w:t>
            </w:r>
            <w:r>
              <w:rPr>
                <w:rFonts w:hint="eastAsia" w:ascii="仿宋" w:hAnsi="仿宋" w:eastAsia="仿宋" w:cs="仿宋"/>
                <w:color w:val="0000FF"/>
                <w:sz w:val="24"/>
                <w:szCs w:val="24"/>
                <w:highlight w:val="none"/>
                <w:lang w:val="en-GB" w:eastAsia="zh-CN"/>
              </w:rPr>
              <w:t>年</w:t>
            </w:r>
            <w:r>
              <w:rPr>
                <w:rFonts w:hint="eastAsia" w:ascii="仿宋" w:hAnsi="仿宋" w:eastAsia="仿宋" w:cs="仿宋"/>
                <w:color w:val="0000FF"/>
                <w:sz w:val="24"/>
                <w:szCs w:val="24"/>
                <w:highlight w:val="none"/>
                <w:lang w:val="en-US" w:eastAsia="zh-CN"/>
              </w:rPr>
              <w:t>7</w:t>
            </w:r>
            <w:r>
              <w:rPr>
                <w:rFonts w:hint="eastAsia" w:ascii="仿宋" w:hAnsi="仿宋" w:eastAsia="仿宋" w:cs="仿宋"/>
                <w:color w:val="0000FF"/>
                <w:sz w:val="24"/>
                <w:szCs w:val="24"/>
                <w:highlight w:val="none"/>
                <w:lang w:val="en-GB" w:eastAsia="zh-CN"/>
              </w:rPr>
              <w:t>月</w:t>
            </w:r>
            <w:r>
              <w:rPr>
                <w:rFonts w:hint="eastAsia" w:ascii="仿宋" w:hAnsi="仿宋" w:eastAsia="仿宋" w:cs="仿宋"/>
                <w:color w:val="0000FF"/>
                <w:sz w:val="24"/>
                <w:szCs w:val="24"/>
                <w:highlight w:val="none"/>
                <w:lang w:val="en-US" w:eastAsia="zh-CN"/>
              </w:rPr>
              <w:t>8</w:t>
            </w:r>
            <w:r>
              <w:rPr>
                <w:rFonts w:hint="eastAsia" w:ascii="仿宋" w:hAnsi="仿宋" w:eastAsia="仿宋" w:cs="仿宋"/>
                <w:color w:val="0000FF"/>
                <w:sz w:val="24"/>
                <w:szCs w:val="24"/>
                <w:highlight w:val="none"/>
                <w:lang w:val="en-GB" w:eastAsia="zh-CN"/>
              </w:rPr>
              <w:t>日</w:t>
            </w:r>
            <w:r>
              <w:rPr>
                <w:rFonts w:hint="eastAsia" w:ascii="仿宋" w:hAnsi="仿宋" w:eastAsia="仿宋" w:cs="仿宋"/>
                <w:color w:val="0000FF"/>
                <w:sz w:val="24"/>
                <w:szCs w:val="24"/>
                <w:highlight w:val="none"/>
                <w:lang w:val="en-GB"/>
              </w:rPr>
              <w:t xml:space="preserve"> </w:t>
            </w:r>
            <w:r>
              <w:rPr>
                <w:rFonts w:hint="eastAsia" w:ascii="仿宋" w:hAnsi="仿宋" w:eastAsia="仿宋" w:cs="仿宋"/>
                <w:color w:val="0000FF"/>
                <w:sz w:val="24"/>
                <w:szCs w:val="24"/>
                <w:highlight w:val="none"/>
                <w:lang w:val="en-US" w:eastAsia="zh-CN"/>
              </w:rPr>
              <w:t>10</w:t>
            </w:r>
            <w:r>
              <w:rPr>
                <w:rFonts w:hint="eastAsia" w:ascii="仿宋" w:hAnsi="仿宋" w:eastAsia="仿宋" w:cs="仿宋"/>
                <w:color w:val="0000FF"/>
                <w:sz w:val="24"/>
                <w:szCs w:val="24"/>
                <w:highlight w:val="none"/>
                <w:lang w:val="en-GB"/>
              </w:rPr>
              <w:t>:</w:t>
            </w:r>
            <w:r>
              <w:rPr>
                <w:rFonts w:hint="eastAsia" w:ascii="仿宋" w:hAnsi="仿宋" w:eastAsia="仿宋" w:cs="仿宋"/>
                <w:color w:val="0000FF"/>
                <w:sz w:val="24"/>
                <w:szCs w:val="24"/>
                <w:highlight w:val="none"/>
                <w:lang w:val="en-US" w:eastAsia="zh-CN"/>
              </w:rPr>
              <w:t>3</w:t>
            </w:r>
            <w:r>
              <w:rPr>
                <w:rFonts w:hint="eastAsia" w:ascii="仿宋" w:hAnsi="仿宋" w:eastAsia="仿宋" w:cs="仿宋"/>
                <w:color w:val="0000FF"/>
                <w:sz w:val="24"/>
                <w:szCs w:val="24"/>
                <w:highlight w:val="none"/>
                <w:lang w:val="en-GB"/>
              </w:rPr>
              <w:t>0</w:t>
            </w:r>
            <w:r>
              <w:rPr>
                <w:rFonts w:hint="eastAsia" w:ascii="仿宋" w:hAnsi="仿宋" w:eastAsia="仿宋" w:cs="仿宋"/>
                <w:color w:val="auto"/>
                <w:sz w:val="24"/>
                <w:szCs w:val="24"/>
                <w:highlight w:val="none"/>
                <w:lang w:val="en-GB"/>
              </w:rPr>
              <w:t>（北京时间）</w:t>
            </w:r>
          </w:p>
        </w:tc>
      </w:tr>
      <w:tr w14:paraId="4F7FA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34" w:type="dxa"/>
            <w:vAlign w:val="center"/>
          </w:tcPr>
          <w:p w14:paraId="0BA3ED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269" w:type="dxa"/>
            <w:vAlign w:val="center"/>
          </w:tcPr>
          <w:p w14:paraId="6CD9056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w:t>
            </w:r>
          </w:p>
        </w:tc>
        <w:tc>
          <w:tcPr>
            <w:tcW w:w="6915" w:type="dxa"/>
            <w:vAlign w:val="center"/>
          </w:tcPr>
          <w:p w14:paraId="4821FB1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政采云开标大厅</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rPr>
              <w:t>https://www.zcygov.cn在线投标</w:t>
            </w:r>
            <w:r>
              <w:rPr>
                <w:rFonts w:hint="eastAsia" w:ascii="仿宋" w:hAnsi="仿宋" w:eastAsia="仿宋" w:cs="仿宋"/>
                <w:color w:val="auto"/>
                <w:sz w:val="24"/>
                <w:szCs w:val="24"/>
                <w:highlight w:val="none"/>
                <w:lang w:val="en-GB"/>
              </w:rPr>
              <w:t>）</w:t>
            </w:r>
          </w:p>
        </w:tc>
      </w:tr>
      <w:tr w14:paraId="21802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34" w:type="dxa"/>
            <w:vAlign w:val="center"/>
          </w:tcPr>
          <w:p w14:paraId="180EA57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269" w:type="dxa"/>
            <w:vAlign w:val="center"/>
          </w:tcPr>
          <w:p w14:paraId="4BFB76B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w:t>
            </w:r>
          </w:p>
        </w:tc>
        <w:tc>
          <w:tcPr>
            <w:tcW w:w="6915" w:type="dxa"/>
            <w:vAlign w:val="center"/>
          </w:tcPr>
          <w:p w14:paraId="3536885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不接受联合体</w:t>
            </w:r>
          </w:p>
        </w:tc>
      </w:tr>
      <w:tr w14:paraId="1AC7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34" w:type="dxa"/>
            <w:vAlign w:val="center"/>
          </w:tcPr>
          <w:p w14:paraId="11BAD7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269" w:type="dxa"/>
            <w:vAlign w:val="center"/>
          </w:tcPr>
          <w:p w14:paraId="1E4488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投标文件解密时长</w:t>
            </w:r>
          </w:p>
        </w:tc>
        <w:tc>
          <w:tcPr>
            <w:tcW w:w="6915" w:type="dxa"/>
            <w:vAlign w:val="center"/>
          </w:tcPr>
          <w:p w14:paraId="0D1BF0C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30分钟（投标人若未在规定时间内完成，所造成的一切后果由投标人自行承担）</w:t>
            </w:r>
          </w:p>
        </w:tc>
      </w:tr>
      <w:tr w14:paraId="0F36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34" w:type="dxa"/>
            <w:vAlign w:val="center"/>
          </w:tcPr>
          <w:p w14:paraId="29FF87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1269" w:type="dxa"/>
            <w:vAlign w:val="center"/>
          </w:tcPr>
          <w:p w14:paraId="25E42F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投标人报价确认报价签字时长</w:t>
            </w:r>
          </w:p>
        </w:tc>
        <w:tc>
          <w:tcPr>
            <w:tcW w:w="6915" w:type="dxa"/>
            <w:vAlign w:val="center"/>
          </w:tcPr>
          <w:p w14:paraId="1C13EAC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30分钟（投标人若未在规定时间内完成，所造成的一切后果由投标人自行承担）</w:t>
            </w:r>
          </w:p>
        </w:tc>
      </w:tr>
      <w:tr w14:paraId="7668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34" w:type="dxa"/>
            <w:vAlign w:val="center"/>
          </w:tcPr>
          <w:p w14:paraId="466507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1269" w:type="dxa"/>
            <w:vAlign w:val="center"/>
          </w:tcPr>
          <w:p w14:paraId="42D12A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6915" w:type="dxa"/>
            <w:vAlign w:val="center"/>
          </w:tcPr>
          <w:p w14:paraId="1F56212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90日（从递交响应文件截止日起计算）。</w:t>
            </w:r>
          </w:p>
        </w:tc>
      </w:tr>
      <w:tr w14:paraId="170E0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4" w:hRule="atLeast"/>
          <w:jc w:val="center"/>
        </w:trPr>
        <w:tc>
          <w:tcPr>
            <w:tcW w:w="834" w:type="dxa"/>
            <w:vAlign w:val="center"/>
          </w:tcPr>
          <w:p w14:paraId="07AA5B3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1269" w:type="dxa"/>
            <w:vAlign w:val="center"/>
          </w:tcPr>
          <w:p w14:paraId="132682F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w:t>
            </w:r>
          </w:p>
        </w:tc>
        <w:tc>
          <w:tcPr>
            <w:tcW w:w="6915" w:type="dxa"/>
            <w:vAlign w:val="center"/>
          </w:tcPr>
          <w:p w14:paraId="37EEE7F2">
            <w:pPr>
              <w:pStyle w:val="34"/>
              <w:keepNext w:val="0"/>
              <w:keepLines w:val="0"/>
              <w:pageBreakBefore w:val="0"/>
              <w:widowControl w:val="0"/>
              <w:tabs>
                <w:tab w:val="left" w:pos="709"/>
                <w:tab w:val="left" w:pos="840"/>
              </w:tabs>
              <w:kinsoku/>
              <w:wordWrap/>
              <w:overflowPunct/>
              <w:topLinePunct w:val="0"/>
              <w:autoSpaceDE/>
              <w:autoSpaceDN/>
              <w:bidi w:val="0"/>
              <w:adjustRightInd w:val="0"/>
              <w:snapToGrid w:val="0"/>
              <w:spacing w:line="240" w:lineRule="auto"/>
              <w:ind w:left="960" w:hanging="960" w:hangingChars="400"/>
              <w:jc w:val="left"/>
              <w:textAlignment w:val="auto"/>
              <w:outlineLvl w:val="9"/>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zh-CN" w:bidi="zh-CN"/>
              </w:rPr>
              <w:t>投标保证金金额：</w:t>
            </w:r>
            <w:r>
              <w:rPr>
                <w:rFonts w:hint="eastAsia" w:ascii="仿宋" w:hAnsi="仿宋" w:eastAsia="仿宋" w:cs="仿宋"/>
                <w:color w:val="auto"/>
                <w:sz w:val="24"/>
                <w:szCs w:val="24"/>
                <w:highlight w:val="none"/>
                <w:lang w:val="en-US" w:bidi="zh-CN"/>
              </w:rPr>
              <w:t>15000.00</w:t>
            </w:r>
            <w:r>
              <w:rPr>
                <w:rFonts w:hint="eastAsia" w:ascii="仿宋" w:hAnsi="仿宋" w:eastAsia="仿宋" w:cs="仿宋"/>
                <w:color w:val="auto"/>
                <w:sz w:val="24"/>
                <w:szCs w:val="24"/>
                <w:highlight w:val="none"/>
                <w:lang w:bidi="zh-CN"/>
              </w:rPr>
              <w:t>元</w:t>
            </w:r>
            <w:r>
              <w:rPr>
                <w:rFonts w:hint="eastAsia" w:ascii="仿宋" w:hAnsi="仿宋" w:eastAsia="仿宋" w:cs="仿宋"/>
                <w:color w:val="auto"/>
                <w:sz w:val="24"/>
                <w:szCs w:val="24"/>
                <w:highlight w:val="none"/>
                <w:lang w:val="en-US" w:bidi="zh-CN"/>
              </w:rPr>
              <w:t>（壹万伍仟元整）</w:t>
            </w:r>
          </w:p>
          <w:p w14:paraId="78F98D5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单位名称：新疆益双工程管理有限公司</w:t>
            </w:r>
          </w:p>
          <w:p w14:paraId="1C73E83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开户行：新疆库尔勒富民村镇银行兰干路支行</w:t>
            </w:r>
          </w:p>
          <w:p w14:paraId="29975EE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账号：836050100100009527</w:t>
            </w:r>
          </w:p>
          <w:p w14:paraId="406E381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行号：320888000057</w:t>
            </w:r>
          </w:p>
          <w:p w14:paraId="214A501C">
            <w:pPr>
              <w:pStyle w:val="34"/>
              <w:keepNext w:val="0"/>
              <w:keepLines w:val="0"/>
              <w:pageBreakBefore w:val="0"/>
              <w:widowControl w:val="0"/>
              <w:tabs>
                <w:tab w:val="left" w:pos="709"/>
                <w:tab w:val="left" w:pos="840"/>
              </w:tabs>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zh-CN" w:bidi="zh-CN"/>
              </w:rPr>
              <w:t>投标保证金缴纳截止时间：</w:t>
            </w:r>
            <w:r>
              <w:rPr>
                <w:rFonts w:hint="eastAsia" w:ascii="仿宋" w:hAnsi="仿宋" w:eastAsia="仿宋" w:cs="仿宋"/>
                <w:color w:val="0000FF"/>
                <w:sz w:val="24"/>
                <w:szCs w:val="24"/>
                <w:highlight w:val="none"/>
                <w:lang w:val="en-GB" w:eastAsia="zh-CN"/>
              </w:rPr>
              <w:t>202</w:t>
            </w:r>
            <w:r>
              <w:rPr>
                <w:rFonts w:hint="eastAsia" w:ascii="仿宋" w:hAnsi="仿宋" w:eastAsia="仿宋" w:cs="仿宋"/>
                <w:color w:val="0000FF"/>
                <w:sz w:val="24"/>
                <w:szCs w:val="24"/>
                <w:highlight w:val="none"/>
                <w:lang w:val="en-US" w:eastAsia="zh-CN"/>
              </w:rPr>
              <w:t>5</w:t>
            </w:r>
            <w:r>
              <w:rPr>
                <w:rFonts w:hint="eastAsia" w:ascii="仿宋" w:hAnsi="仿宋" w:eastAsia="仿宋" w:cs="仿宋"/>
                <w:color w:val="0000FF"/>
                <w:sz w:val="24"/>
                <w:szCs w:val="24"/>
                <w:highlight w:val="none"/>
                <w:lang w:val="en-GB" w:eastAsia="zh-CN"/>
              </w:rPr>
              <w:t>年</w:t>
            </w:r>
            <w:r>
              <w:rPr>
                <w:rFonts w:hint="eastAsia" w:ascii="仿宋" w:hAnsi="仿宋" w:eastAsia="仿宋" w:cs="仿宋"/>
                <w:color w:val="0000FF"/>
                <w:sz w:val="24"/>
                <w:szCs w:val="24"/>
                <w:highlight w:val="none"/>
                <w:lang w:val="en-US" w:eastAsia="zh-CN"/>
              </w:rPr>
              <w:t>7</w:t>
            </w:r>
            <w:r>
              <w:rPr>
                <w:rFonts w:hint="eastAsia" w:ascii="仿宋" w:hAnsi="仿宋" w:eastAsia="仿宋" w:cs="仿宋"/>
                <w:color w:val="0000FF"/>
                <w:sz w:val="24"/>
                <w:szCs w:val="24"/>
                <w:highlight w:val="none"/>
                <w:lang w:val="en-GB" w:eastAsia="zh-CN"/>
              </w:rPr>
              <w:t>月</w:t>
            </w:r>
            <w:r>
              <w:rPr>
                <w:rFonts w:hint="eastAsia" w:ascii="仿宋" w:hAnsi="仿宋" w:eastAsia="仿宋" w:cs="仿宋"/>
                <w:color w:val="0000FF"/>
                <w:sz w:val="24"/>
                <w:szCs w:val="24"/>
                <w:highlight w:val="none"/>
                <w:lang w:val="en-US" w:eastAsia="zh-CN"/>
              </w:rPr>
              <w:t>8</w:t>
            </w:r>
            <w:r>
              <w:rPr>
                <w:rFonts w:hint="eastAsia" w:ascii="仿宋" w:hAnsi="仿宋" w:eastAsia="仿宋" w:cs="仿宋"/>
                <w:color w:val="0000FF"/>
                <w:sz w:val="24"/>
                <w:szCs w:val="24"/>
                <w:highlight w:val="none"/>
                <w:lang w:val="en-GB" w:eastAsia="zh-CN"/>
              </w:rPr>
              <w:t>日</w:t>
            </w:r>
            <w:r>
              <w:rPr>
                <w:rFonts w:hint="eastAsia" w:ascii="仿宋" w:hAnsi="仿宋" w:eastAsia="仿宋" w:cs="仿宋"/>
                <w:color w:val="0000FF"/>
                <w:sz w:val="24"/>
                <w:szCs w:val="24"/>
                <w:highlight w:val="none"/>
                <w:lang w:val="en-GB"/>
              </w:rPr>
              <w:t xml:space="preserve"> </w:t>
            </w:r>
            <w:r>
              <w:rPr>
                <w:rFonts w:hint="eastAsia" w:ascii="仿宋" w:hAnsi="仿宋" w:eastAsia="仿宋" w:cs="仿宋"/>
                <w:color w:val="0000FF"/>
                <w:sz w:val="24"/>
                <w:szCs w:val="24"/>
                <w:highlight w:val="none"/>
                <w:lang w:val="en-US" w:eastAsia="zh-CN"/>
              </w:rPr>
              <w:t>10</w:t>
            </w:r>
            <w:r>
              <w:rPr>
                <w:rFonts w:hint="eastAsia" w:ascii="仿宋" w:hAnsi="仿宋" w:eastAsia="仿宋" w:cs="仿宋"/>
                <w:color w:val="0000FF"/>
                <w:sz w:val="24"/>
                <w:szCs w:val="24"/>
                <w:highlight w:val="none"/>
                <w:lang w:val="en-GB"/>
              </w:rPr>
              <w:t>:</w:t>
            </w:r>
            <w:r>
              <w:rPr>
                <w:rFonts w:hint="eastAsia" w:ascii="仿宋" w:hAnsi="仿宋" w:eastAsia="仿宋" w:cs="仿宋"/>
                <w:color w:val="0000FF"/>
                <w:sz w:val="24"/>
                <w:szCs w:val="24"/>
                <w:highlight w:val="none"/>
                <w:lang w:val="en-US" w:eastAsia="zh-CN"/>
              </w:rPr>
              <w:t>3</w:t>
            </w:r>
            <w:r>
              <w:rPr>
                <w:rFonts w:hint="eastAsia" w:ascii="仿宋" w:hAnsi="仿宋" w:eastAsia="仿宋" w:cs="仿宋"/>
                <w:color w:val="0000FF"/>
                <w:sz w:val="24"/>
                <w:szCs w:val="24"/>
                <w:highlight w:val="none"/>
                <w:lang w:val="en-GB"/>
              </w:rPr>
              <w:t>0</w:t>
            </w:r>
            <w:r>
              <w:rPr>
                <w:rFonts w:hint="eastAsia" w:ascii="仿宋" w:hAnsi="仿宋" w:eastAsia="仿宋" w:cs="仿宋"/>
                <w:color w:val="auto"/>
                <w:sz w:val="24"/>
                <w:szCs w:val="24"/>
                <w:highlight w:val="none"/>
                <w:lang w:val="zh-CN" w:bidi="zh-CN"/>
              </w:rPr>
              <w:t>（北京时间）时之前（以银行记录确认到账为准）。未按以上要求递交投标保证金及办理确认手续的，其投标保证金视为无效，采购人将拒绝其投标。</w:t>
            </w:r>
          </w:p>
          <w:p w14:paraId="7A7DC803">
            <w:pPr>
              <w:pStyle w:val="34"/>
              <w:keepNext w:val="0"/>
              <w:keepLines w:val="0"/>
              <w:pageBreakBefore w:val="0"/>
              <w:widowControl w:val="0"/>
              <w:tabs>
                <w:tab w:val="left" w:pos="709"/>
                <w:tab w:val="left" w:pos="840"/>
              </w:tabs>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zh-CN" w:bidi="zh-CN"/>
              </w:rPr>
              <w:t>投标保证金的形式：从供应商基本账户公对公转账、支票、汇票、本票或者金融机构、担保机构出具的保函等非现金形式提交。</w:t>
            </w:r>
          </w:p>
          <w:p w14:paraId="46A239CD">
            <w:pPr>
              <w:pStyle w:val="34"/>
              <w:keepNext w:val="0"/>
              <w:keepLines w:val="0"/>
              <w:pageBreakBefore w:val="0"/>
              <w:widowControl w:val="0"/>
              <w:tabs>
                <w:tab w:val="left" w:pos="709"/>
                <w:tab w:val="left" w:pos="840"/>
              </w:tabs>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zh-CN" w:bidi="zh-CN"/>
              </w:rPr>
              <w:t>（汇款时用途栏应注明本项目招标编号[标准格式：投标保证金</w:t>
            </w:r>
            <w:r>
              <w:rPr>
                <w:rFonts w:hint="eastAsia" w:ascii="仿宋" w:hAnsi="仿宋" w:eastAsia="仿宋" w:cs="仿宋"/>
                <w:color w:val="auto"/>
                <w:sz w:val="24"/>
                <w:szCs w:val="24"/>
                <w:highlight w:val="none"/>
                <w:lang w:val="en-US" w:bidi="zh-CN"/>
              </w:rPr>
              <w:t>+项目编号</w:t>
            </w:r>
            <w:r>
              <w:rPr>
                <w:rFonts w:hint="eastAsia" w:ascii="仿宋" w:hAnsi="仿宋" w:eastAsia="仿宋" w:cs="仿宋"/>
                <w:color w:val="auto"/>
                <w:sz w:val="24"/>
                <w:szCs w:val="24"/>
                <w:highlight w:val="none"/>
                <w:lang w:val="zh-CN" w:bidi="zh-CN"/>
              </w:rPr>
              <w:t>]，提投标保证金不注明用途的届时其投标将被拒绝。)</w:t>
            </w:r>
          </w:p>
          <w:p w14:paraId="2083D0A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highlight w:val="none"/>
                <w:lang w:val="zh-CN" w:bidi="zh-CN"/>
              </w:rPr>
            </w:pPr>
            <w:r>
              <w:rPr>
                <w:rFonts w:hint="eastAsia" w:ascii="仿宋" w:hAnsi="仿宋" w:eastAsia="仿宋" w:cs="仿宋"/>
                <w:b/>
                <w:bCs/>
                <w:color w:val="auto"/>
                <w:sz w:val="24"/>
                <w:szCs w:val="24"/>
                <w:highlight w:val="none"/>
                <w:lang w:val="zh-CN" w:eastAsia="zh-CN" w:bidi="zh-CN"/>
              </w:rPr>
              <w:t>注：投标</w:t>
            </w:r>
            <w:r>
              <w:rPr>
                <w:rFonts w:hint="eastAsia" w:ascii="仿宋" w:hAnsi="仿宋" w:eastAsia="仿宋" w:cs="仿宋"/>
                <w:b/>
                <w:bCs/>
                <w:color w:val="auto"/>
                <w:sz w:val="24"/>
                <w:szCs w:val="24"/>
                <w:highlight w:val="none"/>
                <w:lang w:val="zh-CN" w:bidi="zh-CN"/>
              </w:rPr>
              <w:t>保证金以到账信息为准，供应商应充分考虑在途时间，供应商未按照</w:t>
            </w:r>
            <w:r>
              <w:rPr>
                <w:rFonts w:hint="eastAsia" w:ascii="仿宋" w:hAnsi="仿宋" w:eastAsia="仿宋" w:cs="仿宋"/>
                <w:b/>
                <w:bCs/>
                <w:color w:val="auto"/>
                <w:sz w:val="24"/>
                <w:szCs w:val="24"/>
                <w:highlight w:val="none"/>
                <w:lang w:val="zh-CN" w:eastAsia="zh-CN" w:bidi="zh-CN"/>
              </w:rPr>
              <w:t>招标文件</w:t>
            </w:r>
            <w:r>
              <w:rPr>
                <w:rFonts w:hint="eastAsia" w:ascii="仿宋" w:hAnsi="仿宋" w:eastAsia="仿宋" w:cs="仿宋"/>
                <w:b/>
                <w:bCs/>
                <w:color w:val="auto"/>
                <w:sz w:val="24"/>
                <w:szCs w:val="24"/>
                <w:highlight w:val="none"/>
                <w:lang w:val="zh-CN" w:bidi="zh-CN"/>
              </w:rPr>
              <w:t>要求提交</w:t>
            </w:r>
            <w:r>
              <w:rPr>
                <w:rFonts w:hint="eastAsia" w:ascii="仿宋" w:hAnsi="仿宋" w:eastAsia="仿宋" w:cs="仿宋"/>
                <w:b/>
                <w:bCs/>
                <w:color w:val="auto"/>
                <w:sz w:val="24"/>
                <w:szCs w:val="24"/>
                <w:highlight w:val="none"/>
                <w:lang w:val="zh-CN" w:eastAsia="zh-CN" w:bidi="zh-CN"/>
              </w:rPr>
              <w:t>投标</w:t>
            </w:r>
            <w:r>
              <w:rPr>
                <w:rFonts w:hint="eastAsia" w:ascii="仿宋" w:hAnsi="仿宋" w:eastAsia="仿宋" w:cs="仿宋"/>
                <w:b/>
                <w:bCs/>
                <w:color w:val="auto"/>
                <w:sz w:val="24"/>
                <w:szCs w:val="24"/>
                <w:highlight w:val="none"/>
                <w:lang w:val="zh-CN" w:bidi="zh-CN"/>
              </w:rPr>
              <w:t>保证金的，</w:t>
            </w:r>
            <w:r>
              <w:rPr>
                <w:rFonts w:hint="eastAsia" w:ascii="仿宋" w:hAnsi="仿宋" w:eastAsia="仿宋" w:cs="仿宋"/>
                <w:b/>
                <w:bCs/>
                <w:color w:val="auto"/>
                <w:sz w:val="24"/>
                <w:szCs w:val="24"/>
                <w:highlight w:val="none"/>
                <w:lang w:val="zh-CN" w:eastAsia="zh-CN" w:bidi="zh-CN"/>
              </w:rPr>
              <w:t>投标</w:t>
            </w:r>
            <w:r>
              <w:rPr>
                <w:rFonts w:hint="eastAsia" w:ascii="仿宋" w:hAnsi="仿宋" w:eastAsia="仿宋" w:cs="仿宋"/>
                <w:b/>
                <w:bCs/>
                <w:color w:val="auto"/>
                <w:sz w:val="24"/>
                <w:szCs w:val="24"/>
                <w:highlight w:val="none"/>
                <w:lang w:val="zh-CN" w:bidi="zh-CN"/>
              </w:rPr>
              <w:t>无效。</w:t>
            </w:r>
          </w:p>
        </w:tc>
      </w:tr>
      <w:tr w14:paraId="0959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34" w:type="dxa"/>
            <w:vAlign w:val="center"/>
          </w:tcPr>
          <w:p w14:paraId="12CA71F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1269" w:type="dxa"/>
            <w:vAlign w:val="center"/>
          </w:tcPr>
          <w:p w14:paraId="1B445942">
            <w:pPr>
              <w:pStyle w:val="3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招标文件</w:t>
            </w:r>
          </w:p>
          <w:p w14:paraId="1FD54EA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发售时间</w:t>
            </w:r>
          </w:p>
        </w:tc>
        <w:tc>
          <w:tcPr>
            <w:tcW w:w="6915" w:type="dxa"/>
            <w:vAlign w:val="center"/>
          </w:tcPr>
          <w:p w14:paraId="1F1FC65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zh-CN" w:bidi="zh-CN"/>
              </w:rPr>
              <w:t>发售时间：</w:t>
            </w:r>
            <w:r>
              <w:rPr>
                <w:rFonts w:hint="eastAsia" w:ascii="仿宋" w:hAnsi="仿宋" w:eastAsia="仿宋" w:cs="仿宋"/>
                <w:color w:val="0000FF"/>
                <w:sz w:val="24"/>
                <w:szCs w:val="24"/>
                <w:highlight w:val="none"/>
                <w:lang w:bidi="zh-CN"/>
              </w:rPr>
              <w:t>202</w:t>
            </w:r>
            <w:r>
              <w:rPr>
                <w:rFonts w:hint="eastAsia" w:ascii="仿宋" w:hAnsi="仿宋" w:eastAsia="仿宋" w:cs="仿宋"/>
                <w:color w:val="0000FF"/>
                <w:sz w:val="24"/>
                <w:szCs w:val="24"/>
                <w:highlight w:val="none"/>
                <w:lang w:val="en-US" w:bidi="zh-CN"/>
              </w:rPr>
              <w:t>5</w:t>
            </w:r>
            <w:r>
              <w:rPr>
                <w:rFonts w:hint="eastAsia" w:ascii="仿宋" w:hAnsi="仿宋" w:eastAsia="仿宋" w:cs="仿宋"/>
                <w:color w:val="0000FF"/>
                <w:sz w:val="24"/>
                <w:szCs w:val="24"/>
                <w:highlight w:val="none"/>
                <w:lang w:bidi="zh-CN"/>
              </w:rPr>
              <w:t>-</w:t>
            </w:r>
            <w:r>
              <w:rPr>
                <w:rFonts w:hint="eastAsia" w:ascii="仿宋" w:hAnsi="仿宋" w:eastAsia="仿宋" w:cs="仿宋"/>
                <w:color w:val="0000FF"/>
                <w:sz w:val="24"/>
                <w:szCs w:val="24"/>
                <w:highlight w:val="none"/>
                <w:lang w:val="en-US" w:bidi="zh-CN"/>
              </w:rPr>
              <w:t>6</w:t>
            </w:r>
            <w:r>
              <w:rPr>
                <w:rFonts w:hint="eastAsia" w:ascii="仿宋" w:hAnsi="仿宋" w:eastAsia="仿宋" w:cs="仿宋"/>
                <w:color w:val="0000FF"/>
                <w:sz w:val="24"/>
                <w:szCs w:val="24"/>
                <w:highlight w:val="none"/>
                <w:lang w:bidi="zh-CN"/>
              </w:rPr>
              <w:t>-</w:t>
            </w:r>
            <w:r>
              <w:rPr>
                <w:rFonts w:hint="eastAsia" w:ascii="仿宋" w:hAnsi="仿宋" w:eastAsia="仿宋" w:cs="仿宋"/>
                <w:color w:val="0000FF"/>
                <w:sz w:val="24"/>
                <w:szCs w:val="24"/>
                <w:highlight w:val="none"/>
                <w:lang w:val="en-US" w:bidi="zh-CN"/>
              </w:rPr>
              <w:t>18</w:t>
            </w:r>
            <w:r>
              <w:rPr>
                <w:rFonts w:hint="eastAsia" w:ascii="仿宋" w:hAnsi="仿宋" w:eastAsia="仿宋" w:cs="仿宋"/>
                <w:color w:val="0000FF"/>
                <w:sz w:val="24"/>
                <w:szCs w:val="24"/>
                <w:highlight w:val="none"/>
                <w:lang w:val="zh-CN" w:bidi="zh-CN"/>
              </w:rPr>
              <w:t>至</w:t>
            </w:r>
            <w:r>
              <w:rPr>
                <w:rFonts w:hint="eastAsia" w:ascii="仿宋" w:hAnsi="仿宋" w:eastAsia="仿宋" w:cs="仿宋"/>
                <w:color w:val="0000FF"/>
                <w:sz w:val="24"/>
                <w:szCs w:val="24"/>
                <w:highlight w:val="none"/>
                <w:lang w:bidi="zh-CN"/>
              </w:rPr>
              <w:t>202</w:t>
            </w:r>
            <w:r>
              <w:rPr>
                <w:rFonts w:hint="eastAsia" w:ascii="仿宋" w:hAnsi="仿宋" w:eastAsia="仿宋" w:cs="仿宋"/>
                <w:color w:val="0000FF"/>
                <w:sz w:val="24"/>
                <w:szCs w:val="24"/>
                <w:highlight w:val="none"/>
                <w:lang w:val="en-US" w:bidi="zh-CN"/>
              </w:rPr>
              <w:t>5</w:t>
            </w:r>
            <w:r>
              <w:rPr>
                <w:rFonts w:hint="eastAsia" w:ascii="仿宋" w:hAnsi="仿宋" w:eastAsia="仿宋" w:cs="仿宋"/>
                <w:color w:val="0000FF"/>
                <w:sz w:val="24"/>
                <w:szCs w:val="24"/>
                <w:highlight w:val="none"/>
                <w:lang w:bidi="zh-CN"/>
              </w:rPr>
              <w:t>-</w:t>
            </w:r>
            <w:r>
              <w:rPr>
                <w:rFonts w:hint="eastAsia" w:ascii="仿宋" w:hAnsi="仿宋" w:eastAsia="仿宋" w:cs="仿宋"/>
                <w:color w:val="0000FF"/>
                <w:sz w:val="24"/>
                <w:szCs w:val="24"/>
                <w:highlight w:val="none"/>
                <w:lang w:val="en-US" w:bidi="zh-CN"/>
              </w:rPr>
              <w:t>6</w:t>
            </w:r>
            <w:r>
              <w:rPr>
                <w:rFonts w:hint="eastAsia" w:ascii="仿宋" w:hAnsi="仿宋" w:eastAsia="仿宋" w:cs="仿宋"/>
                <w:color w:val="0000FF"/>
                <w:sz w:val="24"/>
                <w:szCs w:val="24"/>
                <w:highlight w:val="none"/>
                <w:lang w:bidi="zh-CN"/>
              </w:rPr>
              <w:t>-</w:t>
            </w:r>
            <w:r>
              <w:rPr>
                <w:rFonts w:hint="eastAsia" w:ascii="仿宋" w:hAnsi="仿宋" w:eastAsia="仿宋" w:cs="仿宋"/>
                <w:color w:val="0000FF"/>
                <w:sz w:val="24"/>
                <w:szCs w:val="24"/>
                <w:highlight w:val="none"/>
                <w:lang w:val="en-US" w:bidi="zh-CN"/>
              </w:rPr>
              <w:t>25</w:t>
            </w:r>
            <w:r>
              <w:rPr>
                <w:rFonts w:hint="eastAsia" w:ascii="仿宋" w:hAnsi="仿宋" w:eastAsia="仿宋" w:cs="仿宋"/>
                <w:color w:val="0000FF"/>
                <w:sz w:val="24"/>
                <w:szCs w:val="24"/>
                <w:highlight w:val="none"/>
                <w:lang w:val="zh-CN" w:bidi="zh-CN"/>
              </w:rPr>
              <w:t>，</w:t>
            </w:r>
          </w:p>
          <w:p w14:paraId="6B4BD13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zh-CN" w:bidi="zh-CN"/>
              </w:rPr>
              <w:t>上午：</w:t>
            </w:r>
            <w:r>
              <w:rPr>
                <w:rFonts w:hint="eastAsia" w:ascii="仿宋" w:hAnsi="仿宋" w:eastAsia="仿宋" w:cs="仿宋"/>
                <w:color w:val="auto"/>
                <w:sz w:val="24"/>
                <w:szCs w:val="24"/>
                <w:highlight w:val="none"/>
                <w:lang w:bidi="zh-CN"/>
              </w:rPr>
              <w:t>10</w:t>
            </w:r>
            <w:r>
              <w:rPr>
                <w:rFonts w:hint="eastAsia" w:ascii="仿宋" w:hAnsi="仿宋" w:eastAsia="仿宋" w:cs="仿宋"/>
                <w:color w:val="auto"/>
                <w:sz w:val="24"/>
                <w:szCs w:val="24"/>
                <w:highlight w:val="none"/>
                <w:lang w:val="zh-CN" w:bidi="zh-CN"/>
              </w:rPr>
              <w:t>:</w:t>
            </w:r>
            <w:r>
              <w:rPr>
                <w:rFonts w:hint="eastAsia" w:ascii="仿宋" w:hAnsi="仿宋" w:eastAsia="仿宋" w:cs="仿宋"/>
                <w:color w:val="auto"/>
                <w:sz w:val="24"/>
                <w:szCs w:val="24"/>
                <w:highlight w:val="none"/>
                <w:lang w:bidi="zh-CN"/>
              </w:rPr>
              <w:t>0</w:t>
            </w:r>
            <w:r>
              <w:rPr>
                <w:rFonts w:hint="eastAsia" w:ascii="仿宋" w:hAnsi="仿宋" w:eastAsia="仿宋" w:cs="仿宋"/>
                <w:color w:val="auto"/>
                <w:sz w:val="24"/>
                <w:szCs w:val="24"/>
                <w:highlight w:val="none"/>
                <w:lang w:val="zh-CN" w:bidi="zh-CN"/>
              </w:rPr>
              <w:t>0至13:30</w:t>
            </w:r>
          </w:p>
          <w:p w14:paraId="6BAE92A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zh-CN" w:bidi="zh-CN"/>
              </w:rPr>
              <w:t>下午：16:00至19:30（北京时间，法定节假日除外）</w:t>
            </w:r>
          </w:p>
        </w:tc>
      </w:tr>
      <w:tr w14:paraId="2CCD0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4" w:hRule="atLeast"/>
          <w:jc w:val="center"/>
        </w:trPr>
        <w:tc>
          <w:tcPr>
            <w:tcW w:w="834" w:type="dxa"/>
            <w:vAlign w:val="center"/>
          </w:tcPr>
          <w:p w14:paraId="5137623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1269" w:type="dxa"/>
            <w:vAlign w:val="center"/>
          </w:tcPr>
          <w:p w14:paraId="289AA35B">
            <w:pPr>
              <w:pStyle w:val="3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响应文件</w:t>
            </w:r>
          </w:p>
          <w:p w14:paraId="003CB21D">
            <w:pPr>
              <w:pStyle w:val="3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递交上传地址</w:t>
            </w:r>
          </w:p>
        </w:tc>
        <w:tc>
          <w:tcPr>
            <w:tcW w:w="6915" w:type="dxa"/>
            <w:vAlign w:val="center"/>
          </w:tcPr>
          <w:p w14:paraId="5EEAD01F">
            <w:pPr>
              <w:keepNext w:val="0"/>
              <w:keepLines w:val="0"/>
              <w:pageBreakBefore w:val="0"/>
              <w:widowControl w:val="0"/>
              <w:tabs>
                <w:tab w:val="left" w:pos="2448"/>
              </w:tabs>
              <w:kinsoku/>
              <w:wordWrap/>
              <w:overflowPunct/>
              <w:topLinePunct w:val="0"/>
              <w:autoSpaceDE/>
              <w:autoSpaceDN/>
              <w:bidi w:val="0"/>
              <w:adjustRightInd w:val="0"/>
              <w:snapToGrid w:val="0"/>
              <w:spacing w:line="240" w:lineRule="auto"/>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投标人应于</w:t>
            </w:r>
            <w:r>
              <w:rPr>
                <w:rFonts w:hint="eastAsia" w:ascii="仿宋" w:hAnsi="仿宋" w:eastAsia="仿宋" w:cs="仿宋"/>
                <w:color w:val="0000FF"/>
                <w:sz w:val="24"/>
                <w:szCs w:val="24"/>
                <w:highlight w:val="none"/>
                <w:lang w:val="en-GB" w:eastAsia="zh-CN"/>
              </w:rPr>
              <w:t>202</w:t>
            </w:r>
            <w:r>
              <w:rPr>
                <w:rFonts w:hint="eastAsia" w:ascii="仿宋" w:hAnsi="仿宋" w:eastAsia="仿宋" w:cs="仿宋"/>
                <w:color w:val="0000FF"/>
                <w:sz w:val="24"/>
                <w:szCs w:val="24"/>
                <w:highlight w:val="none"/>
                <w:lang w:val="en-US" w:eastAsia="zh-CN"/>
              </w:rPr>
              <w:t>5</w:t>
            </w:r>
            <w:r>
              <w:rPr>
                <w:rFonts w:hint="eastAsia" w:ascii="仿宋" w:hAnsi="仿宋" w:eastAsia="仿宋" w:cs="仿宋"/>
                <w:color w:val="0000FF"/>
                <w:sz w:val="24"/>
                <w:szCs w:val="24"/>
                <w:highlight w:val="none"/>
                <w:lang w:val="en-GB" w:eastAsia="zh-CN"/>
              </w:rPr>
              <w:t>年</w:t>
            </w:r>
            <w:r>
              <w:rPr>
                <w:rFonts w:hint="eastAsia" w:ascii="仿宋" w:hAnsi="仿宋" w:eastAsia="仿宋" w:cs="仿宋"/>
                <w:color w:val="0000FF"/>
                <w:sz w:val="24"/>
                <w:szCs w:val="24"/>
                <w:highlight w:val="none"/>
                <w:lang w:val="en-US" w:eastAsia="zh-CN"/>
              </w:rPr>
              <w:t>7</w:t>
            </w:r>
            <w:r>
              <w:rPr>
                <w:rFonts w:hint="eastAsia" w:ascii="仿宋" w:hAnsi="仿宋" w:eastAsia="仿宋" w:cs="仿宋"/>
                <w:color w:val="0000FF"/>
                <w:sz w:val="24"/>
                <w:szCs w:val="24"/>
                <w:highlight w:val="none"/>
                <w:lang w:val="en-GB" w:eastAsia="zh-CN"/>
              </w:rPr>
              <w:t>月</w:t>
            </w:r>
            <w:r>
              <w:rPr>
                <w:rFonts w:hint="eastAsia" w:ascii="仿宋" w:hAnsi="仿宋" w:eastAsia="仿宋" w:cs="仿宋"/>
                <w:color w:val="0000FF"/>
                <w:sz w:val="24"/>
                <w:szCs w:val="24"/>
                <w:highlight w:val="none"/>
                <w:lang w:val="en-US" w:eastAsia="zh-CN"/>
              </w:rPr>
              <w:t>8</w:t>
            </w:r>
            <w:r>
              <w:rPr>
                <w:rFonts w:hint="eastAsia" w:ascii="仿宋" w:hAnsi="仿宋" w:eastAsia="仿宋" w:cs="仿宋"/>
                <w:color w:val="0000FF"/>
                <w:sz w:val="24"/>
                <w:szCs w:val="24"/>
                <w:highlight w:val="none"/>
                <w:lang w:val="en-GB" w:eastAsia="zh-CN"/>
              </w:rPr>
              <w:t>日</w:t>
            </w:r>
            <w:r>
              <w:rPr>
                <w:rFonts w:hint="eastAsia" w:ascii="仿宋" w:hAnsi="仿宋" w:eastAsia="仿宋" w:cs="仿宋"/>
                <w:color w:val="0000FF"/>
                <w:sz w:val="24"/>
                <w:szCs w:val="24"/>
                <w:highlight w:val="none"/>
                <w:lang w:val="en-GB"/>
              </w:rPr>
              <w:t xml:space="preserve"> </w:t>
            </w:r>
            <w:r>
              <w:rPr>
                <w:rFonts w:hint="eastAsia" w:ascii="仿宋" w:hAnsi="仿宋" w:eastAsia="仿宋" w:cs="仿宋"/>
                <w:color w:val="0000FF"/>
                <w:sz w:val="24"/>
                <w:szCs w:val="24"/>
                <w:highlight w:val="none"/>
                <w:lang w:val="en-US" w:eastAsia="zh-CN"/>
              </w:rPr>
              <w:t>10</w:t>
            </w:r>
            <w:r>
              <w:rPr>
                <w:rFonts w:hint="eastAsia" w:ascii="仿宋" w:hAnsi="仿宋" w:eastAsia="仿宋" w:cs="仿宋"/>
                <w:color w:val="0000FF"/>
                <w:sz w:val="24"/>
                <w:szCs w:val="24"/>
                <w:highlight w:val="none"/>
                <w:lang w:val="en-GB"/>
              </w:rPr>
              <w:t>:</w:t>
            </w:r>
            <w:r>
              <w:rPr>
                <w:rFonts w:hint="eastAsia" w:ascii="仿宋" w:hAnsi="仿宋" w:eastAsia="仿宋" w:cs="仿宋"/>
                <w:color w:val="0000FF"/>
                <w:sz w:val="24"/>
                <w:szCs w:val="24"/>
                <w:highlight w:val="none"/>
                <w:lang w:val="en-US" w:eastAsia="zh-CN"/>
              </w:rPr>
              <w:t>3</w:t>
            </w:r>
            <w:r>
              <w:rPr>
                <w:rFonts w:hint="eastAsia" w:ascii="仿宋" w:hAnsi="仿宋" w:eastAsia="仿宋" w:cs="仿宋"/>
                <w:color w:val="0000FF"/>
                <w:sz w:val="24"/>
                <w:szCs w:val="24"/>
                <w:highlight w:val="none"/>
                <w:lang w:val="en-GB"/>
              </w:rPr>
              <w:t>0</w:t>
            </w:r>
            <w:r>
              <w:rPr>
                <w:rFonts w:hint="eastAsia" w:ascii="仿宋" w:hAnsi="仿宋" w:eastAsia="仿宋" w:cs="仿宋"/>
                <w:color w:val="auto"/>
                <w:sz w:val="24"/>
                <w:szCs w:val="24"/>
                <w:highlight w:val="none"/>
                <w:lang w:val="en-GB"/>
              </w:rPr>
              <w:t>（北京时间）</w:t>
            </w:r>
            <w:r>
              <w:rPr>
                <w:rFonts w:hint="eastAsia" w:ascii="仿宋" w:hAnsi="仿宋" w:eastAsia="仿宋" w:cs="仿宋"/>
                <w:color w:val="auto"/>
                <w:sz w:val="24"/>
                <w:szCs w:val="24"/>
                <w:highlight w:val="none"/>
                <w:lang w:val="zh-CN"/>
              </w:rPr>
              <w:t>之前将电子投标文件上传到“政采云”平台。应按照本项目采购文件和政采云平台的要求编制、加密传输响应文件。供应商在使用系统进行投标的过程中遇到涉及平台使用的任何问题，可致电政采云平台技术支持热线咨询，联系方式：95763。</w:t>
            </w:r>
          </w:p>
          <w:p w14:paraId="0EC44FC5">
            <w:pPr>
              <w:keepNext w:val="0"/>
              <w:keepLines w:val="0"/>
              <w:pageBreakBefore w:val="0"/>
              <w:widowControl w:val="0"/>
              <w:tabs>
                <w:tab w:val="left" w:pos="2448"/>
              </w:tabs>
              <w:kinsoku/>
              <w:wordWrap/>
              <w:overflowPunct/>
              <w:topLinePunct w:val="0"/>
              <w:autoSpaceDE/>
              <w:autoSpaceDN/>
              <w:bidi w:val="0"/>
              <w:adjustRightInd w:val="0"/>
              <w:snapToGrid w:val="0"/>
              <w:spacing w:line="240" w:lineRule="auto"/>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政采云线上开标大厅（https://www.zcygov.cn在线投标）本次招标采取网上开标方式，所有投标人可准时进入政采云电子招标投标交易平台开标大厅参加在线开标仪式，不组织线下开标仪式。</w:t>
            </w:r>
          </w:p>
          <w:p w14:paraId="0722C1ED">
            <w:pPr>
              <w:keepNext w:val="0"/>
              <w:keepLines w:val="0"/>
              <w:pageBreakBefore w:val="0"/>
              <w:widowControl w:val="0"/>
              <w:tabs>
                <w:tab w:val="left" w:pos="2448"/>
              </w:tabs>
              <w:kinsoku/>
              <w:wordWrap/>
              <w:overflowPunct/>
              <w:topLinePunct w:val="0"/>
              <w:autoSpaceDE/>
              <w:autoSpaceDN/>
              <w:bidi w:val="0"/>
              <w:adjustRightInd w:val="0"/>
              <w:snapToGrid w:val="0"/>
              <w:spacing w:line="240" w:lineRule="auto"/>
              <w:textAlignment w:val="auto"/>
              <w:outlineLvl w:val="9"/>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（注：采用不见面方式开标的，开标结束后，所有投标人须将投标文件（须与上传政采云投标文件一致）电子版U盘一份及纸质版正本一份，副本贰分，盖章处按要求盖章或签字，递交至招标代理公司。</w:t>
            </w:r>
          </w:p>
          <w:p w14:paraId="7009B4CF">
            <w:pPr>
              <w:keepNext w:val="0"/>
              <w:keepLines w:val="0"/>
              <w:pageBreakBefore w:val="0"/>
              <w:widowControl w:val="0"/>
              <w:tabs>
                <w:tab w:val="left" w:pos="2448"/>
              </w:tabs>
              <w:kinsoku/>
              <w:wordWrap/>
              <w:overflowPunct/>
              <w:topLinePunct w:val="0"/>
              <w:autoSpaceDE/>
              <w:autoSpaceDN/>
              <w:bidi w:val="0"/>
              <w:adjustRightInd w:val="0"/>
              <w:snapToGrid w:val="0"/>
              <w:spacing w:line="240" w:lineRule="auto"/>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联系人：</w:t>
            </w:r>
            <w:r>
              <w:rPr>
                <w:rFonts w:hint="eastAsia" w:ascii="仿宋" w:hAnsi="仿宋" w:eastAsia="仿宋" w:cs="仿宋"/>
                <w:color w:val="auto"/>
                <w:sz w:val="24"/>
                <w:szCs w:val="24"/>
                <w:highlight w:val="none"/>
                <w:lang w:eastAsia="zh-CN"/>
              </w:rPr>
              <w:t>周先生</w:t>
            </w:r>
            <w:r>
              <w:rPr>
                <w:rFonts w:hint="eastAsia" w:ascii="仿宋" w:hAnsi="仿宋" w:eastAsia="仿宋" w:cs="仿宋"/>
                <w:color w:val="auto"/>
                <w:sz w:val="24"/>
                <w:szCs w:val="24"/>
                <w:highlight w:val="none"/>
                <w:lang w:val="zh-CN"/>
              </w:rPr>
              <w:t xml:space="preserve">  </w:t>
            </w:r>
          </w:p>
          <w:p w14:paraId="04DF8313">
            <w:pPr>
              <w:keepNext w:val="0"/>
              <w:keepLines w:val="0"/>
              <w:pageBreakBefore w:val="0"/>
              <w:widowControl w:val="0"/>
              <w:tabs>
                <w:tab w:val="left" w:pos="2448"/>
              </w:tabs>
              <w:kinsoku/>
              <w:wordWrap/>
              <w:overflowPunct/>
              <w:topLinePunct w:val="0"/>
              <w:autoSpaceDE/>
              <w:autoSpaceDN/>
              <w:bidi w:val="0"/>
              <w:adjustRightInd w:val="0"/>
              <w:snapToGrid w:val="0"/>
              <w:spacing w:line="240" w:lineRule="auto"/>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CN"/>
              </w:rPr>
              <w:t>联系电话：</w:t>
            </w:r>
            <w:r>
              <w:rPr>
                <w:rFonts w:hint="eastAsia" w:ascii="仿宋" w:hAnsi="仿宋" w:eastAsia="仿宋" w:cs="仿宋"/>
                <w:color w:val="auto"/>
                <w:sz w:val="24"/>
                <w:szCs w:val="24"/>
                <w:highlight w:val="none"/>
                <w:lang w:eastAsia="zh-CN"/>
              </w:rPr>
              <w:t>18699639766</w:t>
            </w:r>
          </w:p>
          <w:p w14:paraId="07355D4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zh-CN"/>
              </w:rPr>
              <w:t>地址：</w:t>
            </w:r>
            <w:r>
              <w:rPr>
                <w:rFonts w:hint="eastAsia" w:ascii="仿宋" w:hAnsi="仿宋" w:eastAsia="仿宋" w:cs="仿宋"/>
                <w:color w:val="auto"/>
                <w:sz w:val="24"/>
                <w:szCs w:val="24"/>
                <w:highlight w:val="none"/>
                <w:lang w:val="en-US" w:eastAsia="zh-CN"/>
              </w:rPr>
              <w:t>库尔勒市铁克其路冠农汇景台门面房3栋3层</w:t>
            </w:r>
          </w:p>
        </w:tc>
      </w:tr>
      <w:tr w14:paraId="2A322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34" w:type="dxa"/>
            <w:vAlign w:val="center"/>
          </w:tcPr>
          <w:p w14:paraId="1B31CFE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1269" w:type="dxa"/>
            <w:vAlign w:val="center"/>
          </w:tcPr>
          <w:p w14:paraId="7DF1D0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付款方式</w:t>
            </w:r>
          </w:p>
        </w:tc>
        <w:tc>
          <w:tcPr>
            <w:tcW w:w="6915" w:type="dxa"/>
            <w:vAlign w:val="center"/>
          </w:tcPr>
          <w:p w14:paraId="36AB151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highlight w:val="none"/>
                <w:lang w:bidi="zh-CN"/>
              </w:rPr>
            </w:pPr>
            <w:r>
              <w:rPr>
                <w:rFonts w:hint="eastAsia" w:ascii="仿宋" w:hAnsi="仿宋" w:eastAsia="仿宋" w:cs="仿宋"/>
                <w:color w:val="auto"/>
                <w:kern w:val="0"/>
                <w:sz w:val="24"/>
                <w:szCs w:val="24"/>
                <w:highlight w:val="none"/>
              </w:rPr>
              <w:t>签订合同时双方协商约定。</w:t>
            </w:r>
          </w:p>
        </w:tc>
      </w:tr>
      <w:tr w14:paraId="6387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34" w:type="dxa"/>
            <w:vAlign w:val="center"/>
          </w:tcPr>
          <w:p w14:paraId="1AB30C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1269" w:type="dxa"/>
            <w:vAlign w:val="center"/>
          </w:tcPr>
          <w:p w14:paraId="5255B29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质量要求</w:t>
            </w:r>
          </w:p>
        </w:tc>
        <w:tc>
          <w:tcPr>
            <w:tcW w:w="6915" w:type="dxa"/>
            <w:vAlign w:val="center"/>
          </w:tcPr>
          <w:p w14:paraId="5F4DA4A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rPr>
              <w:t>质保期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bidi="zh-CN"/>
              </w:rPr>
              <w:t>2</w:t>
            </w:r>
            <w:r>
              <w:rPr>
                <w:rFonts w:hint="eastAsia" w:ascii="仿宋" w:hAnsi="仿宋" w:eastAsia="仿宋" w:cs="仿宋"/>
                <w:color w:val="auto"/>
                <w:sz w:val="24"/>
                <w:szCs w:val="24"/>
                <w:highlight w:val="none"/>
                <w:lang w:val="zh-CN" w:bidi="zh-CN"/>
              </w:rPr>
              <w:t>年</w:t>
            </w:r>
          </w:p>
          <w:p w14:paraId="2F99BF51">
            <w:pPr>
              <w:pStyle w:val="31"/>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rPr>
              <w:t>质量要求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合格</w:t>
            </w:r>
          </w:p>
        </w:tc>
      </w:tr>
      <w:tr w14:paraId="1284F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34" w:type="dxa"/>
            <w:vAlign w:val="center"/>
          </w:tcPr>
          <w:p w14:paraId="0A31A3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1269" w:type="dxa"/>
            <w:vAlign w:val="center"/>
          </w:tcPr>
          <w:p w14:paraId="6B7BE0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w:t>
            </w:r>
          </w:p>
        </w:tc>
        <w:tc>
          <w:tcPr>
            <w:tcW w:w="6915" w:type="dxa"/>
            <w:vAlign w:val="center"/>
          </w:tcPr>
          <w:p w14:paraId="731ACEC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highlight w:val="none"/>
                <w:lang w:val="en-US" w:bidi="zh-CN"/>
              </w:rPr>
            </w:pPr>
            <w:r>
              <w:rPr>
                <w:rFonts w:hint="eastAsia" w:ascii="仿宋" w:hAnsi="仿宋" w:eastAsia="仿宋" w:cs="仿宋"/>
                <w:color w:val="auto"/>
                <w:sz w:val="24"/>
                <w:szCs w:val="24"/>
                <w:highlight w:val="none"/>
                <w:lang w:val="en-US" w:bidi="zh-CN"/>
              </w:rPr>
              <w:t>双方自行协商</w:t>
            </w:r>
          </w:p>
        </w:tc>
      </w:tr>
      <w:tr w14:paraId="6E0A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834" w:type="dxa"/>
            <w:vAlign w:val="center"/>
          </w:tcPr>
          <w:p w14:paraId="67792B2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c>
          <w:tcPr>
            <w:tcW w:w="1269" w:type="dxa"/>
            <w:vAlign w:val="center"/>
          </w:tcPr>
          <w:p w14:paraId="3D408B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投标单位CA申领</w:t>
            </w:r>
          </w:p>
        </w:tc>
        <w:tc>
          <w:tcPr>
            <w:tcW w:w="6915" w:type="dxa"/>
            <w:vAlign w:val="center"/>
          </w:tcPr>
          <w:p w14:paraId="02AC76F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rPr>
              <w:t>访问新疆数字证书认证中心官方网站（https://www.xjca.com.cn/）或下载“新疆政务通”APP自行进行申领。如需咨询，请联系新疆CA服务热线0991-2819290</w:t>
            </w:r>
          </w:p>
        </w:tc>
      </w:tr>
      <w:tr w14:paraId="4E23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34" w:type="dxa"/>
            <w:vAlign w:val="center"/>
          </w:tcPr>
          <w:p w14:paraId="10A1DF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1269" w:type="dxa"/>
            <w:vAlign w:val="center"/>
          </w:tcPr>
          <w:p w14:paraId="1E77770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w:t>
            </w:r>
          </w:p>
        </w:tc>
        <w:tc>
          <w:tcPr>
            <w:tcW w:w="6915" w:type="dxa"/>
            <w:vAlign w:val="center"/>
          </w:tcPr>
          <w:p w14:paraId="1D062C6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zh-CN" w:bidi="zh-CN"/>
              </w:rPr>
              <w:t>人民币</w:t>
            </w:r>
            <w:r>
              <w:rPr>
                <w:rFonts w:hint="eastAsia" w:ascii="仿宋" w:hAnsi="仿宋" w:eastAsia="仿宋" w:cs="仿宋"/>
                <w:color w:val="auto"/>
                <w:sz w:val="24"/>
                <w:szCs w:val="24"/>
                <w:highlight w:val="none"/>
                <w:lang w:val="en-US" w:bidi="zh-CN"/>
              </w:rPr>
              <w:t>100.00万</w:t>
            </w:r>
            <w:r>
              <w:rPr>
                <w:rFonts w:hint="eastAsia" w:ascii="仿宋" w:hAnsi="仿宋" w:eastAsia="仿宋" w:cs="仿宋"/>
                <w:color w:val="auto"/>
                <w:sz w:val="24"/>
                <w:szCs w:val="24"/>
                <w:highlight w:val="none"/>
                <w:lang w:val="zh-CN" w:bidi="zh-CN"/>
              </w:rPr>
              <w:t>元，大写</w:t>
            </w:r>
            <w:r>
              <w:rPr>
                <w:rFonts w:hint="eastAsia" w:ascii="仿宋" w:hAnsi="仿宋" w:eastAsia="仿宋" w:cs="仿宋"/>
                <w:color w:val="auto"/>
                <w:sz w:val="24"/>
                <w:szCs w:val="24"/>
                <w:highlight w:val="none"/>
                <w:lang w:bidi="zh-CN"/>
              </w:rPr>
              <w:t>：</w:t>
            </w:r>
            <w:r>
              <w:rPr>
                <w:rFonts w:hint="eastAsia" w:ascii="仿宋" w:hAnsi="仿宋" w:eastAsia="仿宋" w:cs="仿宋"/>
                <w:color w:val="auto"/>
                <w:sz w:val="24"/>
                <w:szCs w:val="24"/>
                <w:highlight w:val="none"/>
                <w:lang w:val="en-US" w:bidi="zh-CN"/>
              </w:rPr>
              <w:t>壹佰万元整</w:t>
            </w:r>
            <w:r>
              <w:rPr>
                <w:rFonts w:hint="eastAsia" w:ascii="仿宋" w:hAnsi="仿宋" w:eastAsia="仿宋" w:cs="仿宋"/>
                <w:color w:val="auto"/>
                <w:sz w:val="24"/>
                <w:szCs w:val="24"/>
                <w:highlight w:val="none"/>
                <w:lang w:val="zh-CN" w:bidi="zh-CN"/>
              </w:rPr>
              <w:t>。</w:t>
            </w:r>
          </w:p>
          <w:p w14:paraId="5F0EA92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zh-CN" w:bidi="zh-CN"/>
              </w:rPr>
              <w:t>（投标报价高于最高限价的，作为废标处理）</w:t>
            </w:r>
          </w:p>
        </w:tc>
      </w:tr>
      <w:tr w14:paraId="06F5C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34" w:type="dxa"/>
            <w:vAlign w:val="center"/>
          </w:tcPr>
          <w:p w14:paraId="197909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w:t>
            </w:r>
          </w:p>
        </w:tc>
        <w:tc>
          <w:tcPr>
            <w:tcW w:w="1269" w:type="dxa"/>
            <w:shd w:val="clear" w:color="auto" w:fill="auto"/>
            <w:vAlign w:val="center"/>
          </w:tcPr>
          <w:p w14:paraId="22E9E4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政府采购政策支持</w:t>
            </w:r>
          </w:p>
        </w:tc>
        <w:tc>
          <w:tcPr>
            <w:tcW w:w="6915" w:type="dxa"/>
            <w:shd w:val="clear" w:color="auto" w:fill="auto"/>
            <w:vAlign w:val="center"/>
          </w:tcPr>
          <w:p w14:paraId="1EB458EE">
            <w:pPr>
              <w:pStyle w:val="35"/>
              <w:tabs>
                <w:tab w:val="left" w:pos="636"/>
              </w:tabs>
              <w:spacing w:line="240" w:lineRule="auto"/>
              <w:ind w:right="98"/>
              <w:outlineLvl w:val="9"/>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kern w:val="2"/>
                <w:sz w:val="24"/>
                <w:szCs w:val="24"/>
                <w:highlight w:val="none"/>
                <w:lang w:val="zh-CN" w:eastAsia="zh-CN" w:bidi="zh-CN"/>
              </w:rPr>
              <w:t>1、财政部、国家发展改革委、生态环境部、市场监管总局《关于调整优化节能产品、环境标志产品政府采购执行机制的通知》（财库[2019]9 号文）；</w:t>
            </w:r>
          </w:p>
          <w:p w14:paraId="66A6C6F0">
            <w:pPr>
              <w:pStyle w:val="35"/>
              <w:tabs>
                <w:tab w:val="left" w:pos="636"/>
              </w:tabs>
              <w:spacing w:line="240" w:lineRule="auto"/>
              <w:ind w:right="98"/>
              <w:outlineLvl w:val="9"/>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kern w:val="2"/>
                <w:sz w:val="24"/>
                <w:szCs w:val="24"/>
                <w:highlight w:val="none"/>
                <w:lang w:val="zh-CN" w:eastAsia="zh-CN" w:bidi="zh-CN"/>
              </w:rPr>
              <w:t>2、财政部、生态环境部《关于印发环境标志产品政府采购品目清单的通知》（财库[2019]18 号文）；</w:t>
            </w:r>
          </w:p>
          <w:p w14:paraId="40AC29CB">
            <w:pPr>
              <w:pStyle w:val="35"/>
              <w:tabs>
                <w:tab w:val="left" w:pos="636"/>
              </w:tabs>
              <w:spacing w:line="240" w:lineRule="auto"/>
              <w:ind w:right="98"/>
              <w:outlineLvl w:val="9"/>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kern w:val="2"/>
                <w:sz w:val="24"/>
                <w:szCs w:val="24"/>
                <w:highlight w:val="none"/>
                <w:lang w:val="zh-CN" w:eastAsia="zh-CN" w:bidi="zh-CN"/>
              </w:rPr>
              <w:t>3、财政部、发展改革委《关于印发节能产品政府采购品目清单的通知》</w:t>
            </w:r>
          </w:p>
          <w:p w14:paraId="7D454288">
            <w:pPr>
              <w:pStyle w:val="35"/>
              <w:tabs>
                <w:tab w:val="left" w:pos="636"/>
              </w:tabs>
              <w:spacing w:line="240" w:lineRule="auto"/>
              <w:ind w:right="98"/>
              <w:outlineLvl w:val="9"/>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kern w:val="2"/>
                <w:sz w:val="24"/>
                <w:szCs w:val="24"/>
                <w:highlight w:val="none"/>
                <w:lang w:val="zh-CN" w:eastAsia="zh-CN" w:bidi="zh-CN"/>
              </w:rPr>
              <w:t>（财库[2019]19 号文）；</w:t>
            </w:r>
          </w:p>
          <w:p w14:paraId="7EB034CC">
            <w:pPr>
              <w:pStyle w:val="35"/>
              <w:tabs>
                <w:tab w:val="left" w:pos="636"/>
              </w:tabs>
              <w:spacing w:line="240" w:lineRule="auto"/>
              <w:ind w:right="98"/>
              <w:outlineLvl w:val="9"/>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kern w:val="2"/>
                <w:sz w:val="24"/>
                <w:szCs w:val="24"/>
                <w:highlight w:val="none"/>
                <w:lang w:val="zh-CN" w:eastAsia="zh-CN" w:bidi="zh-CN"/>
              </w:rPr>
              <w:t>4、市场监管总局《市场监管总局关于发布参与实施政府采购节能产品、环境标志产品认证机构名录的公告》（2019 年第 16 号）；</w:t>
            </w:r>
          </w:p>
          <w:p w14:paraId="7A5D321E">
            <w:pPr>
              <w:pStyle w:val="35"/>
              <w:tabs>
                <w:tab w:val="left" w:pos="636"/>
              </w:tabs>
              <w:spacing w:line="240" w:lineRule="auto"/>
              <w:ind w:right="98"/>
              <w:outlineLvl w:val="9"/>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kern w:val="2"/>
                <w:sz w:val="24"/>
                <w:szCs w:val="24"/>
                <w:highlight w:val="none"/>
                <w:lang w:val="zh-CN" w:eastAsia="zh-CN" w:bidi="zh-CN"/>
              </w:rPr>
              <w:t>5、财政部、工业和信息化部《关于印发《政府采购促进中小企业展暂行办法》的通知》（财库[2020]46号文）；</w:t>
            </w:r>
          </w:p>
          <w:p w14:paraId="719DA8A6">
            <w:pPr>
              <w:pStyle w:val="35"/>
              <w:tabs>
                <w:tab w:val="left" w:pos="636"/>
              </w:tabs>
              <w:spacing w:line="240" w:lineRule="auto"/>
              <w:ind w:right="98"/>
              <w:outlineLvl w:val="9"/>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kern w:val="2"/>
                <w:sz w:val="24"/>
                <w:szCs w:val="24"/>
                <w:highlight w:val="none"/>
                <w:lang w:val="zh-CN" w:eastAsia="zh-CN" w:bidi="zh-CN"/>
              </w:rPr>
              <w:t>6、财政部、民政部、中国残疾人联合会《关于促进残疾人就业政府采购政策的通知》（财库[2017]141 号）；</w:t>
            </w:r>
          </w:p>
          <w:p w14:paraId="4BC7174C">
            <w:pPr>
              <w:pStyle w:val="35"/>
              <w:tabs>
                <w:tab w:val="left" w:pos="636"/>
              </w:tabs>
              <w:spacing w:line="240" w:lineRule="auto"/>
              <w:ind w:right="98"/>
              <w:outlineLvl w:val="9"/>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kern w:val="2"/>
                <w:sz w:val="24"/>
                <w:szCs w:val="24"/>
                <w:highlight w:val="none"/>
                <w:lang w:val="zh-CN" w:eastAsia="zh-CN" w:bidi="zh-CN"/>
              </w:rPr>
              <w:t>7、财政部、司法部《关于政府采购支持监狱企业发展有关问题的通知》</w:t>
            </w:r>
          </w:p>
          <w:p w14:paraId="3C898FAB">
            <w:pPr>
              <w:pStyle w:val="35"/>
              <w:tabs>
                <w:tab w:val="left" w:pos="636"/>
              </w:tabs>
              <w:spacing w:line="240" w:lineRule="auto"/>
              <w:ind w:right="98"/>
              <w:outlineLvl w:val="9"/>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kern w:val="2"/>
                <w:sz w:val="24"/>
                <w:szCs w:val="24"/>
                <w:highlight w:val="none"/>
                <w:lang w:val="zh-CN" w:eastAsia="zh-CN" w:bidi="zh-CN"/>
              </w:rPr>
              <w:t>（财库[2014]68 号文）。（中小企业优惠、监狱企业、节能产品、环境标志产品等）。</w:t>
            </w:r>
          </w:p>
          <w:p w14:paraId="3478D758">
            <w:pPr>
              <w:pStyle w:val="35"/>
              <w:tabs>
                <w:tab w:val="left" w:pos="636"/>
              </w:tabs>
              <w:spacing w:line="240" w:lineRule="auto"/>
              <w:ind w:right="98"/>
              <w:outlineLvl w:val="9"/>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kern w:val="2"/>
                <w:sz w:val="24"/>
                <w:szCs w:val="24"/>
                <w:highlight w:val="none"/>
                <w:lang w:val="zh-CN" w:eastAsia="zh-CN" w:bidi="zh-CN"/>
              </w:rPr>
              <w:t>8、扶持中小企业政策：本项目为专门面向中小企业（含中型、小型、微型企业）采购项目。中小企业是工业和信息化部、国家统计局、发展改革委、财政部《中小企业划型标准规定》（工信部联企业〔2011〕300号）中划分的中、小、微型企业。 </w:t>
            </w:r>
          </w:p>
          <w:p w14:paraId="31F31A7A">
            <w:pPr>
              <w:pStyle w:val="35"/>
              <w:tabs>
                <w:tab w:val="left" w:pos="636"/>
              </w:tabs>
              <w:spacing w:line="240" w:lineRule="auto"/>
              <w:ind w:right="98"/>
              <w:outlineLvl w:val="9"/>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kern w:val="2"/>
                <w:sz w:val="24"/>
                <w:szCs w:val="24"/>
                <w:highlight w:val="none"/>
                <w:lang w:val="zh-CN" w:eastAsia="zh-CN" w:bidi="zh-CN"/>
              </w:rPr>
              <w:t>9、《关于运用政府采购政策支持脱贫攻坚的通知》（财库【2019】27号文）。  </w:t>
            </w:r>
          </w:p>
        </w:tc>
      </w:tr>
      <w:tr w14:paraId="711DD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34" w:type="dxa"/>
            <w:vAlign w:val="center"/>
          </w:tcPr>
          <w:p w14:paraId="076D4C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1269" w:type="dxa"/>
            <w:shd w:val="clear" w:color="auto" w:fill="auto"/>
            <w:vAlign w:val="center"/>
          </w:tcPr>
          <w:p w14:paraId="2DD29A2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评标方法</w:t>
            </w:r>
          </w:p>
        </w:tc>
        <w:tc>
          <w:tcPr>
            <w:tcW w:w="6915" w:type="dxa"/>
            <w:shd w:val="clear" w:color="auto" w:fill="auto"/>
            <w:vAlign w:val="center"/>
          </w:tcPr>
          <w:p w14:paraId="2C69BA1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综合评分法</w:t>
            </w:r>
          </w:p>
        </w:tc>
      </w:tr>
      <w:tr w14:paraId="1933A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34" w:type="dxa"/>
            <w:vAlign w:val="center"/>
          </w:tcPr>
          <w:p w14:paraId="2E23C5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w:t>
            </w:r>
          </w:p>
        </w:tc>
        <w:tc>
          <w:tcPr>
            <w:tcW w:w="1269" w:type="dxa"/>
            <w:shd w:val="clear" w:color="auto" w:fill="auto"/>
            <w:vAlign w:val="center"/>
          </w:tcPr>
          <w:p w14:paraId="22FAC5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分段质疑</w:t>
            </w:r>
          </w:p>
        </w:tc>
        <w:tc>
          <w:tcPr>
            <w:tcW w:w="6915" w:type="dxa"/>
            <w:shd w:val="clear" w:color="auto" w:fill="auto"/>
            <w:vAlign w:val="center"/>
          </w:tcPr>
          <w:p w14:paraId="7ACBE38F">
            <w:pPr>
              <w:pStyle w:val="44"/>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（1）供应商对招标文件有异议的，应在收到采购文件之日或者采购文件公告期限届满之日内提出；</w:t>
            </w:r>
          </w:p>
          <w:p w14:paraId="77F75AE5">
            <w:pPr>
              <w:pStyle w:val="44"/>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（2）供应商对开标有异议的，应在开标现场提出；</w:t>
            </w:r>
          </w:p>
          <w:p w14:paraId="091EC195">
            <w:pPr>
              <w:pStyle w:val="44"/>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（3）供应商对评标结果有异议的，应在中标候选人公示期间提出。</w:t>
            </w:r>
          </w:p>
        </w:tc>
      </w:tr>
      <w:tr w14:paraId="12C3C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34" w:type="dxa"/>
            <w:vAlign w:val="center"/>
          </w:tcPr>
          <w:p w14:paraId="21ED5AD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w:t>
            </w:r>
          </w:p>
        </w:tc>
        <w:tc>
          <w:tcPr>
            <w:tcW w:w="1269" w:type="dxa"/>
            <w:shd w:val="clear" w:color="auto" w:fill="auto"/>
            <w:vAlign w:val="center"/>
          </w:tcPr>
          <w:p w14:paraId="60101BC1">
            <w:pPr>
              <w:pStyle w:val="35"/>
              <w:keepNext w:val="0"/>
              <w:keepLines w:val="0"/>
              <w:suppressLineNumbers w:val="0"/>
              <w:spacing w:before="21" w:beforeAutospacing="0" w:after="0" w:afterAutospacing="0"/>
              <w:ind w:left="0" w:right="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评审小组</w:t>
            </w:r>
          </w:p>
          <w:p w14:paraId="0C755071">
            <w:pPr>
              <w:pStyle w:val="35"/>
              <w:keepNext w:val="0"/>
              <w:keepLines w:val="0"/>
              <w:suppressLineNumbers w:val="0"/>
              <w:spacing w:before="21" w:beforeAutospacing="0" w:after="0" w:afterAutospacing="0"/>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的组建</w:t>
            </w:r>
          </w:p>
        </w:tc>
        <w:tc>
          <w:tcPr>
            <w:tcW w:w="6915" w:type="dxa"/>
            <w:shd w:val="clear" w:color="auto" w:fill="auto"/>
            <w:vAlign w:val="center"/>
          </w:tcPr>
          <w:p w14:paraId="4F632B67">
            <w:pPr>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评审小组构成：共</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en-US"/>
              </w:rPr>
              <w:t>人，其中采购人代表</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val="en-US"/>
              </w:rPr>
              <w:t>人，政采云专家库中随机抽取</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en-US"/>
              </w:rPr>
              <w:t>人。</w:t>
            </w:r>
          </w:p>
        </w:tc>
      </w:tr>
      <w:tr w14:paraId="3BB91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34" w:type="dxa"/>
            <w:vAlign w:val="center"/>
          </w:tcPr>
          <w:p w14:paraId="0617AF2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1269" w:type="dxa"/>
            <w:shd w:val="clear" w:color="auto" w:fill="auto"/>
            <w:vAlign w:val="center"/>
          </w:tcPr>
          <w:p w14:paraId="7D51A59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其它</w:t>
            </w:r>
          </w:p>
        </w:tc>
        <w:tc>
          <w:tcPr>
            <w:tcW w:w="6915" w:type="dxa"/>
            <w:shd w:val="clear" w:color="auto" w:fill="auto"/>
            <w:vAlign w:val="center"/>
          </w:tcPr>
          <w:p w14:paraId="07E98EBF">
            <w:pPr>
              <w:pStyle w:val="35"/>
              <w:keepNext w:val="0"/>
              <w:keepLines w:val="0"/>
              <w:pageBreakBefore w:val="0"/>
              <w:widowControl w:val="0"/>
              <w:tabs>
                <w:tab w:val="left" w:pos="632"/>
              </w:tabs>
              <w:kinsoku/>
              <w:wordWrap/>
              <w:overflowPunct/>
              <w:topLinePunct w:val="0"/>
              <w:autoSpaceDE/>
              <w:autoSpaceDN/>
              <w:bidi w:val="0"/>
              <w:adjustRightInd w:val="0"/>
              <w:snapToGrid w:val="0"/>
              <w:spacing w:line="240" w:lineRule="auto"/>
              <w:ind w:left="107" w:right="-1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（1）投标供应商编制电子响应文件可参考《政府采购项目电子交易管理操作指南-供应商》，在政采云《帮助文档》下载；</w:t>
            </w:r>
          </w:p>
          <w:p w14:paraId="2A05BD5F">
            <w:pPr>
              <w:pStyle w:val="35"/>
              <w:keepNext w:val="0"/>
              <w:keepLines w:val="0"/>
              <w:pageBreakBefore w:val="0"/>
              <w:widowControl w:val="0"/>
              <w:tabs>
                <w:tab w:val="left" w:pos="632"/>
              </w:tabs>
              <w:kinsoku/>
              <w:wordWrap/>
              <w:overflowPunct/>
              <w:topLinePunct w:val="0"/>
              <w:autoSpaceDE/>
              <w:autoSpaceDN/>
              <w:bidi w:val="0"/>
              <w:adjustRightInd w:val="0"/>
              <w:snapToGrid w:val="0"/>
              <w:spacing w:line="240" w:lineRule="auto"/>
              <w:ind w:left="107" w:right="-1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开标时间到达后，开标主持人进行响应文件的解密操作。因供应商原因造成响应文件未解密成功的，视为撤销其响应文件；因供应商之外的原因造成响应文件未解密成功的，视为撤回其响应文件。部分响应文件未解密成功的，其他响应文件的开标可以继续进行。</w:t>
            </w:r>
          </w:p>
          <w:p w14:paraId="2FBEA15D">
            <w:pPr>
              <w:pStyle w:val="35"/>
              <w:keepNext w:val="0"/>
              <w:keepLines w:val="0"/>
              <w:pageBreakBefore w:val="0"/>
              <w:widowControl w:val="0"/>
              <w:tabs>
                <w:tab w:val="left" w:pos="632"/>
              </w:tabs>
              <w:kinsoku/>
              <w:wordWrap/>
              <w:overflowPunct/>
              <w:topLinePunct w:val="0"/>
              <w:autoSpaceDE/>
              <w:autoSpaceDN/>
              <w:bidi w:val="0"/>
              <w:adjustRightInd w:val="0"/>
              <w:snapToGrid w:val="0"/>
              <w:spacing w:line="240" w:lineRule="auto"/>
              <w:ind w:left="107" w:right="-1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（3）若递交响应文件家数少于三家或者开标后成功解密的家数少于三家的，将终止该标段的开标。</w:t>
            </w:r>
          </w:p>
          <w:p w14:paraId="72934EA9">
            <w:pPr>
              <w:pStyle w:val="35"/>
              <w:keepNext w:val="0"/>
              <w:keepLines w:val="0"/>
              <w:pageBreakBefore w:val="0"/>
              <w:widowControl w:val="0"/>
              <w:tabs>
                <w:tab w:val="left" w:pos="632"/>
              </w:tabs>
              <w:kinsoku/>
              <w:wordWrap/>
              <w:overflowPunct/>
              <w:topLinePunct w:val="0"/>
              <w:autoSpaceDE/>
              <w:autoSpaceDN/>
              <w:bidi w:val="0"/>
              <w:adjustRightInd w:val="0"/>
              <w:snapToGrid w:val="0"/>
              <w:spacing w:line="240" w:lineRule="auto"/>
              <w:ind w:left="107" w:right="-1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请投标单位提前自学线上开标流程；投标截止时间当天，线上开标环节，响应文件解密时长30分钟，请各投标单位请自带笔记本电脑及CA锁网上进行文件解密以及操作投标事项，请供应商提前调试好在线参标电脑各项配置。</w:t>
            </w:r>
          </w:p>
          <w:p w14:paraId="561C37A6">
            <w:pPr>
              <w:pStyle w:val="35"/>
              <w:keepNext w:val="0"/>
              <w:keepLines w:val="0"/>
              <w:pageBreakBefore w:val="0"/>
              <w:widowControl w:val="0"/>
              <w:tabs>
                <w:tab w:val="left" w:pos="632"/>
              </w:tabs>
              <w:kinsoku/>
              <w:wordWrap/>
              <w:overflowPunct/>
              <w:topLinePunct w:val="0"/>
              <w:autoSpaceDE/>
              <w:autoSpaceDN/>
              <w:bidi w:val="0"/>
              <w:adjustRightInd w:val="0"/>
              <w:snapToGrid w:val="0"/>
              <w:spacing w:line="240" w:lineRule="auto"/>
              <w:ind w:left="107" w:leftChars="0" w:right="-15" w:rightChars="0"/>
              <w:textAlignment w:val="auto"/>
              <w:outlineLvl w:val="9"/>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sz w:val="24"/>
                <w:szCs w:val="24"/>
                <w:highlight w:val="none"/>
              </w:rPr>
              <w:t>（5）本次采用政府采购云平台线上招标、投标，请各潜在供应商及时办理CA锁和学习政府采购云平台线上投标相关知识。请在政府采购云平台登录后，进行下载</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。请各供应商获取</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后及时关注云平台答疑文件获取栏目。具体相关事宜见政府采购云平台。本项目采用资格后审，请供应商仔细阅读</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和各项要求，制作文件及相关资料过程中，若因供应商资格条件不符、提供资料不全等原因导致响应文件予以退还，责任自负。</w:t>
            </w:r>
          </w:p>
        </w:tc>
      </w:tr>
      <w:tr w14:paraId="44F2E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5" w:hRule="atLeast"/>
          <w:jc w:val="center"/>
        </w:trPr>
        <w:tc>
          <w:tcPr>
            <w:tcW w:w="834" w:type="dxa"/>
            <w:vAlign w:val="center"/>
          </w:tcPr>
          <w:p w14:paraId="7A3C2AB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w:t>
            </w:r>
          </w:p>
        </w:tc>
        <w:tc>
          <w:tcPr>
            <w:tcW w:w="1269" w:type="dxa"/>
            <w:shd w:val="clear" w:color="auto" w:fill="auto"/>
            <w:vAlign w:val="center"/>
          </w:tcPr>
          <w:p w14:paraId="1D706989">
            <w:pPr>
              <w:keepNext w:val="0"/>
              <w:keepLines w:val="0"/>
              <w:pageBreakBefore w:val="0"/>
              <w:widowControl w:val="0"/>
              <w:kinsoku/>
              <w:wordWrap/>
              <w:overflowPunct/>
              <w:topLinePunct w:val="0"/>
              <w:autoSpaceDE/>
              <w:autoSpaceDN/>
              <w:bidi w:val="0"/>
              <w:snapToGrid/>
              <w:spacing w:line="24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标前准备</w:t>
            </w:r>
          </w:p>
        </w:tc>
        <w:tc>
          <w:tcPr>
            <w:tcW w:w="6915" w:type="dxa"/>
            <w:shd w:val="clear" w:color="auto" w:fill="auto"/>
            <w:vAlign w:val="center"/>
          </w:tcPr>
          <w:p w14:paraId="02DD8049">
            <w:pPr>
              <w:keepNext w:val="0"/>
              <w:keepLines w:val="0"/>
              <w:pageBreakBefore w:val="0"/>
              <w:widowControl w:val="0"/>
              <w:kinsoku/>
              <w:wordWrap/>
              <w:overflowPunct/>
              <w:topLinePunct w:val="0"/>
              <w:autoSpaceDE/>
              <w:autoSpaceDN/>
              <w:bidi w:val="0"/>
              <w:snapToGrid/>
              <w:spacing w:line="240" w:lineRule="auto"/>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1、本项目实行网上投标，采用电子响应文件。若供应商参与投标，自行承担投标一切费用。</w:t>
            </w:r>
          </w:p>
          <w:p w14:paraId="3D4FE0CA">
            <w:pPr>
              <w:keepNext w:val="0"/>
              <w:keepLines w:val="0"/>
              <w:pageBreakBefore w:val="0"/>
              <w:widowControl w:val="0"/>
              <w:kinsoku/>
              <w:wordWrap/>
              <w:overflowPunct/>
              <w:topLinePunct w:val="0"/>
              <w:autoSpaceDE/>
              <w:autoSpaceDN/>
              <w:bidi w:val="0"/>
              <w:snapToGrid/>
              <w:spacing w:line="240" w:lineRule="auto"/>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162EC224">
            <w:pPr>
              <w:keepNext w:val="0"/>
              <w:keepLines w:val="0"/>
              <w:pageBreakBefore w:val="0"/>
              <w:widowControl w:val="0"/>
              <w:kinsoku/>
              <w:wordWrap/>
              <w:overflowPunct/>
              <w:topLinePunct w:val="0"/>
              <w:autoSpaceDE/>
              <w:autoSpaceDN/>
              <w:bidi w:val="0"/>
              <w:snapToGrid/>
              <w:spacing w:line="240" w:lineRule="auto"/>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3、供应商将政采云电子交易客户端下载、安装完成后，可通过账号密码或CA登录客户端进行响应文件制作。在使用政采云投标客户端时，建议使用WIN7及以上操作系统。客户端请至新疆政府采购网（</w:t>
            </w: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"http://www.ccgp-xinjiang.gov.cn/"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http://www.ccgp-xinjiang.gov.cn/</w:t>
            </w:r>
            <w:r>
              <w:rPr>
                <w:rFonts w:hint="eastAsia" w:ascii="仿宋" w:hAnsi="仿宋" w:eastAsia="仿宋" w:cs="仿宋"/>
                <w:color w:val="auto"/>
                <w:sz w:val="24"/>
                <w:szCs w:val="24"/>
                <w:highlight w:val="none"/>
                <w:lang w:eastAsia="zh-CN"/>
              </w:rPr>
              <w:fldChar w:fldCharType="end"/>
            </w:r>
            <w:r>
              <w:rPr>
                <w:rFonts w:hint="eastAsia" w:ascii="仿宋" w:hAnsi="仿宋" w:eastAsia="仿宋" w:cs="仿宋"/>
                <w:color w:val="auto"/>
                <w:sz w:val="24"/>
                <w:szCs w:val="24"/>
                <w:highlight w:val="none"/>
                <w:lang w:eastAsia="zh-CN"/>
              </w:rPr>
              <w:t>）下载专区查看，如有问题可拨打政采云客户服务热线95763进行咨询。</w:t>
            </w:r>
          </w:p>
        </w:tc>
      </w:tr>
      <w:tr w14:paraId="04003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834" w:type="dxa"/>
            <w:tcBorders>
              <w:bottom w:val="single" w:color="auto" w:sz="4" w:space="0"/>
            </w:tcBorders>
            <w:vAlign w:val="center"/>
          </w:tcPr>
          <w:p w14:paraId="040B3EE3">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8184" w:type="dxa"/>
            <w:gridSpan w:val="2"/>
            <w:tcBorders>
              <w:bottom w:val="single" w:color="auto" w:sz="4" w:space="0"/>
            </w:tcBorders>
            <w:vAlign w:val="center"/>
          </w:tcPr>
          <w:p w14:paraId="13D2F434">
            <w:pPr>
              <w:pStyle w:val="44"/>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备注一：</w:t>
            </w:r>
          </w:p>
          <w:p w14:paraId="7E1F85E2">
            <w:pPr>
              <w:pStyle w:val="44"/>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中关于废标、无效标、投标被拒绝等字样的条款，为招标的实质性要求和条件，着重提醒各供应商注意，并认真查看</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中的每一个条款及要求，因误读</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而造成的后果，采购人概不负责。</w:t>
            </w:r>
          </w:p>
          <w:p w14:paraId="6FE6C43B">
            <w:pPr>
              <w:pStyle w:val="44"/>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文件中有弄虚作假的内容，其响应文件作废。（如假证书、假业绩、隐瞒不良行为记录、夸大荣誉、使用非本单位在职员工的相关证件及不符合采购文件规定的条款等）；在签订合同之前，采购人如发现竞标人的响应文件有弄虚作假内容，采购人可拒绝与其签订合同。并将其列入政府采购黑名单库。</w:t>
            </w:r>
          </w:p>
          <w:p w14:paraId="43F06E25">
            <w:pPr>
              <w:pStyle w:val="44"/>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3、本项目所属行业为零售业。</w:t>
            </w:r>
          </w:p>
          <w:p w14:paraId="5AC1566C">
            <w:pPr>
              <w:pStyle w:val="44"/>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备注二：</w:t>
            </w:r>
          </w:p>
          <w:p w14:paraId="447E4E24">
            <w:pPr>
              <w:pStyle w:val="35"/>
              <w:spacing w:before="21"/>
              <w:jc w:val="left"/>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1、中标单位在领取成交通知书前向招标代理机构支付本项目的中标服务费。收费标准按国计【2015】299号文计取；</w:t>
            </w:r>
          </w:p>
          <w:p w14:paraId="4666F006">
            <w:pPr>
              <w:pStyle w:val="35"/>
              <w:spacing w:before="21"/>
              <w:jc w:val="left"/>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2.场地费、评审专家劳务报酬由中标人支付。评审专家劳务报酬计算方法及支付标准执行巴财购【2018】6号文《关于自治州政府采购专家评审费标准及支付方式的通知》</w:t>
            </w:r>
          </w:p>
          <w:p w14:paraId="15812797">
            <w:pPr>
              <w:pStyle w:val="44"/>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正常情况下，依据电子响应文件进行评标;当停电或系统故障及不可抗力情况，该项目可根据情况另择时间进行开、评标。</w:t>
            </w:r>
          </w:p>
          <w:p w14:paraId="15D356D5">
            <w:pPr>
              <w:pStyle w:val="44"/>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有下列情况之一的，该供应商的响应文件将被拒绝：</w:t>
            </w:r>
          </w:p>
          <w:p w14:paraId="27A21CC6">
            <w:pPr>
              <w:pStyle w:val="44"/>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（1）使用非供应商自有的政采云电子投标客户端编制电子响应文件；</w:t>
            </w:r>
          </w:p>
          <w:p w14:paraId="5B38C493">
            <w:pPr>
              <w:pStyle w:val="44"/>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（2）政采云上传响应文件在开标现场均无法正常解锁；</w:t>
            </w:r>
          </w:p>
          <w:p w14:paraId="1FDD15C6">
            <w:pPr>
              <w:pStyle w:val="44"/>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（3）因供应商自身原因导致电子响应文件无法正常进入电子评标环节的其他情况</w:t>
            </w:r>
          </w:p>
        </w:tc>
      </w:tr>
      <w:tr w14:paraId="0611F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9018" w:type="dxa"/>
            <w:gridSpan w:val="3"/>
            <w:tcBorders>
              <w:top w:val="single" w:color="auto" w:sz="4" w:space="0"/>
            </w:tcBorders>
            <w:vAlign w:val="center"/>
          </w:tcPr>
          <w:p w14:paraId="07C1D754">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的同时不得耽误本项目供货。</w:t>
            </w:r>
          </w:p>
        </w:tc>
      </w:tr>
    </w:tbl>
    <w:p w14:paraId="1A07AF90">
      <w:pPr>
        <w:pStyle w:val="35"/>
        <w:spacing w:before="21"/>
        <w:jc w:val="left"/>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注：1.本表内容与</w:t>
      </w:r>
      <w:r>
        <w:rPr>
          <w:rFonts w:hint="eastAsia" w:ascii="仿宋" w:hAnsi="仿宋" w:eastAsia="仿宋" w:cs="仿宋"/>
          <w:color w:val="auto"/>
          <w:sz w:val="24"/>
          <w:szCs w:val="24"/>
          <w:highlight w:val="none"/>
          <w:lang w:val="en-US" w:eastAsia="zh-CN"/>
        </w:rPr>
        <w:t>招标文件</w:t>
      </w:r>
      <w:r>
        <w:rPr>
          <w:rFonts w:hint="eastAsia" w:ascii="仿宋" w:hAnsi="仿宋" w:eastAsia="仿宋" w:cs="仿宋"/>
          <w:color w:val="auto"/>
          <w:sz w:val="24"/>
          <w:szCs w:val="24"/>
          <w:highlight w:val="none"/>
          <w:lang w:val="en-US"/>
        </w:rPr>
        <w:t>其它内容不一致的，应当以本表内容为准。</w:t>
      </w:r>
    </w:p>
    <w:p w14:paraId="57863E7D">
      <w:pPr>
        <w:pStyle w:val="35"/>
        <w:spacing w:before="21"/>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rPr>
        <w:t>2.本表中“</w:t>
      </w:r>
      <w:r>
        <w:rPr>
          <w:rFonts w:hint="eastAsia" w:ascii="仿宋" w:hAnsi="仿宋" w:eastAsia="仿宋" w:cs="仿宋"/>
          <w:color w:val="auto"/>
          <w:sz w:val="24"/>
          <w:szCs w:val="24"/>
          <w:highlight w:val="none"/>
          <w:lang w:val="en-US"/>
        </w:rPr>
        <w:sym w:font="Wingdings" w:char="00FE"/>
      </w:r>
      <w:r>
        <w:rPr>
          <w:rFonts w:hint="eastAsia" w:ascii="仿宋" w:hAnsi="仿宋" w:eastAsia="仿宋" w:cs="仿宋"/>
          <w:color w:val="auto"/>
          <w:sz w:val="24"/>
          <w:szCs w:val="24"/>
          <w:highlight w:val="none"/>
          <w:lang w:val="en-US"/>
        </w:rPr>
        <w:t>”标示选择使用该项，“□”标示不选择使用该项。</w:t>
      </w:r>
    </w:p>
    <w:p w14:paraId="7D802FA5">
      <w:pPr>
        <w:outlineLvl w:val="9"/>
        <w:rPr>
          <w:rFonts w:hint="eastAsia" w:ascii="仿宋" w:hAnsi="仿宋" w:eastAsia="仿宋" w:cs="仿宋"/>
          <w:b/>
          <w:color w:val="auto"/>
          <w:sz w:val="36"/>
          <w:highlight w:val="none"/>
        </w:rPr>
      </w:pPr>
    </w:p>
    <w:p w14:paraId="3B0A91CF">
      <w:pPr>
        <w:rPr>
          <w:rFonts w:hint="eastAsia" w:ascii="仿宋" w:hAnsi="仿宋" w:eastAsia="仿宋" w:cs="仿宋"/>
          <w:b/>
          <w:color w:val="auto"/>
          <w:sz w:val="36"/>
          <w:szCs w:val="36"/>
          <w:highlight w:val="none"/>
          <w:lang w:val="en-US" w:eastAsia="zh-CN" w:bidi="ar-SA"/>
        </w:rPr>
      </w:pPr>
      <w:r>
        <w:rPr>
          <w:rFonts w:hint="eastAsia" w:ascii="仿宋" w:hAnsi="仿宋" w:eastAsia="仿宋" w:cs="仿宋"/>
          <w:b/>
          <w:color w:val="auto"/>
          <w:sz w:val="36"/>
          <w:szCs w:val="36"/>
          <w:highlight w:val="none"/>
          <w:lang w:val="en-US" w:eastAsia="zh-CN" w:bidi="ar-SA"/>
        </w:rPr>
        <w:br w:type="page"/>
      </w:r>
    </w:p>
    <w:p w14:paraId="45CB8A57">
      <w:pPr>
        <w:pStyle w:val="13"/>
        <w:numPr>
          <w:ilvl w:val="0"/>
          <w:numId w:val="3"/>
        </w:numPr>
        <w:spacing w:line="360" w:lineRule="auto"/>
        <w:ind w:firstLine="0"/>
        <w:jc w:val="center"/>
        <w:outlineLvl w:val="0"/>
        <w:rPr>
          <w:rFonts w:hint="eastAsia" w:ascii="仿宋" w:hAnsi="仿宋" w:eastAsia="仿宋" w:cs="仿宋"/>
          <w:b/>
          <w:color w:val="auto"/>
          <w:sz w:val="36"/>
          <w:szCs w:val="36"/>
          <w:highlight w:val="none"/>
          <w:lang w:val="en-US" w:eastAsia="zh-CN" w:bidi="ar-SA"/>
        </w:rPr>
      </w:pPr>
      <w:r>
        <w:rPr>
          <w:rFonts w:hint="eastAsia" w:ascii="仿宋" w:hAnsi="仿宋" w:eastAsia="仿宋" w:cs="仿宋"/>
          <w:b/>
          <w:color w:val="auto"/>
          <w:sz w:val="36"/>
          <w:szCs w:val="36"/>
          <w:highlight w:val="none"/>
          <w:lang w:val="en-US" w:eastAsia="zh-CN" w:bidi="ar-SA"/>
        </w:rPr>
        <w:t>货物需求、技术规格说明</w:t>
      </w:r>
    </w:p>
    <w:p w14:paraId="03813DFF">
      <w:pPr>
        <w:pStyle w:val="3"/>
        <w:pageBreakBefore w:val="0"/>
        <w:widowControl w:val="0"/>
        <w:kinsoku/>
        <w:wordWrap/>
        <w:overflowPunct/>
        <w:topLinePunct w:val="0"/>
        <w:autoSpaceDE/>
        <w:autoSpaceDN/>
        <w:bidi w:val="0"/>
        <w:adjustRightInd w:val="0"/>
        <w:snapToGrid w:val="0"/>
        <w:spacing w:before="0" w:after="0" w:line="360" w:lineRule="auto"/>
        <w:ind w:left="0" w:leftChars="0" w:firstLine="482" w:firstLineChars="20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一、采购清单（详见清单附件）</w:t>
      </w:r>
    </w:p>
    <w:p w14:paraId="7D404C72">
      <w:pPr>
        <w:pStyle w:val="3"/>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firstLine="482"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二、</w:t>
      </w:r>
      <w:r>
        <w:rPr>
          <w:rFonts w:hint="eastAsia" w:ascii="仿宋" w:hAnsi="仿宋" w:eastAsia="仿宋" w:cs="仿宋"/>
          <w:color w:val="auto"/>
          <w:sz w:val="24"/>
          <w:szCs w:val="24"/>
          <w:highlight w:val="none"/>
          <w:lang w:val="en-US" w:eastAsia="zh-CN"/>
        </w:rPr>
        <w:t>其他要求：</w:t>
      </w:r>
    </w:p>
    <w:p w14:paraId="5FA1148E">
      <w:pPr>
        <w:pStyle w:val="3"/>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工期要求</w:t>
      </w:r>
    </w:p>
    <w:p w14:paraId="7111BF91">
      <w:pPr>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签订合同后</w:t>
      </w:r>
      <w:r>
        <w:rPr>
          <w:rFonts w:hint="eastAsia" w:ascii="仿宋" w:hAnsi="仿宋" w:eastAsia="仿宋" w:cs="仿宋"/>
          <w:color w:val="auto"/>
          <w:sz w:val="24"/>
          <w:szCs w:val="24"/>
          <w:highlight w:val="none"/>
          <w:lang w:eastAsia="zh-CN"/>
        </w:rPr>
        <w:t>15天完成供货及安装</w:t>
      </w:r>
      <w:r>
        <w:rPr>
          <w:rFonts w:hint="eastAsia" w:ascii="仿宋" w:hAnsi="仿宋" w:eastAsia="仿宋" w:cs="仿宋"/>
          <w:bCs/>
          <w:color w:val="auto"/>
          <w:sz w:val="24"/>
          <w:szCs w:val="24"/>
          <w:highlight w:val="none"/>
        </w:rPr>
        <w:t>。</w:t>
      </w:r>
    </w:p>
    <w:p w14:paraId="7CDA4772">
      <w:pPr>
        <w:pageBreakBefore w:val="0"/>
        <w:widowControl w:val="0"/>
        <w:kinsoku/>
        <w:wordWrap/>
        <w:overflowPunct/>
        <w:topLinePunct w:val="0"/>
        <w:autoSpaceDE/>
        <w:autoSpaceDN/>
        <w:bidi w:val="0"/>
        <w:adjustRightInd w:val="0"/>
        <w:snapToGrid w:val="0"/>
        <w:spacing w:line="360" w:lineRule="auto"/>
        <w:ind w:left="0" w:leftChars="0" w:firstLine="482" w:firstLineChars="200"/>
        <w:jc w:val="left"/>
        <w:textAlignment w:val="auto"/>
        <w:rPr>
          <w:rFonts w:hint="default" w:ascii="仿宋" w:hAnsi="仿宋" w:eastAsia="仿宋" w:cs="仿宋"/>
          <w:b/>
          <w:bCs w:val="0"/>
          <w:color w:val="FF0000"/>
          <w:sz w:val="24"/>
          <w:szCs w:val="24"/>
          <w:highlight w:val="none"/>
          <w:lang w:val="en-US" w:eastAsia="zh-CN"/>
        </w:rPr>
      </w:pPr>
      <w:bookmarkStart w:id="0" w:name="_Toc440790357"/>
      <w:r>
        <w:rPr>
          <w:rFonts w:hint="eastAsia" w:ascii="仿宋" w:hAnsi="仿宋" w:eastAsia="仿宋" w:cs="仿宋"/>
          <w:b/>
          <w:bCs w:val="0"/>
          <w:color w:val="FF0000"/>
          <w:sz w:val="24"/>
          <w:szCs w:val="24"/>
          <w:highlight w:val="none"/>
          <w:lang w:val="en-US" w:eastAsia="zh-CN"/>
        </w:rPr>
        <w:t>备注：以甲方签订合同为准，根据甲方要求，提前一个星期告知供应商准备供货，需在库尔勒市有库房可提前存放所需货物以备验货。</w:t>
      </w:r>
    </w:p>
    <w:p w14:paraId="3883DEF9">
      <w:pPr>
        <w:pStyle w:val="3"/>
        <w:pageBreakBefore w:val="0"/>
        <w:widowControl w:val="0"/>
        <w:kinsoku/>
        <w:wordWrap/>
        <w:overflowPunct/>
        <w:topLinePunct w:val="0"/>
        <w:autoSpaceDE/>
        <w:autoSpaceDN/>
        <w:bidi w:val="0"/>
        <w:adjustRightInd w:val="0"/>
        <w:snapToGrid w:val="0"/>
        <w:spacing w:before="0" w:after="0" w:line="360" w:lineRule="auto"/>
        <w:ind w:left="0"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交货和安装地点</w:t>
      </w:r>
      <w:bookmarkEnd w:id="0"/>
    </w:p>
    <w:p w14:paraId="2A2F482E">
      <w:pPr>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1、供应商负责材料供货从产地至现场，并负责卸货，完成施工、安装、改造、调试、验收。</w:t>
      </w:r>
    </w:p>
    <w:p w14:paraId="7761E0E7">
      <w:pPr>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2、安装地点：</w:t>
      </w:r>
      <w:r>
        <w:rPr>
          <w:rFonts w:hint="eastAsia" w:ascii="仿宋" w:hAnsi="仿宋" w:eastAsia="仿宋" w:cs="仿宋"/>
          <w:color w:val="auto"/>
          <w:sz w:val="24"/>
          <w:szCs w:val="24"/>
          <w:highlight w:val="none"/>
          <w:lang w:val="en-US" w:eastAsia="zh-CN"/>
        </w:rPr>
        <w:t>库尔勒市第三十七幼儿园</w:t>
      </w:r>
      <w:r>
        <w:rPr>
          <w:rFonts w:hint="eastAsia" w:ascii="仿宋" w:hAnsi="仿宋" w:eastAsia="仿宋" w:cs="仿宋"/>
          <w:color w:val="auto"/>
          <w:sz w:val="24"/>
          <w:szCs w:val="24"/>
          <w:highlight w:val="none"/>
          <w:lang w:eastAsia="zh-CN"/>
        </w:rPr>
        <w:t>。</w:t>
      </w:r>
    </w:p>
    <w:p w14:paraId="69A8A67A">
      <w:pPr>
        <w:pStyle w:val="3"/>
        <w:pageBreakBefore w:val="0"/>
        <w:widowControl w:val="0"/>
        <w:kinsoku/>
        <w:wordWrap/>
        <w:overflowPunct/>
        <w:topLinePunct w:val="0"/>
        <w:autoSpaceDE/>
        <w:autoSpaceDN/>
        <w:bidi w:val="0"/>
        <w:adjustRightInd w:val="0"/>
        <w:snapToGrid w:val="0"/>
        <w:spacing w:before="0" w:after="0" w:line="360" w:lineRule="auto"/>
        <w:ind w:left="0" w:leftChars="0" w:firstLine="482" w:firstLineChars="200"/>
        <w:jc w:val="left"/>
        <w:textAlignment w:val="auto"/>
        <w:rPr>
          <w:rFonts w:hint="eastAsia" w:ascii="仿宋" w:hAnsi="仿宋" w:eastAsia="仿宋" w:cs="仿宋"/>
          <w:color w:val="auto"/>
          <w:sz w:val="24"/>
          <w:szCs w:val="24"/>
          <w:highlight w:val="none"/>
        </w:rPr>
      </w:pPr>
      <w:bookmarkStart w:id="1" w:name="_Toc440790358"/>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到货验收</w:t>
      </w:r>
      <w:bookmarkEnd w:id="1"/>
    </w:p>
    <w:p w14:paraId="7886E9BB">
      <w:pPr>
        <w:pageBreakBefore w:val="0"/>
        <w:widowControl w:val="0"/>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仿宋" w:hAnsi="仿宋" w:eastAsia="仿宋" w:cs="仿宋"/>
          <w:b/>
          <w:bCs/>
          <w:color w:val="FF0000"/>
          <w:sz w:val="24"/>
          <w:szCs w:val="24"/>
          <w:highlight w:val="none"/>
        </w:rPr>
      </w:pPr>
      <w:r>
        <w:rPr>
          <w:rFonts w:hint="eastAsia" w:ascii="仿宋" w:hAnsi="仿宋" w:eastAsia="仿宋" w:cs="仿宋"/>
          <w:b/>
          <w:bCs/>
          <w:color w:val="FF0000"/>
          <w:sz w:val="24"/>
          <w:szCs w:val="24"/>
          <w:highlight w:val="none"/>
        </w:rPr>
        <w:t>1、供应商应</w:t>
      </w:r>
      <w:r>
        <w:rPr>
          <w:rFonts w:hint="eastAsia" w:ascii="仿宋" w:hAnsi="仿宋" w:eastAsia="仿宋" w:cs="仿宋"/>
          <w:b/>
          <w:bCs/>
          <w:color w:val="FF0000"/>
          <w:sz w:val="24"/>
          <w:szCs w:val="24"/>
          <w:highlight w:val="none"/>
          <w:lang w:val="en-US" w:eastAsia="zh-CN"/>
        </w:rPr>
        <w:t>委派专家</w:t>
      </w:r>
      <w:r>
        <w:rPr>
          <w:rFonts w:hint="eastAsia" w:ascii="仿宋" w:hAnsi="仿宋" w:eastAsia="仿宋" w:cs="仿宋"/>
          <w:b/>
          <w:bCs/>
          <w:color w:val="FF0000"/>
          <w:sz w:val="24"/>
          <w:szCs w:val="24"/>
          <w:highlight w:val="none"/>
        </w:rPr>
        <w:t>在所供产品到现场时，进行到货验收。若发现任何损坏及质量问题，供应商应负责更换，并妥善处理直至采购人满意。</w:t>
      </w:r>
    </w:p>
    <w:p w14:paraId="3DF62A61">
      <w:pPr>
        <w:pageBreakBefore w:val="0"/>
        <w:widowControl w:val="0"/>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仿宋" w:hAnsi="仿宋" w:eastAsia="仿宋" w:cs="仿宋"/>
          <w:b/>
          <w:bCs/>
          <w:color w:val="FF0000"/>
          <w:sz w:val="24"/>
          <w:szCs w:val="24"/>
          <w:highlight w:val="none"/>
        </w:rPr>
      </w:pPr>
      <w:r>
        <w:rPr>
          <w:rFonts w:hint="eastAsia" w:ascii="仿宋" w:hAnsi="仿宋" w:eastAsia="仿宋" w:cs="仿宋"/>
          <w:b/>
          <w:bCs/>
          <w:color w:val="FF0000"/>
          <w:sz w:val="24"/>
          <w:szCs w:val="24"/>
          <w:highlight w:val="none"/>
          <w:lang w:val="en-US" w:eastAsia="zh-CN"/>
        </w:rPr>
        <w:t>2、</w:t>
      </w:r>
      <w:r>
        <w:rPr>
          <w:rFonts w:hint="eastAsia" w:ascii="仿宋" w:hAnsi="仿宋" w:eastAsia="仿宋" w:cs="仿宋"/>
          <w:b/>
          <w:bCs/>
          <w:color w:val="FF0000"/>
          <w:sz w:val="24"/>
          <w:szCs w:val="24"/>
          <w:highlight w:val="none"/>
        </w:rPr>
        <w:t>此工作所发生费用</w:t>
      </w:r>
      <w:r>
        <w:rPr>
          <w:rFonts w:hint="eastAsia" w:ascii="仿宋" w:hAnsi="仿宋" w:eastAsia="仿宋" w:cs="仿宋"/>
          <w:b/>
          <w:bCs/>
          <w:color w:val="FF0000"/>
          <w:sz w:val="24"/>
          <w:szCs w:val="24"/>
          <w:highlight w:val="none"/>
          <w:lang w:eastAsia="zh-CN"/>
        </w:rPr>
        <w:t>（</w:t>
      </w:r>
      <w:r>
        <w:rPr>
          <w:rFonts w:hint="eastAsia" w:ascii="仿宋" w:hAnsi="仿宋" w:eastAsia="仿宋" w:cs="仿宋"/>
          <w:b/>
          <w:bCs/>
          <w:color w:val="FF0000"/>
          <w:sz w:val="24"/>
          <w:szCs w:val="24"/>
          <w:highlight w:val="none"/>
          <w:lang w:val="en-US" w:eastAsia="zh-CN"/>
        </w:rPr>
        <w:t>委派专家验收费用</w:t>
      </w:r>
      <w:r>
        <w:rPr>
          <w:rFonts w:hint="eastAsia" w:ascii="仿宋" w:hAnsi="仿宋" w:eastAsia="仿宋" w:cs="仿宋"/>
          <w:b/>
          <w:bCs/>
          <w:color w:val="FF0000"/>
          <w:sz w:val="24"/>
          <w:szCs w:val="24"/>
          <w:highlight w:val="none"/>
          <w:lang w:eastAsia="zh-CN"/>
        </w:rPr>
        <w:t>）</w:t>
      </w:r>
      <w:r>
        <w:rPr>
          <w:rFonts w:hint="eastAsia" w:ascii="仿宋" w:hAnsi="仿宋" w:eastAsia="仿宋" w:cs="仿宋"/>
          <w:b/>
          <w:bCs/>
          <w:color w:val="FF0000"/>
          <w:sz w:val="24"/>
          <w:szCs w:val="24"/>
          <w:highlight w:val="none"/>
        </w:rPr>
        <w:t>应由供应商自行承担。</w:t>
      </w:r>
    </w:p>
    <w:p w14:paraId="09B27B20">
      <w:pPr>
        <w:pStyle w:val="3"/>
        <w:pageBreakBefore w:val="0"/>
        <w:widowControl w:val="0"/>
        <w:kinsoku/>
        <w:wordWrap/>
        <w:overflowPunct/>
        <w:topLinePunct w:val="0"/>
        <w:autoSpaceDE/>
        <w:autoSpaceDN/>
        <w:bidi w:val="0"/>
        <w:adjustRightInd w:val="0"/>
        <w:snapToGrid w:val="0"/>
        <w:spacing w:before="0" w:after="0" w:line="360" w:lineRule="auto"/>
        <w:ind w:left="0" w:leftChars="0" w:firstLine="482" w:firstLineChars="200"/>
        <w:jc w:val="left"/>
        <w:textAlignment w:val="auto"/>
        <w:rPr>
          <w:rFonts w:hint="eastAsia" w:ascii="仿宋" w:hAnsi="仿宋" w:eastAsia="仿宋" w:cs="仿宋"/>
          <w:color w:val="auto"/>
          <w:sz w:val="24"/>
          <w:szCs w:val="24"/>
          <w:highlight w:val="none"/>
        </w:rPr>
      </w:pPr>
      <w:bookmarkStart w:id="2" w:name="_Toc440790359"/>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安装调试工作</w:t>
      </w:r>
      <w:bookmarkEnd w:id="2"/>
    </w:p>
    <w:p w14:paraId="09F0DC18">
      <w:pPr>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1、产品安装调试由供应商负责，应使用训练有素的安装人员，安装结束且工作情况良好，在采购人同意后，将执行调试工作。</w:t>
      </w:r>
    </w:p>
    <w:p w14:paraId="699FE47A">
      <w:pPr>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2、供应商应派遣</w:t>
      </w:r>
      <w:r>
        <w:rPr>
          <w:rFonts w:hint="eastAsia" w:ascii="仿宋" w:hAnsi="仿宋" w:eastAsia="仿宋" w:cs="仿宋"/>
          <w:color w:val="auto"/>
          <w:sz w:val="24"/>
          <w:szCs w:val="24"/>
          <w:highlight w:val="none"/>
          <w:lang w:val="en-US" w:eastAsia="zh-CN"/>
        </w:rPr>
        <w:t>具有相关</w:t>
      </w:r>
      <w:r>
        <w:rPr>
          <w:rFonts w:hint="eastAsia" w:ascii="仿宋" w:hAnsi="仿宋" w:eastAsia="仿宋" w:cs="仿宋"/>
          <w:color w:val="auto"/>
          <w:sz w:val="24"/>
          <w:szCs w:val="24"/>
          <w:highlight w:val="none"/>
        </w:rPr>
        <w:t>实践经验的工程师或技术人员与采购人一起进行设备的调试工作。</w:t>
      </w:r>
    </w:p>
    <w:p w14:paraId="51D78704">
      <w:pPr>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3、在调试期间供应商应在现场负责测试和调试，并提供所有测试和调试所需的工具、材料、仪器和劳务人员，一切费用由供应商负责。</w:t>
      </w:r>
    </w:p>
    <w:p w14:paraId="3422CACF">
      <w:pPr>
        <w:pStyle w:val="3"/>
        <w:pageBreakBefore w:val="0"/>
        <w:widowControl w:val="0"/>
        <w:kinsoku/>
        <w:wordWrap/>
        <w:overflowPunct/>
        <w:topLinePunct w:val="0"/>
        <w:autoSpaceDE/>
        <w:autoSpaceDN/>
        <w:bidi w:val="0"/>
        <w:adjustRightInd w:val="0"/>
        <w:snapToGrid w:val="0"/>
        <w:spacing w:before="0" w:after="0" w:line="360" w:lineRule="auto"/>
        <w:ind w:left="0" w:leftChars="0" w:firstLine="482" w:firstLineChars="200"/>
        <w:jc w:val="left"/>
        <w:textAlignment w:val="auto"/>
        <w:rPr>
          <w:rFonts w:hint="eastAsia" w:ascii="仿宋" w:hAnsi="仿宋" w:eastAsia="仿宋" w:cs="仿宋"/>
          <w:color w:val="auto"/>
          <w:sz w:val="24"/>
          <w:szCs w:val="24"/>
          <w:highlight w:val="none"/>
        </w:rPr>
      </w:pPr>
      <w:bookmarkStart w:id="3" w:name="_Toc440790360"/>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验收</w:t>
      </w:r>
      <w:bookmarkEnd w:id="3"/>
    </w:p>
    <w:p w14:paraId="2DD9B498">
      <w:pPr>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1、产品保护：供应商在验收合格并正常运行两周内有责任对材料设备的成品保护、维护负责。</w:t>
      </w:r>
    </w:p>
    <w:p w14:paraId="1C640D09">
      <w:pPr>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2、验收合格条件</w:t>
      </w:r>
    </w:p>
    <w:p w14:paraId="26406FC2">
      <w:pPr>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（1）在进行测试、试运行及竣工验收运行过程中发生的故障和发现的隐患已被排除并得到采购人认可。</w:t>
      </w:r>
    </w:p>
    <w:p w14:paraId="2B1642E7">
      <w:pPr>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auto"/>
          <w:sz w:val="24"/>
          <w:szCs w:val="24"/>
          <w:highlight w:val="none"/>
        </w:rPr>
      </w:pPr>
    </w:p>
    <w:p w14:paraId="110D51AB">
      <w:pPr>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所有合同中规定的货物和资料都已提交</w:t>
      </w:r>
      <w:r>
        <w:rPr>
          <w:rFonts w:hint="eastAsia" w:ascii="仿宋" w:hAnsi="仿宋" w:eastAsia="仿宋" w:cs="仿宋"/>
          <w:color w:val="auto"/>
          <w:sz w:val="24"/>
          <w:szCs w:val="24"/>
          <w:highlight w:val="none"/>
          <w:lang w:eastAsia="zh-CN"/>
        </w:rPr>
        <w:t>。</w:t>
      </w:r>
    </w:p>
    <w:p w14:paraId="022BFE68">
      <w:pPr>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双方共同签署验收合格证书。</w:t>
      </w:r>
    </w:p>
    <w:p w14:paraId="77016D4E">
      <w:pPr>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（4）供应商应对采购人工作人员提供操作及维修培训，直到培训合格。培训的费用由供应商承担。</w:t>
      </w:r>
    </w:p>
    <w:p w14:paraId="2E2F0A78">
      <w:pPr>
        <w:pStyle w:val="3"/>
        <w:pageBreakBefore w:val="0"/>
        <w:widowControl w:val="0"/>
        <w:kinsoku/>
        <w:wordWrap/>
        <w:overflowPunct/>
        <w:topLinePunct w:val="0"/>
        <w:autoSpaceDE/>
        <w:autoSpaceDN/>
        <w:bidi w:val="0"/>
        <w:adjustRightInd w:val="0"/>
        <w:snapToGrid w:val="0"/>
        <w:spacing w:before="0" w:after="0" w:line="360" w:lineRule="auto"/>
        <w:ind w:left="0" w:leftChars="0" w:firstLine="482" w:firstLineChars="200"/>
        <w:jc w:val="left"/>
        <w:textAlignment w:val="auto"/>
        <w:rPr>
          <w:rFonts w:hint="eastAsia" w:ascii="仿宋" w:hAnsi="仿宋" w:eastAsia="仿宋" w:cs="仿宋"/>
          <w:color w:val="auto"/>
          <w:sz w:val="24"/>
          <w:szCs w:val="24"/>
          <w:highlight w:val="none"/>
          <w:lang w:val="en-US" w:eastAsia="zh-CN"/>
        </w:rPr>
      </w:pPr>
      <w:bookmarkStart w:id="4" w:name="_Toc440790362"/>
      <w:r>
        <w:rPr>
          <w:rFonts w:hint="eastAsia" w:ascii="仿宋" w:hAnsi="仿宋" w:eastAsia="仿宋" w:cs="仿宋"/>
          <w:color w:val="auto"/>
          <w:sz w:val="24"/>
          <w:szCs w:val="24"/>
          <w:highlight w:val="none"/>
          <w:lang w:val="en-US" w:eastAsia="zh-CN"/>
        </w:rPr>
        <w:t>（六）商务条款</w:t>
      </w:r>
    </w:p>
    <w:p w14:paraId="4584CF19">
      <w:pPr>
        <w:pageBreakBefore w:val="0"/>
        <w:widowControl w:val="0"/>
        <w:kinsoku/>
        <w:wordWrap/>
        <w:overflowPunct/>
        <w:topLinePunct w:val="0"/>
        <w:autoSpaceDE/>
        <w:autoSpaceDN/>
        <w:bidi w:val="0"/>
        <w:adjustRightInd w:val="0"/>
        <w:snapToGrid w:val="0"/>
        <w:spacing w:before="0" w:after="0" w:line="360" w:lineRule="auto"/>
        <w:ind w:left="0" w:leftChars="0" w:firstLine="482" w:firstLineChars="200"/>
        <w:jc w:val="lef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售后服务要求</w:t>
      </w:r>
      <w:bookmarkEnd w:id="4"/>
    </w:p>
    <w:p w14:paraId="5481D7B5">
      <w:pPr>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1、设有售后服务机构，以处理所有的维修服务，并提供24小时服务。维修人员接到维修电话后须在2小时内赶到现场。维修点需提供足够的备件以适应维修需求。</w:t>
      </w:r>
    </w:p>
    <w:p w14:paraId="0076CA29">
      <w:pPr>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2、供应商须对合同中规定的产品，提供经调试、验收合格后至</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年的质保期，在此期间，因产品制造质量不良及安装造成的损坏（包括由此造成的甲方其它财物损失）而产生损坏或不能正常工作，供应商应免费维修和正常保养。</w:t>
      </w:r>
    </w:p>
    <w:p w14:paraId="3FBF777D">
      <w:pPr>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3、在保质期满时，供应商和采购人代表将对设备进行再次测试，任何故障须由供应商自费解决并取得采购人的认可。</w:t>
      </w:r>
    </w:p>
    <w:p w14:paraId="72A02114">
      <w:pPr>
        <w:pageBreakBefore w:val="0"/>
        <w:widowControl w:val="0"/>
        <w:kinsoku/>
        <w:wordWrap/>
        <w:overflowPunct/>
        <w:topLinePunct w:val="0"/>
        <w:autoSpaceDE/>
        <w:autoSpaceDN/>
        <w:bidi w:val="0"/>
        <w:adjustRightInd w:val="0"/>
        <w:snapToGrid w:val="0"/>
        <w:spacing w:before="0" w:after="0" w:line="360" w:lineRule="auto"/>
        <w:ind w:left="0" w:leftChars="0" w:firstLine="482" w:firstLineChars="200"/>
        <w:jc w:val="lef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2.付款方式</w:t>
      </w:r>
    </w:p>
    <w:p w14:paraId="7AFB0125">
      <w:pPr>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甲乙双方签订合同为准。</w:t>
      </w:r>
    </w:p>
    <w:p w14:paraId="1771DE03">
      <w:pPr>
        <w:pStyle w:val="3"/>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firstLine="482" w:firstLineChars="200"/>
        <w:jc w:val="left"/>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三、本项目所属行业：零售业</w:t>
      </w:r>
    </w:p>
    <w:p w14:paraId="623B83AA">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ind w:left="0"/>
        <w:jc w:val="center"/>
        <w:textAlignment w:val="auto"/>
        <w:rPr>
          <w:rStyle w:val="50"/>
          <w:rFonts w:hint="eastAsia" w:ascii="仿宋" w:hAnsi="仿宋" w:eastAsia="仿宋" w:cs="仿宋"/>
          <w:b/>
          <w:bCs/>
          <w:kern w:val="2"/>
          <w:sz w:val="28"/>
          <w:szCs w:val="28"/>
          <w:highlight w:val="none"/>
          <w:lang w:val="en-US" w:eastAsia="zh-CN"/>
        </w:rPr>
      </w:pPr>
      <w:r>
        <w:rPr>
          <w:rFonts w:hint="eastAsia" w:ascii="仿宋" w:hAnsi="仿宋" w:eastAsia="仿宋" w:cs="仿宋"/>
          <w:b/>
          <w:bCs/>
          <w:color w:val="auto"/>
          <w:sz w:val="28"/>
          <w:szCs w:val="28"/>
          <w:highlight w:val="none"/>
          <w:lang w:val="en-US" w:eastAsia="zh-CN"/>
        </w:rPr>
        <w:t>附件：</w:t>
      </w:r>
      <w:r>
        <w:rPr>
          <w:rFonts w:hint="eastAsia" w:ascii="仿宋" w:hAnsi="仿宋" w:eastAsia="仿宋" w:cs="仿宋"/>
          <w:b/>
          <w:bCs/>
          <w:spacing w:val="-4"/>
          <w:sz w:val="28"/>
          <w:szCs w:val="28"/>
          <w:highlight w:val="none"/>
        </w:rPr>
        <w:t>中小微企业划型标准</w:t>
      </w:r>
    </w:p>
    <w:tbl>
      <w:tblPr>
        <w:tblStyle w:val="54"/>
        <w:tblW w:w="969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3"/>
        <w:gridCol w:w="1851"/>
        <w:gridCol w:w="874"/>
        <w:gridCol w:w="1922"/>
        <w:gridCol w:w="1708"/>
        <w:gridCol w:w="1102"/>
      </w:tblGrid>
      <w:tr w14:paraId="08BA9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2233" w:type="dxa"/>
            <w:vAlign w:val="center"/>
          </w:tcPr>
          <w:p w14:paraId="4AB395E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行业名称</w:t>
            </w:r>
          </w:p>
        </w:tc>
        <w:tc>
          <w:tcPr>
            <w:tcW w:w="1851" w:type="dxa"/>
            <w:vAlign w:val="center"/>
          </w:tcPr>
          <w:p w14:paraId="237633E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指标名称</w:t>
            </w:r>
          </w:p>
        </w:tc>
        <w:tc>
          <w:tcPr>
            <w:tcW w:w="874" w:type="dxa"/>
            <w:vAlign w:val="center"/>
          </w:tcPr>
          <w:p w14:paraId="4A211B1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2"/>
                <w:position w:val="7"/>
                <w:sz w:val="24"/>
                <w:szCs w:val="24"/>
                <w:highlight w:val="none"/>
              </w:rPr>
              <w:t>计量</w:t>
            </w:r>
          </w:p>
          <w:p w14:paraId="34E20C8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单位</w:t>
            </w:r>
          </w:p>
        </w:tc>
        <w:tc>
          <w:tcPr>
            <w:tcW w:w="1922" w:type="dxa"/>
            <w:vAlign w:val="center"/>
          </w:tcPr>
          <w:p w14:paraId="14108E1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中型</w:t>
            </w:r>
          </w:p>
        </w:tc>
        <w:tc>
          <w:tcPr>
            <w:tcW w:w="1708" w:type="dxa"/>
            <w:vAlign w:val="center"/>
          </w:tcPr>
          <w:p w14:paraId="354A5D1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小型</w:t>
            </w:r>
          </w:p>
        </w:tc>
        <w:tc>
          <w:tcPr>
            <w:tcW w:w="1102" w:type="dxa"/>
            <w:vAlign w:val="center"/>
          </w:tcPr>
          <w:p w14:paraId="7FC474D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微型</w:t>
            </w:r>
          </w:p>
        </w:tc>
      </w:tr>
      <w:tr w14:paraId="4A3AA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Align w:val="center"/>
          </w:tcPr>
          <w:p w14:paraId="72EF9AF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农、林、牧、渔</w:t>
            </w:r>
          </w:p>
        </w:tc>
        <w:tc>
          <w:tcPr>
            <w:tcW w:w="1851" w:type="dxa"/>
            <w:vAlign w:val="center"/>
          </w:tcPr>
          <w:p w14:paraId="7A92C19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营业收入（Y）</w:t>
            </w:r>
          </w:p>
        </w:tc>
        <w:tc>
          <w:tcPr>
            <w:tcW w:w="874" w:type="dxa"/>
            <w:vAlign w:val="center"/>
          </w:tcPr>
          <w:p w14:paraId="107F3F0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万元</w:t>
            </w:r>
          </w:p>
        </w:tc>
        <w:tc>
          <w:tcPr>
            <w:tcW w:w="1922" w:type="dxa"/>
            <w:vAlign w:val="center"/>
          </w:tcPr>
          <w:p w14:paraId="577C08F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500≤Y＜20000</w:t>
            </w:r>
          </w:p>
        </w:tc>
        <w:tc>
          <w:tcPr>
            <w:tcW w:w="1708" w:type="dxa"/>
            <w:vAlign w:val="center"/>
          </w:tcPr>
          <w:p w14:paraId="3B75049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50≤Y＜500</w:t>
            </w:r>
          </w:p>
        </w:tc>
        <w:tc>
          <w:tcPr>
            <w:tcW w:w="1102" w:type="dxa"/>
            <w:vAlign w:val="center"/>
          </w:tcPr>
          <w:p w14:paraId="00D6133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Y＜50</w:t>
            </w:r>
          </w:p>
        </w:tc>
      </w:tr>
      <w:tr w14:paraId="5BC46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vAlign w:val="center"/>
          </w:tcPr>
          <w:p w14:paraId="76B0590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工业</w:t>
            </w:r>
          </w:p>
        </w:tc>
        <w:tc>
          <w:tcPr>
            <w:tcW w:w="1851" w:type="dxa"/>
            <w:vAlign w:val="center"/>
          </w:tcPr>
          <w:p w14:paraId="13C3642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从业人员（X）</w:t>
            </w:r>
          </w:p>
        </w:tc>
        <w:tc>
          <w:tcPr>
            <w:tcW w:w="874" w:type="dxa"/>
            <w:vAlign w:val="center"/>
          </w:tcPr>
          <w:p w14:paraId="3DA012B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人</w:t>
            </w:r>
          </w:p>
        </w:tc>
        <w:tc>
          <w:tcPr>
            <w:tcW w:w="1922" w:type="dxa"/>
            <w:vAlign w:val="center"/>
          </w:tcPr>
          <w:p w14:paraId="6FFF979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300≤X＜1000</w:t>
            </w:r>
          </w:p>
        </w:tc>
        <w:tc>
          <w:tcPr>
            <w:tcW w:w="1708" w:type="dxa"/>
            <w:vAlign w:val="center"/>
          </w:tcPr>
          <w:p w14:paraId="345F21D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20≤X＜300</w:t>
            </w:r>
          </w:p>
        </w:tc>
        <w:tc>
          <w:tcPr>
            <w:tcW w:w="1102" w:type="dxa"/>
            <w:vAlign w:val="center"/>
          </w:tcPr>
          <w:p w14:paraId="6F0D90D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X＜20</w:t>
            </w:r>
          </w:p>
        </w:tc>
      </w:tr>
      <w:tr w14:paraId="32995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233" w:type="dxa"/>
            <w:vMerge w:val="continue"/>
            <w:tcBorders>
              <w:top w:val="nil"/>
            </w:tcBorders>
            <w:vAlign w:val="center"/>
          </w:tcPr>
          <w:p w14:paraId="5428F9C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p>
        </w:tc>
        <w:tc>
          <w:tcPr>
            <w:tcW w:w="1851" w:type="dxa"/>
            <w:vAlign w:val="center"/>
          </w:tcPr>
          <w:p w14:paraId="29B8731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营业收入（Y）</w:t>
            </w:r>
          </w:p>
        </w:tc>
        <w:tc>
          <w:tcPr>
            <w:tcW w:w="874" w:type="dxa"/>
            <w:vAlign w:val="center"/>
          </w:tcPr>
          <w:p w14:paraId="200F3CF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万元</w:t>
            </w:r>
          </w:p>
        </w:tc>
        <w:tc>
          <w:tcPr>
            <w:tcW w:w="1922" w:type="dxa"/>
            <w:vAlign w:val="center"/>
          </w:tcPr>
          <w:p w14:paraId="3E2EDC9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2000≤Y＜40000</w:t>
            </w:r>
          </w:p>
        </w:tc>
        <w:tc>
          <w:tcPr>
            <w:tcW w:w="1708" w:type="dxa"/>
            <w:vAlign w:val="center"/>
          </w:tcPr>
          <w:p w14:paraId="70C77E5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300≤Y＜2000</w:t>
            </w:r>
          </w:p>
        </w:tc>
        <w:tc>
          <w:tcPr>
            <w:tcW w:w="1102" w:type="dxa"/>
            <w:vAlign w:val="center"/>
          </w:tcPr>
          <w:p w14:paraId="410E937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Y＜300</w:t>
            </w:r>
          </w:p>
        </w:tc>
      </w:tr>
      <w:tr w14:paraId="4825D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vAlign w:val="center"/>
          </w:tcPr>
          <w:p w14:paraId="534E102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建筑业</w:t>
            </w:r>
          </w:p>
        </w:tc>
        <w:tc>
          <w:tcPr>
            <w:tcW w:w="1851" w:type="dxa"/>
            <w:vAlign w:val="center"/>
          </w:tcPr>
          <w:p w14:paraId="175C4FE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营业收入（Y）</w:t>
            </w:r>
          </w:p>
        </w:tc>
        <w:tc>
          <w:tcPr>
            <w:tcW w:w="874" w:type="dxa"/>
            <w:vAlign w:val="center"/>
          </w:tcPr>
          <w:p w14:paraId="4713B9E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万元</w:t>
            </w:r>
          </w:p>
        </w:tc>
        <w:tc>
          <w:tcPr>
            <w:tcW w:w="1922" w:type="dxa"/>
            <w:vAlign w:val="center"/>
          </w:tcPr>
          <w:p w14:paraId="7FF3532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6000≤Y＜80000</w:t>
            </w:r>
          </w:p>
        </w:tc>
        <w:tc>
          <w:tcPr>
            <w:tcW w:w="1708" w:type="dxa"/>
            <w:vAlign w:val="center"/>
          </w:tcPr>
          <w:p w14:paraId="1399030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300≤Y＜6000</w:t>
            </w:r>
          </w:p>
        </w:tc>
        <w:tc>
          <w:tcPr>
            <w:tcW w:w="1102" w:type="dxa"/>
            <w:vAlign w:val="center"/>
          </w:tcPr>
          <w:p w14:paraId="2309F94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Y＜300</w:t>
            </w:r>
          </w:p>
        </w:tc>
      </w:tr>
      <w:tr w14:paraId="33266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vAlign w:val="center"/>
          </w:tcPr>
          <w:p w14:paraId="58EA5C1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p>
        </w:tc>
        <w:tc>
          <w:tcPr>
            <w:tcW w:w="1851" w:type="dxa"/>
            <w:vAlign w:val="center"/>
          </w:tcPr>
          <w:p w14:paraId="190B898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资产总额（Z）</w:t>
            </w:r>
          </w:p>
        </w:tc>
        <w:tc>
          <w:tcPr>
            <w:tcW w:w="874" w:type="dxa"/>
            <w:vAlign w:val="center"/>
          </w:tcPr>
          <w:p w14:paraId="25497B5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万元</w:t>
            </w:r>
          </w:p>
        </w:tc>
        <w:tc>
          <w:tcPr>
            <w:tcW w:w="1922" w:type="dxa"/>
            <w:vAlign w:val="center"/>
          </w:tcPr>
          <w:p w14:paraId="5A64DEA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5000≤Z＜80000</w:t>
            </w:r>
          </w:p>
        </w:tc>
        <w:tc>
          <w:tcPr>
            <w:tcW w:w="1708" w:type="dxa"/>
            <w:vAlign w:val="center"/>
          </w:tcPr>
          <w:p w14:paraId="28EDE8D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300≤Z＜5000</w:t>
            </w:r>
          </w:p>
        </w:tc>
        <w:tc>
          <w:tcPr>
            <w:tcW w:w="1102" w:type="dxa"/>
            <w:vAlign w:val="center"/>
          </w:tcPr>
          <w:p w14:paraId="3A5F9A5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Z＜300</w:t>
            </w:r>
          </w:p>
        </w:tc>
      </w:tr>
      <w:tr w14:paraId="599DF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vAlign w:val="center"/>
          </w:tcPr>
          <w:p w14:paraId="2638050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批发业</w:t>
            </w:r>
          </w:p>
        </w:tc>
        <w:tc>
          <w:tcPr>
            <w:tcW w:w="1851" w:type="dxa"/>
            <w:vAlign w:val="center"/>
          </w:tcPr>
          <w:p w14:paraId="5DE553C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从业人员（X）</w:t>
            </w:r>
          </w:p>
        </w:tc>
        <w:tc>
          <w:tcPr>
            <w:tcW w:w="874" w:type="dxa"/>
            <w:vAlign w:val="center"/>
          </w:tcPr>
          <w:p w14:paraId="2D3780A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人</w:t>
            </w:r>
          </w:p>
        </w:tc>
        <w:tc>
          <w:tcPr>
            <w:tcW w:w="1922" w:type="dxa"/>
            <w:vAlign w:val="center"/>
          </w:tcPr>
          <w:p w14:paraId="42F7411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20≤X＜200</w:t>
            </w:r>
          </w:p>
        </w:tc>
        <w:tc>
          <w:tcPr>
            <w:tcW w:w="1708" w:type="dxa"/>
            <w:vAlign w:val="center"/>
          </w:tcPr>
          <w:p w14:paraId="72D37C9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5≤X＜20</w:t>
            </w:r>
          </w:p>
        </w:tc>
        <w:tc>
          <w:tcPr>
            <w:tcW w:w="1102" w:type="dxa"/>
            <w:vAlign w:val="center"/>
          </w:tcPr>
          <w:p w14:paraId="5FAD07B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X＜5</w:t>
            </w:r>
          </w:p>
        </w:tc>
      </w:tr>
      <w:tr w14:paraId="09674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2233" w:type="dxa"/>
            <w:vMerge w:val="continue"/>
            <w:tcBorders>
              <w:top w:val="nil"/>
            </w:tcBorders>
            <w:vAlign w:val="center"/>
          </w:tcPr>
          <w:p w14:paraId="1A67AA3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p>
        </w:tc>
        <w:tc>
          <w:tcPr>
            <w:tcW w:w="1851" w:type="dxa"/>
            <w:vAlign w:val="center"/>
          </w:tcPr>
          <w:p w14:paraId="181F62F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营业收入（Y）</w:t>
            </w:r>
          </w:p>
        </w:tc>
        <w:tc>
          <w:tcPr>
            <w:tcW w:w="874" w:type="dxa"/>
            <w:vAlign w:val="center"/>
          </w:tcPr>
          <w:p w14:paraId="5C70684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万元</w:t>
            </w:r>
          </w:p>
        </w:tc>
        <w:tc>
          <w:tcPr>
            <w:tcW w:w="1922" w:type="dxa"/>
            <w:vAlign w:val="center"/>
          </w:tcPr>
          <w:p w14:paraId="5C558A0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5000≤Y＜40000</w:t>
            </w:r>
          </w:p>
        </w:tc>
        <w:tc>
          <w:tcPr>
            <w:tcW w:w="1708" w:type="dxa"/>
            <w:vAlign w:val="center"/>
          </w:tcPr>
          <w:p w14:paraId="3331169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1000≤Y＜5000</w:t>
            </w:r>
          </w:p>
        </w:tc>
        <w:tc>
          <w:tcPr>
            <w:tcW w:w="1102" w:type="dxa"/>
            <w:vAlign w:val="center"/>
          </w:tcPr>
          <w:p w14:paraId="36D2B84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Y＜1000</w:t>
            </w:r>
          </w:p>
        </w:tc>
      </w:tr>
      <w:tr w14:paraId="04E3B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vAlign w:val="center"/>
          </w:tcPr>
          <w:p w14:paraId="4A9A890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零售业</w:t>
            </w:r>
          </w:p>
        </w:tc>
        <w:tc>
          <w:tcPr>
            <w:tcW w:w="1851" w:type="dxa"/>
            <w:vAlign w:val="center"/>
          </w:tcPr>
          <w:p w14:paraId="0C1BBB2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从业人员（X）</w:t>
            </w:r>
          </w:p>
        </w:tc>
        <w:tc>
          <w:tcPr>
            <w:tcW w:w="874" w:type="dxa"/>
            <w:vAlign w:val="center"/>
          </w:tcPr>
          <w:p w14:paraId="6899346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人</w:t>
            </w:r>
          </w:p>
        </w:tc>
        <w:tc>
          <w:tcPr>
            <w:tcW w:w="1922" w:type="dxa"/>
            <w:vAlign w:val="center"/>
          </w:tcPr>
          <w:p w14:paraId="52F49A2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50≤X＜300</w:t>
            </w:r>
          </w:p>
        </w:tc>
        <w:tc>
          <w:tcPr>
            <w:tcW w:w="1708" w:type="dxa"/>
            <w:vAlign w:val="center"/>
          </w:tcPr>
          <w:p w14:paraId="0BF8A0B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10≤X＜50</w:t>
            </w:r>
          </w:p>
        </w:tc>
        <w:tc>
          <w:tcPr>
            <w:tcW w:w="1102" w:type="dxa"/>
            <w:vAlign w:val="center"/>
          </w:tcPr>
          <w:p w14:paraId="2287411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X＜10</w:t>
            </w:r>
          </w:p>
        </w:tc>
      </w:tr>
      <w:tr w14:paraId="64ACA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vAlign w:val="center"/>
          </w:tcPr>
          <w:p w14:paraId="4867F0F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p>
        </w:tc>
        <w:tc>
          <w:tcPr>
            <w:tcW w:w="1851" w:type="dxa"/>
            <w:vAlign w:val="center"/>
          </w:tcPr>
          <w:p w14:paraId="4AA99A8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营业收入（Y）</w:t>
            </w:r>
          </w:p>
        </w:tc>
        <w:tc>
          <w:tcPr>
            <w:tcW w:w="874" w:type="dxa"/>
            <w:vAlign w:val="center"/>
          </w:tcPr>
          <w:p w14:paraId="6A0081B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万元</w:t>
            </w:r>
          </w:p>
        </w:tc>
        <w:tc>
          <w:tcPr>
            <w:tcW w:w="1922" w:type="dxa"/>
            <w:vAlign w:val="center"/>
          </w:tcPr>
          <w:p w14:paraId="010D8D5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500≤Y＜20000</w:t>
            </w:r>
          </w:p>
        </w:tc>
        <w:tc>
          <w:tcPr>
            <w:tcW w:w="1708" w:type="dxa"/>
            <w:vAlign w:val="center"/>
          </w:tcPr>
          <w:p w14:paraId="04278E6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100≤Y＜500</w:t>
            </w:r>
          </w:p>
        </w:tc>
        <w:tc>
          <w:tcPr>
            <w:tcW w:w="1102" w:type="dxa"/>
            <w:vAlign w:val="center"/>
          </w:tcPr>
          <w:p w14:paraId="0DC9C0A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Y＜100</w:t>
            </w:r>
          </w:p>
        </w:tc>
      </w:tr>
      <w:tr w14:paraId="7999D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vAlign w:val="center"/>
          </w:tcPr>
          <w:p w14:paraId="1724170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交通运输业</w:t>
            </w:r>
          </w:p>
        </w:tc>
        <w:tc>
          <w:tcPr>
            <w:tcW w:w="1851" w:type="dxa"/>
            <w:vAlign w:val="center"/>
          </w:tcPr>
          <w:p w14:paraId="77E23AC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从业人员（X）</w:t>
            </w:r>
          </w:p>
        </w:tc>
        <w:tc>
          <w:tcPr>
            <w:tcW w:w="874" w:type="dxa"/>
            <w:vAlign w:val="center"/>
          </w:tcPr>
          <w:p w14:paraId="2B6F94B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人</w:t>
            </w:r>
          </w:p>
        </w:tc>
        <w:tc>
          <w:tcPr>
            <w:tcW w:w="1922" w:type="dxa"/>
            <w:vAlign w:val="center"/>
          </w:tcPr>
          <w:p w14:paraId="52A67D2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300≤X＜1000</w:t>
            </w:r>
          </w:p>
        </w:tc>
        <w:tc>
          <w:tcPr>
            <w:tcW w:w="1708" w:type="dxa"/>
            <w:vAlign w:val="center"/>
          </w:tcPr>
          <w:p w14:paraId="4426B61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20≤X＜300</w:t>
            </w:r>
          </w:p>
        </w:tc>
        <w:tc>
          <w:tcPr>
            <w:tcW w:w="1102" w:type="dxa"/>
            <w:vAlign w:val="center"/>
          </w:tcPr>
          <w:p w14:paraId="136C64C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X＜20</w:t>
            </w:r>
          </w:p>
        </w:tc>
      </w:tr>
      <w:tr w14:paraId="66E50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vAlign w:val="center"/>
          </w:tcPr>
          <w:p w14:paraId="0BED9B2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p>
        </w:tc>
        <w:tc>
          <w:tcPr>
            <w:tcW w:w="1851" w:type="dxa"/>
            <w:vAlign w:val="center"/>
          </w:tcPr>
          <w:p w14:paraId="34E84A7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营业收入（Y）</w:t>
            </w:r>
          </w:p>
        </w:tc>
        <w:tc>
          <w:tcPr>
            <w:tcW w:w="874" w:type="dxa"/>
            <w:vAlign w:val="center"/>
          </w:tcPr>
          <w:p w14:paraId="6E56E19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万元</w:t>
            </w:r>
          </w:p>
        </w:tc>
        <w:tc>
          <w:tcPr>
            <w:tcW w:w="1922" w:type="dxa"/>
            <w:vAlign w:val="center"/>
          </w:tcPr>
          <w:p w14:paraId="5C3EA4D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3000≤Y＜30000</w:t>
            </w:r>
          </w:p>
        </w:tc>
        <w:tc>
          <w:tcPr>
            <w:tcW w:w="1708" w:type="dxa"/>
            <w:vAlign w:val="center"/>
          </w:tcPr>
          <w:p w14:paraId="112998B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200≤Y＜3000</w:t>
            </w:r>
          </w:p>
        </w:tc>
        <w:tc>
          <w:tcPr>
            <w:tcW w:w="1102" w:type="dxa"/>
            <w:vAlign w:val="center"/>
          </w:tcPr>
          <w:p w14:paraId="0BA5F8B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Y＜200</w:t>
            </w:r>
          </w:p>
        </w:tc>
      </w:tr>
      <w:tr w14:paraId="7700C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vAlign w:val="center"/>
          </w:tcPr>
          <w:p w14:paraId="0391A9B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仓储业</w:t>
            </w:r>
          </w:p>
        </w:tc>
        <w:tc>
          <w:tcPr>
            <w:tcW w:w="1851" w:type="dxa"/>
            <w:vAlign w:val="center"/>
          </w:tcPr>
          <w:p w14:paraId="707C69B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从业人员（X）</w:t>
            </w:r>
          </w:p>
        </w:tc>
        <w:tc>
          <w:tcPr>
            <w:tcW w:w="874" w:type="dxa"/>
            <w:vAlign w:val="center"/>
          </w:tcPr>
          <w:p w14:paraId="27AA51A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人</w:t>
            </w:r>
          </w:p>
        </w:tc>
        <w:tc>
          <w:tcPr>
            <w:tcW w:w="1922" w:type="dxa"/>
            <w:vAlign w:val="center"/>
          </w:tcPr>
          <w:p w14:paraId="685FAC1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100≤X＜200</w:t>
            </w:r>
          </w:p>
        </w:tc>
        <w:tc>
          <w:tcPr>
            <w:tcW w:w="1708" w:type="dxa"/>
            <w:vAlign w:val="center"/>
          </w:tcPr>
          <w:p w14:paraId="124E713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20≤X＜100</w:t>
            </w:r>
          </w:p>
        </w:tc>
        <w:tc>
          <w:tcPr>
            <w:tcW w:w="1102" w:type="dxa"/>
            <w:vAlign w:val="center"/>
          </w:tcPr>
          <w:p w14:paraId="16ECEE6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X＜20</w:t>
            </w:r>
          </w:p>
        </w:tc>
      </w:tr>
      <w:tr w14:paraId="53EDC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vAlign w:val="center"/>
          </w:tcPr>
          <w:p w14:paraId="1C5678E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p>
        </w:tc>
        <w:tc>
          <w:tcPr>
            <w:tcW w:w="1851" w:type="dxa"/>
            <w:vAlign w:val="center"/>
          </w:tcPr>
          <w:p w14:paraId="5F8FF88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营业收入（Y）</w:t>
            </w:r>
          </w:p>
        </w:tc>
        <w:tc>
          <w:tcPr>
            <w:tcW w:w="874" w:type="dxa"/>
            <w:vAlign w:val="center"/>
          </w:tcPr>
          <w:p w14:paraId="21719F5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万元</w:t>
            </w:r>
          </w:p>
        </w:tc>
        <w:tc>
          <w:tcPr>
            <w:tcW w:w="1922" w:type="dxa"/>
            <w:vAlign w:val="center"/>
          </w:tcPr>
          <w:p w14:paraId="6A56551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1000≤Y＜30000</w:t>
            </w:r>
          </w:p>
        </w:tc>
        <w:tc>
          <w:tcPr>
            <w:tcW w:w="1708" w:type="dxa"/>
            <w:vAlign w:val="center"/>
          </w:tcPr>
          <w:p w14:paraId="3286C27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100≤Y＜1000</w:t>
            </w:r>
          </w:p>
        </w:tc>
        <w:tc>
          <w:tcPr>
            <w:tcW w:w="1102" w:type="dxa"/>
            <w:vAlign w:val="center"/>
          </w:tcPr>
          <w:p w14:paraId="579711A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Y＜100</w:t>
            </w:r>
          </w:p>
        </w:tc>
      </w:tr>
      <w:tr w14:paraId="33F87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vAlign w:val="center"/>
          </w:tcPr>
          <w:p w14:paraId="6A01F4A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邮政业</w:t>
            </w:r>
          </w:p>
        </w:tc>
        <w:tc>
          <w:tcPr>
            <w:tcW w:w="1851" w:type="dxa"/>
            <w:vAlign w:val="center"/>
          </w:tcPr>
          <w:p w14:paraId="569540E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从业人员（X）</w:t>
            </w:r>
          </w:p>
        </w:tc>
        <w:tc>
          <w:tcPr>
            <w:tcW w:w="874" w:type="dxa"/>
            <w:vAlign w:val="center"/>
          </w:tcPr>
          <w:p w14:paraId="57EDAF4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人</w:t>
            </w:r>
          </w:p>
        </w:tc>
        <w:tc>
          <w:tcPr>
            <w:tcW w:w="1922" w:type="dxa"/>
            <w:vAlign w:val="center"/>
          </w:tcPr>
          <w:p w14:paraId="024641E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300≤X＜1000</w:t>
            </w:r>
          </w:p>
        </w:tc>
        <w:tc>
          <w:tcPr>
            <w:tcW w:w="1708" w:type="dxa"/>
            <w:vAlign w:val="center"/>
          </w:tcPr>
          <w:p w14:paraId="3778184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20≤X＜300</w:t>
            </w:r>
          </w:p>
        </w:tc>
        <w:tc>
          <w:tcPr>
            <w:tcW w:w="1102" w:type="dxa"/>
            <w:vAlign w:val="center"/>
          </w:tcPr>
          <w:p w14:paraId="5F9DFC6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X＜20</w:t>
            </w:r>
          </w:p>
        </w:tc>
      </w:tr>
      <w:tr w14:paraId="708DA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vAlign w:val="center"/>
          </w:tcPr>
          <w:p w14:paraId="6F433C7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p>
        </w:tc>
        <w:tc>
          <w:tcPr>
            <w:tcW w:w="1851" w:type="dxa"/>
            <w:vAlign w:val="center"/>
          </w:tcPr>
          <w:p w14:paraId="76E087D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营业收入（Y）</w:t>
            </w:r>
          </w:p>
        </w:tc>
        <w:tc>
          <w:tcPr>
            <w:tcW w:w="874" w:type="dxa"/>
            <w:vAlign w:val="center"/>
          </w:tcPr>
          <w:p w14:paraId="101AC02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万元</w:t>
            </w:r>
          </w:p>
        </w:tc>
        <w:tc>
          <w:tcPr>
            <w:tcW w:w="1922" w:type="dxa"/>
            <w:vAlign w:val="center"/>
          </w:tcPr>
          <w:p w14:paraId="0F83E25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2000≤Y＜30000</w:t>
            </w:r>
          </w:p>
        </w:tc>
        <w:tc>
          <w:tcPr>
            <w:tcW w:w="1708" w:type="dxa"/>
            <w:vAlign w:val="center"/>
          </w:tcPr>
          <w:p w14:paraId="25F5E25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100≤Y＜2000</w:t>
            </w:r>
          </w:p>
        </w:tc>
        <w:tc>
          <w:tcPr>
            <w:tcW w:w="1102" w:type="dxa"/>
            <w:vAlign w:val="center"/>
          </w:tcPr>
          <w:p w14:paraId="00E7F0D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Y＜100</w:t>
            </w:r>
          </w:p>
        </w:tc>
      </w:tr>
      <w:tr w14:paraId="133DB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vAlign w:val="center"/>
          </w:tcPr>
          <w:p w14:paraId="0717D79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住宿业</w:t>
            </w:r>
          </w:p>
        </w:tc>
        <w:tc>
          <w:tcPr>
            <w:tcW w:w="1851" w:type="dxa"/>
            <w:vAlign w:val="center"/>
          </w:tcPr>
          <w:p w14:paraId="3022DDB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从业人员（X）</w:t>
            </w:r>
          </w:p>
        </w:tc>
        <w:tc>
          <w:tcPr>
            <w:tcW w:w="874" w:type="dxa"/>
            <w:vAlign w:val="center"/>
          </w:tcPr>
          <w:p w14:paraId="6BCE7C4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人</w:t>
            </w:r>
          </w:p>
        </w:tc>
        <w:tc>
          <w:tcPr>
            <w:tcW w:w="1922" w:type="dxa"/>
            <w:vAlign w:val="center"/>
          </w:tcPr>
          <w:p w14:paraId="65F6564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100≤X＜300</w:t>
            </w:r>
          </w:p>
        </w:tc>
        <w:tc>
          <w:tcPr>
            <w:tcW w:w="1708" w:type="dxa"/>
            <w:vAlign w:val="center"/>
          </w:tcPr>
          <w:p w14:paraId="6E9412C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10≤X＜100</w:t>
            </w:r>
          </w:p>
        </w:tc>
        <w:tc>
          <w:tcPr>
            <w:tcW w:w="1102" w:type="dxa"/>
            <w:vAlign w:val="center"/>
          </w:tcPr>
          <w:p w14:paraId="082027B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X＜10</w:t>
            </w:r>
          </w:p>
        </w:tc>
      </w:tr>
      <w:tr w14:paraId="787CC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vAlign w:val="center"/>
          </w:tcPr>
          <w:p w14:paraId="7DB0732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p>
        </w:tc>
        <w:tc>
          <w:tcPr>
            <w:tcW w:w="1851" w:type="dxa"/>
            <w:vAlign w:val="center"/>
          </w:tcPr>
          <w:p w14:paraId="6F830FF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营业收入（Y）</w:t>
            </w:r>
          </w:p>
        </w:tc>
        <w:tc>
          <w:tcPr>
            <w:tcW w:w="874" w:type="dxa"/>
            <w:vAlign w:val="center"/>
          </w:tcPr>
          <w:p w14:paraId="0CB233D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万元</w:t>
            </w:r>
          </w:p>
        </w:tc>
        <w:tc>
          <w:tcPr>
            <w:tcW w:w="1922" w:type="dxa"/>
            <w:vAlign w:val="center"/>
          </w:tcPr>
          <w:p w14:paraId="0ECD2E4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2000≤Y＜10000</w:t>
            </w:r>
          </w:p>
        </w:tc>
        <w:tc>
          <w:tcPr>
            <w:tcW w:w="1708" w:type="dxa"/>
            <w:vAlign w:val="center"/>
          </w:tcPr>
          <w:p w14:paraId="178FA41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100≤Y＜2000</w:t>
            </w:r>
          </w:p>
        </w:tc>
        <w:tc>
          <w:tcPr>
            <w:tcW w:w="1102" w:type="dxa"/>
            <w:vAlign w:val="center"/>
          </w:tcPr>
          <w:p w14:paraId="413F99A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Y＜100</w:t>
            </w:r>
          </w:p>
        </w:tc>
      </w:tr>
      <w:tr w14:paraId="05331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2233" w:type="dxa"/>
            <w:vMerge w:val="restart"/>
            <w:tcBorders>
              <w:bottom w:val="nil"/>
            </w:tcBorders>
            <w:vAlign w:val="center"/>
          </w:tcPr>
          <w:p w14:paraId="1E2B002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餐饮业</w:t>
            </w:r>
          </w:p>
        </w:tc>
        <w:tc>
          <w:tcPr>
            <w:tcW w:w="1851" w:type="dxa"/>
            <w:vAlign w:val="center"/>
          </w:tcPr>
          <w:p w14:paraId="2D7C2E8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从业人员（X）</w:t>
            </w:r>
          </w:p>
        </w:tc>
        <w:tc>
          <w:tcPr>
            <w:tcW w:w="874" w:type="dxa"/>
            <w:vAlign w:val="center"/>
          </w:tcPr>
          <w:p w14:paraId="4767ACD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人</w:t>
            </w:r>
          </w:p>
        </w:tc>
        <w:tc>
          <w:tcPr>
            <w:tcW w:w="1922" w:type="dxa"/>
            <w:vAlign w:val="center"/>
          </w:tcPr>
          <w:p w14:paraId="568A44A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100≤X＜300</w:t>
            </w:r>
          </w:p>
        </w:tc>
        <w:tc>
          <w:tcPr>
            <w:tcW w:w="1708" w:type="dxa"/>
            <w:vAlign w:val="center"/>
          </w:tcPr>
          <w:p w14:paraId="10B6789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10≤X＜100</w:t>
            </w:r>
          </w:p>
        </w:tc>
        <w:tc>
          <w:tcPr>
            <w:tcW w:w="1102" w:type="dxa"/>
            <w:vAlign w:val="center"/>
          </w:tcPr>
          <w:p w14:paraId="5D52FD5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X＜10</w:t>
            </w:r>
          </w:p>
        </w:tc>
      </w:tr>
      <w:tr w14:paraId="3C524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vAlign w:val="center"/>
          </w:tcPr>
          <w:p w14:paraId="482401E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p>
        </w:tc>
        <w:tc>
          <w:tcPr>
            <w:tcW w:w="1851" w:type="dxa"/>
            <w:vAlign w:val="center"/>
          </w:tcPr>
          <w:p w14:paraId="00BB5EE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营业收入（Y）</w:t>
            </w:r>
          </w:p>
        </w:tc>
        <w:tc>
          <w:tcPr>
            <w:tcW w:w="874" w:type="dxa"/>
            <w:vAlign w:val="center"/>
          </w:tcPr>
          <w:p w14:paraId="3942FCF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万元</w:t>
            </w:r>
          </w:p>
        </w:tc>
        <w:tc>
          <w:tcPr>
            <w:tcW w:w="1922" w:type="dxa"/>
            <w:vAlign w:val="center"/>
          </w:tcPr>
          <w:p w14:paraId="7460BD6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2000≤Y＜10000</w:t>
            </w:r>
          </w:p>
        </w:tc>
        <w:tc>
          <w:tcPr>
            <w:tcW w:w="1708" w:type="dxa"/>
            <w:vAlign w:val="center"/>
          </w:tcPr>
          <w:p w14:paraId="19ADD56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100≤Y＜2000</w:t>
            </w:r>
          </w:p>
        </w:tc>
        <w:tc>
          <w:tcPr>
            <w:tcW w:w="1102" w:type="dxa"/>
            <w:vAlign w:val="center"/>
          </w:tcPr>
          <w:p w14:paraId="402529C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Y＜100</w:t>
            </w:r>
          </w:p>
        </w:tc>
      </w:tr>
      <w:tr w14:paraId="712D4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2233" w:type="dxa"/>
            <w:vMerge w:val="restart"/>
            <w:tcBorders>
              <w:bottom w:val="nil"/>
            </w:tcBorders>
            <w:vAlign w:val="center"/>
          </w:tcPr>
          <w:p w14:paraId="3914D7D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信息传输业</w:t>
            </w:r>
          </w:p>
        </w:tc>
        <w:tc>
          <w:tcPr>
            <w:tcW w:w="1851" w:type="dxa"/>
            <w:vAlign w:val="center"/>
          </w:tcPr>
          <w:p w14:paraId="5407818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从业人员（X）</w:t>
            </w:r>
          </w:p>
        </w:tc>
        <w:tc>
          <w:tcPr>
            <w:tcW w:w="874" w:type="dxa"/>
            <w:vAlign w:val="center"/>
          </w:tcPr>
          <w:p w14:paraId="2743EE5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人</w:t>
            </w:r>
          </w:p>
        </w:tc>
        <w:tc>
          <w:tcPr>
            <w:tcW w:w="1922" w:type="dxa"/>
            <w:vAlign w:val="center"/>
          </w:tcPr>
          <w:p w14:paraId="297B0DA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100≤X＜2000</w:t>
            </w:r>
          </w:p>
        </w:tc>
        <w:tc>
          <w:tcPr>
            <w:tcW w:w="1708" w:type="dxa"/>
            <w:vAlign w:val="center"/>
          </w:tcPr>
          <w:p w14:paraId="0A5D940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10≤X＜100</w:t>
            </w:r>
          </w:p>
        </w:tc>
        <w:tc>
          <w:tcPr>
            <w:tcW w:w="1102" w:type="dxa"/>
            <w:vAlign w:val="center"/>
          </w:tcPr>
          <w:p w14:paraId="6342786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X＜10</w:t>
            </w:r>
          </w:p>
        </w:tc>
      </w:tr>
      <w:tr w14:paraId="1B146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vAlign w:val="center"/>
          </w:tcPr>
          <w:p w14:paraId="617471D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p>
        </w:tc>
        <w:tc>
          <w:tcPr>
            <w:tcW w:w="1851" w:type="dxa"/>
            <w:vAlign w:val="center"/>
          </w:tcPr>
          <w:p w14:paraId="706CACA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营业收入（Y）</w:t>
            </w:r>
          </w:p>
        </w:tc>
        <w:tc>
          <w:tcPr>
            <w:tcW w:w="874" w:type="dxa"/>
            <w:vAlign w:val="center"/>
          </w:tcPr>
          <w:p w14:paraId="06FD0E8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万元</w:t>
            </w:r>
          </w:p>
        </w:tc>
        <w:tc>
          <w:tcPr>
            <w:tcW w:w="1922" w:type="dxa"/>
            <w:vAlign w:val="center"/>
          </w:tcPr>
          <w:p w14:paraId="6C49EA2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1000≤Y＜100000</w:t>
            </w:r>
          </w:p>
        </w:tc>
        <w:tc>
          <w:tcPr>
            <w:tcW w:w="1708" w:type="dxa"/>
            <w:vAlign w:val="center"/>
          </w:tcPr>
          <w:p w14:paraId="6512C90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100≤Y＜1000</w:t>
            </w:r>
          </w:p>
        </w:tc>
        <w:tc>
          <w:tcPr>
            <w:tcW w:w="1102" w:type="dxa"/>
            <w:vAlign w:val="center"/>
          </w:tcPr>
          <w:p w14:paraId="6A91AE6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Y＜100</w:t>
            </w:r>
          </w:p>
        </w:tc>
      </w:tr>
      <w:tr w14:paraId="068EA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vAlign w:val="center"/>
          </w:tcPr>
          <w:p w14:paraId="008A57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软件和信息技术服务</w:t>
            </w:r>
            <w:r>
              <w:rPr>
                <w:rFonts w:hint="eastAsia" w:ascii="仿宋" w:hAnsi="仿宋" w:eastAsia="仿宋" w:cs="仿宋"/>
                <w:sz w:val="24"/>
                <w:szCs w:val="24"/>
                <w:highlight w:val="none"/>
              </w:rPr>
              <w:t>业</w:t>
            </w:r>
          </w:p>
        </w:tc>
        <w:tc>
          <w:tcPr>
            <w:tcW w:w="1851" w:type="dxa"/>
            <w:vAlign w:val="center"/>
          </w:tcPr>
          <w:p w14:paraId="74A4548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从业人员（X）</w:t>
            </w:r>
          </w:p>
        </w:tc>
        <w:tc>
          <w:tcPr>
            <w:tcW w:w="874" w:type="dxa"/>
            <w:vAlign w:val="center"/>
          </w:tcPr>
          <w:p w14:paraId="3E6B2E9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人</w:t>
            </w:r>
          </w:p>
        </w:tc>
        <w:tc>
          <w:tcPr>
            <w:tcW w:w="1922" w:type="dxa"/>
            <w:vAlign w:val="center"/>
          </w:tcPr>
          <w:p w14:paraId="4E87481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100≤X＜300</w:t>
            </w:r>
          </w:p>
        </w:tc>
        <w:tc>
          <w:tcPr>
            <w:tcW w:w="1708" w:type="dxa"/>
            <w:vAlign w:val="center"/>
          </w:tcPr>
          <w:p w14:paraId="783B9F4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10≤X＜100</w:t>
            </w:r>
          </w:p>
        </w:tc>
        <w:tc>
          <w:tcPr>
            <w:tcW w:w="1102" w:type="dxa"/>
            <w:vAlign w:val="center"/>
          </w:tcPr>
          <w:p w14:paraId="54E1303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X＜10</w:t>
            </w:r>
          </w:p>
        </w:tc>
      </w:tr>
      <w:tr w14:paraId="037C7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vAlign w:val="center"/>
          </w:tcPr>
          <w:p w14:paraId="604C7CE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p>
        </w:tc>
        <w:tc>
          <w:tcPr>
            <w:tcW w:w="1851" w:type="dxa"/>
            <w:vAlign w:val="center"/>
          </w:tcPr>
          <w:p w14:paraId="5AAE346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营业收入（Y）</w:t>
            </w:r>
          </w:p>
        </w:tc>
        <w:tc>
          <w:tcPr>
            <w:tcW w:w="874" w:type="dxa"/>
            <w:vAlign w:val="center"/>
          </w:tcPr>
          <w:p w14:paraId="77AF24E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万元</w:t>
            </w:r>
          </w:p>
        </w:tc>
        <w:tc>
          <w:tcPr>
            <w:tcW w:w="1922" w:type="dxa"/>
            <w:vAlign w:val="center"/>
          </w:tcPr>
          <w:p w14:paraId="5AF63EF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1000≤Y＜10000</w:t>
            </w:r>
          </w:p>
        </w:tc>
        <w:tc>
          <w:tcPr>
            <w:tcW w:w="1708" w:type="dxa"/>
            <w:vAlign w:val="center"/>
          </w:tcPr>
          <w:p w14:paraId="2C8F79C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50≤Y＜1000</w:t>
            </w:r>
          </w:p>
        </w:tc>
        <w:tc>
          <w:tcPr>
            <w:tcW w:w="1102" w:type="dxa"/>
            <w:vAlign w:val="center"/>
          </w:tcPr>
          <w:p w14:paraId="4F1B46E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Y＜50</w:t>
            </w:r>
          </w:p>
        </w:tc>
      </w:tr>
      <w:tr w14:paraId="585B9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vAlign w:val="center"/>
          </w:tcPr>
          <w:p w14:paraId="43A60BD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房地产开发经营</w:t>
            </w:r>
          </w:p>
        </w:tc>
        <w:tc>
          <w:tcPr>
            <w:tcW w:w="1851" w:type="dxa"/>
            <w:vAlign w:val="center"/>
          </w:tcPr>
          <w:p w14:paraId="1FF2E33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营业收入（Y）</w:t>
            </w:r>
          </w:p>
        </w:tc>
        <w:tc>
          <w:tcPr>
            <w:tcW w:w="874" w:type="dxa"/>
            <w:vAlign w:val="center"/>
          </w:tcPr>
          <w:p w14:paraId="63B0EDB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万元</w:t>
            </w:r>
          </w:p>
        </w:tc>
        <w:tc>
          <w:tcPr>
            <w:tcW w:w="1922" w:type="dxa"/>
            <w:vAlign w:val="center"/>
          </w:tcPr>
          <w:p w14:paraId="7F07CBF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1000≤Y＜200000</w:t>
            </w:r>
          </w:p>
        </w:tc>
        <w:tc>
          <w:tcPr>
            <w:tcW w:w="1708" w:type="dxa"/>
            <w:vAlign w:val="center"/>
          </w:tcPr>
          <w:p w14:paraId="704D225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100≤X＜1000</w:t>
            </w:r>
          </w:p>
        </w:tc>
        <w:tc>
          <w:tcPr>
            <w:tcW w:w="1102" w:type="dxa"/>
            <w:vAlign w:val="center"/>
          </w:tcPr>
          <w:p w14:paraId="5126569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X＜100</w:t>
            </w:r>
          </w:p>
        </w:tc>
      </w:tr>
      <w:tr w14:paraId="713FC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vAlign w:val="center"/>
          </w:tcPr>
          <w:p w14:paraId="6728AF2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p>
        </w:tc>
        <w:tc>
          <w:tcPr>
            <w:tcW w:w="1851" w:type="dxa"/>
            <w:vAlign w:val="center"/>
          </w:tcPr>
          <w:p w14:paraId="03BA5D7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资产总额（Z）</w:t>
            </w:r>
          </w:p>
        </w:tc>
        <w:tc>
          <w:tcPr>
            <w:tcW w:w="874" w:type="dxa"/>
            <w:vAlign w:val="center"/>
          </w:tcPr>
          <w:p w14:paraId="29560D9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万元</w:t>
            </w:r>
          </w:p>
        </w:tc>
        <w:tc>
          <w:tcPr>
            <w:tcW w:w="1922" w:type="dxa"/>
            <w:vAlign w:val="center"/>
          </w:tcPr>
          <w:p w14:paraId="7FD49B6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5000≤Z＜10000</w:t>
            </w:r>
          </w:p>
        </w:tc>
        <w:tc>
          <w:tcPr>
            <w:tcW w:w="1708" w:type="dxa"/>
            <w:vAlign w:val="center"/>
          </w:tcPr>
          <w:p w14:paraId="080F480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2000≤Y＜5000</w:t>
            </w:r>
          </w:p>
        </w:tc>
        <w:tc>
          <w:tcPr>
            <w:tcW w:w="1102" w:type="dxa"/>
            <w:vAlign w:val="center"/>
          </w:tcPr>
          <w:p w14:paraId="5E9D967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Y＜2000</w:t>
            </w:r>
          </w:p>
        </w:tc>
      </w:tr>
      <w:tr w14:paraId="6FC39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vAlign w:val="center"/>
          </w:tcPr>
          <w:p w14:paraId="65E1421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物业管理</w:t>
            </w:r>
          </w:p>
        </w:tc>
        <w:tc>
          <w:tcPr>
            <w:tcW w:w="1851" w:type="dxa"/>
            <w:vAlign w:val="center"/>
          </w:tcPr>
          <w:p w14:paraId="2504EEA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从业人员（X）</w:t>
            </w:r>
          </w:p>
        </w:tc>
        <w:tc>
          <w:tcPr>
            <w:tcW w:w="874" w:type="dxa"/>
            <w:vAlign w:val="center"/>
          </w:tcPr>
          <w:p w14:paraId="480E39B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人</w:t>
            </w:r>
          </w:p>
        </w:tc>
        <w:tc>
          <w:tcPr>
            <w:tcW w:w="1922" w:type="dxa"/>
            <w:vAlign w:val="center"/>
          </w:tcPr>
          <w:p w14:paraId="2F4C8C2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300≤X＜1000</w:t>
            </w:r>
          </w:p>
        </w:tc>
        <w:tc>
          <w:tcPr>
            <w:tcW w:w="1708" w:type="dxa"/>
            <w:vAlign w:val="center"/>
          </w:tcPr>
          <w:p w14:paraId="3C6F77F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100≤X＜300</w:t>
            </w:r>
          </w:p>
        </w:tc>
        <w:tc>
          <w:tcPr>
            <w:tcW w:w="1102" w:type="dxa"/>
            <w:vAlign w:val="center"/>
          </w:tcPr>
          <w:p w14:paraId="33F7DE7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X＜100</w:t>
            </w:r>
          </w:p>
        </w:tc>
      </w:tr>
      <w:tr w14:paraId="78DFF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vAlign w:val="center"/>
          </w:tcPr>
          <w:p w14:paraId="163BC09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p>
        </w:tc>
        <w:tc>
          <w:tcPr>
            <w:tcW w:w="1851" w:type="dxa"/>
            <w:vAlign w:val="center"/>
          </w:tcPr>
          <w:p w14:paraId="6C75D67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营业收入（Y）</w:t>
            </w:r>
          </w:p>
        </w:tc>
        <w:tc>
          <w:tcPr>
            <w:tcW w:w="874" w:type="dxa"/>
            <w:vAlign w:val="center"/>
          </w:tcPr>
          <w:p w14:paraId="7C310D1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万元</w:t>
            </w:r>
          </w:p>
        </w:tc>
        <w:tc>
          <w:tcPr>
            <w:tcW w:w="1922" w:type="dxa"/>
            <w:vAlign w:val="center"/>
          </w:tcPr>
          <w:p w14:paraId="5DB6CCE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1000≤Y＜5000</w:t>
            </w:r>
          </w:p>
        </w:tc>
        <w:tc>
          <w:tcPr>
            <w:tcW w:w="1708" w:type="dxa"/>
            <w:vAlign w:val="center"/>
          </w:tcPr>
          <w:p w14:paraId="087EDC7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500≤Y＜1000</w:t>
            </w:r>
          </w:p>
        </w:tc>
        <w:tc>
          <w:tcPr>
            <w:tcW w:w="1102" w:type="dxa"/>
            <w:vAlign w:val="center"/>
          </w:tcPr>
          <w:p w14:paraId="36BB88F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Y＜500</w:t>
            </w:r>
          </w:p>
        </w:tc>
      </w:tr>
      <w:tr w14:paraId="6BAA9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2233" w:type="dxa"/>
            <w:vMerge w:val="restart"/>
            <w:tcBorders>
              <w:bottom w:val="nil"/>
            </w:tcBorders>
            <w:vAlign w:val="center"/>
          </w:tcPr>
          <w:p w14:paraId="39792F3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租赁和商务服务业</w:t>
            </w:r>
          </w:p>
        </w:tc>
        <w:tc>
          <w:tcPr>
            <w:tcW w:w="1851" w:type="dxa"/>
            <w:vAlign w:val="center"/>
          </w:tcPr>
          <w:p w14:paraId="2CFCCEB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从业人员（X）</w:t>
            </w:r>
          </w:p>
        </w:tc>
        <w:tc>
          <w:tcPr>
            <w:tcW w:w="874" w:type="dxa"/>
            <w:vAlign w:val="center"/>
          </w:tcPr>
          <w:p w14:paraId="27C8735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人</w:t>
            </w:r>
          </w:p>
        </w:tc>
        <w:tc>
          <w:tcPr>
            <w:tcW w:w="1922" w:type="dxa"/>
            <w:vAlign w:val="center"/>
          </w:tcPr>
          <w:p w14:paraId="382CCCB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100≤X＜300</w:t>
            </w:r>
          </w:p>
        </w:tc>
        <w:tc>
          <w:tcPr>
            <w:tcW w:w="1708" w:type="dxa"/>
            <w:vAlign w:val="center"/>
          </w:tcPr>
          <w:p w14:paraId="13EE015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10≤X＜100</w:t>
            </w:r>
          </w:p>
        </w:tc>
        <w:tc>
          <w:tcPr>
            <w:tcW w:w="1102" w:type="dxa"/>
            <w:vAlign w:val="center"/>
          </w:tcPr>
          <w:p w14:paraId="6C1D6A6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X＜10</w:t>
            </w:r>
          </w:p>
        </w:tc>
      </w:tr>
      <w:tr w14:paraId="37FE7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vAlign w:val="center"/>
          </w:tcPr>
          <w:p w14:paraId="532DA9E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p>
        </w:tc>
        <w:tc>
          <w:tcPr>
            <w:tcW w:w="1851" w:type="dxa"/>
            <w:vAlign w:val="center"/>
          </w:tcPr>
          <w:p w14:paraId="6BAD164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资产总额（Z）</w:t>
            </w:r>
          </w:p>
        </w:tc>
        <w:tc>
          <w:tcPr>
            <w:tcW w:w="874" w:type="dxa"/>
            <w:vAlign w:val="center"/>
          </w:tcPr>
          <w:p w14:paraId="0E579FC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万元</w:t>
            </w:r>
          </w:p>
        </w:tc>
        <w:tc>
          <w:tcPr>
            <w:tcW w:w="1922" w:type="dxa"/>
            <w:vAlign w:val="center"/>
          </w:tcPr>
          <w:p w14:paraId="5FB78FA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8000≤Z＜120000</w:t>
            </w:r>
          </w:p>
        </w:tc>
        <w:tc>
          <w:tcPr>
            <w:tcW w:w="1708" w:type="dxa"/>
            <w:vAlign w:val="center"/>
          </w:tcPr>
          <w:p w14:paraId="78EF887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100≤Z＜8000</w:t>
            </w:r>
          </w:p>
        </w:tc>
        <w:tc>
          <w:tcPr>
            <w:tcW w:w="1102" w:type="dxa"/>
            <w:vAlign w:val="center"/>
          </w:tcPr>
          <w:p w14:paraId="37E4C45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Y＜100</w:t>
            </w:r>
          </w:p>
        </w:tc>
      </w:tr>
      <w:tr w14:paraId="1781A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2233" w:type="dxa"/>
            <w:vAlign w:val="center"/>
          </w:tcPr>
          <w:p w14:paraId="3168A91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其他未列明行业</w:t>
            </w:r>
          </w:p>
        </w:tc>
        <w:tc>
          <w:tcPr>
            <w:tcW w:w="1851" w:type="dxa"/>
            <w:vAlign w:val="center"/>
          </w:tcPr>
          <w:p w14:paraId="341AE0A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从业人员（X）</w:t>
            </w:r>
          </w:p>
        </w:tc>
        <w:tc>
          <w:tcPr>
            <w:tcW w:w="874" w:type="dxa"/>
            <w:vAlign w:val="center"/>
          </w:tcPr>
          <w:p w14:paraId="31C22B0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人</w:t>
            </w:r>
          </w:p>
        </w:tc>
        <w:tc>
          <w:tcPr>
            <w:tcW w:w="1922" w:type="dxa"/>
            <w:vAlign w:val="center"/>
          </w:tcPr>
          <w:p w14:paraId="31E86CA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100≤X＜300</w:t>
            </w:r>
          </w:p>
        </w:tc>
        <w:tc>
          <w:tcPr>
            <w:tcW w:w="1708" w:type="dxa"/>
            <w:vAlign w:val="center"/>
          </w:tcPr>
          <w:p w14:paraId="42802CD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10≤X＜100</w:t>
            </w:r>
          </w:p>
        </w:tc>
        <w:tc>
          <w:tcPr>
            <w:tcW w:w="1102" w:type="dxa"/>
            <w:vAlign w:val="center"/>
          </w:tcPr>
          <w:p w14:paraId="3E07587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z w:val="24"/>
                <w:szCs w:val="24"/>
                <w:highlight w:val="none"/>
              </w:rPr>
            </w:pPr>
            <w:r>
              <w:rPr>
                <w:rFonts w:hint="eastAsia" w:ascii="仿宋" w:hAnsi="仿宋" w:eastAsia="仿宋" w:cs="仿宋"/>
                <w:spacing w:val="3"/>
                <w:position w:val="1"/>
                <w:sz w:val="24"/>
                <w:szCs w:val="24"/>
                <w:highlight w:val="none"/>
              </w:rPr>
              <w:t>X＜10</w:t>
            </w:r>
          </w:p>
        </w:tc>
      </w:tr>
    </w:tbl>
    <w:p w14:paraId="03DCF261">
      <w:pPr>
        <w:keepNext w:val="0"/>
        <w:keepLines w:val="0"/>
        <w:pageBreakBefore w:val="0"/>
        <w:widowControl w:val="0"/>
        <w:kinsoku/>
        <w:wordWrap/>
        <w:overflowPunct/>
        <w:topLinePunct w:val="0"/>
        <w:autoSpaceDE/>
        <w:autoSpaceDN/>
        <w:bidi w:val="0"/>
        <w:adjustRightInd/>
        <w:snapToGrid w:val="0"/>
        <w:spacing w:line="360" w:lineRule="auto"/>
        <w:ind w:firstLine="516"/>
        <w:jc w:val="left"/>
        <w:textAlignment w:val="auto"/>
        <w:rPr>
          <w:rFonts w:hint="eastAsia" w:ascii="仿宋" w:hAnsi="仿宋" w:eastAsia="仿宋" w:cs="仿宋"/>
          <w:spacing w:val="7"/>
          <w:sz w:val="24"/>
          <w:szCs w:val="24"/>
          <w:highlight w:val="none"/>
        </w:rPr>
      </w:pPr>
    </w:p>
    <w:p w14:paraId="2EBFB8FF">
      <w:pPr>
        <w:pageBreakBefore w:val="0"/>
        <w:widowControl w:val="0"/>
        <w:numPr>
          <w:ilvl w:val="0"/>
          <w:numId w:val="0"/>
        </w:numPr>
        <w:kinsoku/>
        <w:wordWrap/>
        <w:overflowPunct/>
        <w:topLinePunct w:val="0"/>
        <w:autoSpaceDE/>
        <w:autoSpaceDN/>
        <w:bidi w:val="0"/>
        <w:adjustRightInd w:val="0"/>
        <w:snapToGrid w:val="0"/>
        <w:spacing w:line="360" w:lineRule="auto"/>
        <w:ind w:leftChars="200"/>
        <w:jc w:val="left"/>
        <w:textAlignment w:val="auto"/>
        <w:outlineLvl w:val="9"/>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spacing w:val="7"/>
          <w:sz w:val="24"/>
          <w:szCs w:val="24"/>
          <w:highlight w:val="none"/>
        </w:rPr>
        <w:t>说明：上述标准参照《关于印发中小企业划型标准规定的通知》（工信部联企业[2011]300</w:t>
      </w:r>
      <w:r>
        <w:rPr>
          <w:rFonts w:hint="eastAsia" w:ascii="仿宋" w:hAnsi="仿宋" w:eastAsia="仿宋" w:cs="仿宋"/>
          <w:spacing w:val="-26"/>
          <w:sz w:val="24"/>
          <w:szCs w:val="24"/>
          <w:highlight w:val="none"/>
        </w:rPr>
        <w:t xml:space="preserve"> </w:t>
      </w:r>
      <w:r>
        <w:rPr>
          <w:rFonts w:hint="eastAsia" w:ascii="仿宋" w:hAnsi="仿宋" w:eastAsia="仿宋" w:cs="仿宋"/>
          <w:spacing w:val="6"/>
          <w:sz w:val="24"/>
          <w:szCs w:val="24"/>
          <w:highlight w:val="none"/>
        </w:rPr>
        <w:t>号），大</w:t>
      </w:r>
      <w:r>
        <w:rPr>
          <w:rFonts w:hint="eastAsia" w:ascii="仿宋" w:hAnsi="仿宋" w:eastAsia="仿宋" w:cs="仿宋"/>
          <w:spacing w:val="9"/>
          <w:sz w:val="24"/>
          <w:szCs w:val="24"/>
          <w:highlight w:val="none"/>
        </w:rPr>
        <w:t>型、中型和小型企业须同时满足所列指标的下限，否则下划一档；微型企业只须满足所列指标中的一项即</w:t>
      </w:r>
      <w:r>
        <w:rPr>
          <w:rFonts w:hint="eastAsia" w:ascii="仿宋" w:hAnsi="仿宋" w:eastAsia="仿宋" w:cs="仿宋"/>
          <w:spacing w:val="-12"/>
          <w:sz w:val="24"/>
          <w:szCs w:val="24"/>
          <w:highlight w:val="none"/>
        </w:rPr>
        <w:t>可。</w:t>
      </w:r>
      <w:r>
        <w:rPr>
          <w:rFonts w:hint="eastAsia" w:ascii="仿宋" w:hAnsi="仿宋" w:eastAsia="仿宋" w:cs="仿宋"/>
          <w:bCs/>
          <w:color w:val="auto"/>
          <w:kern w:val="2"/>
          <w:sz w:val="21"/>
          <w:szCs w:val="21"/>
          <w:highlight w:val="none"/>
          <w:lang w:val="en-US" w:eastAsia="zh-CN" w:bidi="ar-SA"/>
        </w:rPr>
        <w:br w:type="page"/>
      </w:r>
    </w:p>
    <w:p w14:paraId="073BE52C">
      <w:pPr>
        <w:jc w:val="center"/>
        <w:outlineLvl w:val="9"/>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招标说明</w:t>
      </w:r>
    </w:p>
    <w:p w14:paraId="7D4208FD">
      <w:pPr>
        <w:spacing w:line="360" w:lineRule="auto"/>
        <w:ind w:firstLine="482" w:firstLineChars="200"/>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5ABD873A">
      <w:pPr>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bCs/>
          <w:color w:val="auto"/>
          <w:sz w:val="24"/>
          <w:highlight w:val="none"/>
        </w:rPr>
        <w:t>1.1 本招标文件仅适用于在招标文件中所叙述的本采购项目的合格投标人。</w:t>
      </w:r>
    </w:p>
    <w:p w14:paraId="2FE763B4">
      <w:pPr>
        <w:spacing w:line="360" w:lineRule="auto"/>
        <w:ind w:firstLine="482" w:firstLineChars="200"/>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 投标资格</w:t>
      </w:r>
    </w:p>
    <w:p w14:paraId="73605967">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2.1 凡在中华人民共和国境内注册的合法的法人且有承担本项目的能力以及能够提供资格必备条件和审查项目条件且均应合格的投标人（制造商、代理商）。</w:t>
      </w:r>
    </w:p>
    <w:p w14:paraId="5F0E5E20">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2.2　投标人应遵守中华人民共和国法律、法规和行政规章。</w:t>
      </w:r>
    </w:p>
    <w:p w14:paraId="3B428D14">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2.3  本项目不接受联合体投标。</w:t>
      </w:r>
    </w:p>
    <w:p w14:paraId="468DD8CA">
      <w:pPr>
        <w:tabs>
          <w:tab w:val="left" w:pos="1185"/>
        </w:tabs>
        <w:spacing w:line="360" w:lineRule="auto"/>
        <w:ind w:firstLine="482" w:firstLineChars="200"/>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定义</w:t>
      </w:r>
    </w:p>
    <w:p w14:paraId="29384FA3">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下列术语和缩写的定义为：</w:t>
      </w:r>
    </w:p>
    <w:p w14:paraId="54F812F2">
      <w:pPr>
        <w:spacing w:line="360" w:lineRule="auto"/>
        <w:ind w:firstLine="480" w:firstLineChars="200"/>
        <w:outlineLvl w:val="9"/>
        <w:rPr>
          <w:rFonts w:hint="eastAsia" w:ascii="仿宋" w:hAnsi="仿宋" w:eastAsia="仿宋" w:cs="仿宋"/>
          <w:bCs/>
          <w:color w:val="auto"/>
          <w:sz w:val="24"/>
          <w:szCs w:val="22"/>
          <w:highlight w:val="none"/>
        </w:rPr>
      </w:pPr>
      <w:r>
        <w:rPr>
          <w:rFonts w:hint="eastAsia" w:ascii="仿宋" w:hAnsi="仿宋" w:eastAsia="仿宋" w:cs="仿宋"/>
          <w:bCs/>
          <w:color w:val="auto"/>
          <w:sz w:val="24"/>
          <w:highlight w:val="none"/>
        </w:rPr>
        <w:t>3.1 “采购人”系指</w:t>
      </w:r>
      <w:r>
        <w:rPr>
          <w:rFonts w:hint="eastAsia" w:ascii="仿宋" w:hAnsi="仿宋" w:eastAsia="仿宋" w:cs="仿宋"/>
          <w:bCs/>
          <w:color w:val="auto"/>
          <w:sz w:val="24"/>
          <w:szCs w:val="22"/>
          <w:highlight w:val="none"/>
          <w:lang w:eastAsia="zh-CN"/>
        </w:rPr>
        <w:t>库尔勒市第二幼儿园</w:t>
      </w:r>
      <w:r>
        <w:rPr>
          <w:rFonts w:hint="eastAsia" w:ascii="仿宋" w:hAnsi="仿宋" w:eastAsia="仿宋" w:cs="仿宋"/>
          <w:bCs/>
          <w:color w:val="auto"/>
          <w:sz w:val="24"/>
          <w:szCs w:val="22"/>
          <w:highlight w:val="none"/>
        </w:rPr>
        <w:t>。</w:t>
      </w:r>
    </w:p>
    <w:p w14:paraId="62EC53CB">
      <w:pPr>
        <w:spacing w:line="360" w:lineRule="auto"/>
        <w:ind w:firstLine="480" w:firstLineChars="200"/>
        <w:outlineLvl w:val="9"/>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3.2 “采购代理机构”系</w:t>
      </w:r>
      <w:r>
        <w:rPr>
          <w:rFonts w:hint="eastAsia" w:ascii="仿宋" w:hAnsi="仿宋" w:eastAsia="仿宋" w:cs="仿宋"/>
          <w:bCs/>
          <w:color w:val="auto"/>
          <w:sz w:val="24"/>
          <w:highlight w:val="none"/>
          <w:lang w:eastAsia="zh-CN"/>
        </w:rPr>
        <w:t>新疆益双工程管理有限公司</w:t>
      </w:r>
    </w:p>
    <w:p w14:paraId="7D68633F">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3.3 “投标方”、“投标人”系指有资格的投标人及投标表现人。</w:t>
      </w:r>
    </w:p>
    <w:p w14:paraId="5C58CB8E">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3.4 “货物”系指招标文件规定的，投标方须向采购人提供的一切设备、附件、备品备件、工具、手册及其它有关资料和材料。</w:t>
      </w:r>
    </w:p>
    <w:p w14:paraId="73659651">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3.5 “服务”系指招标文件规定投标方须承担的保修、技术协助、培训及其他类似的责任。</w:t>
      </w:r>
    </w:p>
    <w:p w14:paraId="338FFDCC">
      <w:pPr>
        <w:spacing w:line="360" w:lineRule="auto"/>
        <w:ind w:firstLine="482" w:firstLineChars="200"/>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投标费用</w:t>
      </w:r>
    </w:p>
    <w:p w14:paraId="10107867">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4.1无论投标结果如何，凡参与招标、投标活动有关的所有费用将由投标方自行承担。</w:t>
      </w:r>
    </w:p>
    <w:p w14:paraId="145B73E5">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4.2 投标人被视为熟悉本招标项目的各种情况以及与履行合同有关的一切情况。</w:t>
      </w:r>
    </w:p>
    <w:p w14:paraId="2D212E4C">
      <w:pPr>
        <w:tabs>
          <w:tab w:val="left" w:pos="1185"/>
        </w:tabs>
        <w:spacing w:line="360" w:lineRule="auto"/>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highlight w:val="none"/>
        </w:rPr>
        <w:t>5. 招标文件的构成</w:t>
      </w:r>
    </w:p>
    <w:p w14:paraId="2F142593">
      <w:pPr>
        <w:pStyle w:val="33"/>
        <w:spacing w:line="360" w:lineRule="auto"/>
        <w:ind w:firstLine="268" w:firstLineChars="112"/>
        <w:outlineLvl w:val="9"/>
        <w:rPr>
          <w:rFonts w:hint="eastAsia" w:ascii="仿宋" w:hAnsi="仿宋" w:eastAsia="仿宋" w:cs="仿宋"/>
          <w:bCs/>
          <w:color w:val="auto"/>
          <w:highlight w:val="none"/>
        </w:rPr>
      </w:pPr>
      <w:r>
        <w:rPr>
          <w:rFonts w:hint="eastAsia" w:ascii="仿宋" w:hAnsi="仿宋" w:eastAsia="仿宋" w:cs="仿宋"/>
          <w:bCs/>
          <w:color w:val="auto"/>
          <w:highlight w:val="none"/>
        </w:rPr>
        <w:t>5.1 招标文件由</w:t>
      </w:r>
      <w:r>
        <w:rPr>
          <w:rFonts w:hint="eastAsia" w:ascii="仿宋" w:hAnsi="仿宋" w:eastAsia="仿宋" w:cs="仿宋"/>
          <w:color w:val="auto"/>
          <w:highlight w:val="none"/>
        </w:rPr>
        <w:t>招标公告、 投标须知、</w:t>
      </w:r>
      <w:r>
        <w:rPr>
          <w:rFonts w:hint="eastAsia" w:ascii="仿宋" w:hAnsi="仿宋" w:eastAsia="仿宋" w:cs="仿宋"/>
          <w:color w:val="auto"/>
          <w:kern w:val="2"/>
          <w:highlight w:val="none"/>
        </w:rPr>
        <w:t>货物需求、技术规格说明、</w:t>
      </w:r>
      <w:r>
        <w:rPr>
          <w:rFonts w:hint="eastAsia" w:ascii="仿宋" w:hAnsi="仿宋" w:eastAsia="仿宋" w:cs="仿宋"/>
          <w:color w:val="auto"/>
          <w:highlight w:val="none"/>
        </w:rPr>
        <w:t>招标说明、投标说明、开标、评标、定标说明、商务部分、投标文件的编制装订</w:t>
      </w:r>
      <w:r>
        <w:rPr>
          <w:rFonts w:hint="eastAsia" w:ascii="仿宋" w:hAnsi="仿宋" w:eastAsia="仿宋" w:cs="仿宋"/>
          <w:bCs/>
          <w:color w:val="auto"/>
          <w:highlight w:val="none"/>
        </w:rPr>
        <w:t>。</w:t>
      </w:r>
    </w:p>
    <w:p w14:paraId="7668CAC4">
      <w:pPr>
        <w:spacing w:line="360" w:lineRule="auto"/>
        <w:ind w:firstLine="482" w:firstLineChars="200"/>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 招标文件的澄清</w:t>
      </w:r>
    </w:p>
    <w:p w14:paraId="51A78DC1">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6.1投标人对招标文件如有疑点，可在投标截止日的10日前按招标书中载明的地址以书面形式通知采购代理机构要求澄清。采购代理机构将视情况确定采用适当方式予以澄清或以书面形式予以答复。采购代理机构认为有必要时，可将答复内容（包括原提出问题，但不包括问题的来源）分发给所有拟投标人。</w:t>
      </w:r>
    </w:p>
    <w:p w14:paraId="1BE219F6">
      <w:pPr>
        <w:spacing w:line="360" w:lineRule="exact"/>
        <w:ind w:left="178" w:leftChars="85" w:firstLine="241" w:firstLineChars="100"/>
        <w:jc w:val="left"/>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 招标文件的修改或补充、修改</w:t>
      </w:r>
    </w:p>
    <w:p w14:paraId="56B42BA1">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7.1 采购人或者采购代理机构可以对已发出的招标文件进行必要的澄清或者修改。澄清或者修改的内容可能影响投标文件编制的，采购人或者采购代理机构应当在投标截止时间至少10日前，以书面形式通知所有获取招标文件的潜在投标人;不足10日的，采购人或者采购代理机构应当顺延提交投标文件的截止时间。</w:t>
      </w:r>
    </w:p>
    <w:p w14:paraId="415EBAAC">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7.2 为使投标人在准备投标时有适当的时间考虑投标文件的修改，采购代理机构有权决定推迟投标截止日期和开标日期，并将此变更以书面或公告等形式通知所有投标人。</w:t>
      </w:r>
    </w:p>
    <w:p w14:paraId="38072E57">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7.3 招标文件的修改和补充文件将构成招标文件的一部分，并且对投标人具有优先约束力。</w:t>
      </w:r>
    </w:p>
    <w:p w14:paraId="0764ECF8">
      <w:pPr>
        <w:pStyle w:val="6"/>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 廉洁自律承诺要求</w:t>
      </w:r>
    </w:p>
    <w:p w14:paraId="13A26F7A">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8.1 在本次招标活动中，</w:t>
      </w:r>
      <w:r>
        <w:rPr>
          <w:rFonts w:hint="eastAsia" w:ascii="仿宋" w:hAnsi="仿宋" w:eastAsia="仿宋" w:cs="仿宋"/>
          <w:bCs/>
          <w:color w:val="auto"/>
          <w:sz w:val="24"/>
          <w:highlight w:val="none"/>
          <w:lang w:val="en-US" w:eastAsia="zh-CN"/>
        </w:rPr>
        <w:t>我单位</w:t>
      </w:r>
      <w:r>
        <w:rPr>
          <w:rFonts w:hint="eastAsia" w:ascii="仿宋" w:hAnsi="仿宋" w:eastAsia="仿宋" w:cs="仿宋"/>
          <w:bCs/>
          <w:color w:val="auto"/>
          <w:sz w:val="24"/>
          <w:highlight w:val="none"/>
        </w:rPr>
        <w:t>保证不接受任何投标单位送的礼金礼品、有价证券、购物券、回扣、佣金；不与投标单位及其工作人员私下接触、参与宴请和娱乐活动；不向投标单位及其工作人员索要好处费、赞助费和宣传费；不在投标单位支付旅游费用、报销各种消费凭证；同时，采购人要求参加本次项目的采购单位、评标专家要填写和提交《廉洁自律承诺书》。</w:t>
      </w:r>
    </w:p>
    <w:p w14:paraId="250467BF">
      <w:pPr>
        <w:pStyle w:val="6"/>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9．设备、材料性能要求</w:t>
      </w:r>
    </w:p>
    <w:p w14:paraId="4E80FDBC">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9.1 为贯彻落实《国务院办公厅关于建立政府强制采购节能产品制度的通知》，扩大节能产品范围，发挥政府机构节能的表率作用，降低政府机构能源费用开支，促进节能技术进步，扩大节能产品市场，根据《中华人民共和国节约能源法》、《中华人民共和国法》等相关政策法规规定，属于环境标志产品、节能产品和计算机、打印机、空调、照明产品（包括双端荧光灯、自镇流荧光灯、单端荧光灯、管型荧光灯镇流器）、电视机、电热水器、显示器、便器、水嘴等九大类强制采购产品的采购，必须优先选择国家财政部、国家环保部、国家发展和改革委员会等有关部门最新发布的《节能产品清单》和《环境标志产品清单》中的产品。</w:t>
      </w:r>
    </w:p>
    <w:p w14:paraId="547A4393">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9.2 按照上述国家政策规定，凡本次招标产品涉及国家强制采购节能、环保产品，生产制造商必须使用节能环保材料，并要将纳入节能产品清单的产品作为投标产品，要以 “</w:t>
      </w: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INCLUDEPICTURE "http://zzjg.ccgp.gov.cn/cpgp/file/file.files/image002.jpg" \* MERGEFORMATINET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drawing>
          <wp:inline distT="0" distB="0" distL="114300" distR="114300">
            <wp:extent cx="159385" cy="159385"/>
            <wp:effectExtent l="0" t="0" r="12065" b="12065"/>
            <wp:docPr id="7" name="图片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age002"/>
                    <pic:cNvPicPr>
                      <a:picLocks noChangeAspect="1"/>
                    </pic:cNvPicPr>
                  </pic:nvPicPr>
                  <pic:blipFill>
                    <a:blip r:embed="rId13"/>
                    <a:stretch>
                      <a:fillRect/>
                    </a:stretch>
                  </pic:blipFill>
                  <pic:spPr>
                    <a:xfrm>
                      <a:off x="0" y="0"/>
                      <a:ext cx="159385" cy="159385"/>
                    </a:xfrm>
                    <a:prstGeom prst="rect">
                      <a:avLst/>
                    </a:prstGeom>
                    <a:noFill/>
                    <a:ln>
                      <a:noFill/>
                    </a:ln>
                  </pic:spPr>
                </pic:pic>
              </a:graphicData>
            </a:graphic>
          </wp:inline>
        </w:drawing>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”作标注，对于获得中国环境标志认证证书的产品要以 “</w:t>
      </w: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INCLUDEPICTURE "http://zzjg.ccgp.gov.cn/cpgp/file/file.files/image003.gif" \* MERGEFORMATINET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drawing>
          <wp:inline distT="0" distB="0" distL="114300" distR="114300">
            <wp:extent cx="131445" cy="118110"/>
            <wp:effectExtent l="0" t="0" r="1905" b="15240"/>
            <wp:docPr id="8" name="图片 3"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age003"/>
                    <pic:cNvPicPr>
                      <a:picLocks noChangeAspect="1"/>
                    </pic:cNvPicPr>
                  </pic:nvPicPr>
                  <pic:blipFill>
                    <a:blip r:embed="rId14"/>
                    <a:stretch>
                      <a:fillRect/>
                    </a:stretch>
                  </pic:blipFill>
                  <pic:spPr>
                    <a:xfrm>
                      <a:off x="0" y="0"/>
                      <a:ext cx="131445" cy="118110"/>
                    </a:xfrm>
                    <a:prstGeom prst="rect">
                      <a:avLst/>
                    </a:prstGeom>
                    <a:noFill/>
                    <a:ln>
                      <a:noFill/>
                    </a:ln>
                  </pic:spPr>
                </pic:pic>
              </a:graphicData>
            </a:graphic>
          </wp:inline>
        </w:drawing>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”作标注。否则，届时经核实情况后，其投标将可能被拒绝。</w:t>
      </w:r>
    </w:p>
    <w:p w14:paraId="4350777D">
      <w:pPr>
        <w:pStyle w:val="6"/>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10. 招标会场纪律及要求</w:t>
      </w:r>
    </w:p>
    <w:p w14:paraId="4BA1E2F6">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10.1 会议按照“公开、公平、公正、诚信”的原则，招标采取全封闭方式主持进行。</w:t>
      </w:r>
    </w:p>
    <w:p w14:paraId="73275991">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10.2 凡没有按投标报价截止时间准时参加会议的投标人、评审专家、与招标活动有关的工作人员（即监标人、采购人代表、特邀代表、工作人员等），一律不允许进场。</w:t>
      </w:r>
    </w:p>
    <w:p w14:paraId="6BFF0730">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10.3 与会人员要关闭手机等一切通讯工具，严禁在会场大声喧哗。否则，将请你离开会场。</w:t>
      </w:r>
    </w:p>
    <w:p w14:paraId="4F72561B">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10.4 严禁投标方会议期间与评委单独接触和交往。</w:t>
      </w:r>
    </w:p>
    <w:p w14:paraId="1D17FFCC">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10.5 评标活动结束前，评标委员会各成员务必自觉做到不与外界及</w:t>
      </w:r>
      <w:r>
        <w:rPr>
          <w:rFonts w:hint="eastAsia" w:ascii="仿宋" w:hAnsi="仿宋" w:eastAsia="仿宋" w:cs="仿宋"/>
          <w:bCs/>
          <w:color w:val="auto"/>
          <w:sz w:val="24"/>
          <w:highlight w:val="none"/>
          <w:lang w:eastAsia="zh-CN"/>
        </w:rPr>
        <w:t>投标</w:t>
      </w:r>
      <w:r>
        <w:rPr>
          <w:rFonts w:hint="eastAsia" w:ascii="仿宋" w:hAnsi="仿宋" w:eastAsia="仿宋" w:cs="仿宋"/>
          <w:bCs/>
          <w:color w:val="auto"/>
          <w:sz w:val="24"/>
          <w:highlight w:val="none"/>
        </w:rPr>
        <w:t>人有任何形式的联系，确有特殊原因需要外出或其他方面的，必须由监标人提交采购代理机构后，方可外出，外出时须有监标人员陪同。</w:t>
      </w:r>
    </w:p>
    <w:p w14:paraId="29399411">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10.6</w:t>
      </w:r>
      <w:r>
        <w:rPr>
          <w:rFonts w:hint="eastAsia" w:ascii="仿宋" w:hAnsi="仿宋" w:eastAsia="仿宋" w:cs="仿宋"/>
          <w:bCs/>
          <w:color w:val="auto"/>
          <w:sz w:val="24"/>
          <w:highlight w:val="none"/>
          <w:lang w:eastAsia="zh-CN"/>
        </w:rPr>
        <w:t>投标</w:t>
      </w:r>
      <w:r>
        <w:rPr>
          <w:rFonts w:hint="eastAsia" w:ascii="仿宋" w:hAnsi="仿宋" w:eastAsia="仿宋" w:cs="仿宋"/>
          <w:bCs/>
          <w:color w:val="auto"/>
          <w:sz w:val="24"/>
          <w:highlight w:val="none"/>
        </w:rPr>
        <w:t>人如果认为参加本次评标的专家成员及其他与会人员与其他</w:t>
      </w:r>
      <w:r>
        <w:rPr>
          <w:rFonts w:hint="eastAsia" w:ascii="仿宋" w:hAnsi="仿宋" w:eastAsia="仿宋" w:cs="仿宋"/>
          <w:bCs/>
          <w:color w:val="auto"/>
          <w:sz w:val="24"/>
          <w:highlight w:val="none"/>
          <w:lang w:eastAsia="zh-CN"/>
        </w:rPr>
        <w:t>投标</w:t>
      </w:r>
      <w:r>
        <w:rPr>
          <w:rFonts w:hint="eastAsia" w:ascii="仿宋" w:hAnsi="仿宋" w:eastAsia="仿宋" w:cs="仿宋"/>
          <w:bCs/>
          <w:color w:val="auto"/>
          <w:sz w:val="24"/>
          <w:highlight w:val="none"/>
        </w:rPr>
        <w:t>人有利害关系的，可以现场申请其回避。如不申请其回避的，则视同无利害关系。</w:t>
      </w:r>
    </w:p>
    <w:p w14:paraId="3240E200">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10.7对各</w:t>
      </w:r>
      <w:r>
        <w:rPr>
          <w:rFonts w:hint="eastAsia" w:ascii="仿宋" w:hAnsi="仿宋" w:eastAsia="仿宋" w:cs="仿宋"/>
          <w:bCs/>
          <w:color w:val="auto"/>
          <w:sz w:val="24"/>
          <w:highlight w:val="none"/>
          <w:lang w:eastAsia="zh-CN"/>
        </w:rPr>
        <w:t>投标</w:t>
      </w:r>
      <w:r>
        <w:rPr>
          <w:rFonts w:hint="eastAsia" w:ascii="仿宋" w:hAnsi="仿宋" w:eastAsia="仿宋" w:cs="仿宋"/>
          <w:bCs/>
          <w:color w:val="auto"/>
          <w:sz w:val="24"/>
          <w:highlight w:val="none"/>
        </w:rPr>
        <w:t>人的资格审查、开标、报价、评标、询标（答疑）、澄清、定标等工作，采取逐一方式进行，评标此期间</w:t>
      </w:r>
      <w:r>
        <w:rPr>
          <w:rFonts w:hint="eastAsia" w:ascii="仿宋" w:hAnsi="仿宋" w:eastAsia="仿宋" w:cs="仿宋"/>
          <w:bCs/>
          <w:color w:val="auto"/>
          <w:sz w:val="24"/>
          <w:highlight w:val="none"/>
          <w:lang w:eastAsia="zh-CN"/>
        </w:rPr>
        <w:t>投标</w:t>
      </w:r>
      <w:r>
        <w:rPr>
          <w:rFonts w:hint="eastAsia" w:ascii="仿宋" w:hAnsi="仿宋" w:eastAsia="仿宋" w:cs="仿宋"/>
          <w:bCs/>
          <w:color w:val="auto"/>
          <w:sz w:val="24"/>
          <w:highlight w:val="none"/>
        </w:rPr>
        <w:t>人务必保持通讯工具的畅通，不要远离招标现场，以便及时联络和不延误工作。若发生通讯工具不通或备案通讯工具号码有误，无法实现联络的，或无理拒绝或不执行采购人工作安排的，将视同自愿放弃本次投标权利。</w:t>
      </w:r>
    </w:p>
    <w:p w14:paraId="08C36C0B">
      <w:pPr>
        <w:spacing w:line="360" w:lineRule="auto"/>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10.8 凡是须要经过会议通过的事宜事项，采购人对投标人在招标事后发生的已通过事宜事项的质疑或投诉，将不予采信。</w:t>
      </w:r>
    </w:p>
    <w:p w14:paraId="6112C66D">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11. 招标评标须在监标人的监督下由采购代理机构组织进行。评标委员会各成员、采购人代表、投标人、特邀代表、工作人员等与会人员如有违纪、违规行为，监标人有权予以纠正或制止。</w:t>
      </w:r>
    </w:p>
    <w:p w14:paraId="3D5404DC">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12．与评标活动有关的工作人员。是指评标委员会成员以外的、因参与评标监督工作或者事务性工作而知悉有关评标情况的所有人员。</w:t>
      </w:r>
    </w:p>
    <w:p w14:paraId="4756BD63">
      <w:pPr>
        <w:pStyle w:val="6"/>
        <w:ind w:firstLine="0"/>
        <w:jc w:val="center"/>
        <w:outlineLvl w:val="0"/>
        <w:rPr>
          <w:rFonts w:hint="eastAsia" w:ascii="仿宋" w:hAnsi="仿宋" w:eastAsia="仿宋" w:cs="仿宋"/>
          <w:b/>
          <w:color w:val="auto"/>
          <w:kern w:val="0"/>
          <w:sz w:val="36"/>
          <w:szCs w:val="36"/>
          <w:highlight w:val="none"/>
          <w:lang w:val="en-US" w:eastAsia="zh-CN" w:bidi="ar-SA"/>
        </w:rPr>
      </w:pPr>
      <w:r>
        <w:rPr>
          <w:rFonts w:hint="eastAsia" w:ascii="仿宋" w:hAnsi="仿宋" w:eastAsia="仿宋" w:cs="仿宋"/>
          <w:b/>
          <w:color w:val="auto"/>
          <w:kern w:val="2"/>
          <w:sz w:val="36"/>
          <w:szCs w:val="36"/>
          <w:highlight w:val="none"/>
        </w:rPr>
        <w:br w:type="page"/>
      </w:r>
      <w:r>
        <w:rPr>
          <w:rFonts w:hint="eastAsia" w:ascii="仿宋" w:hAnsi="仿宋" w:eastAsia="仿宋" w:cs="仿宋"/>
          <w:b/>
          <w:color w:val="auto"/>
          <w:kern w:val="0"/>
          <w:sz w:val="36"/>
          <w:szCs w:val="36"/>
          <w:highlight w:val="none"/>
          <w:lang w:val="en-US" w:eastAsia="zh-CN" w:bidi="ar-SA"/>
        </w:rPr>
        <w:t>第五部分 投标说明</w:t>
      </w:r>
    </w:p>
    <w:p w14:paraId="2DEFC72B">
      <w:pPr>
        <w:rPr>
          <w:rFonts w:hint="eastAsia" w:ascii="仿宋" w:hAnsi="仿宋" w:eastAsia="仿宋" w:cs="仿宋"/>
          <w:color w:val="auto"/>
          <w:highlight w:val="none"/>
        </w:rPr>
      </w:pPr>
    </w:p>
    <w:p w14:paraId="4AB4203F">
      <w:pPr>
        <w:spacing w:line="360" w:lineRule="auto"/>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第一章 对投标方的资质要求</w:t>
      </w:r>
    </w:p>
    <w:p w14:paraId="4628EC97">
      <w:pPr>
        <w:spacing w:line="360" w:lineRule="auto"/>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1.1 投标人必须提交能够证明其具有履行本招标项目合同能力的资质证明文件，作为投标文件的一部分。</w:t>
      </w:r>
    </w:p>
    <w:p w14:paraId="49B0812F">
      <w:pPr>
        <w:pStyle w:val="8"/>
        <w:ind w:firstLine="480" w:firstLineChars="200"/>
        <w:outlineLvl w:val="9"/>
        <w:rPr>
          <w:rFonts w:hint="eastAsia" w:ascii="仿宋" w:hAnsi="仿宋" w:eastAsia="仿宋" w:cs="仿宋"/>
          <w:color w:val="auto"/>
          <w:sz w:val="24"/>
          <w:szCs w:val="24"/>
          <w:highlight w:val="none"/>
          <w:lang w:val="zh-CN"/>
        </w:rPr>
      </w:pPr>
      <w:r>
        <w:rPr>
          <w:rFonts w:hint="eastAsia" w:ascii="仿宋" w:hAnsi="仿宋" w:eastAsia="仿宋" w:cs="仿宋"/>
          <w:bCs/>
          <w:color w:val="auto"/>
          <w:sz w:val="24"/>
          <w:highlight w:val="none"/>
        </w:rPr>
        <w:t xml:space="preserve">1.2 </w:t>
      </w:r>
      <w:r>
        <w:rPr>
          <w:rFonts w:hint="eastAsia" w:ascii="仿宋" w:hAnsi="仿宋" w:eastAsia="仿宋" w:cs="仿宋"/>
          <w:b/>
          <w:color w:val="auto"/>
          <w:sz w:val="24"/>
          <w:highlight w:val="none"/>
        </w:rPr>
        <w:t>投标时资格审查的必要条件。如果不能提供或有缺项则视为对招标文件资格审查内容的不响应，其投标将被拒绝。</w:t>
      </w:r>
    </w:p>
    <w:p w14:paraId="62659F2D">
      <w:pPr>
        <w:spacing w:line="360" w:lineRule="auto"/>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highlight w:val="none"/>
        </w:rPr>
        <w:t>1.3</w:t>
      </w:r>
      <w:r>
        <w:rPr>
          <w:rFonts w:hint="eastAsia" w:ascii="仿宋" w:hAnsi="仿宋" w:eastAsia="仿宋" w:cs="仿宋"/>
          <w:b/>
          <w:bCs/>
          <w:color w:val="auto"/>
          <w:sz w:val="24"/>
          <w:highlight w:val="none"/>
        </w:rPr>
        <w:t>开标现场对投标方投标资质中的所有投标资质及评标所需的资料证明等，严格遵循“第四部分”中</w:t>
      </w:r>
      <w:r>
        <w:rPr>
          <w:rFonts w:hint="eastAsia" w:ascii="仿宋" w:hAnsi="仿宋" w:eastAsia="仿宋" w:cs="仿宋"/>
          <w:b/>
          <w:color w:val="auto"/>
          <w:sz w:val="24"/>
          <w:szCs w:val="24"/>
          <w:highlight w:val="none"/>
        </w:rPr>
        <w:t>条款之规定。</w:t>
      </w:r>
    </w:p>
    <w:p w14:paraId="1C9F4521">
      <w:pPr>
        <w:spacing w:line="360" w:lineRule="auto"/>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1.4投标方保证和承诺所投产品报价不存在恶意或有意压价、恶意或有意虚报报价，也不存在恶意或有意抬高报价等行为。 </w:t>
      </w:r>
    </w:p>
    <w:p w14:paraId="3FE3F290">
      <w:pPr>
        <w:spacing w:line="360" w:lineRule="auto"/>
        <w:ind w:firstLine="480" w:firstLineChars="200"/>
        <w:outlineLvl w:val="9"/>
        <w:rPr>
          <w:rFonts w:hint="eastAsia" w:ascii="仿宋" w:hAnsi="仿宋" w:eastAsia="仿宋" w:cs="仿宋"/>
          <w:b/>
          <w:color w:val="auto"/>
          <w:sz w:val="32"/>
          <w:szCs w:val="32"/>
          <w:highlight w:val="none"/>
        </w:rPr>
      </w:pPr>
      <w:r>
        <w:rPr>
          <w:rFonts w:hint="eastAsia" w:ascii="仿宋" w:hAnsi="仿宋" w:eastAsia="仿宋" w:cs="仿宋"/>
          <w:bCs/>
          <w:color w:val="auto"/>
          <w:sz w:val="24"/>
          <w:szCs w:val="24"/>
          <w:highlight w:val="none"/>
        </w:rPr>
        <w:t xml:space="preserve">1.5投标方保证和承诺不存在与其它投标人有串标、陪标等行为。 </w:t>
      </w:r>
    </w:p>
    <w:p w14:paraId="0AE3D484">
      <w:pPr>
        <w:spacing w:line="360" w:lineRule="auto"/>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第二章 投标文件的编写</w:t>
      </w:r>
    </w:p>
    <w:p w14:paraId="5897709C">
      <w:pPr>
        <w:autoSpaceDE w:val="0"/>
        <w:autoSpaceDN w:val="0"/>
        <w:adjustRightInd w:val="0"/>
        <w:spacing w:line="360" w:lineRule="auto"/>
        <w:ind w:firstLine="482"/>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．要求</w:t>
      </w:r>
    </w:p>
    <w:p w14:paraId="271BDEE3">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2.1 投标人应详细阅读</w:t>
      </w:r>
      <w:r>
        <w:rPr>
          <w:rFonts w:hint="eastAsia" w:ascii="仿宋" w:hAnsi="仿宋" w:eastAsia="仿宋" w:cs="仿宋"/>
          <w:bCs/>
          <w:color w:val="auto"/>
          <w:sz w:val="24"/>
          <w:highlight w:val="none"/>
        </w:rPr>
        <w:t>采购代理机构</w:t>
      </w:r>
      <w:r>
        <w:rPr>
          <w:rFonts w:hint="eastAsia" w:ascii="仿宋" w:hAnsi="仿宋" w:eastAsia="仿宋" w:cs="仿宋"/>
          <w:color w:val="auto"/>
          <w:sz w:val="24"/>
          <w:highlight w:val="none"/>
          <w:lang w:val="zh-CN"/>
        </w:rPr>
        <w:t>的招标文件中的条款、规范、表示、条件和格式等所有内容，按招标文件的要求编制投标文件和提供要求份数的投标文件，并保证所提供全部材料的真实性；投标文件必须对招标文件提出的要求和条件做出实质性响应。否则，其投标可能将被拒绝。</w:t>
      </w:r>
    </w:p>
    <w:p w14:paraId="7BFC4A74">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2.2 允许投标人对招标文件中的所有包投标，也可根据本企业生产或代理产品的情况对部分包进行投标，但不允许投标人对某一包中的一项或部分项进行投标。采购人可选择一家投标人为所有包的成交人，也可选择若干个分别中标。</w:t>
      </w:r>
    </w:p>
    <w:p w14:paraId="13E724F9">
      <w:pPr>
        <w:autoSpaceDE w:val="0"/>
        <w:autoSpaceDN w:val="0"/>
        <w:adjustRightInd w:val="0"/>
        <w:spacing w:line="360" w:lineRule="auto"/>
        <w:ind w:firstLine="482"/>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w:t>
      </w:r>
      <w:r>
        <w:rPr>
          <w:rFonts w:hint="eastAsia" w:ascii="仿宋" w:hAnsi="仿宋" w:eastAsia="仿宋" w:cs="仿宋"/>
          <w:b/>
          <w:bCs/>
          <w:color w:val="auto"/>
          <w:sz w:val="24"/>
          <w:highlight w:val="none"/>
          <w:lang w:val="zh-CN"/>
        </w:rPr>
        <w:t>．投标文件语言和度量单位</w:t>
      </w:r>
    </w:p>
    <w:p w14:paraId="589D7465">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3.1 招标文件及投标人和</w:t>
      </w:r>
      <w:r>
        <w:rPr>
          <w:rFonts w:hint="eastAsia" w:ascii="仿宋" w:hAnsi="仿宋" w:eastAsia="仿宋" w:cs="仿宋"/>
          <w:bCs/>
          <w:color w:val="auto"/>
          <w:sz w:val="24"/>
          <w:highlight w:val="none"/>
        </w:rPr>
        <w:t>采购代理机构</w:t>
      </w:r>
      <w:r>
        <w:rPr>
          <w:rFonts w:hint="eastAsia" w:ascii="仿宋" w:hAnsi="仿宋" w:eastAsia="仿宋" w:cs="仿宋"/>
          <w:color w:val="auto"/>
          <w:sz w:val="24"/>
          <w:highlight w:val="none"/>
          <w:lang w:val="zh-CN"/>
        </w:rPr>
        <w:t>就招标、投标交换的文件和往来信件，须以中文书写。</w:t>
      </w:r>
    </w:p>
    <w:p w14:paraId="794B92CC">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3.2 除在招标文件的技术规格中另有规定外，计量单位应使用中华人民共和国法定计量单位。</w:t>
      </w:r>
    </w:p>
    <w:p w14:paraId="218B1CA6">
      <w:pPr>
        <w:autoSpaceDE w:val="0"/>
        <w:autoSpaceDN w:val="0"/>
        <w:adjustRightInd w:val="0"/>
        <w:spacing w:line="360" w:lineRule="auto"/>
        <w:ind w:firstLine="482"/>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w:t>
      </w:r>
      <w:r>
        <w:rPr>
          <w:rFonts w:hint="eastAsia" w:ascii="仿宋" w:hAnsi="仿宋" w:eastAsia="仿宋" w:cs="仿宋"/>
          <w:b/>
          <w:bCs/>
          <w:color w:val="auto"/>
          <w:sz w:val="24"/>
          <w:highlight w:val="none"/>
          <w:lang w:val="zh-CN"/>
        </w:rPr>
        <w:t>．投标文件的组成</w:t>
      </w:r>
    </w:p>
    <w:p w14:paraId="56D6D437">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4.1 投标人编写的投标文件应包括下列内容：</w:t>
      </w:r>
    </w:p>
    <w:p w14:paraId="4B475AD5">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1、投标函</w:t>
      </w:r>
    </w:p>
    <w:p w14:paraId="7F0684B5">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2、法定代表人资格证明书、法定代表人的授权委托书</w:t>
      </w:r>
    </w:p>
    <w:p w14:paraId="50626252">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3、报价一览表</w:t>
      </w:r>
    </w:p>
    <w:p w14:paraId="6209F744">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4、供应商资质证明文件，包括：</w:t>
      </w:r>
    </w:p>
    <w:p w14:paraId="1A936587">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1、营业执照；</w:t>
      </w:r>
    </w:p>
    <w:p w14:paraId="5799BF0B">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4.2、</w:t>
      </w:r>
      <w:r>
        <w:rPr>
          <w:rFonts w:hint="eastAsia" w:ascii="仿宋" w:hAnsi="仿宋" w:eastAsia="仿宋" w:cs="仿宋"/>
          <w:color w:val="auto"/>
          <w:sz w:val="24"/>
          <w:highlight w:val="none"/>
          <w:lang w:val="zh-CN"/>
        </w:rPr>
        <w:t xml:space="preserve">未被“信用中国”（www.creditchina.gov.cn）、中国政府采购网（www.ccgp.gov.cn）列入失信被执行人、重大税收违法案件当事人名单、政府采购严重违法失信行为记录名单的网页截图并加盖公章；  </w:t>
      </w:r>
    </w:p>
    <w:p w14:paraId="134BB714">
      <w:pPr>
        <w:autoSpaceDE w:val="0"/>
        <w:autoSpaceDN w:val="0"/>
        <w:adjustRightInd w:val="0"/>
        <w:spacing w:line="360" w:lineRule="auto"/>
        <w:ind w:firstLine="48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4.3、</w:t>
      </w:r>
      <w:r>
        <w:rPr>
          <w:rFonts w:hint="eastAsia" w:ascii="仿宋" w:hAnsi="仿宋" w:eastAsia="仿宋" w:cs="仿宋"/>
          <w:color w:val="auto"/>
          <w:sz w:val="24"/>
          <w:szCs w:val="24"/>
          <w:highlight w:val="none"/>
          <w:lang w:val="zh-CN" w:eastAsia="zh-CN"/>
        </w:rPr>
        <w:t>投标保证金缴纳凭证或保函</w:t>
      </w:r>
      <w:r>
        <w:rPr>
          <w:rFonts w:hint="eastAsia" w:ascii="仿宋" w:hAnsi="仿宋" w:eastAsia="仿宋" w:cs="仿宋"/>
          <w:color w:val="auto"/>
          <w:sz w:val="24"/>
          <w:highlight w:val="none"/>
        </w:rPr>
        <w:t>。</w:t>
      </w:r>
    </w:p>
    <w:p w14:paraId="20A142B7">
      <w:pPr>
        <w:pStyle w:val="18"/>
        <w:ind w:left="0" w:leftChars="0" w:firstLine="0" w:firstLineChars="0"/>
        <w:jc w:val="both"/>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 xml:space="preserve">    4.4本项目要求的资质证书</w:t>
      </w:r>
    </w:p>
    <w:p w14:paraId="2AB9AC5B">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5、关于资格的声明函</w:t>
      </w:r>
    </w:p>
    <w:p w14:paraId="2B9F9FA0">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、商务条款偏离表</w:t>
      </w:r>
    </w:p>
    <w:p w14:paraId="03891408">
      <w:pPr>
        <w:autoSpaceDE w:val="0"/>
        <w:autoSpaceDN w:val="0"/>
        <w:adjustRightInd w:val="0"/>
        <w:spacing w:line="360" w:lineRule="auto"/>
        <w:ind w:firstLine="48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7、技术参数、功能偏离表</w:t>
      </w:r>
    </w:p>
    <w:p w14:paraId="62BB7439">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近三年</w:t>
      </w:r>
      <w:r>
        <w:rPr>
          <w:rFonts w:hint="eastAsia" w:ascii="仿宋" w:hAnsi="仿宋" w:eastAsia="仿宋" w:cs="仿宋"/>
          <w:color w:val="auto"/>
          <w:sz w:val="24"/>
          <w:highlight w:val="none"/>
          <w:lang w:val="zh-CN"/>
        </w:rPr>
        <w:t>类似项目业绩情况</w:t>
      </w:r>
    </w:p>
    <w:p w14:paraId="34D357FB">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val="zh-CN"/>
        </w:rPr>
        <w:t>、投标单位（供应商）反商业贿赂承诺书</w:t>
      </w:r>
    </w:p>
    <w:p w14:paraId="466D665B">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10</w:t>
      </w:r>
      <w:r>
        <w:rPr>
          <w:rFonts w:hint="eastAsia" w:ascii="仿宋" w:hAnsi="仿宋" w:eastAsia="仿宋" w:cs="仿宋"/>
          <w:color w:val="auto"/>
          <w:sz w:val="24"/>
          <w:highlight w:val="none"/>
          <w:lang w:val="zh-CN"/>
        </w:rPr>
        <w:t>、投标承诺书</w:t>
      </w:r>
    </w:p>
    <w:p w14:paraId="7D45D752">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zh-CN"/>
        </w:rPr>
        <w:t>投标单位（供应商）《遵守政府采购相关法律法规承诺书》</w:t>
      </w:r>
    </w:p>
    <w:p w14:paraId="191A5E47">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zh-CN"/>
        </w:rPr>
        <w:t>、中小企业声明函（如有）</w:t>
      </w:r>
    </w:p>
    <w:p w14:paraId="62226EE3">
      <w:pPr>
        <w:autoSpaceDE w:val="0"/>
        <w:autoSpaceDN w:val="0"/>
        <w:adjustRightInd w:val="0"/>
        <w:spacing w:line="360" w:lineRule="auto"/>
        <w:ind w:firstLine="48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13、主要股东或出资人信息</w:t>
      </w:r>
    </w:p>
    <w:p w14:paraId="678122E1">
      <w:pPr>
        <w:autoSpaceDE w:val="0"/>
        <w:autoSpaceDN w:val="0"/>
        <w:adjustRightInd w:val="0"/>
        <w:spacing w:line="360" w:lineRule="auto"/>
        <w:ind w:firstLine="48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14、非联合体投标声明</w:t>
      </w:r>
    </w:p>
    <w:p w14:paraId="49ABB5C2">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15、</w:t>
      </w:r>
      <w:r>
        <w:rPr>
          <w:rFonts w:hint="eastAsia" w:ascii="仿宋" w:hAnsi="仿宋" w:eastAsia="仿宋" w:cs="仿宋"/>
          <w:color w:val="auto"/>
          <w:sz w:val="24"/>
          <w:highlight w:val="none"/>
          <w:lang w:val="zh-CN"/>
        </w:rPr>
        <w:t>无重大违法记录声明函</w:t>
      </w:r>
    </w:p>
    <w:p w14:paraId="566EE544">
      <w:pPr>
        <w:autoSpaceDE w:val="0"/>
        <w:autoSpaceDN w:val="0"/>
        <w:adjustRightInd w:val="0"/>
        <w:spacing w:line="360" w:lineRule="auto"/>
        <w:ind w:firstLine="48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16、产品简要说明一览表</w:t>
      </w:r>
    </w:p>
    <w:p w14:paraId="0B5F6653">
      <w:pPr>
        <w:autoSpaceDE w:val="0"/>
        <w:autoSpaceDN w:val="0"/>
        <w:adjustRightInd w:val="0"/>
        <w:spacing w:line="360" w:lineRule="auto"/>
        <w:ind w:firstLine="48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17、投标产品技术规格及要求详述</w:t>
      </w:r>
    </w:p>
    <w:p w14:paraId="655CD39C">
      <w:pPr>
        <w:autoSpaceDE w:val="0"/>
        <w:autoSpaceDN w:val="0"/>
        <w:adjustRightInd w:val="0"/>
        <w:spacing w:line="360" w:lineRule="auto"/>
        <w:ind w:firstLine="48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18、备品、备件清单</w:t>
      </w:r>
    </w:p>
    <w:p w14:paraId="03A723B7">
      <w:pPr>
        <w:autoSpaceDE w:val="0"/>
        <w:autoSpaceDN w:val="0"/>
        <w:adjustRightInd w:val="0"/>
        <w:spacing w:line="360" w:lineRule="auto"/>
        <w:ind w:firstLine="48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19、产品规格报价明细表</w:t>
      </w:r>
    </w:p>
    <w:p w14:paraId="12393BF0">
      <w:pPr>
        <w:autoSpaceDE w:val="0"/>
        <w:autoSpaceDN w:val="0"/>
        <w:adjustRightInd w:val="0"/>
        <w:spacing w:line="360" w:lineRule="auto"/>
        <w:ind w:firstLine="48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20、售后服务承诺详述、维修、培训等计划详述</w:t>
      </w:r>
    </w:p>
    <w:p w14:paraId="1C6AD289">
      <w:pPr>
        <w:autoSpaceDE w:val="0"/>
        <w:autoSpaceDN w:val="0"/>
        <w:adjustRightInd w:val="0"/>
        <w:spacing w:line="360" w:lineRule="auto"/>
        <w:ind w:firstLine="48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21、拟派本项目人员配置情况表</w:t>
      </w:r>
    </w:p>
    <w:p w14:paraId="546F4634">
      <w:pPr>
        <w:autoSpaceDE w:val="0"/>
        <w:autoSpaceDN w:val="0"/>
        <w:adjustRightInd w:val="0"/>
        <w:spacing w:line="360" w:lineRule="auto"/>
        <w:ind w:firstLine="48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其它有利于投标的资料</w:t>
      </w:r>
    </w:p>
    <w:p w14:paraId="40A44F09">
      <w:pPr>
        <w:autoSpaceDE w:val="0"/>
        <w:autoSpaceDN w:val="0"/>
        <w:adjustRightInd w:val="0"/>
        <w:spacing w:line="360" w:lineRule="auto"/>
        <w:ind w:firstLine="482"/>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w:t>
      </w:r>
      <w:r>
        <w:rPr>
          <w:rFonts w:hint="eastAsia" w:ascii="仿宋" w:hAnsi="仿宋" w:eastAsia="仿宋" w:cs="仿宋"/>
          <w:b/>
          <w:bCs/>
          <w:color w:val="auto"/>
          <w:sz w:val="24"/>
          <w:highlight w:val="none"/>
          <w:lang w:val="zh-CN"/>
        </w:rPr>
        <w:t>．投标文件格式</w:t>
      </w:r>
    </w:p>
    <w:p w14:paraId="3A005F38">
      <w:pPr>
        <w:autoSpaceDE w:val="0"/>
        <w:autoSpaceDN w:val="0"/>
        <w:adjustRightInd w:val="0"/>
        <w:spacing w:line="360" w:lineRule="auto"/>
        <w:ind w:firstLine="482"/>
        <w:outlineLvl w:val="9"/>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zh-CN"/>
        </w:rPr>
        <w:t>5.1 投标方应按招标文件范本格式中提供的投标文件格式认真填写投标书、开标一览表、投标表等，并注明投标货物的名称、货物简介、</w:t>
      </w:r>
      <w:r>
        <w:rPr>
          <w:rFonts w:hint="eastAsia" w:ascii="仿宋" w:hAnsi="仿宋" w:eastAsia="仿宋" w:cs="仿宋"/>
          <w:bCs/>
          <w:color w:val="auto"/>
          <w:sz w:val="24"/>
          <w:highlight w:val="none"/>
        </w:rPr>
        <w:t>原产地、数量和价格等。</w:t>
      </w:r>
    </w:p>
    <w:p w14:paraId="4A230229">
      <w:pPr>
        <w:autoSpaceDE w:val="0"/>
        <w:autoSpaceDN w:val="0"/>
        <w:adjustRightInd w:val="0"/>
        <w:spacing w:line="360" w:lineRule="auto"/>
        <w:ind w:firstLine="482"/>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6．投标报价</w:t>
      </w:r>
    </w:p>
    <w:p w14:paraId="0C57D6D3">
      <w:pPr>
        <w:autoSpaceDE w:val="0"/>
        <w:autoSpaceDN w:val="0"/>
        <w:adjustRightInd w:val="0"/>
        <w:spacing w:line="360" w:lineRule="auto"/>
        <w:ind w:firstLine="482"/>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6.1 投标方须在投标报价表上标明单价</w:t>
      </w:r>
      <w:r>
        <w:rPr>
          <w:rFonts w:hint="eastAsia" w:ascii="仿宋" w:hAnsi="仿宋" w:eastAsia="仿宋" w:cs="仿宋"/>
          <w:bCs/>
          <w:color w:val="auto"/>
          <w:sz w:val="24"/>
          <w:szCs w:val="24"/>
          <w:highlight w:val="none"/>
        </w:rPr>
        <w:t>（</w:t>
      </w:r>
      <w:r>
        <w:rPr>
          <w:rFonts w:hint="eastAsia" w:ascii="仿宋" w:hAnsi="仿宋" w:eastAsia="仿宋" w:cs="仿宋"/>
          <w:b/>
          <w:color w:val="auto"/>
          <w:sz w:val="24"/>
          <w:szCs w:val="24"/>
          <w:highlight w:val="none"/>
        </w:rPr>
        <w:t>单价为综合单价，包括人工费、材料和设备费和企业管理费、利润，以及一定范围内的风险的费用）</w:t>
      </w:r>
      <w:r>
        <w:rPr>
          <w:rFonts w:hint="eastAsia" w:ascii="仿宋" w:hAnsi="仿宋" w:eastAsia="仿宋" w:cs="仿宋"/>
          <w:bCs/>
          <w:color w:val="auto"/>
          <w:sz w:val="24"/>
          <w:highlight w:val="none"/>
        </w:rPr>
        <w:t>和总价。如单价和总价不符，以单价累计为准。小写和大写不符，以大写为准。投标方如果不同意上述修改原则，其投标将被拒绝。投标方应标明其提供的所有货物及其相关工作范围内所有费用的总价，采购人不接受有任何选择性的报价。</w:t>
      </w:r>
    </w:p>
    <w:p w14:paraId="70198467">
      <w:pPr>
        <w:autoSpaceDE w:val="0"/>
        <w:autoSpaceDN w:val="0"/>
        <w:adjustRightInd w:val="0"/>
        <w:spacing w:line="360" w:lineRule="auto"/>
        <w:ind w:firstLine="482"/>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6.2. 投标时应注意下列几点：</w:t>
      </w:r>
    </w:p>
    <w:p w14:paraId="20156473">
      <w:pPr>
        <w:autoSpaceDE w:val="0"/>
        <w:autoSpaceDN w:val="0"/>
        <w:adjustRightInd w:val="0"/>
        <w:spacing w:line="360" w:lineRule="auto"/>
        <w:ind w:firstLine="482"/>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6.2.1 招标文件中特别要求的备品备件、易损件和专用工具的费用；</w:t>
      </w:r>
    </w:p>
    <w:p w14:paraId="1304D069">
      <w:pPr>
        <w:autoSpaceDE w:val="0"/>
        <w:autoSpaceDN w:val="0"/>
        <w:adjustRightInd w:val="0"/>
        <w:spacing w:line="360" w:lineRule="auto"/>
        <w:ind w:firstLine="482"/>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6.2.2 招标文件中特别要求的安装、调试、培训、运输、保险及其它附带服务的全部费用；</w:t>
      </w:r>
    </w:p>
    <w:p w14:paraId="2F601333">
      <w:pPr>
        <w:autoSpaceDE w:val="0"/>
        <w:autoSpaceDN w:val="0"/>
        <w:adjustRightInd w:val="0"/>
        <w:spacing w:line="360" w:lineRule="auto"/>
        <w:ind w:firstLine="482"/>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7．投标报价的货币单位</w:t>
      </w:r>
    </w:p>
    <w:p w14:paraId="6172112A">
      <w:pPr>
        <w:autoSpaceDE w:val="0"/>
        <w:autoSpaceDN w:val="0"/>
        <w:adjustRightInd w:val="0"/>
        <w:spacing w:line="360" w:lineRule="auto"/>
        <w:ind w:firstLine="482"/>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7.1 投标报价单位为人民币。</w:t>
      </w:r>
    </w:p>
    <w:p w14:paraId="1C1CB188">
      <w:pPr>
        <w:autoSpaceDE w:val="0"/>
        <w:autoSpaceDN w:val="0"/>
        <w:adjustRightInd w:val="0"/>
        <w:spacing w:line="360" w:lineRule="auto"/>
        <w:ind w:firstLine="482"/>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8．投标文件规定的技术响应文件</w:t>
      </w:r>
    </w:p>
    <w:p w14:paraId="35AFA017">
      <w:pPr>
        <w:autoSpaceDE w:val="0"/>
        <w:autoSpaceDN w:val="0"/>
        <w:adjustRightInd w:val="0"/>
        <w:spacing w:line="360" w:lineRule="auto"/>
        <w:ind w:firstLine="482"/>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8.1 投标方须提交证明拟供货物和服务符合招标文件规定的技术响应文件，作为投标文件的一部分。</w:t>
      </w:r>
    </w:p>
    <w:p w14:paraId="19294C03">
      <w:pPr>
        <w:autoSpaceDE w:val="0"/>
        <w:autoSpaceDN w:val="0"/>
        <w:adjustRightInd w:val="0"/>
        <w:spacing w:line="360" w:lineRule="auto"/>
        <w:ind w:firstLine="482"/>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8.2 上述文件可以是文字资料、图纸和数据，并提供：</w:t>
      </w:r>
    </w:p>
    <w:p w14:paraId="6A00B836">
      <w:pPr>
        <w:autoSpaceDE w:val="0"/>
        <w:autoSpaceDN w:val="0"/>
        <w:adjustRightInd w:val="0"/>
        <w:spacing w:line="360" w:lineRule="auto"/>
        <w:ind w:firstLine="482"/>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（1）货物主要技术及性能特点的详细描述；</w:t>
      </w:r>
    </w:p>
    <w:p w14:paraId="7CEE86B3">
      <w:pPr>
        <w:autoSpaceDE w:val="0"/>
        <w:autoSpaceDN w:val="0"/>
        <w:adjustRightInd w:val="0"/>
        <w:spacing w:line="360" w:lineRule="auto"/>
        <w:ind w:firstLine="482"/>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（2）货物主要部件的详细资料，包括检验报告等；</w:t>
      </w:r>
    </w:p>
    <w:p w14:paraId="09A9E94E">
      <w:pPr>
        <w:autoSpaceDE w:val="0"/>
        <w:autoSpaceDN w:val="0"/>
        <w:adjustRightInd w:val="0"/>
        <w:spacing w:line="360" w:lineRule="auto"/>
        <w:ind w:firstLine="482"/>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（3）规格、技术参数偏离表（见附件）</w:t>
      </w:r>
    </w:p>
    <w:p w14:paraId="4F52E5BB">
      <w:pPr>
        <w:autoSpaceDE w:val="0"/>
        <w:autoSpaceDN w:val="0"/>
        <w:adjustRightInd w:val="0"/>
        <w:spacing w:line="360" w:lineRule="auto"/>
        <w:ind w:firstLine="482"/>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没有按要求提供资料或提供资料不完全的，将视为对招标文件没有做出实质性响应，其风险由投标人自行承担。</w:t>
      </w:r>
    </w:p>
    <w:p w14:paraId="173213CF">
      <w:pPr>
        <w:autoSpaceDE w:val="0"/>
        <w:autoSpaceDN w:val="0"/>
        <w:adjustRightInd w:val="0"/>
        <w:spacing w:line="360" w:lineRule="auto"/>
        <w:ind w:firstLine="482"/>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9．投标有效期</w:t>
      </w:r>
    </w:p>
    <w:p w14:paraId="7F4F67A7">
      <w:pPr>
        <w:autoSpaceDE w:val="0"/>
        <w:autoSpaceDN w:val="0"/>
        <w:adjustRightInd w:val="0"/>
        <w:spacing w:line="360" w:lineRule="auto"/>
        <w:ind w:firstLine="482"/>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9.1 投标文件从开标之日起，投标有效期为90天（如不满足将导致废标）。</w:t>
      </w:r>
    </w:p>
    <w:p w14:paraId="7F3147EE">
      <w:pPr>
        <w:autoSpaceDE w:val="0"/>
        <w:autoSpaceDN w:val="0"/>
        <w:adjustRightInd w:val="0"/>
        <w:spacing w:line="360" w:lineRule="auto"/>
        <w:ind w:firstLine="482"/>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9.2 在特殊情况下，采购代理机构可与投标人协商延长投标文件的有效期。</w:t>
      </w:r>
    </w:p>
    <w:p w14:paraId="59F5EDB6">
      <w:pPr>
        <w:autoSpaceDE w:val="0"/>
        <w:autoSpaceDN w:val="0"/>
        <w:adjustRightInd w:val="0"/>
        <w:spacing w:line="360" w:lineRule="auto"/>
        <w:ind w:firstLine="482"/>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10．投标保证金</w:t>
      </w:r>
    </w:p>
    <w:p w14:paraId="27F739FF">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zh-CN"/>
        </w:rPr>
        <w:t>.1 投标保证金是为了弥补采购人因投标人的违规行为而蒙受的损失。采购人在因投标人的违规行为而受到损害时将没收其投标保证金，作为所受损害的补偿。</w:t>
      </w:r>
    </w:p>
    <w:p w14:paraId="5C077545">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zh-CN"/>
        </w:rPr>
        <w:t>.2 投标人在提交投标文件时应交纳投标保证金，其有效期应不低于投标有效期。</w:t>
      </w:r>
    </w:p>
    <w:p w14:paraId="475CCFD8">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zh-CN"/>
        </w:rPr>
        <w:t>.3 投标保证金不接受现金。按招标文件要求，在投标截止时间前将本项目投标保证金从供应商的基本帐户汇到</w:t>
      </w:r>
      <w:r>
        <w:rPr>
          <w:rFonts w:hint="eastAsia" w:ascii="仿宋" w:hAnsi="仿宋" w:eastAsia="仿宋" w:cs="仿宋"/>
          <w:bCs/>
          <w:color w:val="auto"/>
          <w:sz w:val="24"/>
          <w:highlight w:val="none"/>
        </w:rPr>
        <w:t>采购代理机构</w:t>
      </w:r>
      <w:r>
        <w:rPr>
          <w:rFonts w:hint="eastAsia" w:ascii="仿宋" w:hAnsi="仿宋" w:eastAsia="仿宋" w:cs="仿宋"/>
          <w:color w:val="auto"/>
          <w:sz w:val="24"/>
          <w:highlight w:val="none"/>
          <w:lang w:val="zh-CN"/>
        </w:rPr>
        <w:t>指定帐户。</w:t>
      </w:r>
    </w:p>
    <w:p w14:paraId="1A9B5548">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10.</w:t>
      </w:r>
      <w:r>
        <w:rPr>
          <w:rFonts w:hint="eastAsia" w:ascii="仿宋" w:hAnsi="仿宋" w:eastAsia="仿宋" w:cs="仿宋"/>
          <w:color w:val="auto"/>
          <w:sz w:val="24"/>
          <w:highlight w:val="none"/>
          <w:lang w:val="zh-CN"/>
        </w:rPr>
        <w:t xml:space="preserve">4 </w:t>
      </w:r>
      <w:r>
        <w:rPr>
          <w:rFonts w:hint="eastAsia" w:ascii="仿宋" w:hAnsi="仿宋" w:eastAsia="仿宋" w:cs="仿宋"/>
          <w:bCs/>
          <w:color w:val="auto"/>
          <w:sz w:val="24"/>
          <w:highlight w:val="none"/>
        </w:rPr>
        <w:t>采购代理机构</w:t>
      </w:r>
      <w:r>
        <w:rPr>
          <w:rFonts w:hint="eastAsia" w:ascii="仿宋" w:hAnsi="仿宋" w:eastAsia="仿宋" w:cs="仿宋"/>
          <w:color w:val="auto"/>
          <w:sz w:val="24"/>
          <w:highlight w:val="none"/>
          <w:lang w:val="zh-CN"/>
        </w:rPr>
        <w:t>应当在《中标通知书》发出后5个工作日内无息退还未成交投标人的投标保证金，在采购合同签订5个工作日内无息退还中标投标人的投标保证金。</w:t>
      </w:r>
    </w:p>
    <w:p w14:paraId="12443A02">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zh-CN"/>
        </w:rPr>
        <w:t>.5 未按招标文件规定提交投标保证金的，</w:t>
      </w:r>
      <w:r>
        <w:rPr>
          <w:rFonts w:hint="eastAsia" w:ascii="仿宋" w:hAnsi="仿宋" w:eastAsia="仿宋" w:cs="仿宋"/>
          <w:bCs/>
          <w:color w:val="auto"/>
          <w:sz w:val="24"/>
          <w:highlight w:val="none"/>
        </w:rPr>
        <w:t>采购代理机构</w:t>
      </w:r>
      <w:r>
        <w:rPr>
          <w:rFonts w:hint="eastAsia" w:ascii="仿宋" w:hAnsi="仿宋" w:eastAsia="仿宋" w:cs="仿宋"/>
          <w:color w:val="auto"/>
          <w:sz w:val="24"/>
          <w:highlight w:val="none"/>
          <w:lang w:val="zh-CN"/>
        </w:rPr>
        <w:t>应当拒绝接受投标方的投标文件，视为无效投标。</w:t>
      </w:r>
    </w:p>
    <w:p w14:paraId="60CCB76C">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zh-CN"/>
        </w:rPr>
        <w:t>.6 下列任何情况发生时，投标报价保证金将被没收。</w:t>
      </w:r>
    </w:p>
    <w:p w14:paraId="7F2A8410">
      <w:pPr>
        <w:autoSpaceDE w:val="0"/>
        <w:autoSpaceDN w:val="0"/>
        <w:adjustRightInd w:val="0"/>
        <w:spacing w:line="360" w:lineRule="auto"/>
        <w:ind w:firstLine="482" w:firstLineChars="200"/>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有下列情形之一的，投标保证金不予退还：</w:t>
      </w:r>
    </w:p>
    <w:p w14:paraId="3E6D1ECA">
      <w:pPr>
        <w:autoSpaceDE w:val="0"/>
        <w:autoSpaceDN w:val="0"/>
        <w:adjustRightInd w:val="0"/>
        <w:spacing w:line="360" w:lineRule="auto"/>
        <w:ind w:firstLine="482" w:firstLineChars="200"/>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10.6.1 投标人在提交响应文件截止时间后撤回响应文件的；</w:t>
      </w:r>
    </w:p>
    <w:p w14:paraId="09CFB2EE">
      <w:pPr>
        <w:autoSpaceDE w:val="0"/>
        <w:autoSpaceDN w:val="0"/>
        <w:adjustRightInd w:val="0"/>
        <w:spacing w:line="360" w:lineRule="auto"/>
        <w:ind w:firstLine="482" w:firstLineChars="200"/>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10.6.2投标人在响应文件中提供虚假材料的；</w:t>
      </w:r>
    </w:p>
    <w:p w14:paraId="56F7670D">
      <w:pPr>
        <w:autoSpaceDE w:val="0"/>
        <w:autoSpaceDN w:val="0"/>
        <w:adjustRightInd w:val="0"/>
        <w:spacing w:line="360" w:lineRule="auto"/>
        <w:ind w:firstLine="482" w:firstLineChars="200"/>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10.6.3除因不可抗力或招标文件认可的情形以外，成交投标人不与采购人签订合同的；</w:t>
      </w:r>
    </w:p>
    <w:p w14:paraId="697E7FA7">
      <w:pPr>
        <w:autoSpaceDE w:val="0"/>
        <w:autoSpaceDN w:val="0"/>
        <w:adjustRightInd w:val="0"/>
        <w:spacing w:line="360" w:lineRule="auto"/>
        <w:ind w:firstLine="482" w:firstLineChars="200"/>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10.6.4投标人与采购人、其他投标人或者采购代理机构恶意串通的；</w:t>
      </w:r>
    </w:p>
    <w:p w14:paraId="21B8558B">
      <w:pPr>
        <w:autoSpaceDE w:val="0"/>
        <w:autoSpaceDN w:val="0"/>
        <w:adjustRightInd w:val="0"/>
        <w:spacing w:line="360" w:lineRule="auto"/>
        <w:ind w:firstLine="482" w:firstLineChars="200"/>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10.6.5招标文件规定的其他情形。</w:t>
      </w:r>
    </w:p>
    <w:p w14:paraId="28EE9F4F">
      <w:pPr>
        <w:spacing w:line="360" w:lineRule="auto"/>
        <w:outlineLvl w:val="9"/>
        <w:rPr>
          <w:rFonts w:hint="eastAsia" w:ascii="仿宋" w:hAnsi="仿宋" w:eastAsia="仿宋" w:cs="仿宋"/>
          <w:b/>
          <w:bCs/>
          <w:color w:val="auto"/>
          <w:sz w:val="24"/>
          <w:szCs w:val="28"/>
          <w:highlight w:val="none"/>
          <w:lang w:val="zh-CN"/>
        </w:rPr>
      </w:pPr>
      <w:r>
        <w:rPr>
          <w:rFonts w:hint="eastAsia" w:ascii="仿宋" w:hAnsi="仿宋" w:eastAsia="仿宋" w:cs="仿宋"/>
          <w:b/>
          <w:bCs/>
          <w:color w:val="auto"/>
          <w:sz w:val="24"/>
          <w:szCs w:val="28"/>
          <w:highlight w:val="none"/>
        </w:rPr>
        <w:t>10.7</w:t>
      </w:r>
      <w:r>
        <w:rPr>
          <w:rFonts w:hint="eastAsia" w:ascii="仿宋" w:hAnsi="仿宋" w:eastAsia="仿宋" w:cs="仿宋"/>
          <w:b/>
          <w:bCs/>
          <w:color w:val="auto"/>
          <w:sz w:val="24"/>
          <w:szCs w:val="28"/>
          <w:highlight w:val="none"/>
          <w:lang w:val="zh-CN"/>
        </w:rPr>
        <w:t>办理投标保证金退付手续须携带的资料：</w:t>
      </w:r>
    </w:p>
    <w:p w14:paraId="5D6706CC">
      <w:pPr>
        <w:spacing w:line="360" w:lineRule="auto"/>
        <w:ind w:firstLine="482" w:firstLineChars="200"/>
        <w:outlineLvl w:val="9"/>
        <w:rPr>
          <w:rFonts w:hint="eastAsia" w:ascii="仿宋" w:hAnsi="仿宋" w:eastAsia="仿宋" w:cs="仿宋"/>
          <w:b/>
          <w:bCs/>
          <w:color w:val="auto"/>
          <w:sz w:val="24"/>
          <w:szCs w:val="28"/>
          <w:highlight w:val="none"/>
          <w:lang w:val="zh-CN"/>
        </w:rPr>
      </w:pPr>
      <w:r>
        <w:rPr>
          <w:rFonts w:hint="eastAsia" w:ascii="仿宋" w:hAnsi="仿宋" w:eastAsia="仿宋" w:cs="仿宋"/>
          <w:b/>
          <w:bCs/>
          <w:color w:val="auto"/>
          <w:sz w:val="24"/>
          <w:szCs w:val="28"/>
          <w:highlight w:val="none"/>
          <w:lang w:val="zh-CN"/>
        </w:rPr>
        <w:t>请未中标人携带加盖单位公章的收据一张，写明：今收到新疆益双工程管理有限公司退还的xxxxxx（项目名称）保证金xxxxxx（金额）及单位账户详细信息；另需提交纸质版投标文件三份及电子版u盘一份。</w:t>
      </w:r>
    </w:p>
    <w:p w14:paraId="6F73ACE7">
      <w:pPr>
        <w:spacing w:line="360" w:lineRule="auto"/>
        <w:ind w:firstLine="482" w:firstLineChars="200"/>
        <w:outlineLvl w:val="9"/>
        <w:rPr>
          <w:rFonts w:hint="eastAsia" w:ascii="仿宋" w:hAnsi="仿宋" w:eastAsia="仿宋" w:cs="仿宋"/>
          <w:color w:val="auto"/>
          <w:sz w:val="24"/>
          <w:szCs w:val="22"/>
          <w:highlight w:val="none"/>
          <w:lang w:val="zh-CN"/>
        </w:rPr>
      </w:pPr>
      <w:r>
        <w:rPr>
          <w:rFonts w:hint="eastAsia" w:ascii="仿宋" w:hAnsi="仿宋" w:eastAsia="仿宋" w:cs="仿宋"/>
          <w:b/>
          <w:bCs/>
          <w:color w:val="auto"/>
          <w:sz w:val="24"/>
          <w:szCs w:val="28"/>
          <w:highlight w:val="none"/>
          <w:lang w:val="zh-CN"/>
        </w:rPr>
        <w:t>中标人除携带退还保证金收据及单位账户详细信息以外，另需提供甲乙双方签订的合同复印件加盖公章一份、纸质版投标文件三份及及电子版u盘一份。</w:t>
      </w:r>
    </w:p>
    <w:p w14:paraId="7E5FC4D9">
      <w:pPr>
        <w:pStyle w:val="8"/>
        <w:outlineLvl w:val="9"/>
        <w:rPr>
          <w:rFonts w:hint="eastAsia" w:ascii="仿宋" w:hAnsi="仿宋" w:eastAsia="仿宋" w:cs="仿宋"/>
          <w:color w:val="auto"/>
          <w:highlight w:val="none"/>
        </w:rPr>
      </w:pPr>
    </w:p>
    <w:p w14:paraId="36E13C2C">
      <w:pPr>
        <w:pStyle w:val="12"/>
        <w:ind w:left="0"/>
        <w:outlineLvl w:val="9"/>
        <w:rPr>
          <w:rFonts w:hint="eastAsia" w:ascii="仿宋" w:hAnsi="仿宋" w:eastAsia="仿宋" w:cs="仿宋"/>
          <w:color w:val="auto"/>
          <w:highlight w:val="none"/>
        </w:rPr>
      </w:pPr>
    </w:p>
    <w:p w14:paraId="4FFAE1ED">
      <w:pPr>
        <w:autoSpaceDE w:val="0"/>
        <w:autoSpaceDN w:val="0"/>
        <w:adjustRightInd w:val="0"/>
        <w:spacing w:line="360" w:lineRule="auto"/>
        <w:jc w:val="center"/>
        <w:outlineLvl w:val="1"/>
        <w:rPr>
          <w:rFonts w:hint="eastAsia" w:ascii="仿宋" w:hAnsi="仿宋" w:eastAsia="仿宋" w:cs="仿宋"/>
          <w:color w:val="auto"/>
          <w:sz w:val="24"/>
          <w:highlight w:val="none"/>
        </w:rPr>
      </w:pPr>
      <w:r>
        <w:rPr>
          <w:rFonts w:hint="eastAsia" w:ascii="仿宋" w:hAnsi="仿宋" w:eastAsia="仿宋" w:cs="仿宋"/>
          <w:b/>
          <w:bCs/>
          <w:color w:val="auto"/>
          <w:sz w:val="32"/>
          <w:szCs w:val="32"/>
          <w:highlight w:val="none"/>
        </w:rPr>
        <w:t>第三章 投标文件的递交</w:t>
      </w:r>
    </w:p>
    <w:p w14:paraId="1D851323">
      <w:pPr>
        <w:autoSpaceDE w:val="0"/>
        <w:autoSpaceDN w:val="0"/>
        <w:adjustRightInd w:val="0"/>
        <w:spacing w:line="360" w:lineRule="auto"/>
        <w:ind w:firstLine="482"/>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w:t>
      </w:r>
      <w:r>
        <w:rPr>
          <w:rFonts w:hint="eastAsia" w:ascii="仿宋" w:hAnsi="仿宋" w:eastAsia="仿宋" w:cs="仿宋"/>
          <w:b/>
          <w:bCs/>
          <w:color w:val="auto"/>
          <w:sz w:val="24"/>
          <w:szCs w:val="24"/>
          <w:highlight w:val="none"/>
          <w:lang w:val="zh-CN"/>
        </w:rPr>
        <w:t>、投标报价截止时间</w:t>
      </w:r>
    </w:p>
    <w:p w14:paraId="492A18DB">
      <w:pPr>
        <w:autoSpaceDE w:val="0"/>
        <w:autoSpaceDN w:val="0"/>
        <w:adjustRightInd w:val="0"/>
        <w:spacing w:line="360" w:lineRule="auto"/>
        <w:ind w:firstLine="480"/>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.1 投标文件的</w:t>
      </w:r>
      <w:r>
        <w:rPr>
          <w:rFonts w:hint="eastAsia" w:ascii="仿宋" w:hAnsi="仿宋" w:eastAsia="仿宋" w:cs="仿宋"/>
          <w:color w:val="auto"/>
          <w:sz w:val="24"/>
          <w:szCs w:val="24"/>
          <w:highlight w:val="none"/>
        </w:rPr>
        <w:t>上传</w:t>
      </w:r>
      <w:r>
        <w:rPr>
          <w:rFonts w:hint="eastAsia" w:ascii="仿宋" w:hAnsi="仿宋" w:eastAsia="仿宋" w:cs="仿宋"/>
          <w:color w:val="auto"/>
          <w:sz w:val="24"/>
          <w:szCs w:val="24"/>
          <w:highlight w:val="none"/>
          <w:lang w:val="zh-CN"/>
        </w:rPr>
        <w:t>不得迟于</w:t>
      </w:r>
      <w:r>
        <w:rPr>
          <w:rFonts w:hint="eastAsia" w:ascii="仿宋" w:hAnsi="仿宋" w:eastAsia="仿宋" w:cs="仿宋"/>
          <w:bCs/>
          <w:color w:val="auto"/>
          <w:sz w:val="24"/>
          <w:szCs w:val="24"/>
          <w:highlight w:val="none"/>
          <w:lang w:val="zh-CN"/>
        </w:rPr>
        <w:t>规定时间</w:t>
      </w:r>
      <w:r>
        <w:rPr>
          <w:rFonts w:hint="eastAsia" w:ascii="仿宋" w:hAnsi="仿宋" w:eastAsia="仿宋" w:cs="仿宋"/>
          <w:color w:val="auto"/>
          <w:sz w:val="24"/>
          <w:szCs w:val="24"/>
          <w:highlight w:val="none"/>
          <w:lang w:val="zh-CN"/>
        </w:rPr>
        <w:t>。</w:t>
      </w:r>
    </w:p>
    <w:p w14:paraId="6683B426">
      <w:pPr>
        <w:autoSpaceDE w:val="0"/>
        <w:autoSpaceDN w:val="0"/>
        <w:adjustRightInd w:val="0"/>
        <w:spacing w:line="360" w:lineRule="auto"/>
        <w:ind w:firstLine="480"/>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.2 参加招标的投标人的所有投标文件都必须在招标文件规定的地点投标截止时间之前，将投标文件送达规定的指定地点。截止时间之后送达的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上传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，将为无效投标，其投标将一律被拒绝。</w:t>
      </w:r>
    </w:p>
    <w:p w14:paraId="03366405">
      <w:pPr>
        <w:autoSpaceDE w:val="0"/>
        <w:autoSpaceDN w:val="0"/>
        <w:adjustRightInd w:val="0"/>
        <w:spacing w:line="360" w:lineRule="auto"/>
        <w:ind w:firstLine="480"/>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.3 出现因招标文件的修改而推迟投标截止时间的情况时，投标方则须按采购代理机构的修改通知重新规定的投标时间递交。</w:t>
      </w:r>
    </w:p>
    <w:p w14:paraId="59AE0A60">
      <w:pPr>
        <w:autoSpaceDE w:val="0"/>
        <w:autoSpaceDN w:val="0"/>
        <w:adjustRightInd w:val="0"/>
        <w:spacing w:line="360" w:lineRule="auto"/>
        <w:ind w:firstLine="482"/>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12</w:t>
      </w:r>
      <w:r>
        <w:rPr>
          <w:rFonts w:hint="eastAsia" w:ascii="仿宋" w:hAnsi="仿宋" w:eastAsia="仿宋" w:cs="仿宋"/>
          <w:b/>
          <w:bCs/>
          <w:color w:val="auto"/>
          <w:sz w:val="24"/>
          <w:szCs w:val="24"/>
          <w:highlight w:val="none"/>
          <w:lang w:val="zh-CN"/>
        </w:rPr>
        <w:t>．投标文件的补充、修改或者撤回</w:t>
      </w:r>
    </w:p>
    <w:p w14:paraId="3E28EDFA">
      <w:pPr>
        <w:autoSpaceDE w:val="0"/>
        <w:autoSpaceDN w:val="0"/>
        <w:adjustRightInd w:val="0"/>
        <w:spacing w:line="360" w:lineRule="auto"/>
        <w:ind w:firstLine="480"/>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.1 投标方在</w:t>
      </w:r>
      <w:r>
        <w:rPr>
          <w:rFonts w:hint="eastAsia" w:ascii="仿宋" w:hAnsi="仿宋" w:eastAsia="仿宋" w:cs="仿宋"/>
          <w:color w:val="auto"/>
          <w:sz w:val="24"/>
          <w:szCs w:val="24"/>
          <w:highlight w:val="none"/>
        </w:rPr>
        <w:t>上传</w:t>
      </w:r>
      <w:r>
        <w:rPr>
          <w:rFonts w:hint="eastAsia" w:ascii="仿宋" w:hAnsi="仿宋" w:eastAsia="仿宋" w:cs="仿宋"/>
          <w:color w:val="auto"/>
          <w:sz w:val="24"/>
          <w:szCs w:val="24"/>
          <w:highlight w:val="none"/>
          <w:lang w:val="zh-CN"/>
        </w:rPr>
        <w:t>投标文件后，可在规定的投标截止时间之前，对其投标文件进行补充、修改或者撤回。</w:t>
      </w:r>
    </w:p>
    <w:p w14:paraId="7D7AA64F">
      <w:pPr>
        <w:autoSpaceDE w:val="0"/>
        <w:autoSpaceDN w:val="0"/>
        <w:adjustRightInd w:val="0"/>
        <w:spacing w:line="360" w:lineRule="auto"/>
        <w:ind w:firstLine="480"/>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zh-CN"/>
        </w:rPr>
        <w:t>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 投标方不得在开标后至投标有效期期满前撤回投标文件。否则，采购人将没收其投标保证金。</w:t>
      </w:r>
    </w:p>
    <w:p w14:paraId="419850D8">
      <w:pPr>
        <w:tabs>
          <w:tab w:val="left" w:pos="2448"/>
        </w:tabs>
        <w:spacing w:line="360" w:lineRule="auto"/>
        <w:outlineLvl w:val="9"/>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（注：本项目采用不见面方式开标，开标结束后，所有投标人须将投标文件（须与上传政采云投标文件一致）电子版U盘一份及纸质版正本一份，副本贰分，盖章处按要求盖章或签字，递交至招标代理公司。</w:t>
      </w:r>
    </w:p>
    <w:p w14:paraId="68460FDA">
      <w:pPr>
        <w:pStyle w:val="8"/>
        <w:outlineLvl w:val="9"/>
        <w:rPr>
          <w:rFonts w:hint="eastAsia" w:ascii="仿宋" w:hAnsi="仿宋" w:eastAsia="仿宋" w:cs="仿宋"/>
          <w:color w:val="auto"/>
          <w:highlight w:val="none"/>
        </w:rPr>
      </w:pPr>
    </w:p>
    <w:p w14:paraId="51B0D6BC">
      <w:pPr>
        <w:spacing w:line="360" w:lineRule="auto"/>
        <w:ind w:left="480" w:hanging="480"/>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第四章 评标委员会</w:t>
      </w:r>
    </w:p>
    <w:p w14:paraId="22DF7B10">
      <w:pPr>
        <w:tabs>
          <w:tab w:val="left" w:pos="1620"/>
        </w:tabs>
        <w:spacing w:line="360" w:lineRule="auto"/>
        <w:ind w:left="481" w:leftChars="229"/>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13、评标委员会组成</w:t>
      </w:r>
    </w:p>
    <w:p w14:paraId="7AABC1F7">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13.1 由采购代理机构将根据《中华人民共和国政府采购法》规定，依法组建本次招标的评标委员会，负责组织本次招标的评标活动。评标委员会负责向采购人推荐拟中标人或者根据采购人的授权直接确定中标人。</w:t>
      </w:r>
    </w:p>
    <w:p w14:paraId="3A57EABA">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招标文件中所指的评标委员会及其成员，适用于公开招标和邀请招标的采购方式。本招标文件中对评标委员会及其成员的要求，同时适用于采取邀请招标、竞争性谈判、询价或单一来源采购方式时依法组成的评审小组及其成员。</w:t>
      </w:r>
    </w:p>
    <w:p w14:paraId="3C6C0BB3">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13.2 评标委员会人选于开标前确定。评标委员会成员名单在中标结果确定前保密。</w:t>
      </w:r>
    </w:p>
    <w:p w14:paraId="2080B2BB">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13.3评标委员会由有关技术、经济等方面的专家和采购人熟悉相关业务的代表人员组成，成员为五人及以上的单数，其中技术、经济等方面的成员人数不少于成员总数的三分之二。</w:t>
      </w:r>
    </w:p>
    <w:p w14:paraId="185EC482">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13.4 按前款规定，评标委员会的成员，从专家库中采取随机抽取的方式确定。对于技术复杂、专业性要求较高或者国家有特殊要求的招标项目，抽取的专家不能满足评标工作需要时，将采取直接确定的方式选定评标委员会的人选。</w:t>
      </w:r>
    </w:p>
    <w:p w14:paraId="7D414626">
      <w:pPr>
        <w:spacing w:line="360" w:lineRule="auto"/>
        <w:ind w:firstLine="482" w:firstLineChars="200"/>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14.评标委员会专家的条件和回避规定</w:t>
      </w:r>
    </w:p>
    <w:p w14:paraId="454E8EDB">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14.1 评标委员会专家应符合下列条件：</w:t>
      </w:r>
    </w:p>
    <w:p w14:paraId="1B2F5750">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14.1.1 熟悉有关和招标投标的法律法规；</w:t>
      </w:r>
    </w:p>
    <w:p w14:paraId="261E6184">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14.1.2 </w:t>
      </w:r>
      <w:r>
        <w:rPr>
          <w:rFonts w:hint="eastAsia" w:ascii="仿宋" w:hAnsi="仿宋" w:eastAsia="仿宋" w:cs="仿宋"/>
          <w:bCs/>
          <w:color w:val="auto"/>
          <w:sz w:val="24"/>
          <w:szCs w:val="22"/>
          <w:highlight w:val="none"/>
        </w:rPr>
        <w:t>具有中级专业技术职称或同等专业水平且从事相关领域工作满8年,或者具有高级专业技术职称或同等专业水平；</w:t>
      </w:r>
    </w:p>
    <w:p w14:paraId="5AD55CFF">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14.1.3熟悉有关招标投标的法律法规，并具有与招标项目相关的实践经验；</w:t>
      </w:r>
    </w:p>
    <w:p w14:paraId="65D04101">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14.1.4 能够认真、公正、诚实、廉洁的履行职责。</w:t>
      </w:r>
    </w:p>
    <w:p w14:paraId="219F3F96">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14.2  有下列情形之一的，不得担任评标委员会成员：</w:t>
      </w:r>
    </w:p>
    <w:p w14:paraId="0457A2AA">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14.2.1 与投标方或者投标方主要负责人有近亲关系的或有利害关系的；</w:t>
      </w:r>
    </w:p>
    <w:p w14:paraId="5F8B38FB">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14.2.2 与项目主管部门或者行政监督部门的人员有近亲关系的或有利害关系的；</w:t>
      </w:r>
    </w:p>
    <w:p w14:paraId="494F0DB0">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14.2.3 与投标方有经济利益关系，可能影响对投标公正评标的；</w:t>
      </w:r>
    </w:p>
    <w:p w14:paraId="546CD863">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14.2.4 曾因在招标、评标以及其他与招标、投标有关活动中从事违法行为而受过行政处罚或刑事处罚的。</w:t>
      </w:r>
    </w:p>
    <w:p w14:paraId="03AB1FEC">
      <w:pPr>
        <w:spacing w:line="360" w:lineRule="auto"/>
        <w:ind w:firstLine="482" w:firstLineChars="200"/>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15. 评标委员会成员应当熟悉并认真研究招标文件，至少应了解和熟悉以下内容：</w:t>
      </w:r>
    </w:p>
    <w:p w14:paraId="59F2320F">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15.1 招标目的。</w:t>
      </w:r>
    </w:p>
    <w:p w14:paraId="2C941D7F">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15.2 招标项目的范围、性质。</w:t>
      </w:r>
    </w:p>
    <w:p w14:paraId="0746C1B2">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15.3 招标文件中规定的主要技术要求、标准和商务条款。</w:t>
      </w:r>
    </w:p>
    <w:p w14:paraId="682B44BE">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15.4 招标文件规定的评标原则、评标标准、评标方法和在评标过程中应考虑的相关因素。</w:t>
      </w:r>
    </w:p>
    <w:p w14:paraId="2A2B8676">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16. 采购人应当向评标委员会提供评标所需的重要信息和数据。</w:t>
      </w:r>
    </w:p>
    <w:p w14:paraId="5145C18C">
      <w:pPr>
        <w:spacing w:line="360" w:lineRule="auto"/>
        <w:ind w:firstLine="482" w:firstLineChars="200"/>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17. 评标委员会成员有前款规定情形之一的，应当主动提出回避。</w:t>
      </w:r>
    </w:p>
    <w:p w14:paraId="57EF3369">
      <w:pPr>
        <w:spacing w:line="360" w:lineRule="auto"/>
        <w:ind w:firstLine="472" w:firstLineChars="196"/>
        <w:outlineLvl w:val="9"/>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 xml:space="preserve">18. </w:t>
      </w:r>
      <w:r>
        <w:rPr>
          <w:rFonts w:hint="eastAsia" w:ascii="仿宋" w:hAnsi="仿宋" w:eastAsia="仿宋" w:cs="仿宋"/>
          <w:b/>
          <w:bCs/>
          <w:color w:val="auto"/>
          <w:sz w:val="24"/>
          <w:highlight w:val="none"/>
        </w:rPr>
        <w:t>评标委员会</w:t>
      </w:r>
      <w:r>
        <w:rPr>
          <w:rFonts w:hint="eastAsia" w:ascii="仿宋" w:hAnsi="仿宋" w:eastAsia="仿宋" w:cs="仿宋"/>
          <w:b/>
          <w:color w:val="auto"/>
          <w:sz w:val="24"/>
          <w:szCs w:val="24"/>
          <w:highlight w:val="none"/>
        </w:rPr>
        <w:t xml:space="preserve">及其成员应当履行的义务： </w:t>
      </w:r>
    </w:p>
    <w:p w14:paraId="37373705">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18.1 遵纪守法，客观、公正、廉洁地履行职责；</w:t>
      </w:r>
    </w:p>
    <w:p w14:paraId="23E5A84E">
      <w:pPr>
        <w:spacing w:line="360" w:lineRule="auto"/>
        <w:ind w:firstLine="470" w:firstLineChars="196"/>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18.2 按照招标文件规定的评标方法和标准进行评标，严格履行签字确认手续，对评标意见承担个人责任；</w:t>
      </w:r>
    </w:p>
    <w:p w14:paraId="50B9FFC7">
      <w:pPr>
        <w:spacing w:line="360" w:lineRule="auto"/>
        <w:ind w:firstLine="470" w:firstLineChars="196"/>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18.3 对评标过程和结果，以及投标人的商业秘密保密；</w:t>
      </w:r>
    </w:p>
    <w:p w14:paraId="46587E71">
      <w:pPr>
        <w:spacing w:line="360" w:lineRule="auto"/>
        <w:ind w:firstLine="470" w:firstLineChars="196"/>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18.4 参与评标报告的起草；</w:t>
      </w:r>
    </w:p>
    <w:p w14:paraId="241FF799">
      <w:pPr>
        <w:spacing w:line="360" w:lineRule="auto"/>
        <w:ind w:firstLine="470" w:firstLineChars="196"/>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18.5 配合财政部门的投诉处理工作；</w:t>
      </w:r>
    </w:p>
    <w:p w14:paraId="14527195">
      <w:pPr>
        <w:spacing w:line="360" w:lineRule="auto"/>
        <w:ind w:firstLine="470" w:firstLineChars="196"/>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18.6 配合采购人答复</w:t>
      </w:r>
      <w:r>
        <w:rPr>
          <w:rFonts w:hint="eastAsia" w:ascii="仿宋" w:hAnsi="仿宋" w:eastAsia="仿宋" w:cs="仿宋"/>
          <w:bCs/>
          <w:color w:val="auto"/>
          <w:sz w:val="24"/>
          <w:highlight w:val="none"/>
          <w:lang w:eastAsia="zh-CN"/>
        </w:rPr>
        <w:t>投标</w:t>
      </w:r>
      <w:r>
        <w:rPr>
          <w:rFonts w:hint="eastAsia" w:ascii="仿宋" w:hAnsi="仿宋" w:eastAsia="仿宋" w:cs="仿宋"/>
          <w:bCs/>
          <w:color w:val="auto"/>
          <w:sz w:val="24"/>
          <w:highlight w:val="none"/>
        </w:rPr>
        <w:t>人提出的质疑。</w:t>
      </w:r>
    </w:p>
    <w:p w14:paraId="12B14DA8">
      <w:pPr>
        <w:spacing w:line="360" w:lineRule="auto"/>
        <w:ind w:firstLine="482" w:firstLineChars="200"/>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19. 评标委员会及其成员应注意事项：</w:t>
      </w:r>
    </w:p>
    <w:p w14:paraId="27CB389D">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bCs/>
          <w:color w:val="auto"/>
          <w:sz w:val="24"/>
          <w:highlight w:val="none"/>
        </w:rPr>
        <w:t>19.1 评标委员会应当客观、公正地履行职责，遵守职业道德，不得与任何投标人或者与招标结果有利害关系的人员进行私下接触，须响应前款</w:t>
      </w:r>
      <w:r>
        <w:rPr>
          <w:rFonts w:hint="eastAsia" w:ascii="仿宋" w:hAnsi="仿宋" w:eastAsia="仿宋" w:cs="仿宋"/>
          <w:color w:val="auto"/>
          <w:sz w:val="24"/>
          <w:highlight w:val="none"/>
        </w:rPr>
        <w:t>“第三部分”中8.1条款之规定要求。</w:t>
      </w:r>
    </w:p>
    <w:p w14:paraId="1D792796">
      <w:pPr>
        <w:tabs>
          <w:tab w:val="left" w:pos="8280"/>
        </w:tabs>
        <w:spacing w:line="360" w:lineRule="auto"/>
        <w:ind w:right="-1" w:firstLine="540" w:firstLineChars="225"/>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19.2 评标委员会应当</w:t>
      </w:r>
      <w:r>
        <w:rPr>
          <w:rFonts w:hint="eastAsia" w:ascii="仿宋" w:hAnsi="仿宋" w:eastAsia="仿宋" w:cs="仿宋"/>
          <w:color w:val="auto"/>
          <w:sz w:val="24"/>
          <w:highlight w:val="none"/>
        </w:rPr>
        <w:t>遵循独立评标的原则</w:t>
      </w:r>
      <w:r>
        <w:rPr>
          <w:rFonts w:hint="eastAsia" w:ascii="仿宋" w:hAnsi="仿宋" w:eastAsia="仿宋" w:cs="仿宋"/>
          <w:bCs/>
          <w:color w:val="auto"/>
          <w:sz w:val="24"/>
          <w:highlight w:val="none"/>
        </w:rPr>
        <w:t>，按照《中华人民共和国政府采购法》，要以招标文件为评标的唯一依据，不做标书以外无关问题讨论和将招标文件中没有规定的标准和方法不得作为评标的依据。应本着“实事求是、公正诚信”的原则，根据招标文件规定的评标标准和方法，对投标方的投标文件进行系统地评标和比较。并按要求</w:t>
      </w:r>
      <w:r>
        <w:rPr>
          <w:rFonts w:hint="eastAsia" w:ascii="仿宋" w:hAnsi="仿宋" w:eastAsia="仿宋" w:cs="仿宋"/>
          <w:color w:val="auto"/>
          <w:sz w:val="24"/>
          <w:highlight w:val="none"/>
          <w:lang w:val="zh-CN"/>
        </w:rPr>
        <w:t>做好相关书面原始署名记录。</w:t>
      </w:r>
    </w:p>
    <w:p w14:paraId="3D3A7BB7">
      <w:pPr>
        <w:tabs>
          <w:tab w:val="left" w:pos="8280"/>
        </w:tabs>
        <w:spacing w:line="360" w:lineRule="auto"/>
        <w:ind w:right="-1" w:firstLine="540" w:firstLineChars="225"/>
        <w:outlineLvl w:val="9"/>
        <w:rPr>
          <w:rFonts w:hint="eastAsia" w:ascii="仿宋" w:hAnsi="仿宋" w:eastAsia="仿宋" w:cs="仿宋"/>
          <w:color w:val="auto"/>
          <w:sz w:val="24"/>
          <w:highlight w:val="none"/>
          <w:lang w:val="zh-CN"/>
        </w:rPr>
      </w:pPr>
      <w:r>
        <w:rPr>
          <w:rFonts w:hint="eastAsia" w:ascii="仿宋" w:hAnsi="仿宋" w:eastAsia="仿宋" w:cs="仿宋"/>
          <w:bCs/>
          <w:color w:val="auto"/>
          <w:sz w:val="24"/>
          <w:highlight w:val="none"/>
        </w:rPr>
        <w:t>19.3 评标委员会应当客观、公正地履行职责。评标时，严禁存在</w:t>
      </w:r>
      <w:r>
        <w:rPr>
          <w:rFonts w:hint="eastAsia" w:ascii="仿宋" w:hAnsi="仿宋" w:eastAsia="仿宋" w:cs="仿宋"/>
          <w:color w:val="auto"/>
          <w:sz w:val="24"/>
          <w:highlight w:val="none"/>
          <w:lang w:val="zh-CN"/>
        </w:rPr>
        <w:t>个人印象、个人关系或带有明显倾向性的行为发生。</w:t>
      </w:r>
      <w:r>
        <w:rPr>
          <w:rFonts w:hint="eastAsia" w:ascii="仿宋" w:hAnsi="仿宋" w:eastAsia="仿宋" w:cs="仿宋"/>
          <w:bCs/>
          <w:color w:val="auto"/>
          <w:sz w:val="24"/>
          <w:highlight w:val="none"/>
        </w:rPr>
        <w:t>否则，经核实后，采购人将有权予以制止此类行为的发生，</w:t>
      </w:r>
      <w:r>
        <w:rPr>
          <w:rFonts w:hint="eastAsia" w:ascii="仿宋" w:hAnsi="仿宋" w:eastAsia="仿宋" w:cs="仿宋"/>
          <w:color w:val="auto"/>
          <w:sz w:val="24"/>
          <w:highlight w:val="none"/>
          <w:lang w:val="zh-CN"/>
        </w:rPr>
        <w:t>责成其修正不果的，将做为不良记录记录在案，并按相关政策法规的规定和程序，向财政监管部门提出处罚建议意见。</w:t>
      </w:r>
    </w:p>
    <w:p w14:paraId="5EDEF3E0">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19.4评标委员会成员和与本次评标活动有关的工作人员，不得透露对投标文件的评标和比较、中标候选人的推荐情况以及与评标有关的其他情况。</w:t>
      </w:r>
    </w:p>
    <w:p w14:paraId="06E5509A">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19.5 除法律需要外，自开标直至宣布中标及签订合同为止，有关投标文件的审查、澄清、评定及关于评标的建议等情况，评标委员会及其成员任何人均不得以任何形式泄露，评标过程中如有不明事宜，需要投标方进行解释的，只能由评标委员会各成员进行询标（答疑）。</w:t>
      </w:r>
    </w:p>
    <w:p w14:paraId="156F7CE9">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20. 与评标活动有关的工作人员，自开标之日期起至定标日止，在此期间任何监标人、采购人代表、特邀代表、工作人员及投标人不得干扰评标委员会正常及其它评标工作，否则，采购人将有权取消其权利资格。</w:t>
      </w:r>
      <w:r>
        <w:rPr>
          <w:rFonts w:hint="eastAsia" w:ascii="仿宋" w:hAnsi="仿宋" w:eastAsia="仿宋" w:cs="仿宋"/>
          <w:bCs/>
          <w:color w:val="auto"/>
          <w:sz w:val="24"/>
          <w:highlight w:val="none"/>
        </w:rPr>
        <w:tab/>
      </w:r>
    </w:p>
    <w:p w14:paraId="2A0BBC2B">
      <w:pPr>
        <w:spacing w:line="360" w:lineRule="auto"/>
        <w:jc w:val="center"/>
        <w:outlineLvl w:val="9"/>
        <w:rPr>
          <w:rFonts w:hint="eastAsia" w:ascii="仿宋" w:hAnsi="仿宋" w:eastAsia="仿宋" w:cs="仿宋"/>
          <w:b/>
          <w:bCs/>
          <w:color w:val="auto"/>
          <w:sz w:val="36"/>
          <w:szCs w:val="36"/>
          <w:highlight w:val="none"/>
        </w:rPr>
      </w:pPr>
    </w:p>
    <w:p w14:paraId="39B3C97F">
      <w:pPr>
        <w:outlineLvl w:val="9"/>
        <w:rPr>
          <w:rFonts w:hint="eastAsia" w:ascii="仿宋" w:hAnsi="仿宋" w:eastAsia="仿宋" w:cs="仿宋"/>
          <w:b/>
          <w:bCs/>
          <w:color w:val="auto"/>
          <w:sz w:val="36"/>
          <w:szCs w:val="36"/>
          <w:highlight w:val="none"/>
        </w:rPr>
      </w:pPr>
    </w:p>
    <w:p w14:paraId="11EFF902">
      <w:pPr>
        <w:outlineLvl w:val="9"/>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br w:type="page"/>
      </w:r>
    </w:p>
    <w:p w14:paraId="2EE9FEE5">
      <w:pPr>
        <w:spacing w:line="360" w:lineRule="auto"/>
        <w:jc w:val="center"/>
        <w:outlineLvl w:val="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第六部分 开标 评标 定标说明</w:t>
      </w:r>
    </w:p>
    <w:p w14:paraId="3D9F717F">
      <w:pPr>
        <w:spacing w:line="360" w:lineRule="auto"/>
        <w:jc w:val="center"/>
        <w:outlineLvl w:val="1"/>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第一章 开　标</w:t>
      </w:r>
    </w:p>
    <w:p w14:paraId="4C74D8B3">
      <w:pPr>
        <w:spacing w:line="360" w:lineRule="auto"/>
        <w:ind w:firstLine="482" w:firstLineChars="200"/>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21．开标</w:t>
      </w:r>
    </w:p>
    <w:p w14:paraId="684D65EB">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21.1 本次招标按招标文件的规定的时间和地点进行公开开标，允许投标人的法定代表人或其授权人参政采云线上开标会。</w:t>
      </w:r>
    </w:p>
    <w:p w14:paraId="303D34FB">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.2 为了体现投标人的合法权益，和确保评标工作的公平、公正，投标人如果认为参加评标的评标委员会成员及其他与会人员与其他投标人有利害关系的，有权在开标现场向采购人申请其回避。如现场不提请采购人申请其回避的，则视同无利害关系。</w:t>
      </w:r>
    </w:p>
    <w:p w14:paraId="38D7F6DB">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.3 按照上述会议通过事项，所有参加投标的投标人如事后发生上述原因的质疑或投诉事项，新疆益双工程管理有限公司将不予采信。</w:t>
      </w:r>
    </w:p>
    <w:p w14:paraId="4566B5B4">
      <w:pPr>
        <w:spacing w:line="360" w:lineRule="auto"/>
        <w:ind w:firstLine="482" w:firstLineChars="20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 xml:space="preserve">21.4 </w:t>
      </w:r>
      <w:r>
        <w:rPr>
          <w:rFonts w:hint="eastAsia" w:ascii="仿宋" w:hAnsi="仿宋" w:eastAsia="仿宋" w:cs="仿宋"/>
          <w:b/>
          <w:bCs/>
          <w:color w:val="auto"/>
          <w:sz w:val="24"/>
          <w:szCs w:val="24"/>
          <w:highlight w:val="none"/>
        </w:rPr>
        <w:t>投标文件响应性审查</w:t>
      </w:r>
    </w:p>
    <w:p w14:paraId="60F5D551">
      <w:pPr>
        <w:spacing w:line="360" w:lineRule="auto"/>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.4.1</w:t>
      </w:r>
      <w:r>
        <w:rPr>
          <w:rFonts w:hint="eastAsia" w:ascii="仿宋" w:hAnsi="仿宋" w:eastAsia="仿宋" w:cs="仿宋"/>
          <w:bCs/>
          <w:color w:val="auto"/>
          <w:sz w:val="24"/>
          <w:szCs w:val="24"/>
          <w:highlight w:val="none"/>
        </w:rPr>
        <w:t>开标后，采购人将组织对投标文件进行审查，应检查其是否完整，是否出现计算性错误，是否满足招标文件的格式要求，是否提供投标保证金等。</w:t>
      </w:r>
    </w:p>
    <w:p w14:paraId="1F25CD2B">
      <w:pPr>
        <w:spacing w:line="360" w:lineRule="auto"/>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.4.2</w:t>
      </w:r>
      <w:r>
        <w:rPr>
          <w:rFonts w:hint="eastAsia" w:ascii="仿宋" w:hAnsi="仿宋" w:eastAsia="仿宋" w:cs="仿宋"/>
          <w:bCs/>
          <w:color w:val="auto"/>
          <w:sz w:val="24"/>
          <w:szCs w:val="24"/>
          <w:highlight w:val="none"/>
        </w:rPr>
        <w:t>在对投标文件进行综合评估之前，采购人将依据投标人提供的资格证明文件，审查投标人的财务和技术能力。如果确定投标人无能力履行合同，其投标将被拒绝。</w:t>
      </w:r>
    </w:p>
    <w:p w14:paraId="6064FF83">
      <w:pPr>
        <w:spacing w:line="360" w:lineRule="auto"/>
        <w:ind w:firstLine="480" w:firstLineChars="20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.4.3评标委员会将确定每一投标人是否对投标文件的要求做出了实质性响应，而没有重大偏离。实质性响应的投标是指符合招标文件的所有条款、条件和规定且没有重大偏离和保留的投标。</w:t>
      </w:r>
    </w:p>
    <w:p w14:paraId="3DEACAB9">
      <w:pPr>
        <w:spacing w:line="360" w:lineRule="auto"/>
        <w:ind w:firstLine="480" w:firstLineChars="20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.4.4评标委员会判断投标文件的响应性仅基于投标文件本身而不靠外部证据。</w:t>
      </w:r>
    </w:p>
    <w:p w14:paraId="78F1F47F">
      <w:pPr>
        <w:spacing w:line="360" w:lineRule="auto"/>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.4.5</w:t>
      </w:r>
      <w:r>
        <w:rPr>
          <w:rFonts w:hint="eastAsia" w:ascii="仿宋" w:hAnsi="仿宋" w:eastAsia="仿宋" w:cs="仿宋"/>
          <w:bCs/>
          <w:color w:val="auto"/>
          <w:sz w:val="24"/>
          <w:highlight w:val="none"/>
        </w:rPr>
        <w:t>评标委员会</w:t>
      </w:r>
      <w:r>
        <w:rPr>
          <w:rFonts w:hint="eastAsia" w:ascii="仿宋" w:hAnsi="仿宋" w:eastAsia="仿宋" w:cs="仿宋"/>
          <w:bCs/>
          <w:color w:val="auto"/>
          <w:sz w:val="24"/>
          <w:szCs w:val="24"/>
          <w:highlight w:val="none"/>
        </w:rPr>
        <w:t>将拒绝被确定为非实质性响应的投标。投标方不能通过修正或撤回不符合之处而使其投标成为实质性响应的投标。</w:t>
      </w:r>
    </w:p>
    <w:p w14:paraId="718E3624">
      <w:pPr>
        <w:spacing w:line="360" w:lineRule="auto"/>
        <w:ind w:firstLine="472" w:firstLineChars="196"/>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21.5 投标登记确认的审查</w:t>
      </w:r>
    </w:p>
    <w:p w14:paraId="7BC260FF">
      <w:pPr>
        <w:spacing w:line="360" w:lineRule="auto"/>
        <w:ind w:firstLine="470" w:firstLineChars="196"/>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21.5.1</w:t>
      </w:r>
      <w:r>
        <w:rPr>
          <w:rFonts w:hint="eastAsia" w:ascii="仿宋" w:hAnsi="仿宋" w:eastAsia="仿宋" w:cs="仿宋"/>
          <w:color w:val="auto"/>
          <w:sz w:val="24"/>
          <w:szCs w:val="24"/>
          <w:highlight w:val="none"/>
        </w:rPr>
        <w:t>由投标单位在政采云平台线上签到（解密）方式，对按招标文件规定的开标时间准时参加的投标人的投标确认情况，进行现场审查。凡按规定时间前进行了投标签到（解密）确认的，其投标被接受。否则，其投标将直接被拒绝。</w:t>
      </w:r>
    </w:p>
    <w:p w14:paraId="52E77F3F">
      <w:pPr>
        <w:spacing w:line="360" w:lineRule="auto"/>
        <w:ind w:firstLine="470" w:firstLineChars="196"/>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21.5.2 在招标文件及程序符合法律规定的前提下，对招标文件做出实质性响应的投标人只有两家时，且是第一次开标，采购人应中止谈判，重新组织采购；如果是第</w:t>
      </w:r>
      <w:r>
        <w:rPr>
          <w:rFonts w:hint="eastAsia" w:ascii="仿宋" w:hAnsi="仿宋" w:eastAsia="仿宋" w:cs="仿宋"/>
          <w:color w:val="auto"/>
          <w:sz w:val="24"/>
          <w:szCs w:val="24"/>
          <w:highlight w:val="none"/>
          <w:lang w:eastAsia="zh-CN"/>
        </w:rPr>
        <w:t>三次</w:t>
      </w:r>
      <w:r>
        <w:rPr>
          <w:rFonts w:hint="eastAsia" w:ascii="仿宋" w:hAnsi="仿宋" w:eastAsia="仿宋" w:cs="仿宋"/>
          <w:color w:val="auto"/>
          <w:sz w:val="24"/>
          <w:szCs w:val="24"/>
          <w:highlight w:val="none"/>
        </w:rPr>
        <w:t>开标，按照公开、公平和竞争的原则，采购人可以书面提出转竞争性谈判方式进行且提交批准后，按批准后的采购方式继续开标。反之，则应直接作废标处理，并依法重新组织采购。</w:t>
      </w:r>
    </w:p>
    <w:p w14:paraId="01070401">
      <w:pPr>
        <w:spacing w:line="360" w:lineRule="auto"/>
        <w:ind w:firstLine="470" w:firstLineChars="196"/>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21.5.3 如果合格投标人只有一家时，且是第一次开标，采购人应中止谈判，重新组织采购；如果是第</w:t>
      </w:r>
      <w:r>
        <w:rPr>
          <w:rFonts w:hint="eastAsia" w:ascii="仿宋" w:hAnsi="仿宋" w:eastAsia="仿宋" w:cs="仿宋"/>
          <w:color w:val="auto"/>
          <w:sz w:val="24"/>
          <w:szCs w:val="24"/>
          <w:highlight w:val="none"/>
          <w:lang w:eastAsia="zh-CN"/>
        </w:rPr>
        <w:t>三次</w:t>
      </w:r>
      <w:r>
        <w:rPr>
          <w:rFonts w:hint="eastAsia" w:ascii="仿宋" w:hAnsi="仿宋" w:eastAsia="仿宋" w:cs="仿宋"/>
          <w:color w:val="auto"/>
          <w:sz w:val="24"/>
          <w:szCs w:val="24"/>
          <w:highlight w:val="none"/>
        </w:rPr>
        <w:t>开标，采购人和投标商既没有过不良行为记录，也不存在明显或恶意的投标倾向性行为，采购人可以书面申请</w:t>
      </w:r>
      <w:r>
        <w:rPr>
          <w:rFonts w:hint="eastAsia" w:ascii="仿宋" w:hAnsi="仿宋" w:eastAsia="仿宋" w:cs="仿宋"/>
          <w:bCs/>
          <w:color w:val="auto"/>
          <w:sz w:val="24"/>
          <w:szCs w:val="24"/>
          <w:highlight w:val="none"/>
        </w:rPr>
        <w:t>单一来源方式</w:t>
      </w:r>
      <w:r>
        <w:rPr>
          <w:rFonts w:hint="eastAsia" w:ascii="仿宋" w:hAnsi="仿宋" w:eastAsia="仿宋" w:cs="仿宋"/>
          <w:color w:val="auto"/>
          <w:sz w:val="24"/>
          <w:szCs w:val="24"/>
          <w:highlight w:val="none"/>
        </w:rPr>
        <w:t>采购，经批准后，按批准后的采购方式依法按程序组织采购。反之，则应直接作废标处理，并依法重新组织采购。</w:t>
      </w:r>
    </w:p>
    <w:p w14:paraId="4A2B7032">
      <w:pPr>
        <w:spacing w:line="360" w:lineRule="auto"/>
        <w:ind w:firstLine="472" w:firstLineChars="196"/>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21.6 评标前的意见征求</w:t>
      </w:r>
    </w:p>
    <w:p w14:paraId="16E68A2F">
      <w:pPr>
        <w:spacing w:line="360" w:lineRule="auto"/>
        <w:ind w:firstLine="470" w:firstLineChars="196"/>
        <w:outlineLvl w:val="9"/>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21.6.1</w:t>
      </w:r>
      <w:r>
        <w:rPr>
          <w:rFonts w:hint="eastAsia" w:ascii="仿宋" w:hAnsi="仿宋" w:eastAsia="仿宋" w:cs="仿宋"/>
          <w:color w:val="auto"/>
          <w:sz w:val="24"/>
          <w:szCs w:val="24"/>
          <w:highlight w:val="none"/>
        </w:rPr>
        <w:t>严格在招标文件的规定范围内，由采购代理机构现场以书面的方式，征求采购单位代表对本次评标委员会评标时应注意的事项及意见建议，并签字确认。</w:t>
      </w:r>
    </w:p>
    <w:p w14:paraId="321C8108">
      <w:pPr>
        <w:spacing w:line="360" w:lineRule="auto"/>
        <w:ind w:firstLine="470" w:firstLineChars="196"/>
        <w:outlineLvl w:val="9"/>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21.6.2</w:t>
      </w:r>
      <w:r>
        <w:rPr>
          <w:rFonts w:hint="eastAsia" w:ascii="仿宋" w:hAnsi="仿宋" w:eastAsia="仿宋" w:cs="仿宋"/>
          <w:color w:val="auto"/>
          <w:sz w:val="24"/>
          <w:szCs w:val="24"/>
          <w:highlight w:val="none"/>
        </w:rPr>
        <w:t xml:space="preserve"> 由采购人本次项目承办责任人严格按照招标文件的规定范围，核实并提出是否采信的意见并签字确认。</w:t>
      </w:r>
    </w:p>
    <w:p w14:paraId="63E3021B">
      <w:pPr>
        <w:spacing w:line="360" w:lineRule="auto"/>
        <w:ind w:firstLine="470" w:firstLineChars="196"/>
        <w:outlineLvl w:val="9"/>
        <w:rPr>
          <w:rFonts w:hint="eastAsia" w:ascii="仿宋" w:hAnsi="仿宋" w:eastAsia="仿宋" w:cs="仿宋"/>
          <w:bCs/>
          <w:color w:val="auto"/>
          <w:sz w:val="24"/>
          <w:highlight w:val="none"/>
        </w:rPr>
      </w:pPr>
      <w:r>
        <w:rPr>
          <w:rFonts w:hint="eastAsia" w:ascii="仿宋" w:hAnsi="仿宋" w:eastAsia="仿宋" w:cs="仿宋"/>
          <w:bCs/>
          <w:color w:val="auto"/>
          <w:sz w:val="24"/>
          <w:szCs w:val="24"/>
          <w:highlight w:val="none"/>
        </w:rPr>
        <w:t>21.6.3</w:t>
      </w:r>
      <w:r>
        <w:rPr>
          <w:rFonts w:hint="eastAsia" w:ascii="仿宋" w:hAnsi="仿宋" w:eastAsia="仿宋" w:cs="仿宋"/>
          <w:color w:val="auto"/>
          <w:sz w:val="24"/>
          <w:szCs w:val="24"/>
          <w:highlight w:val="none"/>
        </w:rPr>
        <w:t>由采购人将可采信的上述意见建议，现场向评标委员会及成员提出可以予以采纳的决定。反之，则不予采纳。</w:t>
      </w:r>
    </w:p>
    <w:p w14:paraId="1B988D02">
      <w:pPr>
        <w:spacing w:line="360" w:lineRule="auto"/>
        <w:jc w:val="center"/>
        <w:outlineLvl w:val="1"/>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第二章 评  标</w:t>
      </w:r>
    </w:p>
    <w:p w14:paraId="08B0C112">
      <w:pPr>
        <w:spacing w:line="360" w:lineRule="auto"/>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22．开标报价</w:t>
      </w:r>
    </w:p>
    <w:p w14:paraId="71E95EC1">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b/>
          <w:bCs/>
          <w:color w:val="auto"/>
          <w:sz w:val="24"/>
          <w:highlight w:val="none"/>
          <w:lang w:val="zh-CN"/>
        </w:rPr>
        <w:t>2</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.1 评标依据 </w:t>
      </w:r>
    </w:p>
    <w:p w14:paraId="6C5631EA">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.1.1 </w:t>
      </w:r>
      <w:r>
        <w:rPr>
          <w:rFonts w:hint="eastAsia" w:ascii="仿宋" w:hAnsi="仿宋" w:eastAsia="仿宋" w:cs="仿宋"/>
          <w:bCs/>
          <w:color w:val="auto"/>
          <w:sz w:val="24"/>
          <w:szCs w:val="24"/>
          <w:highlight w:val="none"/>
        </w:rPr>
        <w:t>招标文件是评标的唯一依据。</w:t>
      </w:r>
      <w:r>
        <w:rPr>
          <w:rFonts w:hint="eastAsia" w:ascii="仿宋" w:hAnsi="仿宋" w:eastAsia="仿宋" w:cs="仿宋"/>
          <w:color w:val="auto"/>
          <w:sz w:val="24"/>
          <w:szCs w:val="24"/>
          <w:highlight w:val="none"/>
        </w:rPr>
        <w:t>评标委员会</w:t>
      </w:r>
      <w:r>
        <w:rPr>
          <w:rFonts w:hint="eastAsia" w:ascii="仿宋" w:hAnsi="仿宋" w:eastAsia="仿宋" w:cs="仿宋"/>
          <w:color w:val="auto"/>
          <w:sz w:val="24"/>
          <w:highlight w:val="none"/>
          <w:lang w:val="zh-CN"/>
        </w:rPr>
        <w:t>评标要依据采购代理机构的公开招标文件和投标方的投标文件进行比较与评标。</w:t>
      </w:r>
    </w:p>
    <w:p w14:paraId="00D630C0">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.1.2 招标文件中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C258596">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.1.3 当发现投标人的投标文件有以下情形时，将认定为有串标嫌疑而对其予以废标：总报价相近，但其中分项报价不合理，且没有合理解释的；总报价相近，且其中款项报价雷同，又提不出计算依据的；总报价相近，数项子目单价完全相同，且提不出合理的单价组成的；总报价相近，主要材料设备价格极其相近的；总价相同，没有</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"http://www.shenmeshi.com/Education/Education_20070429223431.html" \t "_blank"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lang w:val="zh-CN"/>
        </w:rPr>
        <w:t>成本分析</w:t>
      </w:r>
      <w:r>
        <w:rPr>
          <w:rFonts w:hint="eastAsia" w:ascii="仿宋" w:hAnsi="仿宋" w:eastAsia="仿宋" w:cs="仿宋"/>
          <w:color w:val="auto"/>
          <w:sz w:val="24"/>
          <w:highlight w:val="none"/>
          <w:lang w:val="zh-CN"/>
        </w:rPr>
        <w:fldChar w:fldCharType="end"/>
      </w:r>
      <w:r>
        <w:rPr>
          <w:rFonts w:hint="eastAsia" w:ascii="仿宋" w:hAnsi="仿宋" w:eastAsia="仿宋" w:cs="仿宋"/>
          <w:color w:val="auto"/>
          <w:sz w:val="24"/>
          <w:highlight w:val="none"/>
          <w:lang w:val="zh-CN"/>
        </w:rPr>
        <w:t>，分项乱调的；几个投标人的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"http://www.shenmeshi.com/Science/Index.html" \t "_blank"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lang w:val="zh-CN"/>
        </w:rPr>
        <w:t>技术</w:t>
      </w:r>
      <w:r>
        <w:rPr>
          <w:rFonts w:hint="eastAsia" w:ascii="仿宋" w:hAnsi="仿宋" w:eastAsia="仿宋" w:cs="仿宋"/>
          <w:color w:val="auto"/>
          <w:sz w:val="24"/>
          <w:highlight w:val="none"/>
          <w:lang w:val="zh-CN"/>
        </w:rPr>
        <w:fldChar w:fldCharType="end"/>
      </w:r>
      <w:r>
        <w:rPr>
          <w:rFonts w:hint="eastAsia" w:ascii="仿宋" w:hAnsi="仿宋" w:eastAsia="仿宋" w:cs="仿宋"/>
          <w:color w:val="auto"/>
          <w:sz w:val="24"/>
          <w:highlight w:val="none"/>
          <w:lang w:val="zh-CN"/>
        </w:rPr>
        <w:t>标都雷同的。</w:t>
      </w:r>
    </w:p>
    <w:p w14:paraId="00DD05E1">
      <w:pPr>
        <w:autoSpaceDE w:val="0"/>
        <w:autoSpaceDN w:val="0"/>
        <w:adjustRightInd w:val="0"/>
        <w:spacing w:line="360" w:lineRule="auto"/>
        <w:ind w:firstLine="482"/>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.1.4 本次评标采取</w:t>
      </w:r>
      <w:r>
        <w:rPr>
          <w:rFonts w:hint="eastAsia" w:ascii="仿宋" w:hAnsi="仿宋" w:eastAsia="仿宋" w:cs="仿宋"/>
          <w:b/>
          <w:color w:val="auto"/>
          <w:sz w:val="24"/>
          <w:highlight w:val="none"/>
          <w:u w:val="single"/>
          <w:lang w:val="zh-CN"/>
        </w:rPr>
        <w:t>综合评分法</w:t>
      </w:r>
      <w:r>
        <w:rPr>
          <w:rFonts w:hint="eastAsia" w:ascii="仿宋" w:hAnsi="仿宋" w:eastAsia="仿宋" w:cs="仿宋"/>
          <w:color w:val="auto"/>
          <w:sz w:val="24"/>
          <w:highlight w:val="none"/>
          <w:lang w:val="zh-CN"/>
        </w:rPr>
        <w:t>。</w:t>
      </w:r>
    </w:p>
    <w:p w14:paraId="0F58FF74">
      <w:pPr>
        <w:autoSpaceDE w:val="0"/>
        <w:autoSpaceDN w:val="0"/>
        <w:adjustRightInd w:val="0"/>
        <w:spacing w:line="360" w:lineRule="auto"/>
        <w:ind w:firstLine="482"/>
        <w:outlineLvl w:val="9"/>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2</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.2 评标过程的保密性</w:t>
      </w:r>
    </w:p>
    <w:p w14:paraId="07D436C4">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.2.1 所有与本次招标及评标有关的人员，均不得向投标人及与招标项目无关的其他人员，透露与评标有关的资料以及授予合同的意见等。</w:t>
      </w:r>
    </w:p>
    <w:p w14:paraId="64BD6C09">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.2.2 在评标过程中，投标人试图在投标文件审查、报价、询标（答疑）、澄清、比较及授予合同方面向采购人员施加影响的任何行为，都可能导致其投标文件被拒绝。</w:t>
      </w:r>
    </w:p>
    <w:p w14:paraId="116E42DF">
      <w:pPr>
        <w:spacing w:line="360" w:lineRule="auto"/>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.2.3 </w:t>
      </w:r>
      <w:r>
        <w:rPr>
          <w:rFonts w:hint="eastAsia" w:ascii="仿宋" w:hAnsi="仿宋" w:eastAsia="仿宋" w:cs="仿宋"/>
          <w:bCs/>
          <w:color w:val="auto"/>
          <w:sz w:val="24"/>
          <w:szCs w:val="24"/>
          <w:highlight w:val="none"/>
        </w:rPr>
        <w:t>开标后直到授予投标人合同为止，凡是属于审查、报价、</w:t>
      </w:r>
      <w:r>
        <w:rPr>
          <w:rFonts w:hint="eastAsia" w:ascii="仿宋" w:hAnsi="仿宋" w:eastAsia="仿宋" w:cs="仿宋"/>
          <w:color w:val="auto"/>
          <w:sz w:val="24"/>
          <w:highlight w:val="none"/>
          <w:lang w:val="zh-CN"/>
        </w:rPr>
        <w:t>询标（答疑）、</w:t>
      </w:r>
      <w:r>
        <w:rPr>
          <w:rFonts w:hint="eastAsia" w:ascii="仿宋" w:hAnsi="仿宋" w:eastAsia="仿宋" w:cs="仿宋"/>
          <w:bCs/>
          <w:color w:val="auto"/>
          <w:sz w:val="24"/>
          <w:szCs w:val="24"/>
          <w:highlight w:val="none"/>
        </w:rPr>
        <w:t>澄清、评价和比较的有关资料以及授标建议等，评标委员会成员或参与评标的有关工作人员均不得向投标人或其他无关的人员透露，违者给予警告、取消担任评标委员会成员的资格，不得再参加任何投标项目的评标。</w:t>
      </w:r>
    </w:p>
    <w:p w14:paraId="6D497E9E">
      <w:pPr>
        <w:spacing w:line="360" w:lineRule="auto"/>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.2.4 </w:t>
      </w:r>
      <w:r>
        <w:rPr>
          <w:rFonts w:hint="eastAsia" w:ascii="仿宋" w:hAnsi="仿宋" w:eastAsia="仿宋" w:cs="仿宋"/>
          <w:bCs/>
          <w:color w:val="auto"/>
          <w:sz w:val="24"/>
          <w:szCs w:val="24"/>
          <w:highlight w:val="none"/>
        </w:rPr>
        <w:t>投标人在评标过程中，所进行的力图影响评标结果的不符合《政府采购法》及本次招标有关规定的活动，将被取消中标资格。</w:t>
      </w:r>
    </w:p>
    <w:p w14:paraId="4EEDBA3B">
      <w:pPr>
        <w:autoSpaceDE w:val="0"/>
        <w:autoSpaceDN w:val="0"/>
        <w:adjustRightInd w:val="0"/>
        <w:spacing w:line="360" w:lineRule="auto"/>
        <w:ind w:firstLine="480"/>
        <w:outlineLvl w:val="9"/>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zh-CN"/>
        </w:rPr>
        <w:t xml:space="preserve">.3 评标有关规定要求 </w:t>
      </w:r>
    </w:p>
    <w:p w14:paraId="0F622BA4">
      <w:pPr>
        <w:autoSpaceDE w:val="0"/>
        <w:autoSpaceDN w:val="0"/>
        <w:adjustRightInd w:val="0"/>
        <w:spacing w:line="360" w:lineRule="auto"/>
        <w:ind w:firstLine="480"/>
        <w:outlineLvl w:val="9"/>
        <w:rPr>
          <w:rFonts w:hint="eastAsia" w:ascii="仿宋" w:hAnsi="仿宋" w:eastAsia="仿宋" w:cs="仿宋"/>
          <w:b/>
          <w:color w:val="auto"/>
          <w:sz w:val="24"/>
          <w:highlight w:val="none"/>
          <w:lang w:val="zh-CN"/>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.3.1 各投标人严格遵守前款</w:t>
      </w:r>
      <w:r>
        <w:rPr>
          <w:rFonts w:hint="eastAsia" w:ascii="仿宋" w:hAnsi="仿宋" w:eastAsia="仿宋" w:cs="仿宋"/>
          <w:bCs/>
          <w:color w:val="auto"/>
          <w:sz w:val="24"/>
          <w:highlight w:val="none"/>
          <w:lang w:val="zh-CN"/>
        </w:rPr>
        <w:t>“第四部分”中10.7条款</w:t>
      </w:r>
      <w:r>
        <w:rPr>
          <w:rFonts w:hint="eastAsia" w:ascii="仿宋" w:hAnsi="仿宋" w:eastAsia="仿宋" w:cs="仿宋"/>
          <w:color w:val="auto"/>
          <w:sz w:val="24"/>
          <w:highlight w:val="none"/>
          <w:lang w:val="zh-CN"/>
        </w:rPr>
        <w:t>之规定，在采购代理机构规定时间进行评标。</w:t>
      </w:r>
    </w:p>
    <w:p w14:paraId="058E58C9">
      <w:pPr>
        <w:autoSpaceDE w:val="0"/>
        <w:autoSpaceDN w:val="0"/>
        <w:adjustRightInd w:val="0"/>
        <w:spacing w:line="360" w:lineRule="auto"/>
        <w:ind w:firstLine="480"/>
        <w:outlineLvl w:val="9"/>
        <w:rPr>
          <w:rFonts w:hint="eastAsia" w:ascii="仿宋" w:hAnsi="仿宋" w:eastAsia="仿宋" w:cs="仿宋"/>
          <w:b/>
          <w:color w:val="auto"/>
          <w:sz w:val="24"/>
          <w:highlight w:val="none"/>
          <w:lang w:val="zh-CN"/>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.3.2 评标、报价、询标（答疑）、澄清应按照投标人递交投标文件的正顺序进行。</w:t>
      </w:r>
    </w:p>
    <w:p w14:paraId="0C327A79">
      <w:pPr>
        <w:spacing w:line="360" w:lineRule="auto"/>
        <w:ind w:firstLine="480" w:firstLineChars="200"/>
        <w:outlineLvl w:val="9"/>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rPr>
        <w:t xml:space="preserve">22.3.3 评标委员会成员和与本次评标活动有关的工作人员，应遵循前款“第五部分”“第四章”中的规定。 </w:t>
      </w:r>
    </w:p>
    <w:p w14:paraId="234FF6AF">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22.3.4评标现场凡投标人提供所涉及的投标资料，严格按照前款“第三部分”执行。</w:t>
      </w:r>
    </w:p>
    <w:p w14:paraId="1DF4DF1F">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22.3.5 </w:t>
      </w:r>
      <w:r>
        <w:rPr>
          <w:rFonts w:hint="eastAsia" w:ascii="仿宋" w:hAnsi="仿宋" w:eastAsia="仿宋" w:cs="仿宋"/>
          <w:color w:val="auto"/>
          <w:sz w:val="24"/>
          <w:szCs w:val="24"/>
          <w:highlight w:val="none"/>
        </w:rPr>
        <w:t>采购代理机构</w:t>
      </w:r>
      <w:r>
        <w:rPr>
          <w:rFonts w:hint="eastAsia" w:ascii="仿宋" w:hAnsi="仿宋" w:eastAsia="仿宋" w:cs="仿宋"/>
          <w:bCs/>
          <w:color w:val="auto"/>
          <w:sz w:val="24"/>
          <w:highlight w:val="none"/>
        </w:rPr>
        <w:t>要对当事双方的评标、报价、询标（答疑）、澄清等，做好书面记录，经评标委员会、</w:t>
      </w:r>
      <w:r>
        <w:rPr>
          <w:rFonts w:hint="eastAsia" w:ascii="仿宋" w:hAnsi="仿宋" w:eastAsia="仿宋" w:cs="仿宋"/>
          <w:bCs/>
          <w:color w:val="auto"/>
          <w:sz w:val="24"/>
          <w:highlight w:val="none"/>
          <w:lang w:eastAsia="zh-CN"/>
        </w:rPr>
        <w:t>投标</w:t>
      </w:r>
      <w:r>
        <w:rPr>
          <w:rFonts w:hint="eastAsia" w:ascii="仿宋" w:hAnsi="仿宋" w:eastAsia="仿宋" w:cs="仿宋"/>
          <w:bCs/>
          <w:color w:val="auto"/>
          <w:sz w:val="24"/>
          <w:highlight w:val="none"/>
        </w:rPr>
        <w:t>人签字确认的记录与招标文件、</w:t>
      </w:r>
      <w:r>
        <w:rPr>
          <w:rFonts w:hint="eastAsia" w:ascii="仿宋" w:hAnsi="仿宋" w:eastAsia="仿宋" w:cs="仿宋"/>
          <w:bCs/>
          <w:color w:val="auto"/>
          <w:sz w:val="24"/>
          <w:highlight w:val="none"/>
          <w:lang w:eastAsia="zh-CN"/>
        </w:rPr>
        <w:t>投标</w:t>
      </w:r>
      <w:r>
        <w:rPr>
          <w:rFonts w:hint="eastAsia" w:ascii="仿宋" w:hAnsi="仿宋" w:eastAsia="仿宋" w:cs="仿宋"/>
          <w:bCs/>
          <w:color w:val="auto"/>
          <w:sz w:val="24"/>
          <w:highlight w:val="none"/>
        </w:rPr>
        <w:t>人投标文件具有同等法律地位；也是投标人一旦中标后，与采购人签订中标合同和发生质疑或投诉事项时的重要法律依据。</w:t>
      </w:r>
    </w:p>
    <w:p w14:paraId="03F8951A">
      <w:pPr>
        <w:spacing w:line="360" w:lineRule="auto"/>
        <w:ind w:firstLine="480" w:firstLineChars="200"/>
        <w:outlineLvl w:val="9"/>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2</w:t>
      </w: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lang w:val="zh-CN"/>
        </w:rPr>
        <w:t xml:space="preserve">.3.6 </w:t>
      </w:r>
      <w:r>
        <w:rPr>
          <w:rFonts w:hint="eastAsia" w:ascii="仿宋" w:hAnsi="仿宋" w:eastAsia="仿宋" w:cs="仿宋"/>
          <w:bCs/>
          <w:color w:val="auto"/>
          <w:sz w:val="24"/>
          <w:highlight w:val="none"/>
        </w:rPr>
        <w:t>评标委员会各成员应在采购人规定时间内阅读和熟悉招标文件，当要提出招标文件疑问事项时，应由采购人、采购代理机构本次招标项目的责任人作为主体解答者，解答不清的，由会议主持进行补充解答。</w:t>
      </w:r>
    </w:p>
    <w:p w14:paraId="282C3CED">
      <w:pPr>
        <w:spacing w:line="360" w:lineRule="auto"/>
        <w:ind w:firstLine="482" w:firstLineChars="200"/>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22.4 报价</w:t>
      </w:r>
    </w:p>
    <w:p w14:paraId="288011E5">
      <w:pPr>
        <w:autoSpaceDE w:val="0"/>
        <w:autoSpaceDN w:val="0"/>
        <w:adjustRightInd w:val="0"/>
        <w:spacing w:line="360" w:lineRule="auto"/>
        <w:ind w:firstLine="480"/>
        <w:outlineLvl w:val="9"/>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zh-CN"/>
        </w:rPr>
        <w:t xml:space="preserve">.4.1 投标报价的审查和原则要求 </w:t>
      </w:r>
    </w:p>
    <w:p w14:paraId="66EE7B8E">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.4.1.1 采购人应须对评标委员会确定为实质上响应招标文件要求的投标文件中的价格进行审核，检查看其是否有计算和累加上的错误。</w:t>
      </w:r>
    </w:p>
    <w:p w14:paraId="2912C352">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4.1.2修正错误的原则。如大写金额与小写金额不一致的，以大写金额为准；总价金额与按单价汇总金额不一致的，以单价金额计算结果为准；单价金额小数点有明显错位的，以总价为准，并修改单价；对不同文字文本投标文件的解释发生异议的，以中文文本为准。按上述原则调整后的价格为评标价，对投标人具有约束力。如果投标人不接受修正后的价格，则其报价将被拒绝，其投标报价保证金将被没收。</w:t>
      </w:r>
    </w:p>
    <w:p w14:paraId="1EB51459">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.4.1.3 采购人按照规定时间，应检查所有投标文件的密封情况，确认无误后，</w:t>
      </w:r>
      <w:r>
        <w:rPr>
          <w:rFonts w:hint="eastAsia" w:ascii="仿宋" w:hAnsi="仿宋" w:eastAsia="仿宋" w:cs="仿宋"/>
          <w:color w:val="auto"/>
          <w:sz w:val="24"/>
          <w:szCs w:val="24"/>
          <w:highlight w:val="none"/>
        </w:rPr>
        <w:t>采购代理机构</w:t>
      </w:r>
      <w:r>
        <w:rPr>
          <w:rFonts w:hint="eastAsia" w:ascii="仿宋" w:hAnsi="仿宋" w:eastAsia="仿宋" w:cs="仿宋"/>
          <w:color w:val="auto"/>
          <w:sz w:val="24"/>
          <w:highlight w:val="none"/>
          <w:lang w:val="zh-CN"/>
        </w:rPr>
        <w:t>以书面记录分别对投标人的报价单统一启封后，进行公开唱标、记标。</w:t>
      </w:r>
    </w:p>
    <w:p w14:paraId="61534AA0">
      <w:pPr>
        <w:autoSpaceDE w:val="0"/>
        <w:autoSpaceDN w:val="0"/>
        <w:adjustRightInd w:val="0"/>
        <w:spacing w:line="360" w:lineRule="auto"/>
        <w:ind w:firstLine="482"/>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.4.1.4 </w:t>
      </w:r>
      <w:r>
        <w:rPr>
          <w:rFonts w:hint="eastAsia" w:ascii="仿宋" w:hAnsi="仿宋" w:eastAsia="仿宋" w:cs="仿宋"/>
          <w:bCs/>
          <w:color w:val="auto"/>
          <w:sz w:val="24"/>
          <w:highlight w:val="none"/>
          <w:lang w:val="zh-CN"/>
        </w:rPr>
        <w:t>报价</w:t>
      </w:r>
      <w:r>
        <w:rPr>
          <w:rFonts w:hint="eastAsia" w:ascii="仿宋" w:hAnsi="仿宋" w:eastAsia="仿宋" w:cs="仿宋"/>
          <w:color w:val="auto"/>
          <w:sz w:val="24"/>
          <w:highlight w:val="none"/>
          <w:lang w:val="zh-CN"/>
        </w:rPr>
        <w:t>采取密封的形式提交</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采用一次性报价方式，且为最终报价。</w:t>
      </w:r>
    </w:p>
    <w:p w14:paraId="27B3F9F9">
      <w:pPr>
        <w:autoSpaceDE w:val="0"/>
        <w:autoSpaceDN w:val="0"/>
        <w:adjustRightInd w:val="0"/>
        <w:spacing w:line="360" w:lineRule="auto"/>
        <w:ind w:firstLine="482"/>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.4.1.5 投标人的报价均应报出拟提供货物的单价和总价。</w:t>
      </w:r>
    </w:p>
    <w:p w14:paraId="63DCD9E1">
      <w:pPr>
        <w:spacing w:line="360" w:lineRule="auto"/>
        <w:ind w:firstLine="480" w:firstLineChars="200"/>
        <w:outlineLvl w:val="9"/>
        <w:rPr>
          <w:rFonts w:hint="eastAsia" w:ascii="仿宋" w:hAnsi="仿宋" w:eastAsia="仿宋" w:cs="仿宋"/>
          <w:b/>
          <w:color w:val="auto"/>
          <w:sz w:val="24"/>
          <w:highlight w:val="none"/>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.4.1.6 投标人的报价采取现场公开的方式进行唱标记标，报价时现场不接受涂改、不合规更正的报价单，不允许投标人与外界有任何方式的联系和沟通，且现场</w:t>
      </w:r>
      <w:r>
        <w:rPr>
          <w:rFonts w:hint="eastAsia" w:ascii="仿宋" w:hAnsi="仿宋" w:eastAsia="仿宋" w:cs="仿宋"/>
          <w:color w:val="auto"/>
          <w:sz w:val="24"/>
          <w:highlight w:val="none"/>
        </w:rPr>
        <w:t>均不接受</w:t>
      </w:r>
      <w:r>
        <w:rPr>
          <w:rFonts w:hint="eastAsia" w:ascii="仿宋" w:hAnsi="仿宋" w:eastAsia="仿宋" w:cs="仿宋"/>
          <w:color w:val="auto"/>
          <w:sz w:val="24"/>
          <w:highlight w:val="none"/>
          <w:lang w:eastAsia="zh-CN"/>
        </w:rPr>
        <w:t>三次</w:t>
      </w:r>
      <w:r>
        <w:rPr>
          <w:rFonts w:hint="eastAsia" w:ascii="仿宋" w:hAnsi="仿宋" w:eastAsia="仿宋" w:cs="仿宋"/>
          <w:color w:val="auto"/>
          <w:sz w:val="24"/>
          <w:highlight w:val="none"/>
        </w:rPr>
        <w:t>提供。否则，将直接取消其投标报价资格。</w:t>
      </w:r>
    </w:p>
    <w:p w14:paraId="4C1D6682">
      <w:pPr>
        <w:autoSpaceDE w:val="0"/>
        <w:autoSpaceDN w:val="0"/>
        <w:adjustRightInd w:val="0"/>
        <w:spacing w:line="360" w:lineRule="auto"/>
        <w:ind w:firstLine="482"/>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.4.1.7 各投标人须按照采购人规定的时间进行报价，严格遵守前款“第四部分”中</w:t>
      </w:r>
      <w:r>
        <w:rPr>
          <w:rFonts w:hint="eastAsia" w:ascii="仿宋" w:hAnsi="仿宋" w:eastAsia="仿宋" w:cs="仿宋"/>
          <w:bCs/>
          <w:color w:val="auto"/>
          <w:sz w:val="24"/>
          <w:highlight w:val="none"/>
          <w:lang w:val="zh-CN"/>
        </w:rPr>
        <w:t>10.7条款、10.8条款之</w:t>
      </w:r>
      <w:r>
        <w:rPr>
          <w:rFonts w:hint="eastAsia" w:ascii="仿宋" w:hAnsi="仿宋" w:eastAsia="仿宋" w:cs="仿宋"/>
          <w:color w:val="auto"/>
          <w:sz w:val="24"/>
          <w:highlight w:val="none"/>
          <w:lang w:val="zh-CN"/>
        </w:rPr>
        <w:t xml:space="preserve">规定。 </w:t>
      </w:r>
    </w:p>
    <w:p w14:paraId="1CC6459D">
      <w:pPr>
        <w:spacing w:line="360" w:lineRule="auto"/>
        <w:ind w:firstLine="482" w:firstLineChars="200"/>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23.4.2 唱标、记标</w:t>
      </w:r>
    </w:p>
    <w:p w14:paraId="420088E0">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采购代理机构对投标报价登记确认、资格资格审查合格，及对招标文件做出实质性响应的投标人的报价，要给予每个正在参加评标的投标人相同的机会，并对报价采取公开的方式，招标代理机构在开启报价后，投标人须在规定的报价确认签字时段内进行CA签章，否则视为无效报价。该报价只允许有一个报价，投标人任何有选择性的报价将不予接受。</w:t>
      </w:r>
    </w:p>
    <w:p w14:paraId="435AB0B1">
      <w:pPr>
        <w:autoSpaceDE w:val="0"/>
        <w:autoSpaceDN w:val="0"/>
        <w:adjustRightInd w:val="0"/>
        <w:spacing w:line="360" w:lineRule="auto"/>
        <w:ind w:firstLine="480"/>
        <w:outlineLvl w:val="9"/>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3</w:t>
      </w:r>
      <w:r>
        <w:rPr>
          <w:rFonts w:hint="eastAsia" w:ascii="仿宋" w:hAnsi="仿宋" w:eastAsia="仿宋" w:cs="仿宋"/>
          <w:b/>
          <w:color w:val="auto"/>
          <w:sz w:val="24"/>
          <w:highlight w:val="none"/>
          <w:lang w:val="zh-CN"/>
        </w:rPr>
        <w:t>.4.3 最终报价是否均超过采购预算的审查确认</w:t>
      </w:r>
    </w:p>
    <w:p w14:paraId="26ABFC17">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zh-CN"/>
        </w:rPr>
        <w:t xml:space="preserve">.4.3.1 报价唱标结束后，采购人须根据《中华人民共和国政府采购法》及招标文件的规定，按照最终报价不接受超过采购预算的原则，对最终报价是否均超过采购预算进行审查确认，并现场公布结果。 </w:t>
      </w:r>
    </w:p>
    <w:p w14:paraId="3B3A5FDB">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zh-CN"/>
        </w:rPr>
        <w:t>.4.3.2 唱标结束后，如所有报价均超过采购预算，且采购人不能支付时，采购人现场应宣布本次招标废标。出现此种情况时，评标委员会有权决定拒绝所有的投标文件。</w:t>
      </w:r>
    </w:p>
    <w:p w14:paraId="7CE0F994">
      <w:pPr>
        <w:autoSpaceDE w:val="0"/>
        <w:autoSpaceDN w:val="0"/>
        <w:adjustRightInd w:val="0"/>
        <w:spacing w:line="360" w:lineRule="auto"/>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zh-CN"/>
        </w:rPr>
        <w:t>.4.3.3 唱标结束后，如果没有超过采购预算的投标人只有二家时，且是第一次开标，采购人应中止谈判，重新组织采购；如果是第三次开标，</w:t>
      </w:r>
      <w:r>
        <w:rPr>
          <w:rFonts w:hint="eastAsia" w:ascii="仿宋" w:hAnsi="仿宋" w:eastAsia="仿宋" w:cs="仿宋"/>
          <w:color w:val="auto"/>
          <w:sz w:val="24"/>
          <w:szCs w:val="24"/>
          <w:highlight w:val="none"/>
        </w:rPr>
        <w:t>按照公开、公平和竞争的原则，采购人可以书面提出转竞争性谈判方式采购，经批准后，按批准后的采购方式继续开标。</w:t>
      </w:r>
    </w:p>
    <w:p w14:paraId="528302AF">
      <w:pPr>
        <w:autoSpaceDE w:val="0"/>
        <w:autoSpaceDN w:val="0"/>
        <w:adjustRightInd w:val="0"/>
        <w:spacing w:line="360" w:lineRule="auto"/>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zh-CN"/>
        </w:rPr>
        <w:t>.4.3.4唱标结束后，如果没有超过采购预算的投标人只有一家时，</w:t>
      </w:r>
      <w:r>
        <w:rPr>
          <w:rFonts w:hint="eastAsia" w:ascii="仿宋" w:hAnsi="仿宋" w:eastAsia="仿宋" w:cs="仿宋"/>
          <w:color w:val="auto"/>
          <w:sz w:val="24"/>
          <w:szCs w:val="24"/>
          <w:highlight w:val="none"/>
        </w:rPr>
        <w:t>且是第一次开标，采购人应中止谈判，重新组织采购；如果是第</w:t>
      </w:r>
      <w:r>
        <w:rPr>
          <w:rFonts w:hint="eastAsia" w:ascii="仿宋" w:hAnsi="仿宋" w:eastAsia="仿宋" w:cs="仿宋"/>
          <w:color w:val="auto"/>
          <w:sz w:val="24"/>
          <w:szCs w:val="24"/>
          <w:highlight w:val="none"/>
          <w:lang w:eastAsia="zh-CN"/>
        </w:rPr>
        <w:t>三次</w:t>
      </w:r>
      <w:r>
        <w:rPr>
          <w:rFonts w:hint="eastAsia" w:ascii="仿宋" w:hAnsi="仿宋" w:eastAsia="仿宋" w:cs="仿宋"/>
          <w:color w:val="auto"/>
          <w:sz w:val="24"/>
          <w:szCs w:val="24"/>
          <w:highlight w:val="none"/>
        </w:rPr>
        <w:t>开标，采购人和投标商既没有过不良行为记录，也不存在明显或恶意的投标倾向性行为，由评标委员会对其递交的投标文件和招标文件做出实质性响应进行审查确认后，采购人可以书面申请</w:t>
      </w:r>
      <w:r>
        <w:rPr>
          <w:rFonts w:hint="eastAsia" w:ascii="仿宋" w:hAnsi="仿宋" w:eastAsia="仿宋" w:cs="仿宋"/>
          <w:bCs/>
          <w:color w:val="auto"/>
          <w:sz w:val="24"/>
          <w:szCs w:val="24"/>
          <w:highlight w:val="none"/>
        </w:rPr>
        <w:t>单一来源方式</w:t>
      </w:r>
      <w:r>
        <w:rPr>
          <w:rFonts w:hint="eastAsia" w:ascii="仿宋" w:hAnsi="仿宋" w:eastAsia="仿宋" w:cs="仿宋"/>
          <w:color w:val="auto"/>
          <w:sz w:val="24"/>
          <w:szCs w:val="24"/>
          <w:highlight w:val="none"/>
        </w:rPr>
        <w:t>采购，经批准同意后，按批准后的采购方式依法按程序组织采购。反之，则应直接作废标处理，并依法重新组织采购。</w:t>
      </w:r>
    </w:p>
    <w:p w14:paraId="75FABEDE">
      <w:pPr>
        <w:autoSpaceDE w:val="0"/>
        <w:autoSpaceDN w:val="0"/>
        <w:adjustRightInd w:val="0"/>
        <w:spacing w:line="360" w:lineRule="auto"/>
        <w:ind w:firstLine="480"/>
        <w:outlineLvl w:val="9"/>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rPr>
        <w:t xml:space="preserve">23.5 </w:t>
      </w:r>
      <w:r>
        <w:rPr>
          <w:rFonts w:hint="eastAsia" w:ascii="仿宋" w:hAnsi="仿宋" w:eastAsia="仿宋" w:cs="仿宋"/>
          <w:b/>
          <w:bCs/>
          <w:color w:val="auto"/>
          <w:sz w:val="24"/>
          <w:highlight w:val="none"/>
          <w:lang w:val="zh-CN"/>
        </w:rPr>
        <w:t>评标程序</w:t>
      </w:r>
    </w:p>
    <w:p w14:paraId="1CB4FB8A">
      <w:pPr>
        <w:autoSpaceDE w:val="0"/>
        <w:autoSpaceDN w:val="0"/>
        <w:adjustRightIn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23.5.1 评标委员会及其成员应当遵循独立评标的原则，按照独立初审、单独（或集中）询标（答疑）、独立综合评审、独立推荐拟中标人、集体定标、出具评标报告的工作程序进行。</w:t>
      </w:r>
    </w:p>
    <w:p w14:paraId="16478F21">
      <w:pPr>
        <w:autoSpaceDE w:val="0"/>
        <w:autoSpaceDN w:val="0"/>
        <w:adjustRightInd w:val="0"/>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zh-CN"/>
        </w:rPr>
        <w:t>.5.2 投标人按采购人规定时间要求，向本次评标委员会进行投标方案的简要介绍。</w:t>
      </w:r>
    </w:p>
    <w:p w14:paraId="08DF562E">
      <w:pPr>
        <w:autoSpaceDE w:val="0"/>
        <w:autoSpaceDN w:val="0"/>
        <w:adjustRightInd w:val="0"/>
        <w:spacing w:line="360" w:lineRule="auto"/>
        <w:ind w:firstLine="480"/>
        <w:outlineLvl w:val="9"/>
        <w:rPr>
          <w:rFonts w:hint="eastAsia" w:ascii="仿宋" w:hAnsi="仿宋" w:eastAsia="仿宋" w:cs="仿宋"/>
          <w:b/>
          <w:bCs/>
          <w:color w:val="auto"/>
          <w:sz w:val="24"/>
          <w:highlight w:val="none"/>
          <w:lang w:val="zh-CN"/>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zh-CN"/>
        </w:rPr>
        <w:t>.5.3 评标委员会应单独（或集中）与资格资格审查合格的投标人分别进行技术和商务评审与比较。</w:t>
      </w:r>
    </w:p>
    <w:p w14:paraId="53A226B2">
      <w:pPr>
        <w:spacing w:line="360" w:lineRule="auto"/>
        <w:ind w:firstLine="480" w:firstLineChars="200"/>
        <w:outlineLvl w:val="9"/>
        <w:rPr>
          <w:rFonts w:hint="eastAsia" w:ascii="仿宋" w:hAnsi="仿宋" w:eastAsia="仿宋" w:cs="仿宋"/>
          <w:color w:val="auto"/>
          <w:sz w:val="24"/>
          <w:highlight w:val="none"/>
          <w:lang w:val="zh-CN"/>
        </w:rPr>
      </w:pPr>
      <w:r>
        <w:rPr>
          <w:rFonts w:hint="eastAsia" w:ascii="仿宋" w:hAnsi="仿宋" w:eastAsia="仿宋" w:cs="仿宋"/>
          <w:bCs/>
          <w:color w:val="auto"/>
          <w:sz w:val="24"/>
          <w:highlight w:val="none"/>
        </w:rPr>
        <w:t>23.5.4 按照采购人规定程序，评标当事双方应本着“实事求是、公正诚信”的原则，要以</w:t>
      </w:r>
      <w:r>
        <w:rPr>
          <w:rFonts w:hint="eastAsia" w:ascii="仿宋" w:hAnsi="仿宋" w:eastAsia="仿宋" w:cs="仿宋"/>
          <w:color w:val="auto"/>
          <w:sz w:val="24"/>
          <w:szCs w:val="24"/>
          <w:highlight w:val="none"/>
        </w:rPr>
        <w:t>采购代理机构</w:t>
      </w:r>
      <w:r>
        <w:rPr>
          <w:rFonts w:hint="eastAsia" w:ascii="仿宋" w:hAnsi="仿宋" w:eastAsia="仿宋" w:cs="仿宋"/>
          <w:bCs/>
          <w:color w:val="auto"/>
          <w:sz w:val="24"/>
          <w:highlight w:val="none"/>
        </w:rPr>
        <w:t>的招标文件为评标的唯一依据，不允许做招标文件以外无关问题讨论；评标委员会成员可以采取单独（或集中）的方式与投标人分别逐一进行评标、询标（</w:t>
      </w:r>
      <w:r>
        <w:rPr>
          <w:rFonts w:hint="eastAsia" w:ascii="仿宋" w:hAnsi="仿宋" w:eastAsia="仿宋" w:cs="仿宋"/>
          <w:color w:val="auto"/>
          <w:sz w:val="24"/>
          <w:highlight w:val="none"/>
          <w:lang w:val="zh-CN"/>
        </w:rPr>
        <w:t>答疑）、澄清。</w:t>
      </w:r>
    </w:p>
    <w:p w14:paraId="5E0C44EC">
      <w:pPr>
        <w:autoSpaceDE w:val="0"/>
        <w:autoSpaceDN w:val="0"/>
        <w:adjustRightInd w:val="0"/>
        <w:spacing w:line="360" w:lineRule="auto"/>
        <w:ind w:firstLine="480"/>
        <w:outlineLvl w:val="9"/>
        <w:rPr>
          <w:rFonts w:hint="eastAsia" w:ascii="仿宋" w:hAnsi="仿宋" w:eastAsia="仿宋" w:cs="仿宋"/>
          <w:b/>
          <w:color w:val="auto"/>
          <w:sz w:val="24"/>
          <w:highlight w:val="none"/>
          <w:lang w:val="zh-CN"/>
        </w:rPr>
      </w:pPr>
      <w:r>
        <w:rPr>
          <w:rFonts w:hint="eastAsia" w:ascii="仿宋" w:hAnsi="仿宋" w:eastAsia="仿宋" w:cs="仿宋"/>
          <w:b/>
          <w:bCs/>
          <w:color w:val="auto"/>
          <w:sz w:val="24"/>
          <w:highlight w:val="none"/>
        </w:rPr>
        <w:t>23.5.5 询标（答疑）、</w:t>
      </w:r>
      <w:r>
        <w:rPr>
          <w:rFonts w:hint="eastAsia" w:ascii="仿宋" w:hAnsi="仿宋" w:eastAsia="仿宋" w:cs="仿宋"/>
          <w:b/>
          <w:bCs/>
          <w:color w:val="auto"/>
          <w:sz w:val="24"/>
          <w:highlight w:val="none"/>
          <w:lang w:val="zh-CN"/>
        </w:rPr>
        <w:t>澄清</w:t>
      </w:r>
    </w:p>
    <w:p w14:paraId="77E13B9B">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23.5.5.1在评标过程中，</w:t>
      </w:r>
      <w:r>
        <w:rPr>
          <w:rFonts w:hint="eastAsia" w:ascii="仿宋" w:hAnsi="仿宋" w:eastAsia="仿宋" w:cs="仿宋"/>
          <w:color w:val="auto"/>
          <w:sz w:val="24"/>
          <w:highlight w:val="none"/>
          <w:lang w:val="zh-CN"/>
        </w:rPr>
        <w:t>评标委员会</w:t>
      </w:r>
      <w:r>
        <w:rPr>
          <w:rFonts w:hint="eastAsia" w:ascii="仿宋" w:hAnsi="仿宋" w:eastAsia="仿宋" w:cs="仿宋"/>
          <w:bCs/>
          <w:color w:val="auto"/>
          <w:sz w:val="24"/>
          <w:highlight w:val="none"/>
        </w:rPr>
        <w:t>各成员如对投标文件中含义不明确、同类问题表述不一致或者有明显文字和计算错误的内容，需要投标人进行必要澄清、说明或者纠正，</w:t>
      </w:r>
      <w:r>
        <w:rPr>
          <w:rFonts w:hint="eastAsia" w:ascii="仿宋" w:hAnsi="仿宋" w:eastAsia="仿宋" w:cs="仿宋"/>
          <w:color w:val="auto"/>
          <w:sz w:val="24"/>
          <w:highlight w:val="none"/>
          <w:lang w:val="zh-CN"/>
        </w:rPr>
        <w:t>应以书面形式要求投标人在</w:t>
      </w:r>
      <w:r>
        <w:rPr>
          <w:rFonts w:hint="eastAsia" w:ascii="仿宋" w:hAnsi="仿宋" w:eastAsia="仿宋" w:cs="仿宋"/>
          <w:color w:val="auto"/>
          <w:sz w:val="24"/>
          <w:szCs w:val="24"/>
          <w:highlight w:val="none"/>
        </w:rPr>
        <w:t>采购代理机构</w:t>
      </w:r>
      <w:r>
        <w:rPr>
          <w:rFonts w:hint="eastAsia" w:ascii="仿宋" w:hAnsi="仿宋" w:eastAsia="仿宋" w:cs="仿宋"/>
          <w:color w:val="auto"/>
          <w:sz w:val="24"/>
          <w:highlight w:val="none"/>
          <w:lang w:val="zh-CN"/>
        </w:rPr>
        <w:t>规定的时间内作出必要的澄清、说明或者补正，</w:t>
      </w:r>
      <w:r>
        <w:rPr>
          <w:rFonts w:hint="eastAsia" w:ascii="仿宋" w:hAnsi="仿宋" w:eastAsia="仿宋" w:cs="仿宋"/>
          <w:bCs/>
          <w:color w:val="auto"/>
          <w:sz w:val="24"/>
          <w:highlight w:val="none"/>
        </w:rPr>
        <w:t>和分别单独</w:t>
      </w:r>
      <w:r>
        <w:rPr>
          <w:rFonts w:hint="eastAsia" w:ascii="仿宋" w:hAnsi="仿宋" w:eastAsia="仿宋" w:cs="仿宋"/>
          <w:color w:val="auto"/>
          <w:sz w:val="24"/>
          <w:highlight w:val="none"/>
          <w:lang w:val="zh-CN"/>
        </w:rPr>
        <w:t>（或集中）</w:t>
      </w:r>
      <w:r>
        <w:rPr>
          <w:rFonts w:hint="eastAsia" w:ascii="仿宋" w:hAnsi="仿宋" w:eastAsia="仿宋" w:cs="仿宋"/>
          <w:bCs/>
          <w:color w:val="auto"/>
          <w:sz w:val="24"/>
          <w:highlight w:val="none"/>
        </w:rPr>
        <w:t>进行询标（答疑）。</w:t>
      </w:r>
    </w:p>
    <w:p w14:paraId="3808DAA8">
      <w:pPr>
        <w:spacing w:line="360" w:lineRule="auto"/>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highlight w:val="none"/>
        </w:rPr>
        <w:t xml:space="preserve">23.5.5.2 </w:t>
      </w:r>
      <w:r>
        <w:rPr>
          <w:rFonts w:hint="eastAsia" w:ascii="仿宋" w:hAnsi="仿宋" w:eastAsia="仿宋" w:cs="仿宋"/>
          <w:bCs/>
          <w:color w:val="auto"/>
          <w:sz w:val="24"/>
          <w:szCs w:val="24"/>
          <w:highlight w:val="none"/>
        </w:rPr>
        <w:t>为有助于对投标文件进行审查、评估和比较，评标委员会及其成员将对认为需要投标人进行询标（答疑）、澄清等时，投标方有责任按照采购人通知的时间进行询标（答疑）和澄清。询标（答疑）和澄清时，投标方代表须做出书面答复并在规定时间内上传澄清文件。</w:t>
      </w:r>
    </w:p>
    <w:p w14:paraId="4A2BC5A0">
      <w:pPr>
        <w:autoSpaceDE w:val="0"/>
        <w:autoSpaceDN w:val="0"/>
        <w:adjustRightInd w:val="0"/>
        <w:spacing w:line="360" w:lineRule="auto"/>
        <w:ind w:firstLine="480"/>
        <w:outlineLvl w:val="9"/>
        <w:rPr>
          <w:rFonts w:hint="eastAsia" w:ascii="仿宋" w:hAnsi="仿宋" w:eastAsia="仿宋" w:cs="仿宋"/>
          <w:b/>
          <w:bCs/>
          <w:color w:val="auto"/>
          <w:sz w:val="32"/>
          <w:szCs w:val="32"/>
          <w:highlight w:val="none"/>
          <w:lang w:val="zh-CN"/>
        </w:rPr>
      </w:pPr>
      <w:r>
        <w:rPr>
          <w:rFonts w:hint="eastAsia" w:ascii="仿宋" w:hAnsi="仿宋" w:eastAsia="仿宋" w:cs="仿宋"/>
          <w:bCs/>
          <w:color w:val="auto"/>
          <w:sz w:val="24"/>
          <w:highlight w:val="none"/>
        </w:rPr>
        <w:t>23.5.5.3</w:t>
      </w:r>
      <w:r>
        <w:rPr>
          <w:rFonts w:hint="eastAsia" w:ascii="仿宋" w:hAnsi="仿宋" w:eastAsia="仿宋" w:cs="仿宋"/>
          <w:color w:val="auto"/>
          <w:sz w:val="24"/>
          <w:highlight w:val="none"/>
          <w:lang w:val="zh-CN"/>
        </w:rPr>
        <w:t xml:space="preserve"> 评标委员会在初步评审的基础上，单独（或集体）讨论、分析、综合各种因素后，可决定是否与各投标人再次进行询标（答疑）。</w:t>
      </w:r>
    </w:p>
    <w:p w14:paraId="72DD1516">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23.5.5.4 </w:t>
      </w:r>
      <w:r>
        <w:rPr>
          <w:rFonts w:hint="eastAsia" w:ascii="仿宋" w:hAnsi="仿宋" w:eastAsia="仿宋" w:cs="仿宋"/>
          <w:color w:val="auto"/>
          <w:sz w:val="24"/>
          <w:szCs w:val="24"/>
          <w:highlight w:val="none"/>
        </w:rPr>
        <w:t>采购代理机构</w:t>
      </w:r>
      <w:r>
        <w:rPr>
          <w:rFonts w:hint="eastAsia" w:ascii="仿宋" w:hAnsi="仿宋" w:eastAsia="仿宋" w:cs="仿宋"/>
          <w:bCs/>
          <w:color w:val="auto"/>
          <w:sz w:val="24"/>
          <w:highlight w:val="none"/>
        </w:rPr>
        <w:t>要对投标人的澄清、说明或者补正，</w:t>
      </w:r>
      <w:r>
        <w:rPr>
          <w:rFonts w:hint="eastAsia" w:ascii="仿宋" w:hAnsi="仿宋" w:eastAsia="仿宋" w:cs="仿宋"/>
          <w:color w:val="auto"/>
          <w:sz w:val="24"/>
          <w:highlight w:val="none"/>
          <w:lang w:val="zh-CN"/>
        </w:rPr>
        <w:t>采用书面形式，</w:t>
      </w:r>
      <w:r>
        <w:rPr>
          <w:rFonts w:hint="eastAsia" w:ascii="仿宋" w:hAnsi="仿宋" w:eastAsia="仿宋" w:cs="仿宋"/>
          <w:bCs/>
          <w:color w:val="auto"/>
          <w:sz w:val="24"/>
          <w:highlight w:val="none"/>
        </w:rPr>
        <w:t>由</w:t>
      </w:r>
      <w:r>
        <w:rPr>
          <w:rFonts w:hint="eastAsia" w:ascii="仿宋" w:hAnsi="仿宋" w:eastAsia="仿宋" w:cs="仿宋"/>
          <w:color w:val="auto"/>
          <w:sz w:val="24"/>
          <w:szCs w:val="24"/>
          <w:highlight w:val="none"/>
        </w:rPr>
        <w:t>采购代理机构</w:t>
      </w:r>
      <w:r>
        <w:rPr>
          <w:rFonts w:hint="eastAsia" w:ascii="仿宋" w:hAnsi="仿宋" w:eastAsia="仿宋" w:cs="仿宋"/>
          <w:bCs/>
          <w:color w:val="auto"/>
          <w:sz w:val="24"/>
          <w:highlight w:val="none"/>
        </w:rPr>
        <w:t>做好书面记录，并由其</w:t>
      </w:r>
      <w:r>
        <w:rPr>
          <w:rFonts w:hint="eastAsia" w:ascii="仿宋" w:hAnsi="仿宋" w:eastAsia="仿宋" w:cs="仿宋"/>
          <w:color w:val="auto"/>
          <w:sz w:val="24"/>
          <w:highlight w:val="none"/>
          <w:lang w:val="zh-CN"/>
        </w:rPr>
        <w:t>法定代表人或</w:t>
      </w:r>
      <w:r>
        <w:rPr>
          <w:rFonts w:hint="eastAsia" w:ascii="仿宋" w:hAnsi="仿宋" w:eastAsia="仿宋" w:cs="仿宋"/>
          <w:bCs/>
          <w:color w:val="auto"/>
          <w:sz w:val="24"/>
          <w:highlight w:val="none"/>
        </w:rPr>
        <w:t>授权的代表签字</w:t>
      </w:r>
      <w:r>
        <w:rPr>
          <w:rFonts w:hint="eastAsia" w:ascii="仿宋" w:hAnsi="仿宋" w:eastAsia="仿宋" w:cs="仿宋"/>
          <w:bCs/>
          <w:color w:val="auto"/>
          <w:sz w:val="24"/>
          <w:szCs w:val="24"/>
          <w:highlight w:val="none"/>
        </w:rPr>
        <w:t>或加盖单位公章</w:t>
      </w:r>
      <w:r>
        <w:rPr>
          <w:rFonts w:hint="eastAsia" w:ascii="仿宋" w:hAnsi="仿宋" w:eastAsia="仿宋" w:cs="仿宋"/>
          <w:bCs/>
          <w:color w:val="auto"/>
          <w:sz w:val="24"/>
          <w:highlight w:val="none"/>
        </w:rPr>
        <w:t>，其澄清、说明或者补正不得超出投标报价文件的范围或者改变其实质性内容，</w:t>
      </w:r>
      <w:r>
        <w:rPr>
          <w:rFonts w:hint="eastAsia" w:ascii="仿宋" w:hAnsi="仿宋" w:eastAsia="仿宋" w:cs="仿宋"/>
          <w:bCs/>
          <w:color w:val="auto"/>
          <w:sz w:val="24"/>
          <w:szCs w:val="24"/>
          <w:highlight w:val="none"/>
        </w:rPr>
        <w:t>并作为投标文件的组成部分。</w:t>
      </w:r>
    </w:p>
    <w:p w14:paraId="2F9332E0">
      <w:pPr>
        <w:autoSpaceDE w:val="0"/>
        <w:autoSpaceDN w:val="0"/>
        <w:adjustRightInd w:val="0"/>
        <w:spacing w:line="360" w:lineRule="auto"/>
        <w:ind w:firstLine="480"/>
        <w:outlineLvl w:val="9"/>
        <w:rPr>
          <w:rFonts w:hint="eastAsia" w:ascii="仿宋" w:hAnsi="仿宋" w:eastAsia="仿宋" w:cs="仿宋"/>
          <w:b/>
          <w:bCs/>
          <w:color w:val="auto"/>
          <w:sz w:val="32"/>
          <w:szCs w:val="32"/>
          <w:highlight w:val="none"/>
          <w:lang w:val="zh-CN"/>
        </w:rPr>
      </w:pPr>
      <w:r>
        <w:rPr>
          <w:rFonts w:hint="eastAsia" w:ascii="仿宋" w:hAnsi="仿宋" w:eastAsia="仿宋" w:cs="仿宋"/>
          <w:bCs/>
          <w:color w:val="auto"/>
          <w:sz w:val="24"/>
          <w:highlight w:val="none"/>
        </w:rPr>
        <w:t>23.5.5.5</w:t>
      </w:r>
      <w:r>
        <w:rPr>
          <w:rFonts w:hint="eastAsia" w:ascii="仿宋" w:hAnsi="仿宋" w:eastAsia="仿宋" w:cs="仿宋"/>
          <w:color w:val="auto"/>
          <w:sz w:val="24"/>
          <w:highlight w:val="none"/>
          <w:lang w:val="zh-CN"/>
        </w:rPr>
        <w:t xml:space="preserve"> 投标人拒不进行澄清、说明或者补正的，或者不能在</w:t>
      </w:r>
      <w:r>
        <w:rPr>
          <w:rFonts w:hint="eastAsia" w:ascii="仿宋" w:hAnsi="仿宋" w:eastAsia="仿宋" w:cs="仿宋"/>
          <w:color w:val="auto"/>
          <w:sz w:val="24"/>
          <w:szCs w:val="24"/>
          <w:highlight w:val="none"/>
        </w:rPr>
        <w:t>采购代理机构</w:t>
      </w:r>
      <w:r>
        <w:rPr>
          <w:rFonts w:hint="eastAsia" w:ascii="仿宋" w:hAnsi="仿宋" w:eastAsia="仿宋" w:cs="仿宋"/>
          <w:color w:val="auto"/>
          <w:sz w:val="24"/>
          <w:highlight w:val="none"/>
          <w:lang w:val="zh-CN"/>
        </w:rPr>
        <w:t>规定时间内做出书面澄清、说明或者补正的，评标委员会将取消其继续参加评标的资格。</w:t>
      </w:r>
    </w:p>
    <w:p w14:paraId="22438249">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bCs/>
          <w:color w:val="auto"/>
          <w:sz w:val="24"/>
          <w:highlight w:val="none"/>
        </w:rPr>
        <w:t>23.5.5.6</w:t>
      </w:r>
      <w:r>
        <w:rPr>
          <w:rFonts w:hint="eastAsia" w:ascii="仿宋" w:hAnsi="仿宋" w:eastAsia="仿宋" w:cs="仿宋"/>
          <w:color w:val="auto"/>
          <w:sz w:val="24"/>
          <w:highlight w:val="none"/>
          <w:lang w:val="zh-CN"/>
        </w:rPr>
        <w:t xml:space="preserve"> 参加投标的投标人应当对评标（审）的承诺和最终报价以书面形式确认，并由其法定代表人或其授权人签署或加盖公章。</w:t>
      </w:r>
    </w:p>
    <w:p w14:paraId="0EBC2BE1">
      <w:pPr>
        <w:autoSpaceDE w:val="0"/>
        <w:autoSpaceDN w:val="0"/>
        <w:adjustRightInd w:val="0"/>
        <w:spacing w:line="360" w:lineRule="auto"/>
        <w:ind w:firstLine="480"/>
        <w:outlineLvl w:val="9"/>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3</w:t>
      </w:r>
      <w:r>
        <w:rPr>
          <w:rFonts w:hint="eastAsia" w:ascii="仿宋" w:hAnsi="仿宋" w:eastAsia="仿宋" w:cs="仿宋"/>
          <w:b/>
          <w:color w:val="auto"/>
          <w:sz w:val="24"/>
          <w:highlight w:val="none"/>
          <w:lang w:val="zh-CN"/>
        </w:rPr>
        <w:t>.5.6 符合性审查</w:t>
      </w:r>
    </w:p>
    <w:p w14:paraId="79DF0E88">
      <w:pPr>
        <w:autoSpaceDE w:val="0"/>
        <w:autoSpaceDN w:val="0"/>
        <w:adjustRightInd w:val="0"/>
        <w:spacing w:line="360" w:lineRule="auto"/>
        <w:ind w:firstLine="480"/>
        <w:outlineLvl w:val="9"/>
        <w:rPr>
          <w:rFonts w:hint="eastAsia" w:ascii="仿宋" w:hAnsi="仿宋" w:eastAsia="仿宋" w:cs="仿宋"/>
          <w:b/>
          <w:color w:val="auto"/>
          <w:sz w:val="24"/>
          <w:highlight w:val="none"/>
          <w:lang w:val="zh-CN"/>
        </w:rPr>
      </w:pPr>
      <w:r>
        <w:rPr>
          <w:rFonts w:hint="eastAsia" w:ascii="仿宋" w:hAnsi="仿宋" w:eastAsia="仿宋" w:cs="仿宋"/>
          <w:bCs/>
          <w:color w:val="auto"/>
          <w:sz w:val="24"/>
          <w:highlight w:val="none"/>
        </w:rPr>
        <w:t>23.5.6.1 评标委员会</w:t>
      </w:r>
      <w:r>
        <w:rPr>
          <w:rFonts w:hint="eastAsia" w:ascii="仿宋" w:hAnsi="仿宋" w:eastAsia="仿宋" w:cs="仿宋"/>
          <w:color w:val="auto"/>
          <w:sz w:val="24"/>
          <w:highlight w:val="none"/>
          <w:lang w:val="zh-CN"/>
        </w:rPr>
        <w:t>应依据招标文件的规定，对投标人的报价文件的有效性、完整性和对招标文件的响应程度进行审查，以确定是否对招标文件的要求做出实质性响应，对招标文件的要求未做出实质性响应的投标人，不得进入具体评标程序。</w:t>
      </w:r>
    </w:p>
    <w:p w14:paraId="64D6C6AB">
      <w:pPr>
        <w:spacing w:line="360" w:lineRule="auto"/>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highlight w:val="none"/>
        </w:rPr>
        <w:t>23.5.6.2 评标委员会</w:t>
      </w:r>
      <w:r>
        <w:rPr>
          <w:rFonts w:hint="eastAsia" w:ascii="仿宋" w:hAnsi="仿宋" w:eastAsia="仿宋" w:cs="仿宋"/>
          <w:bCs/>
          <w:color w:val="auto"/>
          <w:sz w:val="24"/>
          <w:szCs w:val="24"/>
          <w:highlight w:val="none"/>
        </w:rPr>
        <w:t>应当根据招标文件，审查并逐项列出每一个投标文件的全部投标偏差。投标偏差分为重大偏差和细微偏差。</w:t>
      </w:r>
    </w:p>
    <w:p w14:paraId="48A8FEEF">
      <w:pPr>
        <w:spacing w:line="360" w:lineRule="auto"/>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细微偏差是指投标实质上响应了招标文件要求，但在个别地方存在漏项或者提供了不完整的技术信息和数据等情况，并且补正这些遗漏或不完整不会对其他投标人造成不公平的结果。细微偏差不影响投标文件的有效性。</w:t>
      </w:r>
    </w:p>
    <w:p w14:paraId="29588B33">
      <w:pPr>
        <w:spacing w:line="360" w:lineRule="auto"/>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2、应当要求存在细小偏差的投标人在评标结束前以书面形式予以补正。拒绝补正的，在综合评审时可以对细微偏差作不利于该投标人的量化。</w:t>
      </w:r>
    </w:p>
    <w:p w14:paraId="3AB37F43">
      <w:pPr>
        <w:spacing w:line="360" w:lineRule="auto"/>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szCs w:val="24"/>
          <w:highlight w:val="none"/>
        </w:rPr>
        <w:t>重大偏离或保留系指影响到招标文件规定的服务范围和质量，或限制了采购人的权力和义务的规定，而纠正这些偏离将影响到其他提交实质性响应的投标方的公平竞争地位。主要表现有投标文件没有按照招标文件要求提供投标保证金的，投标文件没有投标人授权代表签字和加盖公章的，投标文件中附有采购人不能接受的条件的，和不符合招标文件中规定的其他实质性要求的等。</w:t>
      </w:r>
    </w:p>
    <w:p w14:paraId="325A0B8D">
      <w:pPr>
        <w:spacing w:line="360" w:lineRule="auto"/>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highlight w:val="none"/>
        </w:rPr>
        <w:t>4、发现有重大偏差时，评标委员会及其成员应按招标文件中的规定，可以取消其投标的权利。</w:t>
      </w:r>
    </w:p>
    <w:p w14:paraId="62653C3A">
      <w:pPr>
        <w:spacing w:line="360" w:lineRule="auto"/>
        <w:ind w:firstLine="480" w:firstLineChars="200"/>
        <w:outlineLvl w:val="9"/>
        <w:rPr>
          <w:rFonts w:hint="eastAsia" w:ascii="仿宋" w:hAnsi="仿宋" w:eastAsia="仿宋" w:cs="仿宋"/>
          <w:b/>
          <w:color w:val="auto"/>
          <w:sz w:val="24"/>
          <w:highlight w:val="none"/>
          <w:lang w:val="zh-CN"/>
        </w:rPr>
      </w:pPr>
      <w:r>
        <w:rPr>
          <w:rFonts w:hint="eastAsia" w:ascii="仿宋" w:hAnsi="仿宋" w:eastAsia="仿宋" w:cs="仿宋"/>
          <w:bCs/>
          <w:color w:val="auto"/>
          <w:sz w:val="24"/>
          <w:highlight w:val="none"/>
        </w:rPr>
        <w:t xml:space="preserve">23.5.6.3 </w:t>
      </w:r>
      <w:r>
        <w:rPr>
          <w:rFonts w:hint="eastAsia" w:ascii="仿宋" w:hAnsi="仿宋" w:eastAsia="仿宋" w:cs="仿宋"/>
          <w:bCs/>
          <w:color w:val="auto"/>
          <w:sz w:val="24"/>
          <w:highlight w:val="none"/>
          <w:lang w:val="zh-CN"/>
        </w:rPr>
        <w:t>进行符合性审查时，评标委员会</w:t>
      </w:r>
      <w:r>
        <w:rPr>
          <w:rFonts w:hint="eastAsia" w:ascii="仿宋" w:hAnsi="仿宋" w:eastAsia="仿宋" w:cs="仿宋"/>
          <w:bCs/>
          <w:color w:val="auto"/>
          <w:sz w:val="24"/>
          <w:szCs w:val="24"/>
          <w:highlight w:val="none"/>
        </w:rPr>
        <w:t>应当审查每一个投标文件是否对招标文件提出的所有实质性要求和条件作出响应。未能实质上响应的，视情况按照招标文件的规定，应不得进入综合评审程序。</w:t>
      </w:r>
      <w:r>
        <w:rPr>
          <w:rFonts w:hint="eastAsia" w:ascii="仿宋" w:hAnsi="仿宋" w:eastAsia="仿宋" w:cs="仿宋"/>
          <w:bCs/>
          <w:color w:val="auto"/>
          <w:sz w:val="24"/>
          <w:highlight w:val="none"/>
        </w:rPr>
        <w:t>主要情况详见符合性审查一览表。</w:t>
      </w:r>
    </w:p>
    <w:p w14:paraId="30DB3946">
      <w:pPr>
        <w:adjustRightInd w:val="0"/>
        <w:snapToGrid w:val="0"/>
        <w:spacing w:line="360" w:lineRule="auto"/>
        <w:ind w:firstLine="482" w:firstLineChars="200"/>
        <w:outlineLvl w:val="9"/>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23.5.6.4有下列情形之一的，视为投标人串通投标，其投标无效,并对投标人依照《政府采购法》第七十七条的规定追究法律责任：</w:t>
      </w:r>
    </w:p>
    <w:p w14:paraId="59204A3D">
      <w:pPr>
        <w:adjustRightInd w:val="0"/>
        <w:snapToGrid w:val="0"/>
        <w:spacing w:line="360" w:lineRule="auto"/>
        <w:ind w:firstLine="480" w:firstLineChars="2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1、不同投标人的投标文件由同一单位或者个人编制；</w:t>
      </w:r>
    </w:p>
    <w:p w14:paraId="02C985F3">
      <w:pPr>
        <w:adjustRightInd w:val="0"/>
        <w:snapToGrid w:val="0"/>
        <w:spacing w:line="360" w:lineRule="auto"/>
        <w:ind w:firstLine="480" w:firstLineChars="2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2、不同投标人委托同一单位或者个人办理投标事宜；</w:t>
      </w:r>
    </w:p>
    <w:p w14:paraId="262E1B30">
      <w:pPr>
        <w:adjustRightInd w:val="0"/>
        <w:snapToGrid w:val="0"/>
        <w:spacing w:line="360" w:lineRule="auto"/>
        <w:ind w:firstLine="480" w:firstLineChars="2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3、不同投标人的投标文件载明的项目管理成员或者联系人员为同一人；</w:t>
      </w:r>
    </w:p>
    <w:p w14:paraId="4C5AF3D8">
      <w:pPr>
        <w:adjustRightInd w:val="0"/>
        <w:snapToGrid w:val="0"/>
        <w:spacing w:line="360" w:lineRule="auto"/>
        <w:ind w:firstLine="480" w:firstLineChars="2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4、不同投标人的投标文件异常一致或者投标报价呈规律性差异；</w:t>
      </w:r>
    </w:p>
    <w:p w14:paraId="05948840">
      <w:pPr>
        <w:adjustRightInd w:val="0"/>
        <w:snapToGrid w:val="0"/>
        <w:spacing w:line="360" w:lineRule="auto"/>
        <w:ind w:firstLine="480" w:firstLineChars="2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5、不同投标人的投标文件相互混装；</w:t>
      </w:r>
    </w:p>
    <w:p w14:paraId="3A728AC7">
      <w:pPr>
        <w:adjustRightInd w:val="0"/>
        <w:snapToGrid w:val="0"/>
        <w:spacing w:line="360" w:lineRule="auto"/>
        <w:ind w:firstLine="480" w:firstLineChars="2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6、不同投标人的投标保证金从同一单位或者个人的账户转出。</w:t>
      </w:r>
    </w:p>
    <w:p w14:paraId="066BCC31">
      <w:pPr>
        <w:pStyle w:val="8"/>
        <w:jc w:val="center"/>
        <w:outlineLvl w:val="9"/>
        <w:rPr>
          <w:rFonts w:hint="eastAsia" w:ascii="仿宋" w:hAnsi="仿宋" w:eastAsia="仿宋" w:cs="仿宋"/>
          <w:b/>
          <w:bCs/>
          <w:color w:val="auto"/>
          <w:sz w:val="28"/>
          <w:szCs w:val="28"/>
          <w:highlight w:val="none"/>
        </w:rPr>
      </w:pPr>
    </w:p>
    <w:p w14:paraId="0750DA7E">
      <w:pPr>
        <w:pStyle w:val="8"/>
        <w:jc w:val="center"/>
        <w:outlineLvl w:val="9"/>
        <w:rPr>
          <w:rFonts w:hint="eastAsia" w:ascii="仿宋" w:hAnsi="仿宋" w:eastAsia="仿宋" w:cs="仿宋"/>
          <w:b/>
          <w:bCs/>
          <w:color w:val="auto"/>
          <w:sz w:val="28"/>
          <w:szCs w:val="28"/>
          <w:highlight w:val="none"/>
        </w:rPr>
      </w:pPr>
    </w:p>
    <w:p w14:paraId="3A929774">
      <w:pPr>
        <w:pStyle w:val="8"/>
        <w:jc w:val="center"/>
        <w:outlineLvl w:val="9"/>
        <w:rPr>
          <w:rFonts w:hint="eastAsia" w:ascii="仿宋" w:hAnsi="仿宋" w:eastAsia="仿宋" w:cs="仿宋"/>
          <w:b/>
          <w:bCs/>
          <w:color w:val="auto"/>
          <w:sz w:val="28"/>
          <w:szCs w:val="28"/>
          <w:highlight w:val="none"/>
        </w:rPr>
      </w:pPr>
    </w:p>
    <w:p w14:paraId="5E77607B">
      <w:pPr>
        <w:pStyle w:val="8"/>
        <w:jc w:val="center"/>
        <w:outlineLvl w:val="9"/>
        <w:rPr>
          <w:rFonts w:hint="eastAsia" w:ascii="仿宋" w:hAnsi="仿宋" w:eastAsia="仿宋" w:cs="仿宋"/>
          <w:b/>
          <w:bCs/>
          <w:color w:val="auto"/>
          <w:sz w:val="28"/>
          <w:szCs w:val="28"/>
          <w:highlight w:val="none"/>
        </w:rPr>
      </w:pPr>
    </w:p>
    <w:p w14:paraId="34ED2212">
      <w:pPr>
        <w:pStyle w:val="8"/>
        <w:jc w:val="center"/>
        <w:outlineLvl w:val="9"/>
        <w:rPr>
          <w:rFonts w:hint="eastAsia" w:ascii="仿宋" w:hAnsi="仿宋" w:eastAsia="仿宋" w:cs="仿宋"/>
          <w:b/>
          <w:bCs/>
          <w:color w:val="auto"/>
          <w:sz w:val="28"/>
          <w:szCs w:val="28"/>
          <w:highlight w:val="none"/>
        </w:rPr>
      </w:pPr>
    </w:p>
    <w:p w14:paraId="6F176A45">
      <w:pPr>
        <w:pStyle w:val="8"/>
        <w:jc w:val="center"/>
        <w:outlineLvl w:val="9"/>
        <w:rPr>
          <w:rFonts w:hint="eastAsia" w:ascii="仿宋" w:hAnsi="仿宋" w:eastAsia="仿宋" w:cs="仿宋"/>
          <w:b/>
          <w:bCs/>
          <w:color w:val="auto"/>
          <w:sz w:val="28"/>
          <w:szCs w:val="28"/>
          <w:highlight w:val="none"/>
        </w:rPr>
      </w:pPr>
    </w:p>
    <w:p w14:paraId="13AB772C">
      <w:pPr>
        <w:pStyle w:val="8"/>
        <w:jc w:val="center"/>
        <w:outlineLvl w:val="9"/>
        <w:rPr>
          <w:rFonts w:hint="eastAsia" w:ascii="仿宋" w:hAnsi="仿宋" w:eastAsia="仿宋" w:cs="仿宋"/>
          <w:b/>
          <w:bCs/>
          <w:color w:val="auto"/>
          <w:sz w:val="28"/>
          <w:szCs w:val="28"/>
          <w:highlight w:val="none"/>
        </w:rPr>
      </w:pPr>
    </w:p>
    <w:p w14:paraId="686C453E">
      <w:pPr>
        <w:pStyle w:val="8"/>
        <w:jc w:val="center"/>
        <w:outlineLvl w:val="9"/>
        <w:rPr>
          <w:rFonts w:hint="eastAsia" w:ascii="仿宋" w:hAnsi="仿宋" w:eastAsia="仿宋" w:cs="仿宋"/>
          <w:b/>
          <w:bCs/>
          <w:color w:val="auto"/>
          <w:sz w:val="28"/>
          <w:szCs w:val="28"/>
          <w:highlight w:val="none"/>
        </w:rPr>
      </w:pPr>
    </w:p>
    <w:p w14:paraId="72DE2B83">
      <w:pPr>
        <w:pStyle w:val="8"/>
        <w:jc w:val="center"/>
        <w:outlineLvl w:val="9"/>
        <w:rPr>
          <w:rFonts w:hint="eastAsia" w:ascii="仿宋" w:hAnsi="仿宋" w:eastAsia="仿宋" w:cs="仿宋"/>
          <w:b/>
          <w:bCs/>
          <w:color w:val="auto"/>
          <w:sz w:val="28"/>
          <w:szCs w:val="28"/>
          <w:highlight w:val="none"/>
        </w:rPr>
      </w:pPr>
    </w:p>
    <w:p w14:paraId="3DE120EB">
      <w:pPr>
        <w:pStyle w:val="8"/>
        <w:jc w:val="center"/>
        <w:outlineLvl w:val="9"/>
        <w:rPr>
          <w:rFonts w:hint="eastAsia" w:ascii="仿宋" w:hAnsi="仿宋" w:eastAsia="仿宋" w:cs="仿宋"/>
          <w:b/>
          <w:bCs/>
          <w:color w:val="auto"/>
          <w:sz w:val="28"/>
          <w:szCs w:val="28"/>
          <w:highlight w:val="none"/>
        </w:rPr>
      </w:pPr>
    </w:p>
    <w:p w14:paraId="66318461">
      <w:pPr>
        <w:pStyle w:val="8"/>
        <w:jc w:val="center"/>
        <w:outlineLvl w:val="9"/>
        <w:rPr>
          <w:rFonts w:hint="eastAsia" w:ascii="仿宋" w:hAnsi="仿宋" w:eastAsia="仿宋" w:cs="仿宋"/>
          <w:b/>
          <w:bCs/>
          <w:color w:val="auto"/>
          <w:sz w:val="28"/>
          <w:szCs w:val="28"/>
          <w:highlight w:val="none"/>
        </w:rPr>
      </w:pPr>
    </w:p>
    <w:p w14:paraId="1BB2D274">
      <w:pPr>
        <w:pStyle w:val="30"/>
        <w:rPr>
          <w:rFonts w:hint="eastAsia" w:ascii="仿宋" w:hAnsi="仿宋" w:eastAsia="仿宋" w:cs="仿宋"/>
          <w:b/>
          <w:bCs/>
          <w:color w:val="auto"/>
          <w:sz w:val="28"/>
          <w:szCs w:val="28"/>
          <w:highlight w:val="none"/>
        </w:rPr>
      </w:pPr>
    </w:p>
    <w:p w14:paraId="473C545B">
      <w:pPr>
        <w:pStyle w:val="30"/>
        <w:rPr>
          <w:rFonts w:hint="eastAsia" w:ascii="仿宋" w:hAnsi="仿宋" w:eastAsia="仿宋" w:cs="仿宋"/>
          <w:b/>
          <w:bCs/>
          <w:color w:val="auto"/>
          <w:sz w:val="28"/>
          <w:szCs w:val="28"/>
          <w:highlight w:val="none"/>
        </w:rPr>
      </w:pPr>
    </w:p>
    <w:p w14:paraId="685A578A">
      <w:pPr>
        <w:pStyle w:val="30"/>
        <w:rPr>
          <w:rFonts w:hint="eastAsia" w:ascii="仿宋" w:hAnsi="仿宋" w:eastAsia="仿宋" w:cs="仿宋"/>
          <w:b/>
          <w:bCs/>
          <w:color w:val="auto"/>
          <w:sz w:val="28"/>
          <w:szCs w:val="28"/>
          <w:highlight w:val="none"/>
        </w:rPr>
      </w:pPr>
    </w:p>
    <w:p w14:paraId="26735F0B">
      <w:pPr>
        <w:pStyle w:val="30"/>
        <w:rPr>
          <w:rFonts w:hint="eastAsia" w:ascii="仿宋" w:hAnsi="仿宋" w:eastAsia="仿宋" w:cs="仿宋"/>
          <w:b/>
          <w:bCs/>
          <w:color w:val="auto"/>
          <w:sz w:val="28"/>
          <w:szCs w:val="28"/>
          <w:highlight w:val="none"/>
        </w:rPr>
      </w:pPr>
    </w:p>
    <w:p w14:paraId="02ED2907">
      <w:pPr>
        <w:pStyle w:val="30"/>
        <w:rPr>
          <w:rFonts w:hint="eastAsia" w:ascii="仿宋" w:hAnsi="仿宋" w:eastAsia="仿宋" w:cs="仿宋"/>
          <w:b/>
          <w:bCs/>
          <w:color w:val="auto"/>
          <w:sz w:val="28"/>
          <w:szCs w:val="28"/>
          <w:highlight w:val="none"/>
        </w:rPr>
      </w:pPr>
    </w:p>
    <w:p w14:paraId="63923D7A">
      <w:pPr>
        <w:pStyle w:val="30"/>
        <w:rPr>
          <w:rFonts w:hint="eastAsia" w:ascii="仿宋" w:hAnsi="仿宋" w:eastAsia="仿宋" w:cs="仿宋"/>
          <w:b/>
          <w:bCs/>
          <w:color w:val="auto"/>
          <w:sz w:val="28"/>
          <w:szCs w:val="28"/>
          <w:highlight w:val="none"/>
        </w:rPr>
      </w:pPr>
    </w:p>
    <w:p w14:paraId="3FC595F2">
      <w:pPr>
        <w:pStyle w:val="30"/>
        <w:rPr>
          <w:rFonts w:hint="eastAsia" w:ascii="仿宋" w:hAnsi="仿宋" w:eastAsia="仿宋" w:cs="仿宋"/>
          <w:b/>
          <w:bCs/>
          <w:color w:val="auto"/>
          <w:sz w:val="28"/>
          <w:szCs w:val="28"/>
          <w:highlight w:val="none"/>
        </w:rPr>
      </w:pPr>
    </w:p>
    <w:p w14:paraId="3B85C91F">
      <w:pPr>
        <w:pStyle w:val="30"/>
        <w:rPr>
          <w:rFonts w:hint="eastAsia" w:ascii="仿宋" w:hAnsi="仿宋" w:eastAsia="仿宋" w:cs="仿宋"/>
          <w:b/>
          <w:bCs/>
          <w:color w:val="auto"/>
          <w:sz w:val="28"/>
          <w:szCs w:val="28"/>
          <w:highlight w:val="none"/>
        </w:rPr>
      </w:pPr>
    </w:p>
    <w:p w14:paraId="628690D5">
      <w:pPr>
        <w:pStyle w:val="8"/>
        <w:jc w:val="center"/>
        <w:outlineLvl w:val="9"/>
        <w:rPr>
          <w:rFonts w:hint="eastAsia" w:ascii="仿宋" w:hAnsi="仿宋" w:eastAsia="仿宋" w:cs="仿宋"/>
          <w:b/>
          <w:bCs/>
          <w:color w:val="auto"/>
          <w:sz w:val="28"/>
          <w:szCs w:val="28"/>
          <w:highlight w:val="none"/>
        </w:rPr>
      </w:pPr>
    </w:p>
    <w:p w14:paraId="28D2DCD2">
      <w:pPr>
        <w:pStyle w:val="8"/>
        <w:jc w:val="center"/>
        <w:outlineLvl w:val="9"/>
        <w:rPr>
          <w:rFonts w:hint="eastAsia" w:ascii="仿宋" w:hAnsi="仿宋" w:eastAsia="仿宋" w:cs="仿宋"/>
          <w:b/>
          <w:bCs/>
          <w:color w:val="auto"/>
          <w:sz w:val="28"/>
          <w:szCs w:val="28"/>
          <w:highlight w:val="none"/>
        </w:rPr>
      </w:pPr>
    </w:p>
    <w:p w14:paraId="23533C97">
      <w:pPr>
        <w:pStyle w:val="8"/>
        <w:jc w:val="center"/>
        <w:outlineLvl w:val="9"/>
        <w:rPr>
          <w:rFonts w:hint="eastAsia" w:ascii="仿宋" w:hAnsi="仿宋" w:eastAsia="仿宋" w:cs="仿宋"/>
          <w:b/>
          <w:bCs/>
          <w:color w:val="auto"/>
          <w:sz w:val="28"/>
          <w:szCs w:val="28"/>
          <w:highlight w:val="none"/>
        </w:rPr>
      </w:pPr>
    </w:p>
    <w:p w14:paraId="3FE833BC">
      <w:pPr>
        <w:pStyle w:val="8"/>
        <w:jc w:val="center"/>
        <w:outlineLvl w:val="9"/>
        <w:rPr>
          <w:rFonts w:hint="eastAsia" w:ascii="仿宋" w:hAnsi="仿宋" w:eastAsia="仿宋" w:cs="仿宋"/>
          <w:b/>
          <w:bCs/>
          <w:color w:val="auto"/>
          <w:sz w:val="28"/>
          <w:szCs w:val="28"/>
          <w:highlight w:val="none"/>
        </w:rPr>
      </w:pPr>
    </w:p>
    <w:p w14:paraId="46AFA3B9">
      <w:pPr>
        <w:pStyle w:val="8"/>
        <w:jc w:val="center"/>
        <w:outlineLvl w:val="9"/>
        <w:rPr>
          <w:rFonts w:hint="eastAsia" w:ascii="仿宋" w:hAnsi="仿宋" w:eastAsia="仿宋" w:cs="仿宋"/>
          <w:b/>
          <w:bCs/>
          <w:color w:val="auto"/>
          <w:sz w:val="28"/>
          <w:szCs w:val="28"/>
          <w:highlight w:val="none"/>
        </w:rPr>
      </w:pPr>
    </w:p>
    <w:p w14:paraId="36F872DB">
      <w:pPr>
        <w:pStyle w:val="8"/>
        <w:jc w:val="center"/>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资格审查一览表</w:t>
      </w:r>
    </w:p>
    <w:tbl>
      <w:tblPr>
        <w:tblStyle w:val="24"/>
        <w:tblW w:w="8939"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54"/>
        <w:gridCol w:w="6702"/>
        <w:gridCol w:w="1483"/>
      </w:tblGrid>
      <w:tr w14:paraId="0ACA4EC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8" w:hRule="atLeast"/>
          <w:jc w:val="center"/>
        </w:trPr>
        <w:tc>
          <w:tcPr>
            <w:tcW w:w="754" w:type="dxa"/>
            <w:tcBorders>
              <w:top w:val="single" w:color="000000" w:sz="8" w:space="0"/>
              <w:left w:val="single" w:color="000000" w:sz="8" w:space="0"/>
              <w:bottom w:val="single" w:color="000000" w:sz="8" w:space="0"/>
              <w:right w:val="single" w:color="000000" w:sz="8" w:space="0"/>
            </w:tcBorders>
            <w:shd w:val="clear" w:color="auto" w:fill="FFFFFF"/>
            <w:vAlign w:val="top"/>
          </w:tcPr>
          <w:p w14:paraId="7FB9353C">
            <w:pPr>
              <w:pStyle w:val="35"/>
              <w:spacing w:before="107"/>
              <w:ind w:left="82" w:right="68"/>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6702" w:type="dxa"/>
            <w:tcBorders>
              <w:top w:val="single" w:color="000000" w:sz="8" w:space="0"/>
              <w:left w:val="single" w:color="000000" w:sz="8" w:space="0"/>
              <w:bottom w:val="single" w:color="000000" w:sz="8" w:space="0"/>
              <w:right w:val="single" w:color="000000" w:sz="8" w:space="0"/>
            </w:tcBorders>
            <w:shd w:val="clear" w:color="auto" w:fill="FFFFFF"/>
            <w:vAlign w:val="top"/>
          </w:tcPr>
          <w:p w14:paraId="6EE734EE">
            <w:pPr>
              <w:pStyle w:val="35"/>
              <w:spacing w:before="107"/>
              <w:ind w:left="1957" w:right="1925"/>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招标</w:t>
            </w:r>
            <w:r>
              <w:rPr>
                <w:rFonts w:hint="eastAsia" w:ascii="仿宋" w:hAnsi="仿宋" w:eastAsia="仿宋" w:cs="仿宋"/>
                <w:b/>
                <w:color w:val="auto"/>
                <w:sz w:val="24"/>
                <w:szCs w:val="24"/>
                <w:highlight w:val="none"/>
              </w:rPr>
              <w:t>文件要求</w:t>
            </w:r>
          </w:p>
        </w:tc>
        <w:tc>
          <w:tcPr>
            <w:tcW w:w="1483" w:type="dxa"/>
            <w:tcBorders>
              <w:top w:val="single" w:color="000000" w:sz="8" w:space="0"/>
              <w:left w:val="single" w:color="000000" w:sz="8" w:space="0"/>
              <w:bottom w:val="single" w:color="000000" w:sz="8" w:space="0"/>
              <w:right w:val="single" w:color="000000" w:sz="8" w:space="0"/>
            </w:tcBorders>
            <w:shd w:val="clear" w:color="auto" w:fill="FFFFFF"/>
            <w:vAlign w:val="top"/>
          </w:tcPr>
          <w:p w14:paraId="7F6B4F7C">
            <w:pPr>
              <w:pStyle w:val="35"/>
              <w:spacing w:before="107"/>
              <w:jc w:val="center"/>
              <w:outlineLvl w:val="9"/>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结论</w:t>
            </w:r>
          </w:p>
        </w:tc>
      </w:tr>
      <w:tr w14:paraId="375066D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6" w:hRule="atLeast"/>
          <w:jc w:val="center"/>
        </w:trPr>
        <w:tc>
          <w:tcPr>
            <w:tcW w:w="75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FEE7E6E">
            <w:pPr>
              <w:pStyle w:val="35"/>
              <w:keepNext w:val="0"/>
              <w:keepLines w:val="0"/>
              <w:pageBreakBefore w:val="0"/>
              <w:widowControl w:val="0"/>
              <w:kinsoku/>
              <w:wordWrap/>
              <w:overflowPunct/>
              <w:topLinePunct w:val="0"/>
              <w:autoSpaceDE/>
              <w:autoSpaceDN/>
              <w:bidi w:val="0"/>
              <w:adjustRightInd w:val="0"/>
              <w:snapToGrid w:val="0"/>
              <w:ind w:left="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70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7BC1F5">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满足《中华人民共和国政府采购法》第二十二条规定：</w:t>
            </w:r>
          </w:p>
          <w:p w14:paraId="4FEB69C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①具有独立承担民事责任的能力，须提供在中华人民共和国境内注册的法人或其他组织或自然人的营业执照副本或事业法人登记证或执业许可证或身份证等相关证明扫描件；</w:t>
            </w:r>
          </w:p>
          <w:p w14:paraId="69C45B80">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②需提供</w:t>
            </w:r>
            <w:r>
              <w:rPr>
                <w:rFonts w:hint="eastAsia" w:ascii="仿宋" w:hAnsi="仿宋" w:eastAsia="仿宋" w:cs="仿宋"/>
                <w:color w:val="auto"/>
                <w:sz w:val="24"/>
                <w:szCs w:val="24"/>
                <w:highlight w:val="none"/>
                <w:lang w:val="en-US" w:eastAsia="zh-CN"/>
              </w:rPr>
              <w:t>诚信声明</w:t>
            </w:r>
          </w:p>
          <w:p w14:paraId="67403D99">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③</w:t>
            </w: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lang w:eastAsia="zh-CN"/>
              </w:rPr>
              <w:t>近一年（</w:t>
            </w:r>
            <w:r>
              <w:rPr>
                <w:rFonts w:hint="eastAsia" w:ascii="仿宋" w:hAnsi="仿宋" w:eastAsia="仿宋" w:cs="仿宋"/>
                <w:color w:val="auto"/>
                <w:sz w:val="24"/>
                <w:szCs w:val="24"/>
                <w:highlight w:val="none"/>
                <w:lang w:val="en-US" w:eastAsia="zh-CN"/>
              </w:rPr>
              <w:t>2023年或2024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eastAsia="zh-CN"/>
              </w:rPr>
              <w:t>）年度内经会计事务所或审计机构审计的财务会计报表，包括资产负债表、利润表、现金流量表、所有者权益变动（如有）及其附注（扫描件并加盖本单位公章）。（注：若无会计事务所或审计机构审计的财务会计报表，可提供公司内部财务报表加盖公章）；</w:t>
            </w:r>
          </w:p>
          <w:p w14:paraId="68D21031">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④须提供具备履行合同所必需的设备和专业技术能力的证明材料或书面声明；</w:t>
            </w:r>
          </w:p>
          <w:p w14:paraId="1FE2EFF3">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⑤须提供响应文件递交截止日期之前六个月内任意一个月的纳税记录或证明文件扫描件加盖公章（依法免税的应提供相应文件说明），须提供响应文件递交截止日期之前六个月内任意3个月为员工缴纳社会保障资金的证明材料扫描件加盖公章，证明材料是缴纳社会保险的凭据（专用收据或社会保险缴纳清单）（依法不需要缴纳社会保障资金的应提供相应文件说明）；</w:t>
            </w:r>
          </w:p>
          <w:p w14:paraId="3D4D265D">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⑥参加政府采购活动前三年内，在经营活动中没有重大违法记录（须提供声明函）。</w:t>
            </w:r>
          </w:p>
        </w:tc>
        <w:tc>
          <w:tcPr>
            <w:tcW w:w="1483" w:type="dxa"/>
            <w:tcBorders>
              <w:top w:val="single" w:color="000000" w:sz="8" w:space="0"/>
              <w:left w:val="single" w:color="000000" w:sz="8" w:space="0"/>
              <w:bottom w:val="single" w:color="000000" w:sz="8" w:space="0"/>
              <w:right w:val="single" w:color="000000" w:sz="8" w:space="0"/>
            </w:tcBorders>
            <w:shd w:val="clear" w:color="auto" w:fill="FFFFFF"/>
            <w:vAlign w:val="top"/>
          </w:tcPr>
          <w:p w14:paraId="09F45443">
            <w:pPr>
              <w:pStyle w:val="35"/>
              <w:keepNext w:val="0"/>
              <w:keepLines w:val="0"/>
              <w:pageBreakBefore w:val="0"/>
              <w:widowControl w:val="0"/>
              <w:kinsoku/>
              <w:wordWrap/>
              <w:overflowPunct/>
              <w:topLinePunct w:val="0"/>
              <w:autoSpaceDE/>
              <w:autoSpaceDN/>
              <w:bidi w:val="0"/>
              <w:adjustRightInd/>
              <w:snapToGrid/>
              <w:ind w:left="0" w:firstLine="240" w:firstLineChars="100"/>
              <w:textAlignment w:val="auto"/>
              <w:outlineLvl w:val="9"/>
              <w:rPr>
                <w:rFonts w:hint="eastAsia" w:ascii="仿宋" w:hAnsi="仿宋" w:eastAsia="仿宋" w:cs="仿宋"/>
                <w:color w:val="auto"/>
                <w:sz w:val="24"/>
                <w:szCs w:val="24"/>
                <w:highlight w:val="none"/>
              </w:rPr>
            </w:pPr>
          </w:p>
          <w:p w14:paraId="7F076C93">
            <w:pPr>
              <w:pStyle w:val="35"/>
              <w:keepNext w:val="0"/>
              <w:keepLines w:val="0"/>
              <w:pageBreakBefore w:val="0"/>
              <w:widowControl w:val="0"/>
              <w:kinsoku/>
              <w:wordWrap/>
              <w:overflowPunct/>
              <w:topLinePunct w:val="0"/>
              <w:autoSpaceDE/>
              <w:autoSpaceDN/>
              <w:bidi w:val="0"/>
              <w:adjustRightInd/>
              <w:snapToGrid/>
              <w:ind w:left="0" w:firstLine="240" w:firstLineChars="100"/>
              <w:textAlignment w:val="auto"/>
              <w:outlineLvl w:val="9"/>
              <w:rPr>
                <w:rFonts w:hint="eastAsia" w:ascii="仿宋" w:hAnsi="仿宋" w:eastAsia="仿宋" w:cs="仿宋"/>
                <w:color w:val="auto"/>
                <w:sz w:val="24"/>
                <w:szCs w:val="24"/>
                <w:highlight w:val="none"/>
              </w:rPr>
            </w:pPr>
          </w:p>
          <w:p w14:paraId="679864AD">
            <w:pPr>
              <w:pStyle w:val="35"/>
              <w:keepNext w:val="0"/>
              <w:keepLines w:val="0"/>
              <w:pageBreakBefore w:val="0"/>
              <w:widowControl w:val="0"/>
              <w:kinsoku/>
              <w:wordWrap/>
              <w:overflowPunct/>
              <w:topLinePunct w:val="0"/>
              <w:autoSpaceDE/>
              <w:autoSpaceDN/>
              <w:bidi w:val="0"/>
              <w:adjustRightInd/>
              <w:snapToGrid/>
              <w:ind w:left="0" w:firstLine="240" w:firstLineChars="100"/>
              <w:textAlignment w:val="auto"/>
              <w:outlineLvl w:val="9"/>
              <w:rPr>
                <w:rFonts w:hint="eastAsia" w:ascii="仿宋" w:hAnsi="仿宋" w:eastAsia="仿宋" w:cs="仿宋"/>
                <w:color w:val="auto"/>
                <w:sz w:val="24"/>
                <w:szCs w:val="24"/>
                <w:highlight w:val="none"/>
              </w:rPr>
            </w:pPr>
          </w:p>
          <w:p w14:paraId="1A677DA7">
            <w:pPr>
              <w:pStyle w:val="35"/>
              <w:keepNext w:val="0"/>
              <w:keepLines w:val="0"/>
              <w:pageBreakBefore w:val="0"/>
              <w:widowControl w:val="0"/>
              <w:kinsoku/>
              <w:wordWrap/>
              <w:overflowPunct/>
              <w:topLinePunct w:val="0"/>
              <w:autoSpaceDE/>
              <w:autoSpaceDN/>
              <w:bidi w:val="0"/>
              <w:adjustRightInd/>
              <w:snapToGrid/>
              <w:ind w:left="0" w:firstLine="240" w:firstLineChars="100"/>
              <w:textAlignment w:val="auto"/>
              <w:outlineLvl w:val="9"/>
              <w:rPr>
                <w:rFonts w:hint="eastAsia" w:ascii="仿宋" w:hAnsi="仿宋" w:eastAsia="仿宋" w:cs="仿宋"/>
                <w:color w:val="auto"/>
                <w:sz w:val="24"/>
                <w:szCs w:val="24"/>
                <w:highlight w:val="none"/>
              </w:rPr>
            </w:pPr>
          </w:p>
          <w:p w14:paraId="1B0D3FD8">
            <w:pPr>
              <w:pStyle w:val="35"/>
              <w:keepNext w:val="0"/>
              <w:keepLines w:val="0"/>
              <w:pageBreakBefore w:val="0"/>
              <w:widowControl w:val="0"/>
              <w:kinsoku/>
              <w:wordWrap/>
              <w:overflowPunct/>
              <w:topLinePunct w:val="0"/>
              <w:autoSpaceDE/>
              <w:autoSpaceDN/>
              <w:bidi w:val="0"/>
              <w:adjustRightInd/>
              <w:snapToGrid/>
              <w:ind w:left="0" w:firstLine="240" w:firstLineChars="100"/>
              <w:textAlignment w:val="auto"/>
              <w:outlineLvl w:val="9"/>
              <w:rPr>
                <w:rFonts w:hint="eastAsia" w:ascii="仿宋" w:hAnsi="仿宋" w:eastAsia="仿宋" w:cs="仿宋"/>
                <w:color w:val="auto"/>
                <w:sz w:val="24"/>
                <w:szCs w:val="24"/>
                <w:highlight w:val="none"/>
              </w:rPr>
            </w:pPr>
          </w:p>
          <w:p w14:paraId="6F07BF0C">
            <w:pPr>
              <w:pStyle w:val="35"/>
              <w:keepNext w:val="0"/>
              <w:keepLines w:val="0"/>
              <w:pageBreakBefore w:val="0"/>
              <w:widowControl w:val="0"/>
              <w:kinsoku/>
              <w:wordWrap/>
              <w:overflowPunct/>
              <w:topLinePunct w:val="0"/>
              <w:autoSpaceDE/>
              <w:autoSpaceDN/>
              <w:bidi w:val="0"/>
              <w:adjustRightInd/>
              <w:snapToGrid/>
              <w:ind w:left="0" w:firstLine="240" w:firstLineChars="100"/>
              <w:textAlignment w:val="auto"/>
              <w:outlineLvl w:val="9"/>
              <w:rPr>
                <w:rFonts w:hint="eastAsia" w:ascii="仿宋" w:hAnsi="仿宋" w:eastAsia="仿宋" w:cs="仿宋"/>
                <w:color w:val="auto"/>
                <w:sz w:val="24"/>
                <w:szCs w:val="24"/>
                <w:highlight w:val="none"/>
              </w:rPr>
            </w:pPr>
          </w:p>
          <w:p w14:paraId="7087D034">
            <w:pPr>
              <w:pStyle w:val="35"/>
              <w:keepNext w:val="0"/>
              <w:keepLines w:val="0"/>
              <w:pageBreakBefore w:val="0"/>
              <w:widowControl w:val="0"/>
              <w:kinsoku/>
              <w:wordWrap/>
              <w:overflowPunct/>
              <w:topLinePunct w:val="0"/>
              <w:autoSpaceDE/>
              <w:autoSpaceDN/>
              <w:bidi w:val="0"/>
              <w:adjustRightInd/>
              <w:snapToGrid/>
              <w:ind w:left="0" w:firstLine="240" w:firstLineChars="100"/>
              <w:textAlignment w:val="auto"/>
              <w:outlineLvl w:val="9"/>
              <w:rPr>
                <w:rFonts w:hint="eastAsia" w:ascii="仿宋" w:hAnsi="仿宋" w:eastAsia="仿宋" w:cs="仿宋"/>
                <w:color w:val="auto"/>
                <w:sz w:val="24"/>
                <w:szCs w:val="24"/>
                <w:highlight w:val="none"/>
              </w:rPr>
            </w:pPr>
          </w:p>
          <w:p w14:paraId="7BBAF9E5">
            <w:pPr>
              <w:pStyle w:val="35"/>
              <w:keepNext w:val="0"/>
              <w:keepLines w:val="0"/>
              <w:pageBreakBefore w:val="0"/>
              <w:widowControl w:val="0"/>
              <w:kinsoku/>
              <w:wordWrap/>
              <w:overflowPunct/>
              <w:topLinePunct w:val="0"/>
              <w:autoSpaceDE/>
              <w:autoSpaceDN/>
              <w:bidi w:val="0"/>
              <w:adjustRightInd/>
              <w:snapToGrid/>
              <w:ind w:left="0" w:firstLine="240" w:firstLineChars="100"/>
              <w:textAlignment w:val="auto"/>
              <w:outlineLvl w:val="9"/>
              <w:rPr>
                <w:rFonts w:hint="eastAsia" w:ascii="仿宋" w:hAnsi="仿宋" w:eastAsia="仿宋" w:cs="仿宋"/>
                <w:color w:val="auto"/>
                <w:sz w:val="24"/>
                <w:szCs w:val="24"/>
                <w:highlight w:val="none"/>
              </w:rPr>
            </w:pPr>
          </w:p>
          <w:p w14:paraId="67C51565">
            <w:pPr>
              <w:pStyle w:val="35"/>
              <w:keepNext w:val="0"/>
              <w:keepLines w:val="0"/>
              <w:pageBreakBefore w:val="0"/>
              <w:widowControl w:val="0"/>
              <w:kinsoku/>
              <w:wordWrap/>
              <w:overflowPunct/>
              <w:topLinePunct w:val="0"/>
              <w:autoSpaceDE/>
              <w:autoSpaceDN/>
              <w:bidi w:val="0"/>
              <w:adjustRightInd/>
              <w:snapToGrid/>
              <w:ind w:left="0" w:firstLine="240" w:firstLineChars="100"/>
              <w:textAlignment w:val="auto"/>
              <w:outlineLvl w:val="9"/>
              <w:rPr>
                <w:rFonts w:hint="eastAsia" w:ascii="仿宋" w:hAnsi="仿宋" w:eastAsia="仿宋" w:cs="仿宋"/>
                <w:color w:val="auto"/>
                <w:sz w:val="24"/>
                <w:szCs w:val="24"/>
                <w:highlight w:val="none"/>
              </w:rPr>
            </w:pPr>
          </w:p>
          <w:p w14:paraId="0EB42A01">
            <w:pPr>
              <w:pStyle w:val="35"/>
              <w:keepNext w:val="0"/>
              <w:keepLines w:val="0"/>
              <w:pageBreakBefore w:val="0"/>
              <w:widowControl w:val="0"/>
              <w:kinsoku/>
              <w:wordWrap/>
              <w:overflowPunct/>
              <w:topLinePunct w:val="0"/>
              <w:autoSpaceDE/>
              <w:autoSpaceDN/>
              <w:bidi w:val="0"/>
              <w:adjustRightInd/>
              <w:snapToGrid/>
              <w:ind w:left="0" w:firstLine="240" w:firstLineChars="100"/>
              <w:textAlignment w:val="auto"/>
              <w:outlineLvl w:val="9"/>
              <w:rPr>
                <w:rFonts w:hint="eastAsia" w:ascii="仿宋" w:hAnsi="仿宋" w:eastAsia="仿宋" w:cs="仿宋"/>
                <w:color w:val="auto"/>
                <w:sz w:val="24"/>
                <w:szCs w:val="24"/>
                <w:highlight w:val="none"/>
              </w:rPr>
            </w:pPr>
          </w:p>
          <w:p w14:paraId="7B027869">
            <w:pPr>
              <w:pStyle w:val="35"/>
              <w:keepNext w:val="0"/>
              <w:keepLines w:val="0"/>
              <w:pageBreakBefore w:val="0"/>
              <w:widowControl w:val="0"/>
              <w:kinsoku/>
              <w:wordWrap/>
              <w:overflowPunct/>
              <w:topLinePunct w:val="0"/>
              <w:autoSpaceDE/>
              <w:autoSpaceDN/>
              <w:bidi w:val="0"/>
              <w:adjustRightInd/>
              <w:snapToGrid/>
              <w:ind w:left="0" w:firstLine="240" w:firstLineChars="100"/>
              <w:textAlignment w:val="auto"/>
              <w:outlineLvl w:val="9"/>
              <w:rPr>
                <w:rFonts w:hint="eastAsia" w:ascii="仿宋" w:hAnsi="仿宋" w:eastAsia="仿宋" w:cs="仿宋"/>
                <w:color w:val="auto"/>
                <w:sz w:val="24"/>
                <w:szCs w:val="24"/>
                <w:highlight w:val="none"/>
              </w:rPr>
            </w:pPr>
          </w:p>
          <w:p w14:paraId="6A2C5DA7">
            <w:pPr>
              <w:pStyle w:val="35"/>
              <w:keepNext w:val="0"/>
              <w:keepLines w:val="0"/>
              <w:pageBreakBefore w:val="0"/>
              <w:widowControl w:val="0"/>
              <w:kinsoku/>
              <w:wordWrap/>
              <w:overflowPunct/>
              <w:topLinePunct w:val="0"/>
              <w:autoSpaceDE/>
              <w:autoSpaceDN/>
              <w:bidi w:val="0"/>
              <w:adjustRightInd/>
              <w:snapToGrid/>
              <w:ind w:left="0" w:firstLine="240" w:firstLineChars="100"/>
              <w:textAlignment w:val="auto"/>
              <w:outlineLvl w:val="9"/>
              <w:rPr>
                <w:rFonts w:hint="eastAsia" w:ascii="仿宋" w:hAnsi="仿宋" w:eastAsia="仿宋" w:cs="仿宋"/>
                <w:color w:val="auto"/>
                <w:sz w:val="24"/>
                <w:szCs w:val="24"/>
                <w:highlight w:val="none"/>
              </w:rPr>
            </w:pPr>
          </w:p>
          <w:p w14:paraId="2B72D5E4">
            <w:pPr>
              <w:pStyle w:val="35"/>
              <w:keepNext w:val="0"/>
              <w:keepLines w:val="0"/>
              <w:pageBreakBefore w:val="0"/>
              <w:widowControl w:val="0"/>
              <w:kinsoku/>
              <w:wordWrap/>
              <w:overflowPunct/>
              <w:topLinePunct w:val="0"/>
              <w:autoSpaceDE/>
              <w:autoSpaceDN/>
              <w:bidi w:val="0"/>
              <w:adjustRightInd/>
              <w:snapToGrid/>
              <w:ind w:left="0" w:firstLine="240"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w:t>
            </w:r>
          </w:p>
          <w:p w14:paraId="3152A520">
            <w:pPr>
              <w:pStyle w:val="35"/>
              <w:keepNext w:val="0"/>
              <w:keepLines w:val="0"/>
              <w:pageBreakBefore w:val="0"/>
              <w:widowControl w:val="0"/>
              <w:kinsoku/>
              <w:wordWrap/>
              <w:overflowPunct/>
              <w:topLinePunct w:val="0"/>
              <w:autoSpaceDE/>
              <w:autoSpaceDN/>
              <w:bidi w:val="0"/>
              <w:adjustRightInd/>
              <w:snapToGrid/>
              <w:ind w:left="0" w:firstLine="240"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□不通过</w:t>
            </w:r>
          </w:p>
        </w:tc>
      </w:tr>
      <w:tr w14:paraId="495D083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47" w:hRule="atLeast"/>
          <w:jc w:val="center"/>
        </w:trPr>
        <w:tc>
          <w:tcPr>
            <w:tcW w:w="75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FCAE6FB">
            <w:pPr>
              <w:pStyle w:val="35"/>
              <w:keepNext w:val="0"/>
              <w:keepLines w:val="0"/>
              <w:pageBreakBefore w:val="0"/>
              <w:widowControl w:val="0"/>
              <w:kinsoku/>
              <w:wordWrap/>
              <w:overflowPunct/>
              <w:topLinePunct w:val="0"/>
              <w:autoSpaceDE/>
              <w:autoSpaceDN/>
              <w:bidi w:val="0"/>
              <w:adjustRightInd w:val="0"/>
              <w:snapToGrid w:val="0"/>
              <w:ind w:left="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70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34F3DD">
            <w:pPr>
              <w:pStyle w:val="35"/>
              <w:spacing w:before="171" w:line="268" w:lineRule="auto"/>
              <w:ind w:left="113" w:right="83"/>
              <w:jc w:val="left"/>
              <w:outlineLvl w:val="9"/>
              <w:rPr>
                <w:rFonts w:hint="eastAsia" w:ascii="仿宋" w:hAnsi="仿宋" w:eastAsia="仿宋" w:cs="仿宋"/>
                <w:color w:val="auto"/>
                <w:sz w:val="24"/>
                <w:szCs w:val="24"/>
                <w:highlight w:val="none"/>
              </w:rPr>
            </w:pPr>
            <w:r>
              <w:rPr>
                <w:rFonts w:hint="eastAsia" w:ascii="仿宋" w:hAnsi="仿宋" w:eastAsia="仿宋" w:cs="仿宋"/>
                <w:b w:val="0"/>
                <w:color w:val="auto"/>
                <w:sz w:val="24"/>
                <w:szCs w:val="24"/>
                <w:highlight w:val="none"/>
              </w:rPr>
              <w:t>法定代表人资格证明书及身份证原件或法人授权委托书及被授权人身份证原件</w:t>
            </w:r>
          </w:p>
        </w:tc>
        <w:tc>
          <w:tcPr>
            <w:tcW w:w="1483" w:type="dxa"/>
            <w:tcBorders>
              <w:top w:val="single" w:color="000000" w:sz="8" w:space="0"/>
              <w:left w:val="single" w:color="000000" w:sz="8" w:space="0"/>
              <w:bottom w:val="single" w:color="000000" w:sz="8" w:space="0"/>
              <w:right w:val="single" w:color="000000" w:sz="8" w:space="0"/>
            </w:tcBorders>
            <w:shd w:val="clear" w:color="auto" w:fill="FFFFFF"/>
            <w:vAlign w:val="top"/>
          </w:tcPr>
          <w:p w14:paraId="34132ED1">
            <w:pPr>
              <w:pStyle w:val="35"/>
              <w:keepNext w:val="0"/>
              <w:keepLines w:val="0"/>
              <w:pageBreakBefore w:val="0"/>
              <w:widowControl w:val="0"/>
              <w:kinsoku/>
              <w:wordWrap/>
              <w:overflowPunct/>
              <w:topLinePunct w:val="0"/>
              <w:autoSpaceDE/>
              <w:autoSpaceDN/>
              <w:bidi w:val="0"/>
              <w:adjustRightInd/>
              <w:snapToGrid/>
              <w:ind w:left="0" w:firstLine="240"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w:t>
            </w:r>
          </w:p>
          <w:p w14:paraId="1A7B006E">
            <w:pPr>
              <w:pStyle w:val="35"/>
              <w:keepNext w:val="0"/>
              <w:keepLines w:val="0"/>
              <w:pageBreakBefore w:val="0"/>
              <w:widowControl w:val="0"/>
              <w:kinsoku/>
              <w:wordWrap/>
              <w:overflowPunct/>
              <w:topLinePunct w:val="0"/>
              <w:autoSpaceDE/>
              <w:autoSpaceDN/>
              <w:bidi w:val="0"/>
              <w:adjustRightInd/>
              <w:snapToGrid/>
              <w:ind w:left="0" w:firstLine="240"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□不通过</w:t>
            </w:r>
          </w:p>
        </w:tc>
      </w:tr>
      <w:tr w14:paraId="6E16F39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56" w:hRule="atLeast"/>
          <w:jc w:val="center"/>
        </w:trPr>
        <w:tc>
          <w:tcPr>
            <w:tcW w:w="75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170AF0">
            <w:pPr>
              <w:pStyle w:val="35"/>
              <w:keepNext w:val="0"/>
              <w:keepLines w:val="0"/>
              <w:pageBreakBefore w:val="0"/>
              <w:widowControl w:val="0"/>
              <w:kinsoku/>
              <w:wordWrap/>
              <w:overflowPunct/>
              <w:topLinePunct w:val="0"/>
              <w:autoSpaceDE/>
              <w:autoSpaceDN/>
              <w:bidi w:val="0"/>
              <w:adjustRightInd w:val="0"/>
              <w:snapToGrid w:val="0"/>
              <w:ind w:left="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70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2B20FD">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b w:val="0"/>
                <w:color w:val="auto"/>
                <w:sz w:val="24"/>
                <w:szCs w:val="24"/>
                <w:highlight w:val="none"/>
              </w:rPr>
              <w:t>未被“信用中国”（www.creditchina.gov.cn）、中国政府采购网（www.ccgp.gov.cn）列入失信被执行人、重大税收违法案件当事人名单、政府采购严重违法失信行为记录名单</w:t>
            </w:r>
          </w:p>
        </w:tc>
        <w:tc>
          <w:tcPr>
            <w:tcW w:w="148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EA8008">
            <w:pPr>
              <w:pStyle w:val="35"/>
              <w:keepNext w:val="0"/>
              <w:keepLines w:val="0"/>
              <w:pageBreakBefore w:val="0"/>
              <w:widowControl w:val="0"/>
              <w:kinsoku/>
              <w:wordWrap/>
              <w:overflowPunct/>
              <w:topLinePunct w:val="0"/>
              <w:autoSpaceDE/>
              <w:autoSpaceDN/>
              <w:bidi w:val="0"/>
              <w:adjustRightInd/>
              <w:snapToGrid/>
              <w:ind w:left="0" w:firstLine="240" w:firstLineChars="1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w:t>
            </w:r>
          </w:p>
          <w:p w14:paraId="2581BFA4">
            <w:pPr>
              <w:pStyle w:val="35"/>
              <w:keepNext w:val="0"/>
              <w:keepLines w:val="0"/>
              <w:pageBreakBefore w:val="0"/>
              <w:widowControl w:val="0"/>
              <w:kinsoku/>
              <w:wordWrap/>
              <w:overflowPunct/>
              <w:topLinePunct w:val="0"/>
              <w:autoSpaceDE/>
              <w:autoSpaceDN/>
              <w:bidi w:val="0"/>
              <w:adjustRightInd/>
              <w:snapToGrid/>
              <w:ind w:left="0" w:firstLine="240" w:firstLineChars="1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□不通过</w:t>
            </w:r>
          </w:p>
        </w:tc>
      </w:tr>
      <w:tr w14:paraId="0BD94BB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5" w:hRule="atLeast"/>
          <w:jc w:val="center"/>
        </w:trPr>
        <w:tc>
          <w:tcPr>
            <w:tcW w:w="75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2B6EE0">
            <w:pPr>
              <w:pStyle w:val="35"/>
              <w:keepNext w:val="0"/>
              <w:keepLines w:val="0"/>
              <w:pageBreakBefore w:val="0"/>
              <w:widowControl w:val="0"/>
              <w:kinsoku/>
              <w:wordWrap/>
              <w:overflowPunct/>
              <w:topLinePunct w:val="0"/>
              <w:autoSpaceDE/>
              <w:autoSpaceDN/>
              <w:bidi w:val="0"/>
              <w:adjustRightInd w:val="0"/>
              <w:snapToGrid w:val="0"/>
              <w:ind w:left="0" w:lef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670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9897A6">
            <w:pPr>
              <w:pStyle w:val="35"/>
              <w:spacing w:before="170"/>
              <w:ind w:left="113"/>
              <w:jc w:val="left"/>
              <w:outlineLvl w:val="9"/>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zh-CN" w:eastAsia="zh-CN"/>
              </w:rPr>
              <w:t>投标保证金缴纳凭证</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lang w:val="zh-CN" w:eastAsia="zh-CN"/>
              </w:rPr>
              <w:t>保函</w:t>
            </w:r>
          </w:p>
        </w:tc>
        <w:tc>
          <w:tcPr>
            <w:tcW w:w="1483" w:type="dxa"/>
            <w:tcBorders>
              <w:top w:val="single" w:color="000000" w:sz="8" w:space="0"/>
              <w:left w:val="single" w:color="000000" w:sz="8" w:space="0"/>
              <w:bottom w:val="single" w:color="000000" w:sz="8" w:space="0"/>
              <w:right w:val="single" w:color="000000" w:sz="8" w:space="0"/>
            </w:tcBorders>
            <w:shd w:val="clear" w:color="auto" w:fill="FFFFFF"/>
            <w:vAlign w:val="top"/>
          </w:tcPr>
          <w:p w14:paraId="0BC42251">
            <w:pPr>
              <w:pStyle w:val="35"/>
              <w:keepNext w:val="0"/>
              <w:keepLines w:val="0"/>
              <w:pageBreakBefore w:val="0"/>
              <w:widowControl w:val="0"/>
              <w:kinsoku/>
              <w:wordWrap/>
              <w:overflowPunct/>
              <w:topLinePunct w:val="0"/>
              <w:autoSpaceDE/>
              <w:autoSpaceDN/>
              <w:bidi w:val="0"/>
              <w:adjustRightInd/>
              <w:snapToGrid/>
              <w:ind w:left="0" w:firstLine="240"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w:t>
            </w:r>
          </w:p>
          <w:p w14:paraId="3DBB6303">
            <w:pPr>
              <w:pStyle w:val="35"/>
              <w:keepNext w:val="0"/>
              <w:keepLines w:val="0"/>
              <w:pageBreakBefore w:val="0"/>
              <w:widowControl w:val="0"/>
              <w:kinsoku/>
              <w:wordWrap/>
              <w:overflowPunct/>
              <w:topLinePunct w:val="0"/>
              <w:autoSpaceDE/>
              <w:autoSpaceDN/>
              <w:bidi w:val="0"/>
              <w:adjustRightInd/>
              <w:snapToGrid/>
              <w:ind w:left="0" w:firstLine="240"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□不通过</w:t>
            </w:r>
          </w:p>
        </w:tc>
      </w:tr>
      <w:tr w14:paraId="41676BD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5" w:hRule="atLeast"/>
          <w:jc w:val="center"/>
        </w:trPr>
        <w:tc>
          <w:tcPr>
            <w:tcW w:w="75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604AD5">
            <w:pPr>
              <w:pStyle w:val="35"/>
              <w:keepNext w:val="0"/>
              <w:keepLines w:val="0"/>
              <w:pageBreakBefore w:val="0"/>
              <w:widowControl w:val="0"/>
              <w:kinsoku/>
              <w:wordWrap/>
              <w:overflowPunct/>
              <w:topLinePunct w:val="0"/>
              <w:autoSpaceDE/>
              <w:autoSpaceDN/>
              <w:bidi w:val="0"/>
              <w:adjustRightInd w:val="0"/>
              <w:snapToGrid w:val="0"/>
              <w:ind w:left="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670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E2EB8C">
            <w:pPr>
              <w:pStyle w:val="35"/>
              <w:spacing w:before="33"/>
              <w:ind w:left="113"/>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eastAsia="zh-CN"/>
              </w:rPr>
              <w:t>投标单位（投标人）《遵守政府采购相关法律法规承诺书》</w:t>
            </w:r>
          </w:p>
        </w:tc>
        <w:tc>
          <w:tcPr>
            <w:tcW w:w="1483" w:type="dxa"/>
            <w:tcBorders>
              <w:top w:val="single" w:color="000000" w:sz="8" w:space="0"/>
              <w:left w:val="single" w:color="000000" w:sz="8" w:space="0"/>
              <w:bottom w:val="single" w:color="000000" w:sz="8" w:space="0"/>
              <w:right w:val="single" w:color="000000" w:sz="8" w:space="0"/>
            </w:tcBorders>
            <w:shd w:val="clear" w:color="auto" w:fill="FFFFFF"/>
            <w:vAlign w:val="top"/>
          </w:tcPr>
          <w:p w14:paraId="7DF67543">
            <w:pPr>
              <w:pStyle w:val="35"/>
              <w:keepNext w:val="0"/>
              <w:keepLines w:val="0"/>
              <w:pageBreakBefore w:val="0"/>
              <w:widowControl w:val="0"/>
              <w:kinsoku/>
              <w:wordWrap/>
              <w:overflowPunct/>
              <w:topLinePunct w:val="0"/>
              <w:autoSpaceDE/>
              <w:autoSpaceDN/>
              <w:bidi w:val="0"/>
              <w:adjustRightInd/>
              <w:snapToGrid/>
              <w:ind w:left="0" w:firstLine="240"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w:t>
            </w:r>
          </w:p>
          <w:p w14:paraId="2B59F87B">
            <w:pPr>
              <w:pStyle w:val="35"/>
              <w:keepNext w:val="0"/>
              <w:keepLines w:val="0"/>
              <w:pageBreakBefore w:val="0"/>
              <w:widowControl w:val="0"/>
              <w:kinsoku/>
              <w:wordWrap/>
              <w:overflowPunct/>
              <w:topLinePunct w:val="0"/>
              <w:autoSpaceDE/>
              <w:autoSpaceDN/>
              <w:bidi w:val="0"/>
              <w:adjustRightInd/>
              <w:snapToGrid/>
              <w:ind w:left="0" w:firstLine="240"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□不通过</w:t>
            </w:r>
          </w:p>
        </w:tc>
      </w:tr>
      <w:tr w14:paraId="584869E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5" w:hRule="atLeast"/>
          <w:jc w:val="center"/>
        </w:trPr>
        <w:tc>
          <w:tcPr>
            <w:tcW w:w="75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3D2739">
            <w:pPr>
              <w:pStyle w:val="35"/>
              <w:keepNext w:val="0"/>
              <w:keepLines w:val="0"/>
              <w:pageBreakBefore w:val="0"/>
              <w:widowControl w:val="0"/>
              <w:kinsoku/>
              <w:wordWrap/>
              <w:overflowPunct/>
              <w:topLinePunct w:val="0"/>
              <w:autoSpaceDE/>
              <w:autoSpaceDN/>
              <w:bidi w:val="0"/>
              <w:adjustRightInd w:val="0"/>
              <w:snapToGrid w:val="0"/>
              <w:ind w:left="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670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2F41B1">
            <w:pPr>
              <w:pStyle w:val="35"/>
              <w:spacing w:before="33"/>
              <w:ind w:left="113"/>
              <w:jc w:val="left"/>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《中小企业声明函》</w:t>
            </w:r>
          </w:p>
        </w:tc>
        <w:tc>
          <w:tcPr>
            <w:tcW w:w="1483" w:type="dxa"/>
            <w:tcBorders>
              <w:top w:val="single" w:color="000000" w:sz="8" w:space="0"/>
              <w:left w:val="single" w:color="000000" w:sz="8" w:space="0"/>
              <w:bottom w:val="single" w:color="000000" w:sz="8" w:space="0"/>
              <w:right w:val="single" w:color="000000" w:sz="8" w:space="0"/>
            </w:tcBorders>
            <w:shd w:val="clear" w:color="auto" w:fill="FFFFFF"/>
            <w:vAlign w:val="top"/>
          </w:tcPr>
          <w:p w14:paraId="5D2026DF">
            <w:pPr>
              <w:pStyle w:val="35"/>
              <w:keepNext w:val="0"/>
              <w:keepLines w:val="0"/>
              <w:pageBreakBefore w:val="0"/>
              <w:widowControl w:val="0"/>
              <w:kinsoku/>
              <w:wordWrap/>
              <w:overflowPunct/>
              <w:topLinePunct w:val="0"/>
              <w:autoSpaceDE/>
              <w:autoSpaceDN/>
              <w:bidi w:val="0"/>
              <w:adjustRightInd/>
              <w:snapToGrid/>
              <w:ind w:left="0" w:firstLine="240"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w:t>
            </w:r>
          </w:p>
          <w:p w14:paraId="61285C84">
            <w:pPr>
              <w:pStyle w:val="35"/>
              <w:keepNext w:val="0"/>
              <w:keepLines w:val="0"/>
              <w:pageBreakBefore w:val="0"/>
              <w:widowControl w:val="0"/>
              <w:kinsoku/>
              <w:wordWrap/>
              <w:overflowPunct/>
              <w:topLinePunct w:val="0"/>
              <w:autoSpaceDE/>
              <w:autoSpaceDN/>
              <w:bidi w:val="0"/>
              <w:adjustRightInd/>
              <w:snapToGrid/>
              <w:ind w:left="0" w:firstLine="240"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□不通过</w:t>
            </w:r>
          </w:p>
        </w:tc>
      </w:tr>
    </w:tbl>
    <w:p w14:paraId="77A7DB58">
      <w:pPr>
        <w:pStyle w:val="8"/>
        <w:jc w:val="center"/>
        <w:outlineLvl w:val="9"/>
        <w:rPr>
          <w:rFonts w:hint="eastAsia" w:ascii="仿宋" w:hAnsi="仿宋" w:eastAsia="仿宋" w:cs="仿宋"/>
          <w:b/>
          <w:bCs/>
          <w:color w:val="auto"/>
          <w:sz w:val="28"/>
          <w:szCs w:val="28"/>
          <w:highlight w:val="none"/>
        </w:rPr>
      </w:pPr>
    </w:p>
    <w:p w14:paraId="0493A41C">
      <w:pPr>
        <w:pStyle w:val="8"/>
        <w:jc w:val="center"/>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符合性审查一览表</w:t>
      </w:r>
    </w:p>
    <w:p w14:paraId="15FBE873">
      <w:pPr>
        <w:outlineLvl w:val="9"/>
        <w:rPr>
          <w:rFonts w:hint="eastAsia" w:ascii="仿宋" w:hAnsi="仿宋" w:eastAsia="仿宋" w:cs="仿宋"/>
          <w:b/>
          <w:color w:val="auto"/>
          <w:sz w:val="24"/>
          <w:highlight w:val="none"/>
          <w:lang w:val="zh-CN"/>
        </w:rPr>
      </w:pPr>
    </w:p>
    <w:tbl>
      <w:tblPr>
        <w:tblStyle w:val="24"/>
        <w:tblW w:w="8939"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54"/>
        <w:gridCol w:w="6504"/>
        <w:gridCol w:w="1681"/>
      </w:tblGrid>
      <w:tr w14:paraId="3F83F61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8" w:hRule="atLeast"/>
          <w:jc w:val="center"/>
        </w:trPr>
        <w:tc>
          <w:tcPr>
            <w:tcW w:w="754" w:type="dxa"/>
            <w:tcBorders>
              <w:top w:val="single" w:color="000000" w:sz="8" w:space="0"/>
              <w:left w:val="single" w:color="000000" w:sz="8" w:space="0"/>
              <w:bottom w:val="single" w:color="000000" w:sz="8" w:space="0"/>
              <w:right w:val="single" w:color="000000" w:sz="8" w:space="0"/>
            </w:tcBorders>
            <w:shd w:val="clear" w:color="auto" w:fill="FFFFFF"/>
            <w:vAlign w:val="top"/>
          </w:tcPr>
          <w:p w14:paraId="17784813">
            <w:pPr>
              <w:pStyle w:val="35"/>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6504" w:type="dxa"/>
            <w:tcBorders>
              <w:top w:val="single" w:color="000000" w:sz="8" w:space="0"/>
              <w:left w:val="single" w:color="000000" w:sz="8" w:space="0"/>
              <w:bottom w:val="single" w:color="000000" w:sz="8" w:space="0"/>
              <w:right w:val="single" w:color="000000" w:sz="8" w:space="0"/>
            </w:tcBorders>
            <w:shd w:val="clear" w:color="auto" w:fill="FFFFFF"/>
            <w:vAlign w:val="top"/>
          </w:tcPr>
          <w:p w14:paraId="761C78E5">
            <w:pPr>
              <w:pStyle w:val="35"/>
              <w:keepNext w:val="0"/>
              <w:keepLines w:val="0"/>
              <w:pageBreakBefore w:val="0"/>
              <w:widowControl w:val="0"/>
              <w:kinsoku/>
              <w:wordWrap/>
              <w:overflowPunct/>
              <w:topLinePunct w:val="0"/>
              <w:bidi w:val="0"/>
              <w:adjustRightInd w:val="0"/>
              <w:snapToGrid w:val="0"/>
              <w:spacing w:line="400" w:lineRule="exact"/>
              <w:ind w:left="0" w:right="0" w:firstLine="0" w:firstLineChars="0"/>
              <w:jc w:val="center"/>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招标</w:t>
            </w:r>
            <w:r>
              <w:rPr>
                <w:rFonts w:hint="eastAsia" w:ascii="仿宋" w:hAnsi="仿宋" w:eastAsia="仿宋" w:cs="仿宋"/>
                <w:b/>
                <w:color w:val="auto"/>
                <w:sz w:val="24"/>
                <w:szCs w:val="24"/>
                <w:highlight w:val="none"/>
              </w:rPr>
              <w:t>文件要求</w:t>
            </w:r>
          </w:p>
        </w:tc>
        <w:tc>
          <w:tcPr>
            <w:tcW w:w="168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B5DD6C">
            <w:pPr>
              <w:pStyle w:val="35"/>
              <w:keepNext w:val="0"/>
              <w:keepLines w:val="0"/>
              <w:pageBreakBefore w:val="0"/>
              <w:widowControl w:val="0"/>
              <w:kinsoku/>
              <w:wordWrap/>
              <w:overflowPunct/>
              <w:topLinePunct w:val="0"/>
              <w:bidi w:val="0"/>
              <w:adjustRightInd w:val="0"/>
              <w:snapToGrid w:val="0"/>
              <w:spacing w:line="400" w:lineRule="exact"/>
              <w:ind w:left="0" w:right="0" w:firstLine="0" w:firstLineChars="0"/>
              <w:jc w:val="center"/>
              <w:textAlignment w:val="auto"/>
              <w:outlineLvl w:val="9"/>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结论</w:t>
            </w:r>
          </w:p>
        </w:tc>
      </w:tr>
      <w:tr w14:paraId="177A5E3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73" w:hRule="atLeast"/>
          <w:jc w:val="center"/>
        </w:trPr>
        <w:tc>
          <w:tcPr>
            <w:tcW w:w="75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6E2EDDB">
            <w:pPr>
              <w:pStyle w:val="35"/>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50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6FFF0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left="0" w:right="0" w:rightChars="0" w:firstLine="240" w:firstLineChars="1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sz w:val="24"/>
                <w:szCs w:val="24"/>
                <w:highlight w:val="none"/>
                <w:lang w:val="zh-CN"/>
              </w:rPr>
              <w:t>不符合法律、法规和招标文件中规定的其它实质性要求的；</w:t>
            </w:r>
          </w:p>
        </w:tc>
        <w:tc>
          <w:tcPr>
            <w:tcW w:w="168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DB3771">
            <w:pPr>
              <w:pStyle w:val="35"/>
              <w:keepNext w:val="0"/>
              <w:keepLines w:val="0"/>
              <w:pageBreakBefore w:val="0"/>
              <w:widowControl w:val="0"/>
              <w:kinsoku/>
              <w:wordWrap/>
              <w:overflowPunct/>
              <w:topLinePunct w:val="0"/>
              <w:autoSpaceDE/>
              <w:autoSpaceDN/>
              <w:bidi w:val="0"/>
              <w:adjustRightInd w:val="0"/>
              <w:snapToGrid w:val="0"/>
              <w:spacing w:line="400" w:lineRule="exact"/>
              <w:ind w:left="0" w:right="0" w:firstLine="240" w:firstLineChars="1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w:t>
            </w:r>
          </w:p>
          <w:p w14:paraId="1BF90B0B">
            <w:pPr>
              <w:pStyle w:val="35"/>
              <w:keepNext w:val="0"/>
              <w:keepLines w:val="0"/>
              <w:pageBreakBefore w:val="0"/>
              <w:widowControl w:val="0"/>
              <w:kinsoku/>
              <w:wordWrap/>
              <w:overflowPunct/>
              <w:topLinePunct w:val="0"/>
              <w:autoSpaceDE/>
              <w:autoSpaceDN/>
              <w:bidi w:val="0"/>
              <w:adjustRightInd w:val="0"/>
              <w:snapToGrid w:val="0"/>
              <w:spacing w:line="400" w:lineRule="exact"/>
              <w:ind w:left="0" w:right="0" w:firstLine="240" w:firstLineChars="1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□不通过</w:t>
            </w:r>
          </w:p>
        </w:tc>
      </w:tr>
      <w:tr w14:paraId="10F37EC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0" w:hRule="atLeast"/>
          <w:jc w:val="center"/>
        </w:trPr>
        <w:tc>
          <w:tcPr>
            <w:tcW w:w="75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EC60D2C">
            <w:pPr>
              <w:pStyle w:val="35"/>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650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5B21F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left="0" w:right="0" w:rightChars="0" w:firstLine="240" w:firstLineChars="1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响应内容与采购内容及要求有重大偏离或保留的，或附有采购人不能接受的条件的；</w:t>
            </w:r>
          </w:p>
        </w:tc>
        <w:tc>
          <w:tcPr>
            <w:tcW w:w="168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2F70A6">
            <w:pPr>
              <w:pStyle w:val="35"/>
              <w:keepNext w:val="0"/>
              <w:keepLines w:val="0"/>
              <w:pageBreakBefore w:val="0"/>
              <w:widowControl w:val="0"/>
              <w:kinsoku/>
              <w:wordWrap/>
              <w:overflowPunct/>
              <w:topLinePunct w:val="0"/>
              <w:autoSpaceDE/>
              <w:autoSpaceDN/>
              <w:bidi w:val="0"/>
              <w:adjustRightInd w:val="0"/>
              <w:snapToGrid w:val="0"/>
              <w:spacing w:line="400" w:lineRule="exact"/>
              <w:ind w:left="0" w:right="0" w:firstLine="240" w:firstLineChars="1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w:t>
            </w:r>
          </w:p>
          <w:p w14:paraId="1992A7B7">
            <w:pPr>
              <w:pStyle w:val="35"/>
              <w:keepNext w:val="0"/>
              <w:keepLines w:val="0"/>
              <w:pageBreakBefore w:val="0"/>
              <w:widowControl w:val="0"/>
              <w:kinsoku/>
              <w:wordWrap/>
              <w:overflowPunct/>
              <w:topLinePunct w:val="0"/>
              <w:autoSpaceDE/>
              <w:autoSpaceDN/>
              <w:bidi w:val="0"/>
              <w:adjustRightInd w:val="0"/>
              <w:snapToGrid w:val="0"/>
              <w:spacing w:line="400" w:lineRule="exact"/>
              <w:ind w:left="0" w:right="0" w:firstLine="240" w:firstLineChars="1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□不通过</w:t>
            </w:r>
          </w:p>
        </w:tc>
      </w:tr>
      <w:tr w14:paraId="1C73A2C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jc w:val="center"/>
        </w:trPr>
        <w:tc>
          <w:tcPr>
            <w:tcW w:w="75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81AC37">
            <w:pPr>
              <w:pStyle w:val="35"/>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650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FFF1A6">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240" w:firstLineChars="1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响应文件未按招标文件规定格式填写、盖章的；</w:t>
            </w:r>
          </w:p>
        </w:tc>
        <w:tc>
          <w:tcPr>
            <w:tcW w:w="168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6809B8">
            <w:pPr>
              <w:pStyle w:val="35"/>
              <w:keepNext w:val="0"/>
              <w:keepLines w:val="0"/>
              <w:pageBreakBefore w:val="0"/>
              <w:widowControl w:val="0"/>
              <w:kinsoku/>
              <w:wordWrap/>
              <w:overflowPunct/>
              <w:topLinePunct w:val="0"/>
              <w:autoSpaceDE/>
              <w:autoSpaceDN/>
              <w:bidi w:val="0"/>
              <w:adjustRightInd w:val="0"/>
              <w:snapToGrid w:val="0"/>
              <w:spacing w:line="400" w:lineRule="exact"/>
              <w:ind w:left="0" w:right="0" w:firstLine="240" w:firstLineChars="1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w:t>
            </w:r>
          </w:p>
          <w:p w14:paraId="7D2018FC">
            <w:pPr>
              <w:pStyle w:val="35"/>
              <w:keepNext w:val="0"/>
              <w:keepLines w:val="0"/>
              <w:pageBreakBefore w:val="0"/>
              <w:widowControl w:val="0"/>
              <w:kinsoku/>
              <w:wordWrap/>
              <w:overflowPunct/>
              <w:topLinePunct w:val="0"/>
              <w:autoSpaceDE/>
              <w:autoSpaceDN/>
              <w:bidi w:val="0"/>
              <w:adjustRightInd w:val="0"/>
              <w:snapToGrid w:val="0"/>
              <w:spacing w:line="400" w:lineRule="exact"/>
              <w:ind w:left="0" w:right="0" w:firstLine="240" w:firstLineChars="1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□不通过</w:t>
            </w:r>
          </w:p>
        </w:tc>
      </w:tr>
      <w:tr w14:paraId="0A93417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26" w:hRule="atLeast"/>
          <w:jc w:val="center"/>
        </w:trPr>
        <w:tc>
          <w:tcPr>
            <w:tcW w:w="75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14A2E6">
            <w:pPr>
              <w:pStyle w:val="35"/>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650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5530A5">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240" w:firstLineChars="1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响应文件编制是否按照招标文件要求编写、不符合招标文件要求的；</w:t>
            </w:r>
          </w:p>
        </w:tc>
        <w:tc>
          <w:tcPr>
            <w:tcW w:w="168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EBC8A8B">
            <w:pPr>
              <w:pStyle w:val="35"/>
              <w:keepNext w:val="0"/>
              <w:keepLines w:val="0"/>
              <w:pageBreakBefore w:val="0"/>
              <w:widowControl w:val="0"/>
              <w:kinsoku/>
              <w:wordWrap/>
              <w:overflowPunct/>
              <w:topLinePunct w:val="0"/>
              <w:autoSpaceDE/>
              <w:autoSpaceDN/>
              <w:bidi w:val="0"/>
              <w:adjustRightInd w:val="0"/>
              <w:snapToGrid w:val="0"/>
              <w:spacing w:line="400" w:lineRule="exact"/>
              <w:ind w:left="0" w:right="0" w:firstLine="240" w:firstLineChars="1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w:t>
            </w:r>
          </w:p>
          <w:p w14:paraId="5BF59877">
            <w:pPr>
              <w:pStyle w:val="35"/>
              <w:keepNext w:val="0"/>
              <w:keepLines w:val="0"/>
              <w:pageBreakBefore w:val="0"/>
              <w:widowControl w:val="0"/>
              <w:kinsoku/>
              <w:wordWrap/>
              <w:overflowPunct/>
              <w:topLinePunct w:val="0"/>
              <w:autoSpaceDE/>
              <w:autoSpaceDN/>
              <w:bidi w:val="0"/>
              <w:adjustRightInd w:val="0"/>
              <w:snapToGrid w:val="0"/>
              <w:spacing w:line="400" w:lineRule="exact"/>
              <w:ind w:left="0" w:right="0" w:firstLine="240" w:firstLineChars="1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□不通过</w:t>
            </w:r>
          </w:p>
        </w:tc>
      </w:tr>
      <w:tr w14:paraId="4667C1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3" w:hRule="atLeast"/>
          <w:jc w:val="center"/>
        </w:trPr>
        <w:tc>
          <w:tcPr>
            <w:tcW w:w="75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759E2D">
            <w:pPr>
              <w:pStyle w:val="35"/>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c>
          <w:tcPr>
            <w:tcW w:w="650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4DC4A2">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投标有效期不满足招标文件要求的；</w:t>
            </w:r>
          </w:p>
        </w:tc>
        <w:tc>
          <w:tcPr>
            <w:tcW w:w="168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5B5826">
            <w:pPr>
              <w:pStyle w:val="35"/>
              <w:keepNext w:val="0"/>
              <w:keepLines w:val="0"/>
              <w:pageBreakBefore w:val="0"/>
              <w:widowControl w:val="0"/>
              <w:kinsoku/>
              <w:wordWrap/>
              <w:overflowPunct/>
              <w:topLinePunct w:val="0"/>
              <w:autoSpaceDE/>
              <w:autoSpaceDN/>
              <w:bidi w:val="0"/>
              <w:adjustRightInd w:val="0"/>
              <w:snapToGrid w:val="0"/>
              <w:spacing w:line="400" w:lineRule="exact"/>
              <w:ind w:left="0" w:right="0" w:firstLine="240" w:firstLineChars="1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w:t>
            </w:r>
          </w:p>
          <w:p w14:paraId="05A7EF5C">
            <w:pPr>
              <w:pStyle w:val="35"/>
              <w:keepNext w:val="0"/>
              <w:keepLines w:val="0"/>
              <w:pageBreakBefore w:val="0"/>
              <w:widowControl w:val="0"/>
              <w:kinsoku/>
              <w:wordWrap/>
              <w:overflowPunct/>
              <w:topLinePunct w:val="0"/>
              <w:autoSpaceDE/>
              <w:autoSpaceDN/>
              <w:bidi w:val="0"/>
              <w:adjustRightInd w:val="0"/>
              <w:snapToGrid w:val="0"/>
              <w:spacing w:line="400" w:lineRule="exact"/>
              <w:ind w:left="0" w:right="0" w:firstLine="240" w:firstLineChars="1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□不通过</w:t>
            </w:r>
          </w:p>
        </w:tc>
      </w:tr>
      <w:tr w14:paraId="22CFD15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5" w:hRule="atLeast"/>
          <w:jc w:val="center"/>
        </w:trPr>
        <w:tc>
          <w:tcPr>
            <w:tcW w:w="75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894D52">
            <w:pPr>
              <w:pStyle w:val="35"/>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650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E2AFBAC">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响应文件中提供虚假或失实资料的；</w:t>
            </w:r>
          </w:p>
        </w:tc>
        <w:tc>
          <w:tcPr>
            <w:tcW w:w="168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6DE9E56">
            <w:pPr>
              <w:pStyle w:val="35"/>
              <w:keepNext w:val="0"/>
              <w:keepLines w:val="0"/>
              <w:pageBreakBefore w:val="0"/>
              <w:widowControl w:val="0"/>
              <w:kinsoku/>
              <w:wordWrap/>
              <w:overflowPunct/>
              <w:topLinePunct w:val="0"/>
              <w:autoSpaceDE/>
              <w:autoSpaceDN/>
              <w:bidi w:val="0"/>
              <w:adjustRightInd w:val="0"/>
              <w:snapToGrid w:val="0"/>
              <w:spacing w:line="400" w:lineRule="exact"/>
              <w:ind w:left="0" w:right="0" w:firstLine="240" w:firstLineChars="1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w:t>
            </w:r>
          </w:p>
          <w:p w14:paraId="0EC04272">
            <w:pPr>
              <w:pStyle w:val="35"/>
              <w:keepNext w:val="0"/>
              <w:keepLines w:val="0"/>
              <w:pageBreakBefore w:val="0"/>
              <w:widowControl w:val="0"/>
              <w:kinsoku/>
              <w:wordWrap/>
              <w:overflowPunct/>
              <w:topLinePunct w:val="0"/>
              <w:autoSpaceDE/>
              <w:autoSpaceDN/>
              <w:bidi w:val="0"/>
              <w:adjustRightInd w:val="0"/>
              <w:snapToGrid w:val="0"/>
              <w:spacing w:line="400" w:lineRule="exact"/>
              <w:ind w:left="0" w:right="0" w:firstLine="240" w:firstLineChars="1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□不通过</w:t>
            </w:r>
          </w:p>
        </w:tc>
      </w:tr>
      <w:tr w14:paraId="2465899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5" w:hRule="atLeast"/>
          <w:jc w:val="center"/>
        </w:trPr>
        <w:tc>
          <w:tcPr>
            <w:tcW w:w="75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EA637C5">
            <w:pPr>
              <w:pStyle w:val="35"/>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650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4A6B4D">
            <w:pPr>
              <w:keepNext w:val="0"/>
              <w:keepLines w:val="0"/>
              <w:pageBreakBefore w:val="0"/>
              <w:widowControl w:val="0"/>
              <w:kinsoku/>
              <w:wordWrap/>
              <w:overflowPunct/>
              <w:topLinePunct w:val="0"/>
              <w:bidi w:val="0"/>
              <w:adjustRightInd w:val="0"/>
              <w:snapToGrid w:val="0"/>
              <w:spacing w:line="400" w:lineRule="exact"/>
              <w:ind w:right="0" w:firstLine="480" w:firstLineChars="200"/>
              <w:jc w:val="both"/>
              <w:textAlignment w:val="auto"/>
              <w:outlineLvl w:val="9"/>
              <w:rPr>
                <w:rFonts w:hint="eastAsia" w:ascii="仿宋" w:hAnsi="仿宋" w:eastAsia="仿宋" w:cs="仿宋"/>
                <w:b w:val="0"/>
                <w:color w:val="auto"/>
                <w:sz w:val="24"/>
                <w:szCs w:val="24"/>
                <w:highlight w:val="none"/>
              </w:rPr>
            </w:pPr>
            <w:r>
              <w:rPr>
                <w:rFonts w:hint="eastAsia" w:ascii="仿宋" w:hAnsi="仿宋" w:eastAsia="仿宋" w:cs="仿宋"/>
                <w:bCs/>
                <w:color w:val="auto"/>
                <w:sz w:val="24"/>
                <w:szCs w:val="24"/>
                <w:highlight w:val="none"/>
                <w:lang w:eastAsia="zh-CN"/>
              </w:rPr>
              <w:t>不同供应商的响应文件的内容（或其单价等）异常一致或者报价呈规律性差异的；</w:t>
            </w:r>
          </w:p>
        </w:tc>
        <w:tc>
          <w:tcPr>
            <w:tcW w:w="168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055D4A">
            <w:pPr>
              <w:pStyle w:val="35"/>
              <w:keepNext w:val="0"/>
              <w:keepLines w:val="0"/>
              <w:pageBreakBefore w:val="0"/>
              <w:widowControl w:val="0"/>
              <w:kinsoku/>
              <w:wordWrap/>
              <w:overflowPunct/>
              <w:topLinePunct w:val="0"/>
              <w:autoSpaceDE/>
              <w:autoSpaceDN/>
              <w:bidi w:val="0"/>
              <w:adjustRightInd w:val="0"/>
              <w:snapToGrid w:val="0"/>
              <w:spacing w:line="400" w:lineRule="exact"/>
              <w:ind w:left="0" w:right="0" w:firstLine="240" w:firstLineChars="1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w:t>
            </w:r>
          </w:p>
          <w:p w14:paraId="402D9868">
            <w:pPr>
              <w:pStyle w:val="35"/>
              <w:keepNext w:val="0"/>
              <w:keepLines w:val="0"/>
              <w:pageBreakBefore w:val="0"/>
              <w:widowControl w:val="0"/>
              <w:kinsoku/>
              <w:wordWrap/>
              <w:overflowPunct/>
              <w:topLinePunct w:val="0"/>
              <w:autoSpaceDE/>
              <w:autoSpaceDN/>
              <w:bidi w:val="0"/>
              <w:adjustRightInd w:val="0"/>
              <w:snapToGrid w:val="0"/>
              <w:spacing w:line="400" w:lineRule="exact"/>
              <w:ind w:left="0" w:right="0" w:firstLine="240" w:firstLineChars="1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□不通过</w:t>
            </w:r>
          </w:p>
        </w:tc>
      </w:tr>
    </w:tbl>
    <w:p w14:paraId="582B3220">
      <w:pPr>
        <w:outlineLvl w:val="9"/>
        <w:rPr>
          <w:rFonts w:hint="eastAsia" w:ascii="仿宋" w:hAnsi="仿宋" w:eastAsia="仿宋" w:cs="仿宋"/>
          <w:b/>
          <w:color w:val="auto"/>
          <w:sz w:val="24"/>
          <w:highlight w:val="none"/>
          <w:lang w:val="zh-CN"/>
        </w:rPr>
      </w:pPr>
    </w:p>
    <w:p w14:paraId="6CCF0B12">
      <w:pPr>
        <w:autoSpaceDE w:val="0"/>
        <w:autoSpaceDN w:val="0"/>
        <w:adjustRightInd w:val="0"/>
        <w:spacing w:line="360" w:lineRule="auto"/>
        <w:outlineLvl w:val="9"/>
        <w:rPr>
          <w:rFonts w:hint="eastAsia" w:ascii="仿宋" w:hAnsi="仿宋" w:eastAsia="仿宋" w:cs="仿宋"/>
          <w:color w:val="auto"/>
          <w:sz w:val="24"/>
          <w:highlight w:val="none"/>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3</w:t>
      </w:r>
      <w:r>
        <w:rPr>
          <w:rFonts w:hint="eastAsia" w:ascii="仿宋" w:hAnsi="仿宋" w:eastAsia="仿宋" w:cs="仿宋"/>
          <w:b/>
          <w:color w:val="auto"/>
          <w:sz w:val="24"/>
          <w:highlight w:val="none"/>
          <w:lang w:val="zh-CN"/>
        </w:rPr>
        <w:t>.5.8</w:t>
      </w:r>
      <w:r>
        <w:rPr>
          <w:rFonts w:hint="eastAsia" w:ascii="仿宋" w:hAnsi="仿宋" w:eastAsia="仿宋" w:cs="仿宋"/>
          <w:b/>
          <w:color w:val="auto"/>
          <w:sz w:val="24"/>
          <w:highlight w:val="none"/>
        </w:rPr>
        <w:t xml:space="preserve"> 综合评审 </w:t>
      </w:r>
    </w:p>
    <w:p w14:paraId="2D8AA4CB">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rPr>
        <w:t>.5.8.1</w:t>
      </w:r>
      <w:r>
        <w:rPr>
          <w:rFonts w:hint="eastAsia" w:ascii="仿宋" w:hAnsi="仿宋" w:eastAsia="仿宋" w:cs="仿宋"/>
          <w:bCs/>
          <w:color w:val="auto"/>
          <w:sz w:val="24"/>
          <w:highlight w:val="none"/>
        </w:rPr>
        <w:t>评标委员会各成员</w:t>
      </w:r>
      <w:r>
        <w:rPr>
          <w:rFonts w:hint="eastAsia" w:ascii="仿宋" w:hAnsi="仿宋" w:eastAsia="仿宋" w:cs="仿宋"/>
          <w:color w:val="auto"/>
          <w:sz w:val="24"/>
          <w:highlight w:val="none"/>
        </w:rPr>
        <w:t>应当</w:t>
      </w:r>
      <w:r>
        <w:rPr>
          <w:rFonts w:hint="eastAsia" w:ascii="仿宋" w:hAnsi="仿宋" w:eastAsia="仿宋" w:cs="仿宋"/>
          <w:bCs/>
          <w:color w:val="auto"/>
          <w:sz w:val="24"/>
          <w:highlight w:val="none"/>
        </w:rPr>
        <w:t>遵循独立评审原则，</w:t>
      </w:r>
      <w:r>
        <w:rPr>
          <w:rFonts w:hint="eastAsia" w:ascii="仿宋" w:hAnsi="仿宋" w:eastAsia="仿宋" w:cs="仿宋"/>
          <w:color w:val="auto"/>
          <w:sz w:val="24"/>
          <w:highlight w:val="none"/>
          <w:lang w:val="zh-CN"/>
        </w:rPr>
        <w:t>按照招标文件的评标方法和标准，对资质资格资质检查和复合性检查合格的投标文件的商务和技术进行评估，综合比较与评价。并应当以书面方式发表各自（或集体）的具体综合评审意见。</w:t>
      </w:r>
    </w:p>
    <w:p w14:paraId="64F9277C">
      <w:pPr>
        <w:autoSpaceDE w:val="0"/>
        <w:autoSpaceDN w:val="0"/>
        <w:adjustRightInd w:val="0"/>
        <w:spacing w:line="360" w:lineRule="auto"/>
        <w:ind w:firstLine="48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zh-CN"/>
        </w:rPr>
        <w:t>.5.8.2 评估和综合比较与评价，应当</w:t>
      </w:r>
      <w:r>
        <w:rPr>
          <w:rFonts w:hint="eastAsia" w:ascii="仿宋" w:hAnsi="仿宋" w:eastAsia="仿宋" w:cs="仿宋"/>
          <w:bCs/>
          <w:color w:val="auto"/>
          <w:sz w:val="24"/>
          <w:highlight w:val="none"/>
        </w:rPr>
        <w:t>严格</w:t>
      </w:r>
      <w:r>
        <w:rPr>
          <w:rFonts w:hint="eastAsia" w:ascii="仿宋" w:hAnsi="仿宋" w:eastAsia="仿宋" w:cs="仿宋"/>
          <w:color w:val="auto"/>
          <w:sz w:val="24"/>
          <w:highlight w:val="none"/>
          <w:lang w:val="zh-CN"/>
        </w:rPr>
        <w:t>按照采购人设计格式要求，做好书面原始署名记录，</w:t>
      </w:r>
      <w:r>
        <w:rPr>
          <w:rFonts w:hint="eastAsia" w:ascii="仿宋" w:hAnsi="仿宋" w:eastAsia="仿宋" w:cs="仿宋"/>
          <w:bCs/>
          <w:color w:val="auto"/>
          <w:sz w:val="24"/>
          <w:szCs w:val="24"/>
          <w:highlight w:val="none"/>
        </w:rPr>
        <w:t>连同书面评标报告提交采购人。</w:t>
      </w:r>
    </w:p>
    <w:p w14:paraId="5DFD2F46">
      <w:pPr>
        <w:autoSpaceDE w:val="0"/>
        <w:autoSpaceDN w:val="0"/>
        <w:adjustRightInd w:val="0"/>
        <w:spacing w:line="360" w:lineRule="auto"/>
        <w:ind w:firstLine="48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zh-CN"/>
        </w:rPr>
        <w:t>.5.8.3</w:t>
      </w:r>
      <w:r>
        <w:rPr>
          <w:rFonts w:hint="eastAsia" w:ascii="仿宋" w:hAnsi="仿宋" w:eastAsia="仿宋" w:cs="仿宋"/>
          <w:bCs/>
          <w:color w:val="auto"/>
          <w:sz w:val="24"/>
          <w:szCs w:val="24"/>
          <w:highlight w:val="none"/>
        </w:rPr>
        <w:t xml:space="preserve"> “综合评分法”应当载明投标人的投标项目、所作的任何修正、对商业偏差的调整、对技术偏差的调整、对各评审因素的评估，以及对每一投标的最终评标结果。</w:t>
      </w:r>
    </w:p>
    <w:p w14:paraId="7AF7A758">
      <w:pPr>
        <w:autoSpaceDE w:val="0"/>
        <w:autoSpaceDN w:val="0"/>
        <w:adjustRightInd w:val="0"/>
        <w:spacing w:line="360" w:lineRule="auto"/>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zh-CN"/>
        </w:rPr>
        <w:t>.5.8.4综合评审记录要突出重点、抓住关键（核</w:t>
      </w:r>
      <w:r>
        <w:rPr>
          <w:rFonts w:hint="eastAsia" w:ascii="仿宋" w:hAnsi="仿宋" w:eastAsia="仿宋" w:cs="仿宋"/>
          <w:bCs/>
          <w:color w:val="auto"/>
          <w:sz w:val="24"/>
          <w:szCs w:val="24"/>
          <w:highlight w:val="none"/>
        </w:rPr>
        <w:t>心）、真实准确、简明扼要，体现公平、公正、合理。否则，经核实后，将按前款</w:t>
      </w:r>
      <w:r>
        <w:rPr>
          <w:rFonts w:hint="eastAsia" w:ascii="仿宋" w:hAnsi="仿宋" w:eastAsia="仿宋" w:cs="仿宋"/>
          <w:color w:val="auto"/>
          <w:sz w:val="24"/>
          <w:szCs w:val="24"/>
          <w:highlight w:val="none"/>
        </w:rPr>
        <w:t>“第五部分”中“第四章”的21.3条款之规定执行。</w:t>
      </w:r>
    </w:p>
    <w:p w14:paraId="16F76A65">
      <w:pPr>
        <w:autoSpaceDE w:val="0"/>
        <w:autoSpaceDN w:val="0"/>
        <w:adjustRightInd w:val="0"/>
        <w:spacing w:line="360" w:lineRule="auto"/>
        <w:ind w:firstLine="480"/>
        <w:outlineLvl w:val="9"/>
        <w:rPr>
          <w:rFonts w:hint="eastAsia" w:ascii="仿宋" w:hAnsi="仿宋" w:eastAsia="仿宋" w:cs="仿宋"/>
          <w:bCs/>
          <w:color w:val="auto"/>
          <w:sz w:val="24"/>
          <w:highlight w:val="none"/>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3</w:t>
      </w:r>
      <w:r>
        <w:rPr>
          <w:rFonts w:hint="eastAsia" w:ascii="仿宋" w:hAnsi="仿宋" w:eastAsia="仿宋" w:cs="仿宋"/>
          <w:b/>
          <w:color w:val="auto"/>
          <w:sz w:val="24"/>
          <w:highlight w:val="none"/>
          <w:lang w:val="zh-CN"/>
        </w:rPr>
        <w:t>.5.8.9 比较与评价</w:t>
      </w:r>
    </w:p>
    <w:p w14:paraId="2967F4A6">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bCs/>
          <w:color w:val="auto"/>
          <w:sz w:val="24"/>
          <w:highlight w:val="none"/>
        </w:rPr>
        <w:t>综合评标时，评标委员会各成员应当对每一个有效投标人的投标文件，</w:t>
      </w:r>
      <w:r>
        <w:rPr>
          <w:rFonts w:hint="eastAsia" w:ascii="仿宋" w:hAnsi="仿宋" w:eastAsia="仿宋" w:cs="仿宋"/>
          <w:color w:val="auto"/>
          <w:sz w:val="24"/>
          <w:highlight w:val="none"/>
          <w:lang w:val="zh-CN"/>
        </w:rPr>
        <w:t>根据招标文件中要求的产品价格、技术、性能、质量及质检认证、环保节能、财务状况、信誉、业绩、服务、培训、货物供应及对招标文件的响应程度等指标，进行具体评估。</w:t>
      </w:r>
    </w:p>
    <w:p w14:paraId="0F5185B0">
      <w:pPr>
        <w:autoSpaceDE w:val="0"/>
        <w:autoSpaceDN w:val="0"/>
        <w:adjustRightInd w:val="0"/>
        <w:spacing w:line="360" w:lineRule="auto"/>
        <w:ind w:firstLine="480"/>
        <w:outlineLvl w:val="9"/>
        <w:rPr>
          <w:rFonts w:hint="eastAsia" w:ascii="仿宋" w:hAnsi="仿宋" w:eastAsia="仿宋" w:cs="仿宋"/>
          <w:bCs/>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评标委员会成员应独立按照对每一个投标人所投产品的最终报价、设备选型、配置及性能指标、质检认证报告、环保节能、售后服务体系、培训计划、货物供应、财务能力和状况、类似业绩等因素的具体综合评估，进行比较与评价。</w:t>
      </w:r>
    </w:p>
    <w:p w14:paraId="0C5F1553">
      <w:pPr>
        <w:autoSpaceDE w:val="0"/>
        <w:autoSpaceDN w:val="0"/>
        <w:adjustRightInd w:val="0"/>
        <w:spacing w:line="360" w:lineRule="auto"/>
        <w:ind w:firstLine="480"/>
        <w:outlineLvl w:val="9"/>
        <w:rPr>
          <w:rFonts w:hint="eastAsia" w:ascii="仿宋" w:hAnsi="仿宋" w:eastAsia="仿宋" w:cs="仿宋"/>
          <w:bCs/>
          <w:color w:val="auto"/>
          <w:sz w:val="24"/>
          <w:highlight w:val="none"/>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3</w:t>
      </w:r>
      <w:r>
        <w:rPr>
          <w:rFonts w:hint="eastAsia" w:ascii="仿宋" w:hAnsi="仿宋" w:eastAsia="仿宋" w:cs="仿宋"/>
          <w:b/>
          <w:color w:val="auto"/>
          <w:sz w:val="24"/>
          <w:highlight w:val="none"/>
          <w:lang w:val="zh-CN"/>
        </w:rPr>
        <w:t>.5.9 综合评分法的原则、方法和标准</w:t>
      </w:r>
    </w:p>
    <w:p w14:paraId="7F1BC071">
      <w:pPr>
        <w:spacing w:line="360" w:lineRule="auto"/>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zh-CN"/>
        </w:rPr>
        <w:t>.5.9.1</w:t>
      </w:r>
      <w:r>
        <w:rPr>
          <w:rFonts w:hint="eastAsia" w:ascii="仿宋" w:hAnsi="仿宋" w:eastAsia="仿宋" w:cs="仿宋"/>
          <w:bCs/>
          <w:color w:val="auto"/>
          <w:sz w:val="24"/>
          <w:szCs w:val="24"/>
          <w:highlight w:val="none"/>
        </w:rPr>
        <w:t>采用综合评分法，是指在最大限度地满足招标文件实质性要求前提下，按照招标文件中规定的各项因素进行综合评审后，以评分得分最高的投标人作为中标候选投标人或者中标投标人的评标方法。</w:t>
      </w:r>
    </w:p>
    <w:p w14:paraId="187915C1">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zh-CN"/>
        </w:rPr>
        <w:t>.5.9.2综合评分方法：评标委员会成员</w:t>
      </w:r>
      <w:r>
        <w:rPr>
          <w:rFonts w:hint="eastAsia" w:ascii="仿宋" w:hAnsi="仿宋" w:eastAsia="仿宋" w:cs="仿宋"/>
          <w:color w:val="auto"/>
          <w:sz w:val="24"/>
          <w:szCs w:val="24"/>
          <w:highlight w:val="none"/>
        </w:rPr>
        <w:t>应按照独立综合评审原则，根据对招标</w:t>
      </w:r>
      <w:r>
        <w:rPr>
          <w:rFonts w:hint="eastAsia" w:ascii="仿宋" w:hAnsi="仿宋" w:eastAsia="仿宋" w:cs="仿宋"/>
          <w:color w:val="auto"/>
          <w:sz w:val="24"/>
          <w:highlight w:val="none"/>
          <w:lang w:val="zh-CN"/>
        </w:rPr>
        <w:t>文件的响应程度和具体评标</w:t>
      </w:r>
      <w:r>
        <w:rPr>
          <w:rFonts w:hint="eastAsia" w:ascii="仿宋" w:hAnsi="仿宋" w:eastAsia="仿宋" w:cs="仿宋"/>
          <w:color w:val="auto"/>
          <w:sz w:val="24"/>
          <w:szCs w:val="24"/>
          <w:highlight w:val="none"/>
        </w:rPr>
        <w:t>情况，</w:t>
      </w:r>
      <w:r>
        <w:rPr>
          <w:rFonts w:hint="eastAsia" w:ascii="仿宋" w:hAnsi="仿宋" w:eastAsia="仿宋" w:cs="仿宋"/>
          <w:color w:val="auto"/>
          <w:sz w:val="24"/>
          <w:highlight w:val="none"/>
          <w:lang w:val="zh-CN"/>
        </w:rPr>
        <w:t>独立对具体投标文件的商务和技术指标进行评估和综合比较与评价后，独立（或集体）发表综合评审（议）意见，对每一个投标人做出打分决定；经</w:t>
      </w:r>
      <w:r>
        <w:rPr>
          <w:rFonts w:hint="eastAsia" w:ascii="仿宋" w:hAnsi="仿宋" w:eastAsia="仿宋" w:cs="仿宋"/>
          <w:color w:val="auto"/>
          <w:sz w:val="24"/>
          <w:szCs w:val="24"/>
          <w:highlight w:val="none"/>
        </w:rPr>
        <w:t>采购代理机构</w:t>
      </w:r>
      <w:r>
        <w:rPr>
          <w:rFonts w:hint="eastAsia" w:ascii="仿宋" w:hAnsi="仿宋" w:eastAsia="仿宋" w:cs="仿宋"/>
          <w:color w:val="auto"/>
          <w:sz w:val="24"/>
          <w:highlight w:val="none"/>
          <w:lang w:val="zh-CN"/>
        </w:rPr>
        <w:t>核对和汇总后，按得高分原则，由高到低进行排序后，</w:t>
      </w:r>
      <w:r>
        <w:rPr>
          <w:rFonts w:hint="eastAsia" w:ascii="仿宋" w:hAnsi="仿宋" w:eastAsia="仿宋" w:cs="仿宋"/>
          <w:color w:val="auto"/>
          <w:sz w:val="24"/>
          <w:highlight w:val="none"/>
        </w:rPr>
        <w:t>最后根据评标委员会各成员签署的打分结果，得出评标结论。</w:t>
      </w:r>
    </w:p>
    <w:p w14:paraId="1F65C5D3">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zh-CN"/>
        </w:rPr>
        <w:t>.5.9.3 评标时，评标委员会各成员应当独立对每个有效投标人的投标文件进行评价、打分，然后由</w:t>
      </w:r>
      <w:r>
        <w:rPr>
          <w:rFonts w:hint="eastAsia" w:ascii="仿宋" w:hAnsi="仿宋" w:eastAsia="仿宋" w:cs="仿宋"/>
          <w:color w:val="auto"/>
          <w:sz w:val="24"/>
          <w:szCs w:val="24"/>
          <w:highlight w:val="none"/>
        </w:rPr>
        <w:t>采购代理机构</w:t>
      </w:r>
      <w:r>
        <w:rPr>
          <w:rFonts w:hint="eastAsia" w:ascii="仿宋" w:hAnsi="仿宋" w:eastAsia="仿宋" w:cs="仿宋"/>
          <w:color w:val="auto"/>
          <w:sz w:val="24"/>
          <w:highlight w:val="none"/>
          <w:lang w:val="zh-CN"/>
        </w:rPr>
        <w:t>核对汇总出每个投标人每项评分因素的得分。</w:t>
      </w:r>
    </w:p>
    <w:p w14:paraId="58400CA1">
      <w:pPr>
        <w:autoSpaceDE w:val="0"/>
        <w:autoSpaceDN w:val="0"/>
        <w:adjustRightInd w:val="0"/>
        <w:spacing w:line="360" w:lineRule="auto"/>
        <w:ind w:firstLine="48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zh-CN"/>
        </w:rPr>
        <w:t>.5.9.4 综合评分，应严格遵守前款“</w:t>
      </w:r>
      <w:r>
        <w:rPr>
          <w:rFonts w:hint="eastAsia" w:ascii="仿宋" w:hAnsi="仿宋" w:eastAsia="仿宋" w:cs="仿宋"/>
          <w:bCs/>
          <w:color w:val="auto"/>
          <w:sz w:val="24"/>
          <w:highlight w:val="none"/>
          <w:lang w:val="zh-CN"/>
        </w:rPr>
        <w:t>24.5.8</w:t>
      </w:r>
      <w:r>
        <w:rPr>
          <w:rFonts w:hint="eastAsia" w:ascii="仿宋" w:hAnsi="仿宋" w:eastAsia="仿宋" w:cs="仿宋"/>
          <w:bCs/>
          <w:color w:val="auto"/>
          <w:sz w:val="24"/>
          <w:highlight w:val="none"/>
        </w:rPr>
        <w:t xml:space="preserve"> 综合评审”条款之规定。</w:t>
      </w:r>
      <w:r>
        <w:rPr>
          <w:rFonts w:hint="eastAsia" w:ascii="仿宋" w:hAnsi="仿宋" w:eastAsia="仿宋" w:cs="仿宋"/>
          <w:bCs/>
          <w:color w:val="auto"/>
          <w:sz w:val="24"/>
          <w:highlight w:val="none"/>
          <w:lang w:val="zh-CN"/>
        </w:rPr>
        <w:t>否则，经核实后，</w:t>
      </w:r>
      <w:r>
        <w:rPr>
          <w:rFonts w:hint="eastAsia" w:ascii="仿宋" w:hAnsi="仿宋" w:eastAsia="仿宋" w:cs="仿宋"/>
          <w:bCs/>
          <w:color w:val="auto"/>
          <w:sz w:val="24"/>
          <w:szCs w:val="24"/>
          <w:highlight w:val="none"/>
        </w:rPr>
        <w:t>将按前款“第五部分”中“第四章”的21.3条款之规定执行。</w:t>
      </w:r>
    </w:p>
    <w:p w14:paraId="1F05F975">
      <w:pPr>
        <w:tabs>
          <w:tab w:val="left" w:pos="8280"/>
        </w:tabs>
        <w:spacing w:line="360" w:lineRule="auto"/>
        <w:ind w:right="-1" w:firstLine="540" w:firstLineChars="225"/>
        <w:outlineLvl w:val="9"/>
        <w:rPr>
          <w:rFonts w:hint="eastAsia" w:ascii="仿宋" w:hAnsi="仿宋" w:eastAsia="仿宋" w:cs="仿宋"/>
          <w:color w:val="auto"/>
          <w:sz w:val="24"/>
          <w:highlight w:val="none"/>
          <w:lang w:val="zh-CN"/>
        </w:rPr>
      </w:pPr>
      <w:r>
        <w:rPr>
          <w:rFonts w:hint="eastAsia" w:ascii="仿宋" w:hAnsi="仿宋" w:eastAsia="仿宋" w:cs="仿宋"/>
          <w:bCs/>
          <w:color w:val="auto"/>
          <w:sz w:val="24"/>
          <w:highlight w:val="none"/>
          <w:lang w:val="zh-CN"/>
        </w:rPr>
        <w:t>2</w:t>
      </w: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zh-CN"/>
        </w:rPr>
        <w:t>.5.9.5 评标委员会</w:t>
      </w:r>
      <w:r>
        <w:rPr>
          <w:rFonts w:hint="eastAsia" w:ascii="仿宋" w:hAnsi="仿宋" w:eastAsia="仿宋" w:cs="仿宋"/>
          <w:bCs/>
          <w:color w:val="auto"/>
          <w:sz w:val="24"/>
          <w:szCs w:val="24"/>
          <w:highlight w:val="none"/>
        </w:rPr>
        <w:t>各成员</w:t>
      </w:r>
      <w:r>
        <w:rPr>
          <w:rFonts w:hint="eastAsia" w:ascii="仿宋" w:hAnsi="仿宋" w:eastAsia="仿宋" w:cs="仿宋"/>
          <w:bCs/>
          <w:color w:val="auto"/>
          <w:sz w:val="24"/>
          <w:highlight w:val="none"/>
          <w:lang w:val="zh-CN"/>
        </w:rPr>
        <w:t>要按照采购人规定格式，将每一个投</w:t>
      </w:r>
      <w:r>
        <w:rPr>
          <w:rFonts w:hint="eastAsia" w:ascii="仿宋" w:hAnsi="仿宋" w:eastAsia="仿宋" w:cs="仿宋"/>
          <w:color w:val="auto"/>
          <w:sz w:val="24"/>
          <w:highlight w:val="none"/>
          <w:lang w:val="zh-CN"/>
        </w:rPr>
        <w:t>标人的综合评审意见、打分结果、推荐理由等进行署名原始记录。</w:t>
      </w:r>
    </w:p>
    <w:p w14:paraId="04182E80">
      <w:pPr>
        <w:spacing w:line="360" w:lineRule="auto"/>
        <w:ind w:firstLine="482" w:firstLineChars="200"/>
        <w:outlineLvl w:val="9"/>
        <w:rPr>
          <w:rFonts w:hint="eastAsia" w:ascii="仿宋" w:hAnsi="仿宋" w:eastAsia="仿宋" w:cs="仿宋"/>
          <w:b/>
          <w:color w:val="auto"/>
          <w:sz w:val="32"/>
          <w:szCs w:val="32"/>
          <w:highlight w:val="none"/>
        </w:rPr>
      </w:pPr>
      <w:r>
        <w:rPr>
          <w:rFonts w:hint="eastAsia" w:ascii="仿宋" w:hAnsi="仿宋" w:eastAsia="仿宋" w:cs="仿宋"/>
          <w:b/>
          <w:color w:val="auto"/>
          <w:sz w:val="24"/>
          <w:szCs w:val="24"/>
          <w:highlight w:val="none"/>
          <w:lang w:val="zh-CN"/>
        </w:rPr>
        <w:t>2</w:t>
      </w: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zh-CN"/>
        </w:rPr>
        <w:t>.5.9.</w:t>
      </w:r>
      <w:r>
        <w:rPr>
          <w:rFonts w:hint="eastAsia" w:ascii="仿宋" w:hAnsi="仿宋" w:eastAsia="仿宋" w:cs="仿宋"/>
          <w:b/>
          <w:color w:val="auto"/>
          <w:sz w:val="24"/>
          <w:szCs w:val="24"/>
          <w:highlight w:val="none"/>
        </w:rPr>
        <w:t>6</w:t>
      </w:r>
      <w:r>
        <w:rPr>
          <w:rFonts w:hint="eastAsia" w:ascii="仿宋" w:hAnsi="仿宋" w:eastAsia="仿宋" w:cs="仿宋"/>
          <w:b/>
          <w:color w:val="auto"/>
          <w:sz w:val="24"/>
          <w:highlight w:val="none"/>
        </w:rPr>
        <w:t xml:space="preserve"> 综合评分原则</w:t>
      </w:r>
    </w:p>
    <w:p w14:paraId="2CC957D1">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仿宋" w:hAnsi="仿宋" w:eastAsia="仿宋" w:cs="仿宋"/>
          <w:bCs/>
          <w:color w:val="auto"/>
          <w:sz w:val="32"/>
          <w:szCs w:val="32"/>
          <w:highlight w:val="none"/>
        </w:rPr>
      </w:pPr>
      <w:r>
        <w:rPr>
          <w:rFonts w:hint="eastAsia" w:ascii="仿宋" w:hAnsi="仿宋" w:eastAsia="仿宋" w:cs="仿宋"/>
          <w:color w:val="auto"/>
          <w:sz w:val="24"/>
          <w:highlight w:val="none"/>
        </w:rPr>
        <w:t>1、评标委员会依据《评标（分）记录明细表》对投标文件进行比较与评价，并进行打分和汇总。</w:t>
      </w:r>
    </w:p>
    <w:p w14:paraId="277B504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2、评标委员会小组成员评标、打分时不得协商，应独立完成。</w:t>
      </w:r>
    </w:p>
    <w:p w14:paraId="49E782F6">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3、未满足招标文件要求的投标方，不予评分。</w:t>
      </w:r>
    </w:p>
    <w:p w14:paraId="70359269">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4、评标打分应当按照技术部分、商务部分、报价部分的顺序进行，打分可保留两位小数。</w:t>
      </w:r>
    </w:p>
    <w:p w14:paraId="5604ED5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5、技术、商务部分应按各小项分档打分，投标文件中各小项指标相近的，打分应属同一档次。在采购人同意的情况下，允许评标委员会小组各成员根据招标书文件部分要求的技术、功能和</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评标（分）记录明细表》表格部分的性能指标要求，可以按各投标文件（投标书和产品技术说明书）实际情况在档次打分范围内调整分值。</w:t>
      </w:r>
    </w:p>
    <w:p w14:paraId="71063A4A">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6、打分采取百分制。</w:t>
      </w:r>
    </w:p>
    <w:p w14:paraId="63E21269">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zh-CN"/>
        </w:rPr>
        <w:t>由采购代理机构核对录入和汇总计算出每一个投标人的所得分数值，</w:t>
      </w:r>
      <w:r>
        <w:rPr>
          <w:rFonts w:hint="eastAsia" w:ascii="仿宋" w:hAnsi="仿宋" w:eastAsia="仿宋" w:cs="仿宋"/>
          <w:color w:val="auto"/>
          <w:sz w:val="24"/>
          <w:szCs w:val="24"/>
          <w:highlight w:val="none"/>
        </w:rPr>
        <w:t>并由高到底排序后，须有评标委员会小组各成员署名确认。如出现得分相同的，</w:t>
      </w:r>
      <w:r>
        <w:rPr>
          <w:rFonts w:hint="eastAsia" w:ascii="仿宋" w:hAnsi="仿宋" w:eastAsia="仿宋" w:cs="仿宋"/>
          <w:color w:val="auto"/>
          <w:sz w:val="24"/>
          <w:szCs w:val="24"/>
          <w:highlight w:val="none"/>
          <w:lang w:val="zh-CN"/>
        </w:rPr>
        <w:t>应按投标人的报价由低到高顺序排列；得分且其报价相等的，则按核心技术指标优劣顺序排列。价格、技术指标的高</w:t>
      </w:r>
      <w:r>
        <w:rPr>
          <w:rFonts w:hint="eastAsia" w:ascii="仿宋" w:hAnsi="仿宋" w:eastAsia="仿宋" w:cs="仿宋"/>
          <w:color w:val="auto"/>
          <w:sz w:val="24"/>
          <w:szCs w:val="24"/>
          <w:highlight w:val="none"/>
        </w:rPr>
        <w:t>低或优劣由评标委员各成员确认评定。</w:t>
      </w:r>
    </w:p>
    <w:p w14:paraId="3868412B">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8、若发现打分有误或者有差错的，或发现存在个人印象或带有明显倾向性时，将按前款“第五部分”中“第四章”的21.3条款之规定执行。</w:t>
      </w:r>
    </w:p>
    <w:p w14:paraId="2C882192">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zh-CN"/>
        </w:rPr>
        <w:t>2</w:t>
      </w: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zh-CN"/>
        </w:rPr>
        <w:t>.5.9.8</w:t>
      </w:r>
      <w:r>
        <w:rPr>
          <w:rFonts w:hint="eastAsia" w:ascii="仿宋" w:hAnsi="仿宋" w:eastAsia="仿宋" w:cs="仿宋"/>
          <w:b/>
          <w:color w:val="auto"/>
          <w:sz w:val="24"/>
          <w:szCs w:val="24"/>
          <w:highlight w:val="none"/>
        </w:rPr>
        <w:t xml:space="preserve"> 《评标（分）记录明细表》</w:t>
      </w:r>
    </w:p>
    <w:p w14:paraId="3EC6F915">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outlineLvl w:val="9"/>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评标委员会各成员记录原则上不允许有涂改、划擦等，如有应按合规方式修正。不允许在采购代理机构核对汇总且确认之后，在未经许可时，不能再要回重新记录。</w:t>
      </w:r>
    </w:p>
    <w:p w14:paraId="4C71AA1B">
      <w:pPr>
        <w:outlineLvl w:val="9"/>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3D651190">
      <w:pPr>
        <w:pStyle w:val="36"/>
        <w:spacing w:before="0" w:after="0" w:line="360" w:lineRule="auto"/>
        <w:ind w:firstLine="0"/>
        <w:jc w:val="center"/>
        <w:outlineLvl w:val="2"/>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技术商务部分评标（分）记录明细表</w:t>
      </w:r>
    </w:p>
    <w:tbl>
      <w:tblPr>
        <w:tblStyle w:val="24"/>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305"/>
        <w:gridCol w:w="1195"/>
        <w:gridCol w:w="5477"/>
        <w:gridCol w:w="708"/>
      </w:tblGrid>
      <w:tr w14:paraId="40CAF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10" w:type="dxa"/>
            <w:shd w:val="clear" w:color="auto" w:fill="auto"/>
            <w:vAlign w:val="center"/>
          </w:tcPr>
          <w:p w14:paraId="3D285889">
            <w:pPr>
              <w:spacing w:line="360" w:lineRule="auto"/>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2500" w:type="dxa"/>
            <w:gridSpan w:val="2"/>
            <w:shd w:val="clear" w:color="auto" w:fill="auto"/>
            <w:vAlign w:val="center"/>
          </w:tcPr>
          <w:p w14:paraId="7DE576C4">
            <w:pPr>
              <w:spacing w:line="360" w:lineRule="auto"/>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评分因素</w:t>
            </w:r>
          </w:p>
        </w:tc>
        <w:tc>
          <w:tcPr>
            <w:tcW w:w="5477" w:type="dxa"/>
            <w:shd w:val="clear" w:color="auto" w:fill="auto"/>
            <w:vAlign w:val="center"/>
          </w:tcPr>
          <w:p w14:paraId="2B4F0040">
            <w:pPr>
              <w:spacing w:line="360" w:lineRule="auto"/>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评分标准</w:t>
            </w:r>
          </w:p>
        </w:tc>
        <w:tc>
          <w:tcPr>
            <w:tcW w:w="708" w:type="dxa"/>
            <w:shd w:val="clear" w:color="auto" w:fill="auto"/>
            <w:vAlign w:val="center"/>
          </w:tcPr>
          <w:p w14:paraId="0A4A0807">
            <w:pPr>
              <w:spacing w:line="360" w:lineRule="auto"/>
              <w:jc w:val="center"/>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cs="宋体"/>
                <w:b/>
                <w:bCs/>
                <w:color w:val="000000" w:themeColor="text1"/>
                <w:sz w:val="21"/>
                <w:szCs w:val="21"/>
                <w:lang w:eastAsia="zh-CN"/>
                <w14:textFill>
                  <w14:solidFill>
                    <w14:schemeClr w14:val="tx1"/>
                  </w14:solidFill>
                </w14:textFill>
              </w:rPr>
              <w:t>备注</w:t>
            </w:r>
          </w:p>
        </w:tc>
      </w:tr>
      <w:tr w14:paraId="24211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6" w:hRule="atLeast"/>
          <w:jc w:val="center"/>
        </w:trPr>
        <w:tc>
          <w:tcPr>
            <w:tcW w:w="710" w:type="dxa"/>
            <w:shd w:val="clear" w:color="auto" w:fill="auto"/>
            <w:vAlign w:val="center"/>
          </w:tcPr>
          <w:p w14:paraId="6034763B">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1305" w:type="dxa"/>
            <w:vMerge w:val="restart"/>
            <w:shd w:val="clear" w:color="auto" w:fill="auto"/>
            <w:vAlign w:val="center"/>
          </w:tcPr>
          <w:p w14:paraId="79D02F00">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商务部分</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14</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1195" w:type="dxa"/>
            <w:shd w:val="clear" w:color="auto" w:fill="auto"/>
            <w:vAlign w:val="center"/>
          </w:tcPr>
          <w:p w14:paraId="5BB7F37A">
            <w:pPr>
              <w:spacing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制造商实力（</w:t>
            </w:r>
            <w:r>
              <w:rPr>
                <w:rFonts w:hint="eastAsia" w:ascii="宋体" w:hAnsi="宋体" w:cs="宋体"/>
                <w:color w:val="000000" w:themeColor="text1"/>
                <w:sz w:val="21"/>
                <w:szCs w:val="21"/>
                <w:highlight w:val="none"/>
                <w:lang w:val="en-US" w:eastAsia="zh-CN"/>
                <w14:textFill>
                  <w14:solidFill>
                    <w14:schemeClr w14:val="tx1"/>
                  </w14:solidFill>
                </w14:textFill>
              </w:rPr>
              <w:t>10分</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5477" w:type="dxa"/>
            <w:shd w:val="clear" w:color="auto" w:fill="auto"/>
          </w:tcPr>
          <w:p w14:paraId="6736D819">
            <w:pPr>
              <w:ind w:left="270" w:hanging="315" w:hangingChars="15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1.幼儿家具生产厂家通过中国环境标志产品认证，认证范围包含但不限于：实木类家具，提供彩色扫描件得</w:t>
            </w:r>
            <w:bookmarkStart w:id="19" w:name="_GoBack"/>
            <w:bookmarkEnd w:id="19"/>
            <w:r>
              <w:rPr>
                <w:rFonts w:hint="eastAsia" w:ascii="宋体" w:hAnsi="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CN" w:bidi="ar-SA"/>
              </w:rPr>
              <w:t>分，不提供不得分。</w:t>
            </w:r>
          </w:p>
          <w:p w14:paraId="4765D6A3">
            <w:pPr>
              <w:ind w:left="270" w:hanging="315" w:hangingChars="15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2.幼儿家具生产厂家通过中国绿色产品认证，认证范围包含但不限于：木家具，提供彩色扫描件得</w:t>
            </w:r>
            <w:r>
              <w:rPr>
                <w:rFonts w:hint="eastAsia" w:ascii="宋体" w:hAnsi="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CN" w:bidi="ar-SA"/>
              </w:rPr>
              <w:t>分，不提供不得分。</w:t>
            </w:r>
          </w:p>
          <w:p w14:paraId="4211B80B">
            <w:pPr>
              <w:ind w:left="270" w:hanging="315" w:hangingChars="15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3.幼儿家具生产厂家通过中国环保认证，提供证书扫描件得</w:t>
            </w:r>
            <w:r>
              <w:rPr>
                <w:rFonts w:hint="eastAsia" w:ascii="宋体" w:hAnsi="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CN" w:bidi="ar-SA"/>
              </w:rPr>
              <w:t>分，不提供不得分。</w:t>
            </w:r>
          </w:p>
          <w:p w14:paraId="071AA608">
            <w:pPr>
              <w:ind w:left="270" w:hanging="315" w:hangingChars="15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4.幼儿家具生产厂家通过有害物质过程控制管理体系认证，提供证书扫描件</w:t>
            </w:r>
            <w:r>
              <w:rPr>
                <w:rFonts w:hint="eastAsia" w:ascii="宋体" w:hAnsi="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CN" w:bidi="ar-SA"/>
              </w:rPr>
              <w:t>分，不提供不得分。</w:t>
            </w:r>
          </w:p>
          <w:p w14:paraId="51FEBCB7">
            <w:pPr>
              <w:ind w:left="270" w:hanging="315" w:hangingChars="15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5.幼儿家具生产厂家通过ISO9001质量管理体系认证（国家认监委可查），ISO14001环境管理体系认证（国家认监委可查），ISO45001职业健康与安全管理体系认证证书（国家认监委可查），提供扫描件得</w:t>
            </w:r>
            <w:r>
              <w:rPr>
                <w:rFonts w:hint="eastAsia" w:ascii="宋体" w:hAnsi="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CN" w:bidi="ar-SA"/>
              </w:rPr>
              <w:t>分，不提供或提供不全不得分；</w:t>
            </w:r>
          </w:p>
          <w:p w14:paraId="213E3715">
            <w:pPr>
              <w:ind w:left="270" w:hanging="300" w:hangingChars="150"/>
              <w:rPr>
                <w:rFonts w:hint="eastAsia" w:ascii="宋体" w:hAnsi="宋体" w:eastAsia="宋体" w:cs="宋体"/>
                <w:sz w:val="20"/>
                <w:szCs w:val="20"/>
                <w:highlight w:val="none"/>
              </w:rPr>
            </w:pPr>
          </w:p>
          <w:p w14:paraId="2AB08C69">
            <w:pPr>
              <w:pStyle w:val="8"/>
              <w:spacing w:line="360" w:lineRule="auto"/>
              <w:ind w:left="180" w:hanging="201" w:hangingChars="100"/>
              <w:jc w:val="center"/>
              <w:rPr>
                <w:rFonts w:hint="eastAsia" w:ascii="宋体" w:hAnsi="宋体" w:eastAsia="宋体" w:cs="宋体"/>
                <w:color w:val="auto"/>
                <w:sz w:val="21"/>
                <w:szCs w:val="21"/>
                <w:highlight w:val="none"/>
                <w:lang w:val="en-US"/>
              </w:rPr>
            </w:pPr>
            <w:r>
              <w:rPr>
                <w:rFonts w:hint="eastAsia" w:ascii="宋体" w:hAnsi="宋体" w:eastAsia="宋体" w:cs="宋体"/>
                <w:b/>
                <w:bCs/>
                <w:color w:val="auto"/>
                <w:sz w:val="20"/>
                <w:szCs w:val="20"/>
                <w:highlight w:val="none"/>
                <w:lang w:val="zh-CN"/>
              </w:rPr>
              <w:t>（提供以上证明材料原件扫描件，否则不得分。）</w:t>
            </w:r>
          </w:p>
        </w:tc>
        <w:tc>
          <w:tcPr>
            <w:tcW w:w="708" w:type="dxa"/>
            <w:shd w:val="clear" w:color="auto" w:fill="auto"/>
            <w:vAlign w:val="center"/>
          </w:tcPr>
          <w:p w14:paraId="28EEA2E3">
            <w:pPr>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p>
        </w:tc>
      </w:tr>
      <w:tr w14:paraId="29E6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atLeast"/>
          <w:jc w:val="center"/>
        </w:trPr>
        <w:tc>
          <w:tcPr>
            <w:tcW w:w="710" w:type="dxa"/>
            <w:shd w:val="clear" w:color="auto" w:fill="auto"/>
            <w:vAlign w:val="center"/>
          </w:tcPr>
          <w:p w14:paraId="5110877A">
            <w:pPr>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p>
        </w:tc>
        <w:tc>
          <w:tcPr>
            <w:tcW w:w="1305" w:type="dxa"/>
            <w:vMerge w:val="continue"/>
            <w:shd w:val="clear" w:color="auto" w:fill="auto"/>
            <w:vAlign w:val="center"/>
          </w:tcPr>
          <w:p w14:paraId="0DC98730">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1195" w:type="dxa"/>
            <w:shd w:val="clear" w:color="auto" w:fill="auto"/>
            <w:vAlign w:val="center"/>
          </w:tcPr>
          <w:p w14:paraId="11F64554">
            <w:pPr>
              <w:spacing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spacing w:val="-1"/>
                <w:sz w:val="21"/>
                <w:szCs w:val="21"/>
                <w:highlight w:val="none"/>
              </w:rPr>
              <w:t>供应商类</w:t>
            </w:r>
            <w:r>
              <w:rPr>
                <w:rFonts w:hint="eastAsia"/>
                <w:spacing w:val="-1"/>
                <w:sz w:val="21"/>
                <w:szCs w:val="21"/>
                <w:highlight w:val="none"/>
                <w:lang w:val="en-US" w:eastAsia="zh-CN"/>
              </w:rPr>
              <w:t>似</w:t>
            </w:r>
            <w:r>
              <w:rPr>
                <w:spacing w:val="-1"/>
                <w:sz w:val="21"/>
                <w:szCs w:val="21"/>
                <w:highlight w:val="none"/>
              </w:rPr>
              <w:t>项目业绩</w:t>
            </w:r>
            <w:r>
              <w:rPr>
                <w:spacing w:val="-3"/>
                <w:sz w:val="21"/>
                <w:szCs w:val="21"/>
                <w:highlight w:val="none"/>
              </w:rPr>
              <w:t>情况</w:t>
            </w:r>
            <w:r>
              <w:rPr>
                <w:rFonts w:hint="eastAsia"/>
                <w:spacing w:val="-3"/>
                <w:sz w:val="21"/>
                <w:szCs w:val="21"/>
                <w:highlight w:val="none"/>
                <w:lang w:eastAsia="zh-CN"/>
              </w:rPr>
              <w:t>（</w:t>
            </w:r>
            <w:r>
              <w:rPr>
                <w:rFonts w:hint="eastAsia"/>
                <w:spacing w:val="-3"/>
                <w:sz w:val="21"/>
                <w:szCs w:val="21"/>
                <w:highlight w:val="none"/>
                <w:lang w:val="en-US" w:eastAsia="zh-CN"/>
              </w:rPr>
              <w:t>4分</w:t>
            </w:r>
            <w:r>
              <w:rPr>
                <w:rFonts w:hint="eastAsia"/>
                <w:spacing w:val="-3"/>
                <w:sz w:val="21"/>
                <w:szCs w:val="21"/>
                <w:highlight w:val="none"/>
                <w:lang w:eastAsia="zh-CN"/>
              </w:rPr>
              <w:t>）</w:t>
            </w:r>
          </w:p>
        </w:tc>
        <w:tc>
          <w:tcPr>
            <w:tcW w:w="5477" w:type="dxa"/>
            <w:shd w:val="clear" w:color="auto" w:fill="auto"/>
          </w:tcPr>
          <w:p w14:paraId="2818EFA7">
            <w:pPr>
              <w:pStyle w:val="7"/>
              <w:rPr>
                <w:rFonts w:hint="eastAsia" w:ascii="Times New Roman" w:hAnsi="Times New Roman" w:eastAsia="宋体" w:cs="Times New Roman"/>
                <w:spacing w:val="-5"/>
                <w:sz w:val="21"/>
                <w:szCs w:val="21"/>
                <w:highlight w:val="none"/>
              </w:rPr>
            </w:pPr>
            <w:r>
              <w:rPr>
                <w:rFonts w:ascii="Times New Roman" w:hAnsi="Times New Roman" w:eastAsia="宋体" w:cs="Times New Roman"/>
                <w:spacing w:val="-5"/>
                <w:sz w:val="21"/>
                <w:szCs w:val="21"/>
                <w:highlight w:val="none"/>
              </w:rPr>
              <w:t>（</w:t>
            </w:r>
            <w:r>
              <w:rPr>
                <w:rFonts w:hint="eastAsia" w:ascii="Times New Roman" w:hAnsi="Times New Roman" w:eastAsia="宋体" w:cs="Times New Roman"/>
                <w:spacing w:val="-5"/>
                <w:sz w:val="21"/>
                <w:szCs w:val="21"/>
                <w:highlight w:val="none"/>
                <w:lang w:val="en-US" w:eastAsia="zh-CN"/>
              </w:rPr>
              <w:t>一</w:t>
            </w:r>
            <w:r>
              <w:rPr>
                <w:rFonts w:ascii="Times New Roman" w:hAnsi="Times New Roman" w:eastAsia="宋体" w:cs="Times New Roman"/>
                <w:spacing w:val="-5"/>
                <w:sz w:val="21"/>
                <w:szCs w:val="21"/>
                <w:highlight w:val="none"/>
              </w:rPr>
              <w:t>）</w:t>
            </w:r>
            <w:r>
              <w:rPr>
                <w:rFonts w:hint="eastAsia" w:ascii="Times New Roman" w:hAnsi="Times New Roman" w:eastAsia="宋体" w:cs="Times New Roman"/>
                <w:spacing w:val="-5"/>
                <w:sz w:val="21"/>
                <w:szCs w:val="21"/>
                <w:highlight w:val="none"/>
              </w:rPr>
              <w:t>评审内容：</w:t>
            </w:r>
          </w:p>
          <w:p w14:paraId="5C029B3F">
            <w:pPr>
              <w:pStyle w:val="7"/>
              <w:rPr>
                <w:rFonts w:hint="eastAsia" w:ascii="Times New Roman" w:hAnsi="Times New Roman" w:eastAsia="宋体" w:cs="Times New Roman"/>
                <w:spacing w:val="-5"/>
                <w:sz w:val="21"/>
                <w:szCs w:val="21"/>
                <w:highlight w:val="none"/>
                <w:lang w:val="zh-CN"/>
              </w:rPr>
            </w:pPr>
            <w:r>
              <w:rPr>
                <w:rFonts w:hint="eastAsia" w:ascii="Times New Roman" w:hAnsi="Times New Roman" w:eastAsia="宋体" w:cs="Times New Roman"/>
                <w:spacing w:val="-5"/>
                <w:sz w:val="21"/>
                <w:szCs w:val="21"/>
                <w:highlight w:val="none"/>
                <w:lang w:val="zh-CN"/>
              </w:rPr>
              <w:t>为证明</w:t>
            </w:r>
            <w:r>
              <w:rPr>
                <w:rFonts w:hint="eastAsia" w:ascii="Times New Roman" w:hAnsi="Times New Roman" w:eastAsia="宋体" w:cs="Times New Roman"/>
                <w:spacing w:val="-5"/>
                <w:sz w:val="21"/>
                <w:szCs w:val="21"/>
                <w:highlight w:val="none"/>
              </w:rPr>
              <w:t>投标人</w:t>
            </w:r>
            <w:r>
              <w:rPr>
                <w:rFonts w:hint="eastAsia" w:ascii="Times New Roman" w:hAnsi="Times New Roman" w:eastAsia="宋体" w:cs="Times New Roman"/>
                <w:spacing w:val="-5"/>
                <w:sz w:val="21"/>
                <w:szCs w:val="21"/>
                <w:highlight w:val="none"/>
                <w:lang w:val="zh-CN"/>
              </w:rPr>
              <w:t>具有较强的项目执行能力，投标</w:t>
            </w:r>
            <w:r>
              <w:rPr>
                <w:rFonts w:hint="eastAsia" w:ascii="Times New Roman" w:hAnsi="Times New Roman" w:eastAsia="宋体" w:cs="Times New Roman"/>
                <w:spacing w:val="-5"/>
                <w:sz w:val="21"/>
                <w:szCs w:val="21"/>
                <w:highlight w:val="none"/>
              </w:rPr>
              <w:t>供应商</w:t>
            </w:r>
            <w:r>
              <w:rPr>
                <w:rFonts w:hint="eastAsia" w:ascii="Times New Roman" w:hAnsi="Times New Roman" w:eastAsia="宋体" w:cs="Times New Roman"/>
                <w:spacing w:val="-5"/>
                <w:sz w:val="21"/>
                <w:szCs w:val="21"/>
                <w:highlight w:val="none"/>
                <w:lang w:val="zh-CN"/>
              </w:rPr>
              <w:t>须提供自</w:t>
            </w:r>
            <w:r>
              <w:rPr>
                <w:rFonts w:hint="eastAsia" w:ascii="Times New Roman" w:hAnsi="Times New Roman" w:eastAsia="宋体" w:cs="Times New Roman"/>
                <w:spacing w:val="-5"/>
                <w:sz w:val="21"/>
                <w:szCs w:val="21"/>
                <w:highlight w:val="none"/>
              </w:rPr>
              <w:t>202</w:t>
            </w:r>
            <w:r>
              <w:rPr>
                <w:rFonts w:hint="eastAsia" w:cs="Times New Roman"/>
                <w:spacing w:val="-5"/>
                <w:sz w:val="21"/>
                <w:szCs w:val="21"/>
                <w:highlight w:val="none"/>
                <w:lang w:val="en-US" w:eastAsia="zh-CN"/>
              </w:rPr>
              <w:t>2</w:t>
            </w:r>
            <w:r>
              <w:rPr>
                <w:rFonts w:hint="eastAsia" w:ascii="Times New Roman" w:hAnsi="Times New Roman" w:eastAsia="宋体" w:cs="Times New Roman"/>
                <w:spacing w:val="-5"/>
                <w:sz w:val="21"/>
                <w:szCs w:val="21"/>
                <w:highlight w:val="none"/>
              </w:rPr>
              <w:t>年</w:t>
            </w:r>
            <w:r>
              <w:rPr>
                <w:rFonts w:hint="eastAsia" w:cs="Times New Roman"/>
                <w:spacing w:val="-5"/>
                <w:sz w:val="21"/>
                <w:szCs w:val="21"/>
                <w:highlight w:val="none"/>
                <w:lang w:val="en-US" w:eastAsia="zh-CN"/>
              </w:rPr>
              <w:t>6</w:t>
            </w:r>
            <w:r>
              <w:rPr>
                <w:rFonts w:hint="eastAsia" w:ascii="Times New Roman" w:hAnsi="Times New Roman" w:eastAsia="宋体" w:cs="Times New Roman"/>
                <w:spacing w:val="-5"/>
                <w:sz w:val="21"/>
                <w:szCs w:val="21"/>
                <w:highlight w:val="none"/>
              </w:rPr>
              <w:t>月1日</w:t>
            </w:r>
            <w:r>
              <w:rPr>
                <w:rFonts w:hint="eastAsia" w:ascii="Times New Roman" w:hAnsi="Times New Roman" w:eastAsia="宋体" w:cs="Times New Roman"/>
                <w:spacing w:val="-5"/>
                <w:sz w:val="21"/>
                <w:szCs w:val="21"/>
                <w:highlight w:val="none"/>
                <w:lang w:val="zh-CN"/>
              </w:rPr>
              <w:t>起至投标截止时间前，</w:t>
            </w:r>
            <w:r>
              <w:rPr>
                <w:rFonts w:hint="eastAsia" w:ascii="Times New Roman" w:hAnsi="Times New Roman" w:eastAsia="宋体" w:cs="Times New Roman"/>
                <w:spacing w:val="-5"/>
                <w:sz w:val="21"/>
                <w:szCs w:val="21"/>
                <w:highlight w:val="none"/>
              </w:rPr>
              <w:t>完成的</w:t>
            </w:r>
            <w:r>
              <w:rPr>
                <w:rFonts w:hint="eastAsia" w:ascii="Times New Roman" w:hAnsi="Times New Roman" w:eastAsia="宋体" w:cs="Times New Roman"/>
                <w:spacing w:val="-5"/>
                <w:sz w:val="21"/>
                <w:szCs w:val="21"/>
                <w:highlight w:val="none"/>
                <w:lang w:val="zh-CN"/>
              </w:rPr>
              <w:t>类似项目</w:t>
            </w:r>
            <w:r>
              <w:rPr>
                <w:rFonts w:hint="eastAsia" w:ascii="Times New Roman" w:hAnsi="Times New Roman" w:eastAsia="宋体" w:cs="Times New Roman"/>
                <w:spacing w:val="-5"/>
                <w:sz w:val="21"/>
                <w:szCs w:val="21"/>
                <w:highlight w:val="none"/>
              </w:rPr>
              <w:t>供货业绩</w:t>
            </w:r>
            <w:r>
              <w:rPr>
                <w:rFonts w:hint="eastAsia" w:ascii="Times New Roman" w:hAnsi="Times New Roman" w:eastAsia="宋体" w:cs="Times New Roman"/>
                <w:spacing w:val="-5"/>
                <w:sz w:val="21"/>
                <w:szCs w:val="21"/>
                <w:highlight w:val="none"/>
                <w:lang w:val="zh-CN"/>
              </w:rPr>
              <w:t>，证明材料包括合同或中标通知书，</w:t>
            </w:r>
            <w:r>
              <w:rPr>
                <w:rFonts w:hint="eastAsia" w:ascii="Times New Roman" w:hAnsi="Times New Roman" w:eastAsia="宋体" w:cs="Times New Roman"/>
                <w:spacing w:val="-5"/>
                <w:sz w:val="21"/>
                <w:szCs w:val="21"/>
                <w:highlight w:val="none"/>
              </w:rPr>
              <w:t>每项业绩得</w:t>
            </w:r>
            <w:r>
              <w:rPr>
                <w:rFonts w:hint="eastAsia" w:ascii="Times New Roman" w:hAnsi="Times New Roman" w:eastAsia="宋体" w:cs="Times New Roman"/>
                <w:spacing w:val="-5"/>
                <w:sz w:val="21"/>
                <w:szCs w:val="21"/>
                <w:highlight w:val="none"/>
                <w:lang w:val="en-US" w:eastAsia="zh-CN"/>
              </w:rPr>
              <w:t>2</w:t>
            </w:r>
            <w:r>
              <w:rPr>
                <w:rFonts w:hint="eastAsia" w:ascii="Times New Roman" w:hAnsi="Times New Roman" w:eastAsia="宋体" w:cs="Times New Roman"/>
                <w:spacing w:val="-5"/>
                <w:sz w:val="21"/>
                <w:szCs w:val="21"/>
                <w:highlight w:val="none"/>
              </w:rPr>
              <w:t>分，满分</w:t>
            </w:r>
            <w:r>
              <w:rPr>
                <w:rFonts w:hint="eastAsia" w:ascii="Times New Roman" w:hAnsi="Times New Roman" w:eastAsia="宋体" w:cs="Times New Roman"/>
                <w:spacing w:val="-5"/>
                <w:sz w:val="21"/>
                <w:szCs w:val="21"/>
                <w:highlight w:val="none"/>
                <w:lang w:val="en-US" w:eastAsia="zh-CN"/>
              </w:rPr>
              <w:t>4</w:t>
            </w:r>
            <w:r>
              <w:rPr>
                <w:rFonts w:hint="eastAsia" w:ascii="Times New Roman" w:hAnsi="Times New Roman" w:eastAsia="宋体" w:cs="Times New Roman"/>
                <w:spacing w:val="-5"/>
                <w:sz w:val="21"/>
                <w:szCs w:val="21"/>
                <w:highlight w:val="none"/>
                <w:lang w:val="zh-CN"/>
              </w:rPr>
              <w:t>分。</w:t>
            </w:r>
          </w:p>
          <w:p w14:paraId="0F3E2183">
            <w:pPr>
              <w:pStyle w:val="7"/>
              <w:rPr>
                <w:rFonts w:ascii="Times New Roman" w:hAnsi="Times New Roman" w:eastAsia="宋体" w:cs="Times New Roman"/>
                <w:spacing w:val="-5"/>
                <w:sz w:val="21"/>
                <w:szCs w:val="21"/>
                <w:highlight w:val="none"/>
              </w:rPr>
            </w:pPr>
            <w:r>
              <w:rPr>
                <w:rFonts w:ascii="Times New Roman" w:hAnsi="Times New Roman" w:eastAsia="宋体" w:cs="Times New Roman"/>
                <w:spacing w:val="-5"/>
                <w:sz w:val="21"/>
                <w:szCs w:val="21"/>
                <w:highlight w:val="none"/>
              </w:rPr>
              <w:t>（二）评审依据：</w:t>
            </w:r>
          </w:p>
          <w:p w14:paraId="093A09D8">
            <w:pPr>
              <w:pStyle w:val="8"/>
              <w:spacing w:line="360" w:lineRule="auto"/>
              <w:jc w:val="left"/>
              <w:rPr>
                <w:rFonts w:hint="eastAsia" w:ascii="宋体" w:hAnsi="宋体" w:eastAsia="宋体" w:cs="宋体"/>
                <w:b/>
                <w:bCs/>
                <w:color w:val="auto"/>
                <w:sz w:val="20"/>
                <w:szCs w:val="20"/>
                <w:highlight w:val="none"/>
                <w:lang w:val="zh-CN"/>
              </w:rPr>
            </w:pPr>
            <w:r>
              <w:rPr>
                <w:rFonts w:ascii="Times New Roman" w:hAnsi="Times New Roman" w:eastAsia="宋体" w:cs="Times New Roman"/>
                <w:spacing w:val="-5"/>
                <w:sz w:val="21"/>
                <w:szCs w:val="21"/>
                <w:highlight w:val="none"/>
              </w:rPr>
              <w:t>投标人须提供项目合同关键页（名称页、金额页、盖章页）或中标通知书原件扫描件，并加盖供应商公章。 未提供或提供不清晰导致无法判断的，不得分。</w:t>
            </w:r>
          </w:p>
        </w:tc>
        <w:tc>
          <w:tcPr>
            <w:tcW w:w="708" w:type="dxa"/>
            <w:shd w:val="clear" w:color="auto" w:fill="auto"/>
            <w:vAlign w:val="center"/>
          </w:tcPr>
          <w:p w14:paraId="48F4F025">
            <w:pPr>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p>
        </w:tc>
      </w:tr>
      <w:tr w14:paraId="0DAE7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2" w:hRule="atLeast"/>
          <w:jc w:val="center"/>
        </w:trPr>
        <w:tc>
          <w:tcPr>
            <w:tcW w:w="710" w:type="dxa"/>
            <w:vMerge w:val="restart"/>
            <w:shd w:val="clear" w:color="auto" w:fill="auto"/>
            <w:vAlign w:val="center"/>
          </w:tcPr>
          <w:p w14:paraId="6E10A8D5">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1305" w:type="dxa"/>
            <w:vMerge w:val="restart"/>
            <w:shd w:val="clear" w:color="auto" w:fill="auto"/>
            <w:vAlign w:val="center"/>
          </w:tcPr>
          <w:p w14:paraId="4921FF3F">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技术评分</w:t>
            </w:r>
          </w:p>
          <w:p w14:paraId="2978662C">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56</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1195" w:type="dxa"/>
            <w:shd w:val="clear" w:color="auto" w:fill="auto"/>
            <w:vAlign w:val="center"/>
          </w:tcPr>
          <w:p w14:paraId="6A16EA1C">
            <w:pPr>
              <w:pStyle w:val="30"/>
              <w:spacing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投标产品的技术响应与招标文件要求的符合程度</w:t>
            </w:r>
            <w:r>
              <w:rPr>
                <w:rFonts w:hint="eastAsia" w:hAnsi="宋体" w:cs="宋体"/>
                <w:color w:val="000000" w:themeColor="text1"/>
                <w:sz w:val="21"/>
                <w:szCs w:val="21"/>
                <w:highlight w:val="none"/>
                <w:lang w:eastAsia="zh-CN"/>
                <w14:textFill>
                  <w14:solidFill>
                    <w14:schemeClr w14:val="tx1"/>
                  </w14:solidFill>
                </w14:textFill>
              </w:rPr>
              <w:t>（</w:t>
            </w:r>
            <w:r>
              <w:rPr>
                <w:rFonts w:hint="eastAsia" w:hAnsi="宋体" w:cs="宋体"/>
                <w:color w:val="000000" w:themeColor="text1"/>
                <w:sz w:val="21"/>
                <w:szCs w:val="21"/>
                <w:highlight w:val="none"/>
                <w:lang w:val="en-US" w:eastAsia="zh-CN"/>
                <w14:textFill>
                  <w14:solidFill>
                    <w14:schemeClr w14:val="tx1"/>
                  </w14:solidFill>
                </w14:textFill>
              </w:rPr>
              <w:t>36分</w:t>
            </w:r>
            <w:r>
              <w:rPr>
                <w:rFonts w:hint="eastAsia" w:hAnsi="宋体" w:cs="宋体"/>
                <w:color w:val="000000" w:themeColor="text1"/>
                <w:sz w:val="21"/>
                <w:szCs w:val="21"/>
                <w:highlight w:val="none"/>
                <w:lang w:eastAsia="zh-CN"/>
                <w14:textFill>
                  <w14:solidFill>
                    <w14:schemeClr w14:val="tx1"/>
                  </w14:solidFill>
                </w14:textFill>
              </w:rPr>
              <w:t>）</w:t>
            </w:r>
          </w:p>
        </w:tc>
        <w:tc>
          <w:tcPr>
            <w:tcW w:w="5477" w:type="dxa"/>
            <w:shd w:val="clear" w:color="auto" w:fill="auto"/>
          </w:tcPr>
          <w:p w14:paraId="5B8B87E8">
            <w:pPr>
              <w:bidi w:val="0"/>
              <w:ind w:firstLine="420" w:firstLineChars="200"/>
              <w:rPr>
                <w:rFonts w:hint="eastAsia" w:ascii="宋体" w:hAnsi="宋体" w:eastAsia="宋体" w:cs="宋体"/>
                <w:highlight w:val="none"/>
                <w:lang w:val="zh-CN"/>
              </w:rPr>
            </w:pPr>
            <w:r>
              <w:rPr>
                <w:rFonts w:hint="eastAsia" w:ascii="宋体" w:hAnsi="宋体" w:eastAsia="宋体" w:cs="宋体"/>
                <w:highlight w:val="none"/>
                <w:lang w:val="zh-CN"/>
              </w:rPr>
              <w:t>评委会根据投标人对所投产品对技术参数及要求的响应程度进行综合评分:</w:t>
            </w:r>
          </w:p>
          <w:p w14:paraId="0C90AC40">
            <w:pPr>
              <w:numPr>
                <w:ilvl w:val="0"/>
                <w:numId w:val="5"/>
              </w:numPr>
              <w:bidi w:val="0"/>
              <w:ind w:firstLine="420" w:firstLineChars="200"/>
              <w:rPr>
                <w:rFonts w:hint="eastAsia" w:ascii="宋体" w:hAnsi="宋体" w:eastAsia="宋体" w:cs="宋体"/>
                <w:highlight w:val="none"/>
                <w:lang w:val="zh-CN"/>
              </w:rPr>
            </w:pPr>
            <w:r>
              <w:rPr>
                <w:rFonts w:hint="eastAsia" w:ascii="宋体" w:hAnsi="宋体" w:eastAsia="宋体" w:cs="宋体"/>
                <w:highlight w:val="none"/>
                <w:lang w:val="zh-CN"/>
              </w:rPr>
              <w:t>技术参数完全满足或优于招标文件中采购需求的要求，得基准分(满分)</w:t>
            </w:r>
            <w:r>
              <w:rPr>
                <w:rFonts w:hint="eastAsia" w:ascii="宋体" w:hAnsi="宋体" w:cs="宋体"/>
                <w:highlight w:val="none"/>
                <w:lang w:val="en-US" w:eastAsia="zh-CN"/>
              </w:rPr>
              <w:t>36</w:t>
            </w:r>
            <w:r>
              <w:rPr>
                <w:rFonts w:hint="eastAsia" w:ascii="宋体" w:hAnsi="宋体" w:eastAsia="宋体" w:cs="宋体"/>
                <w:highlight w:val="none"/>
                <w:lang w:val="zh-CN"/>
              </w:rPr>
              <w:t>分；</w:t>
            </w:r>
          </w:p>
          <w:p w14:paraId="69BB444C">
            <w:pPr>
              <w:numPr>
                <w:ilvl w:val="0"/>
                <w:numId w:val="5"/>
              </w:numPr>
              <w:bidi w:val="0"/>
              <w:ind w:firstLine="420" w:firstLineChars="200"/>
              <w:rPr>
                <w:rFonts w:hint="eastAsia" w:ascii="宋体" w:hAnsi="宋体" w:eastAsia="宋体" w:cs="宋体"/>
                <w:highlight w:val="none"/>
                <w:lang w:val="zh-CN"/>
              </w:rPr>
            </w:pPr>
            <w:r>
              <w:rPr>
                <w:rFonts w:hint="eastAsia" w:ascii="宋体" w:hAnsi="宋体" w:eastAsia="宋体" w:cs="宋体"/>
                <w:highlight w:val="none"/>
                <w:lang w:val="zh-CN"/>
              </w:rPr>
              <w:t>技术参数要求中的一般参数(除“★”“▲”以外)，每一项负偏离扣</w:t>
            </w:r>
            <w:r>
              <w:rPr>
                <w:rFonts w:hint="eastAsia" w:ascii="宋体" w:hAnsi="宋体" w:cs="宋体"/>
                <w:highlight w:val="none"/>
                <w:lang w:val="en-US" w:eastAsia="zh-CN"/>
              </w:rPr>
              <w:t>0.5</w:t>
            </w:r>
            <w:r>
              <w:rPr>
                <w:rFonts w:hint="eastAsia" w:ascii="宋体" w:hAnsi="宋体" w:eastAsia="宋体" w:cs="宋体"/>
                <w:highlight w:val="none"/>
                <w:lang w:val="zh-CN"/>
              </w:rPr>
              <w:t>分，扣完为止。</w:t>
            </w:r>
          </w:p>
          <w:p w14:paraId="11C5F842">
            <w:pPr>
              <w:numPr>
                <w:ilvl w:val="0"/>
                <w:numId w:val="5"/>
              </w:numPr>
              <w:bidi w:val="0"/>
              <w:ind w:left="0" w:leftChars="0" w:firstLine="420" w:firstLineChars="200"/>
              <w:rPr>
                <w:rFonts w:hint="eastAsia" w:ascii="宋体" w:hAnsi="宋体" w:eastAsia="宋体" w:cs="宋体"/>
                <w:highlight w:val="none"/>
                <w:lang w:val="zh-CN"/>
              </w:rPr>
            </w:pPr>
            <w:r>
              <w:rPr>
                <w:rFonts w:hint="eastAsia" w:ascii="宋体" w:hAnsi="宋体" w:eastAsia="宋体" w:cs="宋体"/>
                <w:highlight w:val="none"/>
                <w:lang w:val="zh-CN"/>
              </w:rPr>
              <w:t>标注“★”的产品技术参数及要求，每有一项不满足或负偏离扣2分，扣完为止。</w:t>
            </w:r>
          </w:p>
          <w:p w14:paraId="207303F6">
            <w:pPr>
              <w:numPr>
                <w:ilvl w:val="0"/>
                <w:numId w:val="5"/>
              </w:numPr>
              <w:bidi w:val="0"/>
              <w:ind w:left="0" w:leftChars="0" w:firstLine="420" w:firstLineChars="200"/>
              <w:rPr>
                <w:rFonts w:hint="eastAsia" w:ascii="宋体" w:hAnsi="宋体" w:eastAsia="宋体" w:cs="宋体"/>
                <w:highlight w:val="none"/>
                <w:lang w:val="zh-CN"/>
              </w:rPr>
            </w:pPr>
            <w:r>
              <w:rPr>
                <w:rFonts w:hint="eastAsia" w:ascii="宋体" w:hAnsi="宋体" w:eastAsia="宋体" w:cs="宋体"/>
                <w:highlight w:val="none"/>
                <w:lang w:val="zh-CN"/>
              </w:rPr>
              <w:t>标注“▲”的产品技术参数及要求，每有一项不满足或负偏离扣</w:t>
            </w:r>
            <w:r>
              <w:rPr>
                <w:rFonts w:hint="eastAsia" w:ascii="宋体" w:hAnsi="宋体" w:cs="宋体"/>
                <w:highlight w:val="none"/>
                <w:lang w:val="en-US" w:eastAsia="zh-CN"/>
              </w:rPr>
              <w:t>1</w:t>
            </w:r>
            <w:r>
              <w:rPr>
                <w:rFonts w:hint="eastAsia" w:ascii="宋体" w:hAnsi="宋体" w:eastAsia="宋体" w:cs="宋体"/>
                <w:highlight w:val="none"/>
                <w:lang w:val="zh-CN"/>
              </w:rPr>
              <w:t>分，扣完为止。</w:t>
            </w:r>
          </w:p>
          <w:p w14:paraId="231AE3A1">
            <w:pPr>
              <w:pStyle w:val="7"/>
              <w:spacing w:line="240" w:lineRule="auto"/>
              <w:rPr>
                <w:rFonts w:hint="eastAsia" w:ascii="宋体" w:hAnsi="宋体" w:eastAsia="宋体" w:cs="宋体"/>
                <w:spacing w:val="-6"/>
                <w:sz w:val="20"/>
                <w:szCs w:val="20"/>
                <w:highlight w:val="none"/>
                <w:lang w:val="zh-CN"/>
                <w14:textOutline w14:w="3831" w14:cap="flat" w14:cmpd="sng">
                  <w14:solidFill>
                    <w14:srgbClr w14:val="000000"/>
                  </w14:solidFill>
                  <w14:prstDash w14:val="solid"/>
                  <w14:miter w14:val="0"/>
                </w14:textOutline>
              </w:rPr>
            </w:pPr>
          </w:p>
          <w:p w14:paraId="1150774E">
            <w:pPr>
              <w:keepNext w:val="0"/>
              <w:keepLines w:val="0"/>
              <w:widowControl/>
              <w:suppressLineNumbers w:val="0"/>
              <w:jc w:val="left"/>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val="0"/>
                <w:bCs w:val="0"/>
                <w:spacing w:val="-6"/>
                <w:sz w:val="24"/>
                <w:szCs w:val="24"/>
                <w:highlight w:val="none"/>
                <w:lang w:val="zh-CN"/>
                <w14:textOutline w14:w="3831" w14:cap="flat" w14:cmpd="sng">
                  <w14:solidFill>
                    <w14:srgbClr w14:val="000000"/>
                  </w14:solidFill>
                  <w14:prstDash w14:val="solid"/>
                  <w14:miter w14:val="0"/>
                </w14:textOutline>
              </w:rPr>
              <w:t>说明：</w:t>
            </w:r>
            <w:r>
              <w:rPr>
                <w:rFonts w:hint="eastAsia" w:ascii="宋体" w:hAnsi="宋体" w:eastAsia="宋体" w:cs="宋体"/>
                <w:b/>
                <w:bCs/>
                <w:color w:val="000000"/>
                <w:kern w:val="0"/>
                <w:sz w:val="24"/>
                <w:szCs w:val="24"/>
                <w:highlight w:val="none"/>
                <w:lang w:val="en-US" w:eastAsia="zh-CN" w:bidi="ar"/>
              </w:rPr>
              <w:t>按照招标文件要求提供证明材料</w:t>
            </w:r>
            <w:r>
              <w:rPr>
                <w:rFonts w:hint="eastAsia" w:ascii="宋体" w:hAnsi="宋体" w:cs="宋体"/>
                <w:b/>
                <w:bCs/>
                <w:color w:val="000000"/>
                <w:kern w:val="0"/>
                <w:sz w:val="24"/>
                <w:szCs w:val="24"/>
                <w:highlight w:val="none"/>
                <w:lang w:val="en-US" w:eastAsia="zh-CN" w:bidi="ar"/>
              </w:rPr>
              <w:t>，如出现虚假应标，取消中标资格且后果由投标人自行承担。</w:t>
            </w:r>
            <w:r>
              <w:rPr>
                <w:rFonts w:hint="eastAsia" w:ascii="宋体" w:hAnsi="宋体" w:eastAsia="宋体" w:cs="宋体"/>
                <w:b w:val="0"/>
                <w:bCs w:val="0"/>
                <w:spacing w:val="-6"/>
                <w:sz w:val="24"/>
                <w:szCs w:val="24"/>
                <w:highlight w:val="none"/>
                <w:lang w:val="zh-CN"/>
                <w14:textOutline w14:w="3831" w14:cap="flat" w14:cmpd="sng">
                  <w14:solidFill>
                    <w14:srgbClr w14:val="000000"/>
                  </w14:solidFill>
                  <w14:prstDash w14:val="solid"/>
                  <w14:miter w14:val="0"/>
                </w14:textOutline>
              </w:rPr>
              <w:t>（</w:t>
            </w:r>
            <w:r>
              <w:rPr>
                <w:rFonts w:hint="eastAsia" w:ascii="宋体" w:hAnsi="宋体" w:eastAsia="宋体" w:cs="宋体"/>
                <w:b w:val="0"/>
                <w:bCs w:val="0"/>
                <w:color w:val="000000"/>
                <w:kern w:val="0"/>
                <w:sz w:val="24"/>
                <w:szCs w:val="24"/>
                <w:highlight w:val="none"/>
                <w:lang w:val="en-US" w:eastAsia="zh-CN" w:bidi="ar"/>
              </w:rPr>
              <w:t>针对一般条款的技术响应，若招标文件中有要求的应按照招标文件要求提供证明材料。</w:t>
            </w:r>
            <w:r>
              <w:rPr>
                <w:rFonts w:hint="eastAsia" w:ascii="宋体" w:hAnsi="宋体" w:eastAsia="宋体" w:cs="宋体"/>
                <w:b/>
                <w:bCs/>
                <w:color w:val="000000"/>
                <w:kern w:val="0"/>
                <w:sz w:val="24"/>
                <w:szCs w:val="24"/>
                <w:highlight w:val="none"/>
                <w:lang w:val="en-US" w:eastAsia="zh-CN" w:bidi="ar"/>
              </w:rPr>
              <w:t>）</w:t>
            </w:r>
          </w:p>
          <w:p w14:paraId="2E7A288F">
            <w:pPr>
              <w:pStyle w:val="7"/>
              <w:spacing w:line="240" w:lineRule="auto"/>
              <w:ind w:firstLine="376" w:firstLineChars="200"/>
              <w:rPr>
                <w:rFonts w:hint="eastAsia" w:ascii="宋体" w:hAnsi="宋体" w:eastAsia="宋体" w:cs="宋体"/>
                <w:spacing w:val="-6"/>
                <w:sz w:val="20"/>
                <w:szCs w:val="20"/>
                <w:highlight w:val="none"/>
                <w:lang w:val="zh-CN"/>
                <w14:textOutline w14:w="3831" w14:cap="flat" w14:cmpd="sng">
                  <w14:solidFill>
                    <w14:srgbClr w14:val="000000"/>
                  </w14:solidFill>
                  <w14:prstDash w14:val="solid"/>
                  <w14:miter w14:val="0"/>
                </w14:textOutline>
              </w:rPr>
            </w:pPr>
          </w:p>
        </w:tc>
        <w:tc>
          <w:tcPr>
            <w:tcW w:w="708" w:type="dxa"/>
            <w:shd w:val="clear" w:color="auto" w:fill="auto"/>
            <w:vAlign w:val="center"/>
          </w:tcPr>
          <w:p w14:paraId="7028D154">
            <w:pPr>
              <w:spacing w:line="360" w:lineRule="auto"/>
              <w:jc w:val="center"/>
              <w:rPr>
                <w:rFonts w:hint="eastAsia" w:ascii="宋体" w:hAnsi="宋体" w:eastAsia="宋体" w:cs="宋体"/>
                <w:b/>
                <w:bCs/>
                <w:color w:val="000000" w:themeColor="text1"/>
                <w:sz w:val="21"/>
                <w:szCs w:val="21"/>
                <w:lang w:val="en-US" w:eastAsia="zh-CN"/>
                <w14:textFill>
                  <w14:solidFill>
                    <w14:schemeClr w14:val="tx1"/>
                  </w14:solidFill>
                </w14:textFill>
              </w:rPr>
            </w:pPr>
          </w:p>
        </w:tc>
      </w:tr>
      <w:tr w14:paraId="5223A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shd w:val="clear" w:color="auto" w:fill="auto"/>
            <w:vAlign w:val="center"/>
          </w:tcPr>
          <w:p w14:paraId="76C6E8CA">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shd w:val="clear" w:color="auto" w:fill="auto"/>
          </w:tcPr>
          <w:p w14:paraId="755B8A86">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1195" w:type="dxa"/>
            <w:shd w:val="clear" w:color="auto" w:fill="auto"/>
            <w:vAlign w:val="center"/>
          </w:tcPr>
          <w:p w14:paraId="4813653E">
            <w:pPr>
              <w:spacing w:line="360" w:lineRule="auto"/>
              <w:jc w:val="center"/>
              <w:rPr>
                <w:rFonts w:hint="eastAsia" w:ascii="宋体" w:hAnsi="宋体" w:eastAsia="宋体" w:cs="宋体"/>
                <w:color w:val="000000" w:themeColor="text1"/>
                <w:sz w:val="21"/>
                <w:szCs w:val="21"/>
                <w:highlight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lang w:val="zh-CN" w:bidi="zh-CN"/>
                <w14:textFill>
                  <w14:solidFill>
                    <w14:schemeClr w14:val="tx1"/>
                  </w14:solidFill>
                </w14:textFill>
              </w:rPr>
              <w:t>售后服务方案（</w:t>
            </w:r>
            <w:r>
              <w:rPr>
                <w:rFonts w:hint="eastAsia" w:ascii="宋体" w:hAnsi="宋体" w:cs="宋体"/>
                <w:color w:val="000000" w:themeColor="text1"/>
                <w:sz w:val="21"/>
                <w:szCs w:val="21"/>
                <w:highlight w:val="none"/>
                <w:lang w:val="en-US" w:bidi="zh-CN"/>
                <w14:textFill>
                  <w14:solidFill>
                    <w14:schemeClr w14:val="tx1"/>
                  </w14:solidFill>
                </w14:textFill>
              </w:rPr>
              <w:t>5</w:t>
            </w:r>
            <w:r>
              <w:rPr>
                <w:rFonts w:hint="eastAsia" w:ascii="宋体" w:hAnsi="宋体" w:eastAsia="宋体" w:cs="宋体"/>
                <w:color w:val="000000" w:themeColor="text1"/>
                <w:sz w:val="21"/>
                <w:szCs w:val="21"/>
                <w:highlight w:val="none"/>
                <w:lang w:val="en-US" w:bidi="zh-CN"/>
                <w14:textFill>
                  <w14:solidFill>
                    <w14:schemeClr w14:val="tx1"/>
                  </w14:solidFill>
                </w14:textFill>
              </w:rPr>
              <w:t>分</w:t>
            </w:r>
            <w:r>
              <w:rPr>
                <w:rFonts w:hint="eastAsia" w:ascii="宋体" w:hAnsi="宋体" w:eastAsia="宋体" w:cs="宋体"/>
                <w:color w:val="000000" w:themeColor="text1"/>
                <w:sz w:val="21"/>
                <w:szCs w:val="21"/>
                <w:highlight w:val="none"/>
                <w:lang w:val="zh-CN" w:bidi="zh-CN"/>
                <w14:textFill>
                  <w14:solidFill>
                    <w14:schemeClr w14:val="tx1"/>
                  </w14:solidFill>
                </w14:textFill>
              </w:rPr>
              <w:t>）</w:t>
            </w:r>
          </w:p>
        </w:tc>
        <w:tc>
          <w:tcPr>
            <w:tcW w:w="5477" w:type="dxa"/>
            <w:shd w:val="clear" w:color="auto" w:fill="auto"/>
          </w:tcPr>
          <w:p w14:paraId="200A9031">
            <w:pPr>
              <w:wordWrap w:val="0"/>
              <w:rPr>
                <w:rFonts w:hint="eastAsia"/>
                <w:b w:val="0"/>
                <w:bCs w:val="0"/>
                <w:highlight w:val="none"/>
              </w:rPr>
            </w:pPr>
            <w:r>
              <w:rPr>
                <w:rFonts w:hint="eastAsia"/>
                <w:b w:val="0"/>
                <w:bCs w:val="0"/>
                <w:highlight w:val="none"/>
              </w:rPr>
              <w:t>（一）评审内容：</w:t>
            </w:r>
          </w:p>
          <w:p w14:paraId="4C0B5273">
            <w:pPr>
              <w:wordWrap w:val="0"/>
              <w:rPr>
                <w:rFonts w:hint="eastAsia"/>
                <w:b w:val="0"/>
                <w:bCs w:val="0"/>
                <w:highlight w:val="none"/>
              </w:rPr>
            </w:pPr>
            <w:r>
              <w:rPr>
                <w:rFonts w:hint="eastAsia"/>
                <w:b w:val="0"/>
                <w:bCs w:val="0"/>
                <w:highlight w:val="none"/>
              </w:rPr>
              <w:t>售后保障方案应详细说明售后服务内容，包括但不仅限于①保修措施②售后保障方案③服务响应时间、④应急处理等售后计划⑤</w:t>
            </w:r>
            <w:r>
              <w:rPr>
                <w:rFonts w:hint="eastAsia" w:ascii="宋体" w:hAnsi="宋体" w:eastAsia="宋体" w:cs="宋体"/>
                <w:b w:val="0"/>
                <w:bCs w:val="0"/>
                <w:snapToGrid/>
                <w:kern w:val="2"/>
                <w:sz w:val="21"/>
                <w:szCs w:val="21"/>
                <w:highlight w:val="none"/>
                <w:lang w:val="en-US" w:eastAsia="zh-CN"/>
              </w:rPr>
              <w:t>备品备件及退换货服务</w:t>
            </w:r>
            <w:r>
              <w:rPr>
                <w:rFonts w:hint="eastAsia" w:ascii="宋体" w:hAnsi="宋体" w:eastAsia="宋体" w:cs="宋体"/>
                <w:b w:val="0"/>
                <w:bCs w:val="0"/>
                <w:snapToGrid/>
                <w:kern w:val="2"/>
                <w:sz w:val="21"/>
                <w:szCs w:val="21"/>
                <w:highlight w:val="none"/>
              </w:rPr>
              <w:t>等情况进行评价</w:t>
            </w:r>
            <w:r>
              <w:rPr>
                <w:rFonts w:hint="eastAsia"/>
                <w:b w:val="0"/>
                <w:bCs w:val="0"/>
                <w:highlight w:val="none"/>
              </w:rPr>
              <w:t>。</w:t>
            </w:r>
            <w:r>
              <w:rPr>
                <w:rFonts w:hint="eastAsia" w:ascii="Times New Roman" w:hAnsi="Times New Roman" w:eastAsia="宋体"/>
                <w:b w:val="0"/>
                <w:bCs w:val="0"/>
                <w:sz w:val="21"/>
                <w:szCs w:val="21"/>
                <w:highlight w:val="none"/>
              </w:rPr>
              <w:t>（二）评分标准：评审专家对投标供应商提供的上述方案进行评价与比较，并根据缺陷程度，给予综合评价：</w:t>
            </w:r>
          </w:p>
          <w:p w14:paraId="139A7398">
            <w:pPr>
              <w:wordWrap w:val="0"/>
              <w:ind w:firstLine="210" w:firstLineChars="100"/>
              <w:rPr>
                <w:rFonts w:hint="eastAsia"/>
                <w:b w:val="0"/>
                <w:bCs w:val="0"/>
                <w:highlight w:val="none"/>
              </w:rPr>
            </w:pPr>
            <w:r>
              <w:rPr>
                <w:rFonts w:hint="eastAsia"/>
                <w:b w:val="0"/>
                <w:bCs w:val="0"/>
                <w:highlight w:val="none"/>
              </w:rPr>
              <w:t>1.无缺陷，</w:t>
            </w:r>
            <w:r>
              <w:rPr>
                <w:rFonts w:hint="eastAsia"/>
                <w:b w:val="0"/>
                <w:bCs w:val="0"/>
                <w:highlight w:val="none"/>
                <w:lang w:eastAsia="zh-CN"/>
              </w:rPr>
              <w:t>全部满足</w:t>
            </w:r>
            <w:r>
              <w:rPr>
                <w:rFonts w:hint="eastAsia"/>
                <w:b w:val="0"/>
                <w:bCs w:val="0"/>
                <w:highlight w:val="none"/>
              </w:rPr>
              <w:t>，得</w:t>
            </w:r>
            <w:r>
              <w:rPr>
                <w:rFonts w:hint="eastAsia"/>
                <w:b w:val="0"/>
                <w:bCs w:val="0"/>
                <w:highlight w:val="none"/>
                <w:lang w:val="en-US" w:eastAsia="zh-CN"/>
              </w:rPr>
              <w:t>5</w:t>
            </w:r>
            <w:r>
              <w:rPr>
                <w:rFonts w:hint="eastAsia"/>
                <w:b w:val="0"/>
                <w:bCs w:val="0"/>
                <w:highlight w:val="none"/>
              </w:rPr>
              <w:t>分；</w:t>
            </w:r>
          </w:p>
          <w:p w14:paraId="2F6C25E5">
            <w:pPr>
              <w:wordWrap w:val="0"/>
              <w:ind w:firstLine="210" w:firstLineChars="100"/>
              <w:rPr>
                <w:rFonts w:hint="eastAsia" w:eastAsia="宋体"/>
                <w:b w:val="0"/>
                <w:bCs w:val="0"/>
                <w:highlight w:val="none"/>
                <w:lang w:eastAsia="zh-CN"/>
              </w:rPr>
            </w:pPr>
            <w:r>
              <w:rPr>
                <w:rFonts w:hint="eastAsia"/>
                <w:b w:val="0"/>
                <w:bCs w:val="0"/>
                <w:highlight w:val="none"/>
              </w:rPr>
              <w:t>2.存在1项缺陷，</w:t>
            </w:r>
            <w:r>
              <w:rPr>
                <w:rFonts w:hint="eastAsia"/>
                <w:b w:val="0"/>
                <w:bCs w:val="0"/>
                <w:highlight w:val="none"/>
                <w:lang w:eastAsia="zh-CN"/>
              </w:rPr>
              <w:t>扣</w:t>
            </w:r>
            <w:r>
              <w:rPr>
                <w:rFonts w:hint="eastAsia"/>
                <w:b w:val="0"/>
                <w:bCs w:val="0"/>
                <w:highlight w:val="none"/>
                <w:lang w:val="en-US" w:eastAsia="zh-CN"/>
              </w:rPr>
              <w:t>1</w:t>
            </w:r>
            <w:r>
              <w:rPr>
                <w:rFonts w:hint="eastAsia"/>
                <w:b w:val="0"/>
                <w:bCs w:val="0"/>
                <w:highlight w:val="none"/>
              </w:rPr>
              <w:t>分；</w:t>
            </w:r>
            <w:r>
              <w:rPr>
                <w:rFonts w:hint="eastAsia"/>
                <w:b w:val="0"/>
                <w:bCs w:val="0"/>
                <w:highlight w:val="none"/>
                <w:lang w:eastAsia="zh-CN"/>
              </w:rPr>
              <w:t>扣完为止</w:t>
            </w:r>
          </w:p>
          <w:p w14:paraId="2B8138AA">
            <w:pPr>
              <w:wordWrap w:val="0"/>
              <w:ind w:firstLine="210" w:firstLineChars="100"/>
              <w:rPr>
                <w:rFonts w:hint="eastAsia" w:ascii="宋体" w:hAnsi="宋体" w:eastAsia="宋体" w:cs="宋体"/>
                <w:color w:val="000000" w:themeColor="text1"/>
                <w:sz w:val="20"/>
                <w:szCs w:val="20"/>
                <w:highlight w:val="none"/>
                <w14:textFill>
                  <w14:solidFill>
                    <w14:schemeClr w14:val="tx1"/>
                  </w14:solidFill>
                </w14:textFill>
              </w:rPr>
            </w:pPr>
            <w:r>
              <w:rPr>
                <w:rFonts w:hint="eastAsia"/>
                <w:b w:val="0"/>
                <w:bCs w:val="0"/>
                <w:highlight w:val="none"/>
              </w:rPr>
              <w:t>未提供售后服务保障方案</w:t>
            </w:r>
            <w:r>
              <w:rPr>
                <w:rFonts w:hint="eastAsia"/>
                <w:b w:val="0"/>
                <w:bCs w:val="0"/>
                <w:highlight w:val="none"/>
                <w:lang w:eastAsia="zh-CN"/>
              </w:rPr>
              <w:t>不得分</w:t>
            </w:r>
            <w:r>
              <w:rPr>
                <w:rFonts w:hint="eastAsia"/>
                <w:b w:val="0"/>
                <w:bCs w:val="0"/>
                <w:highlight w:val="none"/>
              </w:rPr>
              <w:t>。</w:t>
            </w:r>
          </w:p>
        </w:tc>
        <w:tc>
          <w:tcPr>
            <w:tcW w:w="708" w:type="dxa"/>
            <w:shd w:val="clear" w:color="auto" w:fill="auto"/>
            <w:vAlign w:val="center"/>
          </w:tcPr>
          <w:p w14:paraId="2ECBC244">
            <w:pPr>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p>
        </w:tc>
      </w:tr>
      <w:tr w14:paraId="1CD4C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shd w:val="clear" w:color="auto" w:fill="auto"/>
            <w:vAlign w:val="center"/>
          </w:tcPr>
          <w:p w14:paraId="2AD2C608">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shd w:val="clear" w:color="auto" w:fill="auto"/>
          </w:tcPr>
          <w:p w14:paraId="66DFA834">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1195" w:type="dxa"/>
            <w:shd w:val="clear" w:color="auto" w:fill="auto"/>
            <w:vAlign w:val="center"/>
          </w:tcPr>
          <w:p w14:paraId="4EED2188">
            <w:pPr>
              <w:spacing w:line="360" w:lineRule="auto"/>
              <w:jc w:val="center"/>
              <w:rPr>
                <w:rFonts w:hint="eastAsia" w:ascii="宋体" w:hAnsi="宋体" w:eastAsia="宋体" w:cs="宋体"/>
                <w:sz w:val="21"/>
                <w:szCs w:val="21"/>
                <w:highlight w:val="none"/>
              </w:rPr>
            </w:pPr>
          </w:p>
          <w:p w14:paraId="7964364A">
            <w:pPr>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供货安装</w:t>
            </w:r>
          </w:p>
          <w:p w14:paraId="2B87AA14">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lang w:eastAsia="zh-CN"/>
              </w:rPr>
              <w:t>方案（</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eastAsia="zh-CN"/>
              </w:rPr>
              <w:t>）</w:t>
            </w:r>
          </w:p>
        </w:tc>
        <w:tc>
          <w:tcPr>
            <w:tcW w:w="5477" w:type="dxa"/>
            <w:shd w:val="clear" w:color="auto" w:fill="auto"/>
            <w:vAlign w:val="top"/>
          </w:tcPr>
          <w:p w14:paraId="4A557FCB">
            <w:pPr>
              <w:tabs>
                <w:tab w:val="left" w:pos="2869"/>
                <w:tab w:val="left" w:pos="3010"/>
              </w:tabs>
              <w:rPr>
                <w:rFonts w:hint="eastAsia" w:ascii="宋体" w:hAnsi="宋体" w:cs="宋体"/>
                <w:b w:val="0"/>
                <w:bCs/>
                <w:highlight w:val="none"/>
              </w:rPr>
            </w:pPr>
            <w:r>
              <w:rPr>
                <w:rFonts w:hint="eastAsia" w:ascii="宋体" w:hAnsi="宋体" w:cs="宋体"/>
                <w:b w:val="0"/>
                <w:bCs/>
                <w:highlight w:val="none"/>
              </w:rPr>
              <w:t>（一）评审内容：投标人根据本项目制定详细的供货保障方案 ，包含但不限于：</w:t>
            </w:r>
          </w:p>
          <w:p w14:paraId="7F482660">
            <w:pPr>
              <w:wordWrap w:val="0"/>
              <w:rPr>
                <w:rFonts w:hint="eastAsia" w:ascii="宋体" w:hAnsi="宋体" w:cs="宋体"/>
                <w:b w:val="0"/>
                <w:bCs/>
                <w:highlight w:val="none"/>
              </w:rPr>
            </w:pPr>
            <w:r>
              <w:rPr>
                <w:rFonts w:hint="eastAsia" w:ascii="宋体" w:hAnsi="宋体" w:cs="宋体"/>
                <w:b w:val="0"/>
                <w:bCs/>
                <w:highlight w:val="none"/>
              </w:rPr>
              <w:t>（1）供货保障措施；</w:t>
            </w:r>
          </w:p>
          <w:p w14:paraId="6424DEB0">
            <w:pPr>
              <w:wordWrap w:val="0"/>
              <w:rPr>
                <w:rFonts w:hint="eastAsia" w:ascii="宋体" w:hAnsi="宋体" w:cs="宋体"/>
                <w:b w:val="0"/>
                <w:bCs/>
                <w:highlight w:val="none"/>
              </w:rPr>
            </w:pPr>
            <w:r>
              <w:rPr>
                <w:rFonts w:hint="eastAsia" w:ascii="宋体" w:hAnsi="宋体" w:cs="宋体"/>
                <w:b w:val="0"/>
                <w:bCs/>
                <w:highlight w:val="none"/>
              </w:rPr>
              <w:t>（2）质量管控方案；</w:t>
            </w:r>
          </w:p>
          <w:p w14:paraId="48F356C9">
            <w:pPr>
              <w:wordWrap w:val="0"/>
              <w:rPr>
                <w:rFonts w:hint="eastAsia" w:ascii="宋体" w:hAnsi="宋体" w:eastAsia="宋体" w:cs="宋体"/>
                <w:b w:val="0"/>
                <w:bCs/>
                <w:highlight w:val="none"/>
                <w:lang w:eastAsia="zh-CN"/>
              </w:rPr>
            </w:pPr>
            <w:r>
              <w:rPr>
                <w:rFonts w:hint="eastAsia" w:ascii="宋体" w:hAnsi="宋体" w:eastAsia="宋体" w:cs="宋体"/>
                <w:b w:val="0"/>
                <w:bCs/>
                <w:highlight w:val="none"/>
                <w:lang w:eastAsia="zh-CN"/>
              </w:rPr>
              <w:t>（</w:t>
            </w:r>
            <w:r>
              <w:rPr>
                <w:rFonts w:hint="eastAsia" w:ascii="宋体" w:hAnsi="宋体" w:eastAsia="宋体" w:cs="宋体"/>
                <w:b w:val="0"/>
                <w:bCs/>
                <w:highlight w:val="none"/>
                <w:lang w:val="en-US" w:eastAsia="zh-CN"/>
              </w:rPr>
              <w:t>3</w:t>
            </w:r>
            <w:r>
              <w:rPr>
                <w:rFonts w:hint="eastAsia" w:ascii="宋体" w:hAnsi="宋体" w:eastAsia="宋体" w:cs="宋体"/>
                <w:b w:val="0"/>
                <w:bCs/>
                <w:highlight w:val="none"/>
                <w:lang w:eastAsia="zh-CN"/>
              </w:rPr>
              <w:t>）</w:t>
            </w:r>
            <w:r>
              <w:rPr>
                <w:rFonts w:hint="eastAsia" w:ascii="宋体" w:hAnsi="宋体" w:eastAsia="宋体" w:cs="宋体"/>
                <w:b w:val="0"/>
                <w:bCs/>
                <w:highlight w:val="none"/>
              </w:rPr>
              <w:t>实施计划</w:t>
            </w:r>
            <w:r>
              <w:rPr>
                <w:rFonts w:hint="eastAsia" w:ascii="宋体" w:hAnsi="宋体" w:eastAsia="宋体" w:cs="宋体"/>
                <w:b w:val="0"/>
                <w:bCs/>
                <w:highlight w:val="none"/>
                <w:lang w:eastAsia="zh-CN"/>
              </w:rPr>
              <w:t>；</w:t>
            </w:r>
          </w:p>
          <w:p w14:paraId="59240B3D">
            <w:pPr>
              <w:wordWrap w:val="0"/>
              <w:rPr>
                <w:rFonts w:hint="eastAsia" w:ascii="宋体" w:hAnsi="宋体" w:eastAsia="宋体" w:cs="宋体"/>
                <w:b w:val="0"/>
                <w:bCs/>
                <w:highlight w:val="none"/>
              </w:rPr>
            </w:pPr>
            <w:r>
              <w:rPr>
                <w:rFonts w:hint="eastAsia" w:ascii="宋体" w:hAnsi="宋体" w:eastAsia="宋体" w:cs="宋体"/>
                <w:b w:val="0"/>
                <w:bCs/>
                <w:highlight w:val="none"/>
              </w:rPr>
              <w:t>（</w:t>
            </w:r>
            <w:r>
              <w:rPr>
                <w:rFonts w:hint="eastAsia" w:ascii="宋体" w:hAnsi="宋体" w:eastAsia="宋体" w:cs="宋体"/>
                <w:b w:val="0"/>
                <w:bCs/>
                <w:highlight w:val="none"/>
                <w:lang w:val="en-US" w:eastAsia="zh-CN"/>
              </w:rPr>
              <w:t>4</w:t>
            </w:r>
            <w:r>
              <w:rPr>
                <w:rFonts w:hint="eastAsia" w:ascii="宋体" w:hAnsi="宋体" w:eastAsia="宋体" w:cs="宋体"/>
                <w:b w:val="0"/>
                <w:bCs/>
                <w:highlight w:val="none"/>
              </w:rPr>
              <w:t>）供货进度安排；</w:t>
            </w:r>
          </w:p>
          <w:p w14:paraId="4ED281A9">
            <w:pPr>
              <w:wordWrap w:val="0"/>
              <w:rPr>
                <w:rFonts w:hint="eastAsia" w:ascii="宋体" w:hAnsi="宋体" w:eastAsia="宋体" w:cs="宋体"/>
                <w:b w:val="0"/>
                <w:bCs/>
                <w:highlight w:val="none"/>
              </w:rPr>
            </w:pPr>
            <w:r>
              <w:rPr>
                <w:rFonts w:hint="eastAsia" w:ascii="宋体" w:hAnsi="宋体" w:eastAsia="宋体" w:cs="宋体"/>
                <w:b w:val="0"/>
                <w:bCs/>
                <w:highlight w:val="none"/>
              </w:rPr>
              <w:t>（</w:t>
            </w:r>
            <w:r>
              <w:rPr>
                <w:rFonts w:hint="eastAsia" w:ascii="宋体" w:hAnsi="宋体" w:eastAsia="宋体" w:cs="宋体"/>
                <w:b w:val="0"/>
                <w:bCs/>
                <w:highlight w:val="none"/>
                <w:lang w:val="en-US" w:eastAsia="zh-CN"/>
              </w:rPr>
              <w:t>5</w:t>
            </w:r>
            <w:r>
              <w:rPr>
                <w:rFonts w:hint="eastAsia" w:ascii="宋体" w:hAnsi="宋体" w:eastAsia="宋体" w:cs="宋体"/>
                <w:b w:val="0"/>
                <w:bCs/>
                <w:highlight w:val="none"/>
              </w:rPr>
              <w:t>）</w:t>
            </w:r>
            <w:r>
              <w:rPr>
                <w:rFonts w:hint="eastAsia" w:ascii="宋体" w:hAnsi="宋体" w:eastAsia="宋体" w:cs="宋体"/>
                <w:b w:val="0"/>
                <w:bCs/>
                <w:snapToGrid/>
                <w:kern w:val="2"/>
                <w:sz w:val="21"/>
                <w:szCs w:val="21"/>
                <w:highlight w:val="none"/>
              </w:rPr>
              <w:t>安装难点及关键点</w:t>
            </w:r>
            <w:r>
              <w:rPr>
                <w:rFonts w:hint="eastAsia" w:ascii="宋体" w:hAnsi="宋体" w:eastAsia="宋体" w:cs="宋体"/>
                <w:b w:val="0"/>
                <w:bCs/>
                <w:highlight w:val="none"/>
              </w:rPr>
              <w:t>；</w:t>
            </w:r>
          </w:p>
          <w:p w14:paraId="57EBE4BA">
            <w:pPr>
              <w:wordWrap w:val="0"/>
              <w:rPr>
                <w:rFonts w:hint="eastAsia" w:ascii="宋体" w:hAnsi="宋体" w:eastAsia="宋体" w:cs="宋体"/>
                <w:b w:val="0"/>
                <w:bCs/>
                <w:highlight w:val="none"/>
              </w:rPr>
            </w:pPr>
            <w:r>
              <w:rPr>
                <w:rFonts w:hint="eastAsia" w:ascii="宋体" w:hAnsi="宋体" w:eastAsia="宋体" w:cs="宋体"/>
                <w:b w:val="0"/>
                <w:bCs/>
                <w:highlight w:val="none"/>
              </w:rPr>
              <w:t>（</w:t>
            </w:r>
            <w:r>
              <w:rPr>
                <w:rFonts w:hint="eastAsia" w:ascii="宋体" w:hAnsi="宋体" w:eastAsia="宋体" w:cs="宋体"/>
                <w:b w:val="0"/>
                <w:bCs/>
                <w:highlight w:val="none"/>
                <w:lang w:val="en-US" w:eastAsia="zh-CN"/>
              </w:rPr>
              <w:t>6</w:t>
            </w:r>
            <w:r>
              <w:rPr>
                <w:rFonts w:hint="eastAsia" w:ascii="宋体" w:hAnsi="宋体" w:eastAsia="宋体" w:cs="宋体"/>
                <w:b w:val="0"/>
                <w:bCs/>
                <w:highlight w:val="none"/>
              </w:rPr>
              <w:t>）运输安排等；</w:t>
            </w:r>
          </w:p>
          <w:p w14:paraId="4C3D70C0">
            <w:pPr>
              <w:wordWrap w:val="0"/>
              <w:rPr>
                <w:rFonts w:hint="eastAsia" w:ascii="宋体" w:hAnsi="宋体" w:eastAsia="宋体" w:cs="宋体"/>
                <w:b w:val="0"/>
                <w:bCs/>
                <w:highlight w:val="none"/>
              </w:rPr>
            </w:pPr>
            <w:r>
              <w:rPr>
                <w:rFonts w:hint="eastAsia" w:ascii="宋体" w:hAnsi="宋体" w:eastAsia="宋体" w:cs="宋体"/>
                <w:b w:val="0"/>
                <w:bCs/>
                <w:highlight w:val="none"/>
                <w:lang w:eastAsia="zh-CN"/>
              </w:rPr>
              <w:t>（</w:t>
            </w:r>
            <w:r>
              <w:rPr>
                <w:rFonts w:hint="eastAsia" w:ascii="宋体" w:hAnsi="宋体" w:eastAsia="宋体" w:cs="宋体"/>
                <w:b w:val="0"/>
                <w:bCs/>
                <w:highlight w:val="none"/>
                <w:lang w:val="en-US" w:eastAsia="zh-CN"/>
              </w:rPr>
              <w:t>7</w:t>
            </w:r>
            <w:r>
              <w:rPr>
                <w:rFonts w:hint="eastAsia" w:ascii="宋体" w:hAnsi="宋体" w:eastAsia="宋体" w:cs="宋体"/>
                <w:b w:val="0"/>
                <w:bCs/>
                <w:highlight w:val="none"/>
                <w:lang w:eastAsia="zh-CN"/>
              </w:rPr>
              <w:t>）</w:t>
            </w:r>
            <w:r>
              <w:rPr>
                <w:rFonts w:hint="eastAsia" w:ascii="宋体" w:hAnsi="宋体" w:eastAsia="宋体" w:cs="宋体"/>
                <w:b w:val="0"/>
                <w:bCs/>
                <w:highlight w:val="none"/>
              </w:rPr>
              <w:t>验收方案等</w:t>
            </w:r>
          </w:p>
          <w:p w14:paraId="66843163">
            <w:pPr>
              <w:wordWrap w:val="0"/>
              <w:rPr>
                <w:b w:val="0"/>
                <w:bCs/>
                <w:highlight w:val="none"/>
              </w:rPr>
            </w:pPr>
            <w:r>
              <w:rPr>
                <w:rFonts w:hint="eastAsia"/>
                <w:b w:val="0"/>
                <w:bCs/>
                <w:highlight w:val="none"/>
              </w:rPr>
              <w:t>（二）评分标准：评审专家对投标供应商提供的上述方案进行评价与比较</w:t>
            </w:r>
            <w:r>
              <w:rPr>
                <w:b w:val="0"/>
                <w:bCs/>
                <w:highlight w:val="none"/>
                <w:lang w:val="zh-CN"/>
              </w:rPr>
              <w:t>，</w:t>
            </w:r>
            <w:r>
              <w:rPr>
                <w:rFonts w:hint="eastAsia"/>
                <w:b w:val="0"/>
                <w:bCs/>
                <w:highlight w:val="none"/>
              </w:rPr>
              <w:t>并根据缺陷程度，给予综合评价：</w:t>
            </w:r>
          </w:p>
          <w:p w14:paraId="3621A111">
            <w:pPr>
              <w:wordWrap w:val="0"/>
              <w:rPr>
                <w:rFonts w:hint="eastAsia"/>
                <w:b w:val="0"/>
                <w:bCs/>
                <w:highlight w:val="none"/>
              </w:rPr>
            </w:pPr>
            <w:r>
              <w:rPr>
                <w:rFonts w:hint="eastAsia"/>
                <w:b w:val="0"/>
                <w:bCs/>
                <w:highlight w:val="none"/>
                <w:lang w:val="en-US" w:eastAsia="zh-CN"/>
              </w:rPr>
              <w:t>1.</w:t>
            </w:r>
            <w:r>
              <w:rPr>
                <w:rFonts w:hint="eastAsia"/>
                <w:b w:val="0"/>
                <w:bCs/>
                <w:highlight w:val="none"/>
              </w:rPr>
              <w:t>无缺陷，</w:t>
            </w:r>
            <w:r>
              <w:rPr>
                <w:rFonts w:hint="eastAsia"/>
                <w:b w:val="0"/>
                <w:bCs w:val="0"/>
                <w:highlight w:val="none"/>
                <w:lang w:eastAsia="zh-CN"/>
              </w:rPr>
              <w:t>全部满足</w:t>
            </w:r>
            <w:r>
              <w:rPr>
                <w:rFonts w:hint="eastAsia"/>
                <w:b w:val="0"/>
                <w:bCs/>
                <w:highlight w:val="none"/>
              </w:rPr>
              <w:t>，得</w:t>
            </w:r>
            <w:r>
              <w:rPr>
                <w:rFonts w:hint="eastAsia"/>
                <w:b w:val="0"/>
                <w:bCs/>
                <w:highlight w:val="none"/>
                <w:lang w:val="en-US" w:eastAsia="zh-CN"/>
              </w:rPr>
              <w:t>7</w:t>
            </w:r>
            <w:r>
              <w:rPr>
                <w:rFonts w:hint="eastAsia"/>
                <w:b w:val="0"/>
                <w:bCs/>
                <w:highlight w:val="none"/>
              </w:rPr>
              <w:t>分；</w:t>
            </w:r>
          </w:p>
          <w:p w14:paraId="0362CC48">
            <w:pPr>
              <w:wordWrap w:val="0"/>
              <w:rPr>
                <w:rFonts w:hint="eastAsia" w:eastAsia="宋体"/>
                <w:b w:val="0"/>
                <w:bCs w:val="0"/>
                <w:highlight w:val="none"/>
                <w:lang w:eastAsia="zh-CN"/>
              </w:rPr>
            </w:pPr>
            <w:r>
              <w:rPr>
                <w:rFonts w:hint="eastAsia"/>
                <w:b w:val="0"/>
                <w:bCs w:val="0"/>
                <w:highlight w:val="none"/>
                <w:lang w:val="en-US" w:eastAsia="zh-CN"/>
              </w:rPr>
              <w:t>2.</w:t>
            </w:r>
            <w:r>
              <w:rPr>
                <w:rFonts w:hint="eastAsia"/>
                <w:b w:val="0"/>
                <w:bCs w:val="0"/>
                <w:highlight w:val="none"/>
              </w:rPr>
              <w:t>存在1项缺陷，</w:t>
            </w:r>
            <w:r>
              <w:rPr>
                <w:rFonts w:hint="eastAsia"/>
                <w:b w:val="0"/>
                <w:bCs w:val="0"/>
                <w:highlight w:val="none"/>
                <w:lang w:eastAsia="zh-CN"/>
              </w:rPr>
              <w:t>扣</w:t>
            </w:r>
            <w:r>
              <w:rPr>
                <w:rFonts w:hint="eastAsia"/>
                <w:b w:val="0"/>
                <w:bCs w:val="0"/>
                <w:highlight w:val="none"/>
                <w:lang w:val="en-US" w:eastAsia="zh-CN"/>
              </w:rPr>
              <w:t>1</w:t>
            </w:r>
            <w:r>
              <w:rPr>
                <w:rFonts w:hint="eastAsia"/>
                <w:b w:val="0"/>
                <w:bCs w:val="0"/>
                <w:highlight w:val="none"/>
              </w:rPr>
              <w:t>分；</w:t>
            </w:r>
            <w:r>
              <w:rPr>
                <w:rFonts w:hint="eastAsia"/>
                <w:b w:val="0"/>
                <w:bCs w:val="0"/>
                <w:highlight w:val="none"/>
                <w:lang w:eastAsia="zh-CN"/>
              </w:rPr>
              <w:t>扣完为止</w:t>
            </w:r>
          </w:p>
          <w:p w14:paraId="08FC0624">
            <w:pPr>
              <w:spacing w:before="1" w:line="240" w:lineRule="auto"/>
              <w:rPr>
                <w:rFonts w:hint="eastAsia" w:ascii="宋体" w:hAnsi="宋体" w:eastAsia="宋体" w:cs="宋体"/>
                <w:color w:val="000000" w:themeColor="text1"/>
                <w:sz w:val="20"/>
                <w:szCs w:val="20"/>
                <w:highlight w:val="none"/>
                <w:lang w:val="zh-CN" w:bidi="zh-CN"/>
                <w14:textFill>
                  <w14:solidFill>
                    <w14:schemeClr w14:val="tx1"/>
                  </w14:solidFill>
                </w14:textFill>
              </w:rPr>
            </w:pPr>
            <w:r>
              <w:rPr>
                <w:rFonts w:hint="eastAsia"/>
                <w:b w:val="0"/>
                <w:bCs w:val="0"/>
                <w:highlight w:val="none"/>
              </w:rPr>
              <w:t>未提供售后服务保障方案</w:t>
            </w:r>
            <w:r>
              <w:rPr>
                <w:rFonts w:hint="eastAsia"/>
                <w:b w:val="0"/>
                <w:bCs w:val="0"/>
                <w:highlight w:val="none"/>
                <w:lang w:eastAsia="zh-CN"/>
              </w:rPr>
              <w:t>不得分</w:t>
            </w:r>
            <w:r>
              <w:rPr>
                <w:rFonts w:hint="eastAsia"/>
                <w:b w:val="0"/>
                <w:bCs w:val="0"/>
                <w:highlight w:val="none"/>
              </w:rPr>
              <w:t>。</w:t>
            </w:r>
          </w:p>
        </w:tc>
        <w:tc>
          <w:tcPr>
            <w:tcW w:w="708" w:type="dxa"/>
            <w:shd w:val="clear" w:color="auto" w:fill="auto"/>
            <w:vAlign w:val="center"/>
          </w:tcPr>
          <w:p w14:paraId="03B57CB6">
            <w:pPr>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p>
        </w:tc>
      </w:tr>
      <w:tr w14:paraId="250E6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10" w:type="dxa"/>
            <w:vMerge w:val="continue"/>
            <w:shd w:val="clear" w:color="auto" w:fill="auto"/>
            <w:vAlign w:val="center"/>
          </w:tcPr>
          <w:p w14:paraId="729CC655">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shd w:val="clear" w:color="auto" w:fill="auto"/>
          </w:tcPr>
          <w:p w14:paraId="1CED9C78">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1195" w:type="dxa"/>
            <w:shd w:val="clear" w:color="auto" w:fill="auto"/>
            <w:vAlign w:val="top"/>
          </w:tcPr>
          <w:p w14:paraId="269CDAB1">
            <w:pPr>
              <w:spacing w:line="360" w:lineRule="auto"/>
              <w:rPr>
                <w:rFonts w:hint="eastAsia" w:ascii="宋体" w:hAnsi="宋体" w:eastAsia="宋体" w:cs="宋体"/>
                <w:sz w:val="21"/>
                <w:szCs w:val="21"/>
                <w:highlight w:val="none"/>
              </w:rPr>
            </w:pPr>
          </w:p>
          <w:p w14:paraId="17F0DE14">
            <w:pPr>
              <w:spacing w:line="360" w:lineRule="auto"/>
              <w:rPr>
                <w:rFonts w:hint="eastAsia" w:ascii="宋体" w:hAnsi="宋体" w:eastAsia="宋体" w:cs="宋体"/>
                <w:sz w:val="21"/>
                <w:szCs w:val="21"/>
                <w:highlight w:val="none"/>
              </w:rPr>
            </w:pPr>
          </w:p>
          <w:p w14:paraId="732D044A">
            <w:pPr>
              <w:spacing w:line="360" w:lineRule="auto"/>
              <w:rPr>
                <w:rFonts w:hint="eastAsia" w:ascii="宋体" w:hAnsi="宋体" w:eastAsia="宋体" w:cs="宋体"/>
                <w:sz w:val="21"/>
                <w:szCs w:val="21"/>
                <w:highlight w:val="none"/>
              </w:rPr>
            </w:pPr>
          </w:p>
          <w:p w14:paraId="04F6C227">
            <w:pPr>
              <w:spacing w:line="360" w:lineRule="auto"/>
              <w:rPr>
                <w:rFonts w:hint="eastAsia" w:ascii="宋体" w:hAnsi="宋体" w:eastAsia="宋体" w:cs="宋体"/>
                <w:sz w:val="21"/>
                <w:szCs w:val="21"/>
                <w:highlight w:val="none"/>
              </w:rPr>
            </w:pPr>
          </w:p>
          <w:p w14:paraId="569B1BAA">
            <w:pPr>
              <w:spacing w:line="360" w:lineRule="auto"/>
              <w:rPr>
                <w:rFonts w:hint="eastAsia" w:ascii="宋体" w:hAnsi="宋体" w:eastAsia="宋体" w:cs="宋体"/>
                <w:sz w:val="21"/>
                <w:szCs w:val="21"/>
                <w:highlight w:val="none"/>
              </w:rPr>
            </w:pPr>
          </w:p>
          <w:p w14:paraId="51DF6C25">
            <w:pPr>
              <w:spacing w:before="71" w:line="360" w:lineRule="auto"/>
              <w:ind w:right="186" w:rightChars="0"/>
              <w:jc w:val="center"/>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质量保</w:t>
            </w:r>
          </w:p>
          <w:p w14:paraId="425F9AC5">
            <w:pPr>
              <w:spacing w:before="71" w:line="360" w:lineRule="auto"/>
              <w:ind w:right="186" w:rightChars="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spacing w:val="0"/>
                <w:sz w:val="21"/>
                <w:szCs w:val="21"/>
                <w:highlight w:val="none"/>
              </w:rPr>
              <w:t>障措施</w:t>
            </w:r>
            <w:r>
              <w:rPr>
                <w:rFonts w:hint="eastAsia" w:ascii="宋体" w:hAnsi="宋体" w:eastAsia="宋体" w:cs="宋体"/>
                <w:spacing w:val="0"/>
                <w:sz w:val="21"/>
                <w:szCs w:val="21"/>
                <w:highlight w:val="none"/>
                <w:lang w:eastAsia="zh-CN"/>
              </w:rPr>
              <w:t>（</w:t>
            </w:r>
            <w:r>
              <w:rPr>
                <w:rFonts w:hint="eastAsia" w:ascii="宋体" w:hAnsi="宋体" w:cs="宋体"/>
                <w:spacing w:val="0"/>
                <w:sz w:val="21"/>
                <w:szCs w:val="21"/>
                <w:highlight w:val="none"/>
                <w:lang w:val="en-US" w:eastAsia="zh-CN"/>
              </w:rPr>
              <w:t>8</w:t>
            </w:r>
            <w:r>
              <w:rPr>
                <w:rFonts w:hint="eastAsia" w:ascii="宋体" w:hAnsi="宋体" w:eastAsia="宋体" w:cs="宋体"/>
                <w:spacing w:val="0"/>
                <w:sz w:val="21"/>
                <w:szCs w:val="21"/>
                <w:highlight w:val="none"/>
                <w:lang w:val="en-US" w:eastAsia="zh-CN"/>
              </w:rPr>
              <w:t>分</w:t>
            </w:r>
            <w:r>
              <w:rPr>
                <w:rFonts w:hint="eastAsia" w:ascii="宋体" w:hAnsi="宋体" w:eastAsia="宋体" w:cs="宋体"/>
                <w:spacing w:val="0"/>
                <w:sz w:val="21"/>
                <w:szCs w:val="21"/>
                <w:highlight w:val="none"/>
                <w:lang w:eastAsia="zh-CN"/>
              </w:rPr>
              <w:t>）</w:t>
            </w:r>
          </w:p>
        </w:tc>
        <w:tc>
          <w:tcPr>
            <w:tcW w:w="5477" w:type="dxa"/>
            <w:shd w:val="clear" w:color="auto" w:fill="auto"/>
            <w:vAlign w:val="top"/>
          </w:tcPr>
          <w:p w14:paraId="12CC4180">
            <w:pPr>
              <w:spacing w:before="30" w:line="240" w:lineRule="auto"/>
              <w:rPr>
                <w:rFonts w:hint="eastAsia" w:ascii="宋体" w:hAnsi="宋体" w:eastAsia="宋体" w:cs="宋体"/>
                <w:sz w:val="20"/>
                <w:szCs w:val="20"/>
                <w:highlight w:val="none"/>
              </w:rPr>
            </w:pPr>
            <w:r>
              <w:rPr>
                <w:rFonts w:hint="eastAsia" w:ascii="宋体" w:hAnsi="宋体" w:eastAsia="宋体" w:cs="宋体"/>
                <w:spacing w:val="-2"/>
                <w:sz w:val="20"/>
                <w:szCs w:val="20"/>
                <w:highlight w:val="none"/>
              </w:rPr>
              <w:t>一、评</w:t>
            </w:r>
            <w:r>
              <w:rPr>
                <w:rFonts w:hint="eastAsia" w:ascii="宋体" w:hAnsi="宋体" w:eastAsia="宋体" w:cs="宋体"/>
                <w:spacing w:val="-1"/>
                <w:sz w:val="20"/>
                <w:szCs w:val="20"/>
                <w:highlight w:val="none"/>
              </w:rPr>
              <w:t>审内容：</w:t>
            </w:r>
          </w:p>
          <w:p w14:paraId="7B6FB66D">
            <w:pPr>
              <w:spacing w:before="22" w:line="240" w:lineRule="auto"/>
              <w:rPr>
                <w:rFonts w:hint="eastAsia" w:ascii="宋体" w:hAnsi="宋体" w:eastAsia="宋体" w:cs="宋体"/>
                <w:sz w:val="20"/>
                <w:szCs w:val="20"/>
                <w:highlight w:val="none"/>
              </w:rPr>
            </w:pPr>
            <w:r>
              <w:rPr>
                <w:rFonts w:hint="eastAsia" w:ascii="宋体" w:hAnsi="宋体" w:eastAsia="宋体" w:cs="宋体"/>
                <w:spacing w:val="-2"/>
                <w:sz w:val="20"/>
                <w:szCs w:val="20"/>
                <w:highlight w:val="none"/>
              </w:rPr>
              <w:t>供应商须提供质量</w:t>
            </w:r>
            <w:r>
              <w:rPr>
                <w:rFonts w:hint="eastAsia" w:ascii="宋体" w:hAnsi="宋体" w:eastAsia="宋体" w:cs="宋体"/>
                <w:spacing w:val="-1"/>
                <w:sz w:val="20"/>
                <w:szCs w:val="20"/>
                <w:highlight w:val="none"/>
              </w:rPr>
              <w:t>保证措施，包含但不限于：</w:t>
            </w:r>
          </w:p>
          <w:p w14:paraId="0421A3DE">
            <w:pPr>
              <w:spacing w:before="21" w:line="240" w:lineRule="auto"/>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w:t>
            </w:r>
            <w:r>
              <w:rPr>
                <w:rFonts w:hint="eastAsia" w:ascii="宋体" w:hAnsi="宋体" w:eastAsia="宋体" w:cs="宋体"/>
                <w:spacing w:val="6"/>
                <w:sz w:val="20"/>
                <w:szCs w:val="20"/>
                <w:highlight w:val="none"/>
              </w:rPr>
              <w:t>)</w:t>
            </w:r>
            <w:r>
              <w:rPr>
                <w:rFonts w:hint="eastAsia" w:ascii="宋体" w:hAnsi="宋体" w:eastAsia="宋体" w:cs="宋体"/>
                <w:spacing w:val="4"/>
                <w:sz w:val="20"/>
                <w:szCs w:val="20"/>
                <w:highlight w:val="none"/>
              </w:rPr>
              <w:t xml:space="preserve"> 切实可行的保障产品质量的措施方案；</w:t>
            </w:r>
          </w:p>
          <w:p w14:paraId="7E0013AD">
            <w:pPr>
              <w:spacing w:before="27" w:line="240" w:lineRule="auto"/>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w:t>
            </w:r>
            <w:r>
              <w:rPr>
                <w:rFonts w:hint="eastAsia" w:ascii="宋体" w:hAnsi="宋体" w:eastAsia="宋体" w:cs="宋体"/>
                <w:spacing w:val="3"/>
                <w:sz w:val="20"/>
                <w:szCs w:val="20"/>
                <w:highlight w:val="none"/>
              </w:rPr>
              <w:t>2) 对产品质量不达标有相应的退换货方案；</w:t>
            </w:r>
          </w:p>
          <w:p w14:paraId="3561A81E">
            <w:pPr>
              <w:spacing w:before="22" w:line="240" w:lineRule="auto"/>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w:t>
            </w:r>
            <w:r>
              <w:rPr>
                <w:rFonts w:hint="eastAsia" w:ascii="宋体" w:hAnsi="宋体" w:eastAsia="宋体" w:cs="宋体"/>
                <w:spacing w:val="6"/>
                <w:sz w:val="20"/>
                <w:szCs w:val="20"/>
                <w:highlight w:val="none"/>
              </w:rPr>
              <w:t>3</w:t>
            </w:r>
            <w:r>
              <w:rPr>
                <w:rFonts w:hint="eastAsia" w:ascii="宋体" w:hAnsi="宋体" w:eastAsia="宋体" w:cs="宋体"/>
                <w:spacing w:val="4"/>
                <w:sz w:val="20"/>
                <w:szCs w:val="20"/>
                <w:highlight w:val="none"/>
              </w:rPr>
              <w:t>) 对质量问题有相关的处罚承诺。</w:t>
            </w:r>
          </w:p>
          <w:p w14:paraId="593B07EB">
            <w:pPr>
              <w:spacing w:before="20" w:line="240" w:lineRule="auto"/>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二</w:t>
            </w:r>
            <w:r>
              <w:rPr>
                <w:rFonts w:hint="eastAsia" w:ascii="宋体" w:hAnsi="宋体" w:eastAsia="宋体" w:cs="宋体"/>
                <w:spacing w:val="-5"/>
                <w:sz w:val="20"/>
                <w:szCs w:val="20"/>
                <w:highlight w:val="none"/>
              </w:rPr>
              <w:t>、</w:t>
            </w:r>
            <w:r>
              <w:rPr>
                <w:rFonts w:hint="eastAsia" w:ascii="宋体" w:hAnsi="宋体" w:eastAsia="宋体" w:cs="宋体"/>
                <w:spacing w:val="-4"/>
                <w:sz w:val="20"/>
                <w:szCs w:val="20"/>
                <w:highlight w:val="none"/>
              </w:rPr>
              <w:t>评审标准：</w:t>
            </w:r>
          </w:p>
          <w:p w14:paraId="098135B9">
            <w:pPr>
              <w:spacing w:before="23" w:line="240" w:lineRule="auto"/>
              <w:ind w:right="99"/>
              <w:rPr>
                <w:rFonts w:hint="eastAsia" w:ascii="宋体" w:hAnsi="宋体" w:eastAsia="宋体" w:cs="宋体"/>
                <w:sz w:val="20"/>
                <w:szCs w:val="20"/>
                <w:highlight w:val="none"/>
              </w:rPr>
            </w:pPr>
            <w:r>
              <w:rPr>
                <w:rFonts w:hint="eastAsia" w:ascii="宋体" w:hAnsi="宋体" w:eastAsia="宋体" w:cs="宋体"/>
                <w:spacing w:val="-12"/>
                <w:sz w:val="20"/>
                <w:szCs w:val="20"/>
                <w:highlight w:val="none"/>
              </w:rPr>
              <w:t>(</w:t>
            </w:r>
            <w:r>
              <w:rPr>
                <w:rFonts w:hint="eastAsia" w:ascii="宋体" w:hAnsi="宋体" w:eastAsia="宋体" w:cs="宋体"/>
                <w:spacing w:val="-11"/>
                <w:sz w:val="20"/>
                <w:szCs w:val="20"/>
                <w:highlight w:val="none"/>
              </w:rPr>
              <w:t>1</w:t>
            </w:r>
            <w:r>
              <w:rPr>
                <w:rFonts w:hint="eastAsia" w:ascii="宋体" w:hAnsi="宋体" w:eastAsia="宋体" w:cs="宋体"/>
                <w:spacing w:val="-6"/>
                <w:sz w:val="20"/>
                <w:szCs w:val="20"/>
                <w:highlight w:val="none"/>
              </w:rPr>
              <w:t>) 完整性：方案完整，况切合本项目实际情</w:t>
            </w:r>
            <w:r>
              <w:rPr>
                <w:rFonts w:hint="eastAsia" w:ascii="宋体" w:hAnsi="宋体" w:eastAsia="宋体" w:cs="宋体"/>
                <w:spacing w:val="-15"/>
                <w:sz w:val="20"/>
                <w:szCs w:val="20"/>
                <w:highlight w:val="none"/>
              </w:rPr>
              <w:t>况</w:t>
            </w:r>
            <w:r>
              <w:rPr>
                <w:rFonts w:hint="eastAsia" w:ascii="宋体" w:hAnsi="宋体" w:eastAsia="宋体" w:cs="宋体"/>
                <w:spacing w:val="-14"/>
                <w:sz w:val="20"/>
                <w:szCs w:val="20"/>
                <w:highlight w:val="none"/>
              </w:rPr>
              <w:t>；</w:t>
            </w:r>
          </w:p>
          <w:p w14:paraId="6E80BDA5">
            <w:pPr>
              <w:spacing w:before="1" w:line="240" w:lineRule="auto"/>
              <w:ind w:right="101"/>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(2)</w:t>
            </w:r>
            <w:r>
              <w:rPr>
                <w:rFonts w:hint="eastAsia" w:ascii="宋体" w:hAnsi="宋体" w:eastAsia="宋体" w:cs="宋体"/>
                <w:spacing w:val="-2"/>
                <w:sz w:val="20"/>
                <w:szCs w:val="20"/>
                <w:highlight w:val="none"/>
              </w:rPr>
              <w:t xml:space="preserve"> 合理性： 符合项目具体情况，提出的实施</w:t>
            </w:r>
            <w:r>
              <w:rPr>
                <w:rFonts w:hint="eastAsia" w:ascii="宋体" w:hAnsi="宋体" w:eastAsia="宋体" w:cs="宋体"/>
                <w:spacing w:val="-1"/>
                <w:sz w:val="20"/>
                <w:szCs w:val="20"/>
                <w:highlight w:val="none"/>
              </w:rPr>
              <w:t>措施方案合</w:t>
            </w:r>
            <w:r>
              <w:rPr>
                <w:rFonts w:hint="eastAsia" w:ascii="宋体" w:hAnsi="宋体" w:eastAsia="宋体" w:cs="宋体"/>
                <w:sz w:val="20"/>
                <w:szCs w:val="20"/>
                <w:highlight w:val="none"/>
              </w:rPr>
              <w:t>理、恰当；</w:t>
            </w:r>
          </w:p>
          <w:p w14:paraId="0632CDD0">
            <w:pPr>
              <w:spacing w:before="1" w:line="240" w:lineRule="auto"/>
              <w:ind w:right="101"/>
              <w:rPr>
                <w:rFonts w:hint="eastAsia" w:ascii="宋体" w:hAnsi="宋体" w:eastAsia="宋体" w:cs="宋体"/>
                <w:sz w:val="20"/>
                <w:szCs w:val="20"/>
                <w:highlight w:val="none"/>
              </w:rPr>
            </w:pPr>
            <w:r>
              <w:rPr>
                <w:rFonts w:hint="eastAsia" w:ascii="宋体" w:hAnsi="宋体" w:eastAsia="宋体" w:cs="宋体"/>
                <w:spacing w:val="-1"/>
                <w:sz w:val="20"/>
                <w:szCs w:val="20"/>
                <w:highlight w:val="none"/>
                <w:lang w:eastAsia="zh-CN"/>
              </w:rPr>
              <w:t>（</w:t>
            </w:r>
            <w:r>
              <w:rPr>
                <w:rFonts w:hint="eastAsia" w:ascii="宋体" w:hAnsi="宋体" w:eastAsia="宋体" w:cs="宋体"/>
                <w:spacing w:val="-1"/>
                <w:sz w:val="20"/>
                <w:szCs w:val="20"/>
                <w:highlight w:val="none"/>
                <w:lang w:val="en-US" w:eastAsia="zh-CN"/>
              </w:rPr>
              <w:t>3</w:t>
            </w:r>
            <w:r>
              <w:rPr>
                <w:rFonts w:hint="eastAsia" w:ascii="宋体" w:hAnsi="宋体" w:eastAsia="宋体" w:cs="宋体"/>
                <w:spacing w:val="-1"/>
                <w:sz w:val="20"/>
                <w:szCs w:val="20"/>
                <w:highlight w:val="none"/>
                <w:lang w:eastAsia="zh-CN"/>
              </w:rPr>
              <w:t>）</w:t>
            </w:r>
            <w:r>
              <w:rPr>
                <w:rFonts w:hint="eastAsia" w:ascii="宋体" w:hAnsi="宋体" w:eastAsia="宋体" w:cs="宋体"/>
                <w:spacing w:val="-1"/>
                <w:sz w:val="20"/>
                <w:szCs w:val="20"/>
                <w:highlight w:val="none"/>
              </w:rPr>
              <w:t>评委会</w:t>
            </w:r>
            <w:r>
              <w:rPr>
                <w:rFonts w:hint="eastAsia" w:ascii="宋体" w:hAnsi="宋体" w:eastAsia="宋体" w:cs="宋体"/>
                <w:sz w:val="20"/>
                <w:szCs w:val="20"/>
                <w:highlight w:val="none"/>
              </w:rPr>
              <w:t>对上述评审内容进行综合评审：</w:t>
            </w:r>
          </w:p>
          <w:p w14:paraId="2BE41D01">
            <w:pPr>
              <w:spacing w:before="24" w:line="240" w:lineRule="auto"/>
              <w:ind w:right="100"/>
              <w:rPr>
                <w:rFonts w:hint="eastAsia" w:ascii="宋体" w:hAnsi="宋体" w:eastAsia="宋体" w:cs="宋体"/>
                <w:sz w:val="20"/>
                <w:szCs w:val="20"/>
                <w:highlight w:val="none"/>
              </w:rPr>
            </w:pPr>
            <w:r>
              <w:rPr>
                <w:rFonts w:hint="eastAsia" w:ascii="宋体" w:hAnsi="宋体" w:eastAsia="宋体" w:cs="宋体"/>
                <w:spacing w:val="-3"/>
                <w:sz w:val="20"/>
                <w:szCs w:val="20"/>
                <w:highlight w:val="none"/>
              </w:rPr>
              <w:t>1、方案覆盖全面、要点突出、针对性强，内</w:t>
            </w:r>
            <w:r>
              <w:rPr>
                <w:rFonts w:hint="eastAsia" w:ascii="宋体" w:hAnsi="宋体" w:eastAsia="宋体" w:cs="宋体"/>
                <w:spacing w:val="-1"/>
                <w:sz w:val="20"/>
                <w:szCs w:val="20"/>
                <w:highlight w:val="none"/>
              </w:rPr>
              <w:t>容</w:t>
            </w:r>
            <w:r>
              <w:rPr>
                <w:rFonts w:hint="eastAsia" w:ascii="宋体" w:hAnsi="宋体" w:eastAsia="宋体" w:cs="宋体"/>
                <w:spacing w:val="-8"/>
                <w:sz w:val="20"/>
                <w:szCs w:val="20"/>
                <w:highlight w:val="none"/>
              </w:rPr>
              <w:t>完整详实</w:t>
            </w:r>
            <w:r>
              <w:rPr>
                <w:rFonts w:hint="eastAsia" w:ascii="宋体" w:hAnsi="宋体" w:eastAsia="宋体" w:cs="宋体"/>
                <w:spacing w:val="-6"/>
                <w:sz w:val="20"/>
                <w:szCs w:val="20"/>
                <w:highlight w:val="none"/>
              </w:rPr>
              <w:t>，</w:t>
            </w:r>
            <w:r>
              <w:rPr>
                <w:rFonts w:hint="eastAsia" w:ascii="宋体" w:hAnsi="宋体" w:eastAsia="宋体" w:cs="宋体"/>
                <w:spacing w:val="-4"/>
                <w:sz w:val="20"/>
                <w:szCs w:val="20"/>
                <w:highlight w:val="none"/>
              </w:rPr>
              <w:t xml:space="preserve"> 表述清晰，与本项目实际需求有较高适</w:t>
            </w:r>
            <w:r>
              <w:rPr>
                <w:rFonts w:hint="eastAsia" w:ascii="宋体" w:hAnsi="宋体" w:eastAsia="宋体" w:cs="宋体"/>
                <w:sz w:val="20"/>
                <w:szCs w:val="20"/>
                <w:highlight w:val="none"/>
              </w:rPr>
              <w:t xml:space="preserve"> </w:t>
            </w:r>
            <w:r>
              <w:rPr>
                <w:rFonts w:hint="eastAsia" w:ascii="宋体" w:hAnsi="宋体" w:eastAsia="宋体" w:cs="宋体"/>
                <w:spacing w:val="-12"/>
                <w:sz w:val="20"/>
                <w:szCs w:val="20"/>
                <w:highlight w:val="none"/>
              </w:rPr>
              <w:t>用</w:t>
            </w:r>
            <w:r>
              <w:rPr>
                <w:rFonts w:hint="eastAsia" w:ascii="宋体" w:hAnsi="宋体" w:eastAsia="宋体" w:cs="宋体"/>
                <w:spacing w:val="-9"/>
                <w:sz w:val="20"/>
                <w:szCs w:val="20"/>
                <w:highlight w:val="none"/>
              </w:rPr>
              <w:t>度， 利于项目实施的得</w:t>
            </w:r>
            <w:r>
              <w:rPr>
                <w:rFonts w:hint="eastAsia" w:ascii="宋体" w:hAnsi="宋体" w:cs="宋体"/>
                <w:spacing w:val="-9"/>
                <w:sz w:val="20"/>
                <w:szCs w:val="20"/>
                <w:highlight w:val="none"/>
                <w:lang w:val="en-US" w:eastAsia="zh-CN"/>
              </w:rPr>
              <w:t>6-8</w:t>
            </w:r>
            <w:r>
              <w:rPr>
                <w:rFonts w:hint="eastAsia" w:ascii="宋体" w:hAnsi="宋体" w:eastAsia="宋体" w:cs="宋体"/>
                <w:spacing w:val="-9"/>
                <w:sz w:val="20"/>
                <w:szCs w:val="20"/>
                <w:highlight w:val="none"/>
              </w:rPr>
              <w:t>分；</w:t>
            </w:r>
          </w:p>
          <w:p w14:paraId="42942220">
            <w:pPr>
              <w:spacing w:before="1" w:line="240" w:lineRule="auto"/>
              <w:ind w:right="100"/>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2、有针对性，内容完整详实， 表述清晰，与</w:t>
            </w:r>
            <w:r>
              <w:rPr>
                <w:rFonts w:hint="eastAsia" w:ascii="宋体" w:hAnsi="宋体" w:eastAsia="宋体" w:cs="宋体"/>
                <w:spacing w:val="-6"/>
                <w:sz w:val="20"/>
                <w:szCs w:val="20"/>
                <w:highlight w:val="none"/>
              </w:rPr>
              <w:t>本</w:t>
            </w:r>
            <w:r>
              <w:rPr>
                <w:rFonts w:hint="eastAsia" w:ascii="宋体" w:hAnsi="宋体" w:eastAsia="宋体" w:cs="宋体"/>
                <w:spacing w:val="-5"/>
                <w:sz w:val="20"/>
                <w:szCs w:val="20"/>
                <w:highlight w:val="none"/>
              </w:rPr>
              <w:t>项目实际要求有适应度， 符合项目实施要求的得</w:t>
            </w:r>
            <w:r>
              <w:rPr>
                <w:rFonts w:hint="eastAsia" w:ascii="宋体" w:hAnsi="宋体" w:cs="宋体"/>
                <w:spacing w:val="-5"/>
                <w:sz w:val="20"/>
                <w:szCs w:val="20"/>
                <w:highlight w:val="none"/>
                <w:lang w:val="en-US" w:eastAsia="zh-CN"/>
              </w:rPr>
              <w:t>3-5</w:t>
            </w:r>
            <w:r>
              <w:rPr>
                <w:rFonts w:hint="eastAsia" w:ascii="宋体" w:hAnsi="宋体" w:eastAsia="宋体" w:cs="宋体"/>
                <w:spacing w:val="-16"/>
                <w:sz w:val="20"/>
                <w:szCs w:val="20"/>
                <w:highlight w:val="none"/>
              </w:rPr>
              <w:t>分</w:t>
            </w:r>
            <w:r>
              <w:rPr>
                <w:rFonts w:hint="eastAsia" w:ascii="宋体" w:hAnsi="宋体" w:eastAsia="宋体" w:cs="宋体"/>
                <w:spacing w:val="-14"/>
                <w:sz w:val="20"/>
                <w:szCs w:val="20"/>
                <w:highlight w:val="none"/>
              </w:rPr>
              <w:t>；</w:t>
            </w:r>
          </w:p>
          <w:p w14:paraId="7AE8FF1D">
            <w:pPr>
              <w:spacing w:before="1" w:line="240" w:lineRule="auto"/>
              <w:ind w:right="98"/>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3、要</w:t>
            </w:r>
            <w:r>
              <w:rPr>
                <w:rFonts w:hint="eastAsia" w:ascii="宋体" w:hAnsi="宋体" w:eastAsia="宋体" w:cs="宋体"/>
                <w:spacing w:val="-2"/>
                <w:sz w:val="20"/>
                <w:szCs w:val="20"/>
                <w:highlight w:val="none"/>
              </w:rPr>
              <w:t>点突出不够明显，具体细节有待完善的得</w:t>
            </w:r>
            <w:r>
              <w:rPr>
                <w:rFonts w:hint="eastAsia" w:ascii="宋体" w:hAnsi="宋体" w:eastAsia="宋体" w:cs="宋体"/>
                <w:sz w:val="20"/>
                <w:szCs w:val="20"/>
                <w:highlight w:val="none"/>
              </w:rPr>
              <w:t xml:space="preserve"> </w:t>
            </w:r>
            <w:r>
              <w:rPr>
                <w:rFonts w:hint="eastAsia" w:ascii="宋体" w:hAnsi="宋体" w:cs="宋体"/>
                <w:sz w:val="20"/>
                <w:szCs w:val="20"/>
                <w:highlight w:val="none"/>
                <w:lang w:val="en-US" w:eastAsia="zh-CN"/>
              </w:rPr>
              <w:t>1-2</w:t>
            </w:r>
            <w:r>
              <w:rPr>
                <w:rFonts w:hint="eastAsia" w:ascii="宋体" w:hAnsi="宋体" w:eastAsia="宋体" w:cs="宋体"/>
                <w:spacing w:val="-15"/>
                <w:sz w:val="20"/>
                <w:szCs w:val="20"/>
                <w:highlight w:val="none"/>
              </w:rPr>
              <w:t>分；</w:t>
            </w:r>
          </w:p>
          <w:p w14:paraId="4D8D05EC">
            <w:pPr>
              <w:spacing w:line="240" w:lineRule="auto"/>
              <w:rPr>
                <w:rFonts w:hint="eastAsia" w:ascii="宋体" w:hAnsi="宋体" w:eastAsia="宋体" w:cs="宋体"/>
                <w:color w:val="000000" w:themeColor="text1"/>
                <w:sz w:val="20"/>
                <w:szCs w:val="20"/>
                <w:highlight w:val="none"/>
                <w:lang w:val="zh-CN" w:bidi="zh-CN"/>
                <w14:textFill>
                  <w14:solidFill>
                    <w14:schemeClr w14:val="tx1"/>
                  </w14:solidFill>
                </w14:textFill>
              </w:rPr>
            </w:pPr>
            <w:r>
              <w:rPr>
                <w:rFonts w:hint="eastAsia" w:ascii="宋体" w:hAnsi="宋体" w:eastAsia="宋体" w:cs="宋体"/>
                <w:spacing w:val="-11"/>
                <w:sz w:val="20"/>
                <w:szCs w:val="20"/>
                <w:highlight w:val="none"/>
              </w:rPr>
              <w:t>4</w:t>
            </w:r>
            <w:r>
              <w:rPr>
                <w:rFonts w:hint="eastAsia" w:ascii="宋体" w:hAnsi="宋体" w:eastAsia="宋体" w:cs="宋体"/>
                <w:spacing w:val="-8"/>
                <w:sz w:val="20"/>
                <w:szCs w:val="20"/>
                <w:highlight w:val="none"/>
              </w:rPr>
              <w:t>、未提供相关内容的不得分。</w:t>
            </w:r>
          </w:p>
        </w:tc>
        <w:tc>
          <w:tcPr>
            <w:tcW w:w="708" w:type="dxa"/>
            <w:shd w:val="clear" w:color="auto" w:fill="auto"/>
            <w:vAlign w:val="center"/>
          </w:tcPr>
          <w:p w14:paraId="5CB90F85">
            <w:pPr>
              <w:spacing w:line="360" w:lineRule="auto"/>
              <w:jc w:val="center"/>
              <w:rPr>
                <w:rFonts w:hint="eastAsia" w:ascii="宋体" w:hAnsi="宋体" w:eastAsia="宋体" w:cs="宋体"/>
                <w:color w:val="000000" w:themeColor="text1"/>
                <w:sz w:val="21"/>
                <w:szCs w:val="21"/>
                <w:lang w:eastAsia="zh-CN"/>
                <w14:textFill>
                  <w14:solidFill>
                    <w14:schemeClr w14:val="tx1"/>
                  </w14:solidFill>
                </w14:textFill>
              </w:rPr>
            </w:pPr>
          </w:p>
        </w:tc>
      </w:tr>
    </w:tbl>
    <w:p w14:paraId="191A033F">
      <w:pPr>
        <w:pStyle w:val="20"/>
        <w:outlineLvl w:val="9"/>
        <w:rPr>
          <w:rFonts w:hint="eastAsia" w:ascii="仿宋" w:hAnsi="仿宋" w:eastAsia="仿宋" w:cs="仿宋"/>
          <w:color w:val="auto"/>
          <w:highlight w:val="none"/>
        </w:rPr>
      </w:pPr>
    </w:p>
    <w:p w14:paraId="6BAE093F">
      <w:pPr>
        <w:outlineLvl w:val="9"/>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0BF2730E">
      <w:pPr>
        <w:tabs>
          <w:tab w:val="left" w:pos="8280"/>
        </w:tabs>
        <w:spacing w:line="360" w:lineRule="auto"/>
        <w:ind w:right="-1"/>
        <w:jc w:val="center"/>
        <w:outlineLvl w:val="2"/>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价格评标（分）记录明细表</w:t>
      </w:r>
    </w:p>
    <w:tbl>
      <w:tblPr>
        <w:tblStyle w:val="24"/>
        <w:tblW w:w="9564" w:type="dxa"/>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6521"/>
        <w:gridCol w:w="958"/>
      </w:tblGrid>
      <w:tr w14:paraId="6BE9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2085" w:type="dxa"/>
            <w:vAlign w:val="center"/>
          </w:tcPr>
          <w:p w14:paraId="5C8380B8">
            <w:pPr>
              <w:pStyle w:val="37"/>
              <w:jc w:val="center"/>
              <w:outlineLvl w:val="9"/>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项目</w:t>
            </w:r>
          </w:p>
        </w:tc>
        <w:tc>
          <w:tcPr>
            <w:tcW w:w="6521" w:type="dxa"/>
            <w:vAlign w:val="center"/>
          </w:tcPr>
          <w:p w14:paraId="6803930A">
            <w:pPr>
              <w:pStyle w:val="37"/>
              <w:jc w:val="center"/>
              <w:outlineLvl w:val="9"/>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评标内容</w:t>
            </w:r>
          </w:p>
        </w:tc>
        <w:tc>
          <w:tcPr>
            <w:tcW w:w="958" w:type="dxa"/>
            <w:vAlign w:val="center"/>
          </w:tcPr>
          <w:p w14:paraId="229676FC">
            <w:pPr>
              <w:pStyle w:val="37"/>
              <w:jc w:val="center"/>
              <w:outlineLvl w:val="9"/>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分值</w:t>
            </w:r>
          </w:p>
        </w:tc>
      </w:tr>
      <w:tr w14:paraId="0216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564" w:type="dxa"/>
            <w:gridSpan w:val="3"/>
            <w:vAlign w:val="center"/>
          </w:tcPr>
          <w:p w14:paraId="7F844EBC">
            <w:pPr>
              <w:pStyle w:val="37"/>
              <w:jc w:val="both"/>
              <w:outlineLvl w:val="9"/>
              <w:rPr>
                <w:rFonts w:hint="eastAsia" w:ascii="仿宋" w:hAnsi="仿宋" w:eastAsia="仿宋" w:cs="仿宋"/>
                <w:color w:val="auto"/>
                <w:kern w:val="2"/>
                <w:sz w:val="24"/>
                <w:szCs w:val="24"/>
                <w:highlight w:val="none"/>
              </w:rPr>
            </w:pPr>
            <w:r>
              <w:rPr>
                <w:rFonts w:hint="eastAsia" w:ascii="仿宋" w:hAnsi="仿宋" w:eastAsia="仿宋" w:cs="仿宋"/>
                <w:b/>
                <w:bCs/>
                <w:color w:val="auto"/>
                <w:kern w:val="2"/>
                <w:sz w:val="24"/>
                <w:szCs w:val="24"/>
                <w:highlight w:val="none"/>
              </w:rPr>
              <w:t>A．投标价格评分30分</w:t>
            </w:r>
          </w:p>
        </w:tc>
      </w:tr>
      <w:tr w14:paraId="315F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2085" w:type="dxa"/>
            <w:vMerge w:val="restart"/>
            <w:vAlign w:val="center"/>
          </w:tcPr>
          <w:p w14:paraId="12F0A28D">
            <w:pPr>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价格评审</w:t>
            </w:r>
          </w:p>
          <w:p w14:paraId="39DD81AD">
            <w:pPr>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30分</w:t>
            </w:r>
          </w:p>
        </w:tc>
        <w:tc>
          <w:tcPr>
            <w:tcW w:w="6521" w:type="dxa"/>
            <w:vAlign w:val="center"/>
          </w:tcPr>
          <w:p w14:paraId="09873B29">
            <w:pPr>
              <w:pStyle w:val="40"/>
              <w:widowControl w:val="0"/>
              <w:spacing w:line="280" w:lineRule="exact"/>
              <w:jc w:val="both"/>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评标基准价 =有效投标报价的最低值，有效投标报价等于基准值的得满分，投标报价得分= （评标基准价/投标报价）×30。有效投标报价为通过初步审查的投标人报价；</w:t>
            </w:r>
          </w:p>
        </w:tc>
        <w:tc>
          <w:tcPr>
            <w:tcW w:w="958" w:type="dxa"/>
            <w:vMerge w:val="restart"/>
            <w:vAlign w:val="center"/>
          </w:tcPr>
          <w:p w14:paraId="205EB496">
            <w:pPr>
              <w:pStyle w:val="37"/>
              <w:jc w:val="center"/>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30分</w:t>
            </w:r>
          </w:p>
        </w:tc>
      </w:tr>
      <w:tr w14:paraId="0E6B8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2085" w:type="dxa"/>
            <w:vMerge w:val="continue"/>
            <w:vAlign w:val="center"/>
          </w:tcPr>
          <w:p w14:paraId="6EF2E9C0">
            <w:pPr>
              <w:pStyle w:val="37"/>
              <w:jc w:val="center"/>
              <w:outlineLvl w:val="9"/>
              <w:rPr>
                <w:rFonts w:hint="eastAsia" w:ascii="仿宋" w:hAnsi="仿宋" w:eastAsia="仿宋" w:cs="仿宋"/>
                <w:color w:val="auto"/>
                <w:kern w:val="2"/>
                <w:sz w:val="24"/>
                <w:szCs w:val="24"/>
                <w:highlight w:val="none"/>
              </w:rPr>
            </w:pPr>
          </w:p>
        </w:tc>
        <w:tc>
          <w:tcPr>
            <w:tcW w:w="6521" w:type="dxa"/>
            <w:vAlign w:val="center"/>
          </w:tcPr>
          <w:p w14:paraId="58742E8C">
            <w:pPr>
              <w:pStyle w:val="40"/>
              <w:widowControl w:val="0"/>
              <w:spacing w:line="280" w:lineRule="exact"/>
              <w:jc w:val="both"/>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按上述公式计算得分为负值时，其投标报价得分为零分。计算公式的计算结果值在小数点后均保留两位小数，后余位数四舍五入计。当计算结果为负数时，计为零分。</w:t>
            </w:r>
          </w:p>
        </w:tc>
        <w:tc>
          <w:tcPr>
            <w:tcW w:w="958" w:type="dxa"/>
            <w:vMerge w:val="continue"/>
            <w:vAlign w:val="center"/>
          </w:tcPr>
          <w:p w14:paraId="1F8F0985">
            <w:pPr>
              <w:pStyle w:val="37"/>
              <w:jc w:val="center"/>
              <w:outlineLvl w:val="9"/>
              <w:rPr>
                <w:rFonts w:hint="eastAsia" w:ascii="仿宋" w:hAnsi="仿宋" w:eastAsia="仿宋" w:cs="仿宋"/>
                <w:color w:val="auto"/>
                <w:kern w:val="2"/>
                <w:sz w:val="24"/>
                <w:szCs w:val="24"/>
                <w:highlight w:val="none"/>
              </w:rPr>
            </w:pPr>
          </w:p>
        </w:tc>
      </w:tr>
      <w:tr w14:paraId="5E135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9564" w:type="dxa"/>
            <w:gridSpan w:val="3"/>
            <w:vAlign w:val="center"/>
          </w:tcPr>
          <w:p w14:paraId="4ADC6114">
            <w:pPr>
              <w:pStyle w:val="37"/>
              <w:jc w:val="both"/>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注：1、计算过程中，算术平均值保留2位小数（百分比亦取2位小数），第三位小数四舍五入。</w:t>
            </w:r>
          </w:p>
          <w:p w14:paraId="62385900">
            <w:pPr>
              <w:pStyle w:val="37"/>
              <w:ind w:firstLine="480" w:firstLineChars="200"/>
              <w:jc w:val="both"/>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2、投标人的最终得分为：所有评委对其评分的算术平均值。</w:t>
            </w:r>
          </w:p>
        </w:tc>
      </w:tr>
      <w:tr w14:paraId="1A21C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564" w:type="dxa"/>
            <w:gridSpan w:val="3"/>
            <w:vAlign w:val="center"/>
          </w:tcPr>
          <w:p w14:paraId="3C681013">
            <w:pPr>
              <w:pStyle w:val="37"/>
              <w:jc w:val="both"/>
              <w:outlineLvl w:val="9"/>
              <w:rPr>
                <w:rFonts w:hint="eastAsia" w:ascii="仿宋" w:hAnsi="仿宋" w:eastAsia="仿宋" w:cs="仿宋"/>
                <w:color w:val="auto"/>
                <w:kern w:val="2"/>
                <w:sz w:val="24"/>
                <w:szCs w:val="24"/>
                <w:highlight w:val="none"/>
              </w:rPr>
            </w:pPr>
            <w:r>
              <w:rPr>
                <w:rFonts w:hint="eastAsia" w:ascii="仿宋" w:hAnsi="仿宋" w:eastAsia="仿宋" w:cs="仿宋"/>
                <w:b/>
                <w:bCs/>
                <w:color w:val="auto"/>
                <w:kern w:val="2"/>
                <w:sz w:val="24"/>
                <w:szCs w:val="24"/>
                <w:highlight w:val="none"/>
              </w:rPr>
              <w:t>B．属于中小企业评标优惠内容及价格扣除幅度，本项目的价格扣除为</w:t>
            </w:r>
            <w:r>
              <w:rPr>
                <w:rFonts w:hint="eastAsia" w:ascii="仿宋" w:hAnsi="仿宋" w:eastAsia="仿宋" w:cs="仿宋"/>
                <w:b/>
                <w:bCs/>
                <w:color w:val="auto"/>
                <w:kern w:val="2"/>
                <w:sz w:val="24"/>
                <w:szCs w:val="24"/>
                <w:highlight w:val="none"/>
                <w:lang w:eastAsia="zh-CN"/>
              </w:rPr>
              <w:t>10%</w:t>
            </w:r>
            <w:r>
              <w:rPr>
                <w:rFonts w:hint="eastAsia" w:ascii="仿宋" w:hAnsi="仿宋" w:eastAsia="仿宋" w:cs="仿宋"/>
                <w:b/>
                <w:bCs/>
                <w:color w:val="auto"/>
                <w:kern w:val="2"/>
                <w:sz w:val="24"/>
                <w:szCs w:val="24"/>
                <w:highlight w:val="none"/>
              </w:rPr>
              <w:t>。</w:t>
            </w:r>
          </w:p>
        </w:tc>
      </w:tr>
      <w:tr w14:paraId="6155B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564" w:type="dxa"/>
            <w:gridSpan w:val="3"/>
            <w:tcBorders>
              <w:bottom w:val="single" w:color="auto" w:sz="4" w:space="0"/>
            </w:tcBorders>
            <w:vAlign w:val="center"/>
          </w:tcPr>
          <w:p w14:paraId="5B5ADA7E">
            <w:pPr>
              <w:pStyle w:val="37"/>
              <w:spacing w:line="300" w:lineRule="exact"/>
              <w:jc w:val="both"/>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根据中华人民共和国财政部、中华人民共和国工业和信息化部《政府采购促进中小企业发展暂行办法》（</w:t>
            </w:r>
            <w:r>
              <w:rPr>
                <w:rFonts w:hint="eastAsia" w:ascii="仿宋" w:hAnsi="仿宋" w:eastAsia="仿宋" w:cs="仿宋"/>
                <w:color w:val="auto"/>
                <w:kern w:val="0"/>
                <w:sz w:val="24"/>
                <w:szCs w:val="24"/>
                <w:highlight w:val="none"/>
                <w:lang w:val="en-US" w:bidi="ar-SA"/>
              </w:rPr>
              <w:t>财库[20</w:t>
            </w:r>
            <w:r>
              <w:rPr>
                <w:rFonts w:hint="eastAsia" w:ascii="仿宋" w:hAnsi="仿宋" w:eastAsia="仿宋" w:cs="仿宋"/>
                <w:color w:val="auto"/>
                <w:kern w:val="0"/>
                <w:sz w:val="24"/>
                <w:szCs w:val="24"/>
                <w:highlight w:val="none"/>
                <w:lang w:val="en-US" w:eastAsia="zh-CN" w:bidi="ar-SA"/>
              </w:rPr>
              <w:t>20</w:t>
            </w:r>
            <w:r>
              <w:rPr>
                <w:rFonts w:hint="eastAsia" w:ascii="仿宋" w:hAnsi="仿宋" w:eastAsia="仿宋" w:cs="仿宋"/>
                <w:color w:val="auto"/>
                <w:kern w:val="0"/>
                <w:sz w:val="24"/>
                <w:szCs w:val="24"/>
                <w:highlight w:val="none"/>
                <w:lang w:val="en-US" w:bidi="ar-SA"/>
              </w:rPr>
              <w:t>]</w:t>
            </w:r>
            <w:r>
              <w:rPr>
                <w:rFonts w:hint="eastAsia" w:ascii="仿宋" w:hAnsi="仿宋" w:eastAsia="仿宋" w:cs="仿宋"/>
                <w:color w:val="auto"/>
                <w:kern w:val="0"/>
                <w:sz w:val="24"/>
                <w:szCs w:val="24"/>
                <w:highlight w:val="none"/>
                <w:lang w:val="en-US" w:eastAsia="zh-CN" w:bidi="ar-SA"/>
              </w:rPr>
              <w:t>46</w:t>
            </w:r>
            <w:r>
              <w:rPr>
                <w:rFonts w:hint="eastAsia" w:ascii="仿宋" w:hAnsi="仿宋" w:eastAsia="仿宋" w:cs="仿宋"/>
                <w:color w:val="auto"/>
                <w:kern w:val="0"/>
                <w:sz w:val="24"/>
                <w:szCs w:val="24"/>
                <w:highlight w:val="none"/>
                <w:lang w:val="en-US" w:bidi="ar-SA"/>
              </w:rPr>
              <w:t>号</w:t>
            </w:r>
            <w:r>
              <w:rPr>
                <w:rFonts w:hint="eastAsia" w:ascii="仿宋" w:hAnsi="仿宋" w:eastAsia="仿宋" w:cs="仿宋"/>
                <w:color w:val="auto"/>
                <w:kern w:val="2"/>
                <w:sz w:val="24"/>
                <w:szCs w:val="24"/>
                <w:highlight w:val="none"/>
              </w:rPr>
              <w:t>）文件的规定，属于中小企业评标优惠内容及幅度如下：</w:t>
            </w:r>
          </w:p>
          <w:p w14:paraId="06ED4794">
            <w:pPr>
              <w:pStyle w:val="37"/>
              <w:spacing w:line="300" w:lineRule="exact"/>
              <w:jc w:val="both"/>
              <w:outlineLvl w:val="9"/>
              <w:rPr>
                <w:rFonts w:hint="eastAsia" w:ascii="仿宋" w:hAnsi="仿宋" w:eastAsia="仿宋" w:cs="仿宋"/>
                <w:color w:val="auto"/>
                <w:kern w:val="2"/>
                <w:sz w:val="24"/>
                <w:szCs w:val="24"/>
                <w:highlight w:val="none"/>
              </w:rPr>
            </w:pPr>
            <w:r>
              <w:rPr>
                <w:rFonts w:hint="eastAsia" w:ascii="仿宋" w:hAnsi="仿宋" w:eastAsia="仿宋" w:cs="仿宋"/>
                <w:b/>
                <w:bCs/>
                <w:color w:val="auto"/>
                <w:kern w:val="2"/>
                <w:sz w:val="24"/>
                <w:szCs w:val="24"/>
                <w:highlight w:val="none"/>
              </w:rPr>
              <w:t>（一）中小企业（含中型、小型、微型企业）应当同时符合以下条件：</w:t>
            </w:r>
          </w:p>
          <w:p w14:paraId="4CD03717">
            <w:pPr>
              <w:pStyle w:val="37"/>
              <w:spacing w:line="300" w:lineRule="exact"/>
              <w:jc w:val="both"/>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    ①符合中小企业划分标准(按《关于印发中小企业划型标准规定的通知》(工信部联企业( 2011)300号）执行）；</w:t>
            </w:r>
          </w:p>
          <w:p w14:paraId="665C3F06">
            <w:pPr>
              <w:pStyle w:val="37"/>
              <w:spacing w:line="300" w:lineRule="exact"/>
              <w:jc w:val="both"/>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    ②提供本企业制造的货物、承担的项目或者服务，或者提供其他中小企业制造的货物。本项所称货物不包括使用大型企业注册商标的货物；</w:t>
            </w:r>
          </w:p>
          <w:p w14:paraId="27CF320E">
            <w:pPr>
              <w:pStyle w:val="37"/>
              <w:spacing w:line="300" w:lineRule="exact"/>
              <w:jc w:val="both"/>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    ③小型、微型企业提供中型企业制造的货物的，视同为中型企业。</w:t>
            </w:r>
          </w:p>
          <w:p w14:paraId="7C688C8B">
            <w:pPr>
              <w:pStyle w:val="37"/>
              <w:spacing w:line="300" w:lineRule="exact"/>
              <w:jc w:val="both"/>
              <w:outlineLvl w:val="9"/>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（二）价格扣除办法：</w:t>
            </w:r>
          </w:p>
          <w:p w14:paraId="5F525CA7">
            <w:pPr>
              <w:pStyle w:val="37"/>
              <w:spacing w:line="300" w:lineRule="exact"/>
              <w:ind w:firstLine="480"/>
              <w:jc w:val="both"/>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①对于非专门面向中小企业的项目，对小型和微型企业（或联合体各方均为小型、微型企业的）产品的价格给予</w:t>
            </w:r>
            <w:r>
              <w:rPr>
                <w:rFonts w:hint="eastAsia" w:ascii="仿宋" w:hAnsi="仿宋" w:eastAsia="仿宋" w:cs="仿宋"/>
                <w:color w:val="auto"/>
                <w:kern w:val="2"/>
                <w:sz w:val="24"/>
                <w:szCs w:val="24"/>
                <w:highlight w:val="none"/>
                <w:lang w:eastAsia="zh-CN"/>
              </w:rPr>
              <w:t>10%</w:t>
            </w:r>
            <w:r>
              <w:rPr>
                <w:rFonts w:hint="eastAsia" w:ascii="仿宋" w:hAnsi="仿宋" w:eastAsia="仿宋" w:cs="仿宋"/>
                <w:color w:val="auto"/>
                <w:kern w:val="2"/>
                <w:sz w:val="24"/>
                <w:szCs w:val="24"/>
                <w:highlight w:val="none"/>
              </w:rPr>
              <w:t>的扣除，用扣除后的评标价格参与价格分的评标。</w:t>
            </w:r>
          </w:p>
          <w:p w14:paraId="263D2FBC">
            <w:pPr>
              <w:pStyle w:val="37"/>
              <w:spacing w:line="300" w:lineRule="exact"/>
              <w:ind w:firstLine="480"/>
              <w:jc w:val="both"/>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②大中型企业和其他自然人、法人或者其他组织与小型、微型企业组成联合体，联合体协议中约定，小型、微型企业的协议合同金额占到联合体协议合同总金额30%以上的，可给予联合体2%的价格扣除。联合体各方均为小型、微型企业的，联合体视同为小型、微型企业享受扶持政策。组成联合体的大中型企业和其他自然人、法人或者其他组织，与小型、微型企业之间不得存在投资关系，并附协议书。  </w:t>
            </w:r>
          </w:p>
          <w:p w14:paraId="6C4815AA">
            <w:pPr>
              <w:pStyle w:val="37"/>
              <w:spacing w:line="300" w:lineRule="exact"/>
              <w:jc w:val="both"/>
              <w:outlineLvl w:val="9"/>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（三）小型和微型企业适用价格扣除办法时应提供的相关资料：</w:t>
            </w:r>
          </w:p>
          <w:p w14:paraId="6ED373B5">
            <w:pPr>
              <w:pStyle w:val="37"/>
              <w:spacing w:line="300" w:lineRule="exact"/>
              <w:jc w:val="both"/>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    ①《中小企业声明函》；</w:t>
            </w:r>
          </w:p>
        </w:tc>
      </w:tr>
      <w:tr w14:paraId="5F80A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564" w:type="dxa"/>
            <w:gridSpan w:val="3"/>
            <w:vAlign w:val="center"/>
          </w:tcPr>
          <w:p w14:paraId="6BF144C0">
            <w:pPr>
              <w:pStyle w:val="37"/>
              <w:spacing w:line="340" w:lineRule="exact"/>
              <w:jc w:val="both"/>
              <w:outlineLvl w:val="9"/>
              <w:rPr>
                <w:rFonts w:hint="eastAsia" w:ascii="仿宋" w:hAnsi="仿宋" w:eastAsia="仿宋" w:cs="仿宋"/>
                <w:color w:val="auto"/>
                <w:kern w:val="2"/>
                <w:sz w:val="24"/>
                <w:szCs w:val="24"/>
                <w:highlight w:val="none"/>
              </w:rPr>
            </w:pPr>
            <w:r>
              <w:rPr>
                <w:rFonts w:hint="eastAsia" w:ascii="仿宋" w:hAnsi="仿宋" w:eastAsia="仿宋" w:cs="仿宋"/>
                <w:b/>
                <w:bCs/>
                <w:color w:val="auto"/>
                <w:kern w:val="2"/>
                <w:sz w:val="24"/>
                <w:szCs w:val="24"/>
                <w:highlight w:val="none"/>
              </w:rPr>
              <w:t>C.属于享受政府采购支持政策的残疾人福利性单位评标优惠内容及价格扣除幅度按小型、微型企业评标中价格扣除,残疾人福利性单位属于小型、微型企业的，不重复享受政策。本项目的价格扣除为</w:t>
            </w:r>
            <w:r>
              <w:rPr>
                <w:rFonts w:hint="eastAsia" w:ascii="仿宋" w:hAnsi="仿宋" w:eastAsia="仿宋" w:cs="仿宋"/>
                <w:b/>
                <w:bCs/>
                <w:color w:val="auto"/>
                <w:kern w:val="2"/>
                <w:sz w:val="24"/>
                <w:szCs w:val="24"/>
                <w:highlight w:val="none"/>
                <w:lang w:eastAsia="zh-CN"/>
              </w:rPr>
              <w:t>10%</w:t>
            </w:r>
            <w:r>
              <w:rPr>
                <w:rFonts w:hint="eastAsia" w:ascii="仿宋" w:hAnsi="仿宋" w:eastAsia="仿宋" w:cs="仿宋"/>
                <w:b/>
                <w:bCs/>
                <w:color w:val="auto"/>
                <w:kern w:val="2"/>
                <w:sz w:val="24"/>
                <w:szCs w:val="24"/>
                <w:highlight w:val="none"/>
              </w:rPr>
              <w:t>。</w:t>
            </w:r>
          </w:p>
        </w:tc>
      </w:tr>
      <w:tr w14:paraId="7DCFA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564" w:type="dxa"/>
            <w:gridSpan w:val="3"/>
            <w:vAlign w:val="center"/>
          </w:tcPr>
          <w:p w14:paraId="5FB2972B">
            <w:pPr>
              <w:pStyle w:val="37"/>
              <w:spacing w:line="340" w:lineRule="exact"/>
              <w:jc w:val="both"/>
              <w:outlineLvl w:val="9"/>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D. 属于享受政府采购支持政策的监狱企业评标优惠内容及价格扣除幅度按小型、微型企业评标中价格评审优惠,残疾人福利性单位属于小型、微型企业的，不重复享受政策（须提供由省级以上监狱管理局、戒毒管理局（含新疆生产建设兵团）出具的属于监狱企业的证明文件）。本项目的价格扣除为</w:t>
            </w:r>
            <w:r>
              <w:rPr>
                <w:rFonts w:hint="eastAsia" w:ascii="仿宋" w:hAnsi="仿宋" w:eastAsia="仿宋" w:cs="仿宋"/>
                <w:b/>
                <w:bCs/>
                <w:color w:val="auto"/>
                <w:kern w:val="2"/>
                <w:sz w:val="24"/>
                <w:szCs w:val="24"/>
                <w:highlight w:val="none"/>
                <w:lang w:eastAsia="zh-CN"/>
              </w:rPr>
              <w:t>10%</w:t>
            </w:r>
            <w:r>
              <w:rPr>
                <w:rFonts w:hint="eastAsia" w:ascii="仿宋" w:hAnsi="仿宋" w:eastAsia="仿宋" w:cs="仿宋"/>
                <w:b/>
                <w:bCs/>
                <w:color w:val="auto"/>
                <w:kern w:val="2"/>
                <w:sz w:val="24"/>
                <w:szCs w:val="24"/>
                <w:highlight w:val="none"/>
              </w:rPr>
              <w:t>。</w:t>
            </w:r>
          </w:p>
        </w:tc>
      </w:tr>
      <w:tr w14:paraId="7FC7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64" w:type="dxa"/>
            <w:gridSpan w:val="3"/>
            <w:vAlign w:val="center"/>
          </w:tcPr>
          <w:p w14:paraId="20926029">
            <w:pPr>
              <w:pStyle w:val="37"/>
              <w:spacing w:line="340" w:lineRule="exact"/>
              <w:jc w:val="both"/>
              <w:outlineLvl w:val="9"/>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E.节能、环境标志产品评审优惠内容及办法</w:t>
            </w:r>
          </w:p>
        </w:tc>
      </w:tr>
      <w:tr w14:paraId="04AD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564" w:type="dxa"/>
            <w:gridSpan w:val="3"/>
            <w:vAlign w:val="center"/>
          </w:tcPr>
          <w:p w14:paraId="39155B54">
            <w:pPr>
              <w:pStyle w:val="37"/>
              <w:spacing w:line="340" w:lineRule="exact"/>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根据《国务院办公厅关于建立政府强制采购节能产品制度的通知》（国办发[2007]51号）和财政部、发展改革委发布的《节能产品政府采购实施意见》（财库[2004]185号）以及《财政部、发展改革委关于调整节能产品政府采购清单的通知》最新的规定，投标人所投产品如是《节能产品政府采购清单》内产品，并提供清单内证明材料。其他产品若属于“节能产品政府采购清单”内产品，在同等条件下，优先采购清单中的产品。</w:t>
            </w:r>
          </w:p>
          <w:p w14:paraId="37137620">
            <w:pPr>
              <w:pStyle w:val="37"/>
              <w:spacing w:line="340" w:lineRule="exact"/>
              <w:jc w:val="both"/>
              <w:outlineLvl w:val="9"/>
              <w:rPr>
                <w:rFonts w:hint="eastAsia" w:ascii="仿宋" w:hAnsi="仿宋" w:eastAsia="仿宋" w:cs="仿宋"/>
                <w:b/>
                <w:bCs/>
                <w:color w:val="auto"/>
                <w:kern w:val="2"/>
                <w:sz w:val="24"/>
                <w:szCs w:val="24"/>
                <w:highlight w:val="none"/>
              </w:rPr>
            </w:pPr>
            <w:r>
              <w:rPr>
                <w:rFonts w:hint="eastAsia" w:ascii="仿宋" w:hAnsi="仿宋" w:eastAsia="仿宋" w:cs="仿宋"/>
                <w:color w:val="auto"/>
                <w:kern w:val="2"/>
                <w:sz w:val="24"/>
                <w:szCs w:val="24"/>
                <w:highlight w:val="none"/>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或评审优惠。</w:t>
            </w:r>
          </w:p>
        </w:tc>
      </w:tr>
      <w:tr w14:paraId="5D24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9564" w:type="dxa"/>
            <w:gridSpan w:val="3"/>
            <w:vAlign w:val="center"/>
          </w:tcPr>
          <w:p w14:paraId="11DFEEA9">
            <w:pPr>
              <w:pStyle w:val="37"/>
              <w:spacing w:line="340" w:lineRule="exact"/>
              <w:jc w:val="center"/>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优惠办法</w:t>
            </w:r>
          </w:p>
        </w:tc>
      </w:tr>
      <w:tr w14:paraId="680B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564" w:type="dxa"/>
            <w:gridSpan w:val="3"/>
          </w:tcPr>
          <w:p w14:paraId="78752B84">
            <w:pPr>
              <w:pStyle w:val="37"/>
              <w:spacing w:line="340" w:lineRule="exact"/>
              <w:outlineLvl w:val="9"/>
              <w:rPr>
                <w:rFonts w:hint="eastAsia" w:ascii="仿宋" w:hAnsi="仿宋" w:eastAsia="仿宋" w:cs="仿宋"/>
                <w:b/>
                <w:bCs/>
                <w:color w:val="auto"/>
                <w:kern w:val="2"/>
                <w:sz w:val="24"/>
                <w:szCs w:val="24"/>
                <w:highlight w:val="none"/>
              </w:rPr>
            </w:pPr>
            <w:r>
              <w:rPr>
                <w:rFonts w:hint="eastAsia" w:ascii="仿宋" w:hAnsi="仿宋" w:eastAsia="仿宋" w:cs="仿宋"/>
                <w:color w:val="auto"/>
                <w:kern w:val="2"/>
                <w:sz w:val="24"/>
                <w:szCs w:val="24"/>
                <w:highlight w:val="none"/>
              </w:rPr>
              <w:t>1.产品的价格给予扣除，用扣除后的价格参与价格分的评标。</w:t>
            </w:r>
            <w:r>
              <w:rPr>
                <w:rFonts w:hint="eastAsia" w:ascii="仿宋" w:hAnsi="仿宋" w:eastAsia="仿宋" w:cs="仿宋"/>
                <w:b/>
                <w:bCs/>
                <w:color w:val="auto"/>
                <w:kern w:val="2"/>
                <w:sz w:val="24"/>
                <w:szCs w:val="24"/>
                <w:highlight w:val="none"/>
              </w:rPr>
              <w:t>本项目的价格扣除为</w:t>
            </w:r>
            <w:r>
              <w:rPr>
                <w:rFonts w:hint="eastAsia" w:ascii="仿宋" w:hAnsi="仿宋" w:eastAsia="仿宋" w:cs="仿宋"/>
                <w:b/>
                <w:bCs/>
                <w:color w:val="auto"/>
                <w:kern w:val="2"/>
                <w:sz w:val="24"/>
                <w:szCs w:val="24"/>
                <w:highlight w:val="none"/>
                <w:lang w:val="en-US" w:eastAsia="zh-CN"/>
              </w:rPr>
              <w:t>10</w:t>
            </w:r>
            <w:r>
              <w:rPr>
                <w:rFonts w:hint="eastAsia" w:ascii="仿宋" w:hAnsi="仿宋" w:eastAsia="仿宋" w:cs="仿宋"/>
                <w:b/>
                <w:bCs/>
                <w:color w:val="auto"/>
                <w:kern w:val="2"/>
                <w:sz w:val="24"/>
                <w:szCs w:val="24"/>
                <w:highlight w:val="none"/>
              </w:rPr>
              <w:t>%。</w:t>
            </w:r>
          </w:p>
          <w:p w14:paraId="4A251563">
            <w:pPr>
              <w:pStyle w:val="37"/>
              <w:spacing w:line="340" w:lineRule="exact"/>
              <w:outlineLvl w:val="9"/>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2.投标人须提供国家财政部、发改委公布的最新公布的《节能产品政府采购清单》关于投标产品当前页的打印件或国家财政部、生态环境部最新公布的《环境标志产品政府采购清单》关于供应产品当前页的打印件（加盖投标人单位章），</w:t>
            </w:r>
            <w:r>
              <w:rPr>
                <w:rFonts w:hint="eastAsia" w:ascii="仿宋" w:hAnsi="仿宋" w:eastAsia="仿宋" w:cs="仿宋"/>
                <w:color w:val="auto"/>
                <w:kern w:val="2"/>
                <w:sz w:val="24"/>
                <w:szCs w:val="24"/>
                <w:highlight w:val="none"/>
                <w:lang w:val="zh-CN" w:bidi="zh-CN"/>
              </w:rPr>
              <w:t>提供国家确定的认证机构出具的、处于有效期之内的节能产品或环境标志产品认证证书复印件，并加盖</w:t>
            </w:r>
            <w:r>
              <w:rPr>
                <w:rFonts w:hint="eastAsia" w:ascii="仿宋" w:hAnsi="仿宋" w:eastAsia="仿宋" w:cs="仿宋"/>
                <w:color w:val="auto"/>
                <w:sz w:val="24"/>
                <w:szCs w:val="24"/>
                <w:highlight w:val="none"/>
              </w:rPr>
              <w:t>投标人</w:t>
            </w:r>
            <w:r>
              <w:rPr>
                <w:rFonts w:hint="eastAsia" w:ascii="仿宋" w:hAnsi="仿宋" w:eastAsia="仿宋" w:cs="仿宋"/>
                <w:color w:val="auto"/>
                <w:kern w:val="2"/>
                <w:sz w:val="24"/>
                <w:szCs w:val="24"/>
                <w:highlight w:val="none"/>
                <w:lang w:val="zh-CN" w:bidi="zh-CN"/>
              </w:rPr>
              <w:t>单位的公章。</w:t>
            </w:r>
          </w:p>
        </w:tc>
      </w:tr>
    </w:tbl>
    <w:p w14:paraId="244C3F08">
      <w:pPr>
        <w:outlineLvl w:val="9"/>
        <w:rPr>
          <w:rFonts w:hint="eastAsia" w:ascii="仿宋" w:hAnsi="仿宋" w:eastAsia="仿宋" w:cs="仿宋"/>
          <w:color w:val="auto"/>
          <w:highlight w:val="none"/>
          <w:lang w:val="zh-CN"/>
        </w:rPr>
      </w:pPr>
    </w:p>
    <w:p w14:paraId="420FCD6E">
      <w:pPr>
        <w:tabs>
          <w:tab w:val="left" w:pos="8280"/>
        </w:tabs>
        <w:spacing w:line="360" w:lineRule="auto"/>
        <w:ind w:right="-1" w:firstLine="542" w:firstLineChars="225"/>
        <w:outlineLvl w:val="9"/>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4</w:t>
      </w:r>
      <w:r>
        <w:rPr>
          <w:rFonts w:hint="eastAsia" w:ascii="仿宋" w:hAnsi="仿宋" w:eastAsia="仿宋" w:cs="仿宋"/>
          <w:b/>
          <w:color w:val="auto"/>
          <w:sz w:val="24"/>
          <w:highlight w:val="none"/>
          <w:lang w:val="zh-CN"/>
        </w:rPr>
        <w:t>. 推荐拟中标候选人</w:t>
      </w:r>
    </w:p>
    <w:p w14:paraId="7683ACC3">
      <w:pPr>
        <w:tabs>
          <w:tab w:val="left" w:pos="8280"/>
        </w:tabs>
        <w:spacing w:line="360" w:lineRule="auto"/>
        <w:ind w:right="-1" w:firstLine="540" w:firstLineChars="225"/>
        <w:outlineLvl w:val="9"/>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.1由评标委员会集体按照经署名确认的汇总得分排序顺序，</w:t>
      </w:r>
      <w:r>
        <w:rPr>
          <w:rFonts w:hint="eastAsia" w:ascii="仿宋" w:hAnsi="仿宋" w:eastAsia="仿宋" w:cs="仿宋"/>
          <w:bCs/>
          <w:color w:val="auto"/>
          <w:sz w:val="24"/>
          <w:highlight w:val="none"/>
        </w:rPr>
        <w:t>推荐拟中标候选人。</w:t>
      </w:r>
    </w:p>
    <w:p w14:paraId="12A458FA">
      <w:pPr>
        <w:tabs>
          <w:tab w:val="left" w:pos="8280"/>
        </w:tabs>
        <w:spacing w:line="360" w:lineRule="auto"/>
        <w:ind w:right="-1" w:firstLine="540" w:firstLineChars="225"/>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24.2 推荐拟中标候选投标人数量应当根据采购需要确定，应当限定在一至三人，并标明排列顺序。排序第一位的为推荐的</w:t>
      </w:r>
      <w:r>
        <w:rPr>
          <w:rFonts w:hint="eastAsia" w:ascii="仿宋" w:hAnsi="仿宋" w:eastAsia="仿宋" w:cs="仿宋"/>
          <w:color w:val="auto"/>
          <w:sz w:val="24"/>
          <w:szCs w:val="24"/>
          <w:highlight w:val="none"/>
        </w:rPr>
        <w:t>第一拟成交投标人。</w:t>
      </w:r>
    </w:p>
    <w:p w14:paraId="2C254EC7">
      <w:pPr>
        <w:tabs>
          <w:tab w:val="left" w:pos="8280"/>
        </w:tabs>
        <w:spacing w:line="360" w:lineRule="auto"/>
        <w:ind w:right="-1" w:firstLine="540" w:firstLineChars="225"/>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.3 投标方</w:t>
      </w:r>
      <w:r>
        <w:rPr>
          <w:rFonts w:hint="eastAsia" w:ascii="仿宋" w:hAnsi="仿宋" w:eastAsia="仿宋" w:cs="仿宋"/>
          <w:bCs/>
          <w:color w:val="auto"/>
          <w:sz w:val="24"/>
          <w:highlight w:val="none"/>
        </w:rPr>
        <w:t>最低投标报价不是唯一中标条件</w:t>
      </w:r>
      <w:r>
        <w:rPr>
          <w:rFonts w:hint="eastAsia" w:ascii="仿宋" w:hAnsi="仿宋" w:eastAsia="仿宋" w:cs="仿宋"/>
          <w:color w:val="auto"/>
          <w:sz w:val="24"/>
          <w:highlight w:val="none"/>
          <w:lang w:val="zh-CN"/>
        </w:rPr>
        <w:t>。对资格资格审查和符合性审查合格的投标报价文件完整无缺、最大限度的满足招标文件需求的投标方，中标机会均等。</w:t>
      </w:r>
    </w:p>
    <w:p w14:paraId="7774888D">
      <w:pPr>
        <w:tabs>
          <w:tab w:val="left" w:pos="8280"/>
        </w:tabs>
        <w:spacing w:line="360" w:lineRule="auto"/>
        <w:ind w:right="-1" w:firstLine="540" w:firstLineChars="22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24.4 如汇总得分排序后出现</w:t>
      </w:r>
      <w:r>
        <w:rPr>
          <w:rFonts w:hint="eastAsia" w:ascii="仿宋" w:hAnsi="仿宋" w:eastAsia="仿宋" w:cs="仿宋"/>
          <w:bCs/>
          <w:color w:val="auto"/>
          <w:sz w:val="24"/>
          <w:highlight w:val="none"/>
        </w:rPr>
        <w:t>推荐拟中标候选人</w:t>
      </w:r>
      <w:r>
        <w:rPr>
          <w:rFonts w:hint="eastAsia" w:ascii="仿宋" w:hAnsi="仿宋" w:eastAsia="仿宋" w:cs="仿宋"/>
          <w:color w:val="auto"/>
          <w:sz w:val="24"/>
          <w:szCs w:val="24"/>
          <w:highlight w:val="none"/>
        </w:rPr>
        <w:t>得分相同的，评标委员会只对取得得分前三位投标人，按照</w:t>
      </w:r>
      <w:r>
        <w:rPr>
          <w:rFonts w:hint="eastAsia" w:ascii="仿宋" w:hAnsi="仿宋" w:eastAsia="仿宋" w:cs="仿宋"/>
          <w:color w:val="auto"/>
          <w:sz w:val="24"/>
          <w:highlight w:val="none"/>
          <w:lang w:val="zh-CN"/>
        </w:rPr>
        <w:t>其报价由低到高顺序排列；得分且其报价相等的，则按核心技术指标优劣顺序排列。价格、技术指标的高</w:t>
      </w:r>
      <w:r>
        <w:rPr>
          <w:rFonts w:hint="eastAsia" w:ascii="仿宋" w:hAnsi="仿宋" w:eastAsia="仿宋" w:cs="仿宋"/>
          <w:color w:val="auto"/>
          <w:sz w:val="24"/>
          <w:szCs w:val="24"/>
          <w:highlight w:val="none"/>
        </w:rPr>
        <w:t>低或优劣由评标委员会集体进行综合确认评定。排序在前三位之后的，按原排序不变，允许排序并列。</w:t>
      </w:r>
    </w:p>
    <w:p w14:paraId="402D13E8">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.5 由采购代理机构对未推荐拟成交候选人、确认废标的，进行核对汇总后，由评标委员会各成员签署确认。</w:t>
      </w:r>
    </w:p>
    <w:p w14:paraId="60862694">
      <w:pPr>
        <w:tabs>
          <w:tab w:val="left" w:pos="8280"/>
        </w:tabs>
        <w:spacing w:line="360" w:lineRule="auto"/>
        <w:ind w:right="-1" w:firstLine="542" w:firstLineChars="225"/>
        <w:outlineLvl w:val="9"/>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5</w:t>
      </w:r>
      <w:r>
        <w:rPr>
          <w:rFonts w:hint="eastAsia" w:ascii="仿宋" w:hAnsi="仿宋" w:eastAsia="仿宋" w:cs="仿宋"/>
          <w:b/>
          <w:color w:val="auto"/>
          <w:sz w:val="24"/>
          <w:highlight w:val="none"/>
          <w:lang w:val="zh-CN"/>
        </w:rPr>
        <w:t>. 编写评标报告</w:t>
      </w:r>
    </w:p>
    <w:p w14:paraId="2B355ADE">
      <w:pPr>
        <w:tabs>
          <w:tab w:val="left" w:pos="8280"/>
        </w:tabs>
        <w:spacing w:line="360" w:lineRule="auto"/>
        <w:ind w:right="-1" w:firstLine="540" w:firstLineChars="22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color w:val="auto"/>
          <w:sz w:val="24"/>
          <w:highlight w:val="none"/>
          <w:lang w:val="zh-CN"/>
        </w:rPr>
        <w:t>评标委员会</w:t>
      </w:r>
      <w:r>
        <w:rPr>
          <w:rFonts w:hint="eastAsia" w:ascii="仿宋" w:hAnsi="仿宋" w:eastAsia="仿宋" w:cs="仿宋"/>
          <w:color w:val="auto"/>
          <w:sz w:val="24"/>
          <w:szCs w:val="24"/>
          <w:highlight w:val="none"/>
        </w:rPr>
        <w:t>根据全体成员签字的评标（评审）原始记录和结果，编写评标报告，并现场提交给采购代理机构。编写的评标报告要符合招标文件的要求。</w:t>
      </w:r>
    </w:p>
    <w:p w14:paraId="42ED3A44">
      <w:pPr>
        <w:tabs>
          <w:tab w:val="left" w:pos="8280"/>
        </w:tabs>
        <w:spacing w:line="360" w:lineRule="auto"/>
        <w:ind w:right="-1" w:firstLine="542" w:firstLineChars="225"/>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26. 评标结束</w:t>
      </w:r>
    </w:p>
    <w:p w14:paraId="089082C4">
      <w:pPr>
        <w:tabs>
          <w:tab w:val="left" w:pos="8280"/>
        </w:tabs>
        <w:spacing w:line="360" w:lineRule="auto"/>
        <w:ind w:right="-1" w:firstLine="540" w:firstLineChars="225"/>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26.1采购代理机构应按规定时间，通知全部参与本次招标投标有效的投标人入场，进行会议总结，宣布本次</w:t>
      </w:r>
      <w:r>
        <w:rPr>
          <w:rFonts w:hint="eastAsia" w:ascii="仿宋" w:hAnsi="仿宋" w:eastAsia="仿宋" w:cs="仿宋"/>
          <w:color w:val="auto"/>
          <w:sz w:val="24"/>
          <w:highlight w:val="none"/>
          <w:lang w:val="zh-CN"/>
        </w:rPr>
        <w:t>评标委员会</w:t>
      </w:r>
      <w:r>
        <w:rPr>
          <w:rFonts w:hint="eastAsia" w:ascii="仿宋" w:hAnsi="仿宋" w:eastAsia="仿宋" w:cs="仿宋"/>
          <w:color w:val="auto"/>
          <w:sz w:val="24"/>
          <w:szCs w:val="24"/>
          <w:highlight w:val="none"/>
        </w:rPr>
        <w:t>推荐的第一拟成交投标人名单。</w:t>
      </w:r>
    </w:p>
    <w:p w14:paraId="67CFE90A">
      <w:pPr>
        <w:tabs>
          <w:tab w:val="left" w:pos="8280"/>
        </w:tabs>
        <w:spacing w:line="360" w:lineRule="auto"/>
        <w:ind w:right="-1" w:firstLine="540" w:firstLineChars="225"/>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26.2 评审小组各成员名单不公开。</w:t>
      </w:r>
    </w:p>
    <w:p w14:paraId="18CBE9DF">
      <w:pPr>
        <w:tabs>
          <w:tab w:val="left" w:pos="8280"/>
        </w:tabs>
        <w:spacing w:line="360" w:lineRule="auto"/>
        <w:ind w:right="-1" w:firstLine="540" w:firstLineChars="22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26.3 由采购代理机构宣读有关招标信息公告、中标确认原则及质疑（投诉）事项等说明。</w:t>
      </w:r>
    </w:p>
    <w:p w14:paraId="5B6424B4">
      <w:pPr>
        <w:tabs>
          <w:tab w:val="left" w:pos="8280"/>
        </w:tabs>
        <w:spacing w:line="360" w:lineRule="auto"/>
        <w:ind w:right="-1" w:firstLine="540" w:firstLineChars="22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26.4 在宣布会议结束后，采购代理机构均有义务告知所有投标人办理投标保证金的退付手续。</w:t>
      </w:r>
    </w:p>
    <w:p w14:paraId="7933193B">
      <w:pPr>
        <w:tabs>
          <w:tab w:val="left" w:pos="8280"/>
        </w:tabs>
        <w:spacing w:line="360" w:lineRule="auto"/>
        <w:ind w:right="-1" w:firstLine="540" w:firstLineChars="22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 xml:space="preserve">.5 </w:t>
      </w:r>
      <w:r>
        <w:rPr>
          <w:rFonts w:hint="eastAsia" w:ascii="仿宋" w:hAnsi="仿宋" w:eastAsia="仿宋" w:cs="仿宋"/>
          <w:color w:val="auto"/>
          <w:sz w:val="24"/>
          <w:szCs w:val="24"/>
          <w:highlight w:val="none"/>
        </w:rPr>
        <w:t>评标和定标一般应当在开标后7个工作日内完成，项目金额较大、技术较为复杂等特殊项目的评标工作应当在30个工作日内完成。不能在开标后30个工作日内完成评标和定标的，招标人应当提前3天通知所有投标人延长投标有效期。同意延长投标有效期的投标人应当相应延长其投标保证金的有效期，但不得修改其投标文件的实质性内容。</w:t>
      </w:r>
    </w:p>
    <w:p w14:paraId="25EEFFFE">
      <w:pPr>
        <w:outlineLvl w:val="9"/>
        <w:rPr>
          <w:rFonts w:hint="eastAsia" w:ascii="仿宋" w:hAnsi="仿宋" w:eastAsia="仿宋" w:cs="仿宋"/>
          <w:color w:val="auto"/>
          <w:highlight w:val="none"/>
        </w:rPr>
      </w:pPr>
    </w:p>
    <w:p w14:paraId="1D07D066">
      <w:pPr>
        <w:spacing w:line="360" w:lineRule="auto"/>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第三章 定　标</w:t>
      </w:r>
    </w:p>
    <w:p w14:paraId="0D278653">
      <w:pPr>
        <w:autoSpaceDE w:val="0"/>
        <w:autoSpaceDN w:val="0"/>
        <w:adjustRightInd w:val="0"/>
        <w:spacing w:line="360" w:lineRule="auto"/>
        <w:ind w:firstLine="482" w:firstLineChars="200"/>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27</w:t>
      </w:r>
      <w:r>
        <w:rPr>
          <w:rFonts w:hint="eastAsia" w:ascii="仿宋" w:hAnsi="仿宋" w:eastAsia="仿宋" w:cs="仿宋"/>
          <w:b/>
          <w:bCs/>
          <w:color w:val="auto"/>
          <w:sz w:val="24"/>
          <w:highlight w:val="none"/>
          <w:lang w:val="zh-CN"/>
        </w:rPr>
        <w:t>．定标标准</w:t>
      </w:r>
    </w:p>
    <w:p w14:paraId="671DE108">
      <w:pPr>
        <w:autoSpaceDE w:val="0"/>
        <w:autoSpaceDN w:val="0"/>
        <w:adjustRightIn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 招标代理机构</w:t>
      </w:r>
      <w:r>
        <w:rPr>
          <w:rFonts w:hint="eastAsia" w:ascii="仿宋" w:hAnsi="仿宋" w:eastAsia="仿宋" w:cs="仿宋"/>
          <w:color w:val="auto"/>
          <w:sz w:val="24"/>
          <w:highlight w:val="none"/>
          <w:lang w:val="zh-CN"/>
        </w:rPr>
        <w:t>应在评标结束后</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个工作日内，以书面形式向采购人发出《关于给予评审结果的确认函》，采购人在收到后5个工作日内，应按照评标报告确定的中标候选投标人名单中的顺序确认中标投标人</w:t>
      </w:r>
      <w:r>
        <w:rPr>
          <w:rFonts w:hint="eastAsia" w:ascii="仿宋" w:hAnsi="仿宋" w:eastAsia="仿宋" w:cs="仿宋"/>
          <w:color w:val="auto"/>
          <w:sz w:val="24"/>
          <w:szCs w:val="24"/>
          <w:highlight w:val="none"/>
        </w:rPr>
        <w:t>。</w:t>
      </w:r>
    </w:p>
    <w:p w14:paraId="506053E2">
      <w:pPr>
        <w:autoSpaceDE w:val="0"/>
        <w:autoSpaceDN w:val="0"/>
        <w:adjustRightIn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27.2 中标投标人因不可抗力或者自身原因不能履行合同的，采购人可以与排位在中标投标人之后第一位的中标候选投标人签订合同，以此类推。</w:t>
      </w:r>
    </w:p>
    <w:p w14:paraId="43A83D5D">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27.2.1 最低投标价不一定是被授予合同的保证。</w:t>
      </w:r>
    </w:p>
    <w:p w14:paraId="07A920AD">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27.2.2 合同将授予被确定为实质上响应招标文件要求，经评定认为具备履行合同义务能力、报价合理、技术和商务条件都符合招标文件要求的、对买方最为有利的投标人。</w:t>
      </w:r>
    </w:p>
    <w:p w14:paraId="4A2FF745">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27.2.3 如果采购人确定该中标投标人无条件圆满履行合同，应由采购人将对下一个可能成交的投标人资格做出类似的审查。</w:t>
      </w:r>
    </w:p>
    <w:p w14:paraId="362CE0D8">
      <w:pPr>
        <w:autoSpaceDE w:val="0"/>
        <w:autoSpaceDN w:val="0"/>
        <w:adjustRightInd w:val="0"/>
        <w:spacing w:line="360" w:lineRule="auto"/>
        <w:ind w:firstLine="482"/>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28</w:t>
      </w:r>
      <w:r>
        <w:rPr>
          <w:rFonts w:hint="eastAsia" w:ascii="仿宋" w:hAnsi="仿宋" w:eastAsia="仿宋" w:cs="仿宋"/>
          <w:b/>
          <w:bCs/>
          <w:color w:val="auto"/>
          <w:sz w:val="24"/>
          <w:highlight w:val="none"/>
          <w:lang w:val="zh-CN"/>
        </w:rPr>
        <w:t>．接受和拒绝任何或所有投标的权力</w:t>
      </w:r>
    </w:p>
    <w:p w14:paraId="265AA8CC">
      <w:pPr>
        <w:autoSpaceDE w:val="0"/>
        <w:autoSpaceDN w:val="0"/>
        <w:adjustRightInd w:val="0"/>
        <w:spacing w:line="360" w:lineRule="auto"/>
        <w:ind w:firstLine="472"/>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28</w:t>
      </w:r>
      <w:r>
        <w:rPr>
          <w:rFonts w:hint="eastAsia" w:ascii="仿宋" w:hAnsi="仿宋" w:eastAsia="仿宋" w:cs="仿宋"/>
          <w:color w:val="auto"/>
          <w:sz w:val="24"/>
          <w:highlight w:val="none"/>
          <w:lang w:val="zh-CN"/>
        </w:rPr>
        <w:t>.1 为维护国家利益，评标委员会在授予合同之前仍有选择或拒绝任何投标的权力。</w:t>
      </w:r>
    </w:p>
    <w:p w14:paraId="4F815FB3">
      <w:pPr>
        <w:autoSpaceDE w:val="0"/>
        <w:autoSpaceDN w:val="0"/>
        <w:adjustRightInd w:val="0"/>
        <w:spacing w:line="360" w:lineRule="auto"/>
        <w:ind w:firstLine="482"/>
        <w:outlineLvl w:val="9"/>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rPr>
        <w:t>29</w:t>
      </w:r>
      <w:r>
        <w:rPr>
          <w:rFonts w:hint="eastAsia" w:ascii="仿宋" w:hAnsi="仿宋" w:eastAsia="仿宋" w:cs="仿宋"/>
          <w:b/>
          <w:bCs/>
          <w:color w:val="auto"/>
          <w:sz w:val="24"/>
          <w:highlight w:val="none"/>
          <w:lang w:val="zh-CN"/>
        </w:rPr>
        <w:t>．中标通知书</w:t>
      </w:r>
    </w:p>
    <w:p w14:paraId="7BA680D9">
      <w:pPr>
        <w:autoSpaceDE w:val="0"/>
        <w:autoSpaceDN w:val="0"/>
        <w:adjustRightInd w:val="0"/>
        <w:spacing w:line="360" w:lineRule="auto"/>
        <w:ind w:firstLine="472"/>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szCs w:val="24"/>
          <w:highlight w:val="none"/>
        </w:rPr>
        <w:t>29.1 中标投标人确定后，采购代理机构应当将中标结果在省级以上财政部门指定的信息发布媒体上公告1个工作日，在公告中标结果的同时，采购代理机构向中标投标人发出</w:t>
      </w:r>
      <w:r>
        <w:rPr>
          <w:rFonts w:hint="eastAsia" w:ascii="仿宋" w:hAnsi="仿宋" w:eastAsia="仿宋" w:cs="仿宋"/>
          <w:bCs/>
          <w:color w:val="auto"/>
          <w:sz w:val="24"/>
          <w:highlight w:val="none"/>
        </w:rPr>
        <w:t>《中标通知书》。</w:t>
      </w:r>
    </w:p>
    <w:p w14:paraId="7B82F0C5">
      <w:pPr>
        <w:autoSpaceDE w:val="0"/>
        <w:autoSpaceDN w:val="0"/>
        <w:adjustRightIn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29.1.1 投标人对中标公告有异议的，应当在中标公告发布之日起七个工作日内，以书面形式向采购代理机构提出质疑。采购代理机构应当在收到</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人书面质疑后七个工作日内，对质疑内容做出答复。质疑投标人对答复不满意或者采购代理机构未在规定时间内答复的，可以在答复期满后十五个工作日内按有关规定，向同级人民政府财政部门投诉。</w:t>
      </w:r>
    </w:p>
    <w:p w14:paraId="2F14F099">
      <w:pPr>
        <w:autoSpaceDE w:val="0"/>
        <w:autoSpaceDN w:val="0"/>
        <w:adjustRightInd w:val="0"/>
        <w:spacing w:line="360" w:lineRule="auto"/>
        <w:ind w:firstLine="472"/>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29</w:t>
      </w:r>
      <w:r>
        <w:rPr>
          <w:rFonts w:hint="eastAsia" w:ascii="仿宋" w:hAnsi="仿宋" w:eastAsia="仿宋" w:cs="仿宋"/>
          <w:color w:val="auto"/>
          <w:sz w:val="24"/>
          <w:highlight w:val="none"/>
          <w:lang w:val="zh-CN"/>
        </w:rPr>
        <w:t>.1.2 采购人在收到《关于给予评审结果的确认函》5个工作日内，如不按规定确认中标投标人，应在规定的5个工作日期限内，以书面方式回函提出异议，经过财政监管部门同意后，由采购代理机构直接向中标首选投标人发出《中标通知书》。如逾期既不确认也不回函提出异议的，采购代理机构则视同采购人认可评标委员会推荐的中标首选结果，由采购代理机构直接向拟中标首选投标人发出《中标通知书》。一经发出即发生法律效力。</w:t>
      </w:r>
    </w:p>
    <w:p w14:paraId="5F94B759">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29</w:t>
      </w:r>
      <w:r>
        <w:rPr>
          <w:rFonts w:hint="eastAsia" w:ascii="仿宋" w:hAnsi="仿宋" w:eastAsia="仿宋" w:cs="仿宋"/>
          <w:color w:val="auto"/>
          <w:sz w:val="24"/>
          <w:highlight w:val="none"/>
          <w:lang w:val="zh-CN"/>
        </w:rPr>
        <w:t>.1.3 中标投标人领取《中标通知书》时，须向采购人提交合同履约保证金，拒绝提交的，视为放弃成交项目。</w:t>
      </w:r>
    </w:p>
    <w:p w14:paraId="34E77F83">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29</w:t>
      </w:r>
      <w:r>
        <w:rPr>
          <w:rFonts w:hint="eastAsia" w:ascii="仿宋" w:hAnsi="仿宋" w:eastAsia="仿宋" w:cs="仿宋"/>
          <w:color w:val="auto"/>
          <w:sz w:val="24"/>
          <w:highlight w:val="none"/>
          <w:lang w:val="zh-CN"/>
        </w:rPr>
        <w:t>.1.3.1 合同履约保证金待合同执行期满、货物验收合格及办理货款结算时，由采购人无息退还。</w:t>
      </w:r>
    </w:p>
    <w:p w14:paraId="57CCED99">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29</w:t>
      </w:r>
      <w:r>
        <w:rPr>
          <w:rFonts w:hint="eastAsia" w:ascii="仿宋" w:hAnsi="仿宋" w:eastAsia="仿宋" w:cs="仿宋"/>
          <w:color w:val="auto"/>
          <w:sz w:val="24"/>
          <w:highlight w:val="none"/>
          <w:lang w:val="zh-CN"/>
        </w:rPr>
        <w:t>.1.3.2 合同履约保证金可采用银行汇票、银行保函等形式交纳，成交投标人须将履约保证金交到采购人指定帐户。指定账户与投标报价保证金同账户。</w:t>
      </w:r>
    </w:p>
    <w:p w14:paraId="473C9915">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29</w:t>
      </w:r>
      <w:r>
        <w:rPr>
          <w:rFonts w:hint="eastAsia" w:ascii="仿宋" w:hAnsi="仿宋" w:eastAsia="仿宋" w:cs="仿宋"/>
          <w:color w:val="auto"/>
          <w:sz w:val="24"/>
          <w:highlight w:val="none"/>
          <w:lang w:val="zh-CN"/>
        </w:rPr>
        <w:t>.1.3.3 中标投标人提交的合同履约保证金，其有效期限应不低于合同有效期。</w:t>
      </w:r>
    </w:p>
    <w:p w14:paraId="5AE42E1C">
      <w:pPr>
        <w:autoSpaceDE w:val="0"/>
        <w:autoSpaceDN w:val="0"/>
        <w:adjustRightIn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29.2  </w:t>
      </w:r>
      <w:r>
        <w:rPr>
          <w:rFonts w:hint="eastAsia" w:ascii="仿宋" w:hAnsi="仿宋" w:eastAsia="仿宋" w:cs="仿宋"/>
          <w:color w:val="auto"/>
          <w:sz w:val="24"/>
          <w:highlight w:val="none"/>
          <w:lang w:val="zh-CN"/>
        </w:rPr>
        <w:t>在发布中标公告后，招标采购单位应当向中标投标人发出中标通知书，中标通知书对采购人和中标投标人具有同等法律效力。《中标通知书》</w:t>
      </w:r>
      <w:r>
        <w:rPr>
          <w:rFonts w:hint="eastAsia" w:ascii="仿宋" w:hAnsi="仿宋" w:eastAsia="仿宋" w:cs="仿宋"/>
          <w:color w:val="auto"/>
          <w:sz w:val="24"/>
          <w:szCs w:val="24"/>
          <w:highlight w:val="none"/>
        </w:rPr>
        <w:t>发出后，采购人改变中标结果，或者中标投标人放弃成交，应当承担相应的法律责任。</w:t>
      </w:r>
    </w:p>
    <w:p w14:paraId="2EA82440">
      <w:pPr>
        <w:autoSpaceDE w:val="0"/>
        <w:autoSpaceDN w:val="0"/>
        <w:adjustRightInd w:val="0"/>
        <w:spacing w:line="360" w:lineRule="auto"/>
        <w:ind w:firstLine="480" w:firstLineChars="200"/>
        <w:outlineLvl w:val="9"/>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29</w:t>
      </w:r>
      <w:r>
        <w:rPr>
          <w:rFonts w:hint="eastAsia" w:ascii="仿宋" w:hAnsi="仿宋" w:eastAsia="仿宋" w:cs="仿宋"/>
          <w:color w:val="auto"/>
          <w:sz w:val="24"/>
          <w:highlight w:val="none"/>
          <w:lang w:val="zh-CN"/>
        </w:rPr>
        <w:t>.3 《中标通知书》要作为</w:t>
      </w:r>
      <w:r>
        <w:rPr>
          <w:rFonts w:hint="eastAsia" w:ascii="仿宋" w:hAnsi="仿宋" w:eastAsia="仿宋" w:cs="仿宋"/>
          <w:color w:val="auto"/>
          <w:sz w:val="24"/>
          <w:szCs w:val="24"/>
          <w:highlight w:val="none"/>
        </w:rPr>
        <w:t>采购人、中标投标人</w:t>
      </w:r>
      <w:r>
        <w:rPr>
          <w:rFonts w:hint="eastAsia" w:ascii="仿宋" w:hAnsi="仿宋" w:eastAsia="仿宋" w:cs="仿宋"/>
          <w:color w:val="auto"/>
          <w:sz w:val="24"/>
          <w:highlight w:val="none"/>
          <w:lang w:val="zh-CN"/>
        </w:rPr>
        <w:t>签订的由采购人监章的合同的依据。</w:t>
      </w:r>
    </w:p>
    <w:p w14:paraId="7AEAE337">
      <w:pPr>
        <w:spacing w:line="360" w:lineRule="auto"/>
        <w:jc w:val="center"/>
        <w:outlineLvl w:val="1"/>
        <w:rPr>
          <w:rFonts w:hint="eastAsia" w:ascii="仿宋" w:hAnsi="仿宋" w:eastAsia="仿宋" w:cs="仿宋"/>
          <w:b/>
          <w:color w:val="auto"/>
          <w:sz w:val="32"/>
          <w:szCs w:val="32"/>
          <w:highlight w:val="none"/>
        </w:rPr>
      </w:pPr>
    </w:p>
    <w:p w14:paraId="39F4BB68">
      <w:pPr>
        <w:spacing w:line="360" w:lineRule="auto"/>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第四章 授予合同</w:t>
      </w:r>
    </w:p>
    <w:p w14:paraId="5F799507">
      <w:pPr>
        <w:autoSpaceDE w:val="0"/>
        <w:autoSpaceDN w:val="0"/>
        <w:adjustRightInd w:val="0"/>
        <w:spacing w:line="360" w:lineRule="auto"/>
        <w:ind w:firstLine="482"/>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30. </w:t>
      </w:r>
      <w:r>
        <w:rPr>
          <w:rFonts w:hint="eastAsia" w:ascii="仿宋" w:hAnsi="仿宋" w:eastAsia="仿宋" w:cs="仿宋"/>
          <w:b/>
          <w:bCs/>
          <w:color w:val="auto"/>
          <w:sz w:val="24"/>
          <w:highlight w:val="none"/>
          <w:lang w:val="zh-CN"/>
        </w:rPr>
        <w:t>签订合同</w:t>
      </w:r>
    </w:p>
    <w:p w14:paraId="7A7B3FAA">
      <w:pPr>
        <w:autoSpaceDE w:val="0"/>
        <w:autoSpaceDN w:val="0"/>
        <w:adjustRightInd w:val="0"/>
        <w:spacing w:line="360" w:lineRule="auto"/>
        <w:ind w:firstLine="472"/>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zh-CN"/>
        </w:rPr>
        <w:t>.1</w:t>
      </w:r>
      <w:r>
        <w:rPr>
          <w:rFonts w:hint="eastAsia" w:ascii="仿宋" w:hAnsi="仿宋" w:eastAsia="仿宋" w:cs="仿宋"/>
          <w:color w:val="auto"/>
          <w:sz w:val="24"/>
          <w:szCs w:val="24"/>
          <w:highlight w:val="none"/>
        </w:rPr>
        <w:t xml:space="preserve"> 中标投标人应当自《中标通知书》发出之日起30日内，</w:t>
      </w:r>
      <w:r>
        <w:rPr>
          <w:rFonts w:hint="eastAsia" w:ascii="仿宋" w:hAnsi="仿宋" w:eastAsia="仿宋" w:cs="仿宋"/>
          <w:color w:val="auto"/>
          <w:sz w:val="24"/>
          <w:highlight w:val="none"/>
          <w:lang w:val="zh-CN"/>
        </w:rPr>
        <w:t>按照采购代理机构招标文件的约定和中标方投标文件中的承诺与采购单位签订书面合同，所签订的合同不得对采购代理机构招标文件和中标方的投标文件作实质性修改。</w:t>
      </w:r>
    </w:p>
    <w:p w14:paraId="1AD930D7">
      <w:pPr>
        <w:autoSpaceDE w:val="0"/>
        <w:autoSpaceDN w:val="0"/>
        <w:adjustRightInd w:val="0"/>
        <w:spacing w:line="360" w:lineRule="auto"/>
        <w:ind w:firstLine="472"/>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zh-CN"/>
        </w:rPr>
        <w:t>.2 采购单位不得向中标投标人提出任何不合理要求作为签订合同的条件，不得与中标投标人私下订立背离合同实质性内容的协议。</w:t>
      </w:r>
    </w:p>
    <w:p w14:paraId="366D85DC">
      <w:pPr>
        <w:autoSpaceDE w:val="0"/>
        <w:autoSpaceDN w:val="0"/>
        <w:adjustRightInd w:val="0"/>
        <w:spacing w:line="360" w:lineRule="auto"/>
        <w:ind w:firstLine="472"/>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zh-CN"/>
        </w:rPr>
        <w:t>.3 合同的双方当事人不得擅自变更、中止或者终止合同。</w:t>
      </w:r>
    </w:p>
    <w:p w14:paraId="74F373EB">
      <w:pPr>
        <w:autoSpaceDE w:val="0"/>
        <w:autoSpaceDN w:val="0"/>
        <w:adjustRightInd w:val="0"/>
        <w:spacing w:line="360" w:lineRule="auto"/>
        <w:ind w:firstLine="472"/>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zh-CN"/>
        </w:rPr>
        <w:t>.4 合同继续履行将损害国家利益和社会公共利益的，双方当事人应当变更、中止或者终止合同。有过错的一方承担赔偿责任，双方都有过错的，各自承担相应责任。</w:t>
      </w:r>
    </w:p>
    <w:p w14:paraId="08720AF6">
      <w:pPr>
        <w:autoSpaceDE w:val="0"/>
        <w:autoSpaceDN w:val="0"/>
        <w:adjustRightInd w:val="0"/>
        <w:spacing w:line="360" w:lineRule="auto"/>
        <w:ind w:firstLine="472"/>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zh-CN"/>
        </w:rPr>
        <w:t>.5 合同履行中，采购人需追加与合同标的相同的货物、工程或者服务的，在不改变其他条款的前提下，经采购人审查后，可以与投标人签订补充合同，补充合同须有采购人监章，但所有补充合同的采购金额不得超过原合同金额的10%。</w:t>
      </w:r>
    </w:p>
    <w:p w14:paraId="07ED0209">
      <w:pPr>
        <w:autoSpaceDE w:val="0"/>
        <w:autoSpaceDN w:val="0"/>
        <w:adjustRightInd w:val="0"/>
        <w:spacing w:line="360" w:lineRule="auto"/>
        <w:ind w:firstLine="472"/>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zh-CN"/>
        </w:rPr>
        <w:t>.5.1 采购人在授予中标人合同时，经审查采购人的书面申请后，有权对招标文件中规定的货物和服务的数量在10%的幅度内予以增加或减少，并要在合同中增加条款进行说明。</w:t>
      </w:r>
    </w:p>
    <w:p w14:paraId="3CD09FDD">
      <w:pPr>
        <w:autoSpaceDE w:val="0"/>
        <w:autoSpaceDN w:val="0"/>
        <w:adjustRightInd w:val="0"/>
        <w:spacing w:line="360" w:lineRule="auto"/>
        <w:ind w:firstLine="472"/>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zh-CN"/>
        </w:rPr>
        <w:t>.6 如中标投标人拒签合同，则按违约处理。采购人将没收其合同履约保证金。</w:t>
      </w:r>
    </w:p>
    <w:p w14:paraId="6E7C9E06">
      <w:pPr>
        <w:autoSpaceDE w:val="0"/>
        <w:autoSpaceDN w:val="0"/>
        <w:adjustRightInd w:val="0"/>
        <w:spacing w:line="360" w:lineRule="auto"/>
        <w:ind w:firstLine="472"/>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30.</w:t>
      </w:r>
      <w:r>
        <w:rPr>
          <w:rFonts w:hint="eastAsia" w:ascii="仿宋" w:hAnsi="仿宋" w:eastAsia="仿宋" w:cs="仿宋"/>
          <w:color w:val="auto"/>
          <w:sz w:val="24"/>
          <w:highlight w:val="none"/>
          <w:lang w:val="zh-CN"/>
        </w:rPr>
        <w:t>7 采购代理机构的招标文件、中标方的投标文件及其澄清、询标（答疑）文件等，均做为签订合同的法律依据。</w:t>
      </w:r>
    </w:p>
    <w:p w14:paraId="4DC02950">
      <w:pPr>
        <w:autoSpaceDE w:val="0"/>
        <w:autoSpaceDN w:val="0"/>
        <w:adjustRightInd w:val="0"/>
        <w:spacing w:line="360" w:lineRule="auto"/>
        <w:ind w:firstLine="472"/>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zh-CN"/>
        </w:rPr>
        <w:t>.8 在未经采购人允许的情况下，不允许中标人将成交项目分包或转交他人承担。而且，采购人也不得直接指定分包人。</w:t>
      </w:r>
    </w:p>
    <w:p w14:paraId="1FEEF1E2">
      <w:pPr>
        <w:autoSpaceDE w:val="0"/>
        <w:autoSpaceDN w:val="0"/>
        <w:adjustRightInd w:val="0"/>
        <w:spacing w:line="360" w:lineRule="auto"/>
        <w:ind w:firstLine="472"/>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zh-CN"/>
        </w:rPr>
        <w:t>.8.1 经采购人同意，中标投标人可以依法采取分包方式履行合同。合同分包履行的，中标投标人就采购项目和分包项目向采购人负责，分包投标人向分包项目承担责任。</w:t>
      </w:r>
    </w:p>
    <w:p w14:paraId="034DA9E8">
      <w:pPr>
        <w:autoSpaceDE w:val="0"/>
        <w:autoSpaceDN w:val="0"/>
        <w:adjustRightInd w:val="0"/>
        <w:spacing w:line="360" w:lineRule="auto"/>
        <w:ind w:firstLine="472"/>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zh-CN"/>
        </w:rPr>
        <w:t>.8.2 对于不具备分包条件或者不符合分包规定的，采购人有权在签订合同或中标投标人提出分包要求时予以拒绝。如发现中标投标人转包或违法分包时，有权要求其改正；拒不改正的，有权要求终止合同，并报请有关行政监督部门查处。</w:t>
      </w:r>
    </w:p>
    <w:p w14:paraId="58F4BCE9">
      <w:pPr>
        <w:autoSpaceDE w:val="0"/>
        <w:autoSpaceDN w:val="0"/>
        <w:adjustRightInd w:val="0"/>
        <w:spacing w:line="360" w:lineRule="auto"/>
        <w:ind w:firstLine="472"/>
        <w:outlineLvl w:val="9"/>
        <w:rPr>
          <w:rFonts w:hint="eastAsia" w:ascii="仿宋" w:hAnsi="仿宋" w:eastAsia="仿宋" w:cs="仿宋"/>
          <w:b/>
          <w:color w:val="auto"/>
          <w:sz w:val="36"/>
          <w:highlight w:val="none"/>
        </w:rPr>
      </w:pPr>
      <w:r>
        <w:rPr>
          <w:rFonts w:hint="eastAsia" w:ascii="仿宋" w:hAnsi="仿宋" w:eastAsia="仿宋" w:cs="仿宋"/>
          <w:color w:val="auto"/>
          <w:sz w:val="24"/>
          <w:highlight w:val="none"/>
          <w:lang w:val="zh-CN"/>
        </w:rPr>
        <w:t>3</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zh-CN"/>
        </w:rPr>
        <w:t>.8.2.1 中标投标人必须与采购人协商后，共同决定将合同标的中的部分由第三方承担供货和服务责任，但中标投标人必须对合同标的的全部内容向采购人负责，并保证第三方提供的供货和服务符合采购代理机构招标文件的约定和其投标文件的承诺及相关约定。</w:t>
      </w:r>
    </w:p>
    <w:p w14:paraId="6285EA99">
      <w:pPr>
        <w:outlineLvl w:val="9"/>
        <w:rPr>
          <w:rFonts w:hint="eastAsia" w:ascii="仿宋" w:hAnsi="仿宋" w:eastAsia="仿宋" w:cs="仿宋"/>
          <w:b/>
          <w:color w:val="auto"/>
          <w:sz w:val="36"/>
          <w:highlight w:val="none"/>
        </w:rPr>
      </w:pPr>
      <w:r>
        <w:rPr>
          <w:rFonts w:hint="eastAsia" w:ascii="仿宋" w:hAnsi="仿宋" w:eastAsia="仿宋" w:cs="仿宋"/>
          <w:b/>
          <w:color w:val="auto"/>
          <w:sz w:val="36"/>
          <w:highlight w:val="none"/>
        </w:rPr>
        <w:br w:type="page"/>
      </w:r>
    </w:p>
    <w:p w14:paraId="5D27E247">
      <w:pPr>
        <w:spacing w:line="360" w:lineRule="auto"/>
        <w:jc w:val="center"/>
        <w:outlineLvl w:val="0"/>
        <w:rPr>
          <w:rFonts w:hint="eastAsia" w:ascii="仿宋" w:hAnsi="仿宋" w:eastAsia="仿宋" w:cs="仿宋"/>
          <w:b/>
          <w:color w:val="auto"/>
          <w:sz w:val="36"/>
          <w:highlight w:val="none"/>
        </w:rPr>
      </w:pPr>
      <w:r>
        <w:rPr>
          <w:rFonts w:hint="eastAsia" w:ascii="仿宋" w:hAnsi="仿宋" w:eastAsia="仿宋" w:cs="仿宋"/>
          <w:b/>
          <w:color w:val="auto"/>
          <w:sz w:val="36"/>
          <w:highlight w:val="none"/>
        </w:rPr>
        <w:t>第七部分 商务部分</w:t>
      </w:r>
    </w:p>
    <w:p w14:paraId="5EEFE6B9">
      <w:pPr>
        <w:pStyle w:val="12"/>
        <w:numPr>
          <w:ilvl w:val="0"/>
          <w:numId w:val="0"/>
        </w:numPr>
        <w:jc w:val="center"/>
        <w:outlineLvl w:val="9"/>
        <w:rPr>
          <w:rFonts w:hint="eastAsia" w:ascii="仿宋" w:hAnsi="仿宋" w:eastAsia="仿宋" w:cs="仿宋"/>
          <w:b/>
          <w:bCs w:val="0"/>
          <w:i w:val="0"/>
          <w:iCs/>
          <w:color w:val="auto"/>
          <w:kern w:val="2"/>
          <w:sz w:val="28"/>
          <w:szCs w:val="28"/>
          <w:highlight w:val="none"/>
          <w:lang w:val="en-US" w:eastAsia="zh-CN" w:bidi="ar-SA"/>
        </w:rPr>
      </w:pPr>
      <w:r>
        <w:rPr>
          <w:rFonts w:hint="eastAsia" w:ascii="仿宋" w:hAnsi="仿宋" w:eastAsia="仿宋" w:cs="仿宋"/>
          <w:b/>
          <w:bCs w:val="0"/>
          <w:i w:val="0"/>
          <w:iCs/>
          <w:color w:val="auto"/>
          <w:kern w:val="2"/>
          <w:sz w:val="28"/>
          <w:szCs w:val="28"/>
          <w:highlight w:val="none"/>
          <w:lang w:val="en-US" w:eastAsia="zh-CN" w:bidi="ar-SA"/>
        </w:rPr>
        <w:t>（注：具体以双方签订合同为准）</w:t>
      </w:r>
    </w:p>
    <w:p w14:paraId="323D65EC">
      <w:pPr>
        <w:pStyle w:val="53"/>
        <w:numPr>
          <w:ilvl w:val="0"/>
          <w:numId w:val="6"/>
        </w:numPr>
        <w:jc w:val="center"/>
        <w:outlineLvl w:val="1"/>
        <w:rPr>
          <w:rFonts w:hint="eastAsia" w:ascii="仿宋" w:hAnsi="仿宋" w:eastAsia="仿宋" w:cs="仿宋"/>
          <w:b/>
          <w:bCs w:val="0"/>
          <w:color w:val="auto"/>
          <w:kern w:val="2"/>
          <w:sz w:val="28"/>
          <w:szCs w:val="18"/>
          <w:highlight w:val="none"/>
          <w:lang w:val="en" w:eastAsia="zh-CN" w:bidi="ar-SA"/>
        </w:rPr>
      </w:pPr>
      <w:r>
        <w:rPr>
          <w:rFonts w:hint="eastAsia" w:ascii="仿宋" w:hAnsi="仿宋" w:eastAsia="仿宋" w:cs="仿宋"/>
          <w:b/>
          <w:bCs w:val="0"/>
          <w:color w:val="auto"/>
          <w:sz w:val="28"/>
          <w:szCs w:val="18"/>
          <w:highlight w:val="none"/>
          <w:lang w:val="en-US" w:eastAsia="zh-CN"/>
        </w:rPr>
        <w:t xml:space="preserve"> </w:t>
      </w:r>
      <w:r>
        <w:rPr>
          <w:rFonts w:hint="eastAsia" w:ascii="仿宋" w:hAnsi="仿宋" w:eastAsia="仿宋" w:cs="仿宋"/>
          <w:b/>
          <w:bCs w:val="0"/>
          <w:color w:val="auto"/>
          <w:kern w:val="2"/>
          <w:sz w:val="28"/>
          <w:szCs w:val="18"/>
          <w:highlight w:val="none"/>
          <w:lang w:val="en" w:eastAsia="zh-CN" w:bidi="ar-SA"/>
        </w:rPr>
        <w:t>合同一般条款</w:t>
      </w:r>
    </w:p>
    <w:p w14:paraId="311206CD">
      <w:pPr>
        <w:spacing w:line="46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1．定义</w:t>
      </w:r>
    </w:p>
    <w:p w14:paraId="6AAD47A2">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“合同”系指买方和卖方(以下简称合同双方)已达成的协议，即由双方签订的合同格式文件，包括所有的</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、响应文件、招标答疑纪录、澄清说明、附件、附录和组成合同的所有其他文件。</w:t>
      </w:r>
    </w:p>
    <w:p w14:paraId="61D89669">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“合同价格”系指根据合同规定，在卖方全面正确地履行合同义务时，买方应支付给卖方的款项。</w:t>
      </w:r>
    </w:p>
    <w:p w14:paraId="54D1BD35">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 “货物”系指卖方按合同要求，须向买方提供的一切产品。</w:t>
      </w:r>
    </w:p>
    <w:p w14:paraId="6AFA1C67">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“服务”系指合同规定卖方必须承担的安装、调试、技术协助、校准、培训以及其他类似义务。</w:t>
      </w:r>
    </w:p>
    <w:p w14:paraId="7E2DBEFD">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 “甲方”、“买方”、“采购人”均系指通过招标采购，接受合同货物及服务的采购单位。</w:t>
      </w:r>
    </w:p>
    <w:p w14:paraId="1799C6DB">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 “乙方”、“卖方”系指成交后提供合同货物和服务的经济实体。</w:t>
      </w:r>
    </w:p>
    <w:p w14:paraId="246C4E82">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 “现场”系指将要进行货物安装和运转的地点。</w:t>
      </w:r>
    </w:p>
    <w:p w14:paraId="0EE51605">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 “验收”系指买方依据技术参数规格规定接受合同货物所依据的程序和条件。</w:t>
      </w:r>
    </w:p>
    <w:p w14:paraId="3CDA5438">
      <w:pPr>
        <w:spacing w:line="46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2．适用范围</w:t>
      </w:r>
    </w:p>
    <w:p w14:paraId="5AF08A2D">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本合同条款仅适用于本次采购活动。</w:t>
      </w:r>
    </w:p>
    <w:p w14:paraId="78B06BD5">
      <w:pPr>
        <w:spacing w:line="46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3．原产地</w:t>
      </w:r>
    </w:p>
    <w:p w14:paraId="1F23B1DF">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原产地系指货物的生产地，或提供辅助服务的来源地。</w:t>
      </w:r>
    </w:p>
    <w:p w14:paraId="0E668877">
      <w:pPr>
        <w:spacing w:line="46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4．技术规格和标准</w:t>
      </w:r>
    </w:p>
    <w:p w14:paraId="08C81D5C">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 本合同项下所供货物的技术规格应与本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技术规格规定的标准相一致。若技术规格中无相应规定，货物则应符合相应的国家标准或有关权威部门最新颁布的相应的正式标准。</w:t>
      </w:r>
    </w:p>
    <w:p w14:paraId="3F651032">
      <w:pPr>
        <w:spacing w:line="46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5．专利权</w:t>
      </w:r>
    </w:p>
    <w:p w14:paraId="5D180714">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卖方须保障买方在使用其提供的货物、服务及其任何部分时不受到第三方关于侵犯专利权、商标权或工业设计权的指控。任何第三方如果提出侵权指控，卖方须与第三方交涉并承担由此而引起的一切法律责任和费用。</w:t>
      </w:r>
    </w:p>
    <w:p w14:paraId="53D77E75">
      <w:pPr>
        <w:spacing w:line="46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6．包装</w:t>
      </w:r>
    </w:p>
    <w:p w14:paraId="64112D42">
      <w:pPr>
        <w:spacing w:line="46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6.1除本合同另有规定之外，提供的全部货物须采用相应标准的保护措施进行包装。这种包装应适于空运和内陆运输，并有良好的防潮、防震、防锈和防野蛮装卸等保护措施，以确保货物安全运抵现场。卖方应承担由于其包装或其防护措施不妥而引起货物锈蚀、损坏和丢失造成的任何损失或费用。</w:t>
      </w:r>
    </w:p>
    <w:p w14:paraId="22F70F45">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 每件包装应附有详细装箱单和质量证书各两套，一套在包装箱里，一套在包装箱外。</w:t>
      </w:r>
    </w:p>
    <w:p w14:paraId="1D578B24">
      <w:pPr>
        <w:spacing w:line="46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7．运输标记</w:t>
      </w:r>
      <w:r>
        <w:rPr>
          <w:rFonts w:hint="eastAsia" w:ascii="仿宋" w:hAnsi="仿宋" w:eastAsia="仿宋" w:cs="仿宋"/>
          <w:b/>
          <w:color w:val="auto"/>
          <w:sz w:val="24"/>
          <w:szCs w:val="24"/>
          <w:highlight w:val="none"/>
        </w:rPr>
        <w:cr/>
      </w:r>
      <w:r>
        <w:rPr>
          <w:rFonts w:hint="eastAsia" w:ascii="仿宋" w:hAnsi="仿宋" w:eastAsia="仿宋" w:cs="仿宋"/>
          <w:color w:val="auto"/>
          <w:sz w:val="24"/>
          <w:szCs w:val="24"/>
          <w:highlight w:val="none"/>
        </w:rPr>
        <w:t xml:space="preserve">    7.1卖方应在每一包装箱邻接的四个侧面用不易褪色的油漆以醒目的中文印刷字体标明以下各项：</w:t>
      </w:r>
      <w:r>
        <w:rPr>
          <w:rFonts w:hint="eastAsia" w:ascii="仿宋" w:hAnsi="仿宋" w:eastAsia="仿宋" w:cs="仿宋"/>
          <w:color w:val="auto"/>
          <w:sz w:val="24"/>
          <w:szCs w:val="24"/>
          <w:highlight w:val="none"/>
        </w:rPr>
        <w:cr/>
      </w:r>
      <w:r>
        <w:rPr>
          <w:rFonts w:hint="eastAsia" w:ascii="仿宋" w:hAnsi="仿宋" w:eastAsia="仿宋" w:cs="仿宋"/>
          <w:color w:val="auto"/>
          <w:sz w:val="24"/>
          <w:szCs w:val="24"/>
          <w:highlight w:val="none"/>
        </w:rPr>
        <w:t xml:space="preserve">  　(1)收货人</w:t>
      </w:r>
    </w:p>
    <w:p w14:paraId="2380D772">
      <w:pPr>
        <w:spacing w:line="46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(2)合同号</w:t>
      </w:r>
      <w:r>
        <w:rPr>
          <w:rFonts w:hint="eastAsia" w:ascii="仿宋" w:hAnsi="仿宋" w:eastAsia="仿宋" w:cs="仿宋"/>
          <w:color w:val="auto"/>
          <w:sz w:val="24"/>
          <w:szCs w:val="24"/>
          <w:highlight w:val="none"/>
        </w:rPr>
        <w:cr/>
      </w:r>
      <w:r>
        <w:rPr>
          <w:rFonts w:hint="eastAsia" w:ascii="仿宋" w:hAnsi="仿宋" w:eastAsia="仿宋" w:cs="仿宋"/>
          <w:color w:val="auto"/>
          <w:sz w:val="24"/>
          <w:szCs w:val="24"/>
          <w:highlight w:val="none"/>
        </w:rPr>
        <w:t xml:space="preserve">  　(3)收货人代号</w:t>
      </w:r>
      <w:r>
        <w:rPr>
          <w:rFonts w:hint="eastAsia" w:ascii="仿宋" w:hAnsi="仿宋" w:eastAsia="仿宋" w:cs="仿宋"/>
          <w:color w:val="auto"/>
          <w:sz w:val="24"/>
          <w:szCs w:val="24"/>
          <w:highlight w:val="none"/>
        </w:rPr>
        <w:cr/>
      </w:r>
      <w:r>
        <w:rPr>
          <w:rFonts w:hint="eastAsia" w:ascii="仿宋" w:hAnsi="仿宋" w:eastAsia="仿宋" w:cs="仿宋"/>
          <w:color w:val="auto"/>
          <w:sz w:val="24"/>
          <w:szCs w:val="24"/>
          <w:highlight w:val="none"/>
        </w:rPr>
        <w:t xml:space="preserve">  　(4)目的地</w:t>
      </w:r>
    </w:p>
    <w:p w14:paraId="1BFE0645">
      <w:pPr>
        <w:spacing w:line="46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(5)货物的名称、品目号、箱号</w:t>
      </w:r>
    </w:p>
    <w:p w14:paraId="50E732C0">
      <w:pPr>
        <w:spacing w:line="46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(6)毛重／净重(公斤)</w:t>
      </w:r>
    </w:p>
    <w:p w14:paraId="33538383">
      <w:pPr>
        <w:spacing w:line="460" w:lineRule="exact"/>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(7)尺寸(长x宽x高，以厘米计)</w:t>
      </w:r>
    </w:p>
    <w:p w14:paraId="71A85719">
      <w:pPr>
        <w:spacing w:line="460" w:lineRule="exact"/>
        <w:ind w:firstLine="48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8．卖方的交货价</w:t>
      </w:r>
    </w:p>
    <w:p w14:paraId="5DB87CE1">
      <w:pPr>
        <w:spacing w:line="460" w:lineRule="exact"/>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 卖方应在合同规定的交货期前10天以电报、传真或电传等方式通知买方合同号、货物名称、数量、包装件数、总毛重、总体积(立方米)和备妥待运日期。同时，卖方应以挂号信寄给买方详细交货清单一式五份，包括合同号、货物名称、规格、数量、总重、总体积(立方米)和每一包装箱的尺寸(长x宽x  高)、单价和总价、备妥待运日期，以及货物在运输和仓储中的特殊要求和注意事项。</w:t>
      </w:r>
    </w:p>
    <w:p w14:paraId="51BFCD80">
      <w:pPr>
        <w:spacing w:line="460" w:lineRule="exact"/>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 卖方负责安排自发运地至买方现场的运输，费用包含在合同总价中。</w:t>
      </w:r>
    </w:p>
    <w:p w14:paraId="5D002081">
      <w:pPr>
        <w:spacing w:line="460" w:lineRule="exact"/>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 交货日期以货物到达买方现场为准。</w:t>
      </w:r>
    </w:p>
    <w:p w14:paraId="48968774">
      <w:pPr>
        <w:spacing w:line="460" w:lineRule="exact"/>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 卖方装运的货物必须符合合同规定的货物名称、型号规格、数量或重量，  否则，一切后果均由卖方承担。</w:t>
      </w:r>
    </w:p>
    <w:p w14:paraId="1F3D665B">
      <w:pPr>
        <w:spacing w:line="460" w:lineRule="exact"/>
        <w:ind w:firstLine="48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9．装运通知</w:t>
      </w:r>
    </w:p>
    <w:p w14:paraId="3A7CB0F9">
      <w:pPr>
        <w:spacing w:line="460" w:lineRule="exact"/>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 卖方应在货物装运完成24小时内以电报、传真或电传通知买方合同号、货物名称、数量、毛重、体积(立方米)、发票金额、载运车次名称和启运日期。如果包装件重量超过20吨或尺寸达到或超过12米长、2.7米宽和3米高，卖方应将其重量或尺寸通知买方。若货物中有易燃品或危险品，卖方也须将详细情况通知买方。</w:t>
      </w:r>
    </w:p>
    <w:p w14:paraId="3FD38F4F">
      <w:pPr>
        <w:spacing w:line="460" w:lineRule="exact"/>
        <w:ind w:firstLine="48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10．保险</w:t>
      </w:r>
    </w:p>
    <w:p w14:paraId="0507868F">
      <w:pPr>
        <w:spacing w:line="460" w:lineRule="exact"/>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10.1在合同价条件下，由卖方负责办理保险。</w:t>
      </w:r>
    </w:p>
    <w:p w14:paraId="7612ADC2">
      <w:pPr>
        <w:spacing w:line="460" w:lineRule="exact"/>
        <w:ind w:firstLine="48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11．合同价款的支付方式</w:t>
      </w:r>
    </w:p>
    <w:p w14:paraId="1C62AEF4">
      <w:pPr>
        <w:spacing w:line="460" w:lineRule="exact"/>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除另有规定者外，本合同价款将由财政部门直接向卖方支付。</w:t>
      </w:r>
    </w:p>
    <w:p w14:paraId="5A2A8898">
      <w:pPr>
        <w:spacing w:line="46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12．技术资料</w:t>
      </w:r>
    </w:p>
    <w:p w14:paraId="6F1D3D4D">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12.1除</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技术规范书中另有规定的外，卖方应准备与合同设备或仪器相符的中文技术资料，并于合同生效后15天内寄送到买方，如样本、图纸、操作手册、使用说明、维修指南或服务手册等。如本条款所述资料寄送不完整或丢失，卖方应在收到买方通知后立即免费另寄。</w:t>
      </w:r>
    </w:p>
    <w:p w14:paraId="7D815354">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 上述一套完整的资料应包装好随每批货物一起发运并保证40天之内安装完毕。</w:t>
      </w:r>
    </w:p>
    <w:p w14:paraId="52A37DBE">
      <w:pPr>
        <w:spacing w:line="46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13．价格</w:t>
      </w:r>
    </w:p>
    <w:p w14:paraId="75AEDD99">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13.1除合同中另有规定者外，卖方为其所供货物和服务而要求买方支付的金额应与其投标报价一致。　</w:t>
      </w:r>
    </w:p>
    <w:p w14:paraId="206DA862">
      <w:pPr>
        <w:spacing w:line="46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14．质量保证</w:t>
      </w:r>
    </w:p>
    <w:p w14:paraId="56339ADA">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卖方应保证其提供的货物是全新的、未使用过的，采用的是最佳材料和一流工艺，并在各个方面符合合同规定的质量、规格和性能要求。卖方应保证其货物经过正确安装、合理操作和维护保养，在货物寿命期内运转良好。在规定的质量保证期内，卖方应对由于设计、工艺或材料的缺陷而造成的任</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何缺陷或故障负责。除合同中另有规定者外，出现上述情况，卖方应在收到买方通知后30天内，免费负责修理或更换有缺陷的零部件或整机。对造成的损失买方保留索赔的权利。</w:t>
      </w:r>
    </w:p>
    <w:p w14:paraId="76D6C547">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除合同中另有规定者外，合同项下货物的质量保证期为货物正式验收合格后</w:t>
      </w:r>
      <w:r>
        <w:rPr>
          <w:rFonts w:hint="eastAsia" w:ascii="仿宋" w:hAnsi="仿宋" w:eastAsia="仿宋" w:cs="仿宋"/>
          <w:color w:val="auto"/>
          <w:sz w:val="24"/>
          <w:szCs w:val="24"/>
          <w:highlight w:val="none"/>
          <w:lang w:val="en-US" w:eastAsia="zh-CN"/>
        </w:rPr>
        <w:t>36</w:t>
      </w:r>
      <w:r>
        <w:rPr>
          <w:rFonts w:hint="eastAsia" w:ascii="仿宋" w:hAnsi="仿宋" w:eastAsia="仿宋" w:cs="仿宋"/>
          <w:color w:val="auto"/>
          <w:sz w:val="24"/>
          <w:szCs w:val="24"/>
          <w:highlight w:val="none"/>
        </w:rPr>
        <w:t>个月。</w:t>
      </w:r>
    </w:p>
    <w:p w14:paraId="62AA8FC6">
      <w:pPr>
        <w:spacing w:line="46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15．履约保证金</w:t>
      </w:r>
    </w:p>
    <w:p w14:paraId="364E30F3">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15.1合同签订后，卖方须向采购人提供</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中规定金额的履约保证金。</w:t>
      </w:r>
    </w:p>
    <w:p w14:paraId="1C811472">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 采购人在收到买方的货物验收合格的报告后，采购人在七个工作日无息退还履约保证金。</w:t>
      </w:r>
    </w:p>
    <w:p w14:paraId="50FDF665">
      <w:pPr>
        <w:spacing w:line="46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16．检验</w:t>
      </w:r>
    </w:p>
    <w:p w14:paraId="026F3862">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 卖方应在发货之前，对货物的有关内在和外观质量、规格、性能、数量和重量进行准确和全面的检验，并出具其货物符合合同规定的质量证书。该证书将作为提交付款单据的组成部分，但不应视为是对质量、规格、性能、数量或重量的最终定论。质量证书应附有写明制造商检验的细节和结果的说明。</w:t>
      </w:r>
    </w:p>
    <w:p w14:paraId="55724B35">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 在合同规定的质量保证期内，如果发现货物的质量或规格与合同规定不符，或证明货物有缺陷，包括潜在的缺陷或使用不合适的原材料等，买方应申请质检部门进行检验，并有权根据检验证书及质量保证条款立即向卖方提出索赔。</w:t>
      </w:r>
    </w:p>
    <w:p w14:paraId="7B9F815A">
      <w:pPr>
        <w:spacing w:line="46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17．索赔</w:t>
      </w:r>
    </w:p>
    <w:p w14:paraId="01C1F630">
      <w:pPr>
        <w:spacing w:line="46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17.1卖方对所供货物与合同约定相一致负完全责任。在买方已于规定的检验、安装、调试和验收测试期限内和质量保证期内提出索赔时，卖方应按买方同意的下述一种或多种方法解决索赔事宜。</w:t>
      </w:r>
    </w:p>
    <w:p w14:paraId="18D61ACD">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卖方同意买方拒收货物并把被拒收货物的金额以合同规定的同类货币还付给买方，卖方负担发生的一切损失和费用，包括利息、银行费用、运输和保险费、检验费、仓储和装卸费以及为保管和保护被拒绝货物所需的其它必要费用。</w:t>
      </w:r>
    </w:p>
    <w:p w14:paraId="07E52704">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pacing w:val="-6"/>
          <w:sz w:val="24"/>
          <w:szCs w:val="24"/>
          <w:highlight w:val="none"/>
        </w:rPr>
        <w:t xml:space="preserve"> 根据货物的疵劣和受损程度以及买方遭受损失的金额，经双方同意降低货价。</w:t>
      </w:r>
    </w:p>
    <w:p w14:paraId="4A59BDE3">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更换有缺陷的零件、部件和设备，或修理缺陷部分，以达到合同规定的规格、质量和性能，卖方承担一切费用和风险并负担买方遭受的一切直接费用。同时卖方应相应延长被更换货物的质量保证期。</w:t>
      </w:r>
    </w:p>
    <w:p w14:paraId="299D86E8">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　如果买方提出索赔通知后30天内卖方未能予以答复，该索赔应视为已被卖方接受。若卖方未能在买方提出索赔通知的30天内或买方同意的更长时间内，按买方同意的上述任何一种方式处理索赔事宜，买方将从未付款或卖方提供的履约保证金中扣回索赔金额，同时保留进一步要求赔偿的权利。</w:t>
      </w:r>
    </w:p>
    <w:p w14:paraId="07359818">
      <w:pPr>
        <w:spacing w:line="46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18．延期交货与核定损失额</w:t>
      </w:r>
    </w:p>
    <w:p w14:paraId="583244FC">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如果卖方未能按合同规定的时间按期交货(不可抗力除外)，在卖方同意支付核定损失额的条件下，买方将同意延长交货期。核定损失额的支付将从未付款或从履约保证金中扣除。核定损失额比率为每迟交7天，按迟交货物金额的0.5%，不满7天按7天计算，但是，核定损失额的支付不得超过迟交货物部分合同金额的5%。如果卖方在达到核定损失额的最高限额后仍不能交货，买方有权因卖方违约终止合同，而卖方仍有义务支付上述迟交核定损失金额。</w:t>
      </w:r>
    </w:p>
    <w:p w14:paraId="0A11AA4A">
      <w:pPr>
        <w:spacing w:line="460" w:lineRule="exact"/>
        <w:ind w:firstLine="482" w:firstLineChars="200"/>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19．不可抗力</w:t>
      </w:r>
    </w:p>
    <w:p w14:paraId="038A107E">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签约任何一方由于受诸如战争、严重火灾、洪水、台风、地震等不可抗力事故的影响而不能执行合同时，履行合同的期限应予以延长，则延长的期限应相当于事故所影响的时间。不可抗力事故系指买卖双方在缔结合同时所不能预见的，并且它的发生及其后果是无法避免和无法克服的事故。</w:t>
      </w:r>
    </w:p>
    <w:p w14:paraId="60180CF4">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受阻一方应在不可抗力事故发生后尽快用电报、传真或电传通知对方，并于事故发生后15天内将有关部门出具的证明文件用特快专递或挂号信等形式寄给对方审阅确认。一旦不可抗力事故的影响持续120天以上，双方应通过友好协商在合理的时间内达成进一步履行合同的协议。</w:t>
      </w:r>
    </w:p>
    <w:p w14:paraId="5AFB4F6F">
      <w:pPr>
        <w:spacing w:line="46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20．仲裁</w:t>
      </w:r>
    </w:p>
    <w:p w14:paraId="64C68AF4">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20.1在执行本合同中发生的或与本合同有关的争端，双方应通过友好协商解决，经协商在30天内不能达成协议时，应提交仲裁。</w:t>
      </w:r>
    </w:p>
    <w:p w14:paraId="2BD4C7F0">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 仲裁应由买方所在地仲裁机构，根据其仲裁程序和规则进行。</w:t>
      </w:r>
    </w:p>
    <w:p w14:paraId="391DF0FE">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 仲裁裁决为最终决定，并对双方具有约束力。</w:t>
      </w:r>
    </w:p>
    <w:p w14:paraId="472DCD14">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 除另有裁决外，仲裁费应由败诉方负担。</w:t>
      </w:r>
    </w:p>
    <w:p w14:paraId="36A058CD">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20.5 在仲裁期间，除正在进行的仲裁部分外，合同其它部分继续执行。</w:t>
      </w:r>
    </w:p>
    <w:p w14:paraId="5251B45D">
      <w:pPr>
        <w:spacing w:line="46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21．违约终止合同</w:t>
      </w:r>
    </w:p>
    <w:p w14:paraId="6C774870">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在补救违约而采取的任何其他措施未能实现的情况下，即在卖方收到买方发出的违约通知后30天内(或经买方书面确认的更长时间内)仍未纠正其下述任何一种违约行为，买方可向卖方发出书面违约通知，终止全部或部分合同：</w:t>
      </w:r>
    </w:p>
    <w:p w14:paraId="616AA227">
      <w:pPr>
        <w:spacing w:line="46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(1)如果卖方未能在合同规定的期限内或买方准许的任何延期内交付部分或全部货物。</w:t>
      </w:r>
    </w:p>
    <w:p w14:paraId="09701153">
      <w:pPr>
        <w:spacing w:line="46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(2)卖方未能履行合同项下的其它义务。</w:t>
      </w:r>
    </w:p>
    <w:p w14:paraId="0FB6B46E">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一旦买方根据第21.1款终止部分或全部合同，买方可以按其认为适当的条件和方式采购类似未交付部分的货物。卖方应承担买方购买类似货物的额外费用。但是，卖方应继续履行合同中未终止的部分。</w:t>
      </w:r>
    </w:p>
    <w:p w14:paraId="6936E8CA">
      <w:pPr>
        <w:spacing w:line="46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22．变更指示</w:t>
      </w:r>
    </w:p>
    <w:p w14:paraId="19DD17F2">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22.1买方可以随时向卖方发出书面指示，在合同总体范围内对如下一点或几点提出变更：</w:t>
      </w:r>
    </w:p>
    <w:p w14:paraId="64F0F164">
      <w:pPr>
        <w:spacing w:line="46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(1)合同项下需为买方特殊制造货物的图纸、设计或规格；</w:t>
      </w:r>
    </w:p>
    <w:p w14:paraId="4CAB4752">
      <w:pPr>
        <w:spacing w:line="46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(2)装运方式和包装方式；</w:t>
      </w:r>
    </w:p>
    <w:p w14:paraId="739A5104">
      <w:pPr>
        <w:spacing w:line="46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(3)交货地点；</w:t>
      </w:r>
    </w:p>
    <w:p w14:paraId="2A5DF90C">
      <w:pPr>
        <w:spacing w:line="46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(4)卖方须提供的服务。</w:t>
      </w:r>
    </w:p>
    <w:p w14:paraId="60798023">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　若上述变更导致了卖方履行合同项下任何部分义务的费用或所需时间的增减，应对合同价格或交货进度进行合理的调整，同时相应地修改合同。卖方必须在接到买方的变更指示后30天内根据本款提出调整的实施意见。</w:t>
      </w:r>
    </w:p>
    <w:p w14:paraId="763E33F7">
      <w:pPr>
        <w:spacing w:line="46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23．合同修改</w:t>
      </w:r>
    </w:p>
    <w:p w14:paraId="788383CB">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23.1欲对合同条款做出任何改动或偏离，均须由买卖双方签署书面的合同修改书。</w:t>
      </w:r>
    </w:p>
    <w:p w14:paraId="3ACA4F3D">
      <w:pPr>
        <w:spacing w:line="46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24．转让与分包</w:t>
      </w:r>
    </w:p>
    <w:p w14:paraId="7471E276">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24.1除买方事先同意外，卖方不得部分转让或全部转让其应履行的合同项下的义务。</w:t>
      </w:r>
    </w:p>
    <w:p w14:paraId="2AEA2A73">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24.2卖方应书面通知买方本合同项下所授予的所有分包合同。但该通知不解除卖方承担的本合同项下的任何责任或义务。</w:t>
      </w:r>
    </w:p>
    <w:p w14:paraId="2A09F981">
      <w:pPr>
        <w:spacing w:line="46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25．适用法律</w:t>
      </w:r>
    </w:p>
    <w:p w14:paraId="44037002">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25.1本合同应按中华人民共和国的相关法律解释。</w:t>
      </w:r>
    </w:p>
    <w:p w14:paraId="755858C3">
      <w:pPr>
        <w:spacing w:line="46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26．通知</w:t>
      </w:r>
    </w:p>
    <w:p w14:paraId="1E293152">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26.1本合同任何一方给另一方的通知都应以书面或电传、电报、传真的形式发送，而另一方应以书面形式确认并发送到对方明确的地址。</w:t>
      </w:r>
    </w:p>
    <w:p w14:paraId="3C808576">
      <w:pPr>
        <w:spacing w:line="46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27．合同文件及资料的使用</w:t>
      </w:r>
    </w:p>
    <w:p w14:paraId="65AD3E21">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除了卖方为执行合同所雇人员外，在未经买方同意的情况下，卖方不得将合同、合同中的规定、有关规格、计划、图纸、式样、样本或买方为上述内容向卖方提供的资料透露给任何人。卖方须在对外保密的前提下，对其雇用人员提供有关情况，所提供的情况仅限于执行本合同必不可少的范围内。</w:t>
      </w:r>
    </w:p>
    <w:p w14:paraId="01896CAD">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27.2 除非执行合同需要，在事先末得到买方同意的情况下，卖方不得将与本合同有关的任何文件和资料给第三方使用。</w:t>
      </w:r>
    </w:p>
    <w:p w14:paraId="497845A4">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27.3 除合同本身以外，若买方要求，卖方应于其合同义务履行完毕以后将这些资料(包括所有副本)退还买方。</w:t>
      </w:r>
    </w:p>
    <w:p w14:paraId="12A90CF5">
      <w:pPr>
        <w:spacing w:line="46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28．合同生效及其他</w:t>
      </w:r>
    </w:p>
    <w:p w14:paraId="4CFD7F91">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28.1本合同应在买方（采购单位）和卖方签字后，买方收到卖方的履约保证金并加盖鉴证章后生效。</w:t>
      </w:r>
    </w:p>
    <w:p w14:paraId="5A65DCEC">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28.2 卖方须按技术规格中的规定，向买方提供与合同项下货物有关的现场安装调试、技术服务、培训等其他相关服务。</w:t>
      </w:r>
    </w:p>
    <w:p w14:paraId="2492EA0C">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28.3 商务合同应包括买方最后确认的价格条款和付款方式。</w:t>
      </w:r>
    </w:p>
    <w:p w14:paraId="5C6BB826">
      <w:pPr>
        <w:spacing w:line="460" w:lineRule="exact"/>
        <w:ind w:firstLine="480" w:firstLineChars="200"/>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 xml:space="preserve">28.4 </w:t>
      </w:r>
      <w:r>
        <w:rPr>
          <w:rFonts w:hint="eastAsia" w:ascii="仿宋" w:hAnsi="仿宋" w:eastAsia="仿宋" w:cs="仿宋"/>
          <w:color w:val="auto"/>
          <w:spacing w:val="-6"/>
          <w:sz w:val="24"/>
          <w:szCs w:val="24"/>
          <w:highlight w:val="none"/>
        </w:rPr>
        <w:t>下述文件将作为合同附件，为本合同不可分割的组成部分，并与本合具有同等效力；</w:t>
      </w:r>
    </w:p>
    <w:p w14:paraId="68353338">
      <w:pPr>
        <w:spacing w:line="3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招标文件</w:t>
      </w:r>
    </w:p>
    <w:p w14:paraId="47179456">
      <w:pPr>
        <w:spacing w:line="3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（2）中标（成交）通知书</w:t>
      </w:r>
    </w:p>
    <w:p w14:paraId="56A76D61">
      <w:pPr>
        <w:spacing w:line="3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（3）成交方的响应文件及询标过程中的书面答疑记录</w:t>
      </w:r>
    </w:p>
    <w:p w14:paraId="0C8774A9">
      <w:pPr>
        <w:spacing w:line="240" w:lineRule="exact"/>
        <w:outlineLvl w:val="9"/>
        <w:rPr>
          <w:rFonts w:hint="eastAsia" w:ascii="仿宋" w:hAnsi="仿宋" w:eastAsia="仿宋" w:cs="仿宋"/>
          <w:b/>
          <w:color w:val="auto"/>
          <w:sz w:val="24"/>
          <w:szCs w:val="24"/>
          <w:highlight w:val="none"/>
        </w:rPr>
      </w:pPr>
    </w:p>
    <w:p w14:paraId="4AB7C806">
      <w:pPr>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第二</w:t>
      </w:r>
      <w:r>
        <w:rPr>
          <w:rFonts w:hint="eastAsia" w:ascii="仿宋" w:hAnsi="仿宋" w:eastAsia="仿宋" w:cs="仿宋"/>
          <w:b/>
          <w:color w:val="auto"/>
          <w:sz w:val="24"/>
          <w:szCs w:val="24"/>
          <w:highlight w:val="none"/>
          <w:lang w:val="en-US" w:eastAsia="zh-CN"/>
        </w:rPr>
        <w:t>节</w:t>
      </w:r>
      <w:r>
        <w:rPr>
          <w:rFonts w:hint="eastAsia" w:ascii="仿宋" w:hAnsi="仿宋" w:eastAsia="仿宋" w:cs="仿宋"/>
          <w:b/>
          <w:color w:val="auto"/>
          <w:sz w:val="24"/>
          <w:szCs w:val="24"/>
          <w:highlight w:val="none"/>
        </w:rPr>
        <w:t xml:space="preserve"> 合同特殊条款</w:t>
      </w:r>
    </w:p>
    <w:p w14:paraId="4A90E6BB">
      <w:pPr>
        <w:spacing w:line="42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合同特殊条款是对合同一般条款的补充和修改，如果两者之间有不一致之处时，应以特殊条款为准。</w:t>
      </w:r>
    </w:p>
    <w:p w14:paraId="77A09E26">
      <w:pPr>
        <w:spacing w:line="42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1．培训：</w:t>
      </w:r>
    </w:p>
    <w:p w14:paraId="1C128D81">
      <w:pPr>
        <w:spacing w:line="42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卖方的安装调试人员有义务对买方的设备维修人员及使用人员进行培训，使维修人员能对设备进行日常维护和一般性故障的查找及故障的排除，使用人员能够熟练掌握设备的各项功能和操作；</w:t>
      </w:r>
    </w:p>
    <w:p w14:paraId="040D6674">
      <w:pPr>
        <w:spacing w:line="42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2．检验</w:t>
      </w:r>
    </w:p>
    <w:p w14:paraId="318DFB82">
      <w:pPr>
        <w:spacing w:line="42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卖方提供的所有货物应符合国际及国内通行的标准，并应附有相应的测试报告和合同证书；</w:t>
      </w:r>
    </w:p>
    <w:p w14:paraId="134170D1">
      <w:pPr>
        <w:spacing w:line="42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对于卖方提供的所有货物, 买方可按货物的一定比例委托自治区质量监督部门进行抽检，验收会格后，所产生的费用由买方承担，经检验不合格时，所产生的费用由卖方承担。</w:t>
      </w:r>
    </w:p>
    <w:p w14:paraId="16AC522B">
      <w:pPr>
        <w:spacing w:line="42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具体的国际或国内检验标准按卖方在响应文件中承诺的并经买方确认的规定执行。</w:t>
      </w:r>
    </w:p>
    <w:p w14:paraId="78720C12">
      <w:pPr>
        <w:spacing w:line="42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3．安装调试</w:t>
      </w:r>
    </w:p>
    <w:p w14:paraId="3965D0AA">
      <w:pPr>
        <w:spacing w:line="42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卖方必须在合同签订后将所有的安装调试条件、需买方配合的事项以书面方式通知用户；</w:t>
      </w:r>
    </w:p>
    <w:p w14:paraId="789F1657">
      <w:pPr>
        <w:spacing w:line="42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卖方免费负责设备在买方的安装、调试，买方协助开展工作；</w:t>
      </w:r>
    </w:p>
    <w:p w14:paraId="1A2DEC75">
      <w:pPr>
        <w:spacing w:line="42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 卖方安装调试专家人员应及时到达买方现场，直至安装调试结束、通过验收；</w:t>
      </w:r>
    </w:p>
    <w:p w14:paraId="0BC22729">
      <w:pPr>
        <w:spacing w:line="42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 卖方负责安装调试期间（包括错发或运输中）可能损坏的元器件、测试材料的准备，如因时间关系，买方可以考虑使用随机的易损件进行更换，但卖方应及时给买方补齐（中间产生的任何费用，均由卖方承担）；</w:t>
      </w:r>
    </w:p>
    <w:p w14:paraId="2DFE12EA">
      <w:pPr>
        <w:spacing w:line="42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 上述安装调试完成后，买方按相应的卖方在响应文件中所提供的技术指标进行验收；</w:t>
      </w:r>
    </w:p>
    <w:p w14:paraId="50B63121">
      <w:pPr>
        <w:spacing w:line="42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 卖方如不能按时完成安装、调试工作，应赔偿由此买方造成的所有损失；</w:t>
      </w:r>
    </w:p>
    <w:p w14:paraId="232BD5BB">
      <w:pPr>
        <w:spacing w:line="42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 最终的测试验收报告由买卖双方代表签字认可后生效。</w:t>
      </w:r>
    </w:p>
    <w:p w14:paraId="224885B8">
      <w:pPr>
        <w:spacing w:line="42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4．质量保证</w:t>
      </w:r>
    </w:p>
    <w:p w14:paraId="32B17232">
      <w:pPr>
        <w:spacing w:line="42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4.1因卖方原因造成买方不能按时使用（根据合同有关条款）所购买货物（设备）时，卖方应根据合同规定向买方做出赔偿；</w:t>
      </w:r>
    </w:p>
    <w:p w14:paraId="01928FEB">
      <w:pPr>
        <w:spacing w:line="42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 卖方对合同项下设备提供为期一年的保修服务，保修期自验收合格双方签字时算起。在保修期内，卖方需提供免费的维修零配件。</w:t>
      </w:r>
    </w:p>
    <w:p w14:paraId="0FBB73A5">
      <w:pPr>
        <w:spacing w:line="42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5．售后服务</w:t>
      </w:r>
    </w:p>
    <w:p w14:paraId="068F2BF6">
      <w:pPr>
        <w:spacing w:line="420" w:lineRule="exact"/>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lang w:val="en-US" w:eastAsia="zh-CN"/>
        </w:rPr>
        <w:t>产品出现系统故障，1小时响应，8小时到达现场维修，最晚48小时内到达现场维修。</w:t>
      </w:r>
    </w:p>
    <w:p w14:paraId="795DA3E7">
      <w:pPr>
        <w:spacing w:line="42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6．其他  </w:t>
      </w:r>
    </w:p>
    <w:p w14:paraId="0A192111">
      <w:pPr>
        <w:spacing w:line="42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投标报价：设备使用地安装调试完成、且验收合格后的交货价</w:t>
      </w:r>
    </w:p>
    <w:p w14:paraId="66C5EA6F">
      <w:pPr>
        <w:spacing w:line="42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 投标货币：人民币</w:t>
      </w:r>
    </w:p>
    <w:p w14:paraId="0B0321CC">
      <w:pPr>
        <w:spacing w:line="42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 列出详细的易损件、专用工具的清单，并分项报价（应包括在总价内）。清单内容应包括：名称、数量、单价、总价</w:t>
      </w:r>
    </w:p>
    <w:p w14:paraId="5CA8FBA2">
      <w:pPr>
        <w:spacing w:line="42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 若采购招标文件清单以外的材料，按当时市场价进行结算；若清单内价格有浮动，按协商价进行结算；</w:t>
      </w:r>
    </w:p>
    <w:p w14:paraId="7C9BBA6D">
      <w:pPr>
        <w:spacing w:line="42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6.5 交货地点：                             </w:t>
      </w:r>
    </w:p>
    <w:p w14:paraId="5393BE8A">
      <w:pPr>
        <w:spacing w:line="420" w:lineRule="exact"/>
        <w:ind w:firstLine="480" w:firstLineChars="20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szCs w:val="24"/>
          <w:highlight w:val="none"/>
        </w:rPr>
        <w:t>6.6 交货时间：</w:t>
      </w:r>
    </w:p>
    <w:p w14:paraId="2CB35558">
      <w:pPr>
        <w:outlineLvl w:val="9"/>
        <w:rPr>
          <w:rFonts w:hint="eastAsia" w:ascii="仿宋" w:hAnsi="仿宋" w:eastAsia="仿宋" w:cs="仿宋"/>
          <w:b/>
          <w:color w:val="auto"/>
          <w:sz w:val="36"/>
          <w:highlight w:val="none"/>
        </w:rPr>
      </w:pPr>
      <w:r>
        <w:rPr>
          <w:rFonts w:hint="eastAsia" w:ascii="仿宋" w:hAnsi="仿宋" w:eastAsia="仿宋" w:cs="仿宋"/>
          <w:b/>
          <w:color w:val="auto"/>
          <w:sz w:val="36"/>
          <w:highlight w:val="none"/>
        </w:rPr>
        <w:br w:type="page"/>
      </w:r>
    </w:p>
    <w:p w14:paraId="1E9742B0">
      <w:pPr>
        <w:spacing w:line="360" w:lineRule="auto"/>
        <w:jc w:val="center"/>
        <w:outlineLvl w:val="0"/>
        <w:rPr>
          <w:rFonts w:hint="eastAsia" w:ascii="仿宋" w:hAnsi="仿宋" w:eastAsia="仿宋" w:cs="仿宋"/>
          <w:b/>
          <w:color w:val="auto"/>
          <w:sz w:val="36"/>
          <w:highlight w:val="none"/>
        </w:rPr>
      </w:pPr>
      <w:r>
        <w:rPr>
          <w:rFonts w:hint="eastAsia" w:ascii="仿宋" w:hAnsi="仿宋" w:eastAsia="仿宋" w:cs="仿宋"/>
          <w:b/>
          <w:color w:val="auto"/>
          <w:sz w:val="36"/>
          <w:highlight w:val="none"/>
        </w:rPr>
        <w:t>第八部分 投标文件的编制装订</w:t>
      </w:r>
    </w:p>
    <w:p w14:paraId="2B1B5F22">
      <w:pPr>
        <w:spacing w:line="460" w:lineRule="exact"/>
        <w:ind w:firstLine="600" w:firstLineChars="249"/>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一、响应文件编制和装订顺序</w:t>
      </w:r>
    </w:p>
    <w:p w14:paraId="362B4649">
      <w:pPr>
        <w:spacing w:line="460" w:lineRule="exact"/>
        <w:ind w:firstLine="600" w:firstLineChars="249"/>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（一）供应商的响应文件必须制作目录和页码。</w:t>
      </w:r>
    </w:p>
    <w:p w14:paraId="518FCB0A">
      <w:pPr>
        <w:spacing w:line="460" w:lineRule="exact"/>
        <w:ind w:firstLine="597" w:firstLineChars="249"/>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（二）供应商的响应文件编制顺序，必须按下列顺序排列和装订，编制排列和装订顺序严格如下：</w:t>
      </w:r>
    </w:p>
    <w:p w14:paraId="61730DD2">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1、投标函</w:t>
      </w:r>
    </w:p>
    <w:p w14:paraId="729FB77D">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2、法定代表人资格证明书、法定代表人的授权委托书</w:t>
      </w:r>
    </w:p>
    <w:p w14:paraId="3AAD1479">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3、报价一览表</w:t>
      </w:r>
    </w:p>
    <w:p w14:paraId="5D8A2830">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4、供应商资质证明文件，包括：</w:t>
      </w:r>
    </w:p>
    <w:p w14:paraId="065C57D2">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1、营业执照；</w:t>
      </w:r>
    </w:p>
    <w:p w14:paraId="0994606C">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4.2、</w:t>
      </w:r>
      <w:r>
        <w:rPr>
          <w:rFonts w:hint="eastAsia" w:ascii="仿宋" w:hAnsi="仿宋" w:eastAsia="仿宋" w:cs="仿宋"/>
          <w:color w:val="auto"/>
          <w:sz w:val="24"/>
          <w:highlight w:val="none"/>
          <w:lang w:val="zh-CN"/>
        </w:rPr>
        <w:t xml:space="preserve">未被“信用中国”（www.creditchina.gov.cn）、中国政府采购网（www.ccgp.gov.cn）列入失信被执行人、重大税收违法案件当事人名单、政府采购严重违法失信行为记录名单的网页截图并加盖公章；  </w:t>
      </w:r>
    </w:p>
    <w:p w14:paraId="46ED459D">
      <w:pPr>
        <w:autoSpaceDE w:val="0"/>
        <w:autoSpaceDN w:val="0"/>
        <w:adjustRightInd w:val="0"/>
        <w:spacing w:line="360" w:lineRule="auto"/>
        <w:ind w:firstLine="48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4.3、</w:t>
      </w:r>
      <w:r>
        <w:rPr>
          <w:rFonts w:hint="eastAsia" w:ascii="仿宋" w:hAnsi="仿宋" w:eastAsia="仿宋" w:cs="仿宋"/>
          <w:color w:val="auto"/>
          <w:sz w:val="24"/>
          <w:szCs w:val="24"/>
          <w:highlight w:val="none"/>
          <w:lang w:val="zh-CN" w:eastAsia="zh-CN"/>
        </w:rPr>
        <w:t>投标保证金缴纳凭证或保函</w:t>
      </w:r>
      <w:r>
        <w:rPr>
          <w:rFonts w:hint="eastAsia" w:ascii="仿宋" w:hAnsi="仿宋" w:eastAsia="仿宋" w:cs="仿宋"/>
          <w:color w:val="auto"/>
          <w:sz w:val="24"/>
          <w:highlight w:val="none"/>
        </w:rPr>
        <w:t>。</w:t>
      </w:r>
    </w:p>
    <w:p w14:paraId="200E1AB7">
      <w:pPr>
        <w:pStyle w:val="18"/>
        <w:ind w:left="0" w:leftChars="0" w:firstLine="0" w:firstLineChars="0"/>
        <w:jc w:val="left"/>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 xml:space="preserve">    4.4、本项目要求的资质证书</w:t>
      </w:r>
    </w:p>
    <w:p w14:paraId="3BA15E05">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5、关于资格的声明函</w:t>
      </w:r>
    </w:p>
    <w:p w14:paraId="7828B415">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、商务条款偏离表</w:t>
      </w:r>
    </w:p>
    <w:p w14:paraId="240685A3">
      <w:pPr>
        <w:autoSpaceDE w:val="0"/>
        <w:autoSpaceDN w:val="0"/>
        <w:adjustRightInd w:val="0"/>
        <w:spacing w:line="360" w:lineRule="auto"/>
        <w:ind w:firstLine="48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7、技术参数、功能偏离表</w:t>
      </w:r>
    </w:p>
    <w:p w14:paraId="36AE9351">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近三年</w:t>
      </w:r>
      <w:r>
        <w:rPr>
          <w:rFonts w:hint="eastAsia" w:ascii="仿宋" w:hAnsi="仿宋" w:eastAsia="仿宋" w:cs="仿宋"/>
          <w:color w:val="auto"/>
          <w:sz w:val="24"/>
          <w:highlight w:val="none"/>
          <w:lang w:val="zh-CN"/>
        </w:rPr>
        <w:t>类似项目业绩情况</w:t>
      </w:r>
    </w:p>
    <w:p w14:paraId="4072277E">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val="zh-CN"/>
        </w:rPr>
        <w:t>、投标单位（供应商）反商业贿赂承诺书</w:t>
      </w:r>
    </w:p>
    <w:p w14:paraId="039A8521">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10</w:t>
      </w:r>
      <w:r>
        <w:rPr>
          <w:rFonts w:hint="eastAsia" w:ascii="仿宋" w:hAnsi="仿宋" w:eastAsia="仿宋" w:cs="仿宋"/>
          <w:color w:val="auto"/>
          <w:sz w:val="24"/>
          <w:highlight w:val="none"/>
          <w:lang w:val="zh-CN"/>
        </w:rPr>
        <w:t>、投标承诺书</w:t>
      </w:r>
    </w:p>
    <w:p w14:paraId="39B87274">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zh-CN"/>
        </w:rPr>
        <w:t>投标单位（供应商）《遵守政府采购相关法律法规承诺书》</w:t>
      </w:r>
    </w:p>
    <w:p w14:paraId="753D6F6F">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zh-CN"/>
        </w:rPr>
        <w:t>、中小企业声明函（如有）</w:t>
      </w:r>
    </w:p>
    <w:p w14:paraId="4C760316">
      <w:pPr>
        <w:autoSpaceDE w:val="0"/>
        <w:autoSpaceDN w:val="0"/>
        <w:adjustRightInd w:val="0"/>
        <w:spacing w:line="360" w:lineRule="auto"/>
        <w:ind w:firstLine="48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13、主要股东或出资人信息</w:t>
      </w:r>
    </w:p>
    <w:p w14:paraId="01A55DB7">
      <w:pPr>
        <w:autoSpaceDE w:val="0"/>
        <w:autoSpaceDN w:val="0"/>
        <w:adjustRightInd w:val="0"/>
        <w:spacing w:line="360" w:lineRule="auto"/>
        <w:ind w:firstLine="48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14、非联合体投标声明</w:t>
      </w:r>
    </w:p>
    <w:p w14:paraId="12A223C3">
      <w:pPr>
        <w:autoSpaceDE w:val="0"/>
        <w:autoSpaceDN w:val="0"/>
        <w:adjustRightInd w:val="0"/>
        <w:spacing w:line="360" w:lineRule="auto"/>
        <w:ind w:firstLine="480"/>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15、</w:t>
      </w:r>
      <w:r>
        <w:rPr>
          <w:rFonts w:hint="eastAsia" w:ascii="仿宋" w:hAnsi="仿宋" w:eastAsia="仿宋" w:cs="仿宋"/>
          <w:color w:val="auto"/>
          <w:sz w:val="24"/>
          <w:highlight w:val="none"/>
          <w:lang w:val="zh-CN"/>
        </w:rPr>
        <w:t>无重大违法记录声明函</w:t>
      </w:r>
    </w:p>
    <w:p w14:paraId="56159EC4">
      <w:pPr>
        <w:autoSpaceDE w:val="0"/>
        <w:autoSpaceDN w:val="0"/>
        <w:adjustRightInd w:val="0"/>
        <w:spacing w:line="360" w:lineRule="auto"/>
        <w:ind w:firstLine="48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16、产品简要说明一览表</w:t>
      </w:r>
    </w:p>
    <w:p w14:paraId="7E32E7E1">
      <w:pPr>
        <w:autoSpaceDE w:val="0"/>
        <w:autoSpaceDN w:val="0"/>
        <w:adjustRightInd w:val="0"/>
        <w:spacing w:line="360" w:lineRule="auto"/>
        <w:ind w:firstLine="48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17、投标产品技术规格及要求详述</w:t>
      </w:r>
    </w:p>
    <w:p w14:paraId="2207EDAE">
      <w:pPr>
        <w:autoSpaceDE w:val="0"/>
        <w:autoSpaceDN w:val="0"/>
        <w:adjustRightInd w:val="0"/>
        <w:spacing w:line="360" w:lineRule="auto"/>
        <w:ind w:firstLine="48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18、备品、备件清单</w:t>
      </w:r>
    </w:p>
    <w:p w14:paraId="4DEE2D2B">
      <w:pPr>
        <w:autoSpaceDE w:val="0"/>
        <w:autoSpaceDN w:val="0"/>
        <w:adjustRightInd w:val="0"/>
        <w:spacing w:line="360" w:lineRule="auto"/>
        <w:ind w:firstLine="48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19、产品规格报价明细表</w:t>
      </w:r>
    </w:p>
    <w:p w14:paraId="2C4008DA">
      <w:pPr>
        <w:autoSpaceDE w:val="0"/>
        <w:autoSpaceDN w:val="0"/>
        <w:adjustRightInd w:val="0"/>
        <w:spacing w:line="360" w:lineRule="auto"/>
        <w:ind w:firstLine="48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20、售后服务承诺详述、维修、培训等计划详述</w:t>
      </w:r>
    </w:p>
    <w:p w14:paraId="44B28E5B">
      <w:pPr>
        <w:autoSpaceDE w:val="0"/>
        <w:autoSpaceDN w:val="0"/>
        <w:adjustRightInd w:val="0"/>
        <w:spacing w:line="360" w:lineRule="auto"/>
        <w:ind w:firstLine="48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21、拟派本项目人员配置情况表</w:t>
      </w:r>
    </w:p>
    <w:p w14:paraId="14148C02">
      <w:pPr>
        <w:autoSpaceDE w:val="0"/>
        <w:autoSpaceDN w:val="0"/>
        <w:adjustRightInd w:val="0"/>
        <w:spacing w:line="360" w:lineRule="auto"/>
        <w:ind w:firstLine="48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其它有利于投标的资料</w:t>
      </w:r>
    </w:p>
    <w:p w14:paraId="422DC437">
      <w:pPr>
        <w:spacing w:line="480" w:lineRule="exact"/>
        <w:ind w:firstLine="602" w:firstLineChars="250"/>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二、响应文件顺序及格式范本 </w:t>
      </w:r>
    </w:p>
    <w:p w14:paraId="48A3679B">
      <w:pPr>
        <w:spacing w:line="480" w:lineRule="exact"/>
        <w:ind w:firstLine="602" w:firstLineChars="250"/>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（一）响应文件顺序及要求（纸质版投标文件按照以下要求制作）</w:t>
      </w:r>
    </w:p>
    <w:p w14:paraId="4CCBBF28">
      <w:pPr>
        <w:spacing w:line="460" w:lineRule="exact"/>
        <w:ind w:firstLine="600" w:firstLineChars="25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1、各供应商应严格按格式范本提供，不允许擅自或随意改变和变动，标书范本应做到工整整齐和完整。</w:t>
      </w:r>
    </w:p>
    <w:p w14:paraId="0935E97F">
      <w:pPr>
        <w:spacing w:line="460" w:lineRule="exact"/>
        <w:ind w:firstLine="600" w:firstLineChars="25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2、文书字体应选择不大于仿宋三号或宋体三号字体，表格内字体应选择不大于仿宋小四号或宋体小四号字体，</w:t>
      </w:r>
    </w:p>
    <w:p w14:paraId="6971DC9A">
      <w:pPr>
        <w:spacing w:line="460" w:lineRule="exact"/>
        <w:ind w:firstLine="600" w:firstLineChars="25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3、凡须要签字盖章的，必须有符合公开招标文件规定要求的人员签字，公章必须是单位法人印章。</w:t>
      </w:r>
    </w:p>
    <w:p w14:paraId="2873D81C">
      <w:pPr>
        <w:spacing w:line="460" w:lineRule="exact"/>
        <w:ind w:firstLine="600" w:firstLineChars="25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4、凡有备注说明的，必须符合说明的要求。</w:t>
      </w:r>
    </w:p>
    <w:p w14:paraId="7A9D91F5">
      <w:pPr>
        <w:spacing w:line="460" w:lineRule="exact"/>
        <w:ind w:firstLine="600" w:firstLineChars="250"/>
        <w:outlineLvl w:val="9"/>
        <w:rPr>
          <w:rFonts w:hint="eastAsia" w:ascii="仿宋" w:hAnsi="仿宋" w:eastAsia="仿宋" w:cs="仿宋"/>
          <w:b/>
          <w:color w:val="auto"/>
          <w:sz w:val="24"/>
          <w:highlight w:val="none"/>
        </w:rPr>
      </w:pPr>
      <w:r>
        <w:rPr>
          <w:rFonts w:hint="eastAsia" w:ascii="仿宋" w:hAnsi="仿宋" w:eastAsia="仿宋" w:cs="仿宋"/>
          <w:color w:val="auto"/>
          <w:sz w:val="24"/>
          <w:highlight w:val="none"/>
        </w:rPr>
        <w:t>5、凡公开招标文件要求提供的，必须提供。</w:t>
      </w:r>
    </w:p>
    <w:p w14:paraId="345E4F93">
      <w:pPr>
        <w:spacing w:line="460" w:lineRule="exact"/>
        <w:ind w:firstLine="602" w:firstLineChars="250"/>
        <w:outlineLvl w:val="9"/>
        <w:rPr>
          <w:rFonts w:hint="eastAsia" w:ascii="仿宋" w:hAnsi="仿宋" w:eastAsia="仿宋" w:cs="仿宋"/>
          <w:b/>
          <w:color w:val="auto"/>
          <w:sz w:val="24"/>
          <w:highlight w:val="none"/>
        </w:rPr>
      </w:pPr>
    </w:p>
    <w:p w14:paraId="0E2B4413">
      <w:pPr>
        <w:spacing w:line="460" w:lineRule="exact"/>
        <w:ind w:firstLine="602" w:firstLineChars="250"/>
        <w:outlineLvl w:val="9"/>
        <w:rPr>
          <w:rFonts w:hint="eastAsia" w:ascii="仿宋" w:hAnsi="仿宋" w:eastAsia="仿宋" w:cs="仿宋"/>
          <w:b/>
          <w:color w:val="auto"/>
          <w:sz w:val="24"/>
          <w:highlight w:val="none"/>
        </w:rPr>
      </w:pPr>
    </w:p>
    <w:p w14:paraId="60AC5CBE">
      <w:pPr>
        <w:spacing w:line="460" w:lineRule="exact"/>
        <w:ind w:firstLine="602" w:firstLineChars="250"/>
        <w:outlineLvl w:val="9"/>
        <w:rPr>
          <w:rFonts w:hint="eastAsia" w:ascii="仿宋" w:hAnsi="仿宋" w:eastAsia="仿宋" w:cs="仿宋"/>
          <w:b/>
          <w:color w:val="auto"/>
          <w:sz w:val="24"/>
          <w:highlight w:val="none"/>
        </w:rPr>
      </w:pPr>
    </w:p>
    <w:p w14:paraId="3BF6D689">
      <w:pPr>
        <w:pStyle w:val="41"/>
        <w:outlineLvl w:val="9"/>
        <w:rPr>
          <w:rFonts w:hint="eastAsia" w:ascii="仿宋" w:hAnsi="仿宋" w:eastAsia="仿宋" w:cs="仿宋"/>
          <w:color w:val="auto"/>
          <w:highlight w:val="none"/>
        </w:rPr>
      </w:pPr>
    </w:p>
    <w:p w14:paraId="102A0083">
      <w:pPr>
        <w:pStyle w:val="42"/>
        <w:outlineLvl w:val="9"/>
        <w:rPr>
          <w:rFonts w:hint="eastAsia" w:ascii="仿宋" w:hAnsi="仿宋" w:eastAsia="仿宋" w:cs="仿宋"/>
          <w:b/>
          <w:color w:val="auto"/>
          <w:sz w:val="24"/>
          <w:highlight w:val="none"/>
        </w:rPr>
      </w:pPr>
    </w:p>
    <w:p w14:paraId="773F038F">
      <w:pPr>
        <w:pStyle w:val="42"/>
        <w:outlineLvl w:val="9"/>
        <w:rPr>
          <w:rFonts w:hint="eastAsia" w:ascii="仿宋" w:hAnsi="仿宋" w:eastAsia="仿宋" w:cs="仿宋"/>
          <w:b/>
          <w:color w:val="auto"/>
          <w:sz w:val="24"/>
          <w:highlight w:val="none"/>
        </w:rPr>
      </w:pPr>
    </w:p>
    <w:p w14:paraId="03FF9617">
      <w:pPr>
        <w:pStyle w:val="42"/>
        <w:outlineLvl w:val="9"/>
        <w:rPr>
          <w:rFonts w:hint="eastAsia" w:ascii="仿宋" w:hAnsi="仿宋" w:eastAsia="仿宋" w:cs="仿宋"/>
          <w:b/>
          <w:color w:val="auto"/>
          <w:sz w:val="24"/>
          <w:highlight w:val="none"/>
        </w:rPr>
      </w:pPr>
    </w:p>
    <w:p w14:paraId="11C707FF">
      <w:pPr>
        <w:pStyle w:val="42"/>
        <w:outlineLvl w:val="9"/>
        <w:rPr>
          <w:rFonts w:hint="eastAsia" w:ascii="仿宋" w:hAnsi="仿宋" w:eastAsia="仿宋" w:cs="仿宋"/>
          <w:b/>
          <w:color w:val="auto"/>
          <w:sz w:val="24"/>
          <w:highlight w:val="none"/>
        </w:rPr>
      </w:pPr>
    </w:p>
    <w:p w14:paraId="111BBF29">
      <w:pPr>
        <w:pStyle w:val="42"/>
        <w:outlineLvl w:val="9"/>
        <w:rPr>
          <w:rFonts w:hint="eastAsia" w:ascii="仿宋" w:hAnsi="仿宋" w:eastAsia="仿宋" w:cs="仿宋"/>
          <w:b/>
          <w:color w:val="auto"/>
          <w:sz w:val="24"/>
          <w:highlight w:val="none"/>
        </w:rPr>
      </w:pPr>
    </w:p>
    <w:p w14:paraId="709355B8">
      <w:pPr>
        <w:pStyle w:val="42"/>
        <w:outlineLvl w:val="9"/>
        <w:rPr>
          <w:rFonts w:hint="eastAsia" w:ascii="仿宋" w:hAnsi="仿宋" w:eastAsia="仿宋" w:cs="仿宋"/>
          <w:b/>
          <w:color w:val="auto"/>
          <w:sz w:val="24"/>
          <w:highlight w:val="none"/>
        </w:rPr>
      </w:pPr>
    </w:p>
    <w:p w14:paraId="1619B4CE">
      <w:pPr>
        <w:pStyle w:val="42"/>
        <w:outlineLvl w:val="9"/>
        <w:rPr>
          <w:rFonts w:hint="eastAsia" w:ascii="仿宋" w:hAnsi="仿宋" w:eastAsia="仿宋" w:cs="仿宋"/>
          <w:b/>
          <w:color w:val="auto"/>
          <w:sz w:val="24"/>
          <w:highlight w:val="none"/>
        </w:rPr>
      </w:pPr>
    </w:p>
    <w:p w14:paraId="1038DBCC">
      <w:pPr>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086298F3">
      <w:pPr>
        <w:keepNext w:val="0"/>
        <w:keepLines w:val="0"/>
        <w:pageBreakBefore w:val="0"/>
        <w:widowControl w:val="0"/>
        <w:kinsoku/>
        <w:wordWrap/>
        <w:overflowPunct/>
        <w:topLinePunct w:val="0"/>
        <w:autoSpaceDE/>
        <w:autoSpaceDN/>
        <w:bidi w:val="0"/>
        <w:adjustRightInd/>
        <w:snapToGrid/>
        <w:ind w:firstLine="0"/>
        <w:jc w:val="center"/>
        <w:textAlignment w:val="auto"/>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rPr>
        <w:t>1、</w:t>
      </w:r>
      <w:r>
        <w:rPr>
          <w:rFonts w:hint="eastAsia" w:ascii="仿宋" w:hAnsi="仿宋" w:eastAsia="仿宋" w:cs="仿宋"/>
          <w:b/>
          <w:bCs/>
          <w:color w:val="auto"/>
          <w:sz w:val="28"/>
          <w:szCs w:val="28"/>
          <w:highlight w:val="none"/>
        </w:rPr>
        <w:t>投标函</w:t>
      </w:r>
    </w:p>
    <w:p w14:paraId="177E8B1C">
      <w:pPr>
        <w:spacing w:line="40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致：（采购人）</w:t>
      </w:r>
    </w:p>
    <w:p w14:paraId="412019AB">
      <w:pPr>
        <w:spacing w:line="400" w:lineRule="exact"/>
        <w:ind w:firstLine="555"/>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根据贵方为</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项目招标的投标邀请</w:t>
      </w:r>
      <w:r>
        <w:rPr>
          <w:rFonts w:hint="eastAsia" w:ascii="仿宋" w:hAnsi="仿宋" w:eastAsia="仿宋" w:cs="仿宋"/>
          <w:color w:val="auto"/>
          <w:sz w:val="24"/>
          <w:highlight w:val="none"/>
          <w:u w:val="single"/>
        </w:rPr>
        <w:t xml:space="preserve">（项目编号） </w:t>
      </w:r>
      <w:r>
        <w:rPr>
          <w:rFonts w:hint="eastAsia" w:ascii="仿宋" w:hAnsi="仿宋" w:eastAsia="仿宋" w:cs="仿宋"/>
          <w:color w:val="auto"/>
          <w:sz w:val="24"/>
          <w:highlight w:val="none"/>
        </w:rPr>
        <w:t>，签字代表</w:t>
      </w:r>
      <w:r>
        <w:rPr>
          <w:rFonts w:hint="eastAsia" w:ascii="仿宋" w:hAnsi="仿宋" w:eastAsia="仿宋" w:cs="仿宋"/>
          <w:color w:val="auto"/>
          <w:sz w:val="24"/>
          <w:highlight w:val="none"/>
          <w:u w:val="single"/>
        </w:rPr>
        <w:t>（姓名、职务）</w:t>
      </w:r>
      <w:r>
        <w:rPr>
          <w:rFonts w:hint="eastAsia" w:ascii="仿宋" w:hAnsi="仿宋" w:eastAsia="仿宋" w:cs="仿宋"/>
          <w:color w:val="auto"/>
          <w:sz w:val="24"/>
          <w:highlight w:val="none"/>
        </w:rPr>
        <w:t>经正式授权并代表供应商</w:t>
      </w:r>
      <w:r>
        <w:rPr>
          <w:rFonts w:hint="eastAsia" w:ascii="仿宋" w:hAnsi="仿宋" w:eastAsia="仿宋" w:cs="仿宋"/>
          <w:color w:val="auto"/>
          <w:sz w:val="24"/>
          <w:highlight w:val="none"/>
          <w:u w:val="single"/>
        </w:rPr>
        <w:t>（供应商名称、地址）</w:t>
      </w:r>
      <w:r>
        <w:rPr>
          <w:rFonts w:hint="eastAsia" w:ascii="仿宋" w:hAnsi="仿宋" w:eastAsia="仿宋" w:cs="仿宋"/>
          <w:color w:val="auto"/>
          <w:sz w:val="24"/>
          <w:highlight w:val="none"/>
        </w:rPr>
        <w:t>提交下述文件：</w:t>
      </w:r>
    </w:p>
    <w:p w14:paraId="016113B2">
      <w:pPr>
        <w:spacing w:line="400" w:lineRule="exact"/>
        <w:ind w:firstLine="555"/>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据此函，签字代表宣布并同意如下：</w:t>
      </w:r>
    </w:p>
    <w:p w14:paraId="5F1CBE9B">
      <w:pPr>
        <w:spacing w:line="400" w:lineRule="exact"/>
        <w:ind w:firstLine="555"/>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1、所附投标报价表中规定的应提交和交付的货物和服务投标总价为</w:t>
      </w:r>
      <w:r>
        <w:rPr>
          <w:rFonts w:hint="eastAsia" w:ascii="仿宋" w:hAnsi="仿宋" w:eastAsia="仿宋" w:cs="仿宋"/>
          <w:color w:val="auto"/>
          <w:sz w:val="24"/>
          <w:highlight w:val="none"/>
          <w:u w:val="single"/>
        </w:rPr>
        <w:t>（注明币种，并用文字和数字表示的投标总价</w:t>
      </w:r>
      <w:r>
        <w:rPr>
          <w:rFonts w:hint="eastAsia" w:ascii="仿宋" w:hAnsi="仿宋" w:eastAsia="仿宋" w:cs="仿宋"/>
          <w:color w:val="auto"/>
          <w:sz w:val="24"/>
          <w:highlight w:val="none"/>
        </w:rPr>
        <w:t>）。</w:t>
      </w:r>
    </w:p>
    <w:p w14:paraId="3F3CFDAE">
      <w:pPr>
        <w:spacing w:line="400" w:lineRule="exact"/>
        <w:ind w:firstLine="555"/>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2、供应商将按公开招标文件的规定履行合同责任和义务；</w:t>
      </w:r>
    </w:p>
    <w:p w14:paraId="0239A06E">
      <w:pPr>
        <w:spacing w:line="400" w:lineRule="exact"/>
        <w:ind w:firstLine="555"/>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3、供应商已详细阅读并理解了公开招标文件的全部，包括修改文件。我们完全理解并同意放弃对这方面有不明及误解的权利。</w:t>
      </w:r>
    </w:p>
    <w:p w14:paraId="36BA3977">
      <w:pPr>
        <w:spacing w:line="400" w:lineRule="exact"/>
        <w:ind w:firstLine="555"/>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4、本投标有效期自开标之日起</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个日历日。</w:t>
      </w:r>
    </w:p>
    <w:p w14:paraId="096CBA36">
      <w:pPr>
        <w:spacing w:line="400" w:lineRule="exact"/>
        <w:ind w:firstLine="555"/>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5、在规定的开标时间后，如果在投标有效期内撤回投标，同意投标保证金将被贵方没收。</w:t>
      </w:r>
    </w:p>
    <w:p w14:paraId="28FDEBD0">
      <w:pPr>
        <w:spacing w:line="400" w:lineRule="exact"/>
        <w:ind w:firstLine="555"/>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6、供应商同意提供按照贵方可能要求的与其投标有关的一切数据或资料，完全理解贵方不一定接受最低价的投标或收到的任何投标的约定。</w:t>
      </w:r>
    </w:p>
    <w:p w14:paraId="1AC60A15">
      <w:pPr>
        <w:spacing w:line="400" w:lineRule="exact"/>
        <w:ind w:firstLine="57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7、与本投标有关的一切正式往来信函请寄：</w:t>
      </w:r>
    </w:p>
    <w:p w14:paraId="340D6276">
      <w:pPr>
        <w:spacing w:line="400" w:lineRule="exact"/>
        <w:ind w:firstLine="840" w:firstLineChars="35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 应 商 名 称：</w:t>
      </w:r>
      <w:r>
        <w:rPr>
          <w:rFonts w:hint="eastAsia" w:ascii="仿宋" w:hAnsi="仿宋" w:eastAsia="仿宋" w:cs="仿宋"/>
          <w:color w:val="auto"/>
          <w:sz w:val="24"/>
          <w:highlight w:val="none"/>
          <w:u w:val="single"/>
        </w:rPr>
        <w:t xml:space="preserve">　      　　　　　　　　　          </w:t>
      </w:r>
    </w:p>
    <w:p w14:paraId="40856942">
      <w:pPr>
        <w:spacing w:line="400" w:lineRule="exact"/>
        <w:ind w:firstLine="840" w:firstLineChars="35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供应商代表签字：</w:t>
      </w:r>
      <w:r>
        <w:rPr>
          <w:rFonts w:hint="eastAsia" w:ascii="仿宋" w:hAnsi="仿宋" w:eastAsia="仿宋" w:cs="仿宋"/>
          <w:color w:val="auto"/>
          <w:sz w:val="24"/>
          <w:highlight w:val="none"/>
          <w:u w:val="single"/>
        </w:rPr>
        <w:t xml:space="preserve">　　　　　　　　　　　              </w:t>
      </w:r>
    </w:p>
    <w:p w14:paraId="01E7E33C">
      <w:pPr>
        <w:spacing w:line="400" w:lineRule="exact"/>
        <w:ind w:firstLine="840" w:firstLineChars="35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公          章：</w:t>
      </w:r>
      <w:r>
        <w:rPr>
          <w:rFonts w:hint="eastAsia" w:ascii="仿宋" w:hAnsi="仿宋" w:eastAsia="仿宋" w:cs="仿宋"/>
          <w:color w:val="auto"/>
          <w:sz w:val="24"/>
          <w:highlight w:val="none"/>
          <w:u w:val="single"/>
        </w:rPr>
        <w:t xml:space="preserve">　　　　　　　　　　　　　          </w:t>
      </w:r>
    </w:p>
    <w:p w14:paraId="72E46ECD">
      <w:pPr>
        <w:spacing w:line="400" w:lineRule="exact"/>
        <w:ind w:firstLine="876" w:firstLineChars="365"/>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015F54D0">
      <w:pPr>
        <w:spacing w:line="40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电　　　　　话：</w:t>
      </w:r>
      <w:r>
        <w:rPr>
          <w:rFonts w:hint="eastAsia" w:ascii="仿宋" w:hAnsi="仿宋" w:eastAsia="仿宋" w:cs="仿宋"/>
          <w:color w:val="auto"/>
          <w:sz w:val="24"/>
          <w:highlight w:val="none"/>
          <w:u w:val="single"/>
        </w:rPr>
        <w:t xml:space="preserve">　　　　　　　　　　                </w:t>
      </w:r>
    </w:p>
    <w:p w14:paraId="54EC0D4A">
      <w:pPr>
        <w:spacing w:line="40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邮          编：</w:t>
      </w:r>
      <w:r>
        <w:rPr>
          <w:rFonts w:hint="eastAsia" w:ascii="仿宋" w:hAnsi="仿宋" w:eastAsia="仿宋" w:cs="仿宋"/>
          <w:color w:val="auto"/>
          <w:sz w:val="24"/>
          <w:highlight w:val="none"/>
          <w:u w:val="single"/>
        </w:rPr>
        <w:t xml:space="preserve">　　　　   　　　                   </w:t>
      </w:r>
    </w:p>
    <w:p w14:paraId="1AC23526">
      <w:pPr>
        <w:spacing w:line="40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传          真：</w:t>
      </w:r>
      <w:r>
        <w:rPr>
          <w:rFonts w:hint="eastAsia" w:ascii="仿宋" w:hAnsi="仿宋" w:eastAsia="仿宋" w:cs="仿宋"/>
          <w:color w:val="auto"/>
          <w:sz w:val="24"/>
          <w:highlight w:val="none"/>
          <w:u w:val="single"/>
        </w:rPr>
        <w:t xml:space="preserve">　   　　　　　　                   </w:t>
      </w:r>
    </w:p>
    <w:p w14:paraId="7B358B56">
      <w:pPr>
        <w:spacing w:line="400" w:lineRule="exact"/>
        <w:ind w:firstLine="240" w:firstLineChars="1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p>
    <w:p w14:paraId="642C3DC7">
      <w:pPr>
        <w:spacing w:line="40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20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E2658CA">
      <w:pPr>
        <w:spacing w:line="400" w:lineRule="exact"/>
        <w:outlineLvl w:val="9"/>
        <w:rPr>
          <w:rFonts w:hint="eastAsia" w:ascii="仿宋" w:hAnsi="仿宋" w:eastAsia="仿宋" w:cs="仿宋"/>
          <w:b/>
          <w:color w:val="auto"/>
          <w:sz w:val="24"/>
          <w:highlight w:val="none"/>
        </w:rPr>
      </w:pPr>
    </w:p>
    <w:p w14:paraId="6B7B163D">
      <w:pPr>
        <w:pStyle w:val="8"/>
        <w:outlineLvl w:val="9"/>
        <w:rPr>
          <w:rFonts w:hint="eastAsia" w:ascii="仿宋" w:hAnsi="仿宋" w:eastAsia="仿宋" w:cs="仿宋"/>
          <w:b/>
          <w:color w:val="auto"/>
          <w:sz w:val="24"/>
          <w:highlight w:val="none"/>
        </w:rPr>
      </w:pPr>
    </w:p>
    <w:p w14:paraId="0A126D93">
      <w:pPr>
        <w:pStyle w:val="8"/>
        <w:outlineLvl w:val="9"/>
        <w:rPr>
          <w:rFonts w:hint="eastAsia" w:ascii="仿宋" w:hAnsi="仿宋" w:eastAsia="仿宋" w:cs="仿宋"/>
          <w:b/>
          <w:color w:val="auto"/>
          <w:sz w:val="24"/>
          <w:highlight w:val="none"/>
        </w:rPr>
      </w:pPr>
    </w:p>
    <w:p w14:paraId="3D85E753">
      <w:pPr>
        <w:pStyle w:val="8"/>
        <w:outlineLvl w:val="9"/>
        <w:rPr>
          <w:rFonts w:hint="eastAsia" w:ascii="仿宋" w:hAnsi="仿宋" w:eastAsia="仿宋" w:cs="仿宋"/>
          <w:b/>
          <w:color w:val="auto"/>
          <w:sz w:val="24"/>
          <w:highlight w:val="none"/>
        </w:rPr>
      </w:pPr>
    </w:p>
    <w:p w14:paraId="710D69B3">
      <w:pPr>
        <w:pStyle w:val="8"/>
        <w:outlineLvl w:val="9"/>
        <w:rPr>
          <w:rFonts w:hint="eastAsia" w:ascii="仿宋" w:hAnsi="仿宋" w:eastAsia="仿宋" w:cs="仿宋"/>
          <w:b/>
          <w:color w:val="auto"/>
          <w:sz w:val="24"/>
          <w:highlight w:val="none"/>
        </w:rPr>
      </w:pPr>
    </w:p>
    <w:p w14:paraId="60107A58">
      <w:pPr>
        <w:pStyle w:val="8"/>
        <w:outlineLvl w:val="9"/>
        <w:rPr>
          <w:rFonts w:hint="eastAsia" w:ascii="仿宋" w:hAnsi="仿宋" w:eastAsia="仿宋" w:cs="仿宋"/>
          <w:b/>
          <w:color w:val="auto"/>
          <w:sz w:val="24"/>
          <w:highlight w:val="none"/>
        </w:rPr>
      </w:pPr>
    </w:p>
    <w:p w14:paraId="50EB0040">
      <w:pPr>
        <w:pStyle w:val="8"/>
        <w:outlineLvl w:val="9"/>
        <w:rPr>
          <w:rFonts w:hint="eastAsia" w:ascii="仿宋" w:hAnsi="仿宋" w:eastAsia="仿宋" w:cs="仿宋"/>
          <w:b/>
          <w:color w:val="auto"/>
          <w:sz w:val="24"/>
          <w:highlight w:val="none"/>
        </w:rPr>
      </w:pPr>
    </w:p>
    <w:p w14:paraId="5F1973D3">
      <w:pPr>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17598F25">
      <w:pPr>
        <w:ind w:firstLine="562"/>
        <w:jc w:val="center"/>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rPr>
        <w:t>2、</w:t>
      </w:r>
      <w:r>
        <w:rPr>
          <w:rFonts w:hint="eastAsia" w:ascii="仿宋" w:hAnsi="仿宋" w:eastAsia="仿宋" w:cs="仿宋"/>
          <w:b/>
          <w:bCs/>
          <w:color w:val="auto"/>
          <w:sz w:val="28"/>
          <w:szCs w:val="28"/>
          <w:highlight w:val="none"/>
        </w:rPr>
        <w:t>法人代表授权书格式</w:t>
      </w:r>
    </w:p>
    <w:p w14:paraId="59759240">
      <w:pPr>
        <w:jc w:val="center"/>
        <w:outlineLvl w:val="9"/>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法定代表人资格证明书</w:t>
      </w:r>
    </w:p>
    <w:p w14:paraId="4E417B9D">
      <w:pPr>
        <w:spacing w:beforeLines="50" w:afterLines="50" w:line="360" w:lineRule="auto"/>
        <w:ind w:left="546" w:leftChars="26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单位名称：</w:t>
      </w:r>
    </w:p>
    <w:p w14:paraId="186BF433">
      <w:pPr>
        <w:spacing w:beforeLines="50" w:afterLines="50" w:line="360" w:lineRule="auto"/>
        <w:ind w:left="546" w:leftChars="26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单位性质：</w:t>
      </w:r>
    </w:p>
    <w:p w14:paraId="50740B4E">
      <w:pPr>
        <w:spacing w:beforeLines="50" w:afterLines="50" w:line="360" w:lineRule="auto"/>
        <w:ind w:left="546" w:leftChars="26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w:t>
      </w:r>
    </w:p>
    <w:p w14:paraId="70B35983">
      <w:pPr>
        <w:spacing w:beforeLines="50" w:afterLines="50" w:line="360" w:lineRule="auto"/>
        <w:ind w:left="546" w:leftChars="26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成立时间：</w:t>
      </w:r>
    </w:p>
    <w:p w14:paraId="0392EDAA">
      <w:pPr>
        <w:spacing w:beforeLines="50" w:afterLines="50" w:line="360" w:lineRule="auto"/>
        <w:ind w:left="546" w:leftChars="26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经营期限：</w:t>
      </w:r>
    </w:p>
    <w:p w14:paraId="44CF748F">
      <w:pPr>
        <w:spacing w:beforeLines="50" w:afterLines="50" w:line="360" w:lineRule="auto"/>
        <w:ind w:left="546" w:leftChars="26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姓名： 性别：</w:t>
      </w:r>
    </w:p>
    <w:p w14:paraId="30A522C4">
      <w:pPr>
        <w:spacing w:beforeLines="50" w:afterLines="50" w:line="360" w:lineRule="auto"/>
        <w:ind w:left="546" w:leftChars="26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年龄：职务：</w:t>
      </w:r>
    </w:p>
    <w:p w14:paraId="512D1CE1">
      <w:pPr>
        <w:spacing w:beforeLines="50" w:afterLines="50"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（供应商）</w:t>
      </w:r>
      <w:r>
        <w:rPr>
          <w:rFonts w:hint="eastAsia" w:ascii="仿宋" w:hAnsi="仿宋" w:eastAsia="仿宋" w:cs="仿宋"/>
          <w:color w:val="auto"/>
          <w:sz w:val="24"/>
          <w:highlight w:val="none"/>
        </w:rPr>
        <w:t>的法定代表人。</w:t>
      </w:r>
      <w:r>
        <w:rPr>
          <w:rFonts w:hint="eastAsia" w:ascii="仿宋" w:hAnsi="仿宋" w:eastAsia="仿宋" w:cs="仿宋"/>
          <w:color w:val="auto"/>
          <w:sz w:val="24"/>
          <w:highlight w:val="none"/>
        </w:rPr>
        <w:cr/>
      </w:r>
    </w:p>
    <w:p w14:paraId="76F2EE93">
      <w:pPr>
        <w:spacing w:beforeLines="50" w:afterLines="50"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23F3B171">
      <w:pPr>
        <w:pStyle w:val="8"/>
        <w:outlineLvl w:val="9"/>
        <w:rPr>
          <w:rFonts w:hint="eastAsia" w:ascii="仿宋" w:hAnsi="仿宋" w:eastAsia="仿宋" w:cs="仿宋"/>
          <w:color w:val="auto"/>
          <w:sz w:val="24"/>
          <w:highlight w:val="none"/>
        </w:rPr>
      </w:pPr>
    </w:p>
    <w:p w14:paraId="21EA3260">
      <w:pPr>
        <w:pStyle w:val="8"/>
        <w:spacing w:line="48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（此处附法人身份证复印件）</w:t>
      </w:r>
    </w:p>
    <w:p w14:paraId="538519AF">
      <w:pPr>
        <w:spacing w:beforeLines="50" w:afterLines="50" w:line="48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供应商公章：[供应商盖章]</w:t>
      </w:r>
    </w:p>
    <w:p w14:paraId="5B929BD6">
      <w:pPr>
        <w:spacing w:beforeLines="50" w:afterLines="50" w:line="480" w:lineRule="auto"/>
        <w:ind w:firstLine="496" w:firstLineChars="200"/>
        <w:outlineLvl w:val="9"/>
        <w:rPr>
          <w:rFonts w:hint="eastAsia" w:ascii="仿宋" w:hAnsi="仿宋" w:eastAsia="仿宋" w:cs="仿宋"/>
          <w:color w:val="auto"/>
          <w:highlight w:val="none"/>
        </w:rPr>
      </w:pPr>
      <w:r>
        <w:rPr>
          <w:rFonts w:hint="eastAsia" w:ascii="仿宋" w:hAnsi="仿宋" w:eastAsia="仿宋" w:cs="仿宋"/>
          <w:color w:val="auto"/>
          <w:spacing w:val="4"/>
          <w:sz w:val="24"/>
          <w:highlight w:val="none"/>
        </w:rPr>
        <w:t>日期：</w:t>
      </w:r>
      <w:r>
        <w:rPr>
          <w:rFonts w:hint="eastAsia" w:ascii="仿宋" w:hAnsi="仿宋" w:eastAsia="仿宋" w:cs="仿宋"/>
          <w:color w:val="auto"/>
          <w:sz w:val="24"/>
          <w:highlight w:val="none"/>
        </w:rPr>
        <w:t>年   月   日</w:t>
      </w:r>
    </w:p>
    <w:p w14:paraId="41D4D545">
      <w:pPr>
        <w:pStyle w:val="12"/>
        <w:ind w:left="0"/>
        <w:outlineLvl w:val="9"/>
        <w:rPr>
          <w:rFonts w:hint="eastAsia" w:ascii="仿宋" w:hAnsi="仿宋" w:eastAsia="仿宋" w:cs="仿宋"/>
          <w:color w:val="auto"/>
          <w:highlight w:val="none"/>
        </w:rPr>
      </w:pPr>
    </w:p>
    <w:p w14:paraId="58AC8A0B">
      <w:pPr>
        <w:jc w:val="center"/>
        <w:outlineLvl w:val="9"/>
        <w:rPr>
          <w:rFonts w:hint="eastAsia" w:ascii="仿宋" w:hAnsi="仿宋" w:eastAsia="仿宋" w:cs="仿宋"/>
          <w:b/>
          <w:bCs/>
          <w:color w:val="auto"/>
          <w:sz w:val="28"/>
          <w:szCs w:val="36"/>
          <w:highlight w:val="none"/>
        </w:rPr>
      </w:pPr>
    </w:p>
    <w:p w14:paraId="1D15ED6E">
      <w:pPr>
        <w:jc w:val="center"/>
        <w:outlineLvl w:val="9"/>
        <w:rPr>
          <w:rFonts w:hint="eastAsia" w:ascii="仿宋" w:hAnsi="仿宋" w:eastAsia="仿宋" w:cs="仿宋"/>
          <w:b/>
          <w:bCs/>
          <w:color w:val="auto"/>
          <w:sz w:val="28"/>
          <w:szCs w:val="36"/>
          <w:highlight w:val="none"/>
        </w:rPr>
      </w:pPr>
    </w:p>
    <w:p w14:paraId="3442030C">
      <w:pPr>
        <w:jc w:val="center"/>
        <w:outlineLvl w:val="9"/>
        <w:rPr>
          <w:rFonts w:hint="eastAsia" w:ascii="仿宋" w:hAnsi="仿宋" w:eastAsia="仿宋" w:cs="仿宋"/>
          <w:b/>
          <w:bCs/>
          <w:color w:val="auto"/>
          <w:sz w:val="28"/>
          <w:szCs w:val="36"/>
          <w:highlight w:val="none"/>
        </w:rPr>
      </w:pPr>
    </w:p>
    <w:p w14:paraId="58531C6B">
      <w:pPr>
        <w:jc w:val="center"/>
        <w:outlineLvl w:val="9"/>
        <w:rPr>
          <w:rFonts w:hint="eastAsia" w:ascii="仿宋" w:hAnsi="仿宋" w:eastAsia="仿宋" w:cs="仿宋"/>
          <w:b/>
          <w:bCs/>
          <w:color w:val="auto"/>
          <w:sz w:val="28"/>
          <w:szCs w:val="36"/>
          <w:highlight w:val="none"/>
        </w:rPr>
      </w:pPr>
    </w:p>
    <w:p w14:paraId="68E2EBD6">
      <w:pPr>
        <w:jc w:val="center"/>
        <w:outlineLvl w:val="9"/>
        <w:rPr>
          <w:rFonts w:hint="eastAsia" w:ascii="仿宋" w:hAnsi="仿宋" w:eastAsia="仿宋" w:cs="仿宋"/>
          <w:b/>
          <w:bCs/>
          <w:color w:val="auto"/>
          <w:sz w:val="28"/>
          <w:szCs w:val="36"/>
          <w:highlight w:val="none"/>
        </w:rPr>
      </w:pPr>
    </w:p>
    <w:p w14:paraId="09E59683">
      <w:pPr>
        <w:jc w:val="center"/>
        <w:outlineLvl w:val="9"/>
        <w:rPr>
          <w:rFonts w:hint="eastAsia" w:ascii="仿宋" w:hAnsi="仿宋" w:eastAsia="仿宋" w:cs="仿宋"/>
          <w:b/>
          <w:bCs/>
          <w:color w:val="auto"/>
          <w:sz w:val="28"/>
          <w:szCs w:val="36"/>
          <w:highlight w:val="none"/>
        </w:rPr>
      </w:pPr>
    </w:p>
    <w:p w14:paraId="36CC9939">
      <w:pPr>
        <w:jc w:val="center"/>
        <w:outlineLvl w:val="9"/>
        <w:rPr>
          <w:rFonts w:hint="eastAsia" w:ascii="仿宋" w:hAnsi="仿宋" w:eastAsia="仿宋" w:cs="仿宋"/>
          <w:b/>
          <w:bCs/>
          <w:color w:val="auto"/>
          <w:sz w:val="28"/>
          <w:szCs w:val="36"/>
          <w:highlight w:val="none"/>
        </w:rPr>
      </w:pPr>
    </w:p>
    <w:p w14:paraId="5417A2D4">
      <w:pPr>
        <w:jc w:val="center"/>
        <w:outlineLvl w:val="9"/>
        <w:rPr>
          <w:rFonts w:hint="eastAsia" w:ascii="仿宋" w:hAnsi="仿宋" w:eastAsia="仿宋" w:cs="仿宋"/>
          <w:b/>
          <w:bCs/>
          <w:color w:val="auto"/>
          <w:sz w:val="28"/>
          <w:szCs w:val="36"/>
          <w:highlight w:val="none"/>
        </w:rPr>
      </w:pPr>
    </w:p>
    <w:p w14:paraId="6B7FA130">
      <w:pPr>
        <w:jc w:val="center"/>
        <w:outlineLvl w:val="9"/>
        <w:rPr>
          <w:rFonts w:hint="eastAsia" w:ascii="仿宋" w:hAnsi="仿宋" w:eastAsia="仿宋" w:cs="仿宋"/>
          <w:b/>
          <w:bCs/>
          <w:color w:val="auto"/>
          <w:sz w:val="28"/>
          <w:szCs w:val="36"/>
          <w:highlight w:val="none"/>
        </w:rPr>
      </w:pPr>
    </w:p>
    <w:p w14:paraId="4CDAE7BD">
      <w:pPr>
        <w:jc w:val="center"/>
        <w:outlineLvl w:val="9"/>
        <w:rPr>
          <w:rFonts w:hint="eastAsia" w:ascii="仿宋" w:hAnsi="仿宋" w:eastAsia="仿宋" w:cs="仿宋"/>
          <w:b/>
          <w:bCs/>
          <w:color w:val="auto"/>
          <w:sz w:val="28"/>
          <w:szCs w:val="36"/>
          <w:highlight w:val="none"/>
        </w:rPr>
      </w:pPr>
    </w:p>
    <w:p w14:paraId="5DDB0CFD">
      <w:pPr>
        <w:spacing w:beforeLines="50" w:afterLines="150"/>
        <w:jc w:val="center"/>
        <w:outlineLvl w:val="9"/>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br w:type="page"/>
      </w:r>
      <w:r>
        <w:rPr>
          <w:rFonts w:hint="eastAsia" w:ascii="仿宋" w:hAnsi="仿宋" w:eastAsia="仿宋" w:cs="仿宋"/>
          <w:b/>
          <w:bCs/>
          <w:color w:val="auto"/>
          <w:sz w:val="28"/>
          <w:szCs w:val="36"/>
          <w:highlight w:val="none"/>
        </w:rPr>
        <w:t>法人代表授权书</w:t>
      </w:r>
    </w:p>
    <w:p w14:paraId="1A03749F">
      <w:pPr>
        <w:spacing w:line="480" w:lineRule="auto"/>
        <w:ind w:firstLine="601"/>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本授权书声明：注册于</w:t>
      </w:r>
      <w:r>
        <w:rPr>
          <w:rFonts w:hint="eastAsia" w:ascii="仿宋" w:hAnsi="仿宋" w:eastAsia="仿宋" w:cs="仿宋"/>
          <w:color w:val="auto"/>
          <w:sz w:val="24"/>
          <w:highlight w:val="none"/>
          <w:u w:val="single"/>
        </w:rPr>
        <w:t>（地区的名称）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（公司名称）</w:t>
      </w:r>
      <w:r>
        <w:rPr>
          <w:rFonts w:hint="eastAsia" w:ascii="仿宋" w:hAnsi="仿宋" w:eastAsia="仿宋" w:cs="仿宋"/>
          <w:color w:val="auto"/>
          <w:sz w:val="24"/>
          <w:highlight w:val="none"/>
        </w:rPr>
        <w:t>，在下面签字的法人代表</w:t>
      </w:r>
      <w:r>
        <w:rPr>
          <w:rFonts w:hint="eastAsia" w:ascii="仿宋" w:hAnsi="仿宋" w:eastAsia="仿宋" w:cs="仿宋"/>
          <w:color w:val="auto"/>
          <w:sz w:val="24"/>
          <w:highlight w:val="none"/>
          <w:u w:val="single"/>
        </w:rPr>
        <w:t>（姓名、职务）</w:t>
      </w:r>
      <w:r>
        <w:rPr>
          <w:rFonts w:hint="eastAsia" w:ascii="仿宋" w:hAnsi="仿宋" w:eastAsia="仿宋" w:cs="仿宋"/>
          <w:color w:val="auto"/>
          <w:sz w:val="24"/>
          <w:highlight w:val="none"/>
        </w:rPr>
        <w:t>，代表本公司授权在下面签字的</w:t>
      </w:r>
      <w:r>
        <w:rPr>
          <w:rFonts w:hint="eastAsia" w:ascii="仿宋" w:hAnsi="仿宋" w:eastAsia="仿宋" w:cs="仿宋"/>
          <w:color w:val="auto"/>
          <w:sz w:val="24"/>
          <w:highlight w:val="none"/>
          <w:u w:val="single"/>
        </w:rPr>
        <w:t>（被授权人的姓名、职务）</w:t>
      </w:r>
      <w:r>
        <w:rPr>
          <w:rFonts w:hint="eastAsia" w:ascii="仿宋" w:hAnsi="仿宋" w:eastAsia="仿宋" w:cs="仿宋"/>
          <w:color w:val="auto"/>
          <w:sz w:val="24"/>
          <w:highlight w:val="none"/>
        </w:rPr>
        <w:t>为本公司的合法代理人，就</w:t>
      </w:r>
      <w:r>
        <w:rPr>
          <w:rFonts w:hint="eastAsia" w:ascii="仿宋" w:hAnsi="仿宋" w:eastAsia="仿宋" w:cs="仿宋"/>
          <w:color w:val="auto"/>
          <w:sz w:val="24"/>
          <w:highlight w:val="none"/>
          <w:u w:val="single"/>
        </w:rPr>
        <w:t>　（项目名称）　</w:t>
      </w:r>
      <w:r>
        <w:rPr>
          <w:rFonts w:hint="eastAsia" w:ascii="仿宋" w:hAnsi="仿宋" w:eastAsia="仿宋" w:cs="仿宋"/>
          <w:color w:val="auto"/>
          <w:sz w:val="24"/>
          <w:highlight w:val="none"/>
        </w:rPr>
        <w:t>的投标，以本公司的名义处理一切与之有关的事务。本授权书于</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日签字生效，特此声明。</w:t>
      </w:r>
    </w:p>
    <w:p w14:paraId="21E1A9BD">
      <w:pPr>
        <w:pStyle w:val="8"/>
        <w:outlineLvl w:val="9"/>
        <w:rPr>
          <w:rFonts w:hint="eastAsia" w:ascii="仿宋" w:hAnsi="仿宋" w:eastAsia="仿宋" w:cs="仿宋"/>
          <w:color w:val="auto"/>
          <w:sz w:val="24"/>
          <w:highlight w:val="none"/>
        </w:rPr>
      </w:pPr>
    </w:p>
    <w:p w14:paraId="0E5BEA1B">
      <w:pPr>
        <w:pStyle w:val="8"/>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（此处附法人身份证复印件及被授权人身份证复印件）</w:t>
      </w:r>
    </w:p>
    <w:p w14:paraId="0478B1CE">
      <w:pPr>
        <w:spacing w:line="360" w:lineRule="auto"/>
        <w:ind w:firstLine="482"/>
        <w:outlineLvl w:val="9"/>
        <w:rPr>
          <w:rFonts w:hint="eastAsia" w:ascii="仿宋" w:hAnsi="仿宋" w:eastAsia="仿宋" w:cs="仿宋"/>
          <w:color w:val="auto"/>
          <w:sz w:val="24"/>
          <w:highlight w:val="none"/>
        </w:rPr>
      </w:pPr>
    </w:p>
    <w:p w14:paraId="633FFF10">
      <w:pPr>
        <w:spacing w:line="480" w:lineRule="auto"/>
        <w:ind w:firstLine="2400" w:firstLineChars="10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法人代表签字：</w:t>
      </w:r>
      <w:r>
        <w:rPr>
          <w:rFonts w:hint="eastAsia" w:ascii="仿宋" w:hAnsi="仿宋" w:eastAsia="仿宋" w:cs="仿宋"/>
          <w:color w:val="auto"/>
          <w:sz w:val="24"/>
          <w:highlight w:val="none"/>
          <w:u w:val="single"/>
        </w:rPr>
        <w:t>　　　　　　　　　　　　　　　</w:t>
      </w:r>
    </w:p>
    <w:p w14:paraId="65412EED">
      <w:pPr>
        <w:spacing w:line="480" w:lineRule="auto"/>
        <w:ind w:firstLine="2400" w:firstLineChars="10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被授权人签字：</w:t>
      </w:r>
      <w:r>
        <w:rPr>
          <w:rFonts w:hint="eastAsia" w:ascii="仿宋" w:hAnsi="仿宋" w:eastAsia="仿宋" w:cs="仿宋"/>
          <w:color w:val="auto"/>
          <w:sz w:val="24"/>
          <w:highlight w:val="none"/>
          <w:u w:val="single"/>
        </w:rPr>
        <w:t>　　　　　　　　　　　　　　　</w:t>
      </w:r>
    </w:p>
    <w:p w14:paraId="74E35747">
      <w:pPr>
        <w:spacing w:line="480" w:lineRule="auto"/>
        <w:ind w:firstLine="2400" w:firstLineChars="10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公        章：</w:t>
      </w:r>
    </w:p>
    <w:p w14:paraId="5D356698">
      <w:pPr>
        <w:spacing w:line="480" w:lineRule="auto"/>
        <w:ind w:firstLine="48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授  权 日 期：</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日</w:t>
      </w:r>
    </w:p>
    <w:p w14:paraId="767FDA04">
      <w:pPr>
        <w:ind w:firstLine="482" w:firstLineChars="200"/>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注：法人代表本人作为公司代理人前来参加投标的，供应商可以不提供此项证明文件。</w:t>
      </w:r>
    </w:p>
    <w:p w14:paraId="703BCF67">
      <w:pPr>
        <w:ind w:firstLine="482" w:firstLineChars="200"/>
        <w:outlineLvl w:val="9"/>
        <w:rPr>
          <w:rFonts w:hint="eastAsia" w:ascii="仿宋" w:hAnsi="仿宋" w:eastAsia="仿宋" w:cs="仿宋"/>
          <w:b/>
          <w:color w:val="auto"/>
          <w:sz w:val="24"/>
          <w:highlight w:val="none"/>
        </w:rPr>
      </w:pPr>
    </w:p>
    <w:p w14:paraId="605B0E1C">
      <w:pPr>
        <w:pStyle w:val="8"/>
        <w:outlineLvl w:val="9"/>
        <w:rPr>
          <w:rFonts w:hint="eastAsia" w:ascii="仿宋" w:hAnsi="仿宋" w:eastAsia="仿宋" w:cs="仿宋"/>
          <w:b/>
          <w:color w:val="auto"/>
          <w:sz w:val="24"/>
          <w:highlight w:val="none"/>
        </w:rPr>
      </w:pPr>
    </w:p>
    <w:p w14:paraId="077F147C">
      <w:pPr>
        <w:pStyle w:val="8"/>
        <w:outlineLvl w:val="9"/>
        <w:rPr>
          <w:rFonts w:hint="eastAsia" w:ascii="仿宋" w:hAnsi="仿宋" w:eastAsia="仿宋" w:cs="仿宋"/>
          <w:b/>
          <w:color w:val="auto"/>
          <w:sz w:val="24"/>
          <w:highlight w:val="none"/>
        </w:rPr>
      </w:pPr>
    </w:p>
    <w:p w14:paraId="1CC20569">
      <w:pPr>
        <w:ind w:firstLine="562"/>
        <w:jc w:val="center"/>
        <w:outlineLvl w:val="1"/>
        <w:rPr>
          <w:rFonts w:hint="eastAsia" w:ascii="仿宋" w:hAnsi="仿宋" w:eastAsia="仿宋" w:cs="仿宋"/>
          <w:b/>
          <w:color w:val="auto"/>
          <w:sz w:val="30"/>
          <w:highlight w:val="none"/>
        </w:rPr>
      </w:pPr>
      <w:r>
        <w:rPr>
          <w:rFonts w:hint="eastAsia" w:ascii="仿宋" w:hAnsi="仿宋" w:eastAsia="仿宋" w:cs="仿宋"/>
          <w:b/>
          <w:bCs/>
          <w:color w:val="auto"/>
          <w:sz w:val="28"/>
          <w:szCs w:val="28"/>
          <w:highlight w:val="none"/>
        </w:rPr>
        <w:br w:type="page"/>
      </w: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rPr>
        <w:t>3、</w:t>
      </w:r>
      <w:r>
        <w:rPr>
          <w:rFonts w:hint="eastAsia" w:ascii="仿宋" w:hAnsi="仿宋" w:eastAsia="仿宋" w:cs="仿宋"/>
          <w:b/>
          <w:bCs/>
          <w:color w:val="auto"/>
          <w:sz w:val="28"/>
          <w:szCs w:val="28"/>
          <w:highlight w:val="none"/>
        </w:rPr>
        <w:t>报价一览表</w:t>
      </w:r>
    </w:p>
    <w:p w14:paraId="05169B6A">
      <w:pPr>
        <w:pStyle w:val="33"/>
        <w:spacing w:line="360" w:lineRule="auto"/>
        <w:ind w:left="212" w:leftChars="-86" w:hanging="393" w:hangingChars="163"/>
        <w:jc w:val="both"/>
        <w:outlineLvl w:val="9"/>
        <w:rPr>
          <w:rFonts w:hint="eastAsia" w:ascii="仿宋" w:hAnsi="仿宋" w:eastAsia="仿宋" w:cs="仿宋"/>
          <w:b/>
          <w:color w:val="auto"/>
          <w:highlight w:val="none"/>
        </w:rPr>
      </w:pPr>
      <w:r>
        <w:rPr>
          <w:rFonts w:hint="eastAsia" w:ascii="仿宋" w:hAnsi="仿宋" w:eastAsia="仿宋" w:cs="仿宋"/>
          <w:b/>
          <w:color w:val="auto"/>
          <w:highlight w:val="none"/>
        </w:rPr>
        <w:t xml:space="preserve">供应商名称：                      </w:t>
      </w:r>
    </w:p>
    <w:p w14:paraId="64B0799E">
      <w:pPr>
        <w:pStyle w:val="33"/>
        <w:spacing w:line="360" w:lineRule="auto"/>
        <w:ind w:left="212" w:leftChars="-86" w:hanging="393" w:hangingChars="163"/>
        <w:jc w:val="both"/>
        <w:outlineLvl w:val="9"/>
        <w:rPr>
          <w:rFonts w:hint="eastAsia" w:ascii="仿宋" w:hAnsi="仿宋" w:eastAsia="仿宋" w:cs="仿宋"/>
          <w:b/>
          <w:color w:val="auto"/>
          <w:highlight w:val="none"/>
        </w:rPr>
      </w:pPr>
      <w:r>
        <w:rPr>
          <w:rFonts w:hint="eastAsia" w:ascii="仿宋" w:hAnsi="仿宋" w:eastAsia="仿宋" w:cs="仿宋"/>
          <w:b/>
          <w:color w:val="auto"/>
          <w:highlight w:val="none"/>
        </w:rPr>
        <w:t>项目编号：</w:t>
      </w:r>
      <w:r>
        <w:rPr>
          <w:rFonts w:hint="eastAsia" w:ascii="仿宋" w:hAnsi="仿宋" w:eastAsia="仿宋" w:cs="仿宋"/>
          <w:b/>
          <w:color w:val="auto"/>
          <w:highlight w:val="none"/>
          <w:lang w:val="en-US" w:eastAsia="zh-CN"/>
        </w:rPr>
        <w:t xml:space="preserve">                                </w:t>
      </w:r>
      <w:r>
        <w:rPr>
          <w:rFonts w:hint="eastAsia" w:ascii="仿宋" w:hAnsi="仿宋" w:eastAsia="仿宋" w:cs="仿宋"/>
          <w:b/>
          <w:color w:val="auto"/>
          <w:highlight w:val="none"/>
        </w:rPr>
        <w:t>项目名称：</w:t>
      </w:r>
    </w:p>
    <w:tbl>
      <w:tblPr>
        <w:tblStyle w:val="24"/>
        <w:tblW w:w="91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3"/>
        <w:gridCol w:w="1953"/>
        <w:gridCol w:w="3420"/>
        <w:gridCol w:w="867"/>
      </w:tblGrid>
      <w:tr w14:paraId="4031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903" w:type="dxa"/>
            <w:vAlign w:val="center"/>
          </w:tcPr>
          <w:p w14:paraId="2F842CC7">
            <w:pPr>
              <w:pStyle w:val="33"/>
              <w:ind w:left="-125" w:leftChars="-422" w:right="-743" w:rightChars="-354" w:hanging="761" w:hangingChars="316"/>
              <w:jc w:val="center"/>
              <w:outlineLvl w:val="9"/>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项目名称</w:t>
            </w:r>
          </w:p>
        </w:tc>
        <w:tc>
          <w:tcPr>
            <w:tcW w:w="1953" w:type="dxa"/>
            <w:vAlign w:val="center"/>
          </w:tcPr>
          <w:p w14:paraId="68C0D07A">
            <w:pPr>
              <w:pStyle w:val="33"/>
              <w:ind w:left="-342" w:right="-354"/>
              <w:jc w:val="center"/>
              <w:outlineLvl w:val="9"/>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投标报价（元）</w:t>
            </w:r>
          </w:p>
        </w:tc>
        <w:tc>
          <w:tcPr>
            <w:tcW w:w="3420" w:type="dxa"/>
            <w:vAlign w:val="center"/>
          </w:tcPr>
          <w:p w14:paraId="158D3369">
            <w:pPr>
              <w:pStyle w:val="33"/>
              <w:ind w:left="-342" w:right="-354"/>
              <w:jc w:val="center"/>
              <w:outlineLvl w:val="9"/>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合同履行期限</w:t>
            </w:r>
          </w:p>
        </w:tc>
        <w:tc>
          <w:tcPr>
            <w:tcW w:w="867" w:type="dxa"/>
            <w:vAlign w:val="center"/>
          </w:tcPr>
          <w:p w14:paraId="5BC4438F">
            <w:pPr>
              <w:pStyle w:val="33"/>
              <w:ind w:left="-342" w:right="-354"/>
              <w:jc w:val="center"/>
              <w:outlineLvl w:val="9"/>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备 注</w:t>
            </w:r>
          </w:p>
        </w:tc>
      </w:tr>
      <w:tr w14:paraId="4E5E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903" w:type="dxa"/>
            <w:vAlign w:val="center"/>
          </w:tcPr>
          <w:p w14:paraId="3E5A0646">
            <w:pPr>
              <w:pStyle w:val="33"/>
              <w:ind w:left="-342" w:right="-354"/>
              <w:jc w:val="center"/>
              <w:outlineLvl w:val="9"/>
              <w:rPr>
                <w:rFonts w:hint="eastAsia" w:ascii="仿宋" w:hAnsi="仿宋" w:eastAsia="仿宋" w:cs="仿宋"/>
                <w:color w:val="auto"/>
                <w:kern w:val="2"/>
                <w:sz w:val="24"/>
                <w:szCs w:val="24"/>
                <w:highlight w:val="none"/>
              </w:rPr>
            </w:pPr>
          </w:p>
        </w:tc>
        <w:tc>
          <w:tcPr>
            <w:tcW w:w="1953" w:type="dxa"/>
            <w:vAlign w:val="center"/>
          </w:tcPr>
          <w:p w14:paraId="3C0ABB12">
            <w:pPr>
              <w:pStyle w:val="33"/>
              <w:ind w:left="-342" w:right="-354"/>
              <w:jc w:val="center"/>
              <w:outlineLvl w:val="9"/>
              <w:rPr>
                <w:rFonts w:hint="eastAsia" w:ascii="仿宋" w:hAnsi="仿宋" w:eastAsia="仿宋" w:cs="仿宋"/>
                <w:color w:val="auto"/>
                <w:kern w:val="2"/>
                <w:sz w:val="24"/>
                <w:szCs w:val="24"/>
                <w:highlight w:val="none"/>
              </w:rPr>
            </w:pPr>
          </w:p>
        </w:tc>
        <w:tc>
          <w:tcPr>
            <w:tcW w:w="3420" w:type="dxa"/>
            <w:vAlign w:val="center"/>
          </w:tcPr>
          <w:p w14:paraId="66F39747">
            <w:pPr>
              <w:pStyle w:val="33"/>
              <w:ind w:left="-342" w:right="-354"/>
              <w:jc w:val="center"/>
              <w:outlineLvl w:val="9"/>
              <w:rPr>
                <w:rFonts w:hint="eastAsia" w:ascii="仿宋" w:hAnsi="仿宋" w:eastAsia="仿宋" w:cs="仿宋"/>
                <w:color w:val="auto"/>
                <w:kern w:val="2"/>
                <w:sz w:val="24"/>
                <w:szCs w:val="24"/>
                <w:highlight w:val="none"/>
              </w:rPr>
            </w:pPr>
          </w:p>
        </w:tc>
        <w:tc>
          <w:tcPr>
            <w:tcW w:w="867" w:type="dxa"/>
            <w:vAlign w:val="center"/>
          </w:tcPr>
          <w:p w14:paraId="1C6EB7F7">
            <w:pPr>
              <w:pStyle w:val="33"/>
              <w:ind w:left="-342" w:right="-354"/>
              <w:jc w:val="center"/>
              <w:outlineLvl w:val="9"/>
              <w:rPr>
                <w:rFonts w:hint="eastAsia" w:ascii="仿宋" w:hAnsi="仿宋" w:eastAsia="仿宋" w:cs="仿宋"/>
                <w:color w:val="auto"/>
                <w:kern w:val="2"/>
                <w:sz w:val="24"/>
                <w:szCs w:val="24"/>
                <w:highlight w:val="none"/>
              </w:rPr>
            </w:pPr>
          </w:p>
        </w:tc>
      </w:tr>
      <w:tr w14:paraId="435F2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903" w:type="dxa"/>
            <w:vAlign w:val="center"/>
          </w:tcPr>
          <w:p w14:paraId="5067EFA6">
            <w:pPr>
              <w:pStyle w:val="33"/>
              <w:ind w:left="-342" w:right="69" w:firstLine="266" w:firstLineChars="111"/>
              <w:jc w:val="center"/>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人民币大写：</w:t>
            </w:r>
          </w:p>
        </w:tc>
        <w:tc>
          <w:tcPr>
            <w:tcW w:w="6240" w:type="dxa"/>
            <w:gridSpan w:val="3"/>
            <w:vAlign w:val="center"/>
          </w:tcPr>
          <w:p w14:paraId="74B3E948">
            <w:pPr>
              <w:pStyle w:val="33"/>
              <w:ind w:left="-342" w:right="-354"/>
              <w:jc w:val="center"/>
              <w:outlineLvl w:val="9"/>
              <w:rPr>
                <w:rFonts w:hint="eastAsia" w:ascii="仿宋" w:hAnsi="仿宋" w:eastAsia="仿宋" w:cs="仿宋"/>
                <w:color w:val="auto"/>
                <w:kern w:val="2"/>
                <w:sz w:val="24"/>
                <w:szCs w:val="24"/>
                <w:highlight w:val="none"/>
              </w:rPr>
            </w:pPr>
          </w:p>
        </w:tc>
      </w:tr>
      <w:tr w14:paraId="7032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903" w:type="dxa"/>
            <w:vAlign w:val="center"/>
          </w:tcPr>
          <w:p w14:paraId="40880CA1">
            <w:pPr>
              <w:pStyle w:val="33"/>
              <w:ind w:left="-342" w:right="-354"/>
              <w:jc w:val="center"/>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备注</w:t>
            </w:r>
          </w:p>
        </w:tc>
        <w:tc>
          <w:tcPr>
            <w:tcW w:w="6240" w:type="dxa"/>
            <w:gridSpan w:val="3"/>
            <w:vAlign w:val="center"/>
          </w:tcPr>
          <w:p w14:paraId="64982883">
            <w:pPr>
              <w:pStyle w:val="33"/>
              <w:tabs>
                <w:tab w:val="left" w:pos="507"/>
              </w:tabs>
              <w:ind w:right="-354"/>
              <w:outlineLvl w:val="9"/>
              <w:rPr>
                <w:rFonts w:hint="eastAsia" w:ascii="仿宋" w:hAnsi="仿宋" w:eastAsia="仿宋" w:cs="仿宋"/>
                <w:color w:val="auto"/>
                <w:kern w:val="2"/>
                <w:sz w:val="24"/>
                <w:szCs w:val="24"/>
                <w:highlight w:val="none"/>
              </w:rPr>
            </w:pPr>
          </w:p>
        </w:tc>
      </w:tr>
    </w:tbl>
    <w:p w14:paraId="599698AE">
      <w:pPr>
        <w:pStyle w:val="33"/>
        <w:spacing w:line="360" w:lineRule="auto"/>
        <w:ind w:left="-340" w:right="-351" w:firstLine="240" w:firstLineChars="100"/>
        <w:outlineLvl w:val="9"/>
        <w:rPr>
          <w:rFonts w:hint="eastAsia" w:ascii="仿宋" w:hAnsi="仿宋" w:eastAsia="仿宋" w:cs="仿宋"/>
          <w:bCs/>
          <w:color w:val="auto"/>
          <w:highlight w:val="none"/>
          <w:lang w:val="en-US" w:eastAsia="zh-CN"/>
        </w:rPr>
      </w:pPr>
    </w:p>
    <w:p w14:paraId="23897561">
      <w:pPr>
        <w:pStyle w:val="33"/>
        <w:spacing w:line="360" w:lineRule="auto"/>
        <w:ind w:left="-340" w:right="-351" w:firstLine="240" w:firstLineChars="100"/>
        <w:outlineLvl w:val="9"/>
        <w:rPr>
          <w:rFonts w:hint="eastAsia" w:ascii="仿宋" w:hAnsi="仿宋" w:eastAsia="仿宋" w:cs="仿宋"/>
          <w:b/>
          <w:color w:val="auto"/>
          <w:highlight w:val="none"/>
        </w:rPr>
      </w:pPr>
      <w:r>
        <w:rPr>
          <w:rFonts w:hint="eastAsia" w:ascii="仿宋" w:hAnsi="仿宋" w:eastAsia="仿宋" w:cs="仿宋"/>
          <w:bCs/>
          <w:color w:val="auto"/>
          <w:highlight w:val="none"/>
          <w:lang w:val="en-US" w:eastAsia="zh-CN"/>
        </w:rPr>
        <w:t>备</w:t>
      </w:r>
      <w:r>
        <w:rPr>
          <w:rFonts w:hint="eastAsia" w:ascii="仿宋" w:hAnsi="仿宋" w:eastAsia="仿宋" w:cs="仿宋"/>
          <w:bCs/>
          <w:color w:val="auto"/>
          <w:highlight w:val="none"/>
        </w:rPr>
        <w:t>注：投标报价包括货物及其相关工作范围内所有费用（包括但不限于运输费、装卸费、保险费、安装费、调试费、税费、培训费等）</w:t>
      </w:r>
    </w:p>
    <w:p w14:paraId="29AB2F47">
      <w:pPr>
        <w:pStyle w:val="33"/>
        <w:spacing w:line="480" w:lineRule="auto"/>
        <w:outlineLvl w:val="9"/>
        <w:rPr>
          <w:rFonts w:hint="eastAsia" w:ascii="仿宋" w:hAnsi="仿宋" w:eastAsia="仿宋" w:cs="仿宋"/>
          <w:b/>
          <w:color w:val="auto"/>
          <w:highlight w:val="none"/>
          <w:lang w:val="en-US" w:eastAsia="zh-CN"/>
        </w:rPr>
      </w:pPr>
    </w:p>
    <w:p w14:paraId="3650B05A">
      <w:pPr>
        <w:pStyle w:val="33"/>
        <w:spacing w:line="480" w:lineRule="auto"/>
        <w:outlineLvl w:val="9"/>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投标单位（加盖公章）：</w:t>
      </w:r>
    </w:p>
    <w:p w14:paraId="35B9DE16">
      <w:pPr>
        <w:pStyle w:val="33"/>
        <w:spacing w:line="480" w:lineRule="auto"/>
        <w:outlineLvl w:val="9"/>
        <w:rPr>
          <w:rFonts w:hint="eastAsia" w:ascii="仿宋" w:hAnsi="仿宋" w:eastAsia="仿宋" w:cs="仿宋"/>
          <w:b/>
          <w:color w:val="auto"/>
          <w:highlight w:val="none"/>
        </w:rPr>
      </w:pPr>
      <w:r>
        <w:rPr>
          <w:rFonts w:hint="eastAsia" w:ascii="仿宋" w:hAnsi="仿宋" w:eastAsia="仿宋" w:cs="仿宋"/>
          <w:b/>
          <w:color w:val="auto"/>
          <w:highlight w:val="none"/>
        </w:rPr>
        <w:t>投标单位法人代表或授权代表签字（</w:t>
      </w:r>
      <w:r>
        <w:rPr>
          <w:rFonts w:hint="eastAsia" w:ascii="仿宋" w:hAnsi="仿宋" w:eastAsia="仿宋" w:cs="仿宋"/>
          <w:b/>
          <w:color w:val="auto"/>
          <w:highlight w:val="none"/>
          <w:lang w:val="en-US" w:eastAsia="zh-CN"/>
        </w:rPr>
        <w:t>或盖章</w:t>
      </w:r>
      <w:r>
        <w:rPr>
          <w:rFonts w:hint="eastAsia" w:ascii="仿宋" w:hAnsi="仿宋" w:eastAsia="仿宋" w:cs="仿宋"/>
          <w:b/>
          <w:color w:val="auto"/>
          <w:highlight w:val="none"/>
        </w:rPr>
        <w:t>）：</w:t>
      </w:r>
    </w:p>
    <w:p w14:paraId="6B22EAD1">
      <w:pPr>
        <w:pStyle w:val="33"/>
        <w:spacing w:line="480" w:lineRule="auto"/>
        <w:outlineLvl w:val="9"/>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日期：</w:t>
      </w:r>
    </w:p>
    <w:p w14:paraId="0CFE41AD">
      <w:p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p>
    <w:p w14:paraId="04FFE5EA">
      <w:pPr>
        <w:ind w:firstLine="562"/>
        <w:jc w:val="center"/>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rPr>
        <w:t>4、供应商资质证明文件（包括但不限于）</w:t>
      </w:r>
    </w:p>
    <w:p w14:paraId="6F726DAB">
      <w:pPr>
        <w:ind w:firstLine="482" w:firstLineChars="200"/>
        <w:outlineLvl w:val="9"/>
        <w:rPr>
          <w:rFonts w:hint="eastAsia" w:ascii="仿宋" w:hAnsi="仿宋" w:eastAsia="仿宋" w:cs="仿宋"/>
          <w:b/>
          <w:color w:val="auto"/>
          <w:sz w:val="24"/>
          <w:highlight w:val="none"/>
        </w:rPr>
      </w:pPr>
    </w:p>
    <w:p w14:paraId="2C439298">
      <w:pPr>
        <w:spacing w:line="480" w:lineRule="exact"/>
        <w:ind w:firstLine="600" w:firstLineChars="25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zh-CN"/>
        </w:rPr>
        <w:t>、营业执照</w:t>
      </w:r>
      <w:r>
        <w:rPr>
          <w:rFonts w:hint="eastAsia" w:ascii="仿宋" w:hAnsi="仿宋" w:eastAsia="仿宋" w:cs="仿宋"/>
          <w:bCs/>
          <w:color w:val="auto"/>
          <w:sz w:val="24"/>
          <w:highlight w:val="none"/>
        </w:rPr>
        <w:t>；</w:t>
      </w:r>
    </w:p>
    <w:p w14:paraId="18A9D3BD">
      <w:pPr>
        <w:spacing w:line="480" w:lineRule="exact"/>
        <w:ind w:firstLine="600" w:firstLineChars="25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lang w:val="zh-CN"/>
        </w:rPr>
        <w:t>未被</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zh-CN"/>
        </w:rPr>
        <w:t>信用中国</w:t>
      </w:r>
      <w:r>
        <w:rPr>
          <w:rFonts w:hint="eastAsia" w:ascii="仿宋" w:hAnsi="仿宋" w:eastAsia="仿宋" w:cs="仿宋"/>
          <w:bCs/>
          <w:color w:val="auto"/>
          <w:sz w:val="24"/>
          <w:highlight w:val="none"/>
        </w:rPr>
        <w:t>”（www.creditchina.gov.cn）</w:t>
      </w:r>
      <w:r>
        <w:rPr>
          <w:rFonts w:hint="eastAsia" w:ascii="仿宋" w:hAnsi="仿宋" w:eastAsia="仿宋" w:cs="仿宋"/>
          <w:bCs/>
          <w:color w:val="auto"/>
          <w:sz w:val="24"/>
          <w:highlight w:val="none"/>
          <w:lang w:val="zh-CN"/>
        </w:rPr>
        <w:t>、中国政府采购网</w:t>
      </w:r>
      <w:r>
        <w:rPr>
          <w:rFonts w:hint="eastAsia" w:ascii="仿宋" w:hAnsi="仿宋" w:eastAsia="仿宋" w:cs="仿宋"/>
          <w:bCs/>
          <w:color w:val="auto"/>
          <w:sz w:val="24"/>
          <w:highlight w:val="none"/>
        </w:rPr>
        <w:t>（www.ccgp.gov.cn）</w:t>
      </w:r>
      <w:r>
        <w:rPr>
          <w:rFonts w:hint="eastAsia" w:ascii="仿宋" w:hAnsi="仿宋" w:eastAsia="仿宋" w:cs="仿宋"/>
          <w:bCs/>
          <w:color w:val="auto"/>
          <w:sz w:val="24"/>
          <w:highlight w:val="none"/>
          <w:lang w:val="zh-CN"/>
        </w:rPr>
        <w:t>列入失信被执行人、重大税收违法案件当事人名单、政府采购严重违法失信行为记录名单的网页截图并加盖公章</w:t>
      </w:r>
      <w:r>
        <w:rPr>
          <w:rFonts w:hint="eastAsia" w:ascii="仿宋" w:hAnsi="仿宋" w:eastAsia="仿宋" w:cs="仿宋"/>
          <w:bCs/>
          <w:color w:val="auto"/>
          <w:sz w:val="24"/>
          <w:highlight w:val="none"/>
        </w:rPr>
        <w:t xml:space="preserve">；  </w:t>
      </w:r>
    </w:p>
    <w:p w14:paraId="041E0E60">
      <w:pPr>
        <w:spacing w:line="480" w:lineRule="exact"/>
        <w:ind w:firstLine="600" w:firstLineChars="25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color w:val="auto"/>
          <w:sz w:val="24"/>
          <w:szCs w:val="24"/>
          <w:highlight w:val="none"/>
          <w:lang w:val="zh-CN" w:eastAsia="zh-CN"/>
        </w:rPr>
        <w:t>投标保证金缴纳凭证或保函</w:t>
      </w:r>
      <w:r>
        <w:rPr>
          <w:rFonts w:hint="eastAsia" w:ascii="仿宋" w:hAnsi="仿宋" w:eastAsia="仿宋" w:cs="仿宋"/>
          <w:bCs/>
          <w:color w:val="auto"/>
          <w:sz w:val="24"/>
          <w:highlight w:val="none"/>
        </w:rPr>
        <w:t>。</w:t>
      </w:r>
    </w:p>
    <w:p w14:paraId="5E128791">
      <w:pPr>
        <w:spacing w:line="480" w:lineRule="exact"/>
        <w:ind w:firstLine="600" w:firstLineChars="250"/>
        <w:outlineLvl w:val="9"/>
        <w:rPr>
          <w:rFonts w:hint="eastAsia" w:ascii="仿宋" w:hAnsi="仿宋" w:eastAsia="仿宋" w:cs="仿宋"/>
          <w:bCs/>
          <w:color w:val="auto"/>
          <w:sz w:val="24"/>
          <w:highlight w:val="none"/>
          <w:lang w:val="en-US" w:eastAsia="zh-CN"/>
        </w:rPr>
      </w:pPr>
      <w:r>
        <w:rPr>
          <w:rFonts w:hint="eastAsia" w:ascii="仿宋" w:hAnsi="仿宋" w:eastAsia="仿宋" w:cs="仿宋"/>
          <w:color w:val="auto"/>
          <w:sz w:val="24"/>
          <w:highlight w:val="none"/>
          <w:lang w:val="en-US" w:eastAsia="zh-CN"/>
        </w:rPr>
        <w:t>4、本项目要求的其他资料</w:t>
      </w:r>
    </w:p>
    <w:p w14:paraId="4CFD4438">
      <w:pPr>
        <w:spacing w:line="480" w:lineRule="exact"/>
        <w:ind w:firstLine="600" w:firstLineChars="250"/>
        <w:jc w:val="center"/>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（格式自拟）</w:t>
      </w:r>
    </w:p>
    <w:p w14:paraId="37C8FDCE">
      <w:pPr>
        <w:outlineLvl w:val="9"/>
        <w:rPr>
          <w:rFonts w:hint="eastAsia" w:ascii="仿宋" w:hAnsi="仿宋" w:eastAsia="仿宋" w:cs="仿宋"/>
          <w:b/>
          <w:bCs/>
          <w:color w:val="auto"/>
          <w:sz w:val="28"/>
          <w:szCs w:val="28"/>
          <w:highlight w:val="none"/>
        </w:rPr>
      </w:pPr>
    </w:p>
    <w:p w14:paraId="4279575F">
      <w:pPr>
        <w:ind w:firstLine="562"/>
        <w:jc w:val="center"/>
        <w:outlineLvl w:val="9"/>
        <w:rPr>
          <w:rFonts w:hint="eastAsia" w:ascii="仿宋" w:hAnsi="仿宋" w:eastAsia="仿宋" w:cs="仿宋"/>
          <w:b/>
          <w:bCs/>
          <w:color w:val="auto"/>
          <w:sz w:val="28"/>
          <w:szCs w:val="28"/>
          <w:highlight w:val="none"/>
        </w:rPr>
      </w:pPr>
    </w:p>
    <w:p w14:paraId="3A9192EA">
      <w:pPr>
        <w:ind w:firstLine="562"/>
        <w:jc w:val="center"/>
        <w:outlineLvl w:val="9"/>
        <w:rPr>
          <w:rFonts w:hint="eastAsia" w:ascii="仿宋" w:hAnsi="仿宋" w:eastAsia="仿宋" w:cs="仿宋"/>
          <w:b/>
          <w:bCs/>
          <w:color w:val="auto"/>
          <w:sz w:val="28"/>
          <w:szCs w:val="28"/>
          <w:highlight w:val="none"/>
        </w:rPr>
      </w:pPr>
    </w:p>
    <w:p w14:paraId="7B611BD0">
      <w:pPr>
        <w:ind w:firstLine="562"/>
        <w:jc w:val="center"/>
        <w:outlineLvl w:val="9"/>
        <w:rPr>
          <w:rFonts w:hint="eastAsia" w:ascii="仿宋" w:hAnsi="仿宋" w:eastAsia="仿宋" w:cs="仿宋"/>
          <w:b/>
          <w:bCs/>
          <w:color w:val="auto"/>
          <w:sz w:val="28"/>
          <w:szCs w:val="28"/>
          <w:highlight w:val="none"/>
        </w:rPr>
      </w:pPr>
    </w:p>
    <w:p w14:paraId="56321C1D">
      <w:pPr>
        <w:ind w:firstLine="562"/>
        <w:jc w:val="center"/>
        <w:outlineLvl w:val="9"/>
        <w:rPr>
          <w:rFonts w:hint="eastAsia" w:ascii="仿宋" w:hAnsi="仿宋" w:eastAsia="仿宋" w:cs="仿宋"/>
          <w:b/>
          <w:bCs/>
          <w:color w:val="auto"/>
          <w:sz w:val="28"/>
          <w:szCs w:val="28"/>
          <w:highlight w:val="none"/>
        </w:rPr>
      </w:pPr>
    </w:p>
    <w:p w14:paraId="72C722DB">
      <w:pPr>
        <w:ind w:firstLine="562"/>
        <w:jc w:val="center"/>
        <w:outlineLvl w:val="9"/>
        <w:rPr>
          <w:rFonts w:hint="eastAsia" w:ascii="仿宋" w:hAnsi="仿宋" w:eastAsia="仿宋" w:cs="仿宋"/>
          <w:b/>
          <w:bCs/>
          <w:color w:val="auto"/>
          <w:sz w:val="28"/>
          <w:szCs w:val="28"/>
          <w:highlight w:val="none"/>
        </w:rPr>
      </w:pPr>
    </w:p>
    <w:p w14:paraId="07A19265">
      <w:pPr>
        <w:ind w:firstLine="562"/>
        <w:jc w:val="center"/>
        <w:outlineLvl w:val="9"/>
        <w:rPr>
          <w:rFonts w:hint="eastAsia" w:ascii="仿宋" w:hAnsi="仿宋" w:eastAsia="仿宋" w:cs="仿宋"/>
          <w:b/>
          <w:bCs/>
          <w:color w:val="auto"/>
          <w:sz w:val="28"/>
          <w:szCs w:val="28"/>
          <w:highlight w:val="none"/>
        </w:rPr>
      </w:pPr>
    </w:p>
    <w:p w14:paraId="2E891ED6">
      <w:pPr>
        <w:ind w:firstLine="562"/>
        <w:jc w:val="center"/>
        <w:outlineLvl w:val="9"/>
        <w:rPr>
          <w:rFonts w:hint="eastAsia" w:ascii="仿宋" w:hAnsi="仿宋" w:eastAsia="仿宋" w:cs="仿宋"/>
          <w:b/>
          <w:bCs/>
          <w:color w:val="auto"/>
          <w:sz w:val="28"/>
          <w:szCs w:val="28"/>
          <w:highlight w:val="none"/>
        </w:rPr>
      </w:pPr>
    </w:p>
    <w:p w14:paraId="175675D6">
      <w:pPr>
        <w:ind w:firstLine="562"/>
        <w:jc w:val="center"/>
        <w:outlineLvl w:val="9"/>
        <w:rPr>
          <w:rFonts w:hint="eastAsia" w:ascii="仿宋" w:hAnsi="仿宋" w:eastAsia="仿宋" w:cs="仿宋"/>
          <w:b/>
          <w:bCs/>
          <w:color w:val="auto"/>
          <w:sz w:val="28"/>
          <w:szCs w:val="28"/>
          <w:highlight w:val="none"/>
        </w:rPr>
      </w:pPr>
    </w:p>
    <w:p w14:paraId="09AEBE44">
      <w:pPr>
        <w:ind w:firstLine="562"/>
        <w:jc w:val="center"/>
        <w:outlineLvl w:val="9"/>
        <w:rPr>
          <w:rFonts w:hint="eastAsia" w:ascii="仿宋" w:hAnsi="仿宋" w:eastAsia="仿宋" w:cs="仿宋"/>
          <w:b/>
          <w:bCs/>
          <w:color w:val="auto"/>
          <w:sz w:val="28"/>
          <w:szCs w:val="28"/>
          <w:highlight w:val="none"/>
        </w:rPr>
      </w:pPr>
    </w:p>
    <w:p w14:paraId="5EBFB760">
      <w:pPr>
        <w:ind w:firstLine="562"/>
        <w:jc w:val="center"/>
        <w:outlineLvl w:val="9"/>
        <w:rPr>
          <w:rFonts w:hint="eastAsia" w:ascii="仿宋" w:hAnsi="仿宋" w:eastAsia="仿宋" w:cs="仿宋"/>
          <w:b/>
          <w:bCs/>
          <w:color w:val="auto"/>
          <w:sz w:val="28"/>
          <w:szCs w:val="28"/>
          <w:highlight w:val="none"/>
        </w:rPr>
      </w:pPr>
    </w:p>
    <w:p w14:paraId="5910BA68">
      <w:pPr>
        <w:ind w:firstLine="562"/>
        <w:jc w:val="center"/>
        <w:outlineLvl w:val="9"/>
        <w:rPr>
          <w:rFonts w:hint="eastAsia" w:ascii="仿宋" w:hAnsi="仿宋" w:eastAsia="仿宋" w:cs="仿宋"/>
          <w:b/>
          <w:bCs/>
          <w:color w:val="auto"/>
          <w:sz w:val="28"/>
          <w:szCs w:val="28"/>
          <w:highlight w:val="none"/>
        </w:rPr>
      </w:pPr>
    </w:p>
    <w:p w14:paraId="3B98CE56">
      <w:pPr>
        <w:ind w:firstLine="562"/>
        <w:jc w:val="center"/>
        <w:outlineLvl w:val="9"/>
        <w:rPr>
          <w:rFonts w:hint="eastAsia" w:ascii="仿宋" w:hAnsi="仿宋" w:eastAsia="仿宋" w:cs="仿宋"/>
          <w:b/>
          <w:bCs/>
          <w:color w:val="auto"/>
          <w:sz w:val="28"/>
          <w:szCs w:val="28"/>
          <w:highlight w:val="none"/>
        </w:rPr>
      </w:pPr>
    </w:p>
    <w:p w14:paraId="6EA5EDC5">
      <w:pPr>
        <w:ind w:firstLine="562"/>
        <w:jc w:val="center"/>
        <w:outlineLvl w:val="9"/>
        <w:rPr>
          <w:rFonts w:hint="eastAsia" w:ascii="仿宋" w:hAnsi="仿宋" w:eastAsia="仿宋" w:cs="仿宋"/>
          <w:b/>
          <w:bCs/>
          <w:color w:val="auto"/>
          <w:sz w:val="28"/>
          <w:szCs w:val="28"/>
          <w:highlight w:val="none"/>
        </w:rPr>
      </w:pPr>
    </w:p>
    <w:p w14:paraId="299E565F">
      <w:pPr>
        <w:ind w:firstLine="562"/>
        <w:jc w:val="center"/>
        <w:outlineLvl w:val="9"/>
        <w:rPr>
          <w:rFonts w:hint="eastAsia" w:ascii="仿宋" w:hAnsi="仿宋" w:eastAsia="仿宋" w:cs="仿宋"/>
          <w:b/>
          <w:bCs/>
          <w:color w:val="auto"/>
          <w:sz w:val="28"/>
          <w:szCs w:val="28"/>
          <w:highlight w:val="none"/>
        </w:rPr>
      </w:pPr>
    </w:p>
    <w:p w14:paraId="61FF44A7">
      <w:pPr>
        <w:ind w:firstLine="562"/>
        <w:jc w:val="center"/>
        <w:outlineLvl w:val="9"/>
        <w:rPr>
          <w:rFonts w:hint="eastAsia" w:ascii="仿宋" w:hAnsi="仿宋" w:eastAsia="仿宋" w:cs="仿宋"/>
          <w:b/>
          <w:bCs/>
          <w:color w:val="auto"/>
          <w:sz w:val="28"/>
          <w:szCs w:val="28"/>
          <w:highlight w:val="none"/>
        </w:rPr>
      </w:pPr>
    </w:p>
    <w:p w14:paraId="7BE876FD">
      <w:pPr>
        <w:outlineLvl w:val="9"/>
        <w:rPr>
          <w:rFonts w:hint="eastAsia" w:ascii="仿宋" w:hAnsi="仿宋" w:eastAsia="仿宋" w:cs="仿宋"/>
          <w:b/>
          <w:bCs/>
          <w:color w:val="auto"/>
          <w:sz w:val="28"/>
          <w:szCs w:val="28"/>
          <w:highlight w:val="none"/>
        </w:rPr>
      </w:pPr>
    </w:p>
    <w:p w14:paraId="5DBD6C1A">
      <w:pPr>
        <w:pStyle w:val="8"/>
        <w:outlineLvl w:val="9"/>
        <w:rPr>
          <w:rFonts w:hint="eastAsia" w:ascii="仿宋" w:hAnsi="仿宋" w:eastAsia="仿宋" w:cs="仿宋"/>
          <w:color w:val="auto"/>
          <w:highlight w:val="none"/>
        </w:rPr>
      </w:pPr>
    </w:p>
    <w:p w14:paraId="66763944">
      <w:pPr>
        <w:ind w:firstLine="562"/>
        <w:outlineLvl w:val="9"/>
        <w:rPr>
          <w:rFonts w:hint="eastAsia" w:ascii="仿宋" w:hAnsi="仿宋" w:eastAsia="仿宋" w:cs="仿宋"/>
          <w:b/>
          <w:bCs/>
          <w:color w:val="auto"/>
          <w:sz w:val="28"/>
          <w:szCs w:val="28"/>
          <w:highlight w:val="none"/>
        </w:rPr>
      </w:pPr>
    </w:p>
    <w:p w14:paraId="2035F075">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1EA348C9">
      <w:pPr>
        <w:ind w:firstLine="562"/>
        <w:jc w:val="center"/>
        <w:outlineLvl w:val="1"/>
        <w:rPr>
          <w:rFonts w:hint="eastAsia" w:ascii="仿宋" w:hAnsi="仿宋" w:eastAsia="仿宋" w:cs="仿宋"/>
          <w:b/>
          <w:color w:val="auto"/>
          <w:sz w:val="30"/>
          <w:szCs w:val="30"/>
          <w:highlight w:val="none"/>
        </w:rPr>
      </w:pP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rPr>
        <w:t>5、</w:t>
      </w:r>
      <w:r>
        <w:rPr>
          <w:rFonts w:hint="eastAsia" w:ascii="仿宋" w:hAnsi="仿宋" w:eastAsia="仿宋" w:cs="仿宋"/>
          <w:b/>
          <w:bCs/>
          <w:color w:val="auto"/>
          <w:sz w:val="28"/>
          <w:szCs w:val="28"/>
          <w:highlight w:val="none"/>
        </w:rPr>
        <w:t xml:space="preserve">关于资格的声明函 </w:t>
      </w:r>
    </w:p>
    <w:p w14:paraId="0E6B6F46">
      <w:pPr>
        <w:spacing w:line="440" w:lineRule="exact"/>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致：（采购人）</w:t>
      </w:r>
    </w:p>
    <w:p w14:paraId="6E4E8829">
      <w:pPr>
        <w:spacing w:line="360" w:lineRule="auto"/>
        <w:ind w:firstLine="480" w:firstLineChars="200"/>
        <w:outlineLvl w:val="9"/>
        <w:rPr>
          <w:rFonts w:hint="eastAsia" w:ascii="仿宋" w:hAnsi="仿宋" w:eastAsia="仿宋" w:cs="仿宋"/>
          <w:b/>
          <w:color w:val="auto"/>
          <w:sz w:val="24"/>
          <w:highlight w:val="none"/>
        </w:rPr>
      </w:pPr>
      <w:r>
        <w:rPr>
          <w:rFonts w:hint="eastAsia" w:ascii="仿宋" w:hAnsi="仿宋" w:eastAsia="仿宋" w:cs="仿宋"/>
          <w:color w:val="auto"/>
          <w:sz w:val="24"/>
          <w:highlight w:val="none"/>
        </w:rPr>
        <w:t>关于贵方</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日第（项目编号）公开招标公告关于</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的招标项目，本签字人愿意参加投标，并有能力提供</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项目中的（</w:t>
      </w:r>
      <w:r>
        <w:rPr>
          <w:rFonts w:hint="eastAsia" w:ascii="仿宋" w:hAnsi="仿宋" w:eastAsia="仿宋" w:cs="仿宋"/>
          <w:color w:val="auto"/>
          <w:sz w:val="24"/>
          <w:highlight w:val="none"/>
          <w:u w:val="single"/>
        </w:rPr>
        <w:t>包号及货物名称）</w:t>
      </w:r>
      <w:r>
        <w:rPr>
          <w:rFonts w:hint="eastAsia" w:ascii="仿宋" w:hAnsi="仿宋" w:eastAsia="仿宋" w:cs="仿宋"/>
          <w:color w:val="auto"/>
          <w:sz w:val="24"/>
          <w:highlight w:val="none"/>
        </w:rPr>
        <w:t>招标货物及相关服务，并保证所提交的所有文件和说明是真实和准确的。</w:t>
      </w:r>
    </w:p>
    <w:p w14:paraId="626F0232">
      <w:pPr>
        <w:pStyle w:val="9"/>
        <w:spacing w:line="360" w:lineRule="auto"/>
        <w:ind w:firstLine="720" w:firstLineChars="3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供应商（盖章）：</w:t>
      </w:r>
      <w:r>
        <w:rPr>
          <w:rFonts w:hint="eastAsia" w:ascii="仿宋" w:hAnsi="仿宋" w:eastAsia="仿宋" w:cs="仿宋"/>
          <w:color w:val="auto"/>
          <w:sz w:val="24"/>
          <w:szCs w:val="24"/>
          <w:highlight w:val="none"/>
          <w:u w:val="single"/>
        </w:rPr>
        <w:t xml:space="preserve">　供应商名称　                         </w:t>
      </w:r>
      <w:r>
        <w:rPr>
          <w:rFonts w:hint="eastAsia" w:ascii="仿宋" w:hAnsi="仿宋" w:eastAsia="仿宋" w:cs="仿宋"/>
          <w:color w:val="auto"/>
          <w:sz w:val="24"/>
          <w:szCs w:val="24"/>
          <w:highlight w:val="none"/>
        </w:rPr>
        <w:t>　　　　</w:t>
      </w:r>
    </w:p>
    <w:p w14:paraId="783B1CC8">
      <w:pPr>
        <w:pStyle w:val="9"/>
        <w:spacing w:line="360" w:lineRule="auto"/>
        <w:ind w:firstLine="720" w:firstLineChars="3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授权签署本资格文件人（签字）：</w:t>
      </w:r>
      <w:r>
        <w:rPr>
          <w:rFonts w:hint="eastAsia" w:ascii="仿宋" w:hAnsi="仿宋" w:eastAsia="仿宋" w:cs="仿宋"/>
          <w:color w:val="auto"/>
          <w:sz w:val="24"/>
          <w:szCs w:val="24"/>
          <w:highlight w:val="none"/>
          <w:u w:val="single"/>
        </w:rPr>
        <w:t xml:space="preserve">被授权人姓名             </w:t>
      </w:r>
    </w:p>
    <w:p w14:paraId="433FF14F">
      <w:pPr>
        <w:pStyle w:val="9"/>
        <w:spacing w:line="360" w:lineRule="auto"/>
        <w:ind w:firstLine="720" w:firstLineChars="3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签字人姓名、职务：</w:t>
      </w:r>
      <w:r>
        <w:rPr>
          <w:rFonts w:hint="eastAsia" w:ascii="仿宋" w:hAnsi="仿宋" w:eastAsia="仿宋" w:cs="仿宋"/>
          <w:color w:val="auto"/>
          <w:sz w:val="24"/>
          <w:szCs w:val="24"/>
          <w:highlight w:val="none"/>
          <w:u w:val="single"/>
        </w:rPr>
        <w:t xml:space="preserve">被授权人姓名、职务                  </w:t>
      </w:r>
    </w:p>
    <w:p w14:paraId="2E1F1338">
      <w:pPr>
        <w:pStyle w:val="9"/>
        <w:spacing w:line="360" w:lineRule="auto"/>
        <w:ind w:firstLine="720" w:firstLineChars="3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供应商地址                                      </w:t>
      </w:r>
      <w:r>
        <w:rPr>
          <w:rFonts w:hint="eastAsia" w:ascii="仿宋" w:hAnsi="仿宋" w:eastAsia="仿宋" w:cs="仿宋"/>
          <w:color w:val="auto"/>
          <w:sz w:val="24"/>
          <w:szCs w:val="24"/>
          <w:highlight w:val="none"/>
        </w:rPr>
        <w:t>　　　　　　　　　　　　　</w:t>
      </w:r>
    </w:p>
    <w:p w14:paraId="6D72CE2B">
      <w:pPr>
        <w:pStyle w:val="9"/>
        <w:spacing w:line="360" w:lineRule="auto"/>
        <w:ind w:firstLine="720" w:firstLineChars="3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　电话：　 邮编：　　　　　　　　　</w:t>
      </w:r>
    </w:p>
    <w:p w14:paraId="299C1324">
      <w:pPr>
        <w:pStyle w:val="9"/>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p w14:paraId="59DCCAAB">
      <w:pPr>
        <w:pStyle w:val="11"/>
        <w:spacing w:line="360" w:lineRule="auto"/>
        <w:jc w:val="center"/>
        <w:outlineLvl w:val="9"/>
        <w:rPr>
          <w:rFonts w:hint="eastAsia" w:ascii="仿宋" w:hAnsi="仿宋" w:eastAsia="仿宋" w:cs="仿宋"/>
          <w:b/>
          <w:bCs/>
          <w:color w:val="auto"/>
          <w:sz w:val="28"/>
          <w:szCs w:val="28"/>
          <w:highlight w:val="none"/>
        </w:rPr>
      </w:pPr>
      <w:r>
        <w:rPr>
          <w:rFonts w:hint="eastAsia" w:ascii="仿宋" w:hAnsi="仿宋" w:eastAsia="仿宋" w:cs="仿宋"/>
          <w:color w:val="auto"/>
          <w:sz w:val="24"/>
          <w:szCs w:val="24"/>
          <w:highlight w:val="none"/>
        </w:rPr>
        <w:t>　　　　　　　　　　　　　　　　</w:t>
      </w:r>
      <w:r>
        <w:rPr>
          <w:rFonts w:hint="eastAsia" w:ascii="仿宋" w:hAnsi="仿宋" w:eastAsia="仿宋" w:cs="仿宋"/>
          <w:b/>
          <w:color w:val="auto"/>
          <w:sz w:val="24"/>
          <w:szCs w:val="24"/>
          <w:highlight w:val="none"/>
        </w:rPr>
        <w:t>　声明日期：</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u w:val="single"/>
        </w:rPr>
        <w:t>　</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u w:val="single"/>
        </w:rPr>
        <w:t>　</w:t>
      </w:r>
      <w:r>
        <w:rPr>
          <w:rFonts w:hint="eastAsia" w:ascii="仿宋" w:hAnsi="仿宋" w:eastAsia="仿宋" w:cs="仿宋"/>
          <w:bCs/>
          <w:color w:val="auto"/>
          <w:sz w:val="24"/>
          <w:szCs w:val="24"/>
          <w:highlight w:val="none"/>
        </w:rPr>
        <w:t>日</w:t>
      </w:r>
    </w:p>
    <w:p w14:paraId="384804ED">
      <w:pPr>
        <w:spacing w:line="480" w:lineRule="auto"/>
        <w:ind w:firstLine="562"/>
        <w:jc w:val="center"/>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rPr>
        <w:t>6、</w:t>
      </w:r>
      <w:r>
        <w:rPr>
          <w:rFonts w:hint="eastAsia" w:ascii="仿宋" w:hAnsi="仿宋" w:eastAsia="仿宋" w:cs="仿宋"/>
          <w:b/>
          <w:bCs/>
          <w:color w:val="auto"/>
          <w:sz w:val="28"/>
          <w:szCs w:val="28"/>
          <w:highlight w:val="none"/>
        </w:rPr>
        <w:t>商务条款偏离表</w:t>
      </w:r>
    </w:p>
    <w:p w14:paraId="45AFA610">
      <w:pPr>
        <w:spacing w:line="480" w:lineRule="auto"/>
        <w:outlineLvl w:val="9"/>
        <w:rPr>
          <w:rFonts w:hint="eastAsia" w:ascii="仿宋" w:hAnsi="仿宋" w:eastAsia="仿宋" w:cs="仿宋"/>
          <w:b/>
          <w:color w:val="auto"/>
          <w:szCs w:val="21"/>
          <w:highlight w:val="none"/>
        </w:rPr>
      </w:pPr>
      <w:r>
        <w:rPr>
          <w:rFonts w:hint="eastAsia" w:ascii="仿宋" w:hAnsi="仿宋" w:eastAsia="仿宋" w:cs="仿宋"/>
          <w:b/>
          <w:color w:val="auto"/>
          <w:sz w:val="24"/>
          <w:highlight w:val="none"/>
        </w:rPr>
        <w:t xml:space="preserve">供应商名称（公章）：         　　　　　         项目编号：　   </w:t>
      </w:r>
      <w:r>
        <w:rPr>
          <w:rFonts w:hint="eastAsia" w:ascii="仿宋" w:hAnsi="仿宋" w:eastAsia="仿宋" w:cs="仿宋"/>
          <w:b/>
          <w:color w:val="auto"/>
          <w:szCs w:val="21"/>
          <w:highlight w:val="none"/>
        </w:rPr>
        <w:t>　</w:t>
      </w:r>
    </w:p>
    <w:tbl>
      <w:tblPr>
        <w:tblStyle w:val="24"/>
        <w:tblW w:w="8652"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01"/>
        <w:gridCol w:w="2227"/>
        <w:gridCol w:w="1600"/>
        <w:gridCol w:w="1696"/>
      </w:tblGrid>
      <w:tr w14:paraId="077EA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28" w:type="dxa"/>
            <w:vAlign w:val="center"/>
          </w:tcPr>
          <w:p w14:paraId="2181C85F">
            <w:pPr>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301" w:type="dxa"/>
            <w:vAlign w:val="center"/>
          </w:tcPr>
          <w:p w14:paraId="0EBCC093">
            <w:pPr>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招标条款</w:t>
            </w:r>
          </w:p>
        </w:tc>
        <w:tc>
          <w:tcPr>
            <w:tcW w:w="2227" w:type="dxa"/>
            <w:vAlign w:val="center"/>
          </w:tcPr>
          <w:p w14:paraId="48DB1307">
            <w:pPr>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投标条款</w:t>
            </w:r>
          </w:p>
        </w:tc>
        <w:tc>
          <w:tcPr>
            <w:tcW w:w="1600" w:type="dxa"/>
            <w:vAlign w:val="center"/>
          </w:tcPr>
          <w:p w14:paraId="0D268510">
            <w:pPr>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偏离</w:t>
            </w:r>
          </w:p>
        </w:tc>
        <w:tc>
          <w:tcPr>
            <w:tcW w:w="1696" w:type="dxa"/>
            <w:vAlign w:val="center"/>
          </w:tcPr>
          <w:p w14:paraId="1B58ACE0">
            <w:pPr>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w:t>
            </w:r>
          </w:p>
        </w:tc>
      </w:tr>
      <w:tr w14:paraId="5336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28" w:type="dxa"/>
          </w:tcPr>
          <w:p w14:paraId="3AD1E7B5">
            <w:pPr>
              <w:outlineLvl w:val="9"/>
              <w:rPr>
                <w:rFonts w:hint="eastAsia" w:ascii="仿宋" w:hAnsi="仿宋" w:eastAsia="仿宋" w:cs="仿宋"/>
                <w:color w:val="auto"/>
                <w:sz w:val="24"/>
                <w:szCs w:val="24"/>
                <w:highlight w:val="none"/>
              </w:rPr>
            </w:pPr>
          </w:p>
        </w:tc>
        <w:tc>
          <w:tcPr>
            <w:tcW w:w="2301" w:type="dxa"/>
          </w:tcPr>
          <w:p w14:paraId="10BD7761">
            <w:pPr>
              <w:outlineLvl w:val="9"/>
              <w:rPr>
                <w:rFonts w:hint="eastAsia" w:ascii="仿宋" w:hAnsi="仿宋" w:eastAsia="仿宋" w:cs="仿宋"/>
                <w:color w:val="auto"/>
                <w:sz w:val="24"/>
                <w:szCs w:val="24"/>
                <w:highlight w:val="none"/>
              </w:rPr>
            </w:pPr>
          </w:p>
        </w:tc>
        <w:tc>
          <w:tcPr>
            <w:tcW w:w="2227" w:type="dxa"/>
          </w:tcPr>
          <w:p w14:paraId="3C676ADC">
            <w:pPr>
              <w:outlineLvl w:val="9"/>
              <w:rPr>
                <w:rFonts w:hint="eastAsia" w:ascii="仿宋" w:hAnsi="仿宋" w:eastAsia="仿宋" w:cs="仿宋"/>
                <w:color w:val="auto"/>
                <w:sz w:val="24"/>
                <w:szCs w:val="24"/>
                <w:highlight w:val="none"/>
              </w:rPr>
            </w:pPr>
          </w:p>
        </w:tc>
        <w:tc>
          <w:tcPr>
            <w:tcW w:w="1600" w:type="dxa"/>
          </w:tcPr>
          <w:p w14:paraId="26A5368A">
            <w:pPr>
              <w:outlineLvl w:val="9"/>
              <w:rPr>
                <w:rFonts w:hint="eastAsia" w:ascii="仿宋" w:hAnsi="仿宋" w:eastAsia="仿宋" w:cs="仿宋"/>
                <w:color w:val="auto"/>
                <w:sz w:val="24"/>
                <w:szCs w:val="24"/>
                <w:highlight w:val="none"/>
              </w:rPr>
            </w:pPr>
          </w:p>
        </w:tc>
        <w:tc>
          <w:tcPr>
            <w:tcW w:w="1696" w:type="dxa"/>
          </w:tcPr>
          <w:p w14:paraId="3BF149A5">
            <w:pPr>
              <w:outlineLvl w:val="9"/>
              <w:rPr>
                <w:rFonts w:hint="eastAsia" w:ascii="仿宋" w:hAnsi="仿宋" w:eastAsia="仿宋" w:cs="仿宋"/>
                <w:color w:val="auto"/>
                <w:sz w:val="24"/>
                <w:szCs w:val="24"/>
                <w:highlight w:val="none"/>
              </w:rPr>
            </w:pPr>
          </w:p>
        </w:tc>
      </w:tr>
      <w:tr w14:paraId="7F81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28" w:type="dxa"/>
          </w:tcPr>
          <w:p w14:paraId="6974B5D7">
            <w:pPr>
              <w:outlineLvl w:val="9"/>
              <w:rPr>
                <w:rFonts w:hint="eastAsia" w:ascii="仿宋" w:hAnsi="仿宋" w:eastAsia="仿宋" w:cs="仿宋"/>
                <w:color w:val="auto"/>
                <w:sz w:val="24"/>
                <w:szCs w:val="24"/>
                <w:highlight w:val="none"/>
              </w:rPr>
            </w:pPr>
          </w:p>
        </w:tc>
        <w:tc>
          <w:tcPr>
            <w:tcW w:w="2301" w:type="dxa"/>
          </w:tcPr>
          <w:p w14:paraId="04018065">
            <w:pPr>
              <w:outlineLvl w:val="9"/>
              <w:rPr>
                <w:rFonts w:hint="eastAsia" w:ascii="仿宋" w:hAnsi="仿宋" w:eastAsia="仿宋" w:cs="仿宋"/>
                <w:color w:val="auto"/>
                <w:sz w:val="24"/>
                <w:szCs w:val="24"/>
                <w:highlight w:val="none"/>
              </w:rPr>
            </w:pPr>
          </w:p>
        </w:tc>
        <w:tc>
          <w:tcPr>
            <w:tcW w:w="2227" w:type="dxa"/>
          </w:tcPr>
          <w:p w14:paraId="6AD9FD3D">
            <w:pPr>
              <w:outlineLvl w:val="9"/>
              <w:rPr>
                <w:rFonts w:hint="eastAsia" w:ascii="仿宋" w:hAnsi="仿宋" w:eastAsia="仿宋" w:cs="仿宋"/>
                <w:color w:val="auto"/>
                <w:sz w:val="24"/>
                <w:szCs w:val="24"/>
                <w:highlight w:val="none"/>
              </w:rPr>
            </w:pPr>
          </w:p>
        </w:tc>
        <w:tc>
          <w:tcPr>
            <w:tcW w:w="1600" w:type="dxa"/>
          </w:tcPr>
          <w:p w14:paraId="7BDFFF77">
            <w:pPr>
              <w:outlineLvl w:val="9"/>
              <w:rPr>
                <w:rFonts w:hint="eastAsia" w:ascii="仿宋" w:hAnsi="仿宋" w:eastAsia="仿宋" w:cs="仿宋"/>
                <w:color w:val="auto"/>
                <w:sz w:val="24"/>
                <w:szCs w:val="24"/>
                <w:highlight w:val="none"/>
              </w:rPr>
            </w:pPr>
          </w:p>
        </w:tc>
        <w:tc>
          <w:tcPr>
            <w:tcW w:w="1696" w:type="dxa"/>
          </w:tcPr>
          <w:p w14:paraId="0A17D709">
            <w:pPr>
              <w:outlineLvl w:val="9"/>
              <w:rPr>
                <w:rFonts w:hint="eastAsia" w:ascii="仿宋" w:hAnsi="仿宋" w:eastAsia="仿宋" w:cs="仿宋"/>
                <w:color w:val="auto"/>
                <w:sz w:val="24"/>
                <w:szCs w:val="24"/>
                <w:highlight w:val="none"/>
              </w:rPr>
            </w:pPr>
          </w:p>
        </w:tc>
      </w:tr>
      <w:tr w14:paraId="01531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28" w:type="dxa"/>
          </w:tcPr>
          <w:p w14:paraId="4D8105C4">
            <w:pPr>
              <w:outlineLvl w:val="9"/>
              <w:rPr>
                <w:rFonts w:hint="eastAsia" w:ascii="仿宋" w:hAnsi="仿宋" w:eastAsia="仿宋" w:cs="仿宋"/>
                <w:color w:val="auto"/>
                <w:sz w:val="24"/>
                <w:szCs w:val="24"/>
                <w:highlight w:val="none"/>
              </w:rPr>
            </w:pPr>
          </w:p>
        </w:tc>
        <w:tc>
          <w:tcPr>
            <w:tcW w:w="2301" w:type="dxa"/>
          </w:tcPr>
          <w:p w14:paraId="2F34BD54">
            <w:pPr>
              <w:outlineLvl w:val="9"/>
              <w:rPr>
                <w:rFonts w:hint="eastAsia" w:ascii="仿宋" w:hAnsi="仿宋" w:eastAsia="仿宋" w:cs="仿宋"/>
                <w:color w:val="auto"/>
                <w:sz w:val="24"/>
                <w:szCs w:val="24"/>
                <w:highlight w:val="none"/>
              </w:rPr>
            </w:pPr>
          </w:p>
        </w:tc>
        <w:tc>
          <w:tcPr>
            <w:tcW w:w="2227" w:type="dxa"/>
          </w:tcPr>
          <w:p w14:paraId="49EACF54">
            <w:pPr>
              <w:outlineLvl w:val="9"/>
              <w:rPr>
                <w:rFonts w:hint="eastAsia" w:ascii="仿宋" w:hAnsi="仿宋" w:eastAsia="仿宋" w:cs="仿宋"/>
                <w:color w:val="auto"/>
                <w:sz w:val="24"/>
                <w:szCs w:val="24"/>
                <w:highlight w:val="none"/>
              </w:rPr>
            </w:pPr>
          </w:p>
        </w:tc>
        <w:tc>
          <w:tcPr>
            <w:tcW w:w="1600" w:type="dxa"/>
          </w:tcPr>
          <w:p w14:paraId="60D384FD">
            <w:pPr>
              <w:outlineLvl w:val="9"/>
              <w:rPr>
                <w:rFonts w:hint="eastAsia" w:ascii="仿宋" w:hAnsi="仿宋" w:eastAsia="仿宋" w:cs="仿宋"/>
                <w:color w:val="auto"/>
                <w:sz w:val="24"/>
                <w:szCs w:val="24"/>
                <w:highlight w:val="none"/>
              </w:rPr>
            </w:pPr>
          </w:p>
        </w:tc>
        <w:tc>
          <w:tcPr>
            <w:tcW w:w="1696" w:type="dxa"/>
          </w:tcPr>
          <w:p w14:paraId="5492FB62">
            <w:pPr>
              <w:outlineLvl w:val="9"/>
              <w:rPr>
                <w:rFonts w:hint="eastAsia" w:ascii="仿宋" w:hAnsi="仿宋" w:eastAsia="仿宋" w:cs="仿宋"/>
                <w:color w:val="auto"/>
                <w:sz w:val="24"/>
                <w:szCs w:val="24"/>
                <w:highlight w:val="none"/>
              </w:rPr>
            </w:pPr>
          </w:p>
        </w:tc>
      </w:tr>
    </w:tbl>
    <w:p w14:paraId="478365C9">
      <w:pP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p>
    <w:p w14:paraId="44604DB9">
      <w:pPr>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供应商代表签字：</w:t>
      </w:r>
      <w:r>
        <w:rPr>
          <w:rFonts w:hint="eastAsia" w:ascii="仿宋" w:hAnsi="仿宋" w:eastAsia="仿宋" w:cs="仿宋"/>
          <w:b/>
          <w:color w:val="auto"/>
          <w:sz w:val="24"/>
          <w:highlight w:val="none"/>
          <w:u w:val="single"/>
        </w:rPr>
        <w:t>　　　　　　　　　　　　　　　</w:t>
      </w:r>
      <w:r>
        <w:rPr>
          <w:rFonts w:hint="eastAsia" w:ascii="仿宋" w:hAnsi="仿宋" w:eastAsia="仿宋" w:cs="仿宋"/>
          <w:b/>
          <w:color w:val="auto"/>
          <w:sz w:val="24"/>
          <w:highlight w:val="none"/>
        </w:rPr>
        <w:t>　</w:t>
      </w:r>
    </w:p>
    <w:p w14:paraId="1D3F5938">
      <w:pPr>
        <w:outlineLvl w:val="9"/>
        <w:rPr>
          <w:rFonts w:hint="eastAsia" w:ascii="仿宋" w:hAnsi="仿宋" w:eastAsia="仿宋" w:cs="仿宋"/>
          <w:color w:val="auto"/>
          <w:sz w:val="24"/>
          <w:highlight w:val="none"/>
        </w:rPr>
      </w:pPr>
    </w:p>
    <w:p w14:paraId="6875453D">
      <w:pPr>
        <w:ind w:firstLine="482" w:firstLineChars="200"/>
        <w:outlineLvl w:val="9"/>
        <w:rPr>
          <w:rFonts w:hint="eastAsia" w:ascii="仿宋" w:hAnsi="仿宋" w:eastAsia="仿宋" w:cs="仿宋"/>
          <w:b/>
          <w:color w:val="auto"/>
          <w:sz w:val="24"/>
          <w:highlight w:val="none"/>
        </w:rPr>
      </w:pPr>
    </w:p>
    <w:p w14:paraId="1B4DAE82">
      <w:pPr>
        <w:pStyle w:val="8"/>
        <w:outlineLvl w:val="9"/>
        <w:rPr>
          <w:rFonts w:hint="eastAsia" w:ascii="仿宋" w:hAnsi="仿宋" w:eastAsia="仿宋" w:cs="仿宋"/>
          <w:color w:val="auto"/>
          <w:highlight w:val="none"/>
        </w:rPr>
      </w:pPr>
    </w:p>
    <w:p w14:paraId="160391B3">
      <w:pPr>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139DD393">
      <w:pPr>
        <w:spacing w:line="480" w:lineRule="auto"/>
        <w:ind w:left="2880" w:hanging="2880"/>
        <w:jc w:val="center"/>
        <w:outlineLvl w:val="1"/>
        <w:rPr>
          <w:rFonts w:hint="eastAsia" w:ascii="仿宋" w:hAnsi="仿宋" w:eastAsia="仿宋" w:cs="仿宋"/>
          <w:b/>
          <w:color w:val="auto"/>
          <w:sz w:val="30"/>
          <w:highlight w:val="none"/>
        </w:rPr>
      </w:pPr>
      <w:r>
        <w:rPr>
          <w:rFonts w:hint="eastAsia" w:ascii="仿宋" w:hAnsi="仿宋" w:eastAsia="仿宋" w:cs="仿宋"/>
          <w:b/>
          <w:bCs/>
          <w:color w:val="auto"/>
          <w:sz w:val="28"/>
          <w:szCs w:val="28"/>
          <w:highlight w:val="none"/>
        </w:rPr>
        <w:t>附件7、</w:t>
      </w:r>
      <w:r>
        <w:rPr>
          <w:rFonts w:hint="eastAsia" w:ascii="仿宋" w:hAnsi="仿宋" w:eastAsia="仿宋" w:cs="仿宋"/>
          <w:b/>
          <w:color w:val="auto"/>
          <w:sz w:val="30"/>
          <w:highlight w:val="none"/>
        </w:rPr>
        <w:t>产品技术参数、功能偏离表</w:t>
      </w:r>
    </w:p>
    <w:p w14:paraId="40782865">
      <w:pPr>
        <w:spacing w:line="480" w:lineRule="auto"/>
        <w:outlineLvl w:val="9"/>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 xml:space="preserve">供应商名称（公章）：                             招标编号：    </w:t>
      </w:r>
    </w:p>
    <w:tbl>
      <w:tblPr>
        <w:tblStyle w:val="24"/>
        <w:tblW w:w="9024"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2496"/>
        <w:gridCol w:w="2220"/>
        <w:gridCol w:w="1884"/>
        <w:gridCol w:w="1428"/>
      </w:tblGrid>
      <w:tr w14:paraId="49BFC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96" w:type="dxa"/>
            <w:vAlign w:val="center"/>
          </w:tcPr>
          <w:p w14:paraId="10E98E02">
            <w:pPr>
              <w:spacing w:line="360" w:lineRule="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496" w:type="dxa"/>
            <w:vAlign w:val="center"/>
          </w:tcPr>
          <w:p w14:paraId="1C14B7FB">
            <w:pPr>
              <w:spacing w:line="360" w:lineRule="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招标规格</w:t>
            </w:r>
          </w:p>
        </w:tc>
        <w:tc>
          <w:tcPr>
            <w:tcW w:w="2220" w:type="dxa"/>
            <w:vAlign w:val="center"/>
          </w:tcPr>
          <w:p w14:paraId="3800A8CC">
            <w:pPr>
              <w:spacing w:line="360" w:lineRule="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投标规格</w:t>
            </w:r>
          </w:p>
        </w:tc>
        <w:tc>
          <w:tcPr>
            <w:tcW w:w="1884" w:type="dxa"/>
            <w:vAlign w:val="center"/>
          </w:tcPr>
          <w:p w14:paraId="0A44A346">
            <w:pPr>
              <w:spacing w:line="360" w:lineRule="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偏离</w:t>
            </w:r>
          </w:p>
        </w:tc>
        <w:tc>
          <w:tcPr>
            <w:tcW w:w="1428" w:type="dxa"/>
            <w:vAlign w:val="center"/>
          </w:tcPr>
          <w:p w14:paraId="12E0FE03">
            <w:pPr>
              <w:spacing w:line="360" w:lineRule="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w:t>
            </w:r>
          </w:p>
        </w:tc>
      </w:tr>
      <w:tr w14:paraId="1DB9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96" w:type="dxa"/>
          </w:tcPr>
          <w:p w14:paraId="719CB4C6">
            <w:pPr>
              <w:spacing w:line="360" w:lineRule="auto"/>
              <w:outlineLvl w:val="9"/>
              <w:rPr>
                <w:rFonts w:hint="eastAsia" w:ascii="仿宋" w:hAnsi="仿宋" w:eastAsia="仿宋" w:cs="仿宋"/>
                <w:color w:val="auto"/>
                <w:sz w:val="24"/>
                <w:szCs w:val="24"/>
                <w:highlight w:val="none"/>
              </w:rPr>
            </w:pPr>
          </w:p>
        </w:tc>
        <w:tc>
          <w:tcPr>
            <w:tcW w:w="2496" w:type="dxa"/>
          </w:tcPr>
          <w:p w14:paraId="2A759D25">
            <w:pPr>
              <w:spacing w:line="360" w:lineRule="auto"/>
              <w:outlineLvl w:val="9"/>
              <w:rPr>
                <w:rFonts w:hint="eastAsia" w:ascii="仿宋" w:hAnsi="仿宋" w:eastAsia="仿宋" w:cs="仿宋"/>
                <w:color w:val="auto"/>
                <w:sz w:val="24"/>
                <w:szCs w:val="24"/>
                <w:highlight w:val="none"/>
              </w:rPr>
            </w:pPr>
          </w:p>
        </w:tc>
        <w:tc>
          <w:tcPr>
            <w:tcW w:w="2220" w:type="dxa"/>
          </w:tcPr>
          <w:p w14:paraId="428102AD">
            <w:pPr>
              <w:spacing w:line="360" w:lineRule="auto"/>
              <w:outlineLvl w:val="9"/>
              <w:rPr>
                <w:rFonts w:hint="eastAsia" w:ascii="仿宋" w:hAnsi="仿宋" w:eastAsia="仿宋" w:cs="仿宋"/>
                <w:color w:val="auto"/>
                <w:sz w:val="24"/>
                <w:szCs w:val="24"/>
                <w:highlight w:val="none"/>
              </w:rPr>
            </w:pPr>
          </w:p>
        </w:tc>
        <w:tc>
          <w:tcPr>
            <w:tcW w:w="1884" w:type="dxa"/>
          </w:tcPr>
          <w:p w14:paraId="61383ECB">
            <w:pPr>
              <w:spacing w:line="360" w:lineRule="auto"/>
              <w:outlineLvl w:val="9"/>
              <w:rPr>
                <w:rFonts w:hint="eastAsia" w:ascii="仿宋" w:hAnsi="仿宋" w:eastAsia="仿宋" w:cs="仿宋"/>
                <w:color w:val="auto"/>
                <w:sz w:val="24"/>
                <w:szCs w:val="24"/>
                <w:highlight w:val="none"/>
              </w:rPr>
            </w:pPr>
          </w:p>
        </w:tc>
        <w:tc>
          <w:tcPr>
            <w:tcW w:w="1428" w:type="dxa"/>
          </w:tcPr>
          <w:p w14:paraId="3EB337D9">
            <w:pPr>
              <w:spacing w:line="360" w:lineRule="auto"/>
              <w:outlineLvl w:val="9"/>
              <w:rPr>
                <w:rFonts w:hint="eastAsia" w:ascii="仿宋" w:hAnsi="仿宋" w:eastAsia="仿宋" w:cs="仿宋"/>
                <w:color w:val="auto"/>
                <w:sz w:val="24"/>
                <w:szCs w:val="24"/>
                <w:highlight w:val="none"/>
              </w:rPr>
            </w:pPr>
          </w:p>
        </w:tc>
      </w:tr>
      <w:tr w14:paraId="3C27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96" w:type="dxa"/>
          </w:tcPr>
          <w:p w14:paraId="4579F455">
            <w:pPr>
              <w:spacing w:line="360" w:lineRule="auto"/>
              <w:outlineLvl w:val="9"/>
              <w:rPr>
                <w:rFonts w:hint="eastAsia" w:ascii="仿宋" w:hAnsi="仿宋" w:eastAsia="仿宋" w:cs="仿宋"/>
                <w:color w:val="auto"/>
                <w:sz w:val="24"/>
                <w:szCs w:val="24"/>
                <w:highlight w:val="none"/>
              </w:rPr>
            </w:pPr>
          </w:p>
        </w:tc>
        <w:tc>
          <w:tcPr>
            <w:tcW w:w="2496" w:type="dxa"/>
          </w:tcPr>
          <w:p w14:paraId="78D763A4">
            <w:pPr>
              <w:spacing w:line="360" w:lineRule="auto"/>
              <w:outlineLvl w:val="9"/>
              <w:rPr>
                <w:rFonts w:hint="eastAsia" w:ascii="仿宋" w:hAnsi="仿宋" w:eastAsia="仿宋" w:cs="仿宋"/>
                <w:color w:val="auto"/>
                <w:sz w:val="24"/>
                <w:szCs w:val="24"/>
                <w:highlight w:val="none"/>
              </w:rPr>
            </w:pPr>
          </w:p>
        </w:tc>
        <w:tc>
          <w:tcPr>
            <w:tcW w:w="2220" w:type="dxa"/>
          </w:tcPr>
          <w:p w14:paraId="24EB79F6">
            <w:pPr>
              <w:spacing w:line="360" w:lineRule="auto"/>
              <w:outlineLvl w:val="9"/>
              <w:rPr>
                <w:rFonts w:hint="eastAsia" w:ascii="仿宋" w:hAnsi="仿宋" w:eastAsia="仿宋" w:cs="仿宋"/>
                <w:color w:val="auto"/>
                <w:sz w:val="24"/>
                <w:szCs w:val="24"/>
                <w:highlight w:val="none"/>
              </w:rPr>
            </w:pPr>
          </w:p>
        </w:tc>
        <w:tc>
          <w:tcPr>
            <w:tcW w:w="1884" w:type="dxa"/>
          </w:tcPr>
          <w:p w14:paraId="2C930671">
            <w:pPr>
              <w:spacing w:line="360" w:lineRule="auto"/>
              <w:outlineLvl w:val="9"/>
              <w:rPr>
                <w:rFonts w:hint="eastAsia" w:ascii="仿宋" w:hAnsi="仿宋" w:eastAsia="仿宋" w:cs="仿宋"/>
                <w:color w:val="auto"/>
                <w:sz w:val="24"/>
                <w:szCs w:val="24"/>
                <w:highlight w:val="none"/>
              </w:rPr>
            </w:pPr>
          </w:p>
        </w:tc>
        <w:tc>
          <w:tcPr>
            <w:tcW w:w="1428" w:type="dxa"/>
          </w:tcPr>
          <w:p w14:paraId="4945DC53">
            <w:pPr>
              <w:spacing w:line="360" w:lineRule="auto"/>
              <w:outlineLvl w:val="9"/>
              <w:rPr>
                <w:rFonts w:hint="eastAsia" w:ascii="仿宋" w:hAnsi="仿宋" w:eastAsia="仿宋" w:cs="仿宋"/>
                <w:color w:val="auto"/>
                <w:sz w:val="24"/>
                <w:szCs w:val="24"/>
                <w:highlight w:val="none"/>
              </w:rPr>
            </w:pPr>
          </w:p>
        </w:tc>
      </w:tr>
      <w:tr w14:paraId="4394B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96" w:type="dxa"/>
          </w:tcPr>
          <w:p w14:paraId="4D17230E">
            <w:pPr>
              <w:spacing w:line="360" w:lineRule="auto"/>
              <w:outlineLvl w:val="9"/>
              <w:rPr>
                <w:rFonts w:hint="eastAsia" w:ascii="仿宋" w:hAnsi="仿宋" w:eastAsia="仿宋" w:cs="仿宋"/>
                <w:color w:val="auto"/>
                <w:sz w:val="24"/>
                <w:szCs w:val="24"/>
                <w:highlight w:val="none"/>
              </w:rPr>
            </w:pPr>
          </w:p>
        </w:tc>
        <w:tc>
          <w:tcPr>
            <w:tcW w:w="2496" w:type="dxa"/>
          </w:tcPr>
          <w:p w14:paraId="43551726">
            <w:pPr>
              <w:spacing w:line="360" w:lineRule="auto"/>
              <w:outlineLvl w:val="9"/>
              <w:rPr>
                <w:rFonts w:hint="eastAsia" w:ascii="仿宋" w:hAnsi="仿宋" w:eastAsia="仿宋" w:cs="仿宋"/>
                <w:color w:val="auto"/>
                <w:sz w:val="24"/>
                <w:szCs w:val="24"/>
                <w:highlight w:val="none"/>
              </w:rPr>
            </w:pPr>
          </w:p>
        </w:tc>
        <w:tc>
          <w:tcPr>
            <w:tcW w:w="2220" w:type="dxa"/>
          </w:tcPr>
          <w:p w14:paraId="037D15E4">
            <w:pPr>
              <w:spacing w:line="360" w:lineRule="auto"/>
              <w:outlineLvl w:val="9"/>
              <w:rPr>
                <w:rFonts w:hint="eastAsia" w:ascii="仿宋" w:hAnsi="仿宋" w:eastAsia="仿宋" w:cs="仿宋"/>
                <w:color w:val="auto"/>
                <w:sz w:val="24"/>
                <w:szCs w:val="24"/>
                <w:highlight w:val="none"/>
              </w:rPr>
            </w:pPr>
          </w:p>
        </w:tc>
        <w:tc>
          <w:tcPr>
            <w:tcW w:w="1884" w:type="dxa"/>
          </w:tcPr>
          <w:p w14:paraId="3A804AED">
            <w:pPr>
              <w:spacing w:line="360" w:lineRule="auto"/>
              <w:outlineLvl w:val="9"/>
              <w:rPr>
                <w:rFonts w:hint="eastAsia" w:ascii="仿宋" w:hAnsi="仿宋" w:eastAsia="仿宋" w:cs="仿宋"/>
                <w:color w:val="auto"/>
                <w:sz w:val="24"/>
                <w:szCs w:val="24"/>
                <w:highlight w:val="none"/>
              </w:rPr>
            </w:pPr>
          </w:p>
        </w:tc>
        <w:tc>
          <w:tcPr>
            <w:tcW w:w="1428" w:type="dxa"/>
          </w:tcPr>
          <w:p w14:paraId="3EDF9A69">
            <w:pPr>
              <w:spacing w:line="360" w:lineRule="auto"/>
              <w:outlineLvl w:val="9"/>
              <w:rPr>
                <w:rFonts w:hint="eastAsia" w:ascii="仿宋" w:hAnsi="仿宋" w:eastAsia="仿宋" w:cs="仿宋"/>
                <w:color w:val="auto"/>
                <w:sz w:val="24"/>
                <w:szCs w:val="24"/>
                <w:highlight w:val="none"/>
              </w:rPr>
            </w:pPr>
          </w:p>
        </w:tc>
      </w:tr>
    </w:tbl>
    <w:p w14:paraId="71F954B9">
      <w:pPr>
        <w:spacing w:beforeLines="50" w:line="360" w:lineRule="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注：与招标文件要求逐条对应填写。</w:t>
      </w:r>
    </w:p>
    <w:p w14:paraId="0F00A1FF">
      <w:pPr>
        <w:spacing w:line="360" w:lineRule="auto"/>
        <w:outlineLvl w:val="9"/>
        <w:rPr>
          <w:rFonts w:hint="eastAsia" w:ascii="仿宋" w:hAnsi="仿宋" w:eastAsia="仿宋" w:cs="仿宋"/>
          <w:b/>
          <w:color w:val="auto"/>
          <w:sz w:val="24"/>
          <w:highlight w:val="none"/>
        </w:rPr>
      </w:pPr>
    </w:p>
    <w:p w14:paraId="1660826F">
      <w:pPr>
        <w:spacing w:line="360" w:lineRule="auto"/>
        <w:outlineLvl w:val="9"/>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供应商代表签字：</w:t>
      </w:r>
      <w:r>
        <w:rPr>
          <w:rFonts w:hint="eastAsia" w:ascii="仿宋" w:hAnsi="仿宋" w:eastAsia="仿宋" w:cs="仿宋"/>
          <w:b/>
          <w:color w:val="auto"/>
          <w:sz w:val="24"/>
          <w:highlight w:val="none"/>
          <w:u w:val="single"/>
        </w:rPr>
        <w:t>　　　　　　　　　　</w:t>
      </w:r>
    </w:p>
    <w:p w14:paraId="15E2DAA6">
      <w:pPr>
        <w:spacing w:afterLines="50" w:line="480" w:lineRule="auto"/>
        <w:ind w:firstLine="0" w:firstLineChars="0"/>
        <w:jc w:val="center"/>
        <w:outlineLvl w:val="1"/>
        <w:rPr>
          <w:rFonts w:hint="eastAsia" w:ascii="仿宋" w:hAnsi="仿宋" w:eastAsia="仿宋" w:cs="仿宋"/>
          <w:b/>
          <w:color w:val="auto"/>
          <w:sz w:val="30"/>
          <w:highlight w:val="none"/>
        </w:rPr>
      </w:pPr>
      <w:r>
        <w:rPr>
          <w:rFonts w:hint="eastAsia" w:ascii="仿宋" w:hAnsi="仿宋" w:eastAsia="仿宋" w:cs="仿宋"/>
          <w:b/>
          <w:bCs/>
          <w:color w:val="auto"/>
          <w:sz w:val="28"/>
          <w:szCs w:val="28"/>
          <w:highlight w:val="none"/>
        </w:rPr>
        <w:br w:type="page"/>
      </w: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rPr>
        <w:t>8、近三年</w:t>
      </w:r>
      <w:r>
        <w:rPr>
          <w:rFonts w:hint="eastAsia" w:ascii="仿宋" w:hAnsi="仿宋" w:eastAsia="仿宋" w:cs="仿宋"/>
          <w:b/>
          <w:bCs/>
          <w:color w:val="auto"/>
          <w:sz w:val="28"/>
          <w:szCs w:val="28"/>
          <w:highlight w:val="none"/>
          <w:lang w:val="en-US" w:eastAsia="zh-CN"/>
        </w:rPr>
        <w:t>（2022年6月至今）</w:t>
      </w:r>
      <w:r>
        <w:rPr>
          <w:rFonts w:hint="eastAsia" w:ascii="仿宋" w:hAnsi="仿宋" w:eastAsia="仿宋" w:cs="仿宋"/>
          <w:b/>
          <w:bCs/>
          <w:color w:val="auto"/>
          <w:sz w:val="28"/>
          <w:szCs w:val="28"/>
          <w:highlight w:val="none"/>
        </w:rPr>
        <w:t>类似项目业绩情况</w:t>
      </w:r>
    </w:p>
    <w:p w14:paraId="5ACB3EAC">
      <w:pPr>
        <w:spacing w:line="480" w:lineRule="auto"/>
        <w:outlineLvl w:val="9"/>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供应商名称（公章）：         　　　　　           项目编号：　　　　　　</w:t>
      </w:r>
    </w:p>
    <w:tbl>
      <w:tblPr>
        <w:tblStyle w:val="2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20"/>
        <w:gridCol w:w="3060"/>
        <w:gridCol w:w="900"/>
        <w:gridCol w:w="1800"/>
      </w:tblGrid>
      <w:tr w14:paraId="71135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026BD3EB">
            <w:pPr>
              <w:pStyle w:val="37"/>
              <w:keepNext w:val="0"/>
              <w:keepLines w:val="0"/>
              <w:pageBreakBefore w:val="0"/>
              <w:widowControl w:val="0"/>
              <w:kinsoku/>
              <w:wordWrap/>
              <w:overflowPunct/>
              <w:topLinePunct w:val="0"/>
              <w:bidi w:val="0"/>
              <w:adjustRightInd w:val="0"/>
              <w:snapToGrid w:val="0"/>
              <w:spacing w:line="360" w:lineRule="auto"/>
              <w:jc w:val="center"/>
              <w:textAlignment w:val="auto"/>
              <w:outlineLvl w:val="9"/>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地　　区</w:t>
            </w:r>
          </w:p>
        </w:tc>
        <w:tc>
          <w:tcPr>
            <w:tcW w:w="1620" w:type="dxa"/>
          </w:tcPr>
          <w:p w14:paraId="7D77268B">
            <w:pPr>
              <w:pStyle w:val="37"/>
              <w:keepNext w:val="0"/>
              <w:keepLines w:val="0"/>
              <w:pageBreakBefore w:val="0"/>
              <w:widowControl w:val="0"/>
              <w:kinsoku/>
              <w:wordWrap/>
              <w:overflowPunct/>
              <w:topLinePunct w:val="0"/>
              <w:bidi w:val="0"/>
              <w:adjustRightInd w:val="0"/>
              <w:snapToGrid w:val="0"/>
              <w:spacing w:line="360" w:lineRule="auto"/>
              <w:ind w:right="-107" w:rightChars="-51"/>
              <w:jc w:val="center"/>
              <w:textAlignment w:val="auto"/>
              <w:outlineLvl w:val="9"/>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合同名称</w:t>
            </w:r>
          </w:p>
        </w:tc>
        <w:tc>
          <w:tcPr>
            <w:tcW w:w="3060" w:type="dxa"/>
          </w:tcPr>
          <w:p w14:paraId="6A6968D8">
            <w:pPr>
              <w:pStyle w:val="37"/>
              <w:keepNext w:val="0"/>
              <w:keepLines w:val="0"/>
              <w:pageBreakBefore w:val="0"/>
              <w:widowControl w:val="0"/>
              <w:kinsoku/>
              <w:wordWrap/>
              <w:overflowPunct/>
              <w:topLinePunct w:val="0"/>
              <w:bidi w:val="0"/>
              <w:adjustRightInd w:val="0"/>
              <w:snapToGrid w:val="0"/>
              <w:spacing w:line="360" w:lineRule="auto"/>
              <w:ind w:firstLine="482" w:firstLineChars="200"/>
              <w:textAlignment w:val="auto"/>
              <w:outlineLvl w:val="9"/>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规格及型号</w:t>
            </w:r>
          </w:p>
        </w:tc>
        <w:tc>
          <w:tcPr>
            <w:tcW w:w="900" w:type="dxa"/>
          </w:tcPr>
          <w:p w14:paraId="2067B7A8">
            <w:pPr>
              <w:pStyle w:val="37"/>
              <w:keepNext w:val="0"/>
              <w:keepLines w:val="0"/>
              <w:pageBreakBefore w:val="0"/>
              <w:widowControl w:val="0"/>
              <w:kinsoku/>
              <w:wordWrap/>
              <w:overflowPunct/>
              <w:topLinePunct w:val="0"/>
              <w:bidi w:val="0"/>
              <w:adjustRightInd w:val="0"/>
              <w:snapToGrid w:val="0"/>
              <w:spacing w:line="360" w:lineRule="auto"/>
              <w:jc w:val="center"/>
              <w:textAlignment w:val="auto"/>
              <w:outlineLvl w:val="9"/>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金额</w:t>
            </w:r>
          </w:p>
        </w:tc>
        <w:tc>
          <w:tcPr>
            <w:tcW w:w="1800" w:type="dxa"/>
          </w:tcPr>
          <w:p w14:paraId="204E8F47">
            <w:pPr>
              <w:pStyle w:val="37"/>
              <w:keepNext w:val="0"/>
              <w:keepLines w:val="0"/>
              <w:pageBreakBefore w:val="0"/>
              <w:widowControl w:val="0"/>
              <w:kinsoku/>
              <w:wordWrap/>
              <w:overflowPunct/>
              <w:topLinePunct w:val="0"/>
              <w:bidi w:val="0"/>
              <w:adjustRightInd w:val="0"/>
              <w:snapToGrid w:val="0"/>
              <w:spacing w:line="360" w:lineRule="auto"/>
              <w:ind w:firstLine="475" w:firstLineChars="197"/>
              <w:textAlignment w:val="auto"/>
              <w:outlineLvl w:val="9"/>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备 注</w:t>
            </w:r>
          </w:p>
        </w:tc>
      </w:tr>
      <w:tr w14:paraId="70AD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0" w:type="dxa"/>
          </w:tcPr>
          <w:p w14:paraId="47DB8658">
            <w:pPr>
              <w:keepNext w:val="0"/>
              <w:keepLines w:val="0"/>
              <w:pageBreakBefore w:val="0"/>
              <w:widowControl w:val="0"/>
              <w:kinsoku/>
              <w:wordWrap/>
              <w:overflowPunct/>
              <w:topLinePunct w:val="0"/>
              <w:bidi w:val="0"/>
              <w:adjustRightInd w:val="0"/>
              <w:snapToGrid w:val="0"/>
              <w:spacing w:line="480" w:lineRule="exact"/>
              <w:textAlignment w:val="auto"/>
              <w:outlineLvl w:val="9"/>
              <w:rPr>
                <w:rFonts w:hint="eastAsia" w:ascii="仿宋" w:hAnsi="仿宋" w:eastAsia="仿宋" w:cs="仿宋"/>
                <w:color w:val="auto"/>
                <w:sz w:val="24"/>
                <w:szCs w:val="24"/>
                <w:highlight w:val="none"/>
              </w:rPr>
            </w:pPr>
          </w:p>
        </w:tc>
        <w:tc>
          <w:tcPr>
            <w:tcW w:w="1620" w:type="dxa"/>
          </w:tcPr>
          <w:p w14:paraId="503BD106">
            <w:pPr>
              <w:keepNext w:val="0"/>
              <w:keepLines w:val="0"/>
              <w:pageBreakBefore w:val="0"/>
              <w:widowControl w:val="0"/>
              <w:kinsoku/>
              <w:wordWrap/>
              <w:overflowPunct/>
              <w:topLinePunct w:val="0"/>
              <w:bidi w:val="0"/>
              <w:adjustRightInd w:val="0"/>
              <w:snapToGrid w:val="0"/>
              <w:spacing w:line="480" w:lineRule="exact"/>
              <w:textAlignment w:val="auto"/>
              <w:outlineLvl w:val="9"/>
              <w:rPr>
                <w:rFonts w:hint="eastAsia" w:ascii="仿宋" w:hAnsi="仿宋" w:eastAsia="仿宋" w:cs="仿宋"/>
                <w:color w:val="auto"/>
                <w:sz w:val="24"/>
                <w:szCs w:val="24"/>
                <w:highlight w:val="none"/>
              </w:rPr>
            </w:pPr>
          </w:p>
        </w:tc>
        <w:tc>
          <w:tcPr>
            <w:tcW w:w="3060" w:type="dxa"/>
          </w:tcPr>
          <w:p w14:paraId="52FEDC80">
            <w:pPr>
              <w:keepNext w:val="0"/>
              <w:keepLines w:val="0"/>
              <w:pageBreakBefore w:val="0"/>
              <w:widowControl w:val="0"/>
              <w:kinsoku/>
              <w:wordWrap/>
              <w:overflowPunct/>
              <w:topLinePunct w:val="0"/>
              <w:bidi w:val="0"/>
              <w:adjustRightInd w:val="0"/>
              <w:snapToGrid w:val="0"/>
              <w:spacing w:line="480" w:lineRule="exact"/>
              <w:textAlignment w:val="auto"/>
              <w:outlineLvl w:val="9"/>
              <w:rPr>
                <w:rFonts w:hint="eastAsia" w:ascii="仿宋" w:hAnsi="仿宋" w:eastAsia="仿宋" w:cs="仿宋"/>
                <w:color w:val="auto"/>
                <w:sz w:val="24"/>
                <w:szCs w:val="24"/>
                <w:highlight w:val="none"/>
              </w:rPr>
            </w:pPr>
          </w:p>
        </w:tc>
        <w:tc>
          <w:tcPr>
            <w:tcW w:w="900" w:type="dxa"/>
          </w:tcPr>
          <w:p w14:paraId="186C9D4B">
            <w:pPr>
              <w:keepNext w:val="0"/>
              <w:keepLines w:val="0"/>
              <w:pageBreakBefore w:val="0"/>
              <w:widowControl w:val="0"/>
              <w:kinsoku/>
              <w:wordWrap/>
              <w:overflowPunct/>
              <w:topLinePunct w:val="0"/>
              <w:bidi w:val="0"/>
              <w:adjustRightInd w:val="0"/>
              <w:snapToGrid w:val="0"/>
              <w:spacing w:line="480" w:lineRule="exact"/>
              <w:textAlignment w:val="auto"/>
              <w:outlineLvl w:val="9"/>
              <w:rPr>
                <w:rFonts w:hint="eastAsia" w:ascii="仿宋" w:hAnsi="仿宋" w:eastAsia="仿宋" w:cs="仿宋"/>
                <w:color w:val="auto"/>
                <w:sz w:val="24"/>
                <w:szCs w:val="24"/>
                <w:highlight w:val="none"/>
              </w:rPr>
            </w:pPr>
          </w:p>
        </w:tc>
        <w:tc>
          <w:tcPr>
            <w:tcW w:w="1800" w:type="dxa"/>
          </w:tcPr>
          <w:p w14:paraId="548C96E2">
            <w:pPr>
              <w:keepNext w:val="0"/>
              <w:keepLines w:val="0"/>
              <w:pageBreakBefore w:val="0"/>
              <w:widowControl w:val="0"/>
              <w:kinsoku/>
              <w:wordWrap/>
              <w:overflowPunct/>
              <w:topLinePunct w:val="0"/>
              <w:bidi w:val="0"/>
              <w:adjustRightInd w:val="0"/>
              <w:snapToGrid w:val="0"/>
              <w:spacing w:line="480" w:lineRule="exact"/>
              <w:textAlignment w:val="auto"/>
              <w:outlineLvl w:val="9"/>
              <w:rPr>
                <w:rFonts w:hint="eastAsia" w:ascii="仿宋" w:hAnsi="仿宋" w:eastAsia="仿宋" w:cs="仿宋"/>
                <w:color w:val="auto"/>
                <w:sz w:val="24"/>
                <w:szCs w:val="24"/>
                <w:highlight w:val="none"/>
              </w:rPr>
            </w:pPr>
          </w:p>
        </w:tc>
      </w:tr>
      <w:tr w14:paraId="761E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0" w:type="dxa"/>
          </w:tcPr>
          <w:p w14:paraId="0BEFF5ED">
            <w:pPr>
              <w:keepNext w:val="0"/>
              <w:keepLines w:val="0"/>
              <w:pageBreakBefore w:val="0"/>
              <w:widowControl w:val="0"/>
              <w:kinsoku/>
              <w:wordWrap/>
              <w:overflowPunct/>
              <w:topLinePunct w:val="0"/>
              <w:bidi w:val="0"/>
              <w:adjustRightInd w:val="0"/>
              <w:snapToGrid w:val="0"/>
              <w:spacing w:line="480" w:lineRule="exact"/>
              <w:textAlignment w:val="auto"/>
              <w:outlineLvl w:val="9"/>
              <w:rPr>
                <w:rFonts w:hint="eastAsia" w:ascii="仿宋" w:hAnsi="仿宋" w:eastAsia="仿宋" w:cs="仿宋"/>
                <w:color w:val="auto"/>
                <w:sz w:val="24"/>
                <w:szCs w:val="24"/>
                <w:highlight w:val="none"/>
              </w:rPr>
            </w:pPr>
          </w:p>
        </w:tc>
        <w:tc>
          <w:tcPr>
            <w:tcW w:w="1620" w:type="dxa"/>
          </w:tcPr>
          <w:p w14:paraId="167889D6">
            <w:pPr>
              <w:keepNext w:val="0"/>
              <w:keepLines w:val="0"/>
              <w:pageBreakBefore w:val="0"/>
              <w:widowControl w:val="0"/>
              <w:kinsoku/>
              <w:wordWrap/>
              <w:overflowPunct/>
              <w:topLinePunct w:val="0"/>
              <w:bidi w:val="0"/>
              <w:adjustRightInd w:val="0"/>
              <w:snapToGrid w:val="0"/>
              <w:spacing w:line="480" w:lineRule="exact"/>
              <w:textAlignment w:val="auto"/>
              <w:outlineLvl w:val="9"/>
              <w:rPr>
                <w:rFonts w:hint="eastAsia" w:ascii="仿宋" w:hAnsi="仿宋" w:eastAsia="仿宋" w:cs="仿宋"/>
                <w:color w:val="auto"/>
                <w:sz w:val="24"/>
                <w:szCs w:val="24"/>
                <w:highlight w:val="none"/>
              </w:rPr>
            </w:pPr>
          </w:p>
        </w:tc>
        <w:tc>
          <w:tcPr>
            <w:tcW w:w="3060" w:type="dxa"/>
          </w:tcPr>
          <w:p w14:paraId="4F7783C7">
            <w:pPr>
              <w:keepNext w:val="0"/>
              <w:keepLines w:val="0"/>
              <w:pageBreakBefore w:val="0"/>
              <w:widowControl w:val="0"/>
              <w:kinsoku/>
              <w:wordWrap/>
              <w:overflowPunct/>
              <w:topLinePunct w:val="0"/>
              <w:bidi w:val="0"/>
              <w:adjustRightInd w:val="0"/>
              <w:snapToGrid w:val="0"/>
              <w:spacing w:line="480" w:lineRule="exact"/>
              <w:textAlignment w:val="auto"/>
              <w:outlineLvl w:val="9"/>
              <w:rPr>
                <w:rFonts w:hint="eastAsia" w:ascii="仿宋" w:hAnsi="仿宋" w:eastAsia="仿宋" w:cs="仿宋"/>
                <w:color w:val="auto"/>
                <w:sz w:val="24"/>
                <w:szCs w:val="24"/>
                <w:highlight w:val="none"/>
              </w:rPr>
            </w:pPr>
          </w:p>
        </w:tc>
        <w:tc>
          <w:tcPr>
            <w:tcW w:w="900" w:type="dxa"/>
          </w:tcPr>
          <w:p w14:paraId="53E9CAEB">
            <w:pPr>
              <w:keepNext w:val="0"/>
              <w:keepLines w:val="0"/>
              <w:pageBreakBefore w:val="0"/>
              <w:widowControl w:val="0"/>
              <w:kinsoku/>
              <w:wordWrap/>
              <w:overflowPunct/>
              <w:topLinePunct w:val="0"/>
              <w:bidi w:val="0"/>
              <w:adjustRightInd w:val="0"/>
              <w:snapToGrid w:val="0"/>
              <w:spacing w:line="480" w:lineRule="exact"/>
              <w:textAlignment w:val="auto"/>
              <w:outlineLvl w:val="9"/>
              <w:rPr>
                <w:rFonts w:hint="eastAsia" w:ascii="仿宋" w:hAnsi="仿宋" w:eastAsia="仿宋" w:cs="仿宋"/>
                <w:color w:val="auto"/>
                <w:sz w:val="24"/>
                <w:szCs w:val="24"/>
                <w:highlight w:val="none"/>
              </w:rPr>
            </w:pPr>
          </w:p>
        </w:tc>
        <w:tc>
          <w:tcPr>
            <w:tcW w:w="1800" w:type="dxa"/>
          </w:tcPr>
          <w:p w14:paraId="691CD3CC">
            <w:pPr>
              <w:keepNext w:val="0"/>
              <w:keepLines w:val="0"/>
              <w:pageBreakBefore w:val="0"/>
              <w:widowControl w:val="0"/>
              <w:kinsoku/>
              <w:wordWrap/>
              <w:overflowPunct/>
              <w:topLinePunct w:val="0"/>
              <w:bidi w:val="0"/>
              <w:adjustRightInd w:val="0"/>
              <w:snapToGrid w:val="0"/>
              <w:spacing w:line="480" w:lineRule="exact"/>
              <w:textAlignment w:val="auto"/>
              <w:outlineLvl w:val="9"/>
              <w:rPr>
                <w:rFonts w:hint="eastAsia" w:ascii="仿宋" w:hAnsi="仿宋" w:eastAsia="仿宋" w:cs="仿宋"/>
                <w:color w:val="auto"/>
                <w:sz w:val="24"/>
                <w:szCs w:val="24"/>
                <w:highlight w:val="none"/>
              </w:rPr>
            </w:pPr>
          </w:p>
        </w:tc>
      </w:tr>
      <w:tr w14:paraId="7E31D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620" w:type="dxa"/>
          </w:tcPr>
          <w:p w14:paraId="4258D68C">
            <w:pPr>
              <w:keepNext w:val="0"/>
              <w:keepLines w:val="0"/>
              <w:pageBreakBefore w:val="0"/>
              <w:widowControl w:val="0"/>
              <w:kinsoku/>
              <w:wordWrap/>
              <w:overflowPunct/>
              <w:topLinePunct w:val="0"/>
              <w:bidi w:val="0"/>
              <w:adjustRightInd w:val="0"/>
              <w:snapToGrid w:val="0"/>
              <w:spacing w:line="480" w:lineRule="exact"/>
              <w:textAlignment w:val="auto"/>
              <w:outlineLvl w:val="9"/>
              <w:rPr>
                <w:rFonts w:hint="eastAsia" w:ascii="仿宋" w:hAnsi="仿宋" w:eastAsia="仿宋" w:cs="仿宋"/>
                <w:color w:val="auto"/>
                <w:sz w:val="24"/>
                <w:szCs w:val="24"/>
                <w:highlight w:val="none"/>
              </w:rPr>
            </w:pPr>
          </w:p>
        </w:tc>
        <w:tc>
          <w:tcPr>
            <w:tcW w:w="1620" w:type="dxa"/>
          </w:tcPr>
          <w:p w14:paraId="3B177ED4">
            <w:pPr>
              <w:keepNext w:val="0"/>
              <w:keepLines w:val="0"/>
              <w:pageBreakBefore w:val="0"/>
              <w:widowControl w:val="0"/>
              <w:kinsoku/>
              <w:wordWrap/>
              <w:overflowPunct/>
              <w:topLinePunct w:val="0"/>
              <w:bidi w:val="0"/>
              <w:adjustRightInd w:val="0"/>
              <w:snapToGrid w:val="0"/>
              <w:spacing w:line="480" w:lineRule="exact"/>
              <w:textAlignment w:val="auto"/>
              <w:outlineLvl w:val="9"/>
              <w:rPr>
                <w:rFonts w:hint="eastAsia" w:ascii="仿宋" w:hAnsi="仿宋" w:eastAsia="仿宋" w:cs="仿宋"/>
                <w:color w:val="auto"/>
                <w:sz w:val="24"/>
                <w:szCs w:val="24"/>
                <w:highlight w:val="none"/>
              </w:rPr>
            </w:pPr>
          </w:p>
        </w:tc>
        <w:tc>
          <w:tcPr>
            <w:tcW w:w="3060" w:type="dxa"/>
          </w:tcPr>
          <w:p w14:paraId="7AF4E443">
            <w:pPr>
              <w:keepNext w:val="0"/>
              <w:keepLines w:val="0"/>
              <w:pageBreakBefore w:val="0"/>
              <w:widowControl w:val="0"/>
              <w:kinsoku/>
              <w:wordWrap/>
              <w:overflowPunct/>
              <w:topLinePunct w:val="0"/>
              <w:bidi w:val="0"/>
              <w:adjustRightInd w:val="0"/>
              <w:snapToGrid w:val="0"/>
              <w:spacing w:line="480" w:lineRule="exact"/>
              <w:textAlignment w:val="auto"/>
              <w:outlineLvl w:val="9"/>
              <w:rPr>
                <w:rFonts w:hint="eastAsia" w:ascii="仿宋" w:hAnsi="仿宋" w:eastAsia="仿宋" w:cs="仿宋"/>
                <w:color w:val="auto"/>
                <w:sz w:val="24"/>
                <w:szCs w:val="24"/>
                <w:highlight w:val="none"/>
              </w:rPr>
            </w:pPr>
          </w:p>
        </w:tc>
        <w:tc>
          <w:tcPr>
            <w:tcW w:w="900" w:type="dxa"/>
          </w:tcPr>
          <w:p w14:paraId="66EC5179">
            <w:pPr>
              <w:keepNext w:val="0"/>
              <w:keepLines w:val="0"/>
              <w:pageBreakBefore w:val="0"/>
              <w:widowControl w:val="0"/>
              <w:kinsoku/>
              <w:wordWrap/>
              <w:overflowPunct/>
              <w:topLinePunct w:val="0"/>
              <w:bidi w:val="0"/>
              <w:adjustRightInd w:val="0"/>
              <w:snapToGrid w:val="0"/>
              <w:spacing w:line="480" w:lineRule="exact"/>
              <w:textAlignment w:val="auto"/>
              <w:outlineLvl w:val="9"/>
              <w:rPr>
                <w:rFonts w:hint="eastAsia" w:ascii="仿宋" w:hAnsi="仿宋" w:eastAsia="仿宋" w:cs="仿宋"/>
                <w:color w:val="auto"/>
                <w:sz w:val="24"/>
                <w:szCs w:val="24"/>
                <w:highlight w:val="none"/>
              </w:rPr>
            </w:pPr>
          </w:p>
        </w:tc>
        <w:tc>
          <w:tcPr>
            <w:tcW w:w="1800" w:type="dxa"/>
          </w:tcPr>
          <w:p w14:paraId="0FF05589">
            <w:pPr>
              <w:keepNext w:val="0"/>
              <w:keepLines w:val="0"/>
              <w:pageBreakBefore w:val="0"/>
              <w:widowControl w:val="0"/>
              <w:kinsoku/>
              <w:wordWrap/>
              <w:overflowPunct/>
              <w:topLinePunct w:val="0"/>
              <w:bidi w:val="0"/>
              <w:adjustRightInd w:val="0"/>
              <w:snapToGrid w:val="0"/>
              <w:spacing w:line="480" w:lineRule="exact"/>
              <w:textAlignment w:val="auto"/>
              <w:outlineLvl w:val="9"/>
              <w:rPr>
                <w:rFonts w:hint="eastAsia" w:ascii="仿宋" w:hAnsi="仿宋" w:eastAsia="仿宋" w:cs="仿宋"/>
                <w:color w:val="auto"/>
                <w:sz w:val="24"/>
                <w:szCs w:val="24"/>
                <w:highlight w:val="none"/>
              </w:rPr>
            </w:pPr>
          </w:p>
        </w:tc>
      </w:tr>
      <w:tr w14:paraId="38FE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620" w:type="dxa"/>
          </w:tcPr>
          <w:p w14:paraId="388919E2">
            <w:pPr>
              <w:keepNext w:val="0"/>
              <w:keepLines w:val="0"/>
              <w:pageBreakBefore w:val="0"/>
              <w:widowControl w:val="0"/>
              <w:kinsoku/>
              <w:wordWrap/>
              <w:overflowPunct/>
              <w:topLinePunct w:val="0"/>
              <w:bidi w:val="0"/>
              <w:adjustRightInd w:val="0"/>
              <w:snapToGrid w:val="0"/>
              <w:spacing w:line="480" w:lineRule="exact"/>
              <w:textAlignment w:val="auto"/>
              <w:outlineLvl w:val="9"/>
              <w:rPr>
                <w:rFonts w:hint="eastAsia" w:ascii="仿宋" w:hAnsi="仿宋" w:eastAsia="仿宋" w:cs="仿宋"/>
                <w:color w:val="auto"/>
                <w:sz w:val="24"/>
                <w:szCs w:val="24"/>
                <w:highlight w:val="none"/>
              </w:rPr>
            </w:pPr>
          </w:p>
        </w:tc>
        <w:tc>
          <w:tcPr>
            <w:tcW w:w="1620" w:type="dxa"/>
          </w:tcPr>
          <w:p w14:paraId="4221A6EC">
            <w:pPr>
              <w:keepNext w:val="0"/>
              <w:keepLines w:val="0"/>
              <w:pageBreakBefore w:val="0"/>
              <w:widowControl w:val="0"/>
              <w:kinsoku/>
              <w:wordWrap/>
              <w:overflowPunct/>
              <w:topLinePunct w:val="0"/>
              <w:bidi w:val="0"/>
              <w:adjustRightInd w:val="0"/>
              <w:snapToGrid w:val="0"/>
              <w:spacing w:line="480" w:lineRule="exact"/>
              <w:textAlignment w:val="auto"/>
              <w:outlineLvl w:val="9"/>
              <w:rPr>
                <w:rFonts w:hint="eastAsia" w:ascii="仿宋" w:hAnsi="仿宋" w:eastAsia="仿宋" w:cs="仿宋"/>
                <w:color w:val="auto"/>
                <w:sz w:val="24"/>
                <w:szCs w:val="24"/>
                <w:highlight w:val="none"/>
              </w:rPr>
            </w:pPr>
          </w:p>
        </w:tc>
        <w:tc>
          <w:tcPr>
            <w:tcW w:w="3060" w:type="dxa"/>
          </w:tcPr>
          <w:p w14:paraId="60BE480F">
            <w:pPr>
              <w:keepNext w:val="0"/>
              <w:keepLines w:val="0"/>
              <w:pageBreakBefore w:val="0"/>
              <w:widowControl w:val="0"/>
              <w:kinsoku/>
              <w:wordWrap/>
              <w:overflowPunct/>
              <w:topLinePunct w:val="0"/>
              <w:bidi w:val="0"/>
              <w:adjustRightInd w:val="0"/>
              <w:snapToGrid w:val="0"/>
              <w:spacing w:line="480" w:lineRule="exact"/>
              <w:textAlignment w:val="auto"/>
              <w:outlineLvl w:val="9"/>
              <w:rPr>
                <w:rFonts w:hint="eastAsia" w:ascii="仿宋" w:hAnsi="仿宋" w:eastAsia="仿宋" w:cs="仿宋"/>
                <w:color w:val="auto"/>
                <w:sz w:val="24"/>
                <w:szCs w:val="24"/>
                <w:highlight w:val="none"/>
              </w:rPr>
            </w:pPr>
          </w:p>
        </w:tc>
        <w:tc>
          <w:tcPr>
            <w:tcW w:w="900" w:type="dxa"/>
          </w:tcPr>
          <w:p w14:paraId="53943C52">
            <w:pPr>
              <w:keepNext w:val="0"/>
              <w:keepLines w:val="0"/>
              <w:pageBreakBefore w:val="0"/>
              <w:widowControl w:val="0"/>
              <w:kinsoku/>
              <w:wordWrap/>
              <w:overflowPunct/>
              <w:topLinePunct w:val="0"/>
              <w:bidi w:val="0"/>
              <w:adjustRightInd w:val="0"/>
              <w:snapToGrid w:val="0"/>
              <w:spacing w:line="480" w:lineRule="exact"/>
              <w:textAlignment w:val="auto"/>
              <w:outlineLvl w:val="9"/>
              <w:rPr>
                <w:rFonts w:hint="eastAsia" w:ascii="仿宋" w:hAnsi="仿宋" w:eastAsia="仿宋" w:cs="仿宋"/>
                <w:color w:val="auto"/>
                <w:sz w:val="24"/>
                <w:szCs w:val="24"/>
                <w:highlight w:val="none"/>
              </w:rPr>
            </w:pPr>
          </w:p>
        </w:tc>
        <w:tc>
          <w:tcPr>
            <w:tcW w:w="1800" w:type="dxa"/>
          </w:tcPr>
          <w:p w14:paraId="22D91DC1">
            <w:pPr>
              <w:keepNext w:val="0"/>
              <w:keepLines w:val="0"/>
              <w:pageBreakBefore w:val="0"/>
              <w:widowControl w:val="0"/>
              <w:kinsoku/>
              <w:wordWrap/>
              <w:overflowPunct/>
              <w:topLinePunct w:val="0"/>
              <w:bidi w:val="0"/>
              <w:adjustRightInd w:val="0"/>
              <w:snapToGrid w:val="0"/>
              <w:spacing w:line="480" w:lineRule="exact"/>
              <w:textAlignment w:val="auto"/>
              <w:outlineLvl w:val="9"/>
              <w:rPr>
                <w:rFonts w:hint="eastAsia" w:ascii="仿宋" w:hAnsi="仿宋" w:eastAsia="仿宋" w:cs="仿宋"/>
                <w:color w:val="auto"/>
                <w:sz w:val="24"/>
                <w:szCs w:val="24"/>
                <w:highlight w:val="none"/>
              </w:rPr>
            </w:pPr>
          </w:p>
        </w:tc>
      </w:tr>
    </w:tbl>
    <w:p w14:paraId="40556552">
      <w:pPr>
        <w:spacing w:line="360" w:lineRule="auto"/>
        <w:outlineLvl w:val="9"/>
        <w:rPr>
          <w:rFonts w:hint="eastAsia" w:ascii="仿宋" w:hAnsi="仿宋" w:eastAsia="仿宋" w:cs="仿宋"/>
          <w:color w:val="auto"/>
          <w:sz w:val="24"/>
          <w:highlight w:val="none"/>
        </w:rPr>
      </w:pPr>
      <w:r>
        <w:rPr>
          <w:rFonts w:hint="eastAsia" w:ascii="仿宋" w:hAnsi="仿宋" w:eastAsia="仿宋" w:cs="仿宋"/>
          <w:b/>
          <w:color w:val="auto"/>
          <w:sz w:val="24"/>
          <w:highlight w:val="none"/>
        </w:rPr>
        <w:t>注：业绩须附有</w:t>
      </w:r>
      <w:r>
        <w:rPr>
          <w:rFonts w:hint="eastAsia" w:ascii="仿宋" w:hAnsi="仿宋" w:eastAsia="仿宋" w:cs="仿宋"/>
          <w:b/>
          <w:color w:val="auto"/>
          <w:sz w:val="24"/>
          <w:highlight w:val="none"/>
          <w:lang w:val="en-US" w:eastAsia="zh-CN"/>
        </w:rPr>
        <w:t>中标通知书及</w:t>
      </w:r>
      <w:r>
        <w:rPr>
          <w:rFonts w:hint="eastAsia" w:ascii="仿宋" w:hAnsi="仿宋" w:eastAsia="仿宋" w:cs="仿宋"/>
          <w:b/>
          <w:color w:val="auto"/>
          <w:sz w:val="24"/>
          <w:highlight w:val="none"/>
        </w:rPr>
        <w:t xml:space="preserve">合同复印件证明。 </w:t>
      </w:r>
    </w:p>
    <w:p w14:paraId="13011680">
      <w:pPr>
        <w:spacing w:line="480" w:lineRule="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供应商代表签字：</w:t>
      </w:r>
      <w:r>
        <w:rPr>
          <w:rFonts w:hint="eastAsia" w:ascii="仿宋" w:hAnsi="仿宋" w:eastAsia="仿宋" w:cs="仿宋"/>
          <w:b/>
          <w:color w:val="auto"/>
          <w:sz w:val="24"/>
          <w:highlight w:val="none"/>
          <w:u w:val="single"/>
        </w:rPr>
        <w:t>　　　　　　　　　　　　　　　</w:t>
      </w:r>
      <w:r>
        <w:rPr>
          <w:rFonts w:hint="eastAsia" w:ascii="仿宋" w:hAnsi="仿宋" w:eastAsia="仿宋" w:cs="仿宋"/>
          <w:b/>
          <w:color w:val="auto"/>
          <w:sz w:val="24"/>
          <w:highlight w:val="none"/>
        </w:rPr>
        <w:t>　</w:t>
      </w:r>
    </w:p>
    <w:p w14:paraId="668FCB43">
      <w:pPr>
        <w:pStyle w:val="8"/>
        <w:outlineLvl w:val="9"/>
        <w:rPr>
          <w:rFonts w:hint="eastAsia" w:ascii="仿宋" w:hAnsi="仿宋" w:eastAsia="仿宋" w:cs="仿宋"/>
          <w:color w:val="auto"/>
          <w:highlight w:val="none"/>
        </w:rPr>
      </w:pPr>
    </w:p>
    <w:p w14:paraId="4FABA34B">
      <w:pPr>
        <w:pStyle w:val="8"/>
        <w:outlineLvl w:val="9"/>
        <w:rPr>
          <w:rFonts w:hint="eastAsia" w:ascii="仿宋" w:hAnsi="仿宋" w:eastAsia="仿宋" w:cs="仿宋"/>
          <w:color w:val="auto"/>
          <w:highlight w:val="none"/>
        </w:rPr>
      </w:pPr>
    </w:p>
    <w:p w14:paraId="0EA7CF1A">
      <w:pPr>
        <w:pStyle w:val="8"/>
        <w:outlineLvl w:val="9"/>
        <w:rPr>
          <w:rFonts w:hint="eastAsia" w:ascii="仿宋" w:hAnsi="仿宋" w:eastAsia="仿宋" w:cs="仿宋"/>
          <w:color w:val="auto"/>
          <w:highlight w:val="none"/>
        </w:rPr>
      </w:pPr>
    </w:p>
    <w:p w14:paraId="0411CCC0">
      <w:pPr>
        <w:pStyle w:val="8"/>
        <w:outlineLvl w:val="9"/>
        <w:rPr>
          <w:rFonts w:hint="eastAsia" w:ascii="仿宋" w:hAnsi="仿宋" w:eastAsia="仿宋" w:cs="仿宋"/>
          <w:color w:val="auto"/>
          <w:highlight w:val="none"/>
        </w:rPr>
      </w:pPr>
    </w:p>
    <w:p w14:paraId="6990E38A">
      <w:pPr>
        <w:pStyle w:val="8"/>
        <w:outlineLvl w:val="9"/>
        <w:rPr>
          <w:rFonts w:hint="eastAsia" w:ascii="仿宋" w:hAnsi="仿宋" w:eastAsia="仿宋" w:cs="仿宋"/>
          <w:color w:val="auto"/>
          <w:highlight w:val="none"/>
        </w:rPr>
      </w:pPr>
    </w:p>
    <w:p w14:paraId="429BD4AD">
      <w:pPr>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3F5DAE30">
      <w:pPr>
        <w:spacing w:line="480" w:lineRule="auto"/>
        <w:jc w:val="center"/>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附件9、投标单位（供应商）反商业贿赂承诺书</w:t>
      </w:r>
    </w:p>
    <w:p w14:paraId="65B4C324">
      <w:pPr>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我公司承诺在（项目编号、项目名称）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6BBD8889">
      <w:pPr>
        <w:spacing w:line="360" w:lineRule="auto"/>
        <w:outlineLvl w:val="9"/>
        <w:rPr>
          <w:rFonts w:hint="eastAsia" w:ascii="仿宋" w:hAnsi="仿宋" w:eastAsia="仿宋" w:cs="仿宋"/>
          <w:bCs/>
          <w:color w:val="auto"/>
          <w:sz w:val="24"/>
          <w:highlight w:val="none"/>
        </w:rPr>
      </w:pPr>
    </w:p>
    <w:p w14:paraId="78EC32D7">
      <w:pPr>
        <w:spacing w:line="360" w:lineRule="auto"/>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公司法人代表签字：</w:t>
      </w:r>
    </w:p>
    <w:p w14:paraId="275EB0B5">
      <w:pPr>
        <w:spacing w:line="360" w:lineRule="auto"/>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法人授权代表签字：</w:t>
      </w:r>
    </w:p>
    <w:p w14:paraId="39A5862A">
      <w:pPr>
        <w:spacing w:line="360" w:lineRule="auto"/>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项目经办人签字：</w:t>
      </w:r>
    </w:p>
    <w:p w14:paraId="4C44A5C4">
      <w:pPr>
        <w:spacing w:line="360" w:lineRule="auto"/>
        <w:jc w:val="right"/>
        <w:outlineLvl w:val="9"/>
        <w:rPr>
          <w:rFonts w:hint="eastAsia" w:ascii="仿宋" w:hAnsi="仿宋" w:eastAsia="仿宋" w:cs="仿宋"/>
          <w:bCs/>
          <w:color w:val="auto"/>
          <w:sz w:val="24"/>
          <w:highlight w:val="none"/>
        </w:rPr>
      </w:pPr>
    </w:p>
    <w:p w14:paraId="11A2368D">
      <w:pPr>
        <w:spacing w:line="360" w:lineRule="auto"/>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承诺日期：  </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 xml:space="preserve">年  </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 xml:space="preserve">月  </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 xml:space="preserve"> 日</w:t>
      </w:r>
    </w:p>
    <w:p w14:paraId="62F6028A">
      <w:pPr>
        <w:pStyle w:val="8"/>
        <w:outlineLvl w:val="9"/>
        <w:rPr>
          <w:rFonts w:hint="eastAsia" w:ascii="仿宋" w:hAnsi="仿宋" w:eastAsia="仿宋" w:cs="仿宋"/>
          <w:b/>
          <w:color w:val="auto"/>
          <w:sz w:val="24"/>
          <w:highlight w:val="none"/>
        </w:rPr>
      </w:pPr>
    </w:p>
    <w:p w14:paraId="6FBC6FCF">
      <w:pPr>
        <w:pStyle w:val="8"/>
        <w:outlineLvl w:val="9"/>
        <w:rPr>
          <w:rFonts w:hint="eastAsia" w:ascii="仿宋" w:hAnsi="仿宋" w:eastAsia="仿宋" w:cs="仿宋"/>
          <w:b/>
          <w:color w:val="auto"/>
          <w:sz w:val="24"/>
          <w:highlight w:val="none"/>
        </w:rPr>
      </w:pPr>
    </w:p>
    <w:p w14:paraId="3BFCADEC">
      <w:pPr>
        <w:pStyle w:val="8"/>
        <w:outlineLvl w:val="9"/>
        <w:rPr>
          <w:rFonts w:hint="eastAsia" w:ascii="仿宋" w:hAnsi="仿宋" w:eastAsia="仿宋" w:cs="仿宋"/>
          <w:b/>
          <w:color w:val="auto"/>
          <w:sz w:val="24"/>
          <w:highlight w:val="none"/>
        </w:rPr>
      </w:pPr>
    </w:p>
    <w:p w14:paraId="55ECD13E">
      <w:pPr>
        <w:keepNext w:val="0"/>
        <w:keepLines w:val="0"/>
        <w:pageBreakBefore w:val="0"/>
        <w:widowControl w:val="0"/>
        <w:kinsoku/>
        <w:wordWrap/>
        <w:overflowPunct/>
        <w:topLinePunct w:val="0"/>
        <w:autoSpaceDE/>
        <w:autoSpaceDN/>
        <w:bidi w:val="0"/>
        <w:adjustRightInd/>
        <w:snapToGrid w:val="0"/>
        <w:spacing w:before="0" w:beforeLines="100" w:after="0" w:afterLines="100" w:line="360" w:lineRule="auto"/>
        <w:ind w:firstLine="561"/>
        <w:jc w:val="center"/>
        <w:textAlignment w:val="auto"/>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r>
        <w:rPr>
          <w:rFonts w:hint="eastAsia" w:ascii="仿宋" w:hAnsi="仿宋" w:eastAsia="仿宋" w:cs="仿宋"/>
          <w:b/>
          <w:bCs/>
          <w:color w:val="auto"/>
          <w:sz w:val="28"/>
          <w:szCs w:val="28"/>
          <w:highlight w:val="none"/>
          <w:lang w:val="en-US"/>
        </w:rPr>
        <w:t>附件10、投标承诺书</w:t>
      </w:r>
    </w:p>
    <w:p w14:paraId="50A4E0F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我方承诺接受公开招标文件及澄清修改部分（如有）的全部条款（包括响应文件递交截止时间、保证金、资格条件、评审成交标准以及采购需求等其他所有条款）且无任何异议，现向贵单位提出承诺报价。</w:t>
      </w:r>
    </w:p>
    <w:p w14:paraId="37D6990F">
      <w:pPr>
        <w:spacing w:line="480" w:lineRule="auto"/>
        <w:ind w:firstLine="480" w:firstLineChars="200"/>
        <w:outlineLvl w:val="9"/>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承诺人：</w:t>
      </w:r>
    </w:p>
    <w:p w14:paraId="417FB48D">
      <w:pPr>
        <w:spacing w:line="480" w:lineRule="auto"/>
        <w:ind w:firstLine="480" w:firstLineChars="200"/>
        <w:outlineLvl w:val="9"/>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eastAsia="zh-CN"/>
        </w:rPr>
        <w:t>供应商（</w:t>
      </w:r>
      <w:r>
        <w:rPr>
          <w:rFonts w:hint="eastAsia" w:ascii="仿宋" w:hAnsi="仿宋" w:eastAsia="仿宋" w:cs="仿宋"/>
          <w:b w:val="0"/>
          <w:bCs/>
          <w:color w:val="auto"/>
          <w:sz w:val="24"/>
          <w:highlight w:val="none"/>
          <w:lang w:val="en-US" w:eastAsia="zh-CN"/>
        </w:rPr>
        <w:t>加盖公章</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w:t>
      </w:r>
    </w:p>
    <w:p w14:paraId="593E2BF2">
      <w:pPr>
        <w:spacing w:line="480" w:lineRule="auto"/>
        <w:ind w:firstLine="480" w:firstLineChars="200"/>
        <w:outlineLvl w:val="9"/>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b w:val="0"/>
          <w:bCs/>
          <w:color w:val="auto"/>
          <w:sz w:val="24"/>
          <w:highlight w:val="none"/>
        </w:rPr>
        <w:t>年</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b w:val="0"/>
          <w:bCs/>
          <w:color w:val="auto"/>
          <w:sz w:val="24"/>
          <w:highlight w:val="none"/>
        </w:rPr>
        <w:t>月</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b w:val="0"/>
          <w:bCs/>
          <w:color w:val="auto"/>
          <w:sz w:val="24"/>
          <w:highlight w:val="none"/>
        </w:rPr>
        <w:t>日</w:t>
      </w:r>
    </w:p>
    <w:p w14:paraId="10E2DDF9">
      <w:pPr>
        <w:pStyle w:val="8"/>
        <w:outlineLvl w:val="9"/>
        <w:rPr>
          <w:rFonts w:hint="eastAsia" w:ascii="仿宋" w:hAnsi="仿宋" w:eastAsia="仿宋" w:cs="仿宋"/>
          <w:b/>
          <w:color w:val="auto"/>
          <w:sz w:val="24"/>
          <w:highlight w:val="none"/>
        </w:rPr>
      </w:pPr>
    </w:p>
    <w:p w14:paraId="2B5851D9">
      <w:pPr>
        <w:outlineLvl w:val="9"/>
        <w:rPr>
          <w:rFonts w:hint="eastAsia" w:ascii="仿宋" w:hAnsi="仿宋" w:eastAsia="仿宋" w:cs="仿宋"/>
          <w:b/>
          <w:bCs/>
          <w:color w:val="auto"/>
          <w:sz w:val="28"/>
          <w:szCs w:val="28"/>
          <w:highlight w:val="none"/>
        </w:rPr>
      </w:pPr>
    </w:p>
    <w:p w14:paraId="202B2B75">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ind w:firstLine="0" w:firstLineChars="0"/>
        <w:jc w:val="center"/>
        <w:textAlignment w:val="auto"/>
        <w:outlineLvl w:val="1"/>
        <w:rPr>
          <w:rFonts w:hint="eastAsia" w:ascii="仿宋" w:hAnsi="仿宋" w:eastAsia="仿宋" w:cs="仿宋"/>
          <w:color w:val="auto"/>
          <w:highlight w:val="none"/>
        </w:rPr>
      </w:pPr>
      <w:r>
        <w:rPr>
          <w:rFonts w:hint="eastAsia" w:ascii="仿宋" w:hAnsi="仿宋" w:eastAsia="仿宋" w:cs="仿宋"/>
          <w:b/>
          <w:bCs/>
          <w:color w:val="auto"/>
          <w:spacing w:val="-11"/>
          <w:sz w:val="28"/>
          <w:szCs w:val="28"/>
          <w:highlight w:val="none"/>
        </w:rPr>
        <w:br w:type="page"/>
      </w:r>
      <w:r>
        <w:rPr>
          <w:rFonts w:hint="eastAsia" w:ascii="仿宋" w:hAnsi="仿宋" w:eastAsia="仿宋" w:cs="仿宋"/>
          <w:b/>
          <w:bCs/>
          <w:color w:val="auto"/>
          <w:sz w:val="28"/>
          <w:szCs w:val="28"/>
          <w:highlight w:val="none"/>
          <w:lang w:val="en-US"/>
        </w:rPr>
        <w:t>附件11、投标单位（供应商）《遵守政府采购相关法律法规承诺书》</w:t>
      </w:r>
    </w:p>
    <w:p w14:paraId="4322CF1B">
      <w:pPr>
        <w:adjustRightInd w:val="0"/>
        <w:snapToGrid w:val="0"/>
        <w:spacing w:line="48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承诺在（项目编号、项目名称）采购活动中，严格遵守政府采购相关法律法规，遵循公平竞争的原则，不存在恶意串通的行为，不存在妨碍其他供应商的竞争行为，不存在损害采购人或者其他供应商的合法权益的行为。</w:t>
      </w:r>
    </w:p>
    <w:p w14:paraId="45C75378">
      <w:pPr>
        <w:adjustRightInd w:val="0"/>
        <w:snapToGrid w:val="0"/>
        <w:spacing w:line="48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如发生违反政府采购相关法律法规行为，我公司及项目参与人员自愿放弃本次项目的投标、报价资格，并承担相关法律责任。</w:t>
      </w:r>
    </w:p>
    <w:p w14:paraId="23CE40EF">
      <w:pPr>
        <w:adjustRightInd w:val="0"/>
        <w:snapToGrid w:val="0"/>
        <w:spacing w:line="480" w:lineRule="auto"/>
        <w:ind w:firstLine="480" w:firstLineChars="200"/>
        <w:outlineLvl w:val="9"/>
        <w:rPr>
          <w:rFonts w:hint="eastAsia" w:ascii="仿宋" w:hAnsi="仿宋" w:eastAsia="仿宋" w:cs="仿宋"/>
          <w:color w:val="auto"/>
          <w:sz w:val="24"/>
          <w:highlight w:val="none"/>
        </w:rPr>
      </w:pPr>
    </w:p>
    <w:p w14:paraId="251994FA">
      <w:pPr>
        <w:adjustRightInd w:val="0"/>
        <w:snapToGrid w:val="0"/>
        <w:spacing w:line="48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公司名称：（盖章） </w:t>
      </w:r>
    </w:p>
    <w:p w14:paraId="7F0CB37C">
      <w:pPr>
        <w:adjustRightInd w:val="0"/>
        <w:snapToGrid w:val="0"/>
        <w:spacing w:line="48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公司法人代表：</w:t>
      </w:r>
    </w:p>
    <w:p w14:paraId="6566BFC9">
      <w:pPr>
        <w:adjustRightInd w:val="0"/>
        <w:snapToGrid w:val="0"/>
        <w:spacing w:line="48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法人授权代表：</w:t>
      </w:r>
    </w:p>
    <w:p w14:paraId="71A0F17B">
      <w:pPr>
        <w:adjustRightInd w:val="0"/>
        <w:snapToGrid w:val="0"/>
        <w:spacing w:line="360" w:lineRule="auto"/>
        <w:outlineLvl w:val="9"/>
        <w:rPr>
          <w:rFonts w:hint="eastAsia" w:ascii="仿宋" w:hAnsi="仿宋" w:eastAsia="仿宋" w:cs="仿宋"/>
          <w:color w:val="auto"/>
          <w:highlight w:val="none"/>
        </w:rPr>
      </w:pPr>
    </w:p>
    <w:p w14:paraId="725C8303">
      <w:pPr>
        <w:pStyle w:val="8"/>
        <w:outlineLvl w:val="9"/>
        <w:rPr>
          <w:rFonts w:hint="eastAsia" w:ascii="仿宋" w:hAnsi="仿宋" w:eastAsia="仿宋" w:cs="仿宋"/>
          <w:b/>
          <w:color w:val="auto"/>
          <w:sz w:val="24"/>
          <w:highlight w:val="none"/>
        </w:rPr>
      </w:pPr>
    </w:p>
    <w:p w14:paraId="7085FF24">
      <w:pPr>
        <w:pStyle w:val="8"/>
        <w:outlineLvl w:val="9"/>
        <w:rPr>
          <w:rFonts w:hint="eastAsia" w:ascii="仿宋" w:hAnsi="仿宋" w:eastAsia="仿宋" w:cs="仿宋"/>
          <w:b/>
          <w:color w:val="auto"/>
          <w:sz w:val="24"/>
          <w:highlight w:val="none"/>
        </w:rPr>
      </w:pPr>
    </w:p>
    <w:p w14:paraId="737C022B">
      <w:pPr>
        <w:spacing w:before="55"/>
        <w:ind w:right="2656"/>
        <w:jc w:val="center"/>
        <w:outlineLvl w:val="9"/>
        <w:rPr>
          <w:rFonts w:hint="eastAsia" w:ascii="仿宋" w:hAnsi="仿宋" w:eastAsia="仿宋" w:cs="仿宋"/>
          <w:b/>
          <w:bCs/>
          <w:color w:val="auto"/>
          <w:sz w:val="28"/>
          <w:szCs w:val="28"/>
          <w:highlight w:val="none"/>
        </w:rPr>
      </w:pPr>
    </w:p>
    <w:p w14:paraId="62B69608">
      <w:pPr>
        <w:spacing w:line="360" w:lineRule="auto"/>
        <w:jc w:val="center"/>
        <w:outlineLvl w:val="1"/>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zh-CN"/>
        </w:rPr>
        <w:br w:type="page"/>
      </w:r>
      <w:r>
        <w:rPr>
          <w:rFonts w:hint="eastAsia" w:ascii="仿宋" w:hAnsi="仿宋" w:eastAsia="仿宋" w:cs="仿宋"/>
          <w:b/>
          <w:bCs/>
          <w:color w:val="auto"/>
          <w:sz w:val="28"/>
          <w:szCs w:val="28"/>
          <w:highlight w:val="none"/>
          <w:lang w:val="zh-CN"/>
        </w:rPr>
        <w:t>附件</w:t>
      </w:r>
      <w:r>
        <w:rPr>
          <w:rFonts w:hint="eastAsia" w:ascii="仿宋" w:hAnsi="仿宋" w:eastAsia="仿宋" w:cs="仿宋"/>
          <w:b/>
          <w:bCs/>
          <w:color w:val="auto"/>
          <w:sz w:val="28"/>
          <w:szCs w:val="28"/>
          <w:highlight w:val="none"/>
        </w:rPr>
        <w:t>12、中小企业声明函（如有）</w:t>
      </w:r>
    </w:p>
    <w:p w14:paraId="57DB078B">
      <w:pPr>
        <w:pStyle w:val="8"/>
        <w:keepNext w:val="0"/>
        <w:keepLines w:val="0"/>
        <w:pageBreakBefore w:val="0"/>
        <w:widowControl/>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sz w:val="24"/>
          <w:szCs w:val="24"/>
          <w:highlight w:val="none"/>
          <w:lang w:val="en-US" w:eastAsia="zh-CN"/>
        </w:rPr>
        <w:t xml:space="preserve"> </w:t>
      </w:r>
      <w:r>
        <w:rPr>
          <w:rFonts w:hint="eastAsia" w:ascii="仿宋" w:hAnsi="仿宋" w:eastAsia="仿宋" w:cs="仿宋"/>
          <w:b w:val="0"/>
          <w:bCs w:val="0"/>
          <w:color w:val="000000"/>
          <w:kern w:val="2"/>
          <w:sz w:val="24"/>
          <w:szCs w:val="24"/>
          <w:highlight w:val="none"/>
          <w:lang w:val="en-US" w:eastAsia="zh-CN" w:bidi="ar-SA"/>
        </w:rPr>
        <w:t xml:space="preserve">本公司郑重声明，根据《政府采购促进中小企业发展管理办法》（财库﹝2020﹞46 号）的规定，本公司参加 （单位名称） 的 （项目名称） 采购活动，提供的货物全部由符合政策要求的小微企业制造。相关企业（含联合体中的小微企业、签订分包意向协议的小微企业）的具体情况如下： </w:t>
      </w:r>
    </w:p>
    <w:p w14:paraId="389FA51B">
      <w:pPr>
        <w:pStyle w:val="8"/>
        <w:keepNext w:val="0"/>
        <w:keepLines w:val="0"/>
        <w:pageBreakBefore w:val="0"/>
        <w:widowControl/>
        <w:numPr>
          <w:ilvl w:val="0"/>
          <w:numId w:val="7"/>
        </w:numPr>
        <w:shd w:val="clear" w:color="auto" w:fill="auto"/>
        <w:kinsoku/>
        <w:wordWrap/>
        <w:overflowPunct/>
        <w:topLinePunct w:val="0"/>
        <w:autoSpaceDE/>
        <w:autoSpaceDN/>
        <w:bidi w:val="0"/>
        <w:adjustRightInd w:val="0"/>
        <w:snapToGrid w:val="0"/>
        <w:spacing w:line="360" w:lineRule="auto"/>
        <w:ind w:firstLine="240" w:firstLineChars="100"/>
        <w:textAlignment w:val="auto"/>
        <w:rPr>
          <w:rFonts w:hint="eastAsia" w:ascii="仿宋" w:hAnsi="仿宋" w:eastAsia="仿宋" w:cs="仿宋"/>
          <w:b w:val="0"/>
          <w:bCs w:val="0"/>
          <w:color w:val="000000"/>
          <w:kern w:val="2"/>
          <w:sz w:val="24"/>
          <w:szCs w:val="24"/>
          <w:highlight w:val="none"/>
          <w:u w:val="single"/>
          <w:lang w:val="en-US" w:eastAsia="zh-CN" w:bidi="ar-SA"/>
        </w:rPr>
      </w:pPr>
      <w:r>
        <w:rPr>
          <w:rFonts w:hint="eastAsia" w:ascii="仿宋" w:hAnsi="仿宋" w:eastAsia="仿宋" w:cs="仿宋"/>
          <w:b w:val="0"/>
          <w:bCs w:val="0"/>
          <w:color w:val="000000"/>
          <w:kern w:val="2"/>
          <w:sz w:val="24"/>
          <w:szCs w:val="24"/>
          <w:highlight w:val="none"/>
          <w:u w:val="single"/>
          <w:lang w:val="en-US" w:eastAsia="zh-CN" w:bidi="ar-SA"/>
        </w:rPr>
        <w:t xml:space="preserve">       （标的名称） </w:t>
      </w:r>
      <w:r>
        <w:rPr>
          <w:rFonts w:hint="eastAsia" w:ascii="仿宋" w:hAnsi="仿宋" w:eastAsia="仿宋" w:cs="仿宋"/>
          <w:b w:val="0"/>
          <w:bCs w:val="0"/>
          <w:color w:val="000000"/>
          <w:kern w:val="2"/>
          <w:sz w:val="24"/>
          <w:szCs w:val="24"/>
          <w:highlight w:val="none"/>
          <w:lang w:val="en-US" w:eastAsia="zh-CN" w:bidi="ar-SA"/>
        </w:rPr>
        <w:t>，属于</w:t>
      </w:r>
      <w:r>
        <w:rPr>
          <w:rFonts w:hint="eastAsia" w:ascii="仿宋" w:hAnsi="仿宋" w:eastAsia="仿宋" w:cs="仿宋"/>
          <w:b w:val="0"/>
          <w:bCs w:val="0"/>
          <w:color w:val="000000"/>
          <w:kern w:val="2"/>
          <w:sz w:val="24"/>
          <w:szCs w:val="24"/>
          <w:highlight w:val="none"/>
          <w:u w:val="single"/>
          <w:lang w:val="en-US" w:eastAsia="zh-CN" w:bidi="ar-SA"/>
        </w:rPr>
        <w:t xml:space="preserve">        </w:t>
      </w:r>
      <w:r>
        <w:rPr>
          <w:rFonts w:hint="eastAsia" w:ascii="仿宋" w:hAnsi="仿宋" w:eastAsia="仿宋" w:cs="仿宋"/>
          <w:b w:val="0"/>
          <w:bCs w:val="0"/>
          <w:color w:val="000000"/>
          <w:kern w:val="2"/>
          <w:sz w:val="24"/>
          <w:szCs w:val="24"/>
          <w:highlight w:val="none"/>
          <w:lang w:val="en-US" w:eastAsia="zh-CN" w:bidi="ar-SA"/>
        </w:rPr>
        <w:t>行业；制造商为（企业名称）</w:t>
      </w:r>
      <w:r>
        <w:rPr>
          <w:rFonts w:hint="eastAsia" w:ascii="仿宋" w:hAnsi="仿宋" w:eastAsia="仿宋" w:cs="仿宋"/>
          <w:b w:val="0"/>
          <w:bCs w:val="0"/>
          <w:color w:val="000000"/>
          <w:kern w:val="2"/>
          <w:sz w:val="24"/>
          <w:szCs w:val="24"/>
          <w:highlight w:val="none"/>
          <w:u w:val="single"/>
          <w:lang w:val="en-US" w:eastAsia="zh-CN" w:bidi="ar-SA"/>
        </w:rPr>
        <w:t xml:space="preserve">         </w:t>
      </w:r>
      <w:r>
        <w:rPr>
          <w:rFonts w:hint="eastAsia" w:ascii="仿宋" w:hAnsi="仿宋" w:eastAsia="仿宋" w:cs="仿宋"/>
          <w:b w:val="0"/>
          <w:bCs w:val="0"/>
          <w:color w:val="000000"/>
          <w:kern w:val="2"/>
          <w:sz w:val="24"/>
          <w:szCs w:val="24"/>
          <w:highlight w:val="none"/>
          <w:u w:val="none"/>
          <w:lang w:val="en-US" w:eastAsia="zh-CN" w:bidi="ar-SA"/>
        </w:rPr>
        <w:t xml:space="preserve"> ，</w:t>
      </w:r>
      <w:r>
        <w:rPr>
          <w:rFonts w:hint="eastAsia" w:ascii="仿宋" w:hAnsi="仿宋" w:eastAsia="仿宋" w:cs="仿宋"/>
          <w:b w:val="0"/>
          <w:bCs w:val="0"/>
          <w:color w:val="000000"/>
          <w:kern w:val="2"/>
          <w:sz w:val="24"/>
          <w:szCs w:val="24"/>
          <w:highlight w:val="none"/>
          <w:lang w:val="en-US" w:eastAsia="zh-CN" w:bidi="ar-SA"/>
        </w:rPr>
        <w:t>从业人员</w:t>
      </w:r>
      <w:r>
        <w:rPr>
          <w:rFonts w:hint="eastAsia" w:ascii="仿宋" w:hAnsi="仿宋" w:eastAsia="仿宋" w:cs="仿宋"/>
          <w:b w:val="0"/>
          <w:bCs w:val="0"/>
          <w:color w:val="000000"/>
          <w:kern w:val="2"/>
          <w:sz w:val="24"/>
          <w:szCs w:val="24"/>
          <w:highlight w:val="none"/>
          <w:u w:val="single"/>
          <w:lang w:val="en-US" w:eastAsia="zh-CN" w:bidi="ar-SA"/>
        </w:rPr>
        <w:t xml:space="preserve">    </w:t>
      </w:r>
      <w:r>
        <w:rPr>
          <w:rFonts w:hint="eastAsia" w:ascii="仿宋" w:hAnsi="仿宋" w:eastAsia="仿宋" w:cs="仿宋"/>
          <w:b w:val="0"/>
          <w:bCs w:val="0"/>
          <w:color w:val="000000"/>
          <w:kern w:val="2"/>
          <w:sz w:val="24"/>
          <w:szCs w:val="24"/>
          <w:highlight w:val="none"/>
          <w:lang w:val="en-US" w:eastAsia="zh-CN" w:bidi="ar-SA"/>
        </w:rPr>
        <w:t>人，营业收入为</w:t>
      </w:r>
      <w:r>
        <w:rPr>
          <w:rFonts w:hint="eastAsia" w:ascii="仿宋" w:hAnsi="仿宋" w:eastAsia="仿宋" w:cs="仿宋"/>
          <w:b w:val="0"/>
          <w:bCs w:val="0"/>
          <w:color w:val="000000"/>
          <w:kern w:val="2"/>
          <w:sz w:val="24"/>
          <w:szCs w:val="24"/>
          <w:highlight w:val="none"/>
          <w:u w:val="single"/>
          <w:lang w:val="en-US" w:eastAsia="zh-CN" w:bidi="ar-SA"/>
        </w:rPr>
        <w:t xml:space="preserve">    </w:t>
      </w:r>
      <w:r>
        <w:rPr>
          <w:rFonts w:hint="eastAsia" w:ascii="仿宋" w:hAnsi="仿宋" w:eastAsia="仿宋" w:cs="仿宋"/>
          <w:b w:val="0"/>
          <w:bCs w:val="0"/>
          <w:color w:val="000000"/>
          <w:kern w:val="2"/>
          <w:sz w:val="24"/>
          <w:szCs w:val="24"/>
          <w:highlight w:val="none"/>
          <w:lang w:val="en-US" w:eastAsia="zh-CN" w:bidi="ar-SA"/>
        </w:rPr>
        <w:t>万元，资产总额为</w:t>
      </w:r>
      <w:r>
        <w:rPr>
          <w:rFonts w:hint="eastAsia" w:ascii="仿宋" w:hAnsi="仿宋" w:eastAsia="仿宋" w:cs="仿宋"/>
          <w:b w:val="0"/>
          <w:bCs w:val="0"/>
          <w:color w:val="000000"/>
          <w:kern w:val="2"/>
          <w:sz w:val="24"/>
          <w:szCs w:val="24"/>
          <w:highlight w:val="none"/>
          <w:u w:val="single"/>
          <w:lang w:val="en-US" w:eastAsia="zh-CN" w:bidi="ar-SA"/>
        </w:rPr>
        <w:t xml:space="preserve">    </w:t>
      </w:r>
      <w:r>
        <w:rPr>
          <w:rFonts w:hint="eastAsia" w:ascii="仿宋" w:hAnsi="仿宋" w:eastAsia="仿宋" w:cs="仿宋"/>
          <w:b w:val="0"/>
          <w:bCs w:val="0"/>
          <w:color w:val="000000"/>
          <w:kern w:val="2"/>
          <w:sz w:val="24"/>
          <w:szCs w:val="24"/>
          <w:highlight w:val="none"/>
          <w:lang w:val="en-US" w:eastAsia="zh-CN" w:bidi="ar-SA"/>
        </w:rPr>
        <w:t xml:space="preserve">万元，属于（中型企业、小型企业、微型企业）； </w:t>
      </w:r>
    </w:p>
    <w:p w14:paraId="253E19C9">
      <w:pPr>
        <w:pStyle w:val="8"/>
        <w:keepNext w:val="0"/>
        <w:keepLines w:val="0"/>
        <w:pageBreakBefore w:val="0"/>
        <w:widowControl/>
        <w:numPr>
          <w:ilvl w:val="0"/>
          <w:numId w:val="7"/>
        </w:numPr>
        <w:shd w:val="clear" w:color="auto" w:fill="auto"/>
        <w:kinsoku/>
        <w:wordWrap/>
        <w:overflowPunct/>
        <w:topLinePunct w:val="0"/>
        <w:autoSpaceDE/>
        <w:autoSpaceDN/>
        <w:bidi w:val="0"/>
        <w:adjustRightInd w:val="0"/>
        <w:snapToGrid w:val="0"/>
        <w:spacing w:line="360" w:lineRule="auto"/>
        <w:ind w:firstLine="240" w:firstLineChars="100"/>
        <w:textAlignment w:val="auto"/>
        <w:rPr>
          <w:rFonts w:hint="eastAsia" w:ascii="仿宋" w:hAnsi="仿宋" w:eastAsia="仿宋" w:cs="仿宋"/>
          <w:b w:val="0"/>
          <w:bCs w:val="0"/>
          <w:color w:val="000000"/>
          <w:kern w:val="2"/>
          <w:sz w:val="24"/>
          <w:szCs w:val="24"/>
          <w:highlight w:val="none"/>
          <w:u w:val="single"/>
          <w:lang w:val="en-US" w:eastAsia="zh-CN" w:bidi="ar-SA"/>
        </w:rPr>
      </w:pPr>
      <w:r>
        <w:rPr>
          <w:rFonts w:hint="eastAsia" w:ascii="仿宋" w:hAnsi="仿宋" w:eastAsia="仿宋" w:cs="仿宋"/>
          <w:b w:val="0"/>
          <w:bCs w:val="0"/>
          <w:color w:val="000000"/>
          <w:kern w:val="2"/>
          <w:sz w:val="24"/>
          <w:szCs w:val="24"/>
          <w:highlight w:val="none"/>
          <w:u w:val="single"/>
          <w:lang w:val="en-US" w:eastAsia="zh-CN" w:bidi="ar-SA"/>
        </w:rPr>
        <w:t xml:space="preserve">       （标的名称） </w:t>
      </w:r>
      <w:r>
        <w:rPr>
          <w:rFonts w:hint="eastAsia" w:ascii="仿宋" w:hAnsi="仿宋" w:eastAsia="仿宋" w:cs="仿宋"/>
          <w:b w:val="0"/>
          <w:bCs w:val="0"/>
          <w:color w:val="000000"/>
          <w:kern w:val="2"/>
          <w:sz w:val="24"/>
          <w:szCs w:val="24"/>
          <w:highlight w:val="none"/>
          <w:lang w:val="en-US" w:eastAsia="zh-CN" w:bidi="ar-SA"/>
        </w:rPr>
        <w:t>，属于</w:t>
      </w:r>
      <w:r>
        <w:rPr>
          <w:rFonts w:hint="eastAsia" w:ascii="仿宋" w:hAnsi="仿宋" w:eastAsia="仿宋" w:cs="仿宋"/>
          <w:b w:val="0"/>
          <w:bCs w:val="0"/>
          <w:color w:val="000000"/>
          <w:kern w:val="2"/>
          <w:sz w:val="24"/>
          <w:szCs w:val="24"/>
          <w:highlight w:val="none"/>
          <w:u w:val="single"/>
          <w:lang w:val="en-US" w:eastAsia="zh-CN" w:bidi="ar-SA"/>
        </w:rPr>
        <w:t xml:space="preserve">        </w:t>
      </w:r>
      <w:r>
        <w:rPr>
          <w:rFonts w:hint="eastAsia" w:ascii="仿宋" w:hAnsi="仿宋" w:eastAsia="仿宋" w:cs="仿宋"/>
          <w:b w:val="0"/>
          <w:bCs w:val="0"/>
          <w:color w:val="000000"/>
          <w:kern w:val="2"/>
          <w:sz w:val="24"/>
          <w:szCs w:val="24"/>
          <w:highlight w:val="none"/>
          <w:lang w:val="en-US" w:eastAsia="zh-CN" w:bidi="ar-SA"/>
        </w:rPr>
        <w:t>行业；制造商为（企业名称）</w:t>
      </w:r>
      <w:r>
        <w:rPr>
          <w:rFonts w:hint="eastAsia" w:ascii="仿宋" w:hAnsi="仿宋" w:eastAsia="仿宋" w:cs="仿宋"/>
          <w:b w:val="0"/>
          <w:bCs w:val="0"/>
          <w:color w:val="000000"/>
          <w:kern w:val="2"/>
          <w:sz w:val="24"/>
          <w:szCs w:val="24"/>
          <w:highlight w:val="none"/>
          <w:u w:val="single"/>
          <w:lang w:val="en-US" w:eastAsia="zh-CN" w:bidi="ar-SA"/>
        </w:rPr>
        <w:t xml:space="preserve">         </w:t>
      </w:r>
      <w:r>
        <w:rPr>
          <w:rFonts w:hint="eastAsia" w:ascii="仿宋" w:hAnsi="仿宋" w:eastAsia="仿宋" w:cs="仿宋"/>
          <w:b w:val="0"/>
          <w:bCs w:val="0"/>
          <w:color w:val="000000"/>
          <w:kern w:val="2"/>
          <w:sz w:val="24"/>
          <w:szCs w:val="24"/>
          <w:highlight w:val="none"/>
          <w:u w:val="none"/>
          <w:lang w:val="en-US" w:eastAsia="zh-CN" w:bidi="ar-SA"/>
        </w:rPr>
        <w:t xml:space="preserve"> ，</w:t>
      </w:r>
      <w:r>
        <w:rPr>
          <w:rFonts w:hint="eastAsia" w:ascii="仿宋" w:hAnsi="仿宋" w:eastAsia="仿宋" w:cs="仿宋"/>
          <w:b w:val="0"/>
          <w:bCs w:val="0"/>
          <w:color w:val="000000"/>
          <w:kern w:val="2"/>
          <w:sz w:val="24"/>
          <w:szCs w:val="24"/>
          <w:highlight w:val="none"/>
          <w:lang w:val="en-US" w:eastAsia="zh-CN" w:bidi="ar-SA"/>
        </w:rPr>
        <w:t>从业人员</w:t>
      </w:r>
      <w:r>
        <w:rPr>
          <w:rFonts w:hint="eastAsia" w:ascii="仿宋" w:hAnsi="仿宋" w:eastAsia="仿宋" w:cs="仿宋"/>
          <w:b w:val="0"/>
          <w:bCs w:val="0"/>
          <w:color w:val="000000"/>
          <w:kern w:val="2"/>
          <w:sz w:val="24"/>
          <w:szCs w:val="24"/>
          <w:highlight w:val="none"/>
          <w:u w:val="single"/>
          <w:lang w:val="en-US" w:eastAsia="zh-CN" w:bidi="ar-SA"/>
        </w:rPr>
        <w:t xml:space="preserve">    </w:t>
      </w:r>
      <w:r>
        <w:rPr>
          <w:rFonts w:hint="eastAsia" w:ascii="仿宋" w:hAnsi="仿宋" w:eastAsia="仿宋" w:cs="仿宋"/>
          <w:b w:val="0"/>
          <w:bCs w:val="0"/>
          <w:color w:val="000000"/>
          <w:kern w:val="2"/>
          <w:sz w:val="24"/>
          <w:szCs w:val="24"/>
          <w:highlight w:val="none"/>
          <w:lang w:val="en-US" w:eastAsia="zh-CN" w:bidi="ar-SA"/>
        </w:rPr>
        <w:t>人，营业收入为</w:t>
      </w:r>
      <w:r>
        <w:rPr>
          <w:rFonts w:hint="eastAsia" w:ascii="仿宋" w:hAnsi="仿宋" w:eastAsia="仿宋" w:cs="仿宋"/>
          <w:b w:val="0"/>
          <w:bCs w:val="0"/>
          <w:color w:val="000000"/>
          <w:kern w:val="2"/>
          <w:sz w:val="24"/>
          <w:szCs w:val="24"/>
          <w:highlight w:val="none"/>
          <w:u w:val="single"/>
          <w:lang w:val="en-US" w:eastAsia="zh-CN" w:bidi="ar-SA"/>
        </w:rPr>
        <w:t xml:space="preserve">    </w:t>
      </w:r>
      <w:r>
        <w:rPr>
          <w:rFonts w:hint="eastAsia" w:ascii="仿宋" w:hAnsi="仿宋" w:eastAsia="仿宋" w:cs="仿宋"/>
          <w:b w:val="0"/>
          <w:bCs w:val="0"/>
          <w:color w:val="000000"/>
          <w:kern w:val="2"/>
          <w:sz w:val="24"/>
          <w:szCs w:val="24"/>
          <w:highlight w:val="none"/>
          <w:lang w:val="en-US" w:eastAsia="zh-CN" w:bidi="ar-SA"/>
        </w:rPr>
        <w:t>万元，资产总额为</w:t>
      </w:r>
      <w:r>
        <w:rPr>
          <w:rFonts w:hint="eastAsia" w:ascii="仿宋" w:hAnsi="仿宋" w:eastAsia="仿宋" w:cs="仿宋"/>
          <w:b w:val="0"/>
          <w:bCs w:val="0"/>
          <w:color w:val="000000"/>
          <w:kern w:val="2"/>
          <w:sz w:val="24"/>
          <w:szCs w:val="24"/>
          <w:highlight w:val="none"/>
          <w:u w:val="single"/>
          <w:lang w:val="en-US" w:eastAsia="zh-CN" w:bidi="ar-SA"/>
        </w:rPr>
        <w:t xml:space="preserve">    </w:t>
      </w:r>
      <w:r>
        <w:rPr>
          <w:rFonts w:hint="eastAsia" w:ascii="仿宋" w:hAnsi="仿宋" w:eastAsia="仿宋" w:cs="仿宋"/>
          <w:b w:val="0"/>
          <w:bCs w:val="0"/>
          <w:color w:val="000000"/>
          <w:kern w:val="2"/>
          <w:sz w:val="24"/>
          <w:szCs w:val="24"/>
          <w:highlight w:val="none"/>
          <w:lang w:val="en-US" w:eastAsia="zh-CN" w:bidi="ar-SA"/>
        </w:rPr>
        <w:t xml:space="preserve">万元，属于（中型企业、小型企业、微型企业）； </w:t>
      </w:r>
    </w:p>
    <w:p w14:paraId="404A948A">
      <w:pPr>
        <w:pStyle w:val="8"/>
        <w:keepNext w:val="0"/>
        <w:keepLines w:val="0"/>
        <w:pageBreakBefore w:val="0"/>
        <w:widowControl/>
        <w:numPr>
          <w:ilvl w:val="0"/>
          <w:numId w:val="7"/>
        </w:numPr>
        <w:shd w:val="clear" w:color="auto" w:fill="auto"/>
        <w:kinsoku/>
        <w:wordWrap/>
        <w:overflowPunct/>
        <w:topLinePunct w:val="0"/>
        <w:autoSpaceDE/>
        <w:autoSpaceDN/>
        <w:bidi w:val="0"/>
        <w:adjustRightInd w:val="0"/>
        <w:snapToGrid w:val="0"/>
        <w:spacing w:line="360" w:lineRule="auto"/>
        <w:ind w:firstLine="240" w:firstLineChars="100"/>
        <w:textAlignment w:val="auto"/>
        <w:rPr>
          <w:rFonts w:hint="eastAsia" w:ascii="仿宋" w:hAnsi="仿宋" w:eastAsia="仿宋" w:cs="仿宋"/>
          <w:b w:val="0"/>
          <w:bCs w:val="0"/>
          <w:color w:val="000000"/>
          <w:kern w:val="2"/>
          <w:sz w:val="24"/>
          <w:szCs w:val="24"/>
          <w:highlight w:val="none"/>
          <w:u w:val="single"/>
          <w:lang w:val="en-US" w:eastAsia="zh-CN" w:bidi="ar-SA"/>
        </w:rPr>
      </w:pPr>
      <w:r>
        <w:rPr>
          <w:rFonts w:hint="eastAsia" w:ascii="仿宋" w:hAnsi="仿宋" w:eastAsia="仿宋" w:cs="仿宋"/>
          <w:b w:val="0"/>
          <w:bCs w:val="0"/>
          <w:color w:val="000000"/>
          <w:kern w:val="2"/>
          <w:sz w:val="24"/>
          <w:szCs w:val="24"/>
          <w:highlight w:val="none"/>
          <w:u w:val="single"/>
          <w:lang w:val="en-US" w:eastAsia="zh-CN" w:bidi="ar-SA"/>
        </w:rPr>
        <w:t xml:space="preserve">       （标的名称） </w:t>
      </w:r>
      <w:r>
        <w:rPr>
          <w:rFonts w:hint="eastAsia" w:ascii="仿宋" w:hAnsi="仿宋" w:eastAsia="仿宋" w:cs="仿宋"/>
          <w:b w:val="0"/>
          <w:bCs w:val="0"/>
          <w:color w:val="000000"/>
          <w:kern w:val="2"/>
          <w:sz w:val="24"/>
          <w:szCs w:val="24"/>
          <w:highlight w:val="none"/>
          <w:lang w:val="en-US" w:eastAsia="zh-CN" w:bidi="ar-SA"/>
        </w:rPr>
        <w:t>，属于</w:t>
      </w:r>
      <w:r>
        <w:rPr>
          <w:rFonts w:hint="eastAsia" w:ascii="仿宋" w:hAnsi="仿宋" w:eastAsia="仿宋" w:cs="仿宋"/>
          <w:b w:val="0"/>
          <w:bCs w:val="0"/>
          <w:color w:val="000000"/>
          <w:kern w:val="2"/>
          <w:sz w:val="24"/>
          <w:szCs w:val="24"/>
          <w:highlight w:val="none"/>
          <w:u w:val="single"/>
          <w:lang w:val="en-US" w:eastAsia="zh-CN" w:bidi="ar-SA"/>
        </w:rPr>
        <w:t xml:space="preserve">        </w:t>
      </w:r>
      <w:r>
        <w:rPr>
          <w:rFonts w:hint="eastAsia" w:ascii="仿宋" w:hAnsi="仿宋" w:eastAsia="仿宋" w:cs="仿宋"/>
          <w:b w:val="0"/>
          <w:bCs w:val="0"/>
          <w:color w:val="000000"/>
          <w:kern w:val="2"/>
          <w:sz w:val="24"/>
          <w:szCs w:val="24"/>
          <w:highlight w:val="none"/>
          <w:lang w:val="en-US" w:eastAsia="zh-CN" w:bidi="ar-SA"/>
        </w:rPr>
        <w:t>行业；制造商为（企业名称）</w:t>
      </w:r>
      <w:r>
        <w:rPr>
          <w:rFonts w:hint="eastAsia" w:ascii="仿宋" w:hAnsi="仿宋" w:eastAsia="仿宋" w:cs="仿宋"/>
          <w:b w:val="0"/>
          <w:bCs w:val="0"/>
          <w:color w:val="000000"/>
          <w:kern w:val="2"/>
          <w:sz w:val="24"/>
          <w:szCs w:val="24"/>
          <w:highlight w:val="none"/>
          <w:u w:val="single"/>
          <w:lang w:val="en-US" w:eastAsia="zh-CN" w:bidi="ar-SA"/>
        </w:rPr>
        <w:t xml:space="preserve">         </w:t>
      </w:r>
      <w:r>
        <w:rPr>
          <w:rFonts w:hint="eastAsia" w:ascii="仿宋" w:hAnsi="仿宋" w:eastAsia="仿宋" w:cs="仿宋"/>
          <w:b w:val="0"/>
          <w:bCs w:val="0"/>
          <w:color w:val="000000"/>
          <w:kern w:val="2"/>
          <w:sz w:val="24"/>
          <w:szCs w:val="24"/>
          <w:highlight w:val="none"/>
          <w:u w:val="none"/>
          <w:lang w:val="en-US" w:eastAsia="zh-CN" w:bidi="ar-SA"/>
        </w:rPr>
        <w:t xml:space="preserve"> ，</w:t>
      </w:r>
      <w:r>
        <w:rPr>
          <w:rFonts w:hint="eastAsia" w:ascii="仿宋" w:hAnsi="仿宋" w:eastAsia="仿宋" w:cs="仿宋"/>
          <w:b w:val="0"/>
          <w:bCs w:val="0"/>
          <w:color w:val="000000"/>
          <w:kern w:val="2"/>
          <w:sz w:val="24"/>
          <w:szCs w:val="24"/>
          <w:highlight w:val="none"/>
          <w:lang w:val="en-US" w:eastAsia="zh-CN" w:bidi="ar-SA"/>
        </w:rPr>
        <w:t>从业人员</w:t>
      </w:r>
      <w:r>
        <w:rPr>
          <w:rFonts w:hint="eastAsia" w:ascii="仿宋" w:hAnsi="仿宋" w:eastAsia="仿宋" w:cs="仿宋"/>
          <w:b w:val="0"/>
          <w:bCs w:val="0"/>
          <w:color w:val="000000"/>
          <w:kern w:val="2"/>
          <w:sz w:val="24"/>
          <w:szCs w:val="24"/>
          <w:highlight w:val="none"/>
          <w:u w:val="single"/>
          <w:lang w:val="en-US" w:eastAsia="zh-CN" w:bidi="ar-SA"/>
        </w:rPr>
        <w:t xml:space="preserve">    </w:t>
      </w:r>
      <w:r>
        <w:rPr>
          <w:rFonts w:hint="eastAsia" w:ascii="仿宋" w:hAnsi="仿宋" w:eastAsia="仿宋" w:cs="仿宋"/>
          <w:b w:val="0"/>
          <w:bCs w:val="0"/>
          <w:color w:val="000000"/>
          <w:kern w:val="2"/>
          <w:sz w:val="24"/>
          <w:szCs w:val="24"/>
          <w:highlight w:val="none"/>
          <w:lang w:val="en-US" w:eastAsia="zh-CN" w:bidi="ar-SA"/>
        </w:rPr>
        <w:t>人，营业收入为</w:t>
      </w:r>
      <w:r>
        <w:rPr>
          <w:rFonts w:hint="eastAsia" w:ascii="仿宋" w:hAnsi="仿宋" w:eastAsia="仿宋" w:cs="仿宋"/>
          <w:b w:val="0"/>
          <w:bCs w:val="0"/>
          <w:color w:val="000000"/>
          <w:kern w:val="2"/>
          <w:sz w:val="24"/>
          <w:szCs w:val="24"/>
          <w:highlight w:val="none"/>
          <w:u w:val="single"/>
          <w:lang w:val="en-US" w:eastAsia="zh-CN" w:bidi="ar-SA"/>
        </w:rPr>
        <w:t xml:space="preserve">    </w:t>
      </w:r>
      <w:r>
        <w:rPr>
          <w:rFonts w:hint="eastAsia" w:ascii="仿宋" w:hAnsi="仿宋" w:eastAsia="仿宋" w:cs="仿宋"/>
          <w:b w:val="0"/>
          <w:bCs w:val="0"/>
          <w:color w:val="000000"/>
          <w:kern w:val="2"/>
          <w:sz w:val="24"/>
          <w:szCs w:val="24"/>
          <w:highlight w:val="none"/>
          <w:lang w:val="en-US" w:eastAsia="zh-CN" w:bidi="ar-SA"/>
        </w:rPr>
        <w:t>万元，资产总额为</w:t>
      </w:r>
      <w:r>
        <w:rPr>
          <w:rFonts w:hint="eastAsia" w:ascii="仿宋" w:hAnsi="仿宋" w:eastAsia="仿宋" w:cs="仿宋"/>
          <w:b w:val="0"/>
          <w:bCs w:val="0"/>
          <w:color w:val="000000"/>
          <w:kern w:val="2"/>
          <w:sz w:val="24"/>
          <w:szCs w:val="24"/>
          <w:highlight w:val="none"/>
          <w:u w:val="single"/>
          <w:lang w:val="en-US" w:eastAsia="zh-CN" w:bidi="ar-SA"/>
        </w:rPr>
        <w:t xml:space="preserve">    </w:t>
      </w:r>
      <w:r>
        <w:rPr>
          <w:rFonts w:hint="eastAsia" w:ascii="仿宋" w:hAnsi="仿宋" w:eastAsia="仿宋" w:cs="仿宋"/>
          <w:b w:val="0"/>
          <w:bCs w:val="0"/>
          <w:color w:val="000000"/>
          <w:kern w:val="2"/>
          <w:sz w:val="24"/>
          <w:szCs w:val="24"/>
          <w:highlight w:val="none"/>
          <w:lang w:val="en-US" w:eastAsia="zh-CN" w:bidi="ar-SA"/>
        </w:rPr>
        <w:t xml:space="preserve">万元，属于（中型企业、小型企业、微型企业）； </w:t>
      </w:r>
    </w:p>
    <w:p w14:paraId="434E76E3">
      <w:pPr>
        <w:pStyle w:val="8"/>
        <w:keepNext w:val="0"/>
        <w:keepLines w:val="0"/>
        <w:pageBreakBefore w:val="0"/>
        <w:widowControl/>
        <w:numPr>
          <w:ilvl w:val="0"/>
          <w:numId w:val="7"/>
        </w:numPr>
        <w:shd w:val="clear" w:color="auto" w:fill="auto"/>
        <w:kinsoku/>
        <w:wordWrap/>
        <w:overflowPunct/>
        <w:topLinePunct w:val="0"/>
        <w:autoSpaceDE/>
        <w:autoSpaceDN/>
        <w:bidi w:val="0"/>
        <w:adjustRightInd w:val="0"/>
        <w:snapToGrid w:val="0"/>
        <w:spacing w:line="360" w:lineRule="auto"/>
        <w:ind w:firstLine="240" w:firstLineChars="100"/>
        <w:textAlignment w:val="auto"/>
        <w:rPr>
          <w:rFonts w:hint="eastAsia" w:ascii="仿宋" w:hAnsi="仿宋" w:eastAsia="仿宋" w:cs="仿宋"/>
          <w:b w:val="0"/>
          <w:bCs w:val="0"/>
          <w:color w:val="000000"/>
          <w:kern w:val="2"/>
          <w:sz w:val="24"/>
          <w:szCs w:val="24"/>
          <w:highlight w:val="none"/>
          <w:u w:val="single"/>
          <w:lang w:val="en-US" w:eastAsia="zh-CN" w:bidi="ar-SA"/>
        </w:rPr>
      </w:pPr>
      <w:r>
        <w:rPr>
          <w:rFonts w:hint="eastAsia" w:ascii="仿宋" w:hAnsi="仿宋" w:eastAsia="仿宋" w:cs="仿宋"/>
          <w:b w:val="0"/>
          <w:bCs w:val="0"/>
          <w:color w:val="000000"/>
          <w:kern w:val="2"/>
          <w:sz w:val="24"/>
          <w:szCs w:val="24"/>
          <w:highlight w:val="none"/>
          <w:u w:val="single"/>
          <w:lang w:val="en-US" w:eastAsia="zh-CN" w:bidi="ar-SA"/>
        </w:rPr>
        <w:t xml:space="preserve">       （标的名称） </w:t>
      </w:r>
      <w:r>
        <w:rPr>
          <w:rFonts w:hint="eastAsia" w:ascii="仿宋" w:hAnsi="仿宋" w:eastAsia="仿宋" w:cs="仿宋"/>
          <w:b w:val="0"/>
          <w:bCs w:val="0"/>
          <w:color w:val="000000"/>
          <w:kern w:val="2"/>
          <w:sz w:val="24"/>
          <w:szCs w:val="24"/>
          <w:highlight w:val="none"/>
          <w:lang w:val="en-US" w:eastAsia="zh-CN" w:bidi="ar-SA"/>
        </w:rPr>
        <w:t>，属于</w:t>
      </w:r>
      <w:r>
        <w:rPr>
          <w:rFonts w:hint="eastAsia" w:ascii="仿宋" w:hAnsi="仿宋" w:eastAsia="仿宋" w:cs="仿宋"/>
          <w:b w:val="0"/>
          <w:bCs w:val="0"/>
          <w:color w:val="000000"/>
          <w:kern w:val="2"/>
          <w:sz w:val="24"/>
          <w:szCs w:val="24"/>
          <w:highlight w:val="none"/>
          <w:u w:val="single"/>
          <w:lang w:val="en-US" w:eastAsia="zh-CN" w:bidi="ar-SA"/>
        </w:rPr>
        <w:t xml:space="preserve">        </w:t>
      </w:r>
      <w:r>
        <w:rPr>
          <w:rFonts w:hint="eastAsia" w:ascii="仿宋" w:hAnsi="仿宋" w:eastAsia="仿宋" w:cs="仿宋"/>
          <w:b w:val="0"/>
          <w:bCs w:val="0"/>
          <w:color w:val="000000"/>
          <w:kern w:val="2"/>
          <w:sz w:val="24"/>
          <w:szCs w:val="24"/>
          <w:highlight w:val="none"/>
          <w:lang w:val="en-US" w:eastAsia="zh-CN" w:bidi="ar-SA"/>
        </w:rPr>
        <w:t>行业；制造商为（企业名称）</w:t>
      </w:r>
      <w:r>
        <w:rPr>
          <w:rFonts w:hint="eastAsia" w:ascii="仿宋" w:hAnsi="仿宋" w:eastAsia="仿宋" w:cs="仿宋"/>
          <w:b w:val="0"/>
          <w:bCs w:val="0"/>
          <w:color w:val="000000"/>
          <w:kern w:val="2"/>
          <w:sz w:val="24"/>
          <w:szCs w:val="24"/>
          <w:highlight w:val="none"/>
          <w:u w:val="single"/>
          <w:lang w:val="en-US" w:eastAsia="zh-CN" w:bidi="ar-SA"/>
        </w:rPr>
        <w:t xml:space="preserve">         </w:t>
      </w:r>
      <w:r>
        <w:rPr>
          <w:rFonts w:hint="eastAsia" w:ascii="仿宋" w:hAnsi="仿宋" w:eastAsia="仿宋" w:cs="仿宋"/>
          <w:b w:val="0"/>
          <w:bCs w:val="0"/>
          <w:color w:val="000000"/>
          <w:kern w:val="2"/>
          <w:sz w:val="24"/>
          <w:szCs w:val="24"/>
          <w:highlight w:val="none"/>
          <w:u w:val="none"/>
          <w:lang w:val="en-US" w:eastAsia="zh-CN" w:bidi="ar-SA"/>
        </w:rPr>
        <w:t xml:space="preserve"> ，</w:t>
      </w:r>
      <w:r>
        <w:rPr>
          <w:rFonts w:hint="eastAsia" w:ascii="仿宋" w:hAnsi="仿宋" w:eastAsia="仿宋" w:cs="仿宋"/>
          <w:b w:val="0"/>
          <w:bCs w:val="0"/>
          <w:color w:val="000000"/>
          <w:kern w:val="2"/>
          <w:sz w:val="24"/>
          <w:szCs w:val="24"/>
          <w:highlight w:val="none"/>
          <w:lang w:val="en-US" w:eastAsia="zh-CN" w:bidi="ar-SA"/>
        </w:rPr>
        <w:t>从业人员</w:t>
      </w:r>
      <w:r>
        <w:rPr>
          <w:rFonts w:hint="eastAsia" w:ascii="仿宋" w:hAnsi="仿宋" w:eastAsia="仿宋" w:cs="仿宋"/>
          <w:b w:val="0"/>
          <w:bCs w:val="0"/>
          <w:color w:val="000000"/>
          <w:kern w:val="2"/>
          <w:sz w:val="24"/>
          <w:szCs w:val="24"/>
          <w:highlight w:val="none"/>
          <w:u w:val="single"/>
          <w:lang w:val="en-US" w:eastAsia="zh-CN" w:bidi="ar-SA"/>
        </w:rPr>
        <w:t xml:space="preserve">    </w:t>
      </w:r>
      <w:r>
        <w:rPr>
          <w:rFonts w:hint="eastAsia" w:ascii="仿宋" w:hAnsi="仿宋" w:eastAsia="仿宋" w:cs="仿宋"/>
          <w:b w:val="0"/>
          <w:bCs w:val="0"/>
          <w:color w:val="000000"/>
          <w:kern w:val="2"/>
          <w:sz w:val="24"/>
          <w:szCs w:val="24"/>
          <w:highlight w:val="none"/>
          <w:lang w:val="en-US" w:eastAsia="zh-CN" w:bidi="ar-SA"/>
        </w:rPr>
        <w:t>人，营业收入为</w:t>
      </w:r>
      <w:r>
        <w:rPr>
          <w:rFonts w:hint="eastAsia" w:ascii="仿宋" w:hAnsi="仿宋" w:eastAsia="仿宋" w:cs="仿宋"/>
          <w:b w:val="0"/>
          <w:bCs w:val="0"/>
          <w:color w:val="000000"/>
          <w:kern w:val="2"/>
          <w:sz w:val="24"/>
          <w:szCs w:val="24"/>
          <w:highlight w:val="none"/>
          <w:u w:val="single"/>
          <w:lang w:val="en-US" w:eastAsia="zh-CN" w:bidi="ar-SA"/>
        </w:rPr>
        <w:t xml:space="preserve">    </w:t>
      </w:r>
      <w:r>
        <w:rPr>
          <w:rFonts w:hint="eastAsia" w:ascii="仿宋" w:hAnsi="仿宋" w:eastAsia="仿宋" w:cs="仿宋"/>
          <w:b w:val="0"/>
          <w:bCs w:val="0"/>
          <w:color w:val="000000"/>
          <w:kern w:val="2"/>
          <w:sz w:val="24"/>
          <w:szCs w:val="24"/>
          <w:highlight w:val="none"/>
          <w:lang w:val="en-US" w:eastAsia="zh-CN" w:bidi="ar-SA"/>
        </w:rPr>
        <w:t>万元，资产总额为</w:t>
      </w:r>
      <w:r>
        <w:rPr>
          <w:rFonts w:hint="eastAsia" w:ascii="仿宋" w:hAnsi="仿宋" w:eastAsia="仿宋" w:cs="仿宋"/>
          <w:b w:val="0"/>
          <w:bCs w:val="0"/>
          <w:color w:val="000000"/>
          <w:kern w:val="2"/>
          <w:sz w:val="24"/>
          <w:szCs w:val="24"/>
          <w:highlight w:val="none"/>
          <w:u w:val="single"/>
          <w:lang w:val="en-US" w:eastAsia="zh-CN" w:bidi="ar-SA"/>
        </w:rPr>
        <w:t xml:space="preserve">    </w:t>
      </w:r>
      <w:r>
        <w:rPr>
          <w:rFonts w:hint="eastAsia" w:ascii="仿宋" w:hAnsi="仿宋" w:eastAsia="仿宋" w:cs="仿宋"/>
          <w:b w:val="0"/>
          <w:bCs w:val="0"/>
          <w:color w:val="000000"/>
          <w:kern w:val="2"/>
          <w:sz w:val="24"/>
          <w:szCs w:val="24"/>
          <w:highlight w:val="none"/>
          <w:lang w:val="en-US" w:eastAsia="zh-CN" w:bidi="ar-SA"/>
        </w:rPr>
        <w:t xml:space="preserve">万元，属于（中型企业、小型企业、微型企业）； </w:t>
      </w:r>
    </w:p>
    <w:p w14:paraId="1A9FBFA2">
      <w:pPr>
        <w:pStyle w:val="8"/>
        <w:keepNext w:val="0"/>
        <w:keepLines w:val="0"/>
        <w:pageBreakBefore w:val="0"/>
        <w:widowControl/>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以上企业，不属于大企业的分支机构，不存在控股股东为大企业的情形，也不存在与大企业的负责人为同一人的情形。</w:t>
      </w:r>
    </w:p>
    <w:p w14:paraId="57BEC6A2">
      <w:pPr>
        <w:pStyle w:val="8"/>
        <w:keepNext w:val="0"/>
        <w:keepLines w:val="0"/>
        <w:pageBreakBefore w:val="0"/>
        <w:widowControl/>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 xml:space="preserve">本企业对上述声明内容的真实性负责。如有虚假，将依法承担相应责任。 </w:t>
      </w:r>
    </w:p>
    <w:p w14:paraId="548E6558">
      <w:pPr>
        <w:pStyle w:val="8"/>
        <w:keepNext w:val="0"/>
        <w:keepLines w:val="0"/>
        <w:pageBreakBefore w:val="0"/>
        <w:widowControl/>
        <w:shd w:val="clear" w:color="auto" w:fill="auto"/>
        <w:kinsoku/>
        <w:wordWrap/>
        <w:overflowPunct/>
        <w:topLinePunct w:val="0"/>
        <w:autoSpaceDE/>
        <w:autoSpaceDN/>
        <w:bidi w:val="0"/>
        <w:adjustRightInd w:val="0"/>
        <w:snapToGrid w:val="0"/>
        <w:spacing w:line="360" w:lineRule="auto"/>
        <w:ind w:firstLine="5040" w:firstLineChars="210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 xml:space="preserve">企业名称（盖章）： </w:t>
      </w:r>
    </w:p>
    <w:p w14:paraId="492D6C09">
      <w:pPr>
        <w:pStyle w:val="8"/>
        <w:keepNext w:val="0"/>
        <w:keepLines w:val="0"/>
        <w:pageBreakBefore w:val="0"/>
        <w:widowControl/>
        <w:shd w:val="clear" w:color="auto" w:fill="auto"/>
        <w:kinsoku/>
        <w:wordWrap/>
        <w:overflowPunct/>
        <w:topLinePunct w:val="0"/>
        <w:autoSpaceDE/>
        <w:autoSpaceDN/>
        <w:bidi w:val="0"/>
        <w:adjustRightInd w:val="0"/>
        <w:snapToGrid w:val="0"/>
        <w:spacing w:line="360" w:lineRule="auto"/>
        <w:ind w:firstLine="5280" w:firstLineChars="220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 xml:space="preserve">日  期： </w:t>
      </w:r>
    </w:p>
    <w:p w14:paraId="1376EAB4">
      <w:pPr>
        <w:outlineLvl w:val="9"/>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GB"/>
        </w:rPr>
        <w:t>说明:</w:t>
      </w:r>
    </w:p>
    <w:p w14:paraId="0C4698A6">
      <w:pPr>
        <w:numPr>
          <w:ilvl w:val="0"/>
          <w:numId w:val="8"/>
        </w:numPr>
        <w:outlineLvl w:val="9"/>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GB"/>
        </w:rPr>
        <w:t>响应供应商认为其为中小企业的应提交本函，并明确企业类型，否则评审时不能享受相应的价格扣除。</w:t>
      </w:r>
    </w:p>
    <w:p w14:paraId="18CF7950">
      <w:pPr>
        <w:numPr>
          <w:ilvl w:val="0"/>
          <w:numId w:val="8"/>
        </w:numPr>
        <w:ind w:left="0" w:leftChars="0" w:firstLine="0" w:firstLineChars="0"/>
        <w:outlineLvl w:val="9"/>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GB"/>
        </w:rPr>
        <w:t>响应供应商提供其他小型或微型企业提供服务时，应同时提供《中小企业声明函》，否则评审时不能享受相应的价格扣除。</w:t>
      </w:r>
    </w:p>
    <w:p w14:paraId="15C5A301">
      <w:pPr>
        <w:numPr>
          <w:ilvl w:val="0"/>
          <w:numId w:val="9"/>
        </w:numPr>
        <w:ind w:leftChars="0"/>
        <w:outlineLvl w:val="9"/>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GB"/>
        </w:rPr>
        <w:t>采购项目包含多种标的物的，货物制造商的相关信息应全部列入《中小企业声明函》，并由 投标人出具并加盖投标人公章。</w:t>
      </w:r>
    </w:p>
    <w:p w14:paraId="13B9EE7C">
      <w:pPr>
        <w:numPr>
          <w:ilvl w:val="0"/>
          <w:numId w:val="9"/>
        </w:numPr>
        <w:ind w:left="0" w:leftChars="0" w:firstLine="0" w:firstLineChars="0"/>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GB"/>
        </w:rPr>
        <w:t>若投标人所供货物不是由中小企业制造，请勿提交《中小企业声明函》。</w:t>
      </w:r>
    </w:p>
    <w:p w14:paraId="2D15BEE9">
      <w:pPr>
        <w:numPr>
          <w:ilvl w:val="0"/>
          <w:numId w:val="0"/>
        </w:numPr>
        <w:ind w:leftChars="0"/>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GB"/>
        </w:rPr>
        <w:t>5.此声明函将随中标结果同时公告，接受社会监督。</w:t>
      </w:r>
    </w:p>
    <w:p w14:paraId="3AD4B87A">
      <w:pPr>
        <w:outlineLvl w:val="9"/>
        <w:rPr>
          <w:rFonts w:hint="eastAsia" w:ascii="仿宋" w:hAnsi="仿宋" w:eastAsia="仿宋" w:cs="仿宋"/>
          <w:color w:val="auto"/>
          <w:highlight w:val="none"/>
        </w:rPr>
      </w:pPr>
    </w:p>
    <w:p w14:paraId="0F281008">
      <w:pPr>
        <w:pStyle w:val="8"/>
        <w:outlineLvl w:val="9"/>
        <w:rPr>
          <w:rFonts w:hint="eastAsia" w:ascii="仿宋" w:hAnsi="仿宋" w:eastAsia="仿宋" w:cs="仿宋"/>
          <w:color w:val="auto"/>
          <w:highlight w:val="none"/>
        </w:rPr>
      </w:pPr>
    </w:p>
    <w:p w14:paraId="3E642490">
      <w:pPr>
        <w:rPr>
          <w:rFonts w:hint="eastAsia" w:ascii="仿宋" w:hAnsi="仿宋" w:eastAsia="仿宋" w:cs="仿宋"/>
          <w:b/>
          <w:bCs/>
          <w:color w:val="auto"/>
          <w:sz w:val="32"/>
          <w:szCs w:val="40"/>
          <w:highlight w:val="none"/>
        </w:rPr>
      </w:pPr>
      <w:bookmarkStart w:id="5" w:name="监狱企业的证明文件（如有）"/>
      <w:bookmarkEnd w:id="5"/>
      <w:bookmarkStart w:id="6" w:name="_Toc14160"/>
      <w:r>
        <w:rPr>
          <w:rFonts w:hint="eastAsia" w:ascii="仿宋" w:hAnsi="仿宋" w:eastAsia="仿宋" w:cs="仿宋"/>
          <w:b/>
          <w:bCs/>
          <w:color w:val="auto"/>
          <w:sz w:val="32"/>
          <w:szCs w:val="40"/>
          <w:highlight w:val="none"/>
        </w:rPr>
        <w:br w:type="page"/>
      </w:r>
    </w:p>
    <w:p w14:paraId="2B30479D">
      <w:pPr>
        <w:jc w:val="center"/>
        <w:outlineLvl w:val="9"/>
        <w:rPr>
          <w:rFonts w:hint="eastAsia" w:ascii="仿宋" w:hAnsi="仿宋" w:eastAsia="仿宋" w:cs="仿宋"/>
          <w:color w:val="auto"/>
          <w:sz w:val="32"/>
          <w:szCs w:val="40"/>
          <w:highlight w:val="none"/>
        </w:rPr>
      </w:pPr>
      <w:r>
        <w:rPr>
          <w:rFonts w:hint="eastAsia" w:ascii="仿宋" w:hAnsi="仿宋" w:eastAsia="仿宋" w:cs="仿宋"/>
          <w:b/>
          <w:bCs/>
          <w:color w:val="auto"/>
          <w:sz w:val="32"/>
          <w:szCs w:val="40"/>
          <w:highlight w:val="none"/>
        </w:rPr>
        <w:t>监狱企业的证明文件（如有</w:t>
      </w:r>
      <w:r>
        <w:rPr>
          <w:rFonts w:hint="eastAsia" w:ascii="仿宋" w:hAnsi="仿宋" w:eastAsia="仿宋" w:cs="仿宋"/>
          <w:color w:val="auto"/>
          <w:sz w:val="32"/>
          <w:szCs w:val="40"/>
          <w:highlight w:val="none"/>
        </w:rPr>
        <w:t>）</w:t>
      </w:r>
      <w:bookmarkEnd w:id="6"/>
    </w:p>
    <w:p w14:paraId="39F7A335">
      <w:pPr>
        <w:outlineLvl w:val="9"/>
        <w:rPr>
          <w:rFonts w:hint="eastAsia" w:ascii="仿宋" w:hAnsi="仿宋" w:eastAsia="仿宋" w:cs="仿宋"/>
          <w:color w:val="auto"/>
          <w:highlight w:val="none"/>
        </w:rPr>
      </w:pPr>
    </w:p>
    <w:p w14:paraId="331EC9EF">
      <w:pPr>
        <w:ind w:firstLine="480" w:firstLineChars="200"/>
        <w:outlineLvl w:val="9"/>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说明：监狱企业参加政府采购活动时，应当提供由省级以上监狱管理局、戒毒管理局（含新疆生产建设兵团）出具的属于监狱企业的证明文件，并加盖响应供应商单位公章。</w:t>
      </w:r>
    </w:p>
    <w:p w14:paraId="60FC179B">
      <w:pPr>
        <w:pStyle w:val="8"/>
        <w:outlineLvl w:val="9"/>
        <w:rPr>
          <w:rFonts w:hint="eastAsia" w:ascii="仿宋" w:hAnsi="仿宋" w:eastAsia="仿宋" w:cs="仿宋"/>
          <w:color w:val="auto"/>
          <w:highlight w:val="none"/>
        </w:rPr>
      </w:pPr>
      <w:bookmarkStart w:id="7" w:name="残疾人福利性单位声明函（如有）"/>
      <w:bookmarkEnd w:id="7"/>
      <w:bookmarkStart w:id="8" w:name="_Toc25968"/>
    </w:p>
    <w:p w14:paraId="123A1615">
      <w:pPr>
        <w:pStyle w:val="8"/>
        <w:outlineLvl w:val="9"/>
        <w:rPr>
          <w:rFonts w:hint="eastAsia" w:ascii="仿宋" w:hAnsi="仿宋" w:eastAsia="仿宋" w:cs="仿宋"/>
          <w:color w:val="auto"/>
          <w:highlight w:val="none"/>
        </w:rPr>
      </w:pPr>
    </w:p>
    <w:p w14:paraId="51AA982B">
      <w:pPr>
        <w:pStyle w:val="8"/>
        <w:outlineLvl w:val="9"/>
        <w:rPr>
          <w:rFonts w:hint="eastAsia" w:ascii="仿宋" w:hAnsi="仿宋" w:eastAsia="仿宋" w:cs="仿宋"/>
          <w:color w:val="auto"/>
          <w:highlight w:val="none"/>
        </w:rPr>
      </w:pPr>
    </w:p>
    <w:p w14:paraId="6E0A5B8E">
      <w:pPr>
        <w:jc w:val="center"/>
        <w:outlineLvl w:val="9"/>
        <w:rPr>
          <w:rFonts w:hint="eastAsia" w:ascii="仿宋" w:hAnsi="仿宋" w:eastAsia="仿宋" w:cs="仿宋"/>
          <w:b/>
          <w:bCs/>
          <w:color w:val="auto"/>
          <w:sz w:val="32"/>
          <w:szCs w:val="40"/>
          <w:highlight w:val="none"/>
        </w:rPr>
      </w:pPr>
    </w:p>
    <w:p w14:paraId="2D086CBC">
      <w:pPr>
        <w:jc w:val="center"/>
        <w:outlineLvl w:val="9"/>
        <w:rPr>
          <w:rFonts w:hint="eastAsia" w:ascii="仿宋" w:hAnsi="仿宋" w:eastAsia="仿宋" w:cs="仿宋"/>
          <w:b/>
          <w:bCs/>
          <w:color w:val="auto"/>
          <w:sz w:val="32"/>
          <w:szCs w:val="40"/>
          <w:highlight w:val="none"/>
        </w:rPr>
      </w:pPr>
    </w:p>
    <w:p w14:paraId="01D485E9">
      <w:pPr>
        <w:jc w:val="center"/>
        <w:outlineLvl w:val="9"/>
        <w:rPr>
          <w:rFonts w:hint="eastAsia" w:ascii="仿宋" w:hAnsi="仿宋" w:eastAsia="仿宋" w:cs="仿宋"/>
          <w:b/>
          <w:bCs/>
          <w:color w:val="auto"/>
          <w:sz w:val="32"/>
          <w:szCs w:val="40"/>
          <w:highlight w:val="none"/>
        </w:rPr>
      </w:pPr>
    </w:p>
    <w:p w14:paraId="7B276D2F">
      <w:pPr>
        <w:jc w:val="center"/>
        <w:outlineLvl w:val="9"/>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rPr>
        <w:t>残疾人福利性单位声明函（如有）</w:t>
      </w:r>
      <w:bookmarkEnd w:id="8"/>
    </w:p>
    <w:p w14:paraId="773A317F">
      <w:pPr>
        <w:outlineLvl w:val="9"/>
        <w:rPr>
          <w:rFonts w:hint="eastAsia" w:ascii="仿宋" w:hAnsi="仿宋" w:eastAsia="仿宋" w:cs="仿宋"/>
          <w:color w:val="auto"/>
          <w:highlight w:val="none"/>
        </w:rPr>
      </w:pPr>
    </w:p>
    <w:p w14:paraId="58F86242">
      <w:pPr>
        <w:ind w:firstLine="536" w:firstLineChars="200"/>
        <w:outlineLvl w:val="9"/>
        <w:rPr>
          <w:rFonts w:hint="eastAsia" w:ascii="仿宋" w:hAnsi="仿宋" w:eastAsia="仿宋" w:cs="仿宋"/>
          <w:color w:val="auto"/>
          <w:sz w:val="24"/>
          <w:szCs w:val="32"/>
          <w:highlight w:val="none"/>
        </w:rPr>
      </w:pPr>
      <w:r>
        <w:rPr>
          <w:rFonts w:hint="eastAsia" w:ascii="仿宋" w:hAnsi="仿宋" w:eastAsia="仿宋" w:cs="仿宋"/>
          <w:color w:val="auto"/>
          <w:spacing w:val="14"/>
          <w:sz w:val="24"/>
          <w:szCs w:val="32"/>
          <w:highlight w:val="none"/>
        </w:rPr>
        <w:t>本</w:t>
      </w:r>
      <w:r>
        <w:rPr>
          <w:rFonts w:hint="eastAsia" w:ascii="仿宋" w:hAnsi="仿宋" w:eastAsia="仿宋" w:cs="仿宋"/>
          <w:color w:val="auto"/>
          <w:spacing w:val="12"/>
          <w:sz w:val="24"/>
          <w:szCs w:val="32"/>
          <w:highlight w:val="none"/>
        </w:rPr>
        <w:t>单</w:t>
      </w:r>
      <w:r>
        <w:rPr>
          <w:rFonts w:hint="eastAsia" w:ascii="仿宋" w:hAnsi="仿宋" w:eastAsia="仿宋" w:cs="仿宋"/>
          <w:color w:val="auto"/>
          <w:spacing w:val="14"/>
          <w:sz w:val="24"/>
          <w:szCs w:val="32"/>
          <w:highlight w:val="none"/>
        </w:rPr>
        <w:t>位</w:t>
      </w:r>
      <w:r>
        <w:rPr>
          <w:rFonts w:hint="eastAsia" w:ascii="仿宋" w:hAnsi="仿宋" w:eastAsia="仿宋" w:cs="仿宋"/>
          <w:color w:val="auto"/>
          <w:spacing w:val="12"/>
          <w:sz w:val="24"/>
          <w:szCs w:val="32"/>
          <w:highlight w:val="none"/>
        </w:rPr>
        <w:t>郑</w:t>
      </w:r>
      <w:r>
        <w:rPr>
          <w:rFonts w:hint="eastAsia" w:ascii="仿宋" w:hAnsi="仿宋" w:eastAsia="仿宋" w:cs="仿宋"/>
          <w:color w:val="auto"/>
          <w:spacing w:val="14"/>
          <w:sz w:val="24"/>
          <w:szCs w:val="32"/>
          <w:highlight w:val="none"/>
        </w:rPr>
        <w:t>重</w:t>
      </w:r>
      <w:r>
        <w:rPr>
          <w:rFonts w:hint="eastAsia" w:ascii="仿宋" w:hAnsi="仿宋" w:eastAsia="仿宋" w:cs="仿宋"/>
          <w:color w:val="auto"/>
          <w:spacing w:val="12"/>
          <w:sz w:val="24"/>
          <w:szCs w:val="32"/>
          <w:highlight w:val="none"/>
        </w:rPr>
        <w:t>声</w:t>
      </w:r>
      <w:r>
        <w:rPr>
          <w:rFonts w:hint="eastAsia" w:ascii="仿宋" w:hAnsi="仿宋" w:eastAsia="仿宋" w:cs="仿宋"/>
          <w:color w:val="auto"/>
          <w:spacing w:val="14"/>
          <w:sz w:val="24"/>
          <w:szCs w:val="32"/>
          <w:highlight w:val="none"/>
        </w:rPr>
        <w:t>明，</w:t>
      </w:r>
      <w:r>
        <w:rPr>
          <w:rFonts w:hint="eastAsia" w:ascii="仿宋" w:hAnsi="仿宋" w:eastAsia="仿宋" w:cs="仿宋"/>
          <w:color w:val="auto"/>
          <w:spacing w:val="12"/>
          <w:sz w:val="24"/>
          <w:szCs w:val="32"/>
          <w:highlight w:val="none"/>
        </w:rPr>
        <w:t>根</w:t>
      </w:r>
      <w:r>
        <w:rPr>
          <w:rFonts w:hint="eastAsia" w:ascii="仿宋" w:hAnsi="仿宋" w:eastAsia="仿宋" w:cs="仿宋"/>
          <w:color w:val="auto"/>
          <w:spacing w:val="14"/>
          <w:sz w:val="24"/>
          <w:szCs w:val="32"/>
          <w:highlight w:val="none"/>
        </w:rPr>
        <w:t>据</w:t>
      </w:r>
      <w:r>
        <w:rPr>
          <w:rFonts w:hint="eastAsia" w:ascii="仿宋" w:hAnsi="仿宋" w:eastAsia="仿宋" w:cs="仿宋"/>
          <w:color w:val="auto"/>
          <w:spacing w:val="12"/>
          <w:sz w:val="24"/>
          <w:szCs w:val="32"/>
          <w:highlight w:val="none"/>
        </w:rPr>
        <w:t>《</w:t>
      </w:r>
      <w:r>
        <w:rPr>
          <w:rFonts w:hint="eastAsia" w:ascii="仿宋" w:hAnsi="仿宋" w:eastAsia="仿宋" w:cs="仿宋"/>
          <w:color w:val="auto"/>
          <w:spacing w:val="14"/>
          <w:sz w:val="24"/>
          <w:szCs w:val="32"/>
          <w:highlight w:val="none"/>
        </w:rPr>
        <w:t>财政</w:t>
      </w:r>
      <w:r>
        <w:rPr>
          <w:rFonts w:hint="eastAsia" w:ascii="仿宋" w:hAnsi="仿宋" w:eastAsia="仿宋" w:cs="仿宋"/>
          <w:color w:val="auto"/>
          <w:sz w:val="24"/>
          <w:szCs w:val="32"/>
          <w:highlight w:val="none"/>
        </w:rPr>
        <w:t>部</w:t>
      </w:r>
      <w:r>
        <w:rPr>
          <w:rFonts w:hint="eastAsia" w:ascii="仿宋" w:hAnsi="仿宋" w:eastAsia="仿宋" w:cs="仿宋"/>
          <w:color w:val="auto"/>
          <w:spacing w:val="14"/>
          <w:sz w:val="24"/>
          <w:szCs w:val="32"/>
          <w:highlight w:val="none"/>
        </w:rPr>
        <w:t>民</w:t>
      </w:r>
      <w:r>
        <w:rPr>
          <w:rFonts w:hint="eastAsia" w:ascii="仿宋" w:hAnsi="仿宋" w:eastAsia="仿宋" w:cs="仿宋"/>
          <w:color w:val="auto"/>
          <w:spacing w:val="12"/>
          <w:sz w:val="24"/>
          <w:szCs w:val="32"/>
          <w:highlight w:val="none"/>
        </w:rPr>
        <w:t>政</w:t>
      </w:r>
      <w:r>
        <w:rPr>
          <w:rFonts w:hint="eastAsia" w:ascii="仿宋" w:hAnsi="仿宋" w:eastAsia="仿宋" w:cs="仿宋"/>
          <w:color w:val="auto"/>
          <w:sz w:val="24"/>
          <w:szCs w:val="32"/>
          <w:highlight w:val="none"/>
        </w:rPr>
        <w:t>部</w:t>
      </w:r>
      <w:r>
        <w:rPr>
          <w:rFonts w:hint="eastAsia" w:ascii="仿宋" w:hAnsi="仿宋" w:eastAsia="仿宋" w:cs="仿宋"/>
          <w:color w:val="auto"/>
          <w:spacing w:val="14"/>
          <w:sz w:val="24"/>
          <w:szCs w:val="32"/>
          <w:highlight w:val="none"/>
        </w:rPr>
        <w:t>中</w:t>
      </w:r>
      <w:r>
        <w:rPr>
          <w:rFonts w:hint="eastAsia" w:ascii="仿宋" w:hAnsi="仿宋" w:eastAsia="仿宋" w:cs="仿宋"/>
          <w:color w:val="auto"/>
          <w:spacing w:val="12"/>
          <w:sz w:val="24"/>
          <w:szCs w:val="32"/>
          <w:highlight w:val="none"/>
        </w:rPr>
        <w:t>国</w:t>
      </w:r>
      <w:r>
        <w:rPr>
          <w:rFonts w:hint="eastAsia" w:ascii="仿宋" w:hAnsi="仿宋" w:eastAsia="仿宋" w:cs="仿宋"/>
          <w:color w:val="auto"/>
          <w:spacing w:val="14"/>
          <w:sz w:val="24"/>
          <w:szCs w:val="32"/>
          <w:highlight w:val="none"/>
        </w:rPr>
        <w:t>残</w:t>
      </w:r>
      <w:r>
        <w:rPr>
          <w:rFonts w:hint="eastAsia" w:ascii="仿宋" w:hAnsi="仿宋" w:eastAsia="仿宋" w:cs="仿宋"/>
          <w:color w:val="auto"/>
          <w:spacing w:val="12"/>
          <w:sz w:val="24"/>
          <w:szCs w:val="32"/>
          <w:highlight w:val="none"/>
        </w:rPr>
        <w:t>疾</w:t>
      </w:r>
      <w:r>
        <w:rPr>
          <w:rFonts w:hint="eastAsia" w:ascii="仿宋" w:hAnsi="仿宋" w:eastAsia="仿宋" w:cs="仿宋"/>
          <w:color w:val="auto"/>
          <w:spacing w:val="14"/>
          <w:sz w:val="24"/>
          <w:szCs w:val="32"/>
          <w:highlight w:val="none"/>
        </w:rPr>
        <w:t>人</w:t>
      </w:r>
      <w:r>
        <w:rPr>
          <w:rFonts w:hint="eastAsia" w:ascii="仿宋" w:hAnsi="仿宋" w:eastAsia="仿宋" w:cs="仿宋"/>
          <w:color w:val="auto"/>
          <w:spacing w:val="12"/>
          <w:sz w:val="24"/>
          <w:szCs w:val="32"/>
          <w:highlight w:val="none"/>
        </w:rPr>
        <w:t>联</w:t>
      </w:r>
      <w:r>
        <w:rPr>
          <w:rFonts w:hint="eastAsia" w:ascii="仿宋" w:hAnsi="仿宋" w:eastAsia="仿宋" w:cs="仿宋"/>
          <w:color w:val="auto"/>
          <w:spacing w:val="14"/>
          <w:sz w:val="24"/>
          <w:szCs w:val="32"/>
          <w:highlight w:val="none"/>
        </w:rPr>
        <w:t>合会</w:t>
      </w:r>
      <w:r>
        <w:rPr>
          <w:rFonts w:hint="eastAsia" w:ascii="仿宋" w:hAnsi="仿宋" w:eastAsia="仿宋" w:cs="仿宋"/>
          <w:color w:val="auto"/>
          <w:spacing w:val="12"/>
          <w:sz w:val="24"/>
          <w:szCs w:val="32"/>
          <w:highlight w:val="none"/>
        </w:rPr>
        <w:t>关</w:t>
      </w:r>
      <w:r>
        <w:rPr>
          <w:rFonts w:hint="eastAsia" w:ascii="仿宋" w:hAnsi="仿宋" w:eastAsia="仿宋" w:cs="仿宋"/>
          <w:color w:val="auto"/>
          <w:spacing w:val="14"/>
          <w:sz w:val="24"/>
          <w:szCs w:val="32"/>
          <w:highlight w:val="none"/>
        </w:rPr>
        <w:t>于</w:t>
      </w:r>
      <w:r>
        <w:rPr>
          <w:rFonts w:hint="eastAsia" w:ascii="仿宋" w:hAnsi="仿宋" w:eastAsia="仿宋" w:cs="仿宋"/>
          <w:color w:val="auto"/>
          <w:spacing w:val="12"/>
          <w:sz w:val="24"/>
          <w:szCs w:val="32"/>
          <w:highlight w:val="none"/>
        </w:rPr>
        <w:t>促</w:t>
      </w:r>
      <w:r>
        <w:rPr>
          <w:rFonts w:hint="eastAsia" w:ascii="仿宋" w:hAnsi="仿宋" w:eastAsia="仿宋" w:cs="仿宋"/>
          <w:color w:val="auto"/>
          <w:spacing w:val="14"/>
          <w:sz w:val="24"/>
          <w:szCs w:val="32"/>
          <w:highlight w:val="none"/>
        </w:rPr>
        <w:t>进残</w:t>
      </w:r>
      <w:r>
        <w:rPr>
          <w:rFonts w:hint="eastAsia" w:ascii="仿宋" w:hAnsi="仿宋" w:eastAsia="仿宋" w:cs="仿宋"/>
          <w:color w:val="auto"/>
          <w:spacing w:val="12"/>
          <w:sz w:val="24"/>
          <w:szCs w:val="32"/>
          <w:highlight w:val="none"/>
        </w:rPr>
        <w:t>疾</w:t>
      </w:r>
      <w:r>
        <w:rPr>
          <w:rFonts w:hint="eastAsia" w:ascii="仿宋" w:hAnsi="仿宋" w:eastAsia="仿宋" w:cs="仿宋"/>
          <w:color w:val="auto"/>
          <w:spacing w:val="14"/>
          <w:sz w:val="24"/>
          <w:szCs w:val="32"/>
          <w:highlight w:val="none"/>
        </w:rPr>
        <w:t>人</w:t>
      </w:r>
      <w:r>
        <w:rPr>
          <w:rFonts w:hint="eastAsia" w:ascii="仿宋" w:hAnsi="仿宋" w:eastAsia="仿宋" w:cs="仿宋"/>
          <w:color w:val="auto"/>
          <w:spacing w:val="12"/>
          <w:sz w:val="24"/>
          <w:szCs w:val="32"/>
          <w:highlight w:val="none"/>
        </w:rPr>
        <w:t>就</w:t>
      </w:r>
      <w:r>
        <w:rPr>
          <w:rFonts w:hint="eastAsia" w:ascii="仿宋" w:hAnsi="仿宋" w:eastAsia="仿宋" w:cs="仿宋"/>
          <w:color w:val="auto"/>
          <w:spacing w:val="14"/>
          <w:sz w:val="24"/>
          <w:szCs w:val="32"/>
          <w:highlight w:val="none"/>
        </w:rPr>
        <w:t>业</w:t>
      </w:r>
      <w:r>
        <w:rPr>
          <w:rFonts w:hint="eastAsia" w:ascii="仿宋" w:hAnsi="仿宋" w:eastAsia="仿宋" w:cs="仿宋"/>
          <w:color w:val="auto"/>
          <w:sz w:val="24"/>
          <w:szCs w:val="32"/>
          <w:highlight w:val="none"/>
        </w:rPr>
        <w:t>政</w:t>
      </w:r>
      <w:r>
        <w:rPr>
          <w:rFonts w:hint="eastAsia" w:ascii="仿宋" w:hAnsi="仿宋" w:eastAsia="仿宋" w:cs="仿宋"/>
          <w:color w:val="auto"/>
          <w:spacing w:val="14"/>
          <w:sz w:val="24"/>
          <w:szCs w:val="32"/>
          <w:highlight w:val="none"/>
        </w:rPr>
        <w:t>府采购</w:t>
      </w:r>
      <w:r>
        <w:rPr>
          <w:rFonts w:hint="eastAsia" w:ascii="仿宋" w:hAnsi="仿宋" w:eastAsia="仿宋" w:cs="仿宋"/>
          <w:color w:val="auto"/>
          <w:spacing w:val="12"/>
          <w:sz w:val="24"/>
          <w:szCs w:val="32"/>
          <w:highlight w:val="none"/>
        </w:rPr>
        <w:t>政</w:t>
      </w:r>
      <w:r>
        <w:rPr>
          <w:rFonts w:hint="eastAsia" w:ascii="仿宋" w:hAnsi="仿宋" w:eastAsia="仿宋" w:cs="仿宋"/>
          <w:color w:val="auto"/>
          <w:spacing w:val="14"/>
          <w:sz w:val="24"/>
          <w:szCs w:val="32"/>
          <w:highlight w:val="none"/>
        </w:rPr>
        <w:t>策的通知》（</w:t>
      </w:r>
      <w:r>
        <w:rPr>
          <w:rFonts w:hint="eastAsia" w:ascii="仿宋" w:hAnsi="仿宋" w:eastAsia="仿宋" w:cs="仿宋"/>
          <w:color w:val="auto"/>
          <w:spacing w:val="12"/>
          <w:sz w:val="24"/>
          <w:szCs w:val="32"/>
          <w:highlight w:val="none"/>
        </w:rPr>
        <w:t>财</w:t>
      </w:r>
      <w:r>
        <w:rPr>
          <w:rFonts w:hint="eastAsia" w:ascii="仿宋" w:hAnsi="仿宋" w:eastAsia="仿宋" w:cs="仿宋"/>
          <w:color w:val="auto"/>
          <w:spacing w:val="14"/>
          <w:sz w:val="24"/>
          <w:szCs w:val="32"/>
          <w:highlight w:val="none"/>
        </w:rPr>
        <w:t>库</w:t>
      </w:r>
      <w:r>
        <w:rPr>
          <w:rFonts w:hint="eastAsia" w:ascii="仿宋" w:hAnsi="仿宋" w:eastAsia="仿宋" w:cs="仿宋"/>
          <w:color w:val="auto"/>
          <w:sz w:val="24"/>
          <w:szCs w:val="32"/>
          <w:highlight w:val="none"/>
        </w:rPr>
        <w:t>〔2017〕141</w:t>
      </w:r>
      <w:r>
        <w:rPr>
          <w:rFonts w:hint="eastAsia" w:ascii="仿宋" w:hAnsi="仿宋" w:eastAsia="仿宋" w:cs="仿宋"/>
          <w:color w:val="auto"/>
          <w:spacing w:val="14"/>
          <w:sz w:val="24"/>
          <w:szCs w:val="32"/>
          <w:highlight w:val="none"/>
        </w:rPr>
        <w:t>号）的</w:t>
      </w:r>
      <w:r>
        <w:rPr>
          <w:rFonts w:hint="eastAsia" w:ascii="仿宋" w:hAnsi="仿宋" w:eastAsia="仿宋" w:cs="仿宋"/>
          <w:color w:val="auto"/>
          <w:spacing w:val="12"/>
          <w:sz w:val="24"/>
          <w:szCs w:val="32"/>
          <w:highlight w:val="none"/>
        </w:rPr>
        <w:t>规</w:t>
      </w:r>
      <w:r>
        <w:rPr>
          <w:rFonts w:hint="eastAsia" w:ascii="仿宋" w:hAnsi="仿宋" w:eastAsia="仿宋" w:cs="仿宋"/>
          <w:color w:val="auto"/>
          <w:spacing w:val="14"/>
          <w:sz w:val="24"/>
          <w:szCs w:val="32"/>
          <w:highlight w:val="none"/>
        </w:rPr>
        <w:t>定，本单位为</w:t>
      </w:r>
      <w:r>
        <w:rPr>
          <w:rFonts w:hint="eastAsia" w:ascii="仿宋" w:hAnsi="仿宋" w:eastAsia="仿宋" w:cs="仿宋"/>
          <w:color w:val="auto"/>
          <w:spacing w:val="12"/>
          <w:sz w:val="24"/>
          <w:szCs w:val="32"/>
          <w:highlight w:val="none"/>
        </w:rPr>
        <w:t>符</w:t>
      </w:r>
      <w:r>
        <w:rPr>
          <w:rFonts w:hint="eastAsia" w:ascii="仿宋" w:hAnsi="仿宋" w:eastAsia="仿宋" w:cs="仿宋"/>
          <w:color w:val="auto"/>
          <w:spacing w:val="14"/>
          <w:sz w:val="24"/>
          <w:szCs w:val="32"/>
          <w:highlight w:val="none"/>
        </w:rPr>
        <w:t>合条件的残疾</w:t>
      </w:r>
      <w:r>
        <w:rPr>
          <w:rFonts w:hint="eastAsia" w:ascii="仿宋" w:hAnsi="仿宋" w:eastAsia="仿宋" w:cs="仿宋"/>
          <w:color w:val="auto"/>
          <w:spacing w:val="12"/>
          <w:sz w:val="24"/>
          <w:szCs w:val="32"/>
          <w:highlight w:val="none"/>
        </w:rPr>
        <w:t>人</w:t>
      </w:r>
      <w:r>
        <w:rPr>
          <w:rFonts w:hint="eastAsia" w:ascii="仿宋" w:hAnsi="仿宋" w:eastAsia="仿宋" w:cs="仿宋"/>
          <w:color w:val="auto"/>
          <w:spacing w:val="14"/>
          <w:sz w:val="24"/>
          <w:szCs w:val="32"/>
          <w:highlight w:val="none"/>
        </w:rPr>
        <w:t>福</w:t>
      </w:r>
      <w:r>
        <w:rPr>
          <w:rFonts w:hint="eastAsia" w:ascii="仿宋" w:hAnsi="仿宋" w:eastAsia="仿宋" w:cs="仿宋"/>
          <w:color w:val="auto"/>
          <w:sz w:val="24"/>
          <w:szCs w:val="32"/>
          <w:highlight w:val="none"/>
        </w:rPr>
        <w:t>利</w:t>
      </w:r>
      <w:r>
        <w:rPr>
          <w:rFonts w:hint="eastAsia" w:ascii="仿宋" w:hAnsi="仿宋" w:eastAsia="仿宋" w:cs="仿宋"/>
          <w:color w:val="auto"/>
          <w:spacing w:val="14"/>
          <w:sz w:val="24"/>
          <w:szCs w:val="32"/>
          <w:highlight w:val="none"/>
        </w:rPr>
        <w:t>性单</w:t>
      </w:r>
      <w:r>
        <w:rPr>
          <w:rFonts w:hint="eastAsia" w:ascii="仿宋" w:hAnsi="仿宋" w:eastAsia="仿宋" w:cs="仿宋"/>
          <w:color w:val="auto"/>
          <w:spacing w:val="12"/>
          <w:sz w:val="24"/>
          <w:szCs w:val="32"/>
          <w:highlight w:val="none"/>
        </w:rPr>
        <w:t>位</w:t>
      </w:r>
      <w:r>
        <w:rPr>
          <w:rFonts w:hint="eastAsia" w:ascii="仿宋" w:hAnsi="仿宋" w:eastAsia="仿宋" w:cs="仿宋"/>
          <w:color w:val="auto"/>
          <w:spacing w:val="14"/>
          <w:sz w:val="24"/>
          <w:szCs w:val="32"/>
          <w:highlight w:val="none"/>
        </w:rPr>
        <w:t>，且本</w:t>
      </w:r>
      <w:r>
        <w:rPr>
          <w:rFonts w:hint="eastAsia" w:ascii="仿宋" w:hAnsi="仿宋" w:eastAsia="仿宋" w:cs="仿宋"/>
          <w:color w:val="auto"/>
          <w:spacing w:val="12"/>
          <w:sz w:val="24"/>
          <w:szCs w:val="32"/>
          <w:highlight w:val="none"/>
        </w:rPr>
        <w:t>单</w:t>
      </w:r>
      <w:r>
        <w:rPr>
          <w:rFonts w:hint="eastAsia" w:ascii="仿宋" w:hAnsi="仿宋" w:eastAsia="仿宋" w:cs="仿宋"/>
          <w:color w:val="auto"/>
          <w:spacing w:val="14"/>
          <w:sz w:val="24"/>
          <w:szCs w:val="32"/>
          <w:highlight w:val="none"/>
        </w:rPr>
        <w:t>位参加</w:t>
      </w:r>
      <w:r>
        <w:rPr>
          <w:rFonts w:hint="eastAsia" w:ascii="仿宋" w:hAnsi="仿宋" w:eastAsia="仿宋" w:cs="仿宋"/>
          <w:color w:val="auto"/>
          <w:spacing w:val="6"/>
          <w:sz w:val="24"/>
          <w:szCs w:val="32"/>
          <w:highlight w:val="none"/>
        </w:rPr>
        <w:t>______</w:t>
      </w:r>
      <w:r>
        <w:rPr>
          <w:rFonts w:hint="eastAsia" w:ascii="仿宋" w:hAnsi="仿宋" w:eastAsia="仿宋" w:cs="仿宋"/>
          <w:color w:val="auto"/>
          <w:spacing w:val="14"/>
          <w:sz w:val="24"/>
          <w:szCs w:val="32"/>
          <w:highlight w:val="none"/>
        </w:rPr>
        <w:t>单位</w:t>
      </w:r>
      <w:r>
        <w:rPr>
          <w:rFonts w:hint="eastAsia" w:ascii="仿宋" w:hAnsi="仿宋" w:eastAsia="仿宋" w:cs="仿宋"/>
          <w:color w:val="auto"/>
          <w:sz w:val="24"/>
          <w:szCs w:val="32"/>
          <w:highlight w:val="none"/>
        </w:rPr>
        <w:t>的</w:t>
      </w:r>
      <w:r>
        <w:rPr>
          <w:rFonts w:hint="eastAsia" w:ascii="仿宋" w:hAnsi="仿宋" w:eastAsia="仿宋" w:cs="仿宋"/>
          <w:color w:val="auto"/>
          <w:sz w:val="24"/>
          <w:szCs w:val="32"/>
          <w:highlight w:val="none"/>
        </w:rPr>
        <w:tab/>
      </w:r>
      <w:r>
        <w:rPr>
          <w:rFonts w:hint="eastAsia" w:ascii="仿宋" w:hAnsi="仿宋" w:eastAsia="仿宋" w:cs="仿宋"/>
          <w:color w:val="auto"/>
          <w:spacing w:val="14"/>
          <w:sz w:val="24"/>
          <w:szCs w:val="32"/>
          <w:highlight w:val="none"/>
        </w:rPr>
        <w:t>项目</w:t>
      </w:r>
      <w:r>
        <w:rPr>
          <w:rFonts w:hint="eastAsia" w:ascii="仿宋" w:hAnsi="仿宋" w:eastAsia="仿宋" w:cs="仿宋"/>
          <w:color w:val="auto"/>
          <w:spacing w:val="12"/>
          <w:sz w:val="24"/>
          <w:szCs w:val="32"/>
          <w:highlight w:val="none"/>
        </w:rPr>
        <w:t>采</w:t>
      </w:r>
      <w:r>
        <w:rPr>
          <w:rFonts w:hint="eastAsia" w:ascii="仿宋" w:hAnsi="仿宋" w:eastAsia="仿宋" w:cs="仿宋"/>
          <w:color w:val="auto"/>
          <w:spacing w:val="14"/>
          <w:sz w:val="24"/>
          <w:szCs w:val="32"/>
          <w:highlight w:val="none"/>
        </w:rPr>
        <w:t>购活动并由</w:t>
      </w:r>
      <w:r>
        <w:rPr>
          <w:rFonts w:hint="eastAsia" w:ascii="仿宋" w:hAnsi="仿宋" w:eastAsia="仿宋" w:cs="仿宋"/>
          <w:color w:val="auto"/>
          <w:spacing w:val="-11"/>
          <w:sz w:val="24"/>
          <w:szCs w:val="32"/>
          <w:highlight w:val="none"/>
        </w:rPr>
        <w:t>本</w:t>
      </w:r>
      <w:r>
        <w:rPr>
          <w:rFonts w:hint="eastAsia" w:ascii="仿宋" w:hAnsi="仿宋" w:eastAsia="仿宋" w:cs="仿宋"/>
          <w:color w:val="auto"/>
          <w:sz w:val="24"/>
          <w:szCs w:val="32"/>
          <w:highlight w:val="none"/>
        </w:rPr>
        <w:t>单位提供服务。</w:t>
      </w:r>
    </w:p>
    <w:p w14:paraId="3B403CE3">
      <w:pPr>
        <w:outlineLvl w:val="9"/>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本单位对上述声明的真实性负责。如有虚假，将依法承担相应责任。</w:t>
      </w:r>
    </w:p>
    <w:p w14:paraId="12A6BE1B">
      <w:pPr>
        <w:outlineLvl w:val="9"/>
        <w:rPr>
          <w:rFonts w:hint="eastAsia" w:ascii="仿宋" w:hAnsi="仿宋" w:eastAsia="仿宋" w:cs="仿宋"/>
          <w:color w:val="auto"/>
          <w:highlight w:val="none"/>
        </w:rPr>
      </w:pPr>
    </w:p>
    <w:p w14:paraId="072510F9">
      <w:pPr>
        <w:ind w:firstLine="4288" w:firstLineChars="1600"/>
        <w:outlineLvl w:val="9"/>
        <w:rPr>
          <w:rFonts w:hint="eastAsia" w:ascii="仿宋" w:hAnsi="仿宋" w:eastAsia="仿宋" w:cs="仿宋"/>
          <w:color w:val="auto"/>
          <w:highlight w:val="none"/>
        </w:rPr>
      </w:pPr>
      <w:r>
        <w:rPr>
          <w:rFonts w:hint="eastAsia" w:ascii="仿宋" w:hAnsi="仿宋" w:eastAsia="仿宋" w:cs="仿宋"/>
          <w:color w:val="auto"/>
          <w:spacing w:val="14"/>
          <w:sz w:val="24"/>
          <w:szCs w:val="32"/>
          <w:highlight w:val="none"/>
        </w:rPr>
        <w:t>响应供应商名称（盖公章）：</w:t>
      </w:r>
    </w:p>
    <w:p w14:paraId="2F6C7B3F">
      <w:pPr>
        <w:outlineLvl w:val="9"/>
        <w:rPr>
          <w:rFonts w:hint="eastAsia" w:ascii="仿宋" w:hAnsi="仿宋" w:eastAsia="仿宋" w:cs="仿宋"/>
          <w:color w:val="auto"/>
          <w:highlight w:val="none"/>
        </w:rPr>
      </w:pPr>
    </w:p>
    <w:p w14:paraId="11E0D2DF">
      <w:pPr>
        <w:ind w:firstLine="4288" w:firstLineChars="1600"/>
        <w:outlineLvl w:val="9"/>
        <w:rPr>
          <w:rFonts w:hint="eastAsia" w:ascii="仿宋" w:hAnsi="仿宋" w:eastAsia="仿宋" w:cs="仿宋"/>
          <w:color w:val="auto"/>
          <w:spacing w:val="14"/>
          <w:sz w:val="24"/>
          <w:szCs w:val="32"/>
          <w:highlight w:val="none"/>
        </w:rPr>
      </w:pPr>
      <w:r>
        <w:rPr>
          <w:rFonts w:hint="eastAsia" w:ascii="仿宋" w:hAnsi="仿宋" w:eastAsia="仿宋" w:cs="仿宋"/>
          <w:color w:val="auto"/>
          <w:spacing w:val="14"/>
          <w:sz w:val="24"/>
          <w:szCs w:val="32"/>
          <w:highlight w:val="none"/>
        </w:rPr>
        <w:t>日 期：</w:t>
      </w:r>
    </w:p>
    <w:p w14:paraId="310F6EAA">
      <w:pPr>
        <w:outlineLvl w:val="9"/>
        <w:rPr>
          <w:rFonts w:hint="eastAsia" w:ascii="仿宋" w:hAnsi="仿宋" w:eastAsia="仿宋" w:cs="仿宋"/>
          <w:color w:val="auto"/>
          <w:highlight w:val="none"/>
        </w:rPr>
        <w:sectPr>
          <w:headerReference r:id="rId6" w:type="default"/>
          <w:footerReference r:id="rId7" w:type="default"/>
          <w:pgSz w:w="11910" w:h="16840"/>
          <w:pgMar w:top="1440" w:right="1531" w:bottom="1440" w:left="1531" w:header="714" w:footer="590" w:gutter="0"/>
          <w:cols w:space="720" w:num="1"/>
        </w:sectPr>
      </w:pPr>
    </w:p>
    <w:p w14:paraId="01FEB094">
      <w:pPr>
        <w:jc w:val="center"/>
        <w:outlineLvl w:val="9"/>
        <w:rPr>
          <w:rFonts w:hint="eastAsia" w:ascii="仿宋" w:hAnsi="仿宋" w:eastAsia="仿宋" w:cs="仿宋"/>
          <w:b/>
          <w:bCs/>
          <w:color w:val="auto"/>
          <w:sz w:val="28"/>
          <w:szCs w:val="36"/>
          <w:highlight w:val="none"/>
        </w:rPr>
      </w:pPr>
      <w:bookmarkStart w:id="9" w:name="_Toc12151"/>
      <w:r>
        <w:rPr>
          <w:rFonts w:hint="eastAsia" w:ascii="仿宋" w:hAnsi="仿宋" w:eastAsia="仿宋" w:cs="仿宋"/>
          <w:b/>
          <w:bCs/>
          <w:color w:val="auto"/>
          <w:sz w:val="28"/>
          <w:szCs w:val="36"/>
          <w:highlight w:val="none"/>
        </w:rPr>
        <w:t>政策功能情况（如有）</w:t>
      </w:r>
      <w:bookmarkEnd w:id="9"/>
    </w:p>
    <w:p w14:paraId="2E25EE8B">
      <w:pPr>
        <w:outlineLvl w:val="9"/>
        <w:rPr>
          <w:rFonts w:hint="eastAsia" w:ascii="仿宋" w:hAnsi="仿宋" w:eastAsia="仿宋" w:cs="仿宋"/>
          <w:color w:val="auto"/>
          <w:highlight w:val="none"/>
        </w:rPr>
      </w:pPr>
    </w:p>
    <w:p w14:paraId="08CE95B2">
      <w:pPr>
        <w:outlineLvl w:val="9"/>
        <w:rPr>
          <w:rFonts w:hint="eastAsia" w:ascii="仿宋" w:hAnsi="仿宋" w:eastAsia="仿宋" w:cs="仿宋"/>
          <w:color w:val="auto"/>
          <w:highlight w:val="none"/>
        </w:rPr>
      </w:pPr>
      <w:r>
        <w:rPr>
          <w:rFonts w:hint="eastAsia" w:ascii="仿宋" w:hAnsi="仿宋" w:eastAsia="仿宋" w:cs="仿宋"/>
          <w:color w:val="auto"/>
          <w:sz w:val="24"/>
          <w:szCs w:val="24"/>
          <w:highlight w:val="none"/>
        </w:rPr>
        <w:t>项目名称：</w:t>
      </w:r>
    </w:p>
    <w:tbl>
      <w:tblPr>
        <w:tblStyle w:val="24"/>
        <w:tblW w:w="8902" w:type="dxa"/>
        <w:tblInd w:w="-9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127"/>
        <w:gridCol w:w="2359"/>
        <w:gridCol w:w="1677"/>
        <w:gridCol w:w="1994"/>
        <w:gridCol w:w="1745"/>
      </w:tblGrid>
      <w:tr w14:paraId="45BAA56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5" w:hRule="atLeast"/>
        </w:trPr>
        <w:tc>
          <w:tcPr>
            <w:tcW w:w="1127" w:type="dxa"/>
            <w:tcBorders>
              <w:bottom w:val="single" w:color="000000" w:sz="6" w:space="0"/>
              <w:right w:val="single" w:color="000000" w:sz="6" w:space="0"/>
            </w:tcBorders>
          </w:tcPr>
          <w:p w14:paraId="29235548">
            <w:pPr>
              <w:pStyle w:val="35"/>
              <w:spacing w:before="159"/>
              <w:ind w:left="276"/>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类别</w:t>
            </w:r>
          </w:p>
        </w:tc>
        <w:tc>
          <w:tcPr>
            <w:tcW w:w="2359" w:type="dxa"/>
            <w:tcBorders>
              <w:left w:val="single" w:color="000000" w:sz="6" w:space="0"/>
              <w:bottom w:val="single" w:color="000000" w:sz="6" w:space="0"/>
              <w:right w:val="single" w:color="000000" w:sz="6" w:space="0"/>
            </w:tcBorders>
          </w:tcPr>
          <w:p w14:paraId="73854C1D">
            <w:pPr>
              <w:pStyle w:val="35"/>
              <w:spacing w:before="3"/>
              <w:ind w:left="162" w:right="150"/>
              <w:jc w:val="center"/>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供应商提供的产品</w:t>
            </w:r>
          </w:p>
          <w:p w14:paraId="138F292E">
            <w:pPr>
              <w:pStyle w:val="35"/>
              <w:spacing w:before="4" w:line="289" w:lineRule="exact"/>
              <w:ind w:left="162" w:right="150"/>
              <w:jc w:val="center"/>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（规格型号）</w:t>
            </w:r>
          </w:p>
        </w:tc>
        <w:tc>
          <w:tcPr>
            <w:tcW w:w="1677" w:type="dxa"/>
            <w:tcBorders>
              <w:left w:val="single" w:color="000000" w:sz="6" w:space="0"/>
              <w:bottom w:val="single" w:color="000000" w:sz="6" w:space="0"/>
              <w:right w:val="single" w:color="000000" w:sz="6" w:space="0"/>
            </w:tcBorders>
          </w:tcPr>
          <w:p w14:paraId="1CBF0A0A">
            <w:pPr>
              <w:pStyle w:val="35"/>
              <w:spacing w:before="3"/>
              <w:ind w:left="243" w:right="231"/>
              <w:jc w:val="center"/>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生产者</w:t>
            </w:r>
          </w:p>
          <w:p w14:paraId="2BAF2B5A">
            <w:pPr>
              <w:pStyle w:val="35"/>
              <w:spacing w:before="4" w:line="289" w:lineRule="exact"/>
              <w:ind w:left="243" w:right="231"/>
              <w:jc w:val="center"/>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（制造商）</w:t>
            </w:r>
          </w:p>
        </w:tc>
        <w:tc>
          <w:tcPr>
            <w:tcW w:w="1994" w:type="dxa"/>
            <w:tcBorders>
              <w:left w:val="single" w:color="000000" w:sz="6" w:space="0"/>
              <w:bottom w:val="single" w:color="000000" w:sz="6" w:space="0"/>
              <w:right w:val="single" w:color="000000" w:sz="6" w:space="0"/>
            </w:tcBorders>
          </w:tcPr>
          <w:p w14:paraId="65E8CC94">
            <w:pPr>
              <w:pStyle w:val="35"/>
              <w:spacing w:before="159"/>
              <w:ind w:left="527" w:right="516"/>
              <w:jc w:val="center"/>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证书编号</w:t>
            </w:r>
          </w:p>
        </w:tc>
        <w:tc>
          <w:tcPr>
            <w:tcW w:w="1745" w:type="dxa"/>
            <w:tcBorders>
              <w:left w:val="single" w:color="000000" w:sz="6" w:space="0"/>
              <w:bottom w:val="single" w:color="000000" w:sz="6" w:space="0"/>
            </w:tcBorders>
          </w:tcPr>
          <w:p w14:paraId="183E6902">
            <w:pPr>
              <w:pStyle w:val="35"/>
              <w:spacing w:before="159"/>
              <w:ind w:left="267"/>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所提供节能产品金额</w:t>
            </w:r>
          </w:p>
        </w:tc>
      </w:tr>
      <w:tr w14:paraId="5FF5405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3" w:hRule="atLeast"/>
        </w:trPr>
        <w:tc>
          <w:tcPr>
            <w:tcW w:w="1127" w:type="dxa"/>
            <w:vMerge w:val="restart"/>
            <w:tcBorders>
              <w:top w:val="single" w:color="000000" w:sz="6" w:space="0"/>
              <w:bottom w:val="single" w:color="000000" w:sz="6" w:space="0"/>
              <w:right w:val="single" w:color="000000" w:sz="6" w:space="0"/>
            </w:tcBorders>
          </w:tcPr>
          <w:p w14:paraId="4055538B">
            <w:pPr>
              <w:pStyle w:val="35"/>
              <w:outlineLvl w:val="9"/>
              <w:rPr>
                <w:rFonts w:hint="eastAsia" w:ascii="仿宋" w:hAnsi="仿宋" w:eastAsia="仿宋" w:cs="仿宋"/>
                <w:color w:val="auto"/>
                <w:sz w:val="24"/>
                <w:szCs w:val="22"/>
                <w:highlight w:val="none"/>
              </w:rPr>
            </w:pPr>
          </w:p>
          <w:p w14:paraId="4001A38F">
            <w:pPr>
              <w:pStyle w:val="35"/>
              <w:outlineLvl w:val="9"/>
              <w:rPr>
                <w:rFonts w:hint="eastAsia" w:ascii="仿宋" w:hAnsi="仿宋" w:eastAsia="仿宋" w:cs="仿宋"/>
                <w:color w:val="auto"/>
                <w:sz w:val="24"/>
                <w:szCs w:val="22"/>
                <w:highlight w:val="none"/>
              </w:rPr>
            </w:pPr>
          </w:p>
          <w:p w14:paraId="256E91E9">
            <w:pPr>
              <w:pStyle w:val="35"/>
              <w:spacing w:before="1"/>
              <w:outlineLvl w:val="9"/>
              <w:rPr>
                <w:rFonts w:hint="eastAsia" w:ascii="仿宋" w:hAnsi="仿宋" w:eastAsia="仿宋" w:cs="仿宋"/>
                <w:color w:val="auto"/>
                <w:sz w:val="27"/>
                <w:szCs w:val="22"/>
                <w:highlight w:val="none"/>
              </w:rPr>
            </w:pPr>
          </w:p>
          <w:p w14:paraId="388F91E4">
            <w:pPr>
              <w:pStyle w:val="35"/>
              <w:spacing w:line="242" w:lineRule="auto"/>
              <w:ind w:left="276" w:right="27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节能产品</w:t>
            </w:r>
          </w:p>
        </w:tc>
        <w:tc>
          <w:tcPr>
            <w:tcW w:w="2359" w:type="dxa"/>
            <w:tcBorders>
              <w:top w:val="single" w:color="000000" w:sz="6" w:space="0"/>
              <w:left w:val="single" w:color="000000" w:sz="6" w:space="0"/>
              <w:bottom w:val="single" w:color="000000" w:sz="6" w:space="0"/>
              <w:right w:val="single" w:color="000000" w:sz="6" w:space="0"/>
            </w:tcBorders>
          </w:tcPr>
          <w:p w14:paraId="05E4856E">
            <w:pPr>
              <w:pStyle w:val="35"/>
              <w:outlineLvl w:val="9"/>
              <w:rPr>
                <w:rFonts w:hint="eastAsia" w:ascii="仿宋" w:hAnsi="仿宋" w:eastAsia="仿宋" w:cs="仿宋"/>
                <w:color w:val="auto"/>
                <w:sz w:val="22"/>
                <w:szCs w:val="22"/>
                <w:highlight w:val="none"/>
              </w:rPr>
            </w:pPr>
          </w:p>
        </w:tc>
        <w:tc>
          <w:tcPr>
            <w:tcW w:w="1677" w:type="dxa"/>
            <w:tcBorders>
              <w:top w:val="single" w:color="000000" w:sz="6" w:space="0"/>
              <w:left w:val="single" w:color="000000" w:sz="6" w:space="0"/>
              <w:bottom w:val="single" w:color="000000" w:sz="6" w:space="0"/>
              <w:right w:val="single" w:color="000000" w:sz="6" w:space="0"/>
            </w:tcBorders>
          </w:tcPr>
          <w:p w14:paraId="717DFA57">
            <w:pPr>
              <w:pStyle w:val="35"/>
              <w:outlineLvl w:val="9"/>
              <w:rPr>
                <w:rFonts w:hint="eastAsia" w:ascii="仿宋" w:hAnsi="仿宋" w:eastAsia="仿宋" w:cs="仿宋"/>
                <w:color w:val="auto"/>
                <w:sz w:val="22"/>
                <w:szCs w:val="22"/>
                <w:highlight w:val="none"/>
              </w:rPr>
            </w:pPr>
          </w:p>
        </w:tc>
        <w:tc>
          <w:tcPr>
            <w:tcW w:w="1994" w:type="dxa"/>
            <w:tcBorders>
              <w:top w:val="single" w:color="000000" w:sz="6" w:space="0"/>
              <w:left w:val="single" w:color="000000" w:sz="6" w:space="0"/>
              <w:bottom w:val="single" w:color="000000" w:sz="6" w:space="0"/>
              <w:right w:val="single" w:color="000000" w:sz="6" w:space="0"/>
            </w:tcBorders>
          </w:tcPr>
          <w:p w14:paraId="0ED7EE1A">
            <w:pPr>
              <w:pStyle w:val="35"/>
              <w:outlineLvl w:val="9"/>
              <w:rPr>
                <w:rFonts w:hint="eastAsia" w:ascii="仿宋" w:hAnsi="仿宋" w:eastAsia="仿宋" w:cs="仿宋"/>
                <w:color w:val="auto"/>
                <w:sz w:val="22"/>
                <w:szCs w:val="22"/>
                <w:highlight w:val="none"/>
              </w:rPr>
            </w:pPr>
          </w:p>
        </w:tc>
        <w:tc>
          <w:tcPr>
            <w:tcW w:w="1745" w:type="dxa"/>
            <w:tcBorders>
              <w:top w:val="single" w:color="000000" w:sz="6" w:space="0"/>
              <w:left w:val="single" w:color="000000" w:sz="6" w:space="0"/>
              <w:bottom w:val="single" w:color="000000" w:sz="6" w:space="0"/>
            </w:tcBorders>
          </w:tcPr>
          <w:p w14:paraId="0F8979FE">
            <w:pPr>
              <w:pStyle w:val="35"/>
              <w:outlineLvl w:val="9"/>
              <w:rPr>
                <w:rFonts w:hint="eastAsia" w:ascii="仿宋" w:hAnsi="仿宋" w:eastAsia="仿宋" w:cs="仿宋"/>
                <w:color w:val="auto"/>
                <w:sz w:val="22"/>
                <w:szCs w:val="22"/>
                <w:highlight w:val="none"/>
              </w:rPr>
            </w:pPr>
          </w:p>
        </w:tc>
      </w:tr>
      <w:tr w14:paraId="31ED9A0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3" w:hRule="atLeast"/>
        </w:trPr>
        <w:tc>
          <w:tcPr>
            <w:tcW w:w="1127" w:type="dxa"/>
            <w:vMerge w:val="continue"/>
            <w:tcBorders>
              <w:top w:val="nil"/>
              <w:bottom w:val="single" w:color="000000" w:sz="6" w:space="0"/>
              <w:right w:val="single" w:color="000000" w:sz="6" w:space="0"/>
            </w:tcBorders>
          </w:tcPr>
          <w:p w14:paraId="74FDE485">
            <w:pPr>
              <w:outlineLvl w:val="9"/>
              <w:rPr>
                <w:rFonts w:hint="eastAsia" w:ascii="仿宋" w:hAnsi="仿宋" w:eastAsia="仿宋" w:cs="仿宋"/>
                <w:color w:val="auto"/>
                <w:sz w:val="2"/>
                <w:szCs w:val="2"/>
                <w:highlight w:val="none"/>
              </w:rPr>
            </w:pPr>
          </w:p>
        </w:tc>
        <w:tc>
          <w:tcPr>
            <w:tcW w:w="2359" w:type="dxa"/>
            <w:tcBorders>
              <w:top w:val="single" w:color="000000" w:sz="6" w:space="0"/>
              <w:left w:val="single" w:color="000000" w:sz="6" w:space="0"/>
              <w:bottom w:val="single" w:color="000000" w:sz="6" w:space="0"/>
              <w:right w:val="single" w:color="000000" w:sz="6" w:space="0"/>
            </w:tcBorders>
          </w:tcPr>
          <w:p w14:paraId="6F262AAD">
            <w:pPr>
              <w:pStyle w:val="35"/>
              <w:outlineLvl w:val="9"/>
              <w:rPr>
                <w:rFonts w:hint="eastAsia" w:ascii="仿宋" w:hAnsi="仿宋" w:eastAsia="仿宋" w:cs="仿宋"/>
                <w:color w:val="auto"/>
                <w:sz w:val="22"/>
                <w:szCs w:val="22"/>
                <w:highlight w:val="none"/>
              </w:rPr>
            </w:pPr>
          </w:p>
        </w:tc>
        <w:tc>
          <w:tcPr>
            <w:tcW w:w="1677" w:type="dxa"/>
            <w:tcBorders>
              <w:top w:val="single" w:color="000000" w:sz="6" w:space="0"/>
              <w:left w:val="single" w:color="000000" w:sz="6" w:space="0"/>
              <w:bottom w:val="single" w:color="000000" w:sz="6" w:space="0"/>
              <w:right w:val="single" w:color="000000" w:sz="6" w:space="0"/>
            </w:tcBorders>
          </w:tcPr>
          <w:p w14:paraId="75E80D36">
            <w:pPr>
              <w:pStyle w:val="35"/>
              <w:outlineLvl w:val="9"/>
              <w:rPr>
                <w:rFonts w:hint="eastAsia" w:ascii="仿宋" w:hAnsi="仿宋" w:eastAsia="仿宋" w:cs="仿宋"/>
                <w:color w:val="auto"/>
                <w:sz w:val="22"/>
                <w:szCs w:val="22"/>
                <w:highlight w:val="none"/>
              </w:rPr>
            </w:pPr>
          </w:p>
        </w:tc>
        <w:tc>
          <w:tcPr>
            <w:tcW w:w="1994" w:type="dxa"/>
            <w:tcBorders>
              <w:top w:val="single" w:color="000000" w:sz="6" w:space="0"/>
              <w:left w:val="single" w:color="000000" w:sz="6" w:space="0"/>
              <w:bottom w:val="single" w:color="000000" w:sz="6" w:space="0"/>
              <w:right w:val="single" w:color="000000" w:sz="6" w:space="0"/>
            </w:tcBorders>
          </w:tcPr>
          <w:p w14:paraId="2F2C7FFA">
            <w:pPr>
              <w:pStyle w:val="35"/>
              <w:outlineLvl w:val="9"/>
              <w:rPr>
                <w:rFonts w:hint="eastAsia" w:ascii="仿宋" w:hAnsi="仿宋" w:eastAsia="仿宋" w:cs="仿宋"/>
                <w:color w:val="auto"/>
                <w:sz w:val="22"/>
                <w:szCs w:val="22"/>
                <w:highlight w:val="none"/>
              </w:rPr>
            </w:pPr>
          </w:p>
        </w:tc>
        <w:tc>
          <w:tcPr>
            <w:tcW w:w="1745" w:type="dxa"/>
            <w:tcBorders>
              <w:top w:val="single" w:color="000000" w:sz="6" w:space="0"/>
              <w:left w:val="single" w:color="000000" w:sz="6" w:space="0"/>
              <w:bottom w:val="single" w:color="000000" w:sz="6" w:space="0"/>
            </w:tcBorders>
          </w:tcPr>
          <w:p w14:paraId="4992D07E">
            <w:pPr>
              <w:pStyle w:val="35"/>
              <w:outlineLvl w:val="9"/>
              <w:rPr>
                <w:rFonts w:hint="eastAsia" w:ascii="仿宋" w:hAnsi="仿宋" w:eastAsia="仿宋" w:cs="仿宋"/>
                <w:color w:val="auto"/>
                <w:sz w:val="22"/>
                <w:szCs w:val="22"/>
                <w:highlight w:val="none"/>
              </w:rPr>
            </w:pPr>
          </w:p>
        </w:tc>
      </w:tr>
      <w:tr w14:paraId="00D3904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54" w:hRule="atLeast"/>
        </w:trPr>
        <w:tc>
          <w:tcPr>
            <w:tcW w:w="1127" w:type="dxa"/>
            <w:vMerge w:val="continue"/>
            <w:tcBorders>
              <w:top w:val="nil"/>
              <w:bottom w:val="single" w:color="000000" w:sz="6" w:space="0"/>
              <w:right w:val="single" w:color="000000" w:sz="6" w:space="0"/>
            </w:tcBorders>
          </w:tcPr>
          <w:p w14:paraId="231E01A7">
            <w:pPr>
              <w:outlineLvl w:val="9"/>
              <w:rPr>
                <w:rFonts w:hint="eastAsia" w:ascii="仿宋" w:hAnsi="仿宋" w:eastAsia="仿宋" w:cs="仿宋"/>
                <w:color w:val="auto"/>
                <w:sz w:val="2"/>
                <w:szCs w:val="2"/>
                <w:highlight w:val="none"/>
              </w:rPr>
            </w:pPr>
          </w:p>
        </w:tc>
        <w:tc>
          <w:tcPr>
            <w:tcW w:w="7775" w:type="dxa"/>
            <w:gridSpan w:val="4"/>
            <w:tcBorders>
              <w:top w:val="single" w:color="000000" w:sz="6" w:space="0"/>
              <w:left w:val="single" w:color="000000" w:sz="6" w:space="0"/>
              <w:bottom w:val="single" w:color="000000" w:sz="6" w:space="0"/>
            </w:tcBorders>
          </w:tcPr>
          <w:p w14:paraId="6382C455">
            <w:pPr>
              <w:pStyle w:val="35"/>
              <w:outlineLvl w:val="9"/>
              <w:rPr>
                <w:rFonts w:hint="eastAsia" w:ascii="仿宋" w:hAnsi="仿宋" w:eastAsia="仿宋" w:cs="仿宋"/>
                <w:color w:val="auto"/>
                <w:sz w:val="24"/>
                <w:szCs w:val="22"/>
                <w:highlight w:val="none"/>
              </w:rPr>
            </w:pPr>
          </w:p>
          <w:p w14:paraId="45AE8EE1">
            <w:pPr>
              <w:pStyle w:val="35"/>
              <w:spacing w:before="164"/>
              <w:ind w:left="115"/>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节能产品总金额：</w:t>
            </w:r>
          </w:p>
          <w:p w14:paraId="01C852D0">
            <w:pPr>
              <w:pStyle w:val="35"/>
              <w:spacing w:before="9"/>
              <w:outlineLvl w:val="9"/>
              <w:rPr>
                <w:rFonts w:hint="eastAsia" w:ascii="仿宋" w:hAnsi="仿宋" w:eastAsia="仿宋" w:cs="仿宋"/>
                <w:color w:val="auto"/>
                <w:sz w:val="24"/>
                <w:szCs w:val="22"/>
                <w:highlight w:val="none"/>
              </w:rPr>
            </w:pPr>
          </w:p>
          <w:p w14:paraId="7CD8B1C6">
            <w:pPr>
              <w:pStyle w:val="35"/>
              <w:ind w:left="115"/>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节能产品金额占总报价比重：%</w:t>
            </w:r>
          </w:p>
        </w:tc>
      </w:tr>
      <w:tr w14:paraId="3682D4A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2" w:hRule="atLeast"/>
        </w:trPr>
        <w:tc>
          <w:tcPr>
            <w:tcW w:w="1127" w:type="dxa"/>
            <w:vMerge w:val="restart"/>
            <w:tcBorders>
              <w:top w:val="single" w:color="000000" w:sz="6" w:space="0"/>
              <w:right w:val="single" w:color="000000" w:sz="6" w:space="0"/>
            </w:tcBorders>
          </w:tcPr>
          <w:p w14:paraId="602C7562">
            <w:pPr>
              <w:pStyle w:val="35"/>
              <w:outlineLvl w:val="9"/>
              <w:rPr>
                <w:rFonts w:hint="eastAsia" w:ascii="仿宋" w:hAnsi="仿宋" w:eastAsia="仿宋" w:cs="仿宋"/>
                <w:color w:val="auto"/>
                <w:sz w:val="24"/>
                <w:szCs w:val="22"/>
                <w:highlight w:val="none"/>
              </w:rPr>
            </w:pPr>
          </w:p>
          <w:p w14:paraId="16938C7A">
            <w:pPr>
              <w:pStyle w:val="35"/>
              <w:outlineLvl w:val="9"/>
              <w:rPr>
                <w:rFonts w:hint="eastAsia" w:ascii="仿宋" w:hAnsi="仿宋" w:eastAsia="仿宋" w:cs="仿宋"/>
                <w:color w:val="auto"/>
                <w:sz w:val="24"/>
                <w:szCs w:val="22"/>
                <w:highlight w:val="none"/>
              </w:rPr>
            </w:pPr>
          </w:p>
          <w:p w14:paraId="3AA45F22">
            <w:pPr>
              <w:pStyle w:val="35"/>
              <w:outlineLvl w:val="9"/>
              <w:rPr>
                <w:rFonts w:hint="eastAsia" w:ascii="仿宋" w:hAnsi="仿宋" w:eastAsia="仿宋" w:cs="仿宋"/>
                <w:color w:val="auto"/>
                <w:sz w:val="24"/>
                <w:szCs w:val="22"/>
                <w:highlight w:val="none"/>
              </w:rPr>
            </w:pPr>
          </w:p>
          <w:p w14:paraId="3067CFEB">
            <w:pPr>
              <w:pStyle w:val="35"/>
              <w:spacing w:before="201" w:line="242" w:lineRule="auto"/>
              <w:ind w:left="276" w:right="30" w:hanging="240"/>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环保标志产品</w:t>
            </w:r>
          </w:p>
        </w:tc>
        <w:tc>
          <w:tcPr>
            <w:tcW w:w="2359" w:type="dxa"/>
            <w:tcBorders>
              <w:top w:val="single" w:color="000000" w:sz="6" w:space="0"/>
              <w:left w:val="single" w:color="000000" w:sz="6" w:space="0"/>
              <w:bottom w:val="single" w:color="000000" w:sz="6" w:space="0"/>
              <w:right w:val="single" w:color="000000" w:sz="6" w:space="0"/>
            </w:tcBorders>
          </w:tcPr>
          <w:p w14:paraId="5D9C3A43">
            <w:pPr>
              <w:pStyle w:val="35"/>
              <w:spacing w:before="2"/>
              <w:ind w:left="162" w:right="150"/>
              <w:jc w:val="center"/>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供应商提供的产品</w:t>
            </w:r>
          </w:p>
          <w:p w14:paraId="7440BF7D">
            <w:pPr>
              <w:pStyle w:val="35"/>
              <w:spacing w:before="5" w:line="282" w:lineRule="exact"/>
              <w:ind w:left="162" w:right="136"/>
              <w:jc w:val="center"/>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（规格型号）</w:t>
            </w:r>
          </w:p>
        </w:tc>
        <w:tc>
          <w:tcPr>
            <w:tcW w:w="1677" w:type="dxa"/>
            <w:tcBorders>
              <w:top w:val="single" w:color="000000" w:sz="6" w:space="0"/>
              <w:left w:val="single" w:color="000000" w:sz="6" w:space="0"/>
              <w:bottom w:val="single" w:color="000000" w:sz="6" w:space="0"/>
              <w:right w:val="single" w:color="000000" w:sz="6" w:space="0"/>
            </w:tcBorders>
          </w:tcPr>
          <w:p w14:paraId="2180D148">
            <w:pPr>
              <w:pStyle w:val="35"/>
              <w:spacing w:before="2"/>
              <w:ind w:left="243" w:right="231"/>
              <w:jc w:val="center"/>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生产者</w:t>
            </w:r>
          </w:p>
          <w:p w14:paraId="435C600F">
            <w:pPr>
              <w:pStyle w:val="35"/>
              <w:spacing w:before="5" w:line="282" w:lineRule="exact"/>
              <w:ind w:left="250" w:right="224"/>
              <w:jc w:val="center"/>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（制造商）</w:t>
            </w:r>
          </w:p>
        </w:tc>
        <w:tc>
          <w:tcPr>
            <w:tcW w:w="1994" w:type="dxa"/>
            <w:tcBorders>
              <w:top w:val="single" w:color="000000" w:sz="6" w:space="0"/>
              <w:left w:val="single" w:color="000000" w:sz="6" w:space="0"/>
              <w:bottom w:val="single" w:color="000000" w:sz="6" w:space="0"/>
              <w:right w:val="single" w:color="000000" w:sz="6" w:space="0"/>
            </w:tcBorders>
          </w:tcPr>
          <w:p w14:paraId="66D8A560">
            <w:pPr>
              <w:pStyle w:val="35"/>
              <w:spacing w:before="158"/>
              <w:ind w:left="534" w:right="509"/>
              <w:jc w:val="center"/>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证书编号</w:t>
            </w:r>
          </w:p>
        </w:tc>
        <w:tc>
          <w:tcPr>
            <w:tcW w:w="1745" w:type="dxa"/>
            <w:tcBorders>
              <w:top w:val="single" w:color="000000" w:sz="6" w:space="0"/>
              <w:left w:val="single" w:color="000000" w:sz="6" w:space="0"/>
              <w:bottom w:val="single" w:color="000000" w:sz="6" w:space="0"/>
            </w:tcBorders>
          </w:tcPr>
          <w:p w14:paraId="6ABCB07E">
            <w:pPr>
              <w:pStyle w:val="35"/>
              <w:spacing w:before="2"/>
              <w:ind w:left="134" w:right="100"/>
              <w:jc w:val="center"/>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所提供环保标志产品金</w:t>
            </w:r>
          </w:p>
          <w:p w14:paraId="00986207">
            <w:pPr>
              <w:pStyle w:val="35"/>
              <w:spacing w:before="5" w:line="282" w:lineRule="exact"/>
              <w:ind w:left="34"/>
              <w:jc w:val="center"/>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额</w:t>
            </w:r>
          </w:p>
        </w:tc>
      </w:tr>
      <w:tr w14:paraId="6D289F5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3" w:hRule="atLeast"/>
        </w:trPr>
        <w:tc>
          <w:tcPr>
            <w:tcW w:w="1127" w:type="dxa"/>
            <w:vMerge w:val="continue"/>
            <w:tcBorders>
              <w:top w:val="nil"/>
              <w:right w:val="single" w:color="000000" w:sz="6" w:space="0"/>
            </w:tcBorders>
          </w:tcPr>
          <w:p w14:paraId="409F076D">
            <w:pPr>
              <w:outlineLvl w:val="9"/>
              <w:rPr>
                <w:rFonts w:hint="eastAsia" w:ascii="仿宋" w:hAnsi="仿宋" w:eastAsia="仿宋" w:cs="仿宋"/>
                <w:color w:val="auto"/>
                <w:sz w:val="2"/>
                <w:szCs w:val="2"/>
                <w:highlight w:val="none"/>
              </w:rPr>
            </w:pPr>
          </w:p>
        </w:tc>
        <w:tc>
          <w:tcPr>
            <w:tcW w:w="2359" w:type="dxa"/>
            <w:tcBorders>
              <w:top w:val="single" w:color="000000" w:sz="6" w:space="0"/>
              <w:left w:val="single" w:color="000000" w:sz="6" w:space="0"/>
              <w:bottom w:val="single" w:color="000000" w:sz="6" w:space="0"/>
              <w:right w:val="single" w:color="000000" w:sz="6" w:space="0"/>
            </w:tcBorders>
          </w:tcPr>
          <w:p w14:paraId="29028478">
            <w:pPr>
              <w:pStyle w:val="35"/>
              <w:outlineLvl w:val="9"/>
              <w:rPr>
                <w:rFonts w:hint="eastAsia" w:ascii="仿宋" w:hAnsi="仿宋" w:eastAsia="仿宋" w:cs="仿宋"/>
                <w:color w:val="auto"/>
                <w:sz w:val="22"/>
                <w:szCs w:val="22"/>
                <w:highlight w:val="none"/>
              </w:rPr>
            </w:pPr>
          </w:p>
        </w:tc>
        <w:tc>
          <w:tcPr>
            <w:tcW w:w="1677" w:type="dxa"/>
            <w:tcBorders>
              <w:top w:val="single" w:color="000000" w:sz="6" w:space="0"/>
              <w:left w:val="single" w:color="000000" w:sz="6" w:space="0"/>
              <w:bottom w:val="single" w:color="000000" w:sz="6" w:space="0"/>
              <w:right w:val="single" w:color="000000" w:sz="6" w:space="0"/>
            </w:tcBorders>
          </w:tcPr>
          <w:p w14:paraId="182C52D3">
            <w:pPr>
              <w:pStyle w:val="35"/>
              <w:outlineLvl w:val="9"/>
              <w:rPr>
                <w:rFonts w:hint="eastAsia" w:ascii="仿宋" w:hAnsi="仿宋" w:eastAsia="仿宋" w:cs="仿宋"/>
                <w:color w:val="auto"/>
                <w:sz w:val="22"/>
                <w:szCs w:val="22"/>
                <w:highlight w:val="none"/>
              </w:rPr>
            </w:pPr>
          </w:p>
        </w:tc>
        <w:tc>
          <w:tcPr>
            <w:tcW w:w="1994" w:type="dxa"/>
            <w:tcBorders>
              <w:top w:val="single" w:color="000000" w:sz="6" w:space="0"/>
              <w:left w:val="single" w:color="000000" w:sz="6" w:space="0"/>
              <w:bottom w:val="single" w:color="000000" w:sz="6" w:space="0"/>
              <w:right w:val="single" w:color="000000" w:sz="6" w:space="0"/>
            </w:tcBorders>
          </w:tcPr>
          <w:p w14:paraId="2E84590A">
            <w:pPr>
              <w:pStyle w:val="35"/>
              <w:outlineLvl w:val="9"/>
              <w:rPr>
                <w:rFonts w:hint="eastAsia" w:ascii="仿宋" w:hAnsi="仿宋" w:eastAsia="仿宋" w:cs="仿宋"/>
                <w:color w:val="auto"/>
                <w:sz w:val="22"/>
                <w:szCs w:val="22"/>
                <w:highlight w:val="none"/>
              </w:rPr>
            </w:pPr>
          </w:p>
        </w:tc>
        <w:tc>
          <w:tcPr>
            <w:tcW w:w="1745" w:type="dxa"/>
            <w:tcBorders>
              <w:top w:val="single" w:color="000000" w:sz="6" w:space="0"/>
              <w:left w:val="single" w:color="000000" w:sz="6" w:space="0"/>
              <w:bottom w:val="single" w:color="000000" w:sz="6" w:space="0"/>
            </w:tcBorders>
          </w:tcPr>
          <w:p w14:paraId="65EC4A47">
            <w:pPr>
              <w:pStyle w:val="35"/>
              <w:outlineLvl w:val="9"/>
              <w:rPr>
                <w:rFonts w:hint="eastAsia" w:ascii="仿宋" w:hAnsi="仿宋" w:eastAsia="仿宋" w:cs="仿宋"/>
                <w:color w:val="auto"/>
                <w:sz w:val="22"/>
                <w:szCs w:val="22"/>
                <w:highlight w:val="none"/>
              </w:rPr>
            </w:pPr>
          </w:p>
        </w:tc>
      </w:tr>
      <w:tr w14:paraId="2F54432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3" w:hRule="atLeast"/>
        </w:trPr>
        <w:tc>
          <w:tcPr>
            <w:tcW w:w="1127" w:type="dxa"/>
            <w:vMerge w:val="continue"/>
            <w:tcBorders>
              <w:top w:val="nil"/>
              <w:right w:val="single" w:color="000000" w:sz="6" w:space="0"/>
            </w:tcBorders>
          </w:tcPr>
          <w:p w14:paraId="70964D70">
            <w:pPr>
              <w:outlineLvl w:val="9"/>
              <w:rPr>
                <w:rFonts w:hint="eastAsia" w:ascii="仿宋" w:hAnsi="仿宋" w:eastAsia="仿宋" w:cs="仿宋"/>
                <w:color w:val="auto"/>
                <w:sz w:val="2"/>
                <w:szCs w:val="2"/>
                <w:highlight w:val="none"/>
              </w:rPr>
            </w:pPr>
          </w:p>
        </w:tc>
        <w:tc>
          <w:tcPr>
            <w:tcW w:w="2359" w:type="dxa"/>
            <w:tcBorders>
              <w:top w:val="single" w:color="000000" w:sz="6" w:space="0"/>
              <w:left w:val="single" w:color="000000" w:sz="6" w:space="0"/>
              <w:bottom w:val="single" w:color="000000" w:sz="6" w:space="0"/>
              <w:right w:val="single" w:color="000000" w:sz="6" w:space="0"/>
            </w:tcBorders>
          </w:tcPr>
          <w:p w14:paraId="4136612B">
            <w:pPr>
              <w:pStyle w:val="35"/>
              <w:outlineLvl w:val="9"/>
              <w:rPr>
                <w:rFonts w:hint="eastAsia" w:ascii="仿宋" w:hAnsi="仿宋" w:eastAsia="仿宋" w:cs="仿宋"/>
                <w:color w:val="auto"/>
                <w:sz w:val="22"/>
                <w:szCs w:val="22"/>
                <w:highlight w:val="none"/>
              </w:rPr>
            </w:pPr>
          </w:p>
        </w:tc>
        <w:tc>
          <w:tcPr>
            <w:tcW w:w="1677" w:type="dxa"/>
            <w:tcBorders>
              <w:top w:val="single" w:color="000000" w:sz="6" w:space="0"/>
              <w:left w:val="single" w:color="000000" w:sz="6" w:space="0"/>
              <w:bottom w:val="single" w:color="000000" w:sz="6" w:space="0"/>
              <w:right w:val="single" w:color="000000" w:sz="6" w:space="0"/>
            </w:tcBorders>
          </w:tcPr>
          <w:p w14:paraId="5404B039">
            <w:pPr>
              <w:pStyle w:val="35"/>
              <w:outlineLvl w:val="9"/>
              <w:rPr>
                <w:rFonts w:hint="eastAsia" w:ascii="仿宋" w:hAnsi="仿宋" w:eastAsia="仿宋" w:cs="仿宋"/>
                <w:color w:val="auto"/>
                <w:sz w:val="22"/>
                <w:szCs w:val="22"/>
                <w:highlight w:val="none"/>
              </w:rPr>
            </w:pPr>
          </w:p>
        </w:tc>
        <w:tc>
          <w:tcPr>
            <w:tcW w:w="1994" w:type="dxa"/>
            <w:tcBorders>
              <w:top w:val="single" w:color="000000" w:sz="6" w:space="0"/>
              <w:left w:val="single" w:color="000000" w:sz="6" w:space="0"/>
              <w:bottom w:val="single" w:color="000000" w:sz="6" w:space="0"/>
              <w:right w:val="single" w:color="000000" w:sz="6" w:space="0"/>
            </w:tcBorders>
          </w:tcPr>
          <w:p w14:paraId="40989D61">
            <w:pPr>
              <w:pStyle w:val="35"/>
              <w:outlineLvl w:val="9"/>
              <w:rPr>
                <w:rFonts w:hint="eastAsia" w:ascii="仿宋" w:hAnsi="仿宋" w:eastAsia="仿宋" w:cs="仿宋"/>
                <w:color w:val="auto"/>
                <w:sz w:val="22"/>
                <w:szCs w:val="22"/>
                <w:highlight w:val="none"/>
              </w:rPr>
            </w:pPr>
          </w:p>
        </w:tc>
        <w:tc>
          <w:tcPr>
            <w:tcW w:w="1745" w:type="dxa"/>
            <w:tcBorders>
              <w:top w:val="single" w:color="000000" w:sz="6" w:space="0"/>
              <w:left w:val="single" w:color="000000" w:sz="6" w:space="0"/>
              <w:bottom w:val="single" w:color="000000" w:sz="6" w:space="0"/>
            </w:tcBorders>
          </w:tcPr>
          <w:p w14:paraId="70357450">
            <w:pPr>
              <w:pStyle w:val="35"/>
              <w:outlineLvl w:val="9"/>
              <w:rPr>
                <w:rFonts w:hint="eastAsia" w:ascii="仿宋" w:hAnsi="仿宋" w:eastAsia="仿宋" w:cs="仿宋"/>
                <w:color w:val="auto"/>
                <w:sz w:val="22"/>
                <w:szCs w:val="22"/>
                <w:highlight w:val="none"/>
              </w:rPr>
            </w:pPr>
          </w:p>
        </w:tc>
      </w:tr>
      <w:tr w14:paraId="4CA1FEA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81" w:hRule="atLeast"/>
        </w:trPr>
        <w:tc>
          <w:tcPr>
            <w:tcW w:w="1127" w:type="dxa"/>
            <w:vMerge w:val="continue"/>
            <w:tcBorders>
              <w:top w:val="nil"/>
              <w:right w:val="single" w:color="000000" w:sz="6" w:space="0"/>
            </w:tcBorders>
          </w:tcPr>
          <w:p w14:paraId="500586EA">
            <w:pPr>
              <w:outlineLvl w:val="9"/>
              <w:rPr>
                <w:rFonts w:hint="eastAsia" w:ascii="仿宋" w:hAnsi="仿宋" w:eastAsia="仿宋" w:cs="仿宋"/>
                <w:color w:val="auto"/>
                <w:sz w:val="2"/>
                <w:szCs w:val="2"/>
                <w:highlight w:val="none"/>
              </w:rPr>
            </w:pPr>
          </w:p>
        </w:tc>
        <w:tc>
          <w:tcPr>
            <w:tcW w:w="7775" w:type="dxa"/>
            <w:gridSpan w:val="4"/>
            <w:tcBorders>
              <w:top w:val="single" w:color="000000" w:sz="6" w:space="0"/>
              <w:left w:val="single" w:color="000000" w:sz="6" w:space="0"/>
            </w:tcBorders>
          </w:tcPr>
          <w:p w14:paraId="3967E088">
            <w:pPr>
              <w:pStyle w:val="35"/>
              <w:outlineLvl w:val="9"/>
              <w:rPr>
                <w:rFonts w:hint="eastAsia" w:ascii="仿宋" w:hAnsi="仿宋" w:eastAsia="仿宋" w:cs="仿宋"/>
                <w:color w:val="auto"/>
                <w:sz w:val="24"/>
                <w:szCs w:val="22"/>
                <w:highlight w:val="none"/>
              </w:rPr>
            </w:pPr>
          </w:p>
          <w:p w14:paraId="03E77A5D">
            <w:pPr>
              <w:pStyle w:val="35"/>
              <w:ind w:left="115"/>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环保标志产品总金额：</w:t>
            </w:r>
          </w:p>
          <w:p w14:paraId="1C26ADCF">
            <w:pPr>
              <w:pStyle w:val="35"/>
              <w:spacing w:before="9"/>
              <w:outlineLvl w:val="9"/>
              <w:rPr>
                <w:rFonts w:hint="eastAsia" w:ascii="仿宋" w:hAnsi="仿宋" w:eastAsia="仿宋" w:cs="仿宋"/>
                <w:color w:val="auto"/>
                <w:sz w:val="24"/>
                <w:szCs w:val="22"/>
                <w:highlight w:val="none"/>
              </w:rPr>
            </w:pPr>
          </w:p>
          <w:p w14:paraId="2412DAD3">
            <w:pPr>
              <w:pStyle w:val="35"/>
              <w:spacing w:line="288" w:lineRule="exact"/>
              <w:ind w:left="115"/>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环保标志产品占总报价比重：%</w:t>
            </w:r>
          </w:p>
        </w:tc>
      </w:tr>
    </w:tbl>
    <w:p w14:paraId="1429A5AD">
      <w:pP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38B21967">
      <w:pPr>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属于品目清单范围内的节能或环境标志产品，应当提供国家确定的认证机构出具的、处于有效期之内的节能产品或环境标志产品认证证书复印件，并加盖响应供应商单位的公章。</w:t>
      </w:r>
    </w:p>
    <w:p w14:paraId="1E9701EE">
      <w:pPr>
        <w:ind w:left="272"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1.未提供产品认证证书不予价格扣除。</w:t>
      </w:r>
    </w:p>
    <w:p w14:paraId="6475FFB4">
      <w:pPr>
        <w:outlineLvl w:val="9"/>
        <w:rPr>
          <w:rFonts w:hint="eastAsia" w:ascii="仿宋" w:hAnsi="仿宋" w:eastAsia="仿宋" w:cs="仿宋"/>
          <w:color w:val="auto"/>
          <w:sz w:val="24"/>
          <w:szCs w:val="24"/>
          <w:highlight w:val="none"/>
        </w:rPr>
      </w:pPr>
    </w:p>
    <w:p w14:paraId="5646F057">
      <w:pP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响应供应商名称（盖公章）：</w:t>
      </w:r>
    </w:p>
    <w:p w14:paraId="1619C226">
      <w:pPr>
        <w:outlineLvl w:val="9"/>
        <w:rPr>
          <w:rFonts w:hint="eastAsia" w:ascii="仿宋" w:hAnsi="仿宋" w:eastAsia="仿宋" w:cs="仿宋"/>
          <w:color w:val="auto"/>
          <w:sz w:val="24"/>
          <w:szCs w:val="24"/>
          <w:highlight w:val="none"/>
        </w:rPr>
      </w:pPr>
    </w:p>
    <w:p w14:paraId="7AE1208F">
      <w:pP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14:paraId="6100C4BB">
      <w:pPr>
        <w:outlineLvl w:val="9"/>
        <w:rPr>
          <w:rFonts w:hint="eastAsia" w:ascii="仿宋" w:hAnsi="仿宋" w:eastAsia="仿宋" w:cs="仿宋"/>
          <w:color w:val="auto"/>
          <w:highlight w:val="none"/>
        </w:rPr>
      </w:pPr>
    </w:p>
    <w:p w14:paraId="3E7387F5">
      <w:pPr>
        <w:outlineLvl w:val="9"/>
        <w:rPr>
          <w:rFonts w:hint="eastAsia" w:ascii="仿宋" w:hAnsi="仿宋" w:eastAsia="仿宋" w:cs="仿宋"/>
          <w:color w:val="auto"/>
          <w:highlight w:val="none"/>
        </w:rPr>
      </w:pPr>
    </w:p>
    <w:p w14:paraId="4AFC29FE">
      <w:pPr>
        <w:pStyle w:val="8"/>
        <w:outlineLvl w:val="9"/>
        <w:rPr>
          <w:rFonts w:hint="eastAsia" w:ascii="仿宋" w:hAnsi="仿宋" w:eastAsia="仿宋" w:cs="仿宋"/>
          <w:color w:val="auto"/>
          <w:highlight w:val="none"/>
        </w:rPr>
      </w:pPr>
    </w:p>
    <w:p w14:paraId="3450E207">
      <w:pPr>
        <w:pStyle w:val="8"/>
        <w:outlineLvl w:val="9"/>
        <w:rPr>
          <w:rFonts w:hint="eastAsia" w:ascii="仿宋" w:hAnsi="仿宋" w:eastAsia="仿宋" w:cs="仿宋"/>
          <w:color w:val="auto"/>
          <w:highlight w:val="none"/>
        </w:rPr>
      </w:pPr>
    </w:p>
    <w:p w14:paraId="0C7CAEE6">
      <w:pPr>
        <w:pStyle w:val="8"/>
        <w:outlineLvl w:val="9"/>
        <w:rPr>
          <w:rFonts w:hint="eastAsia" w:ascii="仿宋" w:hAnsi="仿宋" w:eastAsia="仿宋" w:cs="仿宋"/>
          <w:color w:val="auto"/>
          <w:highlight w:val="none"/>
        </w:rPr>
      </w:pPr>
    </w:p>
    <w:p w14:paraId="1630C62F">
      <w:pPr>
        <w:pStyle w:val="8"/>
        <w:outlineLvl w:val="9"/>
        <w:rPr>
          <w:rFonts w:hint="eastAsia" w:ascii="仿宋" w:hAnsi="仿宋" w:eastAsia="仿宋" w:cs="仿宋"/>
          <w:color w:val="auto"/>
          <w:highlight w:val="none"/>
        </w:rPr>
      </w:pPr>
    </w:p>
    <w:p w14:paraId="166DD71C">
      <w:pPr>
        <w:pStyle w:val="8"/>
        <w:outlineLvl w:val="9"/>
        <w:rPr>
          <w:rFonts w:hint="eastAsia" w:ascii="仿宋" w:hAnsi="仿宋" w:eastAsia="仿宋" w:cs="仿宋"/>
          <w:color w:val="auto"/>
          <w:highlight w:val="none"/>
        </w:rPr>
      </w:pPr>
    </w:p>
    <w:p w14:paraId="32111080">
      <w:pPr>
        <w:pStyle w:val="8"/>
        <w:outlineLvl w:val="9"/>
        <w:rPr>
          <w:rFonts w:hint="eastAsia" w:ascii="仿宋" w:hAnsi="仿宋" w:eastAsia="仿宋" w:cs="仿宋"/>
          <w:color w:val="auto"/>
          <w:highlight w:val="none"/>
        </w:rPr>
      </w:pPr>
    </w:p>
    <w:p w14:paraId="43D40916">
      <w:pPr>
        <w:outlineLvl w:val="9"/>
        <w:rPr>
          <w:rFonts w:hint="eastAsia" w:ascii="仿宋" w:hAnsi="仿宋" w:eastAsia="仿宋" w:cs="仿宋"/>
          <w:color w:val="auto"/>
          <w:highlight w:val="none"/>
        </w:rPr>
      </w:pPr>
    </w:p>
    <w:p w14:paraId="72EBACC5">
      <w:pPr>
        <w:pStyle w:val="8"/>
        <w:outlineLvl w:val="9"/>
        <w:rPr>
          <w:rFonts w:hint="eastAsia" w:ascii="仿宋" w:hAnsi="仿宋" w:eastAsia="仿宋" w:cs="仿宋"/>
          <w:color w:val="auto"/>
          <w:highlight w:val="none"/>
        </w:rPr>
      </w:pPr>
    </w:p>
    <w:p w14:paraId="4FC4DFE3">
      <w:pPr>
        <w:spacing w:line="360" w:lineRule="auto"/>
        <w:jc w:val="center"/>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zh-CN"/>
        </w:rPr>
        <w:t>附件</w:t>
      </w:r>
      <w:r>
        <w:rPr>
          <w:rFonts w:hint="eastAsia" w:ascii="仿宋" w:hAnsi="仿宋" w:eastAsia="仿宋" w:cs="仿宋"/>
          <w:b/>
          <w:bCs/>
          <w:color w:val="auto"/>
          <w:sz w:val="28"/>
          <w:szCs w:val="28"/>
          <w:highlight w:val="none"/>
        </w:rPr>
        <w:t>13、主要股东或出资人信息</w:t>
      </w:r>
    </w:p>
    <w:tbl>
      <w:tblPr>
        <w:tblStyle w:val="24"/>
        <w:tblW w:w="96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14:paraId="7ABCB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jc w:val="center"/>
        </w:trPr>
        <w:tc>
          <w:tcPr>
            <w:tcW w:w="810" w:type="dxa"/>
            <w:vAlign w:val="center"/>
          </w:tcPr>
          <w:p w14:paraId="36BEF8BF">
            <w:pPr>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287" w:type="dxa"/>
            <w:vAlign w:val="center"/>
          </w:tcPr>
          <w:p w14:paraId="7E2330D6">
            <w:pPr>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p w14:paraId="0A2A3C3B">
            <w:pPr>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2340" w:type="dxa"/>
            <w:vAlign w:val="center"/>
          </w:tcPr>
          <w:p w14:paraId="3FB9B4C1">
            <w:pPr>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统一社会信用代码</w:t>
            </w:r>
          </w:p>
          <w:p w14:paraId="4320D4AA">
            <w:pPr>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（身份证号）</w:t>
            </w:r>
          </w:p>
        </w:tc>
        <w:tc>
          <w:tcPr>
            <w:tcW w:w="1404" w:type="dxa"/>
            <w:vAlign w:val="center"/>
          </w:tcPr>
          <w:p w14:paraId="198F260D">
            <w:pPr>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出资方式</w:t>
            </w:r>
          </w:p>
        </w:tc>
        <w:tc>
          <w:tcPr>
            <w:tcW w:w="1493" w:type="dxa"/>
            <w:vAlign w:val="center"/>
          </w:tcPr>
          <w:p w14:paraId="11A87A24">
            <w:pPr>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出资金额</w:t>
            </w:r>
          </w:p>
          <w:p w14:paraId="4F2202CD">
            <w:pPr>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315" w:type="dxa"/>
            <w:vAlign w:val="center"/>
          </w:tcPr>
          <w:p w14:paraId="14B56EB4">
            <w:pPr>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占全部股份比例</w:t>
            </w:r>
          </w:p>
        </w:tc>
        <w:tc>
          <w:tcPr>
            <w:tcW w:w="957" w:type="dxa"/>
            <w:vAlign w:val="center"/>
          </w:tcPr>
          <w:p w14:paraId="0D1E30AD">
            <w:pPr>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58F83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vAlign w:val="center"/>
          </w:tcPr>
          <w:p w14:paraId="2ACB3B77">
            <w:pPr>
              <w:jc w:val="center"/>
              <w:outlineLvl w:val="9"/>
              <w:rPr>
                <w:rFonts w:hint="eastAsia" w:ascii="仿宋" w:hAnsi="仿宋" w:eastAsia="仿宋" w:cs="仿宋"/>
                <w:color w:val="auto"/>
                <w:szCs w:val="21"/>
                <w:highlight w:val="none"/>
              </w:rPr>
            </w:pPr>
          </w:p>
        </w:tc>
        <w:tc>
          <w:tcPr>
            <w:tcW w:w="1287" w:type="dxa"/>
            <w:vAlign w:val="center"/>
          </w:tcPr>
          <w:p w14:paraId="19673A5B">
            <w:pPr>
              <w:jc w:val="center"/>
              <w:outlineLvl w:val="9"/>
              <w:rPr>
                <w:rFonts w:hint="eastAsia" w:ascii="仿宋" w:hAnsi="仿宋" w:eastAsia="仿宋" w:cs="仿宋"/>
                <w:color w:val="auto"/>
                <w:szCs w:val="21"/>
                <w:highlight w:val="none"/>
              </w:rPr>
            </w:pPr>
          </w:p>
        </w:tc>
        <w:tc>
          <w:tcPr>
            <w:tcW w:w="2340" w:type="dxa"/>
            <w:vAlign w:val="center"/>
          </w:tcPr>
          <w:p w14:paraId="44087E61">
            <w:pPr>
              <w:jc w:val="center"/>
              <w:outlineLvl w:val="9"/>
              <w:rPr>
                <w:rFonts w:hint="eastAsia" w:ascii="仿宋" w:hAnsi="仿宋" w:eastAsia="仿宋" w:cs="仿宋"/>
                <w:color w:val="auto"/>
                <w:szCs w:val="21"/>
                <w:highlight w:val="none"/>
              </w:rPr>
            </w:pPr>
          </w:p>
        </w:tc>
        <w:tc>
          <w:tcPr>
            <w:tcW w:w="1404" w:type="dxa"/>
            <w:vAlign w:val="center"/>
          </w:tcPr>
          <w:p w14:paraId="1A402C44">
            <w:pPr>
              <w:jc w:val="center"/>
              <w:outlineLvl w:val="9"/>
              <w:rPr>
                <w:rFonts w:hint="eastAsia" w:ascii="仿宋" w:hAnsi="仿宋" w:eastAsia="仿宋" w:cs="仿宋"/>
                <w:color w:val="auto"/>
                <w:szCs w:val="21"/>
                <w:highlight w:val="none"/>
              </w:rPr>
            </w:pPr>
          </w:p>
        </w:tc>
        <w:tc>
          <w:tcPr>
            <w:tcW w:w="1493" w:type="dxa"/>
            <w:vAlign w:val="center"/>
          </w:tcPr>
          <w:p w14:paraId="63FC10CD">
            <w:pPr>
              <w:jc w:val="center"/>
              <w:outlineLvl w:val="9"/>
              <w:rPr>
                <w:rFonts w:hint="eastAsia" w:ascii="仿宋" w:hAnsi="仿宋" w:eastAsia="仿宋" w:cs="仿宋"/>
                <w:color w:val="auto"/>
                <w:szCs w:val="21"/>
                <w:highlight w:val="none"/>
              </w:rPr>
            </w:pPr>
          </w:p>
        </w:tc>
        <w:tc>
          <w:tcPr>
            <w:tcW w:w="1315" w:type="dxa"/>
            <w:vAlign w:val="center"/>
          </w:tcPr>
          <w:p w14:paraId="41E04096">
            <w:pPr>
              <w:jc w:val="center"/>
              <w:outlineLvl w:val="9"/>
              <w:rPr>
                <w:rFonts w:hint="eastAsia" w:ascii="仿宋" w:hAnsi="仿宋" w:eastAsia="仿宋" w:cs="仿宋"/>
                <w:color w:val="auto"/>
                <w:szCs w:val="21"/>
                <w:highlight w:val="none"/>
              </w:rPr>
            </w:pPr>
          </w:p>
        </w:tc>
        <w:tc>
          <w:tcPr>
            <w:tcW w:w="957" w:type="dxa"/>
            <w:vAlign w:val="center"/>
          </w:tcPr>
          <w:p w14:paraId="340742B3">
            <w:pPr>
              <w:jc w:val="center"/>
              <w:outlineLvl w:val="9"/>
              <w:rPr>
                <w:rFonts w:hint="eastAsia" w:ascii="仿宋" w:hAnsi="仿宋" w:eastAsia="仿宋" w:cs="仿宋"/>
                <w:color w:val="auto"/>
                <w:szCs w:val="21"/>
                <w:highlight w:val="none"/>
              </w:rPr>
            </w:pPr>
          </w:p>
        </w:tc>
      </w:tr>
      <w:tr w14:paraId="7EC25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vAlign w:val="center"/>
          </w:tcPr>
          <w:p w14:paraId="0BC94A32">
            <w:pPr>
              <w:jc w:val="center"/>
              <w:outlineLvl w:val="9"/>
              <w:rPr>
                <w:rFonts w:hint="eastAsia" w:ascii="仿宋" w:hAnsi="仿宋" w:eastAsia="仿宋" w:cs="仿宋"/>
                <w:color w:val="auto"/>
                <w:szCs w:val="21"/>
                <w:highlight w:val="none"/>
              </w:rPr>
            </w:pPr>
          </w:p>
        </w:tc>
        <w:tc>
          <w:tcPr>
            <w:tcW w:w="1287" w:type="dxa"/>
            <w:vAlign w:val="center"/>
          </w:tcPr>
          <w:p w14:paraId="238F302F">
            <w:pPr>
              <w:jc w:val="center"/>
              <w:outlineLvl w:val="9"/>
              <w:rPr>
                <w:rFonts w:hint="eastAsia" w:ascii="仿宋" w:hAnsi="仿宋" w:eastAsia="仿宋" w:cs="仿宋"/>
                <w:color w:val="auto"/>
                <w:szCs w:val="21"/>
                <w:highlight w:val="none"/>
              </w:rPr>
            </w:pPr>
          </w:p>
        </w:tc>
        <w:tc>
          <w:tcPr>
            <w:tcW w:w="2340" w:type="dxa"/>
            <w:vAlign w:val="center"/>
          </w:tcPr>
          <w:p w14:paraId="1BAECD8A">
            <w:pPr>
              <w:jc w:val="center"/>
              <w:outlineLvl w:val="9"/>
              <w:rPr>
                <w:rFonts w:hint="eastAsia" w:ascii="仿宋" w:hAnsi="仿宋" w:eastAsia="仿宋" w:cs="仿宋"/>
                <w:color w:val="auto"/>
                <w:szCs w:val="21"/>
                <w:highlight w:val="none"/>
              </w:rPr>
            </w:pPr>
          </w:p>
        </w:tc>
        <w:tc>
          <w:tcPr>
            <w:tcW w:w="1404" w:type="dxa"/>
            <w:vAlign w:val="center"/>
          </w:tcPr>
          <w:p w14:paraId="6BEAE500">
            <w:pPr>
              <w:jc w:val="center"/>
              <w:outlineLvl w:val="9"/>
              <w:rPr>
                <w:rFonts w:hint="eastAsia" w:ascii="仿宋" w:hAnsi="仿宋" w:eastAsia="仿宋" w:cs="仿宋"/>
                <w:color w:val="auto"/>
                <w:szCs w:val="21"/>
                <w:highlight w:val="none"/>
              </w:rPr>
            </w:pPr>
          </w:p>
        </w:tc>
        <w:tc>
          <w:tcPr>
            <w:tcW w:w="1493" w:type="dxa"/>
            <w:vAlign w:val="center"/>
          </w:tcPr>
          <w:p w14:paraId="0ACF375C">
            <w:pPr>
              <w:jc w:val="center"/>
              <w:outlineLvl w:val="9"/>
              <w:rPr>
                <w:rFonts w:hint="eastAsia" w:ascii="仿宋" w:hAnsi="仿宋" w:eastAsia="仿宋" w:cs="仿宋"/>
                <w:color w:val="auto"/>
                <w:szCs w:val="21"/>
                <w:highlight w:val="none"/>
              </w:rPr>
            </w:pPr>
          </w:p>
        </w:tc>
        <w:tc>
          <w:tcPr>
            <w:tcW w:w="1315" w:type="dxa"/>
            <w:vAlign w:val="center"/>
          </w:tcPr>
          <w:p w14:paraId="2FA1D735">
            <w:pPr>
              <w:jc w:val="center"/>
              <w:outlineLvl w:val="9"/>
              <w:rPr>
                <w:rFonts w:hint="eastAsia" w:ascii="仿宋" w:hAnsi="仿宋" w:eastAsia="仿宋" w:cs="仿宋"/>
                <w:color w:val="auto"/>
                <w:szCs w:val="21"/>
                <w:highlight w:val="none"/>
              </w:rPr>
            </w:pPr>
          </w:p>
        </w:tc>
        <w:tc>
          <w:tcPr>
            <w:tcW w:w="957" w:type="dxa"/>
            <w:vAlign w:val="center"/>
          </w:tcPr>
          <w:p w14:paraId="18B6FB04">
            <w:pPr>
              <w:jc w:val="center"/>
              <w:outlineLvl w:val="9"/>
              <w:rPr>
                <w:rFonts w:hint="eastAsia" w:ascii="仿宋" w:hAnsi="仿宋" w:eastAsia="仿宋" w:cs="仿宋"/>
                <w:color w:val="auto"/>
                <w:szCs w:val="21"/>
                <w:highlight w:val="none"/>
              </w:rPr>
            </w:pPr>
          </w:p>
        </w:tc>
      </w:tr>
      <w:tr w14:paraId="2C4B8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vAlign w:val="center"/>
          </w:tcPr>
          <w:p w14:paraId="4E6E7CC9">
            <w:pPr>
              <w:jc w:val="center"/>
              <w:outlineLvl w:val="9"/>
              <w:rPr>
                <w:rFonts w:hint="eastAsia" w:ascii="仿宋" w:hAnsi="仿宋" w:eastAsia="仿宋" w:cs="仿宋"/>
                <w:color w:val="auto"/>
                <w:szCs w:val="21"/>
                <w:highlight w:val="none"/>
              </w:rPr>
            </w:pPr>
          </w:p>
        </w:tc>
        <w:tc>
          <w:tcPr>
            <w:tcW w:w="1287" w:type="dxa"/>
            <w:vAlign w:val="center"/>
          </w:tcPr>
          <w:p w14:paraId="2362A5CD">
            <w:pPr>
              <w:jc w:val="center"/>
              <w:outlineLvl w:val="9"/>
              <w:rPr>
                <w:rFonts w:hint="eastAsia" w:ascii="仿宋" w:hAnsi="仿宋" w:eastAsia="仿宋" w:cs="仿宋"/>
                <w:color w:val="auto"/>
                <w:szCs w:val="21"/>
                <w:highlight w:val="none"/>
              </w:rPr>
            </w:pPr>
          </w:p>
        </w:tc>
        <w:tc>
          <w:tcPr>
            <w:tcW w:w="2340" w:type="dxa"/>
            <w:vAlign w:val="center"/>
          </w:tcPr>
          <w:p w14:paraId="4B4863E9">
            <w:pPr>
              <w:jc w:val="center"/>
              <w:outlineLvl w:val="9"/>
              <w:rPr>
                <w:rFonts w:hint="eastAsia" w:ascii="仿宋" w:hAnsi="仿宋" w:eastAsia="仿宋" w:cs="仿宋"/>
                <w:color w:val="auto"/>
                <w:szCs w:val="21"/>
                <w:highlight w:val="none"/>
              </w:rPr>
            </w:pPr>
          </w:p>
        </w:tc>
        <w:tc>
          <w:tcPr>
            <w:tcW w:w="1404" w:type="dxa"/>
            <w:vAlign w:val="center"/>
          </w:tcPr>
          <w:p w14:paraId="5D5070DA">
            <w:pPr>
              <w:jc w:val="center"/>
              <w:outlineLvl w:val="9"/>
              <w:rPr>
                <w:rFonts w:hint="eastAsia" w:ascii="仿宋" w:hAnsi="仿宋" w:eastAsia="仿宋" w:cs="仿宋"/>
                <w:color w:val="auto"/>
                <w:szCs w:val="21"/>
                <w:highlight w:val="none"/>
              </w:rPr>
            </w:pPr>
          </w:p>
        </w:tc>
        <w:tc>
          <w:tcPr>
            <w:tcW w:w="1493" w:type="dxa"/>
            <w:vAlign w:val="center"/>
          </w:tcPr>
          <w:p w14:paraId="0B3CD645">
            <w:pPr>
              <w:jc w:val="center"/>
              <w:outlineLvl w:val="9"/>
              <w:rPr>
                <w:rFonts w:hint="eastAsia" w:ascii="仿宋" w:hAnsi="仿宋" w:eastAsia="仿宋" w:cs="仿宋"/>
                <w:color w:val="auto"/>
                <w:szCs w:val="21"/>
                <w:highlight w:val="none"/>
              </w:rPr>
            </w:pPr>
          </w:p>
        </w:tc>
        <w:tc>
          <w:tcPr>
            <w:tcW w:w="1315" w:type="dxa"/>
            <w:vAlign w:val="center"/>
          </w:tcPr>
          <w:p w14:paraId="461D5C92">
            <w:pPr>
              <w:jc w:val="center"/>
              <w:outlineLvl w:val="9"/>
              <w:rPr>
                <w:rFonts w:hint="eastAsia" w:ascii="仿宋" w:hAnsi="仿宋" w:eastAsia="仿宋" w:cs="仿宋"/>
                <w:color w:val="auto"/>
                <w:szCs w:val="21"/>
                <w:highlight w:val="none"/>
              </w:rPr>
            </w:pPr>
          </w:p>
        </w:tc>
        <w:tc>
          <w:tcPr>
            <w:tcW w:w="957" w:type="dxa"/>
            <w:vAlign w:val="center"/>
          </w:tcPr>
          <w:p w14:paraId="5FED2555">
            <w:pPr>
              <w:jc w:val="center"/>
              <w:outlineLvl w:val="9"/>
              <w:rPr>
                <w:rFonts w:hint="eastAsia" w:ascii="仿宋" w:hAnsi="仿宋" w:eastAsia="仿宋" w:cs="仿宋"/>
                <w:color w:val="auto"/>
                <w:szCs w:val="21"/>
                <w:highlight w:val="none"/>
              </w:rPr>
            </w:pPr>
          </w:p>
        </w:tc>
      </w:tr>
      <w:tr w14:paraId="0033A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vAlign w:val="center"/>
          </w:tcPr>
          <w:p w14:paraId="04C7A463">
            <w:pPr>
              <w:jc w:val="center"/>
              <w:outlineLvl w:val="9"/>
              <w:rPr>
                <w:rFonts w:hint="eastAsia" w:ascii="仿宋" w:hAnsi="仿宋" w:eastAsia="仿宋" w:cs="仿宋"/>
                <w:color w:val="auto"/>
                <w:szCs w:val="21"/>
                <w:highlight w:val="none"/>
              </w:rPr>
            </w:pPr>
          </w:p>
        </w:tc>
        <w:tc>
          <w:tcPr>
            <w:tcW w:w="1287" w:type="dxa"/>
            <w:vAlign w:val="center"/>
          </w:tcPr>
          <w:p w14:paraId="76A45C6A">
            <w:pPr>
              <w:jc w:val="center"/>
              <w:outlineLvl w:val="9"/>
              <w:rPr>
                <w:rFonts w:hint="eastAsia" w:ascii="仿宋" w:hAnsi="仿宋" w:eastAsia="仿宋" w:cs="仿宋"/>
                <w:color w:val="auto"/>
                <w:szCs w:val="21"/>
                <w:highlight w:val="none"/>
              </w:rPr>
            </w:pPr>
          </w:p>
        </w:tc>
        <w:tc>
          <w:tcPr>
            <w:tcW w:w="2340" w:type="dxa"/>
            <w:vAlign w:val="center"/>
          </w:tcPr>
          <w:p w14:paraId="2C5F0CAB">
            <w:pPr>
              <w:jc w:val="center"/>
              <w:outlineLvl w:val="9"/>
              <w:rPr>
                <w:rFonts w:hint="eastAsia" w:ascii="仿宋" w:hAnsi="仿宋" w:eastAsia="仿宋" w:cs="仿宋"/>
                <w:color w:val="auto"/>
                <w:szCs w:val="21"/>
                <w:highlight w:val="none"/>
              </w:rPr>
            </w:pPr>
          </w:p>
        </w:tc>
        <w:tc>
          <w:tcPr>
            <w:tcW w:w="1404" w:type="dxa"/>
            <w:vAlign w:val="center"/>
          </w:tcPr>
          <w:p w14:paraId="46C4AA8F">
            <w:pPr>
              <w:jc w:val="center"/>
              <w:outlineLvl w:val="9"/>
              <w:rPr>
                <w:rFonts w:hint="eastAsia" w:ascii="仿宋" w:hAnsi="仿宋" w:eastAsia="仿宋" w:cs="仿宋"/>
                <w:color w:val="auto"/>
                <w:szCs w:val="21"/>
                <w:highlight w:val="none"/>
              </w:rPr>
            </w:pPr>
          </w:p>
        </w:tc>
        <w:tc>
          <w:tcPr>
            <w:tcW w:w="1493" w:type="dxa"/>
            <w:vAlign w:val="center"/>
          </w:tcPr>
          <w:p w14:paraId="75F14495">
            <w:pPr>
              <w:jc w:val="center"/>
              <w:outlineLvl w:val="9"/>
              <w:rPr>
                <w:rFonts w:hint="eastAsia" w:ascii="仿宋" w:hAnsi="仿宋" w:eastAsia="仿宋" w:cs="仿宋"/>
                <w:color w:val="auto"/>
                <w:szCs w:val="21"/>
                <w:highlight w:val="none"/>
              </w:rPr>
            </w:pPr>
          </w:p>
        </w:tc>
        <w:tc>
          <w:tcPr>
            <w:tcW w:w="1315" w:type="dxa"/>
            <w:vAlign w:val="center"/>
          </w:tcPr>
          <w:p w14:paraId="613914C1">
            <w:pPr>
              <w:jc w:val="center"/>
              <w:outlineLvl w:val="9"/>
              <w:rPr>
                <w:rFonts w:hint="eastAsia" w:ascii="仿宋" w:hAnsi="仿宋" w:eastAsia="仿宋" w:cs="仿宋"/>
                <w:color w:val="auto"/>
                <w:szCs w:val="21"/>
                <w:highlight w:val="none"/>
              </w:rPr>
            </w:pPr>
          </w:p>
        </w:tc>
        <w:tc>
          <w:tcPr>
            <w:tcW w:w="957" w:type="dxa"/>
            <w:vAlign w:val="center"/>
          </w:tcPr>
          <w:p w14:paraId="498532AD">
            <w:pPr>
              <w:jc w:val="center"/>
              <w:outlineLvl w:val="9"/>
              <w:rPr>
                <w:rFonts w:hint="eastAsia" w:ascii="仿宋" w:hAnsi="仿宋" w:eastAsia="仿宋" w:cs="仿宋"/>
                <w:color w:val="auto"/>
                <w:szCs w:val="21"/>
                <w:highlight w:val="none"/>
              </w:rPr>
            </w:pPr>
          </w:p>
        </w:tc>
      </w:tr>
      <w:tr w14:paraId="6F95B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vAlign w:val="center"/>
          </w:tcPr>
          <w:p w14:paraId="1D32DC1A">
            <w:pPr>
              <w:jc w:val="center"/>
              <w:outlineLvl w:val="9"/>
              <w:rPr>
                <w:rFonts w:hint="eastAsia" w:ascii="仿宋" w:hAnsi="仿宋" w:eastAsia="仿宋" w:cs="仿宋"/>
                <w:color w:val="auto"/>
                <w:szCs w:val="22"/>
                <w:highlight w:val="none"/>
              </w:rPr>
            </w:pPr>
          </w:p>
        </w:tc>
        <w:tc>
          <w:tcPr>
            <w:tcW w:w="1287" w:type="dxa"/>
            <w:vAlign w:val="center"/>
          </w:tcPr>
          <w:p w14:paraId="3F9FB9C3">
            <w:pPr>
              <w:jc w:val="center"/>
              <w:outlineLvl w:val="9"/>
              <w:rPr>
                <w:rFonts w:hint="eastAsia" w:ascii="仿宋" w:hAnsi="仿宋" w:eastAsia="仿宋" w:cs="仿宋"/>
                <w:color w:val="auto"/>
                <w:szCs w:val="22"/>
                <w:highlight w:val="none"/>
              </w:rPr>
            </w:pPr>
          </w:p>
        </w:tc>
        <w:tc>
          <w:tcPr>
            <w:tcW w:w="2340" w:type="dxa"/>
            <w:vAlign w:val="center"/>
          </w:tcPr>
          <w:p w14:paraId="79A21B35">
            <w:pPr>
              <w:jc w:val="center"/>
              <w:outlineLvl w:val="9"/>
              <w:rPr>
                <w:rFonts w:hint="eastAsia" w:ascii="仿宋" w:hAnsi="仿宋" w:eastAsia="仿宋" w:cs="仿宋"/>
                <w:color w:val="auto"/>
                <w:szCs w:val="22"/>
                <w:highlight w:val="none"/>
              </w:rPr>
            </w:pPr>
          </w:p>
        </w:tc>
        <w:tc>
          <w:tcPr>
            <w:tcW w:w="1404" w:type="dxa"/>
            <w:vAlign w:val="center"/>
          </w:tcPr>
          <w:p w14:paraId="22C5FB55">
            <w:pPr>
              <w:jc w:val="center"/>
              <w:outlineLvl w:val="9"/>
              <w:rPr>
                <w:rFonts w:hint="eastAsia" w:ascii="仿宋" w:hAnsi="仿宋" w:eastAsia="仿宋" w:cs="仿宋"/>
                <w:color w:val="auto"/>
                <w:szCs w:val="22"/>
                <w:highlight w:val="none"/>
              </w:rPr>
            </w:pPr>
          </w:p>
        </w:tc>
        <w:tc>
          <w:tcPr>
            <w:tcW w:w="1493" w:type="dxa"/>
            <w:vAlign w:val="center"/>
          </w:tcPr>
          <w:p w14:paraId="3E2EF3C5">
            <w:pPr>
              <w:jc w:val="center"/>
              <w:outlineLvl w:val="9"/>
              <w:rPr>
                <w:rFonts w:hint="eastAsia" w:ascii="仿宋" w:hAnsi="仿宋" w:eastAsia="仿宋" w:cs="仿宋"/>
                <w:color w:val="auto"/>
                <w:szCs w:val="22"/>
                <w:highlight w:val="none"/>
              </w:rPr>
            </w:pPr>
          </w:p>
        </w:tc>
        <w:tc>
          <w:tcPr>
            <w:tcW w:w="1315" w:type="dxa"/>
            <w:vAlign w:val="center"/>
          </w:tcPr>
          <w:p w14:paraId="32104FE1">
            <w:pPr>
              <w:jc w:val="center"/>
              <w:outlineLvl w:val="9"/>
              <w:rPr>
                <w:rFonts w:hint="eastAsia" w:ascii="仿宋" w:hAnsi="仿宋" w:eastAsia="仿宋" w:cs="仿宋"/>
                <w:color w:val="auto"/>
                <w:szCs w:val="22"/>
                <w:highlight w:val="none"/>
              </w:rPr>
            </w:pPr>
          </w:p>
        </w:tc>
        <w:tc>
          <w:tcPr>
            <w:tcW w:w="957" w:type="dxa"/>
            <w:vAlign w:val="center"/>
          </w:tcPr>
          <w:p w14:paraId="6DBA1D21">
            <w:pPr>
              <w:jc w:val="center"/>
              <w:outlineLvl w:val="9"/>
              <w:rPr>
                <w:rFonts w:hint="eastAsia" w:ascii="仿宋" w:hAnsi="仿宋" w:eastAsia="仿宋" w:cs="仿宋"/>
                <w:color w:val="auto"/>
                <w:szCs w:val="22"/>
                <w:highlight w:val="none"/>
              </w:rPr>
            </w:pPr>
          </w:p>
        </w:tc>
      </w:tr>
    </w:tbl>
    <w:p w14:paraId="544D046F">
      <w:pPr>
        <w:spacing w:line="48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我方承诺，以上信息真实可靠；如填报的股东出资额、出资比例等与实际不符，视为放弃中标资格。</w:t>
      </w:r>
    </w:p>
    <w:p w14:paraId="65820F74">
      <w:pPr>
        <w:spacing w:line="480" w:lineRule="exact"/>
        <w:ind w:left="630" w:hanging="630" w:hangingChars="300"/>
        <w:outlineLvl w:val="9"/>
        <w:rPr>
          <w:rFonts w:hint="eastAsia" w:ascii="仿宋" w:hAnsi="仿宋" w:eastAsia="仿宋" w:cs="仿宋"/>
          <w:color w:val="auto"/>
          <w:highlight w:val="none"/>
        </w:rPr>
      </w:pPr>
    </w:p>
    <w:p w14:paraId="3A2EF9BB">
      <w:pPr>
        <w:snapToGrid w:val="0"/>
        <w:spacing w:line="440" w:lineRule="exact"/>
        <w:ind w:left="630" w:hanging="720" w:hangingChars="3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注：1.主要股东或出资人为法人的，填写法人全称及统一社会信用代码（尚未办理三证合一的填写组织机构代码）；为自然人的，填写自然人姓名和身份证号。</w:t>
      </w:r>
    </w:p>
    <w:p w14:paraId="6648B53C">
      <w:pPr>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2.出资方式填写货币、实物、工艺产权和非专利技术、土地使用权等。</w:t>
      </w:r>
    </w:p>
    <w:p w14:paraId="739D20D5">
      <w:pPr>
        <w:snapToGrid w:val="0"/>
        <w:spacing w:line="440" w:lineRule="exact"/>
        <w:ind w:left="660" w:leftChars="200" w:hanging="240" w:hanging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3.供应商应按照占全部股份比例从大到小依次逐个股东填写，股东数量多于10个的，填写前10名，不足10个的全部填写。</w:t>
      </w:r>
    </w:p>
    <w:p w14:paraId="5BA114E6">
      <w:pPr>
        <w:spacing w:line="480" w:lineRule="exact"/>
        <w:ind w:left="540" w:leftChars="200" w:hanging="120" w:hangingChars="50"/>
        <w:outlineLvl w:val="9"/>
        <w:rPr>
          <w:rFonts w:hint="eastAsia" w:ascii="仿宋" w:hAnsi="仿宋" w:eastAsia="仿宋" w:cs="仿宋"/>
          <w:color w:val="auto"/>
          <w:sz w:val="24"/>
          <w:szCs w:val="24"/>
          <w:highlight w:val="none"/>
        </w:rPr>
      </w:pPr>
    </w:p>
    <w:p w14:paraId="00873144">
      <w:pPr>
        <w:spacing w:line="480" w:lineRule="exact"/>
        <w:ind w:left="540" w:leftChars="200" w:hanging="120" w:hangingChars="50"/>
        <w:outlineLvl w:val="9"/>
        <w:rPr>
          <w:rFonts w:hint="eastAsia" w:ascii="仿宋" w:hAnsi="仿宋" w:eastAsia="仿宋" w:cs="仿宋"/>
          <w:color w:val="auto"/>
          <w:sz w:val="24"/>
          <w:szCs w:val="24"/>
          <w:highlight w:val="none"/>
        </w:rPr>
      </w:pPr>
    </w:p>
    <w:p w14:paraId="35561D41">
      <w:pPr>
        <w:spacing w:line="480" w:lineRule="exact"/>
        <w:ind w:left="540" w:leftChars="200" w:hanging="120" w:hangingChars="50"/>
        <w:outlineLvl w:val="9"/>
        <w:rPr>
          <w:rFonts w:hint="eastAsia" w:ascii="仿宋" w:hAnsi="仿宋" w:eastAsia="仿宋" w:cs="仿宋"/>
          <w:color w:val="auto"/>
          <w:sz w:val="24"/>
          <w:szCs w:val="24"/>
          <w:highlight w:val="none"/>
        </w:rPr>
      </w:pPr>
    </w:p>
    <w:p w14:paraId="21DBB1CA">
      <w:pPr>
        <w:jc w:val="center"/>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供应商全称：（盖章）</w:t>
      </w:r>
    </w:p>
    <w:p w14:paraId="7390D812">
      <w:pPr>
        <w:jc w:val="center"/>
        <w:outlineLvl w:val="9"/>
        <w:rPr>
          <w:rFonts w:hint="eastAsia" w:ascii="仿宋" w:hAnsi="仿宋" w:eastAsia="仿宋" w:cs="仿宋"/>
          <w:color w:val="auto"/>
          <w:sz w:val="24"/>
          <w:szCs w:val="24"/>
          <w:highlight w:val="none"/>
          <w:lang w:val="zh-CN"/>
        </w:rPr>
      </w:pPr>
    </w:p>
    <w:p w14:paraId="7AD38F46">
      <w:pPr>
        <w:jc w:val="center"/>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              法定代表人（或授权代表）：（签字）</w:t>
      </w:r>
    </w:p>
    <w:p w14:paraId="00B50FA3">
      <w:pPr>
        <w:outlineLvl w:val="9"/>
        <w:rPr>
          <w:rFonts w:hint="eastAsia" w:ascii="仿宋" w:hAnsi="仿宋" w:eastAsia="仿宋" w:cs="仿宋"/>
          <w:color w:val="auto"/>
          <w:sz w:val="24"/>
          <w:szCs w:val="24"/>
          <w:highlight w:val="none"/>
          <w:lang w:val="zh-CN"/>
        </w:rPr>
      </w:pPr>
    </w:p>
    <w:p w14:paraId="65515287">
      <w:pPr>
        <w:pStyle w:val="8"/>
        <w:ind w:firstLine="6960" w:firstLineChars="2900"/>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年   月   日</w:t>
      </w:r>
    </w:p>
    <w:p w14:paraId="7D63AA76">
      <w:pPr>
        <w:outlineLvl w:val="9"/>
        <w:rPr>
          <w:rFonts w:hint="eastAsia" w:ascii="仿宋" w:hAnsi="仿宋" w:eastAsia="仿宋" w:cs="仿宋"/>
          <w:b/>
          <w:color w:val="auto"/>
          <w:sz w:val="24"/>
          <w:szCs w:val="24"/>
          <w:highlight w:val="none"/>
        </w:rPr>
      </w:pPr>
    </w:p>
    <w:p w14:paraId="08C919A8">
      <w:pPr>
        <w:outlineLvl w:val="9"/>
        <w:rPr>
          <w:rFonts w:hint="eastAsia" w:ascii="仿宋" w:hAnsi="仿宋" w:eastAsia="仿宋" w:cs="仿宋"/>
          <w:b/>
          <w:color w:val="auto"/>
          <w:sz w:val="24"/>
          <w:szCs w:val="24"/>
          <w:highlight w:val="none"/>
        </w:rPr>
      </w:pPr>
    </w:p>
    <w:p w14:paraId="045B699C">
      <w:pPr>
        <w:outlineLvl w:val="9"/>
        <w:rPr>
          <w:rFonts w:hint="eastAsia" w:ascii="仿宋" w:hAnsi="仿宋" w:eastAsia="仿宋" w:cs="仿宋"/>
          <w:b/>
          <w:color w:val="auto"/>
          <w:sz w:val="24"/>
          <w:szCs w:val="24"/>
          <w:highlight w:val="none"/>
        </w:rPr>
      </w:pPr>
    </w:p>
    <w:p w14:paraId="1921375D">
      <w:pPr>
        <w:outlineLvl w:val="9"/>
        <w:rPr>
          <w:rFonts w:hint="eastAsia" w:ascii="仿宋" w:hAnsi="仿宋" w:eastAsia="仿宋" w:cs="仿宋"/>
          <w:b/>
          <w:color w:val="auto"/>
          <w:sz w:val="24"/>
          <w:szCs w:val="24"/>
          <w:highlight w:val="none"/>
        </w:rPr>
      </w:pPr>
    </w:p>
    <w:p w14:paraId="400EF856">
      <w:pPr>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45A7967E">
      <w:pPr>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附件14、非联合体投标声明</w:t>
      </w:r>
    </w:p>
    <w:p w14:paraId="3A3D090E">
      <w:pPr>
        <w:outlineLvl w:val="9"/>
        <w:rPr>
          <w:rFonts w:hint="eastAsia" w:ascii="仿宋" w:hAnsi="仿宋" w:eastAsia="仿宋" w:cs="仿宋"/>
          <w:b/>
          <w:color w:val="auto"/>
          <w:sz w:val="32"/>
          <w:szCs w:val="32"/>
          <w:highlight w:val="none"/>
        </w:rPr>
      </w:pPr>
    </w:p>
    <w:p w14:paraId="7FD22134">
      <w:pPr>
        <w:ind w:firstLine="642"/>
        <w:outlineLvl w:val="9"/>
        <w:rPr>
          <w:rFonts w:hint="eastAsia" w:ascii="仿宋" w:hAnsi="仿宋" w:eastAsia="仿宋" w:cs="仿宋"/>
          <w:b/>
          <w:color w:val="auto"/>
          <w:sz w:val="24"/>
          <w:szCs w:val="24"/>
          <w:highlight w:val="none"/>
        </w:rPr>
      </w:pPr>
    </w:p>
    <w:p w14:paraId="0C02075C">
      <w:pPr>
        <w:ind w:firstLine="642"/>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本项目非联合体投标，特此声明。</w:t>
      </w:r>
    </w:p>
    <w:p w14:paraId="60597EB8">
      <w:pPr>
        <w:ind w:firstLine="642"/>
        <w:outlineLvl w:val="9"/>
        <w:rPr>
          <w:rFonts w:hint="eastAsia" w:ascii="仿宋" w:hAnsi="仿宋" w:eastAsia="仿宋" w:cs="仿宋"/>
          <w:b/>
          <w:color w:val="auto"/>
          <w:sz w:val="24"/>
          <w:szCs w:val="24"/>
          <w:highlight w:val="none"/>
        </w:rPr>
      </w:pPr>
    </w:p>
    <w:p w14:paraId="1D50D2F3">
      <w:pPr>
        <w:ind w:firstLine="642"/>
        <w:outlineLvl w:val="9"/>
        <w:rPr>
          <w:rFonts w:hint="eastAsia" w:ascii="仿宋" w:hAnsi="仿宋" w:eastAsia="仿宋" w:cs="仿宋"/>
          <w:b/>
          <w:color w:val="auto"/>
          <w:sz w:val="24"/>
          <w:szCs w:val="24"/>
          <w:highlight w:val="none"/>
        </w:rPr>
      </w:pPr>
    </w:p>
    <w:p w14:paraId="67C2DFB5">
      <w:pPr>
        <w:spacing w:line="720" w:lineRule="auto"/>
        <w:ind w:firstLine="642"/>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供应商（公章）：</w:t>
      </w:r>
    </w:p>
    <w:p w14:paraId="7936F735">
      <w:pPr>
        <w:spacing w:line="720" w:lineRule="auto"/>
        <w:ind w:firstLine="642"/>
        <w:jc w:val="center"/>
        <w:outlineLvl w:val="9"/>
        <w:rPr>
          <w:rFonts w:hint="eastAsia" w:ascii="仿宋" w:hAnsi="仿宋" w:eastAsia="仿宋" w:cs="仿宋"/>
          <w:b/>
          <w:color w:val="auto"/>
          <w:sz w:val="32"/>
          <w:szCs w:val="32"/>
          <w:highlight w:val="none"/>
        </w:rPr>
      </w:pPr>
      <w:r>
        <w:rPr>
          <w:rFonts w:hint="eastAsia" w:ascii="仿宋" w:hAnsi="仿宋" w:eastAsia="仿宋" w:cs="仿宋"/>
          <w:b/>
          <w:color w:val="auto"/>
          <w:sz w:val="24"/>
          <w:szCs w:val="24"/>
          <w:highlight w:val="none"/>
        </w:rPr>
        <w:t xml:space="preserve">                                    法定代表人或授权委托人签字：</w:t>
      </w:r>
    </w:p>
    <w:p w14:paraId="12E98F13">
      <w:pPr>
        <w:pStyle w:val="8"/>
        <w:spacing w:line="720" w:lineRule="auto"/>
        <w:ind w:firstLine="5301" w:firstLineChars="2200"/>
        <w:outlineLvl w:val="9"/>
        <w:rPr>
          <w:rFonts w:hint="eastAsia"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lang w:val="en-US"/>
        </w:rPr>
        <w:t>日期：</w:t>
      </w:r>
    </w:p>
    <w:p w14:paraId="596C57A4">
      <w:pPr>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4FF48677">
      <w:pPr>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附件15、无重大违法记录声明函</w:t>
      </w:r>
    </w:p>
    <w:p w14:paraId="2472FC41">
      <w:pPr>
        <w:spacing w:before="55" w:line="360" w:lineRule="auto"/>
        <w:ind w:right="2656"/>
        <w:jc w:val="left"/>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致：</w:t>
      </w:r>
      <w:r>
        <w:rPr>
          <w:rFonts w:hint="eastAsia" w:ascii="仿宋" w:hAnsi="仿宋" w:eastAsia="仿宋" w:cs="仿宋"/>
          <w:color w:val="auto"/>
          <w:spacing w:val="6"/>
          <w:sz w:val="24"/>
          <w:szCs w:val="24"/>
          <w:highlight w:val="none"/>
        </w:rPr>
        <w:t>______（采购人名称）</w:t>
      </w:r>
    </w:p>
    <w:p w14:paraId="0F8C2D39">
      <w:pPr>
        <w:pStyle w:val="10"/>
        <w:spacing w:line="360" w:lineRule="auto"/>
        <w:ind w:left="902" w:hanging="482"/>
        <w:jc w:val="left"/>
        <w:outlineLvl w:val="9"/>
        <w:rPr>
          <w:rFonts w:hint="eastAsia" w:ascii="仿宋" w:hAnsi="仿宋" w:eastAsia="仿宋" w:cs="仿宋"/>
          <w:color w:val="auto"/>
          <w:spacing w:val="6"/>
          <w:sz w:val="24"/>
          <w:szCs w:val="24"/>
          <w:highlight w:val="none"/>
        </w:rPr>
      </w:pPr>
      <w:r>
        <w:rPr>
          <w:rFonts w:hint="eastAsia" w:ascii="仿宋" w:hAnsi="仿宋" w:eastAsia="仿宋" w:cs="仿宋"/>
          <w:b/>
          <w:bCs/>
          <w:color w:val="auto"/>
          <w:sz w:val="24"/>
          <w:szCs w:val="24"/>
          <w:highlight w:val="none"/>
        </w:rPr>
        <w:t>我单位</w:t>
      </w:r>
      <w:r>
        <w:rPr>
          <w:rFonts w:hint="eastAsia" w:ascii="仿宋" w:hAnsi="仿宋" w:eastAsia="仿宋" w:cs="仿宋"/>
          <w:color w:val="auto"/>
          <w:spacing w:val="6"/>
          <w:sz w:val="24"/>
          <w:szCs w:val="24"/>
          <w:highlight w:val="none"/>
        </w:rPr>
        <w:t>______(供应商名称）近三年内，在参加政府采购活动中没有重大违法记录，特此声明。</w:t>
      </w:r>
    </w:p>
    <w:p w14:paraId="48BDE30E">
      <w:pPr>
        <w:pStyle w:val="11"/>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若招标采购单位在本项目采购过程中发现我单位近三年内在政府采购活动中有重大违法记录，我单位将无条件地退出本项目的招标，并承担因此引起的一切后果。</w:t>
      </w:r>
    </w:p>
    <w:p w14:paraId="50CE8424">
      <w:pPr>
        <w:pStyle w:val="11"/>
        <w:spacing w:line="360" w:lineRule="auto"/>
        <w:outlineLvl w:val="9"/>
        <w:rPr>
          <w:rFonts w:hint="eastAsia" w:ascii="仿宋" w:hAnsi="仿宋" w:eastAsia="仿宋" w:cs="仿宋"/>
          <w:color w:val="auto"/>
          <w:sz w:val="24"/>
          <w:szCs w:val="24"/>
          <w:highlight w:val="none"/>
        </w:rPr>
      </w:pPr>
    </w:p>
    <w:p w14:paraId="4707599D">
      <w:pPr>
        <w:pStyle w:val="11"/>
        <w:spacing w:line="360" w:lineRule="auto"/>
        <w:ind w:firstLine="420"/>
        <w:jc w:val="left"/>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 xml:space="preserve">供应商名称（单位公章）： </w:t>
      </w:r>
      <w:r>
        <w:rPr>
          <w:rFonts w:hint="eastAsia" w:ascii="仿宋" w:hAnsi="仿宋" w:eastAsia="仿宋" w:cs="仿宋"/>
          <w:color w:val="auto"/>
          <w:spacing w:val="6"/>
          <w:sz w:val="24"/>
          <w:szCs w:val="24"/>
          <w:highlight w:val="none"/>
        </w:rPr>
        <w:t>______</w:t>
      </w:r>
    </w:p>
    <w:p w14:paraId="6E7E4D0A">
      <w:pPr>
        <w:pStyle w:val="11"/>
        <w:spacing w:line="360" w:lineRule="auto"/>
        <w:ind w:firstLine="420"/>
        <w:jc w:val="left"/>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法定代表人（印章或签字）：______</w:t>
      </w:r>
    </w:p>
    <w:p w14:paraId="470509DC">
      <w:pPr>
        <w:pStyle w:val="11"/>
        <w:spacing w:line="360" w:lineRule="auto"/>
        <w:ind w:firstLine="420"/>
        <w:jc w:val="left"/>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日期：   年    月   日</w:t>
      </w:r>
    </w:p>
    <w:p w14:paraId="4DFCE34F">
      <w:pPr>
        <w:spacing w:line="360" w:lineRule="auto"/>
        <w:jc w:val="center"/>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r>
        <w:rPr>
          <w:rFonts w:hint="eastAsia" w:ascii="仿宋" w:hAnsi="仿宋" w:eastAsia="仿宋" w:cs="仿宋"/>
          <w:b/>
          <w:bCs/>
          <w:color w:val="auto"/>
          <w:sz w:val="28"/>
          <w:szCs w:val="28"/>
          <w:highlight w:val="none"/>
        </w:rPr>
        <w:t>附件16、产品简要说明一览表</w:t>
      </w:r>
    </w:p>
    <w:p w14:paraId="0A9F6DA9">
      <w:pPr>
        <w:spacing w:line="360" w:lineRule="auto"/>
        <w:outlineLvl w:val="9"/>
        <w:rPr>
          <w:rFonts w:hint="eastAsia" w:ascii="仿宋" w:hAnsi="仿宋" w:eastAsia="仿宋" w:cs="仿宋"/>
          <w:b/>
          <w:color w:val="auto"/>
          <w:sz w:val="30"/>
          <w:highlight w:val="none"/>
        </w:rPr>
      </w:pPr>
      <w:r>
        <w:rPr>
          <w:rFonts w:hint="eastAsia" w:ascii="仿宋" w:hAnsi="仿宋" w:eastAsia="仿宋" w:cs="仿宋"/>
          <w:b/>
          <w:color w:val="auto"/>
          <w:sz w:val="24"/>
          <w:szCs w:val="24"/>
          <w:highlight w:val="none"/>
        </w:rPr>
        <w:t xml:space="preserve">供应商名称（公章）：                           项目编号：    </w:t>
      </w:r>
    </w:p>
    <w:tbl>
      <w:tblPr>
        <w:tblStyle w:val="24"/>
        <w:tblW w:w="88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146"/>
        <w:gridCol w:w="3702"/>
        <w:gridCol w:w="1518"/>
        <w:gridCol w:w="1856"/>
      </w:tblGrid>
      <w:tr w14:paraId="40D0B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654" w:type="dxa"/>
            <w:vAlign w:val="center"/>
          </w:tcPr>
          <w:p w14:paraId="779CFA5C">
            <w:pPr>
              <w:spacing w:line="360" w:lineRule="auto"/>
              <w:jc w:val="center"/>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1146" w:type="dxa"/>
            <w:vAlign w:val="center"/>
          </w:tcPr>
          <w:p w14:paraId="7F07B9C4">
            <w:pPr>
              <w:spacing w:line="360" w:lineRule="auto"/>
              <w:jc w:val="center"/>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产品名称</w:t>
            </w:r>
          </w:p>
        </w:tc>
        <w:tc>
          <w:tcPr>
            <w:tcW w:w="3702" w:type="dxa"/>
            <w:vAlign w:val="center"/>
          </w:tcPr>
          <w:p w14:paraId="4055C8C4">
            <w:pPr>
              <w:spacing w:line="360" w:lineRule="auto"/>
              <w:jc w:val="center"/>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品牌、规格型号及主要技术参数</w:t>
            </w:r>
          </w:p>
        </w:tc>
        <w:tc>
          <w:tcPr>
            <w:tcW w:w="1518" w:type="dxa"/>
            <w:vAlign w:val="center"/>
          </w:tcPr>
          <w:p w14:paraId="76571B48">
            <w:pPr>
              <w:spacing w:line="360" w:lineRule="auto"/>
              <w:jc w:val="center"/>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性能说明</w:t>
            </w:r>
          </w:p>
        </w:tc>
        <w:tc>
          <w:tcPr>
            <w:tcW w:w="1856" w:type="dxa"/>
            <w:vAlign w:val="center"/>
          </w:tcPr>
          <w:p w14:paraId="3A656FE5">
            <w:pPr>
              <w:spacing w:line="360" w:lineRule="auto"/>
              <w:jc w:val="center"/>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备注</w:t>
            </w:r>
          </w:p>
        </w:tc>
      </w:tr>
      <w:tr w14:paraId="13B7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654" w:type="dxa"/>
            <w:vAlign w:val="center"/>
          </w:tcPr>
          <w:p w14:paraId="48CFEEDF">
            <w:pPr>
              <w:spacing w:line="360" w:lineRule="auto"/>
              <w:jc w:val="center"/>
              <w:outlineLvl w:val="9"/>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c>
          <w:tcPr>
            <w:tcW w:w="1146" w:type="dxa"/>
            <w:vAlign w:val="center"/>
          </w:tcPr>
          <w:p w14:paraId="562A8C9F">
            <w:pPr>
              <w:spacing w:line="360" w:lineRule="auto"/>
              <w:jc w:val="center"/>
              <w:outlineLvl w:val="9"/>
              <w:rPr>
                <w:rFonts w:hint="eastAsia" w:ascii="仿宋" w:hAnsi="仿宋" w:eastAsia="仿宋" w:cs="仿宋"/>
                <w:color w:val="auto"/>
                <w:sz w:val="18"/>
                <w:szCs w:val="18"/>
                <w:highlight w:val="none"/>
              </w:rPr>
            </w:pPr>
          </w:p>
        </w:tc>
        <w:tc>
          <w:tcPr>
            <w:tcW w:w="3702" w:type="dxa"/>
            <w:vAlign w:val="center"/>
          </w:tcPr>
          <w:p w14:paraId="4BF61857">
            <w:pPr>
              <w:spacing w:line="360" w:lineRule="auto"/>
              <w:jc w:val="center"/>
              <w:outlineLvl w:val="9"/>
              <w:rPr>
                <w:rFonts w:hint="eastAsia" w:ascii="仿宋" w:hAnsi="仿宋" w:eastAsia="仿宋" w:cs="仿宋"/>
                <w:color w:val="auto"/>
                <w:sz w:val="18"/>
                <w:szCs w:val="18"/>
                <w:highlight w:val="none"/>
              </w:rPr>
            </w:pPr>
          </w:p>
        </w:tc>
        <w:tc>
          <w:tcPr>
            <w:tcW w:w="1518" w:type="dxa"/>
            <w:vAlign w:val="center"/>
          </w:tcPr>
          <w:p w14:paraId="1917D338">
            <w:pPr>
              <w:spacing w:line="360" w:lineRule="auto"/>
              <w:jc w:val="center"/>
              <w:outlineLvl w:val="9"/>
              <w:rPr>
                <w:rFonts w:hint="eastAsia" w:ascii="仿宋" w:hAnsi="仿宋" w:eastAsia="仿宋" w:cs="仿宋"/>
                <w:color w:val="auto"/>
                <w:sz w:val="18"/>
                <w:szCs w:val="18"/>
                <w:highlight w:val="none"/>
              </w:rPr>
            </w:pPr>
          </w:p>
        </w:tc>
        <w:tc>
          <w:tcPr>
            <w:tcW w:w="1856" w:type="dxa"/>
            <w:vAlign w:val="center"/>
          </w:tcPr>
          <w:p w14:paraId="2581E034">
            <w:pPr>
              <w:spacing w:line="360" w:lineRule="auto"/>
              <w:jc w:val="center"/>
              <w:outlineLvl w:val="9"/>
              <w:rPr>
                <w:rFonts w:hint="eastAsia" w:ascii="仿宋" w:hAnsi="仿宋" w:eastAsia="仿宋" w:cs="仿宋"/>
                <w:color w:val="auto"/>
                <w:sz w:val="18"/>
                <w:szCs w:val="18"/>
                <w:highlight w:val="none"/>
              </w:rPr>
            </w:pPr>
          </w:p>
        </w:tc>
      </w:tr>
      <w:tr w14:paraId="5A38A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trPr>
        <w:tc>
          <w:tcPr>
            <w:tcW w:w="654" w:type="dxa"/>
            <w:vAlign w:val="center"/>
          </w:tcPr>
          <w:p w14:paraId="055EEE2D">
            <w:pPr>
              <w:spacing w:line="360" w:lineRule="auto"/>
              <w:jc w:val="center"/>
              <w:outlineLvl w:val="9"/>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c>
          <w:tcPr>
            <w:tcW w:w="1146" w:type="dxa"/>
            <w:vAlign w:val="center"/>
          </w:tcPr>
          <w:p w14:paraId="7BA7B692">
            <w:pPr>
              <w:spacing w:line="360" w:lineRule="auto"/>
              <w:jc w:val="center"/>
              <w:outlineLvl w:val="9"/>
              <w:rPr>
                <w:rFonts w:hint="eastAsia" w:ascii="仿宋" w:hAnsi="仿宋" w:eastAsia="仿宋" w:cs="仿宋"/>
                <w:color w:val="auto"/>
                <w:sz w:val="18"/>
                <w:szCs w:val="18"/>
                <w:highlight w:val="none"/>
              </w:rPr>
            </w:pPr>
          </w:p>
        </w:tc>
        <w:tc>
          <w:tcPr>
            <w:tcW w:w="3702" w:type="dxa"/>
            <w:vAlign w:val="center"/>
          </w:tcPr>
          <w:p w14:paraId="728F6844">
            <w:pPr>
              <w:spacing w:line="360" w:lineRule="auto"/>
              <w:jc w:val="center"/>
              <w:outlineLvl w:val="9"/>
              <w:rPr>
                <w:rFonts w:hint="eastAsia" w:ascii="仿宋" w:hAnsi="仿宋" w:eastAsia="仿宋" w:cs="仿宋"/>
                <w:color w:val="auto"/>
                <w:sz w:val="18"/>
                <w:szCs w:val="18"/>
                <w:highlight w:val="none"/>
              </w:rPr>
            </w:pPr>
          </w:p>
        </w:tc>
        <w:tc>
          <w:tcPr>
            <w:tcW w:w="1518" w:type="dxa"/>
            <w:vAlign w:val="center"/>
          </w:tcPr>
          <w:p w14:paraId="1B77989D">
            <w:pPr>
              <w:spacing w:line="360" w:lineRule="auto"/>
              <w:jc w:val="center"/>
              <w:outlineLvl w:val="9"/>
              <w:rPr>
                <w:rFonts w:hint="eastAsia" w:ascii="仿宋" w:hAnsi="仿宋" w:eastAsia="仿宋" w:cs="仿宋"/>
                <w:color w:val="auto"/>
                <w:sz w:val="18"/>
                <w:szCs w:val="18"/>
                <w:highlight w:val="none"/>
              </w:rPr>
            </w:pPr>
          </w:p>
        </w:tc>
        <w:tc>
          <w:tcPr>
            <w:tcW w:w="1856" w:type="dxa"/>
            <w:vAlign w:val="center"/>
          </w:tcPr>
          <w:p w14:paraId="0C62E0F4">
            <w:pPr>
              <w:spacing w:line="360" w:lineRule="auto"/>
              <w:jc w:val="center"/>
              <w:outlineLvl w:val="9"/>
              <w:rPr>
                <w:rFonts w:hint="eastAsia" w:ascii="仿宋" w:hAnsi="仿宋" w:eastAsia="仿宋" w:cs="仿宋"/>
                <w:color w:val="auto"/>
                <w:sz w:val="18"/>
                <w:szCs w:val="18"/>
                <w:highlight w:val="none"/>
              </w:rPr>
            </w:pPr>
          </w:p>
        </w:tc>
      </w:tr>
      <w:tr w14:paraId="1191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trPr>
        <w:tc>
          <w:tcPr>
            <w:tcW w:w="654" w:type="dxa"/>
            <w:vAlign w:val="center"/>
          </w:tcPr>
          <w:p w14:paraId="7AEDF055">
            <w:pPr>
              <w:spacing w:line="360" w:lineRule="auto"/>
              <w:jc w:val="center"/>
              <w:outlineLvl w:val="9"/>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w:t>
            </w:r>
          </w:p>
        </w:tc>
        <w:tc>
          <w:tcPr>
            <w:tcW w:w="1146" w:type="dxa"/>
            <w:vAlign w:val="center"/>
          </w:tcPr>
          <w:p w14:paraId="0330D572">
            <w:pPr>
              <w:spacing w:line="360" w:lineRule="auto"/>
              <w:jc w:val="center"/>
              <w:outlineLvl w:val="9"/>
              <w:rPr>
                <w:rFonts w:hint="eastAsia" w:ascii="仿宋" w:hAnsi="仿宋" w:eastAsia="仿宋" w:cs="仿宋"/>
                <w:color w:val="auto"/>
                <w:sz w:val="18"/>
                <w:szCs w:val="18"/>
                <w:highlight w:val="none"/>
              </w:rPr>
            </w:pPr>
          </w:p>
        </w:tc>
        <w:tc>
          <w:tcPr>
            <w:tcW w:w="3702" w:type="dxa"/>
            <w:vAlign w:val="center"/>
          </w:tcPr>
          <w:p w14:paraId="63D11283">
            <w:pPr>
              <w:spacing w:line="360" w:lineRule="auto"/>
              <w:jc w:val="center"/>
              <w:outlineLvl w:val="9"/>
              <w:rPr>
                <w:rFonts w:hint="eastAsia" w:ascii="仿宋" w:hAnsi="仿宋" w:eastAsia="仿宋" w:cs="仿宋"/>
                <w:color w:val="auto"/>
                <w:sz w:val="18"/>
                <w:szCs w:val="18"/>
                <w:highlight w:val="none"/>
              </w:rPr>
            </w:pPr>
          </w:p>
        </w:tc>
        <w:tc>
          <w:tcPr>
            <w:tcW w:w="1518" w:type="dxa"/>
            <w:vAlign w:val="center"/>
          </w:tcPr>
          <w:p w14:paraId="4CBD8412">
            <w:pPr>
              <w:spacing w:line="360" w:lineRule="auto"/>
              <w:jc w:val="center"/>
              <w:outlineLvl w:val="9"/>
              <w:rPr>
                <w:rFonts w:hint="eastAsia" w:ascii="仿宋" w:hAnsi="仿宋" w:eastAsia="仿宋" w:cs="仿宋"/>
                <w:color w:val="auto"/>
                <w:sz w:val="18"/>
                <w:szCs w:val="18"/>
                <w:highlight w:val="none"/>
              </w:rPr>
            </w:pPr>
          </w:p>
        </w:tc>
        <w:tc>
          <w:tcPr>
            <w:tcW w:w="1856" w:type="dxa"/>
            <w:vAlign w:val="center"/>
          </w:tcPr>
          <w:p w14:paraId="27B7153D">
            <w:pPr>
              <w:spacing w:line="360" w:lineRule="auto"/>
              <w:jc w:val="center"/>
              <w:outlineLvl w:val="9"/>
              <w:rPr>
                <w:rFonts w:hint="eastAsia" w:ascii="仿宋" w:hAnsi="仿宋" w:eastAsia="仿宋" w:cs="仿宋"/>
                <w:color w:val="auto"/>
                <w:sz w:val="18"/>
                <w:szCs w:val="18"/>
                <w:highlight w:val="none"/>
              </w:rPr>
            </w:pPr>
          </w:p>
        </w:tc>
      </w:tr>
      <w:tr w14:paraId="3C932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54" w:type="dxa"/>
            <w:vAlign w:val="center"/>
          </w:tcPr>
          <w:p w14:paraId="77F40E8B">
            <w:pPr>
              <w:spacing w:line="360" w:lineRule="auto"/>
              <w:jc w:val="center"/>
              <w:outlineLvl w:val="9"/>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p>
        </w:tc>
        <w:tc>
          <w:tcPr>
            <w:tcW w:w="1146" w:type="dxa"/>
            <w:vAlign w:val="center"/>
          </w:tcPr>
          <w:p w14:paraId="60726D58">
            <w:pPr>
              <w:spacing w:line="360" w:lineRule="auto"/>
              <w:jc w:val="center"/>
              <w:outlineLvl w:val="9"/>
              <w:rPr>
                <w:rFonts w:hint="eastAsia" w:ascii="仿宋" w:hAnsi="仿宋" w:eastAsia="仿宋" w:cs="仿宋"/>
                <w:color w:val="auto"/>
                <w:sz w:val="18"/>
                <w:szCs w:val="18"/>
                <w:highlight w:val="none"/>
              </w:rPr>
            </w:pPr>
          </w:p>
        </w:tc>
        <w:tc>
          <w:tcPr>
            <w:tcW w:w="3702" w:type="dxa"/>
            <w:vAlign w:val="center"/>
          </w:tcPr>
          <w:p w14:paraId="355C2ED4">
            <w:pPr>
              <w:spacing w:line="360" w:lineRule="auto"/>
              <w:jc w:val="center"/>
              <w:outlineLvl w:val="9"/>
              <w:rPr>
                <w:rFonts w:hint="eastAsia" w:ascii="仿宋" w:hAnsi="仿宋" w:eastAsia="仿宋" w:cs="仿宋"/>
                <w:color w:val="auto"/>
                <w:sz w:val="18"/>
                <w:szCs w:val="18"/>
                <w:highlight w:val="none"/>
              </w:rPr>
            </w:pPr>
          </w:p>
        </w:tc>
        <w:tc>
          <w:tcPr>
            <w:tcW w:w="1518" w:type="dxa"/>
            <w:vAlign w:val="center"/>
          </w:tcPr>
          <w:p w14:paraId="78C732C0">
            <w:pPr>
              <w:spacing w:line="360" w:lineRule="auto"/>
              <w:jc w:val="center"/>
              <w:outlineLvl w:val="9"/>
              <w:rPr>
                <w:rFonts w:hint="eastAsia" w:ascii="仿宋" w:hAnsi="仿宋" w:eastAsia="仿宋" w:cs="仿宋"/>
                <w:color w:val="auto"/>
                <w:sz w:val="18"/>
                <w:szCs w:val="18"/>
                <w:highlight w:val="none"/>
              </w:rPr>
            </w:pPr>
          </w:p>
        </w:tc>
        <w:tc>
          <w:tcPr>
            <w:tcW w:w="1856" w:type="dxa"/>
            <w:vAlign w:val="center"/>
          </w:tcPr>
          <w:p w14:paraId="673BD5E4">
            <w:pPr>
              <w:spacing w:line="360" w:lineRule="auto"/>
              <w:jc w:val="center"/>
              <w:outlineLvl w:val="9"/>
              <w:rPr>
                <w:rFonts w:hint="eastAsia" w:ascii="仿宋" w:hAnsi="仿宋" w:eastAsia="仿宋" w:cs="仿宋"/>
                <w:color w:val="auto"/>
                <w:sz w:val="18"/>
                <w:szCs w:val="18"/>
                <w:highlight w:val="none"/>
              </w:rPr>
            </w:pPr>
          </w:p>
        </w:tc>
      </w:tr>
    </w:tbl>
    <w:p w14:paraId="7854C030">
      <w:pPr>
        <w:spacing w:line="480" w:lineRule="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注：此表需详列投标的每种产品。</w:t>
      </w:r>
    </w:p>
    <w:p w14:paraId="1AA09085">
      <w:pPr>
        <w:spacing w:line="480" w:lineRule="auto"/>
        <w:ind w:left="2880" w:hanging="2880"/>
        <w:outlineLvl w:val="9"/>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供应商代表签字：</w:t>
      </w:r>
      <w:r>
        <w:rPr>
          <w:rFonts w:hint="eastAsia" w:ascii="仿宋" w:hAnsi="仿宋" w:eastAsia="仿宋" w:cs="仿宋"/>
          <w:b/>
          <w:color w:val="auto"/>
          <w:sz w:val="24"/>
          <w:highlight w:val="none"/>
          <w:u w:val="single"/>
        </w:rPr>
        <w:t>　　　　　　　　　　</w:t>
      </w:r>
    </w:p>
    <w:p w14:paraId="78A1D740">
      <w:pPr>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41EA25F0">
      <w:pPr>
        <w:adjustRightInd w:val="0"/>
        <w:snapToGrid w:val="0"/>
        <w:spacing w:beforeLines="50"/>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附件17、投标产品技术规格及要求详述</w:t>
      </w:r>
    </w:p>
    <w:p w14:paraId="650A7BBC">
      <w:pPr>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0F084608">
      <w:pPr>
        <w:adjustRightInd w:val="0"/>
        <w:snapToGrid w:val="0"/>
        <w:spacing w:beforeLines="50"/>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附件18、备品、备件清单</w:t>
      </w:r>
    </w:p>
    <w:p w14:paraId="289F4B3B">
      <w:pPr>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4E2D877F">
      <w:pPr>
        <w:adjustRightInd w:val="0"/>
        <w:snapToGrid w:val="0"/>
        <w:spacing w:beforeLines="50"/>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附件19、产品规格报价明细表</w:t>
      </w:r>
    </w:p>
    <w:p w14:paraId="4CC9BD87">
      <w:pPr>
        <w:spacing w:line="360" w:lineRule="auto"/>
        <w:outlineLvl w:val="9"/>
        <w:rPr>
          <w:rFonts w:hint="eastAsia" w:ascii="仿宋" w:hAnsi="仿宋" w:eastAsia="仿宋" w:cs="仿宋"/>
          <w:b w:val="0"/>
          <w:bCs/>
          <w:color w:val="auto"/>
          <w:sz w:val="24"/>
          <w:highlight w:val="none"/>
          <w:u w:val="single"/>
        </w:rPr>
      </w:pPr>
      <w:r>
        <w:rPr>
          <w:rFonts w:hint="eastAsia" w:ascii="仿宋" w:hAnsi="仿宋" w:eastAsia="仿宋" w:cs="仿宋"/>
          <w:b w:val="0"/>
          <w:bCs/>
          <w:color w:val="auto"/>
          <w:sz w:val="24"/>
          <w:highlight w:val="none"/>
        </w:rPr>
        <w:t xml:space="preserve">供应商名称（公章）：                             项目编号：    </w:t>
      </w:r>
    </w:p>
    <w:tbl>
      <w:tblPr>
        <w:tblStyle w:val="24"/>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116"/>
        <w:gridCol w:w="2593"/>
        <w:gridCol w:w="652"/>
        <w:gridCol w:w="1400"/>
        <w:gridCol w:w="1400"/>
        <w:gridCol w:w="1103"/>
        <w:gridCol w:w="767"/>
      </w:tblGrid>
      <w:tr w14:paraId="3CFB7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66" w:type="dxa"/>
            <w:vAlign w:val="center"/>
          </w:tcPr>
          <w:p w14:paraId="0C7F5F4B">
            <w:pPr>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116" w:type="dxa"/>
            <w:vAlign w:val="center"/>
          </w:tcPr>
          <w:p w14:paraId="6232D195">
            <w:pPr>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产品名称</w:t>
            </w:r>
          </w:p>
        </w:tc>
        <w:tc>
          <w:tcPr>
            <w:tcW w:w="2593" w:type="dxa"/>
            <w:vAlign w:val="center"/>
          </w:tcPr>
          <w:p w14:paraId="37291741">
            <w:pPr>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规格型号及主要技术参数</w:t>
            </w:r>
          </w:p>
        </w:tc>
        <w:tc>
          <w:tcPr>
            <w:tcW w:w="652" w:type="dxa"/>
            <w:vAlign w:val="center"/>
          </w:tcPr>
          <w:p w14:paraId="2DB79AC9">
            <w:pPr>
              <w:ind w:left="103" w:hanging="117" w:hangingChars="49"/>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数量</w:t>
            </w:r>
          </w:p>
        </w:tc>
        <w:tc>
          <w:tcPr>
            <w:tcW w:w="1400" w:type="dxa"/>
            <w:vAlign w:val="center"/>
          </w:tcPr>
          <w:p w14:paraId="0A7C0242">
            <w:pPr>
              <w:ind w:left="103" w:hanging="117" w:hangingChars="49"/>
              <w:jc w:val="center"/>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单位</w:t>
            </w:r>
          </w:p>
        </w:tc>
        <w:tc>
          <w:tcPr>
            <w:tcW w:w="1400" w:type="dxa"/>
            <w:vAlign w:val="center"/>
          </w:tcPr>
          <w:p w14:paraId="1CFE81DB">
            <w:pPr>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产地及品牌</w:t>
            </w:r>
          </w:p>
        </w:tc>
        <w:tc>
          <w:tcPr>
            <w:tcW w:w="1103" w:type="dxa"/>
            <w:vAlign w:val="center"/>
          </w:tcPr>
          <w:p w14:paraId="7EEDAD7F">
            <w:pPr>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单价</w:t>
            </w:r>
          </w:p>
        </w:tc>
        <w:tc>
          <w:tcPr>
            <w:tcW w:w="767" w:type="dxa"/>
            <w:vAlign w:val="center"/>
          </w:tcPr>
          <w:p w14:paraId="76B2FC7A">
            <w:pPr>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总价</w:t>
            </w:r>
          </w:p>
        </w:tc>
      </w:tr>
      <w:tr w14:paraId="7C85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766" w:type="dxa"/>
            <w:vAlign w:val="center"/>
          </w:tcPr>
          <w:p w14:paraId="4789F55E">
            <w:pPr>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1116" w:type="dxa"/>
            <w:vAlign w:val="center"/>
          </w:tcPr>
          <w:p w14:paraId="236D93A5">
            <w:pPr>
              <w:jc w:val="center"/>
              <w:outlineLvl w:val="9"/>
              <w:rPr>
                <w:rFonts w:hint="eastAsia" w:ascii="仿宋" w:hAnsi="仿宋" w:eastAsia="仿宋" w:cs="仿宋"/>
                <w:b w:val="0"/>
                <w:bCs/>
                <w:color w:val="auto"/>
                <w:sz w:val="24"/>
                <w:szCs w:val="24"/>
                <w:highlight w:val="none"/>
              </w:rPr>
            </w:pPr>
          </w:p>
        </w:tc>
        <w:tc>
          <w:tcPr>
            <w:tcW w:w="2593" w:type="dxa"/>
            <w:vAlign w:val="center"/>
          </w:tcPr>
          <w:p w14:paraId="548CE8B9">
            <w:pPr>
              <w:jc w:val="center"/>
              <w:outlineLvl w:val="9"/>
              <w:rPr>
                <w:rFonts w:hint="eastAsia" w:ascii="仿宋" w:hAnsi="仿宋" w:eastAsia="仿宋" w:cs="仿宋"/>
                <w:b w:val="0"/>
                <w:bCs/>
                <w:color w:val="auto"/>
                <w:sz w:val="24"/>
                <w:szCs w:val="24"/>
                <w:highlight w:val="none"/>
              </w:rPr>
            </w:pPr>
          </w:p>
        </w:tc>
        <w:tc>
          <w:tcPr>
            <w:tcW w:w="652" w:type="dxa"/>
            <w:vAlign w:val="center"/>
          </w:tcPr>
          <w:p w14:paraId="1E5B4A3A">
            <w:pPr>
              <w:jc w:val="center"/>
              <w:outlineLvl w:val="9"/>
              <w:rPr>
                <w:rFonts w:hint="eastAsia" w:ascii="仿宋" w:hAnsi="仿宋" w:eastAsia="仿宋" w:cs="仿宋"/>
                <w:b w:val="0"/>
                <w:bCs/>
                <w:color w:val="auto"/>
                <w:sz w:val="24"/>
                <w:szCs w:val="24"/>
                <w:highlight w:val="none"/>
              </w:rPr>
            </w:pPr>
          </w:p>
        </w:tc>
        <w:tc>
          <w:tcPr>
            <w:tcW w:w="1400" w:type="dxa"/>
            <w:vAlign w:val="center"/>
          </w:tcPr>
          <w:p w14:paraId="1C2041BE">
            <w:pPr>
              <w:jc w:val="center"/>
              <w:outlineLvl w:val="9"/>
              <w:rPr>
                <w:rFonts w:hint="eastAsia" w:ascii="仿宋" w:hAnsi="仿宋" w:eastAsia="仿宋" w:cs="仿宋"/>
                <w:b w:val="0"/>
                <w:bCs/>
                <w:color w:val="auto"/>
                <w:sz w:val="24"/>
                <w:szCs w:val="24"/>
                <w:highlight w:val="none"/>
              </w:rPr>
            </w:pPr>
          </w:p>
        </w:tc>
        <w:tc>
          <w:tcPr>
            <w:tcW w:w="1400" w:type="dxa"/>
            <w:vAlign w:val="center"/>
          </w:tcPr>
          <w:p w14:paraId="2D1858E5">
            <w:pPr>
              <w:jc w:val="center"/>
              <w:outlineLvl w:val="9"/>
              <w:rPr>
                <w:rFonts w:hint="eastAsia" w:ascii="仿宋" w:hAnsi="仿宋" w:eastAsia="仿宋" w:cs="仿宋"/>
                <w:b w:val="0"/>
                <w:bCs/>
                <w:color w:val="auto"/>
                <w:sz w:val="24"/>
                <w:szCs w:val="24"/>
                <w:highlight w:val="none"/>
              </w:rPr>
            </w:pPr>
          </w:p>
        </w:tc>
        <w:tc>
          <w:tcPr>
            <w:tcW w:w="1103" w:type="dxa"/>
            <w:vAlign w:val="center"/>
          </w:tcPr>
          <w:p w14:paraId="1521E364">
            <w:pPr>
              <w:jc w:val="center"/>
              <w:outlineLvl w:val="9"/>
              <w:rPr>
                <w:rFonts w:hint="eastAsia" w:ascii="仿宋" w:hAnsi="仿宋" w:eastAsia="仿宋" w:cs="仿宋"/>
                <w:b w:val="0"/>
                <w:bCs/>
                <w:color w:val="auto"/>
                <w:sz w:val="24"/>
                <w:szCs w:val="24"/>
                <w:highlight w:val="none"/>
              </w:rPr>
            </w:pPr>
          </w:p>
        </w:tc>
        <w:tc>
          <w:tcPr>
            <w:tcW w:w="767" w:type="dxa"/>
            <w:vAlign w:val="center"/>
          </w:tcPr>
          <w:p w14:paraId="49A23769">
            <w:pPr>
              <w:jc w:val="center"/>
              <w:outlineLvl w:val="9"/>
              <w:rPr>
                <w:rFonts w:hint="eastAsia" w:ascii="仿宋" w:hAnsi="仿宋" w:eastAsia="仿宋" w:cs="仿宋"/>
                <w:b w:val="0"/>
                <w:bCs/>
                <w:color w:val="auto"/>
                <w:sz w:val="24"/>
                <w:szCs w:val="24"/>
                <w:highlight w:val="none"/>
              </w:rPr>
            </w:pPr>
          </w:p>
        </w:tc>
      </w:tr>
      <w:tr w14:paraId="7473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766" w:type="dxa"/>
            <w:vAlign w:val="center"/>
          </w:tcPr>
          <w:p w14:paraId="298184A2">
            <w:pPr>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p>
        </w:tc>
        <w:tc>
          <w:tcPr>
            <w:tcW w:w="1116" w:type="dxa"/>
            <w:vAlign w:val="center"/>
          </w:tcPr>
          <w:p w14:paraId="7A39105A">
            <w:pPr>
              <w:jc w:val="center"/>
              <w:outlineLvl w:val="9"/>
              <w:rPr>
                <w:rFonts w:hint="eastAsia" w:ascii="仿宋" w:hAnsi="仿宋" w:eastAsia="仿宋" w:cs="仿宋"/>
                <w:b w:val="0"/>
                <w:bCs/>
                <w:color w:val="auto"/>
                <w:sz w:val="24"/>
                <w:szCs w:val="24"/>
                <w:highlight w:val="none"/>
              </w:rPr>
            </w:pPr>
          </w:p>
        </w:tc>
        <w:tc>
          <w:tcPr>
            <w:tcW w:w="2593" w:type="dxa"/>
            <w:vAlign w:val="center"/>
          </w:tcPr>
          <w:p w14:paraId="5A1F7619">
            <w:pPr>
              <w:jc w:val="center"/>
              <w:outlineLvl w:val="9"/>
              <w:rPr>
                <w:rFonts w:hint="eastAsia" w:ascii="仿宋" w:hAnsi="仿宋" w:eastAsia="仿宋" w:cs="仿宋"/>
                <w:b w:val="0"/>
                <w:bCs/>
                <w:color w:val="auto"/>
                <w:sz w:val="24"/>
                <w:szCs w:val="24"/>
                <w:highlight w:val="none"/>
              </w:rPr>
            </w:pPr>
          </w:p>
        </w:tc>
        <w:tc>
          <w:tcPr>
            <w:tcW w:w="652" w:type="dxa"/>
            <w:vAlign w:val="center"/>
          </w:tcPr>
          <w:p w14:paraId="5B6AE108">
            <w:pPr>
              <w:jc w:val="center"/>
              <w:outlineLvl w:val="9"/>
              <w:rPr>
                <w:rFonts w:hint="eastAsia" w:ascii="仿宋" w:hAnsi="仿宋" w:eastAsia="仿宋" w:cs="仿宋"/>
                <w:b w:val="0"/>
                <w:bCs/>
                <w:color w:val="auto"/>
                <w:sz w:val="24"/>
                <w:szCs w:val="24"/>
                <w:highlight w:val="none"/>
              </w:rPr>
            </w:pPr>
          </w:p>
        </w:tc>
        <w:tc>
          <w:tcPr>
            <w:tcW w:w="1400" w:type="dxa"/>
            <w:vAlign w:val="center"/>
          </w:tcPr>
          <w:p w14:paraId="1BBF911A">
            <w:pPr>
              <w:jc w:val="center"/>
              <w:outlineLvl w:val="9"/>
              <w:rPr>
                <w:rFonts w:hint="eastAsia" w:ascii="仿宋" w:hAnsi="仿宋" w:eastAsia="仿宋" w:cs="仿宋"/>
                <w:b w:val="0"/>
                <w:bCs/>
                <w:color w:val="auto"/>
                <w:sz w:val="24"/>
                <w:szCs w:val="24"/>
                <w:highlight w:val="none"/>
              </w:rPr>
            </w:pPr>
          </w:p>
        </w:tc>
        <w:tc>
          <w:tcPr>
            <w:tcW w:w="1400" w:type="dxa"/>
            <w:vAlign w:val="center"/>
          </w:tcPr>
          <w:p w14:paraId="1906B99B">
            <w:pPr>
              <w:jc w:val="center"/>
              <w:outlineLvl w:val="9"/>
              <w:rPr>
                <w:rFonts w:hint="eastAsia" w:ascii="仿宋" w:hAnsi="仿宋" w:eastAsia="仿宋" w:cs="仿宋"/>
                <w:b w:val="0"/>
                <w:bCs/>
                <w:color w:val="auto"/>
                <w:sz w:val="24"/>
                <w:szCs w:val="24"/>
                <w:highlight w:val="none"/>
              </w:rPr>
            </w:pPr>
          </w:p>
        </w:tc>
        <w:tc>
          <w:tcPr>
            <w:tcW w:w="1103" w:type="dxa"/>
            <w:vAlign w:val="center"/>
          </w:tcPr>
          <w:p w14:paraId="18A9523C">
            <w:pPr>
              <w:jc w:val="center"/>
              <w:outlineLvl w:val="9"/>
              <w:rPr>
                <w:rFonts w:hint="eastAsia" w:ascii="仿宋" w:hAnsi="仿宋" w:eastAsia="仿宋" w:cs="仿宋"/>
                <w:b w:val="0"/>
                <w:bCs/>
                <w:color w:val="auto"/>
                <w:sz w:val="24"/>
                <w:szCs w:val="24"/>
                <w:highlight w:val="none"/>
              </w:rPr>
            </w:pPr>
          </w:p>
        </w:tc>
        <w:tc>
          <w:tcPr>
            <w:tcW w:w="767" w:type="dxa"/>
            <w:vAlign w:val="center"/>
          </w:tcPr>
          <w:p w14:paraId="04F317DE">
            <w:pPr>
              <w:jc w:val="center"/>
              <w:outlineLvl w:val="9"/>
              <w:rPr>
                <w:rFonts w:hint="eastAsia" w:ascii="仿宋" w:hAnsi="仿宋" w:eastAsia="仿宋" w:cs="仿宋"/>
                <w:b w:val="0"/>
                <w:bCs/>
                <w:color w:val="auto"/>
                <w:sz w:val="24"/>
                <w:szCs w:val="24"/>
                <w:highlight w:val="none"/>
              </w:rPr>
            </w:pPr>
          </w:p>
        </w:tc>
      </w:tr>
      <w:tr w14:paraId="14861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66" w:type="dxa"/>
            <w:vAlign w:val="center"/>
          </w:tcPr>
          <w:p w14:paraId="3F2978CA">
            <w:pPr>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p>
        </w:tc>
        <w:tc>
          <w:tcPr>
            <w:tcW w:w="1116" w:type="dxa"/>
            <w:vAlign w:val="center"/>
          </w:tcPr>
          <w:p w14:paraId="5FA51FA7">
            <w:pPr>
              <w:jc w:val="center"/>
              <w:outlineLvl w:val="9"/>
              <w:rPr>
                <w:rFonts w:hint="eastAsia" w:ascii="仿宋" w:hAnsi="仿宋" w:eastAsia="仿宋" w:cs="仿宋"/>
                <w:b w:val="0"/>
                <w:bCs/>
                <w:color w:val="auto"/>
                <w:sz w:val="24"/>
                <w:szCs w:val="24"/>
                <w:highlight w:val="none"/>
              </w:rPr>
            </w:pPr>
          </w:p>
        </w:tc>
        <w:tc>
          <w:tcPr>
            <w:tcW w:w="2593" w:type="dxa"/>
            <w:vAlign w:val="center"/>
          </w:tcPr>
          <w:p w14:paraId="51F1F164">
            <w:pPr>
              <w:jc w:val="center"/>
              <w:outlineLvl w:val="9"/>
              <w:rPr>
                <w:rFonts w:hint="eastAsia" w:ascii="仿宋" w:hAnsi="仿宋" w:eastAsia="仿宋" w:cs="仿宋"/>
                <w:b w:val="0"/>
                <w:bCs/>
                <w:color w:val="auto"/>
                <w:sz w:val="24"/>
                <w:szCs w:val="24"/>
                <w:highlight w:val="none"/>
              </w:rPr>
            </w:pPr>
          </w:p>
        </w:tc>
        <w:tc>
          <w:tcPr>
            <w:tcW w:w="652" w:type="dxa"/>
            <w:vAlign w:val="center"/>
          </w:tcPr>
          <w:p w14:paraId="150384BA">
            <w:pPr>
              <w:jc w:val="center"/>
              <w:outlineLvl w:val="9"/>
              <w:rPr>
                <w:rFonts w:hint="eastAsia" w:ascii="仿宋" w:hAnsi="仿宋" w:eastAsia="仿宋" w:cs="仿宋"/>
                <w:b w:val="0"/>
                <w:bCs/>
                <w:color w:val="auto"/>
                <w:sz w:val="24"/>
                <w:szCs w:val="24"/>
                <w:highlight w:val="none"/>
              </w:rPr>
            </w:pPr>
          </w:p>
        </w:tc>
        <w:tc>
          <w:tcPr>
            <w:tcW w:w="1400" w:type="dxa"/>
            <w:vAlign w:val="center"/>
          </w:tcPr>
          <w:p w14:paraId="6FFC4B68">
            <w:pPr>
              <w:jc w:val="center"/>
              <w:outlineLvl w:val="9"/>
              <w:rPr>
                <w:rFonts w:hint="eastAsia" w:ascii="仿宋" w:hAnsi="仿宋" w:eastAsia="仿宋" w:cs="仿宋"/>
                <w:b w:val="0"/>
                <w:bCs/>
                <w:color w:val="auto"/>
                <w:sz w:val="24"/>
                <w:szCs w:val="24"/>
                <w:highlight w:val="none"/>
              </w:rPr>
            </w:pPr>
          </w:p>
        </w:tc>
        <w:tc>
          <w:tcPr>
            <w:tcW w:w="1400" w:type="dxa"/>
            <w:vAlign w:val="center"/>
          </w:tcPr>
          <w:p w14:paraId="700A6411">
            <w:pPr>
              <w:jc w:val="center"/>
              <w:outlineLvl w:val="9"/>
              <w:rPr>
                <w:rFonts w:hint="eastAsia" w:ascii="仿宋" w:hAnsi="仿宋" w:eastAsia="仿宋" w:cs="仿宋"/>
                <w:b w:val="0"/>
                <w:bCs/>
                <w:color w:val="auto"/>
                <w:sz w:val="24"/>
                <w:szCs w:val="24"/>
                <w:highlight w:val="none"/>
              </w:rPr>
            </w:pPr>
          </w:p>
        </w:tc>
        <w:tc>
          <w:tcPr>
            <w:tcW w:w="1103" w:type="dxa"/>
            <w:vAlign w:val="center"/>
          </w:tcPr>
          <w:p w14:paraId="30689F33">
            <w:pPr>
              <w:jc w:val="center"/>
              <w:outlineLvl w:val="9"/>
              <w:rPr>
                <w:rFonts w:hint="eastAsia" w:ascii="仿宋" w:hAnsi="仿宋" w:eastAsia="仿宋" w:cs="仿宋"/>
                <w:b w:val="0"/>
                <w:bCs/>
                <w:color w:val="auto"/>
                <w:sz w:val="24"/>
                <w:szCs w:val="24"/>
                <w:highlight w:val="none"/>
              </w:rPr>
            </w:pPr>
          </w:p>
        </w:tc>
        <w:tc>
          <w:tcPr>
            <w:tcW w:w="767" w:type="dxa"/>
            <w:vAlign w:val="center"/>
          </w:tcPr>
          <w:p w14:paraId="0AC3949A">
            <w:pPr>
              <w:jc w:val="center"/>
              <w:outlineLvl w:val="9"/>
              <w:rPr>
                <w:rFonts w:hint="eastAsia" w:ascii="仿宋" w:hAnsi="仿宋" w:eastAsia="仿宋" w:cs="仿宋"/>
                <w:b w:val="0"/>
                <w:bCs/>
                <w:color w:val="auto"/>
                <w:sz w:val="24"/>
                <w:szCs w:val="24"/>
                <w:highlight w:val="none"/>
              </w:rPr>
            </w:pPr>
          </w:p>
        </w:tc>
      </w:tr>
      <w:tr w14:paraId="6006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766" w:type="dxa"/>
            <w:vAlign w:val="center"/>
          </w:tcPr>
          <w:p w14:paraId="13BABE8E">
            <w:pPr>
              <w:jc w:val="center"/>
              <w:outlineLvl w:val="9"/>
              <w:rPr>
                <w:rFonts w:hint="eastAsia" w:ascii="仿宋" w:hAnsi="仿宋" w:eastAsia="仿宋" w:cs="仿宋"/>
                <w:b w:val="0"/>
                <w:bCs/>
                <w:color w:val="auto"/>
                <w:sz w:val="24"/>
                <w:szCs w:val="24"/>
                <w:highlight w:val="none"/>
              </w:rPr>
            </w:pPr>
          </w:p>
        </w:tc>
        <w:tc>
          <w:tcPr>
            <w:tcW w:w="1116" w:type="dxa"/>
            <w:vAlign w:val="center"/>
          </w:tcPr>
          <w:p w14:paraId="458CCC98">
            <w:pPr>
              <w:jc w:val="center"/>
              <w:outlineLvl w:val="9"/>
              <w:rPr>
                <w:rFonts w:hint="eastAsia" w:ascii="仿宋" w:hAnsi="仿宋" w:eastAsia="仿宋" w:cs="仿宋"/>
                <w:b w:val="0"/>
                <w:bCs/>
                <w:color w:val="auto"/>
                <w:sz w:val="24"/>
                <w:szCs w:val="24"/>
                <w:highlight w:val="none"/>
              </w:rPr>
            </w:pPr>
          </w:p>
        </w:tc>
        <w:tc>
          <w:tcPr>
            <w:tcW w:w="2593" w:type="dxa"/>
            <w:vAlign w:val="center"/>
          </w:tcPr>
          <w:p w14:paraId="1C6EC436">
            <w:pPr>
              <w:jc w:val="center"/>
              <w:outlineLvl w:val="9"/>
              <w:rPr>
                <w:rFonts w:hint="eastAsia" w:ascii="仿宋" w:hAnsi="仿宋" w:eastAsia="仿宋" w:cs="仿宋"/>
                <w:b w:val="0"/>
                <w:bCs/>
                <w:color w:val="auto"/>
                <w:sz w:val="24"/>
                <w:szCs w:val="24"/>
                <w:highlight w:val="none"/>
              </w:rPr>
            </w:pPr>
          </w:p>
        </w:tc>
        <w:tc>
          <w:tcPr>
            <w:tcW w:w="652" w:type="dxa"/>
            <w:vAlign w:val="center"/>
          </w:tcPr>
          <w:p w14:paraId="284893E8">
            <w:pPr>
              <w:jc w:val="center"/>
              <w:outlineLvl w:val="9"/>
              <w:rPr>
                <w:rFonts w:hint="eastAsia" w:ascii="仿宋" w:hAnsi="仿宋" w:eastAsia="仿宋" w:cs="仿宋"/>
                <w:b w:val="0"/>
                <w:bCs/>
                <w:color w:val="auto"/>
                <w:sz w:val="24"/>
                <w:szCs w:val="24"/>
                <w:highlight w:val="none"/>
              </w:rPr>
            </w:pPr>
          </w:p>
        </w:tc>
        <w:tc>
          <w:tcPr>
            <w:tcW w:w="1400" w:type="dxa"/>
            <w:vAlign w:val="center"/>
          </w:tcPr>
          <w:p w14:paraId="37FF8D45">
            <w:pPr>
              <w:jc w:val="center"/>
              <w:outlineLvl w:val="9"/>
              <w:rPr>
                <w:rFonts w:hint="eastAsia" w:ascii="仿宋" w:hAnsi="仿宋" w:eastAsia="仿宋" w:cs="仿宋"/>
                <w:b w:val="0"/>
                <w:bCs/>
                <w:color w:val="auto"/>
                <w:sz w:val="24"/>
                <w:szCs w:val="24"/>
                <w:highlight w:val="none"/>
              </w:rPr>
            </w:pPr>
          </w:p>
        </w:tc>
        <w:tc>
          <w:tcPr>
            <w:tcW w:w="1400" w:type="dxa"/>
            <w:vAlign w:val="center"/>
          </w:tcPr>
          <w:p w14:paraId="3853E606">
            <w:pPr>
              <w:jc w:val="center"/>
              <w:outlineLvl w:val="9"/>
              <w:rPr>
                <w:rFonts w:hint="eastAsia" w:ascii="仿宋" w:hAnsi="仿宋" w:eastAsia="仿宋" w:cs="仿宋"/>
                <w:b w:val="0"/>
                <w:bCs/>
                <w:color w:val="auto"/>
                <w:sz w:val="24"/>
                <w:szCs w:val="24"/>
                <w:highlight w:val="none"/>
              </w:rPr>
            </w:pPr>
          </w:p>
        </w:tc>
        <w:tc>
          <w:tcPr>
            <w:tcW w:w="1103" w:type="dxa"/>
            <w:vAlign w:val="center"/>
          </w:tcPr>
          <w:p w14:paraId="2DCF3565">
            <w:pPr>
              <w:jc w:val="center"/>
              <w:outlineLvl w:val="9"/>
              <w:rPr>
                <w:rFonts w:hint="eastAsia" w:ascii="仿宋" w:hAnsi="仿宋" w:eastAsia="仿宋" w:cs="仿宋"/>
                <w:b w:val="0"/>
                <w:bCs/>
                <w:color w:val="auto"/>
                <w:sz w:val="24"/>
                <w:szCs w:val="24"/>
                <w:highlight w:val="none"/>
              </w:rPr>
            </w:pPr>
          </w:p>
        </w:tc>
        <w:tc>
          <w:tcPr>
            <w:tcW w:w="767" w:type="dxa"/>
            <w:vAlign w:val="center"/>
          </w:tcPr>
          <w:p w14:paraId="7BC237F5">
            <w:pPr>
              <w:jc w:val="center"/>
              <w:outlineLvl w:val="9"/>
              <w:rPr>
                <w:rFonts w:hint="eastAsia" w:ascii="仿宋" w:hAnsi="仿宋" w:eastAsia="仿宋" w:cs="仿宋"/>
                <w:b w:val="0"/>
                <w:bCs/>
                <w:color w:val="auto"/>
                <w:sz w:val="24"/>
                <w:szCs w:val="24"/>
                <w:highlight w:val="none"/>
              </w:rPr>
            </w:pPr>
          </w:p>
        </w:tc>
      </w:tr>
      <w:tr w14:paraId="45195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7927" w:type="dxa"/>
            <w:gridSpan w:val="6"/>
            <w:vAlign w:val="center"/>
          </w:tcPr>
          <w:p w14:paraId="4DFD2E3D">
            <w:pPr>
              <w:jc w:val="left"/>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投标总报价（元）</w:t>
            </w:r>
          </w:p>
        </w:tc>
        <w:tc>
          <w:tcPr>
            <w:tcW w:w="1870" w:type="dxa"/>
            <w:gridSpan w:val="2"/>
            <w:vAlign w:val="center"/>
          </w:tcPr>
          <w:p w14:paraId="3EC3DE6B">
            <w:pPr>
              <w:jc w:val="left"/>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小写：</w:t>
            </w:r>
          </w:p>
          <w:p w14:paraId="572821FF">
            <w:pPr>
              <w:jc w:val="left"/>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大写：</w:t>
            </w:r>
          </w:p>
        </w:tc>
      </w:tr>
      <w:tr w14:paraId="3F8D8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9797" w:type="dxa"/>
            <w:gridSpan w:val="8"/>
            <w:vAlign w:val="center"/>
          </w:tcPr>
          <w:p w14:paraId="05D8B534">
            <w:pPr>
              <w:jc w:val="left"/>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备注：投标报价包括货物及其相关工作范围内所有费用（包括但不限于运输费、装卸费、保险费、安装费、调试费、税费、培训费等）</w:t>
            </w:r>
          </w:p>
        </w:tc>
      </w:tr>
    </w:tbl>
    <w:p w14:paraId="5C39A5F3">
      <w:pPr>
        <w:outlineLvl w:val="9"/>
        <w:rPr>
          <w:rFonts w:hint="eastAsia" w:ascii="仿宋" w:hAnsi="仿宋" w:eastAsia="仿宋" w:cs="仿宋"/>
          <w:b w:val="0"/>
          <w:bCs/>
          <w:color w:val="auto"/>
          <w:sz w:val="28"/>
          <w:szCs w:val="28"/>
          <w:highlight w:val="none"/>
        </w:rPr>
      </w:pPr>
    </w:p>
    <w:p w14:paraId="3DD3C451">
      <w:pPr>
        <w:outlineLvl w:val="9"/>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注：</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此表需详列投标的每种产品。</w:t>
      </w:r>
    </w:p>
    <w:p w14:paraId="21F1E311">
      <w:pPr>
        <w:ind w:firstLine="562" w:firstLineChars="200"/>
        <w:outlineLvl w:val="9"/>
        <w:rPr>
          <w:rFonts w:hint="default"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2.投标单位可根据所提供清单内容自行增加表格内容。</w:t>
      </w:r>
    </w:p>
    <w:p w14:paraId="32BFA7F8">
      <w:pPr>
        <w:pStyle w:val="33"/>
        <w:spacing w:line="480" w:lineRule="auto"/>
        <w:outlineLvl w:val="9"/>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投标单位（加盖公章）：</w:t>
      </w:r>
    </w:p>
    <w:p w14:paraId="4B1CB976">
      <w:pPr>
        <w:pStyle w:val="33"/>
        <w:spacing w:line="480" w:lineRule="auto"/>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投标单位法人代表或授权代表签字（</w:t>
      </w:r>
      <w:r>
        <w:rPr>
          <w:rFonts w:hint="eastAsia" w:ascii="仿宋" w:hAnsi="仿宋" w:eastAsia="仿宋" w:cs="仿宋"/>
          <w:b/>
          <w:color w:val="auto"/>
          <w:sz w:val="28"/>
          <w:szCs w:val="28"/>
          <w:highlight w:val="none"/>
          <w:lang w:val="en-US" w:eastAsia="zh-CN"/>
        </w:rPr>
        <w:t>或盖章</w:t>
      </w:r>
      <w:r>
        <w:rPr>
          <w:rFonts w:hint="eastAsia" w:ascii="仿宋" w:hAnsi="仿宋" w:eastAsia="仿宋" w:cs="仿宋"/>
          <w:b/>
          <w:color w:val="auto"/>
          <w:sz w:val="28"/>
          <w:szCs w:val="28"/>
          <w:highlight w:val="none"/>
        </w:rPr>
        <w:t>）：</w:t>
      </w:r>
    </w:p>
    <w:p w14:paraId="0259E2C7">
      <w:pPr>
        <w:pStyle w:val="33"/>
        <w:spacing w:line="480" w:lineRule="auto"/>
        <w:outlineLvl w:val="9"/>
        <w:rPr>
          <w:rFonts w:hint="eastAsia" w:ascii="仿宋" w:hAnsi="仿宋" w:eastAsia="仿宋" w:cs="仿宋"/>
          <w:b w:val="0"/>
          <w:bCs/>
          <w:color w:val="auto"/>
          <w:sz w:val="32"/>
          <w:szCs w:val="32"/>
          <w:highlight w:val="none"/>
          <w:lang w:val="zh-CN"/>
        </w:rPr>
      </w:pPr>
      <w:r>
        <w:rPr>
          <w:rFonts w:hint="eastAsia" w:ascii="仿宋" w:hAnsi="仿宋" w:eastAsia="仿宋" w:cs="仿宋"/>
          <w:b/>
          <w:color w:val="auto"/>
          <w:sz w:val="28"/>
          <w:szCs w:val="28"/>
          <w:highlight w:val="none"/>
          <w:lang w:val="en-US" w:eastAsia="zh-CN"/>
        </w:rPr>
        <w:t>日期：</w:t>
      </w:r>
      <w:r>
        <w:rPr>
          <w:rFonts w:hint="eastAsia" w:ascii="仿宋" w:hAnsi="仿宋" w:eastAsia="仿宋" w:cs="仿宋"/>
          <w:b w:val="0"/>
          <w:bCs/>
          <w:color w:val="auto"/>
          <w:sz w:val="32"/>
          <w:szCs w:val="32"/>
          <w:highlight w:val="none"/>
          <w:lang w:val="zh-CN"/>
        </w:rPr>
        <w:br w:type="page"/>
      </w:r>
    </w:p>
    <w:p w14:paraId="1D66918E">
      <w:pPr>
        <w:adjustRightInd w:val="0"/>
        <w:snapToGrid w:val="0"/>
        <w:spacing w:beforeLines="50"/>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zh-CN"/>
        </w:rPr>
        <w:t>附件</w:t>
      </w:r>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0</w:t>
      </w:r>
      <w:r>
        <w:rPr>
          <w:rFonts w:hint="eastAsia" w:ascii="仿宋" w:hAnsi="仿宋" w:eastAsia="仿宋" w:cs="仿宋"/>
          <w:b/>
          <w:bCs/>
          <w:color w:val="auto"/>
          <w:sz w:val="28"/>
          <w:szCs w:val="28"/>
          <w:highlight w:val="none"/>
        </w:rPr>
        <w:t>、售后服务承诺详述、维修、培训等计划详述</w:t>
      </w:r>
    </w:p>
    <w:p w14:paraId="476D4C10">
      <w:pPr>
        <w:outlineLvl w:val="9"/>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br w:type="page"/>
      </w:r>
    </w:p>
    <w:p w14:paraId="17613CA8">
      <w:pPr>
        <w:adjustRightInd w:val="0"/>
        <w:snapToGrid w:val="0"/>
        <w:spacing w:beforeLines="50"/>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zh-CN"/>
        </w:rPr>
        <w:t>附件</w:t>
      </w:r>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、拟派本项目人员配置情况表</w:t>
      </w:r>
    </w:p>
    <w:p w14:paraId="717081C0">
      <w:pPr>
        <w:keepNext w:val="0"/>
        <w:numPr>
          <w:ilvl w:val="0"/>
          <w:numId w:val="0"/>
        </w:numPr>
        <w:tabs>
          <w:tab w:val="left" w:pos="420"/>
        </w:tabs>
        <w:jc w:val="center"/>
        <w:outlineLvl w:val="9"/>
        <w:rPr>
          <w:rStyle w:val="50"/>
          <w:rFonts w:hint="eastAsia" w:ascii="仿宋" w:hAnsi="仿宋" w:eastAsia="仿宋" w:cs="仿宋"/>
          <w:b w:val="0"/>
          <w:color w:val="auto"/>
          <w:sz w:val="32"/>
          <w:szCs w:val="28"/>
          <w:highlight w:val="none"/>
          <w:lang w:val="en-US" w:eastAsia="zh-CN"/>
        </w:rPr>
      </w:pPr>
      <w:bookmarkStart w:id="10" w:name="_Toc18338"/>
      <w:bookmarkStart w:id="11" w:name="_Toc14959"/>
      <w:bookmarkStart w:id="12" w:name="_Toc2396"/>
      <w:bookmarkStart w:id="13" w:name="_Toc445"/>
      <w:r>
        <w:rPr>
          <w:rStyle w:val="50"/>
          <w:rFonts w:hint="eastAsia" w:ascii="仿宋" w:hAnsi="仿宋" w:eastAsia="仿宋" w:cs="仿宋"/>
          <w:b w:val="0"/>
          <w:color w:val="auto"/>
          <w:sz w:val="32"/>
          <w:szCs w:val="28"/>
          <w:highlight w:val="none"/>
          <w:lang w:val="en-US" w:eastAsia="zh-CN"/>
        </w:rPr>
        <w:t>拟派本项目人员配置情况表</w:t>
      </w:r>
      <w:bookmarkEnd w:id="10"/>
      <w:bookmarkEnd w:id="11"/>
      <w:bookmarkEnd w:id="12"/>
      <w:bookmarkEnd w:id="13"/>
    </w:p>
    <w:tbl>
      <w:tblPr>
        <w:tblStyle w:val="24"/>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992"/>
        <w:gridCol w:w="814"/>
        <w:gridCol w:w="1560"/>
        <w:gridCol w:w="1181"/>
        <w:gridCol w:w="1463"/>
        <w:gridCol w:w="1316"/>
        <w:gridCol w:w="742"/>
      </w:tblGrid>
      <w:tr w14:paraId="770DD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468" w:type="dxa"/>
            <w:vMerge w:val="restart"/>
            <w:vAlign w:val="center"/>
          </w:tcPr>
          <w:p w14:paraId="59D44C95">
            <w:pPr>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职务</w:t>
            </w:r>
          </w:p>
        </w:tc>
        <w:tc>
          <w:tcPr>
            <w:tcW w:w="992" w:type="dxa"/>
            <w:vMerge w:val="restart"/>
            <w:vAlign w:val="center"/>
          </w:tcPr>
          <w:p w14:paraId="190D673C">
            <w:pPr>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姓名</w:t>
            </w:r>
          </w:p>
        </w:tc>
        <w:tc>
          <w:tcPr>
            <w:tcW w:w="814" w:type="dxa"/>
            <w:vMerge w:val="restart"/>
            <w:vAlign w:val="center"/>
          </w:tcPr>
          <w:p w14:paraId="4E134710">
            <w:pPr>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职称</w:t>
            </w:r>
          </w:p>
        </w:tc>
        <w:tc>
          <w:tcPr>
            <w:tcW w:w="5520" w:type="dxa"/>
            <w:gridSpan w:val="4"/>
            <w:vAlign w:val="center"/>
          </w:tcPr>
          <w:p w14:paraId="7FAFFB8F">
            <w:pPr>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执业或职业资格证明</w:t>
            </w:r>
          </w:p>
        </w:tc>
        <w:tc>
          <w:tcPr>
            <w:tcW w:w="742" w:type="dxa"/>
            <w:vAlign w:val="center"/>
          </w:tcPr>
          <w:p w14:paraId="1A73E66E">
            <w:pPr>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备注</w:t>
            </w:r>
          </w:p>
        </w:tc>
      </w:tr>
      <w:tr w14:paraId="1060C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68" w:type="dxa"/>
            <w:vMerge w:val="continue"/>
            <w:vAlign w:val="center"/>
          </w:tcPr>
          <w:p w14:paraId="3393E274">
            <w:pPr>
              <w:jc w:val="center"/>
              <w:rPr>
                <w:rFonts w:hint="eastAsia" w:ascii="仿宋" w:hAnsi="仿宋" w:eastAsia="仿宋" w:cs="仿宋"/>
                <w:color w:val="auto"/>
                <w:kern w:val="2"/>
                <w:sz w:val="21"/>
                <w:szCs w:val="21"/>
                <w:highlight w:val="none"/>
              </w:rPr>
            </w:pPr>
          </w:p>
        </w:tc>
        <w:tc>
          <w:tcPr>
            <w:tcW w:w="992" w:type="dxa"/>
            <w:vMerge w:val="continue"/>
            <w:vAlign w:val="center"/>
          </w:tcPr>
          <w:p w14:paraId="7107BF39">
            <w:pPr>
              <w:jc w:val="center"/>
              <w:rPr>
                <w:rFonts w:hint="eastAsia" w:ascii="仿宋" w:hAnsi="仿宋" w:eastAsia="仿宋" w:cs="仿宋"/>
                <w:color w:val="auto"/>
                <w:kern w:val="2"/>
                <w:sz w:val="21"/>
                <w:szCs w:val="21"/>
                <w:highlight w:val="none"/>
              </w:rPr>
            </w:pPr>
          </w:p>
        </w:tc>
        <w:tc>
          <w:tcPr>
            <w:tcW w:w="814" w:type="dxa"/>
            <w:vMerge w:val="continue"/>
            <w:vAlign w:val="center"/>
          </w:tcPr>
          <w:p w14:paraId="643D44EA">
            <w:pPr>
              <w:jc w:val="center"/>
              <w:rPr>
                <w:rFonts w:hint="eastAsia" w:ascii="仿宋" w:hAnsi="仿宋" w:eastAsia="仿宋" w:cs="仿宋"/>
                <w:color w:val="auto"/>
                <w:kern w:val="2"/>
                <w:sz w:val="21"/>
                <w:szCs w:val="21"/>
                <w:highlight w:val="none"/>
              </w:rPr>
            </w:pPr>
          </w:p>
        </w:tc>
        <w:tc>
          <w:tcPr>
            <w:tcW w:w="1560" w:type="dxa"/>
            <w:vAlign w:val="center"/>
          </w:tcPr>
          <w:p w14:paraId="391AA395">
            <w:pPr>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证书名称</w:t>
            </w:r>
          </w:p>
        </w:tc>
        <w:tc>
          <w:tcPr>
            <w:tcW w:w="1181" w:type="dxa"/>
            <w:vAlign w:val="center"/>
          </w:tcPr>
          <w:p w14:paraId="6CD7F2D9">
            <w:pPr>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级别</w:t>
            </w:r>
          </w:p>
        </w:tc>
        <w:tc>
          <w:tcPr>
            <w:tcW w:w="1463" w:type="dxa"/>
            <w:vAlign w:val="center"/>
          </w:tcPr>
          <w:p w14:paraId="386BE0BF">
            <w:pPr>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证号</w:t>
            </w:r>
          </w:p>
        </w:tc>
        <w:tc>
          <w:tcPr>
            <w:tcW w:w="1316" w:type="dxa"/>
            <w:vAlign w:val="center"/>
          </w:tcPr>
          <w:p w14:paraId="29D9AB91">
            <w:pPr>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专业</w:t>
            </w:r>
          </w:p>
        </w:tc>
        <w:tc>
          <w:tcPr>
            <w:tcW w:w="742" w:type="dxa"/>
            <w:vAlign w:val="center"/>
          </w:tcPr>
          <w:p w14:paraId="05E1C32D">
            <w:pPr>
              <w:jc w:val="center"/>
              <w:rPr>
                <w:rFonts w:hint="eastAsia" w:ascii="仿宋" w:hAnsi="仿宋" w:eastAsia="仿宋" w:cs="仿宋"/>
                <w:color w:val="auto"/>
                <w:kern w:val="2"/>
                <w:sz w:val="21"/>
                <w:szCs w:val="21"/>
                <w:highlight w:val="none"/>
              </w:rPr>
            </w:pPr>
          </w:p>
        </w:tc>
      </w:tr>
      <w:tr w14:paraId="5A9C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468" w:type="dxa"/>
            <w:vAlign w:val="center"/>
          </w:tcPr>
          <w:p w14:paraId="4D8D62FC">
            <w:pPr>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项目负责人</w:t>
            </w:r>
          </w:p>
        </w:tc>
        <w:tc>
          <w:tcPr>
            <w:tcW w:w="992" w:type="dxa"/>
            <w:vAlign w:val="center"/>
          </w:tcPr>
          <w:p w14:paraId="7F0F55E2">
            <w:pPr>
              <w:jc w:val="center"/>
              <w:rPr>
                <w:rFonts w:hint="eastAsia" w:ascii="仿宋" w:hAnsi="仿宋" w:eastAsia="仿宋" w:cs="仿宋"/>
                <w:color w:val="auto"/>
                <w:kern w:val="2"/>
                <w:sz w:val="21"/>
                <w:szCs w:val="21"/>
                <w:highlight w:val="none"/>
              </w:rPr>
            </w:pPr>
          </w:p>
        </w:tc>
        <w:tc>
          <w:tcPr>
            <w:tcW w:w="814" w:type="dxa"/>
            <w:vAlign w:val="center"/>
          </w:tcPr>
          <w:p w14:paraId="30C1FA0D">
            <w:pPr>
              <w:jc w:val="center"/>
              <w:rPr>
                <w:rFonts w:hint="eastAsia" w:ascii="仿宋" w:hAnsi="仿宋" w:eastAsia="仿宋" w:cs="仿宋"/>
                <w:color w:val="auto"/>
                <w:kern w:val="2"/>
                <w:sz w:val="21"/>
                <w:szCs w:val="21"/>
                <w:highlight w:val="none"/>
              </w:rPr>
            </w:pPr>
          </w:p>
        </w:tc>
        <w:tc>
          <w:tcPr>
            <w:tcW w:w="1560" w:type="dxa"/>
            <w:vAlign w:val="center"/>
          </w:tcPr>
          <w:p w14:paraId="42E3B0D5">
            <w:pPr>
              <w:jc w:val="center"/>
              <w:rPr>
                <w:rFonts w:hint="eastAsia" w:ascii="仿宋" w:hAnsi="仿宋" w:eastAsia="仿宋" w:cs="仿宋"/>
                <w:color w:val="auto"/>
                <w:kern w:val="2"/>
                <w:sz w:val="21"/>
                <w:szCs w:val="21"/>
                <w:highlight w:val="none"/>
              </w:rPr>
            </w:pPr>
          </w:p>
        </w:tc>
        <w:tc>
          <w:tcPr>
            <w:tcW w:w="1181" w:type="dxa"/>
            <w:vAlign w:val="center"/>
          </w:tcPr>
          <w:p w14:paraId="1EE957FB">
            <w:pPr>
              <w:jc w:val="center"/>
              <w:rPr>
                <w:rFonts w:hint="eastAsia" w:ascii="仿宋" w:hAnsi="仿宋" w:eastAsia="仿宋" w:cs="仿宋"/>
                <w:color w:val="auto"/>
                <w:kern w:val="2"/>
                <w:sz w:val="21"/>
                <w:szCs w:val="21"/>
                <w:highlight w:val="none"/>
              </w:rPr>
            </w:pPr>
          </w:p>
        </w:tc>
        <w:tc>
          <w:tcPr>
            <w:tcW w:w="1463" w:type="dxa"/>
            <w:vAlign w:val="center"/>
          </w:tcPr>
          <w:p w14:paraId="1573C67B">
            <w:pPr>
              <w:jc w:val="center"/>
              <w:rPr>
                <w:rFonts w:hint="eastAsia" w:ascii="仿宋" w:hAnsi="仿宋" w:eastAsia="仿宋" w:cs="仿宋"/>
                <w:color w:val="auto"/>
                <w:kern w:val="2"/>
                <w:sz w:val="21"/>
                <w:szCs w:val="21"/>
                <w:highlight w:val="none"/>
              </w:rPr>
            </w:pPr>
          </w:p>
        </w:tc>
        <w:tc>
          <w:tcPr>
            <w:tcW w:w="1316" w:type="dxa"/>
            <w:vAlign w:val="center"/>
          </w:tcPr>
          <w:p w14:paraId="375DD87B">
            <w:pPr>
              <w:jc w:val="center"/>
              <w:rPr>
                <w:rFonts w:hint="eastAsia" w:ascii="仿宋" w:hAnsi="仿宋" w:eastAsia="仿宋" w:cs="仿宋"/>
                <w:color w:val="auto"/>
                <w:kern w:val="2"/>
                <w:sz w:val="21"/>
                <w:szCs w:val="21"/>
                <w:highlight w:val="none"/>
              </w:rPr>
            </w:pPr>
          </w:p>
        </w:tc>
        <w:tc>
          <w:tcPr>
            <w:tcW w:w="742" w:type="dxa"/>
            <w:vAlign w:val="center"/>
          </w:tcPr>
          <w:p w14:paraId="01FBC1E5">
            <w:pPr>
              <w:jc w:val="center"/>
              <w:rPr>
                <w:rFonts w:hint="eastAsia" w:ascii="仿宋" w:hAnsi="仿宋" w:eastAsia="仿宋" w:cs="仿宋"/>
                <w:color w:val="auto"/>
                <w:kern w:val="2"/>
                <w:sz w:val="21"/>
                <w:szCs w:val="21"/>
                <w:highlight w:val="none"/>
              </w:rPr>
            </w:pPr>
          </w:p>
        </w:tc>
      </w:tr>
      <w:tr w14:paraId="06E7B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468" w:type="dxa"/>
            <w:vAlign w:val="center"/>
          </w:tcPr>
          <w:p w14:paraId="3715EFA3">
            <w:pPr>
              <w:jc w:val="center"/>
              <w:rPr>
                <w:rFonts w:hint="eastAsia" w:ascii="仿宋" w:hAnsi="仿宋" w:eastAsia="仿宋" w:cs="仿宋"/>
                <w:bCs/>
                <w:color w:val="auto"/>
                <w:kern w:val="2"/>
                <w:sz w:val="21"/>
                <w:szCs w:val="21"/>
                <w:highlight w:val="none"/>
              </w:rPr>
            </w:pPr>
            <w:r>
              <w:rPr>
                <w:rFonts w:hint="eastAsia" w:ascii="仿宋" w:hAnsi="仿宋" w:eastAsia="仿宋" w:cs="仿宋"/>
                <w:bCs/>
                <w:color w:val="auto"/>
                <w:kern w:val="2"/>
                <w:sz w:val="21"/>
                <w:szCs w:val="21"/>
                <w:highlight w:val="none"/>
              </w:rPr>
              <w:t>项目技术负责人</w:t>
            </w:r>
          </w:p>
        </w:tc>
        <w:tc>
          <w:tcPr>
            <w:tcW w:w="992" w:type="dxa"/>
            <w:vAlign w:val="center"/>
          </w:tcPr>
          <w:p w14:paraId="1C24964D">
            <w:pPr>
              <w:jc w:val="center"/>
              <w:rPr>
                <w:rFonts w:hint="eastAsia" w:ascii="仿宋" w:hAnsi="仿宋" w:eastAsia="仿宋" w:cs="仿宋"/>
                <w:color w:val="auto"/>
                <w:kern w:val="2"/>
                <w:sz w:val="21"/>
                <w:szCs w:val="21"/>
                <w:highlight w:val="none"/>
              </w:rPr>
            </w:pPr>
          </w:p>
        </w:tc>
        <w:tc>
          <w:tcPr>
            <w:tcW w:w="814" w:type="dxa"/>
            <w:vAlign w:val="center"/>
          </w:tcPr>
          <w:p w14:paraId="78BCF638">
            <w:pPr>
              <w:jc w:val="center"/>
              <w:rPr>
                <w:rFonts w:hint="eastAsia" w:ascii="仿宋" w:hAnsi="仿宋" w:eastAsia="仿宋" w:cs="仿宋"/>
                <w:color w:val="auto"/>
                <w:kern w:val="2"/>
                <w:sz w:val="21"/>
                <w:szCs w:val="21"/>
                <w:highlight w:val="none"/>
              </w:rPr>
            </w:pPr>
          </w:p>
        </w:tc>
        <w:tc>
          <w:tcPr>
            <w:tcW w:w="1560" w:type="dxa"/>
            <w:vAlign w:val="center"/>
          </w:tcPr>
          <w:p w14:paraId="3148D336">
            <w:pPr>
              <w:jc w:val="center"/>
              <w:rPr>
                <w:rFonts w:hint="eastAsia" w:ascii="仿宋" w:hAnsi="仿宋" w:eastAsia="仿宋" w:cs="仿宋"/>
                <w:color w:val="auto"/>
                <w:kern w:val="2"/>
                <w:sz w:val="21"/>
                <w:szCs w:val="21"/>
                <w:highlight w:val="none"/>
              </w:rPr>
            </w:pPr>
          </w:p>
        </w:tc>
        <w:tc>
          <w:tcPr>
            <w:tcW w:w="1181" w:type="dxa"/>
            <w:vAlign w:val="center"/>
          </w:tcPr>
          <w:p w14:paraId="793C1D9B">
            <w:pPr>
              <w:jc w:val="center"/>
              <w:rPr>
                <w:rFonts w:hint="eastAsia" w:ascii="仿宋" w:hAnsi="仿宋" w:eastAsia="仿宋" w:cs="仿宋"/>
                <w:color w:val="auto"/>
                <w:kern w:val="2"/>
                <w:sz w:val="21"/>
                <w:szCs w:val="21"/>
                <w:highlight w:val="none"/>
              </w:rPr>
            </w:pPr>
          </w:p>
        </w:tc>
        <w:tc>
          <w:tcPr>
            <w:tcW w:w="1463" w:type="dxa"/>
            <w:vAlign w:val="center"/>
          </w:tcPr>
          <w:p w14:paraId="386A2C1E">
            <w:pPr>
              <w:jc w:val="center"/>
              <w:rPr>
                <w:rFonts w:hint="eastAsia" w:ascii="仿宋" w:hAnsi="仿宋" w:eastAsia="仿宋" w:cs="仿宋"/>
                <w:color w:val="auto"/>
                <w:kern w:val="2"/>
                <w:sz w:val="21"/>
                <w:szCs w:val="21"/>
                <w:highlight w:val="none"/>
              </w:rPr>
            </w:pPr>
          </w:p>
        </w:tc>
        <w:tc>
          <w:tcPr>
            <w:tcW w:w="1316" w:type="dxa"/>
            <w:vAlign w:val="center"/>
          </w:tcPr>
          <w:p w14:paraId="4E21FA4E">
            <w:pPr>
              <w:jc w:val="center"/>
              <w:rPr>
                <w:rFonts w:hint="eastAsia" w:ascii="仿宋" w:hAnsi="仿宋" w:eastAsia="仿宋" w:cs="仿宋"/>
                <w:color w:val="auto"/>
                <w:kern w:val="2"/>
                <w:sz w:val="21"/>
                <w:szCs w:val="21"/>
                <w:highlight w:val="none"/>
              </w:rPr>
            </w:pPr>
          </w:p>
        </w:tc>
        <w:tc>
          <w:tcPr>
            <w:tcW w:w="742" w:type="dxa"/>
            <w:vAlign w:val="center"/>
          </w:tcPr>
          <w:p w14:paraId="27EC3E3B">
            <w:pPr>
              <w:jc w:val="center"/>
              <w:rPr>
                <w:rFonts w:hint="eastAsia" w:ascii="仿宋" w:hAnsi="仿宋" w:eastAsia="仿宋" w:cs="仿宋"/>
                <w:color w:val="auto"/>
                <w:kern w:val="2"/>
                <w:sz w:val="21"/>
                <w:szCs w:val="21"/>
                <w:highlight w:val="none"/>
              </w:rPr>
            </w:pPr>
          </w:p>
        </w:tc>
      </w:tr>
      <w:tr w14:paraId="5F17D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68" w:type="dxa"/>
            <w:vAlign w:val="center"/>
          </w:tcPr>
          <w:p w14:paraId="52E8C6D5">
            <w:pPr>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w:t>
            </w:r>
          </w:p>
        </w:tc>
        <w:tc>
          <w:tcPr>
            <w:tcW w:w="992" w:type="dxa"/>
            <w:vAlign w:val="top"/>
          </w:tcPr>
          <w:p w14:paraId="680E9252">
            <w:pPr>
              <w:jc w:val="center"/>
              <w:rPr>
                <w:rFonts w:hint="eastAsia" w:ascii="仿宋" w:hAnsi="仿宋" w:eastAsia="仿宋" w:cs="仿宋"/>
                <w:color w:val="auto"/>
                <w:kern w:val="2"/>
                <w:sz w:val="21"/>
                <w:szCs w:val="21"/>
                <w:highlight w:val="none"/>
              </w:rPr>
            </w:pPr>
          </w:p>
        </w:tc>
        <w:tc>
          <w:tcPr>
            <w:tcW w:w="814" w:type="dxa"/>
            <w:vAlign w:val="top"/>
          </w:tcPr>
          <w:p w14:paraId="7567C1ED">
            <w:pPr>
              <w:jc w:val="center"/>
              <w:rPr>
                <w:rFonts w:hint="eastAsia" w:ascii="仿宋" w:hAnsi="仿宋" w:eastAsia="仿宋" w:cs="仿宋"/>
                <w:color w:val="auto"/>
                <w:kern w:val="2"/>
                <w:sz w:val="21"/>
                <w:szCs w:val="21"/>
                <w:highlight w:val="none"/>
              </w:rPr>
            </w:pPr>
          </w:p>
        </w:tc>
        <w:tc>
          <w:tcPr>
            <w:tcW w:w="1560" w:type="dxa"/>
            <w:vAlign w:val="top"/>
          </w:tcPr>
          <w:p w14:paraId="0E13C5C5">
            <w:pPr>
              <w:jc w:val="center"/>
              <w:rPr>
                <w:rFonts w:hint="eastAsia" w:ascii="仿宋" w:hAnsi="仿宋" w:eastAsia="仿宋" w:cs="仿宋"/>
                <w:color w:val="auto"/>
                <w:kern w:val="2"/>
                <w:sz w:val="21"/>
                <w:szCs w:val="21"/>
                <w:highlight w:val="none"/>
              </w:rPr>
            </w:pPr>
          </w:p>
        </w:tc>
        <w:tc>
          <w:tcPr>
            <w:tcW w:w="1181" w:type="dxa"/>
            <w:vAlign w:val="top"/>
          </w:tcPr>
          <w:p w14:paraId="6914B886">
            <w:pPr>
              <w:jc w:val="center"/>
              <w:rPr>
                <w:rFonts w:hint="eastAsia" w:ascii="仿宋" w:hAnsi="仿宋" w:eastAsia="仿宋" w:cs="仿宋"/>
                <w:color w:val="auto"/>
                <w:kern w:val="2"/>
                <w:sz w:val="21"/>
                <w:szCs w:val="21"/>
                <w:highlight w:val="none"/>
              </w:rPr>
            </w:pPr>
          </w:p>
        </w:tc>
        <w:tc>
          <w:tcPr>
            <w:tcW w:w="1463" w:type="dxa"/>
            <w:vAlign w:val="top"/>
          </w:tcPr>
          <w:p w14:paraId="67B184D1">
            <w:pPr>
              <w:jc w:val="center"/>
              <w:rPr>
                <w:rFonts w:hint="eastAsia" w:ascii="仿宋" w:hAnsi="仿宋" w:eastAsia="仿宋" w:cs="仿宋"/>
                <w:color w:val="auto"/>
                <w:kern w:val="2"/>
                <w:sz w:val="21"/>
                <w:szCs w:val="21"/>
                <w:highlight w:val="none"/>
              </w:rPr>
            </w:pPr>
          </w:p>
        </w:tc>
        <w:tc>
          <w:tcPr>
            <w:tcW w:w="1316" w:type="dxa"/>
            <w:vAlign w:val="top"/>
          </w:tcPr>
          <w:p w14:paraId="77E542D7">
            <w:pPr>
              <w:jc w:val="center"/>
              <w:rPr>
                <w:rFonts w:hint="eastAsia" w:ascii="仿宋" w:hAnsi="仿宋" w:eastAsia="仿宋" w:cs="仿宋"/>
                <w:color w:val="auto"/>
                <w:kern w:val="2"/>
                <w:sz w:val="21"/>
                <w:szCs w:val="21"/>
                <w:highlight w:val="none"/>
              </w:rPr>
            </w:pPr>
          </w:p>
        </w:tc>
        <w:tc>
          <w:tcPr>
            <w:tcW w:w="742" w:type="dxa"/>
            <w:vAlign w:val="top"/>
          </w:tcPr>
          <w:p w14:paraId="2DADA4EC">
            <w:pPr>
              <w:jc w:val="center"/>
              <w:rPr>
                <w:rFonts w:hint="eastAsia" w:ascii="仿宋" w:hAnsi="仿宋" w:eastAsia="仿宋" w:cs="仿宋"/>
                <w:color w:val="auto"/>
                <w:kern w:val="2"/>
                <w:sz w:val="21"/>
                <w:szCs w:val="21"/>
                <w:highlight w:val="none"/>
              </w:rPr>
            </w:pPr>
          </w:p>
        </w:tc>
      </w:tr>
      <w:tr w14:paraId="4EE5C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Align w:val="center"/>
          </w:tcPr>
          <w:p w14:paraId="444DB930">
            <w:pPr>
              <w:jc w:val="center"/>
              <w:rPr>
                <w:rFonts w:hint="eastAsia" w:ascii="仿宋" w:hAnsi="仿宋" w:eastAsia="仿宋" w:cs="仿宋"/>
                <w:bCs/>
                <w:color w:val="auto"/>
                <w:kern w:val="2"/>
                <w:sz w:val="21"/>
                <w:szCs w:val="21"/>
                <w:highlight w:val="none"/>
              </w:rPr>
            </w:pPr>
          </w:p>
        </w:tc>
        <w:tc>
          <w:tcPr>
            <w:tcW w:w="992" w:type="dxa"/>
            <w:vAlign w:val="top"/>
          </w:tcPr>
          <w:p w14:paraId="4B511A43">
            <w:pPr>
              <w:jc w:val="center"/>
              <w:rPr>
                <w:rFonts w:hint="eastAsia" w:ascii="仿宋" w:hAnsi="仿宋" w:eastAsia="仿宋" w:cs="仿宋"/>
                <w:color w:val="auto"/>
                <w:kern w:val="2"/>
                <w:sz w:val="21"/>
                <w:szCs w:val="21"/>
                <w:highlight w:val="none"/>
              </w:rPr>
            </w:pPr>
          </w:p>
        </w:tc>
        <w:tc>
          <w:tcPr>
            <w:tcW w:w="814" w:type="dxa"/>
            <w:vAlign w:val="top"/>
          </w:tcPr>
          <w:p w14:paraId="1954A9B1">
            <w:pPr>
              <w:jc w:val="center"/>
              <w:rPr>
                <w:rFonts w:hint="eastAsia" w:ascii="仿宋" w:hAnsi="仿宋" w:eastAsia="仿宋" w:cs="仿宋"/>
                <w:color w:val="auto"/>
                <w:kern w:val="2"/>
                <w:sz w:val="21"/>
                <w:szCs w:val="21"/>
                <w:highlight w:val="none"/>
              </w:rPr>
            </w:pPr>
          </w:p>
        </w:tc>
        <w:tc>
          <w:tcPr>
            <w:tcW w:w="1560" w:type="dxa"/>
            <w:vAlign w:val="top"/>
          </w:tcPr>
          <w:p w14:paraId="10F113E3">
            <w:pPr>
              <w:jc w:val="center"/>
              <w:rPr>
                <w:rFonts w:hint="eastAsia" w:ascii="仿宋" w:hAnsi="仿宋" w:eastAsia="仿宋" w:cs="仿宋"/>
                <w:color w:val="auto"/>
                <w:kern w:val="2"/>
                <w:sz w:val="21"/>
                <w:szCs w:val="21"/>
                <w:highlight w:val="none"/>
              </w:rPr>
            </w:pPr>
          </w:p>
        </w:tc>
        <w:tc>
          <w:tcPr>
            <w:tcW w:w="1181" w:type="dxa"/>
            <w:vAlign w:val="top"/>
          </w:tcPr>
          <w:p w14:paraId="0E4E1C7F">
            <w:pPr>
              <w:jc w:val="center"/>
              <w:rPr>
                <w:rFonts w:hint="eastAsia" w:ascii="仿宋" w:hAnsi="仿宋" w:eastAsia="仿宋" w:cs="仿宋"/>
                <w:color w:val="auto"/>
                <w:kern w:val="2"/>
                <w:sz w:val="21"/>
                <w:szCs w:val="21"/>
                <w:highlight w:val="none"/>
              </w:rPr>
            </w:pPr>
          </w:p>
        </w:tc>
        <w:tc>
          <w:tcPr>
            <w:tcW w:w="1463" w:type="dxa"/>
            <w:vAlign w:val="top"/>
          </w:tcPr>
          <w:p w14:paraId="282D94DE">
            <w:pPr>
              <w:jc w:val="center"/>
              <w:rPr>
                <w:rFonts w:hint="eastAsia" w:ascii="仿宋" w:hAnsi="仿宋" w:eastAsia="仿宋" w:cs="仿宋"/>
                <w:color w:val="auto"/>
                <w:kern w:val="2"/>
                <w:sz w:val="21"/>
                <w:szCs w:val="21"/>
                <w:highlight w:val="none"/>
              </w:rPr>
            </w:pPr>
          </w:p>
        </w:tc>
        <w:tc>
          <w:tcPr>
            <w:tcW w:w="1316" w:type="dxa"/>
            <w:vAlign w:val="top"/>
          </w:tcPr>
          <w:p w14:paraId="18477F56">
            <w:pPr>
              <w:jc w:val="center"/>
              <w:rPr>
                <w:rFonts w:hint="eastAsia" w:ascii="仿宋" w:hAnsi="仿宋" w:eastAsia="仿宋" w:cs="仿宋"/>
                <w:color w:val="auto"/>
                <w:kern w:val="2"/>
                <w:sz w:val="21"/>
                <w:szCs w:val="21"/>
                <w:highlight w:val="none"/>
              </w:rPr>
            </w:pPr>
          </w:p>
        </w:tc>
        <w:tc>
          <w:tcPr>
            <w:tcW w:w="742" w:type="dxa"/>
            <w:vAlign w:val="top"/>
          </w:tcPr>
          <w:p w14:paraId="6685A9E4">
            <w:pPr>
              <w:jc w:val="center"/>
              <w:rPr>
                <w:rFonts w:hint="eastAsia" w:ascii="仿宋" w:hAnsi="仿宋" w:eastAsia="仿宋" w:cs="仿宋"/>
                <w:color w:val="auto"/>
                <w:kern w:val="2"/>
                <w:sz w:val="21"/>
                <w:szCs w:val="21"/>
                <w:highlight w:val="none"/>
              </w:rPr>
            </w:pPr>
          </w:p>
        </w:tc>
      </w:tr>
      <w:tr w14:paraId="2B44C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Align w:val="center"/>
          </w:tcPr>
          <w:p w14:paraId="7697F527">
            <w:pPr>
              <w:jc w:val="center"/>
              <w:rPr>
                <w:rFonts w:hint="eastAsia" w:ascii="仿宋" w:hAnsi="仿宋" w:eastAsia="仿宋" w:cs="仿宋"/>
                <w:bCs/>
                <w:color w:val="auto"/>
                <w:kern w:val="2"/>
                <w:sz w:val="21"/>
                <w:szCs w:val="21"/>
                <w:highlight w:val="none"/>
              </w:rPr>
            </w:pPr>
          </w:p>
        </w:tc>
        <w:tc>
          <w:tcPr>
            <w:tcW w:w="992" w:type="dxa"/>
            <w:vAlign w:val="top"/>
          </w:tcPr>
          <w:p w14:paraId="6A4778BE">
            <w:pPr>
              <w:jc w:val="center"/>
              <w:rPr>
                <w:rFonts w:hint="eastAsia" w:ascii="仿宋" w:hAnsi="仿宋" w:eastAsia="仿宋" w:cs="仿宋"/>
                <w:color w:val="auto"/>
                <w:kern w:val="2"/>
                <w:sz w:val="21"/>
                <w:szCs w:val="21"/>
                <w:highlight w:val="none"/>
              </w:rPr>
            </w:pPr>
          </w:p>
        </w:tc>
        <w:tc>
          <w:tcPr>
            <w:tcW w:w="814" w:type="dxa"/>
            <w:vAlign w:val="top"/>
          </w:tcPr>
          <w:p w14:paraId="433D660B">
            <w:pPr>
              <w:jc w:val="center"/>
              <w:rPr>
                <w:rFonts w:hint="eastAsia" w:ascii="仿宋" w:hAnsi="仿宋" w:eastAsia="仿宋" w:cs="仿宋"/>
                <w:color w:val="auto"/>
                <w:kern w:val="2"/>
                <w:sz w:val="21"/>
                <w:szCs w:val="21"/>
                <w:highlight w:val="none"/>
              </w:rPr>
            </w:pPr>
          </w:p>
        </w:tc>
        <w:tc>
          <w:tcPr>
            <w:tcW w:w="1560" w:type="dxa"/>
            <w:vAlign w:val="top"/>
          </w:tcPr>
          <w:p w14:paraId="10FD9296">
            <w:pPr>
              <w:jc w:val="center"/>
              <w:rPr>
                <w:rFonts w:hint="eastAsia" w:ascii="仿宋" w:hAnsi="仿宋" w:eastAsia="仿宋" w:cs="仿宋"/>
                <w:color w:val="auto"/>
                <w:kern w:val="2"/>
                <w:sz w:val="21"/>
                <w:szCs w:val="21"/>
                <w:highlight w:val="none"/>
              </w:rPr>
            </w:pPr>
          </w:p>
        </w:tc>
        <w:tc>
          <w:tcPr>
            <w:tcW w:w="1181" w:type="dxa"/>
            <w:vAlign w:val="top"/>
          </w:tcPr>
          <w:p w14:paraId="04133709">
            <w:pPr>
              <w:jc w:val="center"/>
              <w:rPr>
                <w:rFonts w:hint="eastAsia" w:ascii="仿宋" w:hAnsi="仿宋" w:eastAsia="仿宋" w:cs="仿宋"/>
                <w:color w:val="auto"/>
                <w:kern w:val="2"/>
                <w:sz w:val="21"/>
                <w:szCs w:val="21"/>
                <w:highlight w:val="none"/>
              </w:rPr>
            </w:pPr>
          </w:p>
        </w:tc>
        <w:tc>
          <w:tcPr>
            <w:tcW w:w="1463" w:type="dxa"/>
            <w:vAlign w:val="top"/>
          </w:tcPr>
          <w:p w14:paraId="2763325B">
            <w:pPr>
              <w:jc w:val="center"/>
              <w:rPr>
                <w:rFonts w:hint="eastAsia" w:ascii="仿宋" w:hAnsi="仿宋" w:eastAsia="仿宋" w:cs="仿宋"/>
                <w:color w:val="auto"/>
                <w:kern w:val="2"/>
                <w:sz w:val="21"/>
                <w:szCs w:val="21"/>
                <w:highlight w:val="none"/>
              </w:rPr>
            </w:pPr>
          </w:p>
        </w:tc>
        <w:tc>
          <w:tcPr>
            <w:tcW w:w="1316" w:type="dxa"/>
            <w:vAlign w:val="top"/>
          </w:tcPr>
          <w:p w14:paraId="323C2B56">
            <w:pPr>
              <w:jc w:val="center"/>
              <w:rPr>
                <w:rFonts w:hint="eastAsia" w:ascii="仿宋" w:hAnsi="仿宋" w:eastAsia="仿宋" w:cs="仿宋"/>
                <w:color w:val="auto"/>
                <w:kern w:val="2"/>
                <w:sz w:val="21"/>
                <w:szCs w:val="21"/>
                <w:highlight w:val="none"/>
              </w:rPr>
            </w:pPr>
          </w:p>
        </w:tc>
        <w:tc>
          <w:tcPr>
            <w:tcW w:w="742" w:type="dxa"/>
            <w:vAlign w:val="top"/>
          </w:tcPr>
          <w:p w14:paraId="0813F710">
            <w:pPr>
              <w:jc w:val="center"/>
              <w:rPr>
                <w:rFonts w:hint="eastAsia" w:ascii="仿宋" w:hAnsi="仿宋" w:eastAsia="仿宋" w:cs="仿宋"/>
                <w:color w:val="auto"/>
                <w:kern w:val="2"/>
                <w:sz w:val="21"/>
                <w:szCs w:val="21"/>
                <w:highlight w:val="none"/>
              </w:rPr>
            </w:pPr>
          </w:p>
        </w:tc>
      </w:tr>
      <w:tr w14:paraId="59399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Align w:val="center"/>
          </w:tcPr>
          <w:p w14:paraId="3BE5BFBC">
            <w:pPr>
              <w:jc w:val="center"/>
              <w:rPr>
                <w:rFonts w:hint="eastAsia" w:ascii="仿宋" w:hAnsi="仿宋" w:eastAsia="仿宋" w:cs="仿宋"/>
                <w:bCs/>
                <w:color w:val="auto"/>
                <w:kern w:val="2"/>
                <w:sz w:val="21"/>
                <w:szCs w:val="21"/>
                <w:highlight w:val="none"/>
              </w:rPr>
            </w:pPr>
          </w:p>
        </w:tc>
        <w:tc>
          <w:tcPr>
            <w:tcW w:w="992" w:type="dxa"/>
            <w:vAlign w:val="top"/>
          </w:tcPr>
          <w:p w14:paraId="662ED956">
            <w:pPr>
              <w:jc w:val="center"/>
              <w:rPr>
                <w:rFonts w:hint="eastAsia" w:ascii="仿宋" w:hAnsi="仿宋" w:eastAsia="仿宋" w:cs="仿宋"/>
                <w:color w:val="auto"/>
                <w:kern w:val="2"/>
                <w:sz w:val="21"/>
                <w:szCs w:val="21"/>
                <w:highlight w:val="none"/>
              </w:rPr>
            </w:pPr>
          </w:p>
        </w:tc>
        <w:tc>
          <w:tcPr>
            <w:tcW w:w="814" w:type="dxa"/>
            <w:vAlign w:val="top"/>
          </w:tcPr>
          <w:p w14:paraId="675F9880">
            <w:pPr>
              <w:jc w:val="center"/>
              <w:rPr>
                <w:rFonts w:hint="eastAsia" w:ascii="仿宋" w:hAnsi="仿宋" w:eastAsia="仿宋" w:cs="仿宋"/>
                <w:color w:val="auto"/>
                <w:kern w:val="2"/>
                <w:sz w:val="21"/>
                <w:szCs w:val="21"/>
                <w:highlight w:val="none"/>
              </w:rPr>
            </w:pPr>
          </w:p>
        </w:tc>
        <w:tc>
          <w:tcPr>
            <w:tcW w:w="1560" w:type="dxa"/>
            <w:vAlign w:val="top"/>
          </w:tcPr>
          <w:p w14:paraId="616845B3">
            <w:pPr>
              <w:jc w:val="center"/>
              <w:rPr>
                <w:rFonts w:hint="eastAsia" w:ascii="仿宋" w:hAnsi="仿宋" w:eastAsia="仿宋" w:cs="仿宋"/>
                <w:color w:val="auto"/>
                <w:kern w:val="2"/>
                <w:sz w:val="21"/>
                <w:szCs w:val="21"/>
                <w:highlight w:val="none"/>
              </w:rPr>
            </w:pPr>
          </w:p>
        </w:tc>
        <w:tc>
          <w:tcPr>
            <w:tcW w:w="1181" w:type="dxa"/>
            <w:vAlign w:val="top"/>
          </w:tcPr>
          <w:p w14:paraId="5B52FFDC">
            <w:pPr>
              <w:jc w:val="center"/>
              <w:rPr>
                <w:rFonts w:hint="eastAsia" w:ascii="仿宋" w:hAnsi="仿宋" w:eastAsia="仿宋" w:cs="仿宋"/>
                <w:color w:val="auto"/>
                <w:kern w:val="2"/>
                <w:sz w:val="21"/>
                <w:szCs w:val="21"/>
                <w:highlight w:val="none"/>
              </w:rPr>
            </w:pPr>
          </w:p>
        </w:tc>
        <w:tc>
          <w:tcPr>
            <w:tcW w:w="1463" w:type="dxa"/>
            <w:vAlign w:val="top"/>
          </w:tcPr>
          <w:p w14:paraId="3F377A28">
            <w:pPr>
              <w:jc w:val="center"/>
              <w:rPr>
                <w:rFonts w:hint="eastAsia" w:ascii="仿宋" w:hAnsi="仿宋" w:eastAsia="仿宋" w:cs="仿宋"/>
                <w:color w:val="auto"/>
                <w:kern w:val="2"/>
                <w:sz w:val="21"/>
                <w:szCs w:val="21"/>
                <w:highlight w:val="none"/>
              </w:rPr>
            </w:pPr>
          </w:p>
        </w:tc>
        <w:tc>
          <w:tcPr>
            <w:tcW w:w="1316" w:type="dxa"/>
            <w:vAlign w:val="top"/>
          </w:tcPr>
          <w:p w14:paraId="00A3AA4D">
            <w:pPr>
              <w:jc w:val="center"/>
              <w:rPr>
                <w:rFonts w:hint="eastAsia" w:ascii="仿宋" w:hAnsi="仿宋" w:eastAsia="仿宋" w:cs="仿宋"/>
                <w:color w:val="auto"/>
                <w:kern w:val="2"/>
                <w:sz w:val="21"/>
                <w:szCs w:val="21"/>
                <w:highlight w:val="none"/>
              </w:rPr>
            </w:pPr>
          </w:p>
        </w:tc>
        <w:tc>
          <w:tcPr>
            <w:tcW w:w="742" w:type="dxa"/>
            <w:vAlign w:val="top"/>
          </w:tcPr>
          <w:p w14:paraId="41A75D3E">
            <w:pPr>
              <w:jc w:val="center"/>
              <w:rPr>
                <w:rFonts w:hint="eastAsia" w:ascii="仿宋" w:hAnsi="仿宋" w:eastAsia="仿宋" w:cs="仿宋"/>
                <w:color w:val="auto"/>
                <w:kern w:val="2"/>
                <w:sz w:val="21"/>
                <w:szCs w:val="21"/>
                <w:highlight w:val="none"/>
              </w:rPr>
            </w:pPr>
          </w:p>
        </w:tc>
      </w:tr>
      <w:tr w14:paraId="386D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Align w:val="center"/>
          </w:tcPr>
          <w:p w14:paraId="67DBAAA6">
            <w:pPr>
              <w:jc w:val="center"/>
              <w:rPr>
                <w:rFonts w:hint="eastAsia" w:ascii="仿宋" w:hAnsi="仿宋" w:eastAsia="仿宋" w:cs="仿宋"/>
                <w:bCs/>
                <w:color w:val="auto"/>
                <w:kern w:val="2"/>
                <w:sz w:val="21"/>
                <w:szCs w:val="21"/>
                <w:highlight w:val="none"/>
              </w:rPr>
            </w:pPr>
          </w:p>
        </w:tc>
        <w:tc>
          <w:tcPr>
            <w:tcW w:w="992" w:type="dxa"/>
            <w:vAlign w:val="top"/>
          </w:tcPr>
          <w:p w14:paraId="3A8B2874">
            <w:pPr>
              <w:jc w:val="center"/>
              <w:rPr>
                <w:rFonts w:hint="eastAsia" w:ascii="仿宋" w:hAnsi="仿宋" w:eastAsia="仿宋" w:cs="仿宋"/>
                <w:color w:val="auto"/>
                <w:kern w:val="2"/>
                <w:sz w:val="21"/>
                <w:szCs w:val="21"/>
                <w:highlight w:val="none"/>
              </w:rPr>
            </w:pPr>
          </w:p>
        </w:tc>
        <w:tc>
          <w:tcPr>
            <w:tcW w:w="814" w:type="dxa"/>
            <w:vAlign w:val="top"/>
          </w:tcPr>
          <w:p w14:paraId="4DCCE4F8">
            <w:pPr>
              <w:jc w:val="center"/>
              <w:rPr>
                <w:rFonts w:hint="eastAsia" w:ascii="仿宋" w:hAnsi="仿宋" w:eastAsia="仿宋" w:cs="仿宋"/>
                <w:color w:val="auto"/>
                <w:kern w:val="2"/>
                <w:sz w:val="21"/>
                <w:szCs w:val="21"/>
                <w:highlight w:val="none"/>
              </w:rPr>
            </w:pPr>
          </w:p>
        </w:tc>
        <w:tc>
          <w:tcPr>
            <w:tcW w:w="1560" w:type="dxa"/>
            <w:vAlign w:val="top"/>
          </w:tcPr>
          <w:p w14:paraId="02E77CE8">
            <w:pPr>
              <w:jc w:val="center"/>
              <w:rPr>
                <w:rFonts w:hint="eastAsia" w:ascii="仿宋" w:hAnsi="仿宋" w:eastAsia="仿宋" w:cs="仿宋"/>
                <w:color w:val="auto"/>
                <w:kern w:val="2"/>
                <w:sz w:val="21"/>
                <w:szCs w:val="21"/>
                <w:highlight w:val="none"/>
              </w:rPr>
            </w:pPr>
          </w:p>
        </w:tc>
        <w:tc>
          <w:tcPr>
            <w:tcW w:w="1181" w:type="dxa"/>
            <w:vAlign w:val="top"/>
          </w:tcPr>
          <w:p w14:paraId="375F0748">
            <w:pPr>
              <w:jc w:val="center"/>
              <w:rPr>
                <w:rFonts w:hint="eastAsia" w:ascii="仿宋" w:hAnsi="仿宋" w:eastAsia="仿宋" w:cs="仿宋"/>
                <w:color w:val="auto"/>
                <w:kern w:val="2"/>
                <w:sz w:val="21"/>
                <w:szCs w:val="21"/>
                <w:highlight w:val="none"/>
              </w:rPr>
            </w:pPr>
          </w:p>
        </w:tc>
        <w:tc>
          <w:tcPr>
            <w:tcW w:w="1463" w:type="dxa"/>
            <w:vAlign w:val="top"/>
          </w:tcPr>
          <w:p w14:paraId="05F42279">
            <w:pPr>
              <w:jc w:val="center"/>
              <w:rPr>
                <w:rFonts w:hint="eastAsia" w:ascii="仿宋" w:hAnsi="仿宋" w:eastAsia="仿宋" w:cs="仿宋"/>
                <w:color w:val="auto"/>
                <w:kern w:val="2"/>
                <w:sz w:val="21"/>
                <w:szCs w:val="21"/>
                <w:highlight w:val="none"/>
              </w:rPr>
            </w:pPr>
          </w:p>
        </w:tc>
        <w:tc>
          <w:tcPr>
            <w:tcW w:w="1316" w:type="dxa"/>
            <w:vAlign w:val="top"/>
          </w:tcPr>
          <w:p w14:paraId="1B93B5BB">
            <w:pPr>
              <w:jc w:val="center"/>
              <w:rPr>
                <w:rFonts w:hint="eastAsia" w:ascii="仿宋" w:hAnsi="仿宋" w:eastAsia="仿宋" w:cs="仿宋"/>
                <w:color w:val="auto"/>
                <w:kern w:val="2"/>
                <w:sz w:val="21"/>
                <w:szCs w:val="21"/>
                <w:highlight w:val="none"/>
              </w:rPr>
            </w:pPr>
          </w:p>
        </w:tc>
        <w:tc>
          <w:tcPr>
            <w:tcW w:w="742" w:type="dxa"/>
            <w:vAlign w:val="top"/>
          </w:tcPr>
          <w:p w14:paraId="76BE50E5">
            <w:pPr>
              <w:jc w:val="center"/>
              <w:rPr>
                <w:rFonts w:hint="eastAsia" w:ascii="仿宋" w:hAnsi="仿宋" w:eastAsia="仿宋" w:cs="仿宋"/>
                <w:color w:val="auto"/>
                <w:kern w:val="2"/>
                <w:sz w:val="21"/>
                <w:szCs w:val="21"/>
                <w:highlight w:val="none"/>
              </w:rPr>
            </w:pPr>
          </w:p>
        </w:tc>
      </w:tr>
      <w:tr w14:paraId="24E01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Align w:val="center"/>
          </w:tcPr>
          <w:p w14:paraId="41F8F4C4">
            <w:pPr>
              <w:jc w:val="center"/>
              <w:rPr>
                <w:rFonts w:hint="eastAsia" w:ascii="仿宋" w:hAnsi="仿宋" w:eastAsia="仿宋" w:cs="仿宋"/>
                <w:bCs/>
                <w:color w:val="auto"/>
                <w:kern w:val="2"/>
                <w:sz w:val="21"/>
                <w:szCs w:val="21"/>
                <w:highlight w:val="none"/>
              </w:rPr>
            </w:pPr>
          </w:p>
        </w:tc>
        <w:tc>
          <w:tcPr>
            <w:tcW w:w="992" w:type="dxa"/>
            <w:vAlign w:val="top"/>
          </w:tcPr>
          <w:p w14:paraId="2DD31A03">
            <w:pPr>
              <w:jc w:val="center"/>
              <w:rPr>
                <w:rFonts w:hint="eastAsia" w:ascii="仿宋" w:hAnsi="仿宋" w:eastAsia="仿宋" w:cs="仿宋"/>
                <w:color w:val="auto"/>
                <w:kern w:val="2"/>
                <w:sz w:val="21"/>
                <w:szCs w:val="21"/>
                <w:highlight w:val="none"/>
              </w:rPr>
            </w:pPr>
          </w:p>
        </w:tc>
        <w:tc>
          <w:tcPr>
            <w:tcW w:w="814" w:type="dxa"/>
            <w:vAlign w:val="top"/>
          </w:tcPr>
          <w:p w14:paraId="4B129BAD">
            <w:pPr>
              <w:jc w:val="center"/>
              <w:rPr>
                <w:rFonts w:hint="eastAsia" w:ascii="仿宋" w:hAnsi="仿宋" w:eastAsia="仿宋" w:cs="仿宋"/>
                <w:color w:val="auto"/>
                <w:kern w:val="2"/>
                <w:sz w:val="21"/>
                <w:szCs w:val="21"/>
                <w:highlight w:val="none"/>
              </w:rPr>
            </w:pPr>
          </w:p>
        </w:tc>
        <w:tc>
          <w:tcPr>
            <w:tcW w:w="1560" w:type="dxa"/>
            <w:vAlign w:val="top"/>
          </w:tcPr>
          <w:p w14:paraId="1C35CC9C">
            <w:pPr>
              <w:jc w:val="center"/>
              <w:rPr>
                <w:rFonts w:hint="eastAsia" w:ascii="仿宋" w:hAnsi="仿宋" w:eastAsia="仿宋" w:cs="仿宋"/>
                <w:color w:val="auto"/>
                <w:kern w:val="2"/>
                <w:sz w:val="21"/>
                <w:szCs w:val="21"/>
                <w:highlight w:val="none"/>
              </w:rPr>
            </w:pPr>
          </w:p>
        </w:tc>
        <w:tc>
          <w:tcPr>
            <w:tcW w:w="1181" w:type="dxa"/>
            <w:vAlign w:val="top"/>
          </w:tcPr>
          <w:p w14:paraId="04DE4A60">
            <w:pPr>
              <w:jc w:val="center"/>
              <w:rPr>
                <w:rFonts w:hint="eastAsia" w:ascii="仿宋" w:hAnsi="仿宋" w:eastAsia="仿宋" w:cs="仿宋"/>
                <w:color w:val="auto"/>
                <w:kern w:val="2"/>
                <w:sz w:val="21"/>
                <w:szCs w:val="21"/>
                <w:highlight w:val="none"/>
              </w:rPr>
            </w:pPr>
          </w:p>
        </w:tc>
        <w:tc>
          <w:tcPr>
            <w:tcW w:w="1463" w:type="dxa"/>
            <w:vAlign w:val="top"/>
          </w:tcPr>
          <w:p w14:paraId="2A5FF3C0">
            <w:pPr>
              <w:jc w:val="center"/>
              <w:rPr>
                <w:rFonts w:hint="eastAsia" w:ascii="仿宋" w:hAnsi="仿宋" w:eastAsia="仿宋" w:cs="仿宋"/>
                <w:color w:val="auto"/>
                <w:kern w:val="2"/>
                <w:sz w:val="21"/>
                <w:szCs w:val="21"/>
                <w:highlight w:val="none"/>
              </w:rPr>
            </w:pPr>
          </w:p>
        </w:tc>
        <w:tc>
          <w:tcPr>
            <w:tcW w:w="1316" w:type="dxa"/>
            <w:vAlign w:val="top"/>
          </w:tcPr>
          <w:p w14:paraId="787D5131">
            <w:pPr>
              <w:jc w:val="center"/>
              <w:rPr>
                <w:rFonts w:hint="eastAsia" w:ascii="仿宋" w:hAnsi="仿宋" w:eastAsia="仿宋" w:cs="仿宋"/>
                <w:color w:val="auto"/>
                <w:kern w:val="2"/>
                <w:sz w:val="21"/>
                <w:szCs w:val="21"/>
                <w:highlight w:val="none"/>
              </w:rPr>
            </w:pPr>
          </w:p>
        </w:tc>
        <w:tc>
          <w:tcPr>
            <w:tcW w:w="742" w:type="dxa"/>
            <w:vAlign w:val="top"/>
          </w:tcPr>
          <w:p w14:paraId="774BE3C5">
            <w:pPr>
              <w:jc w:val="center"/>
              <w:rPr>
                <w:rFonts w:hint="eastAsia" w:ascii="仿宋" w:hAnsi="仿宋" w:eastAsia="仿宋" w:cs="仿宋"/>
                <w:color w:val="auto"/>
                <w:kern w:val="2"/>
                <w:sz w:val="21"/>
                <w:szCs w:val="21"/>
                <w:highlight w:val="none"/>
              </w:rPr>
            </w:pPr>
          </w:p>
        </w:tc>
      </w:tr>
      <w:tr w14:paraId="1EBEE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Align w:val="center"/>
          </w:tcPr>
          <w:p w14:paraId="3F6B6668">
            <w:pPr>
              <w:jc w:val="center"/>
              <w:rPr>
                <w:rFonts w:hint="eastAsia" w:ascii="仿宋" w:hAnsi="仿宋" w:eastAsia="仿宋" w:cs="仿宋"/>
                <w:bCs/>
                <w:color w:val="auto"/>
                <w:kern w:val="2"/>
                <w:sz w:val="21"/>
                <w:szCs w:val="21"/>
                <w:highlight w:val="none"/>
              </w:rPr>
            </w:pPr>
          </w:p>
        </w:tc>
        <w:tc>
          <w:tcPr>
            <w:tcW w:w="992" w:type="dxa"/>
            <w:vAlign w:val="top"/>
          </w:tcPr>
          <w:p w14:paraId="4A22ABF3">
            <w:pPr>
              <w:jc w:val="center"/>
              <w:rPr>
                <w:rFonts w:hint="eastAsia" w:ascii="仿宋" w:hAnsi="仿宋" w:eastAsia="仿宋" w:cs="仿宋"/>
                <w:color w:val="auto"/>
                <w:kern w:val="2"/>
                <w:sz w:val="21"/>
                <w:szCs w:val="21"/>
                <w:highlight w:val="none"/>
              </w:rPr>
            </w:pPr>
          </w:p>
        </w:tc>
        <w:tc>
          <w:tcPr>
            <w:tcW w:w="814" w:type="dxa"/>
            <w:vAlign w:val="top"/>
          </w:tcPr>
          <w:p w14:paraId="48526D07">
            <w:pPr>
              <w:jc w:val="center"/>
              <w:rPr>
                <w:rFonts w:hint="eastAsia" w:ascii="仿宋" w:hAnsi="仿宋" w:eastAsia="仿宋" w:cs="仿宋"/>
                <w:color w:val="auto"/>
                <w:kern w:val="2"/>
                <w:sz w:val="21"/>
                <w:szCs w:val="21"/>
                <w:highlight w:val="none"/>
              </w:rPr>
            </w:pPr>
          </w:p>
        </w:tc>
        <w:tc>
          <w:tcPr>
            <w:tcW w:w="1560" w:type="dxa"/>
            <w:vAlign w:val="top"/>
          </w:tcPr>
          <w:p w14:paraId="55B48C8B">
            <w:pPr>
              <w:jc w:val="center"/>
              <w:rPr>
                <w:rFonts w:hint="eastAsia" w:ascii="仿宋" w:hAnsi="仿宋" w:eastAsia="仿宋" w:cs="仿宋"/>
                <w:color w:val="auto"/>
                <w:kern w:val="2"/>
                <w:sz w:val="21"/>
                <w:szCs w:val="21"/>
                <w:highlight w:val="none"/>
              </w:rPr>
            </w:pPr>
          </w:p>
        </w:tc>
        <w:tc>
          <w:tcPr>
            <w:tcW w:w="1181" w:type="dxa"/>
            <w:vAlign w:val="top"/>
          </w:tcPr>
          <w:p w14:paraId="578E38B1">
            <w:pPr>
              <w:jc w:val="center"/>
              <w:rPr>
                <w:rFonts w:hint="eastAsia" w:ascii="仿宋" w:hAnsi="仿宋" w:eastAsia="仿宋" w:cs="仿宋"/>
                <w:color w:val="auto"/>
                <w:kern w:val="2"/>
                <w:sz w:val="21"/>
                <w:szCs w:val="21"/>
                <w:highlight w:val="none"/>
              </w:rPr>
            </w:pPr>
          </w:p>
        </w:tc>
        <w:tc>
          <w:tcPr>
            <w:tcW w:w="1463" w:type="dxa"/>
            <w:vAlign w:val="top"/>
          </w:tcPr>
          <w:p w14:paraId="7E30FB61">
            <w:pPr>
              <w:jc w:val="center"/>
              <w:rPr>
                <w:rFonts w:hint="eastAsia" w:ascii="仿宋" w:hAnsi="仿宋" w:eastAsia="仿宋" w:cs="仿宋"/>
                <w:color w:val="auto"/>
                <w:kern w:val="2"/>
                <w:sz w:val="21"/>
                <w:szCs w:val="21"/>
                <w:highlight w:val="none"/>
              </w:rPr>
            </w:pPr>
          </w:p>
        </w:tc>
        <w:tc>
          <w:tcPr>
            <w:tcW w:w="1316" w:type="dxa"/>
            <w:vAlign w:val="top"/>
          </w:tcPr>
          <w:p w14:paraId="78B47385">
            <w:pPr>
              <w:jc w:val="center"/>
              <w:rPr>
                <w:rFonts w:hint="eastAsia" w:ascii="仿宋" w:hAnsi="仿宋" w:eastAsia="仿宋" w:cs="仿宋"/>
                <w:color w:val="auto"/>
                <w:kern w:val="2"/>
                <w:sz w:val="21"/>
                <w:szCs w:val="21"/>
                <w:highlight w:val="none"/>
              </w:rPr>
            </w:pPr>
          </w:p>
        </w:tc>
        <w:tc>
          <w:tcPr>
            <w:tcW w:w="742" w:type="dxa"/>
            <w:vAlign w:val="top"/>
          </w:tcPr>
          <w:p w14:paraId="73B8338C">
            <w:pPr>
              <w:jc w:val="center"/>
              <w:rPr>
                <w:rFonts w:hint="eastAsia" w:ascii="仿宋" w:hAnsi="仿宋" w:eastAsia="仿宋" w:cs="仿宋"/>
                <w:color w:val="auto"/>
                <w:kern w:val="2"/>
                <w:sz w:val="21"/>
                <w:szCs w:val="21"/>
                <w:highlight w:val="none"/>
              </w:rPr>
            </w:pPr>
          </w:p>
        </w:tc>
      </w:tr>
      <w:tr w14:paraId="279CF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Align w:val="center"/>
          </w:tcPr>
          <w:p w14:paraId="2D9C88A0">
            <w:pPr>
              <w:jc w:val="center"/>
              <w:rPr>
                <w:rFonts w:hint="eastAsia" w:ascii="仿宋" w:hAnsi="仿宋" w:eastAsia="仿宋" w:cs="仿宋"/>
                <w:bCs/>
                <w:color w:val="auto"/>
                <w:kern w:val="2"/>
                <w:sz w:val="21"/>
                <w:szCs w:val="21"/>
                <w:highlight w:val="none"/>
              </w:rPr>
            </w:pPr>
          </w:p>
        </w:tc>
        <w:tc>
          <w:tcPr>
            <w:tcW w:w="992" w:type="dxa"/>
            <w:vAlign w:val="top"/>
          </w:tcPr>
          <w:p w14:paraId="7C23FE48">
            <w:pPr>
              <w:jc w:val="center"/>
              <w:rPr>
                <w:rFonts w:hint="eastAsia" w:ascii="仿宋" w:hAnsi="仿宋" w:eastAsia="仿宋" w:cs="仿宋"/>
                <w:color w:val="auto"/>
                <w:kern w:val="2"/>
                <w:sz w:val="21"/>
                <w:szCs w:val="21"/>
                <w:highlight w:val="none"/>
              </w:rPr>
            </w:pPr>
          </w:p>
        </w:tc>
        <w:tc>
          <w:tcPr>
            <w:tcW w:w="814" w:type="dxa"/>
            <w:vAlign w:val="top"/>
          </w:tcPr>
          <w:p w14:paraId="2D00823B">
            <w:pPr>
              <w:jc w:val="center"/>
              <w:rPr>
                <w:rFonts w:hint="eastAsia" w:ascii="仿宋" w:hAnsi="仿宋" w:eastAsia="仿宋" w:cs="仿宋"/>
                <w:color w:val="auto"/>
                <w:kern w:val="2"/>
                <w:sz w:val="21"/>
                <w:szCs w:val="21"/>
                <w:highlight w:val="none"/>
              </w:rPr>
            </w:pPr>
          </w:p>
        </w:tc>
        <w:tc>
          <w:tcPr>
            <w:tcW w:w="1560" w:type="dxa"/>
            <w:vAlign w:val="top"/>
          </w:tcPr>
          <w:p w14:paraId="38269BAB">
            <w:pPr>
              <w:jc w:val="center"/>
              <w:rPr>
                <w:rFonts w:hint="eastAsia" w:ascii="仿宋" w:hAnsi="仿宋" w:eastAsia="仿宋" w:cs="仿宋"/>
                <w:color w:val="auto"/>
                <w:kern w:val="2"/>
                <w:sz w:val="21"/>
                <w:szCs w:val="21"/>
                <w:highlight w:val="none"/>
              </w:rPr>
            </w:pPr>
          </w:p>
        </w:tc>
        <w:tc>
          <w:tcPr>
            <w:tcW w:w="1181" w:type="dxa"/>
            <w:vAlign w:val="top"/>
          </w:tcPr>
          <w:p w14:paraId="7FB0A563">
            <w:pPr>
              <w:jc w:val="center"/>
              <w:rPr>
                <w:rFonts w:hint="eastAsia" w:ascii="仿宋" w:hAnsi="仿宋" w:eastAsia="仿宋" w:cs="仿宋"/>
                <w:color w:val="auto"/>
                <w:kern w:val="2"/>
                <w:sz w:val="21"/>
                <w:szCs w:val="21"/>
                <w:highlight w:val="none"/>
              </w:rPr>
            </w:pPr>
          </w:p>
        </w:tc>
        <w:tc>
          <w:tcPr>
            <w:tcW w:w="1463" w:type="dxa"/>
            <w:vAlign w:val="top"/>
          </w:tcPr>
          <w:p w14:paraId="2E10C1DB">
            <w:pPr>
              <w:jc w:val="center"/>
              <w:rPr>
                <w:rFonts w:hint="eastAsia" w:ascii="仿宋" w:hAnsi="仿宋" w:eastAsia="仿宋" w:cs="仿宋"/>
                <w:color w:val="auto"/>
                <w:kern w:val="2"/>
                <w:sz w:val="21"/>
                <w:szCs w:val="21"/>
                <w:highlight w:val="none"/>
              </w:rPr>
            </w:pPr>
          </w:p>
        </w:tc>
        <w:tc>
          <w:tcPr>
            <w:tcW w:w="1316" w:type="dxa"/>
            <w:vAlign w:val="top"/>
          </w:tcPr>
          <w:p w14:paraId="650D706C">
            <w:pPr>
              <w:jc w:val="center"/>
              <w:rPr>
                <w:rFonts w:hint="eastAsia" w:ascii="仿宋" w:hAnsi="仿宋" w:eastAsia="仿宋" w:cs="仿宋"/>
                <w:color w:val="auto"/>
                <w:kern w:val="2"/>
                <w:sz w:val="21"/>
                <w:szCs w:val="21"/>
                <w:highlight w:val="none"/>
              </w:rPr>
            </w:pPr>
          </w:p>
        </w:tc>
        <w:tc>
          <w:tcPr>
            <w:tcW w:w="742" w:type="dxa"/>
            <w:vAlign w:val="top"/>
          </w:tcPr>
          <w:p w14:paraId="3EBBCFC3">
            <w:pPr>
              <w:jc w:val="center"/>
              <w:rPr>
                <w:rFonts w:hint="eastAsia" w:ascii="仿宋" w:hAnsi="仿宋" w:eastAsia="仿宋" w:cs="仿宋"/>
                <w:color w:val="auto"/>
                <w:kern w:val="2"/>
                <w:sz w:val="21"/>
                <w:szCs w:val="21"/>
                <w:highlight w:val="none"/>
              </w:rPr>
            </w:pPr>
          </w:p>
        </w:tc>
      </w:tr>
      <w:tr w14:paraId="4D1D9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Align w:val="center"/>
          </w:tcPr>
          <w:p w14:paraId="21FE5D8F">
            <w:pPr>
              <w:jc w:val="center"/>
              <w:rPr>
                <w:rFonts w:hint="eastAsia" w:ascii="仿宋" w:hAnsi="仿宋" w:eastAsia="仿宋" w:cs="仿宋"/>
                <w:bCs/>
                <w:color w:val="auto"/>
                <w:kern w:val="2"/>
                <w:sz w:val="21"/>
                <w:szCs w:val="21"/>
                <w:highlight w:val="none"/>
              </w:rPr>
            </w:pPr>
          </w:p>
        </w:tc>
        <w:tc>
          <w:tcPr>
            <w:tcW w:w="992" w:type="dxa"/>
            <w:vAlign w:val="top"/>
          </w:tcPr>
          <w:p w14:paraId="34C247EF">
            <w:pPr>
              <w:jc w:val="center"/>
              <w:rPr>
                <w:rFonts w:hint="eastAsia" w:ascii="仿宋" w:hAnsi="仿宋" w:eastAsia="仿宋" w:cs="仿宋"/>
                <w:color w:val="auto"/>
                <w:kern w:val="2"/>
                <w:sz w:val="21"/>
                <w:szCs w:val="21"/>
                <w:highlight w:val="none"/>
              </w:rPr>
            </w:pPr>
          </w:p>
        </w:tc>
        <w:tc>
          <w:tcPr>
            <w:tcW w:w="814" w:type="dxa"/>
            <w:vAlign w:val="top"/>
          </w:tcPr>
          <w:p w14:paraId="615F5CBC">
            <w:pPr>
              <w:jc w:val="center"/>
              <w:rPr>
                <w:rFonts w:hint="eastAsia" w:ascii="仿宋" w:hAnsi="仿宋" w:eastAsia="仿宋" w:cs="仿宋"/>
                <w:color w:val="auto"/>
                <w:kern w:val="2"/>
                <w:sz w:val="21"/>
                <w:szCs w:val="21"/>
                <w:highlight w:val="none"/>
              </w:rPr>
            </w:pPr>
          </w:p>
        </w:tc>
        <w:tc>
          <w:tcPr>
            <w:tcW w:w="1560" w:type="dxa"/>
            <w:vAlign w:val="top"/>
          </w:tcPr>
          <w:p w14:paraId="7B243F34">
            <w:pPr>
              <w:jc w:val="center"/>
              <w:rPr>
                <w:rFonts w:hint="eastAsia" w:ascii="仿宋" w:hAnsi="仿宋" w:eastAsia="仿宋" w:cs="仿宋"/>
                <w:color w:val="auto"/>
                <w:kern w:val="2"/>
                <w:sz w:val="21"/>
                <w:szCs w:val="21"/>
                <w:highlight w:val="none"/>
              </w:rPr>
            </w:pPr>
          </w:p>
        </w:tc>
        <w:tc>
          <w:tcPr>
            <w:tcW w:w="1181" w:type="dxa"/>
            <w:vAlign w:val="top"/>
          </w:tcPr>
          <w:p w14:paraId="091CF68F">
            <w:pPr>
              <w:jc w:val="center"/>
              <w:rPr>
                <w:rFonts w:hint="eastAsia" w:ascii="仿宋" w:hAnsi="仿宋" w:eastAsia="仿宋" w:cs="仿宋"/>
                <w:color w:val="auto"/>
                <w:kern w:val="2"/>
                <w:sz w:val="21"/>
                <w:szCs w:val="21"/>
                <w:highlight w:val="none"/>
              </w:rPr>
            </w:pPr>
          </w:p>
        </w:tc>
        <w:tc>
          <w:tcPr>
            <w:tcW w:w="1463" w:type="dxa"/>
            <w:vAlign w:val="top"/>
          </w:tcPr>
          <w:p w14:paraId="42A0C0A0">
            <w:pPr>
              <w:jc w:val="center"/>
              <w:rPr>
                <w:rFonts w:hint="eastAsia" w:ascii="仿宋" w:hAnsi="仿宋" w:eastAsia="仿宋" w:cs="仿宋"/>
                <w:color w:val="auto"/>
                <w:kern w:val="2"/>
                <w:sz w:val="21"/>
                <w:szCs w:val="21"/>
                <w:highlight w:val="none"/>
              </w:rPr>
            </w:pPr>
          </w:p>
        </w:tc>
        <w:tc>
          <w:tcPr>
            <w:tcW w:w="1316" w:type="dxa"/>
            <w:vAlign w:val="top"/>
          </w:tcPr>
          <w:p w14:paraId="777498CB">
            <w:pPr>
              <w:jc w:val="center"/>
              <w:rPr>
                <w:rFonts w:hint="eastAsia" w:ascii="仿宋" w:hAnsi="仿宋" w:eastAsia="仿宋" w:cs="仿宋"/>
                <w:color w:val="auto"/>
                <w:kern w:val="2"/>
                <w:sz w:val="21"/>
                <w:szCs w:val="21"/>
                <w:highlight w:val="none"/>
              </w:rPr>
            </w:pPr>
          </w:p>
        </w:tc>
        <w:tc>
          <w:tcPr>
            <w:tcW w:w="742" w:type="dxa"/>
            <w:vAlign w:val="top"/>
          </w:tcPr>
          <w:p w14:paraId="53D7D151">
            <w:pPr>
              <w:jc w:val="center"/>
              <w:rPr>
                <w:rFonts w:hint="eastAsia" w:ascii="仿宋" w:hAnsi="仿宋" w:eastAsia="仿宋" w:cs="仿宋"/>
                <w:color w:val="auto"/>
                <w:kern w:val="2"/>
                <w:sz w:val="21"/>
                <w:szCs w:val="21"/>
                <w:highlight w:val="none"/>
              </w:rPr>
            </w:pPr>
          </w:p>
        </w:tc>
      </w:tr>
      <w:tr w14:paraId="2471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Align w:val="top"/>
          </w:tcPr>
          <w:p w14:paraId="64B0419F">
            <w:pPr>
              <w:jc w:val="center"/>
              <w:rPr>
                <w:rFonts w:hint="eastAsia" w:ascii="仿宋" w:hAnsi="仿宋" w:eastAsia="仿宋" w:cs="仿宋"/>
                <w:color w:val="auto"/>
                <w:kern w:val="2"/>
                <w:sz w:val="21"/>
                <w:szCs w:val="21"/>
                <w:highlight w:val="none"/>
              </w:rPr>
            </w:pPr>
          </w:p>
        </w:tc>
        <w:tc>
          <w:tcPr>
            <w:tcW w:w="992" w:type="dxa"/>
            <w:vAlign w:val="top"/>
          </w:tcPr>
          <w:p w14:paraId="21D27392">
            <w:pPr>
              <w:jc w:val="center"/>
              <w:rPr>
                <w:rFonts w:hint="eastAsia" w:ascii="仿宋" w:hAnsi="仿宋" w:eastAsia="仿宋" w:cs="仿宋"/>
                <w:color w:val="auto"/>
                <w:kern w:val="2"/>
                <w:sz w:val="21"/>
                <w:szCs w:val="21"/>
                <w:highlight w:val="none"/>
              </w:rPr>
            </w:pPr>
          </w:p>
        </w:tc>
        <w:tc>
          <w:tcPr>
            <w:tcW w:w="814" w:type="dxa"/>
            <w:vAlign w:val="top"/>
          </w:tcPr>
          <w:p w14:paraId="3979404E">
            <w:pPr>
              <w:jc w:val="center"/>
              <w:rPr>
                <w:rFonts w:hint="eastAsia" w:ascii="仿宋" w:hAnsi="仿宋" w:eastAsia="仿宋" w:cs="仿宋"/>
                <w:color w:val="auto"/>
                <w:kern w:val="2"/>
                <w:sz w:val="21"/>
                <w:szCs w:val="21"/>
                <w:highlight w:val="none"/>
              </w:rPr>
            </w:pPr>
          </w:p>
        </w:tc>
        <w:tc>
          <w:tcPr>
            <w:tcW w:w="1560" w:type="dxa"/>
            <w:vAlign w:val="top"/>
          </w:tcPr>
          <w:p w14:paraId="4FE8F151">
            <w:pPr>
              <w:jc w:val="center"/>
              <w:rPr>
                <w:rFonts w:hint="eastAsia" w:ascii="仿宋" w:hAnsi="仿宋" w:eastAsia="仿宋" w:cs="仿宋"/>
                <w:color w:val="auto"/>
                <w:kern w:val="2"/>
                <w:sz w:val="21"/>
                <w:szCs w:val="21"/>
                <w:highlight w:val="none"/>
              </w:rPr>
            </w:pPr>
          </w:p>
        </w:tc>
        <w:tc>
          <w:tcPr>
            <w:tcW w:w="1181" w:type="dxa"/>
            <w:vAlign w:val="top"/>
          </w:tcPr>
          <w:p w14:paraId="35538665">
            <w:pPr>
              <w:jc w:val="center"/>
              <w:rPr>
                <w:rFonts w:hint="eastAsia" w:ascii="仿宋" w:hAnsi="仿宋" w:eastAsia="仿宋" w:cs="仿宋"/>
                <w:color w:val="auto"/>
                <w:kern w:val="2"/>
                <w:sz w:val="21"/>
                <w:szCs w:val="21"/>
                <w:highlight w:val="none"/>
              </w:rPr>
            </w:pPr>
          </w:p>
        </w:tc>
        <w:tc>
          <w:tcPr>
            <w:tcW w:w="1463" w:type="dxa"/>
            <w:vAlign w:val="top"/>
          </w:tcPr>
          <w:p w14:paraId="10CA6F5F">
            <w:pPr>
              <w:jc w:val="center"/>
              <w:rPr>
                <w:rFonts w:hint="eastAsia" w:ascii="仿宋" w:hAnsi="仿宋" w:eastAsia="仿宋" w:cs="仿宋"/>
                <w:color w:val="auto"/>
                <w:kern w:val="2"/>
                <w:sz w:val="21"/>
                <w:szCs w:val="21"/>
                <w:highlight w:val="none"/>
              </w:rPr>
            </w:pPr>
          </w:p>
        </w:tc>
        <w:tc>
          <w:tcPr>
            <w:tcW w:w="1316" w:type="dxa"/>
            <w:vAlign w:val="top"/>
          </w:tcPr>
          <w:p w14:paraId="08EDF8E0">
            <w:pPr>
              <w:jc w:val="center"/>
              <w:rPr>
                <w:rFonts w:hint="eastAsia" w:ascii="仿宋" w:hAnsi="仿宋" w:eastAsia="仿宋" w:cs="仿宋"/>
                <w:color w:val="auto"/>
                <w:kern w:val="2"/>
                <w:sz w:val="21"/>
                <w:szCs w:val="21"/>
                <w:highlight w:val="none"/>
              </w:rPr>
            </w:pPr>
          </w:p>
        </w:tc>
        <w:tc>
          <w:tcPr>
            <w:tcW w:w="742" w:type="dxa"/>
            <w:vAlign w:val="top"/>
          </w:tcPr>
          <w:p w14:paraId="3A250324">
            <w:pPr>
              <w:jc w:val="center"/>
              <w:rPr>
                <w:rFonts w:hint="eastAsia" w:ascii="仿宋" w:hAnsi="仿宋" w:eastAsia="仿宋" w:cs="仿宋"/>
                <w:color w:val="auto"/>
                <w:kern w:val="2"/>
                <w:sz w:val="21"/>
                <w:szCs w:val="21"/>
                <w:highlight w:val="none"/>
              </w:rPr>
            </w:pPr>
          </w:p>
        </w:tc>
      </w:tr>
      <w:tr w14:paraId="0CA60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Align w:val="top"/>
          </w:tcPr>
          <w:p w14:paraId="46FD980F">
            <w:pPr>
              <w:jc w:val="center"/>
              <w:rPr>
                <w:rFonts w:hint="eastAsia" w:ascii="仿宋" w:hAnsi="仿宋" w:eastAsia="仿宋" w:cs="仿宋"/>
                <w:color w:val="auto"/>
                <w:kern w:val="2"/>
                <w:sz w:val="21"/>
                <w:szCs w:val="21"/>
                <w:highlight w:val="none"/>
              </w:rPr>
            </w:pPr>
          </w:p>
        </w:tc>
        <w:tc>
          <w:tcPr>
            <w:tcW w:w="992" w:type="dxa"/>
            <w:vAlign w:val="top"/>
          </w:tcPr>
          <w:p w14:paraId="79CB90C7">
            <w:pPr>
              <w:jc w:val="center"/>
              <w:rPr>
                <w:rFonts w:hint="eastAsia" w:ascii="仿宋" w:hAnsi="仿宋" w:eastAsia="仿宋" w:cs="仿宋"/>
                <w:color w:val="auto"/>
                <w:kern w:val="2"/>
                <w:sz w:val="21"/>
                <w:szCs w:val="21"/>
                <w:highlight w:val="none"/>
              </w:rPr>
            </w:pPr>
          </w:p>
        </w:tc>
        <w:tc>
          <w:tcPr>
            <w:tcW w:w="814" w:type="dxa"/>
            <w:vAlign w:val="top"/>
          </w:tcPr>
          <w:p w14:paraId="48A71F29">
            <w:pPr>
              <w:jc w:val="center"/>
              <w:rPr>
                <w:rFonts w:hint="eastAsia" w:ascii="仿宋" w:hAnsi="仿宋" w:eastAsia="仿宋" w:cs="仿宋"/>
                <w:color w:val="auto"/>
                <w:kern w:val="2"/>
                <w:sz w:val="21"/>
                <w:szCs w:val="21"/>
                <w:highlight w:val="none"/>
              </w:rPr>
            </w:pPr>
          </w:p>
        </w:tc>
        <w:tc>
          <w:tcPr>
            <w:tcW w:w="1560" w:type="dxa"/>
            <w:vAlign w:val="top"/>
          </w:tcPr>
          <w:p w14:paraId="6691315C">
            <w:pPr>
              <w:jc w:val="center"/>
              <w:rPr>
                <w:rFonts w:hint="eastAsia" w:ascii="仿宋" w:hAnsi="仿宋" w:eastAsia="仿宋" w:cs="仿宋"/>
                <w:color w:val="auto"/>
                <w:kern w:val="2"/>
                <w:sz w:val="21"/>
                <w:szCs w:val="21"/>
                <w:highlight w:val="none"/>
              </w:rPr>
            </w:pPr>
          </w:p>
        </w:tc>
        <w:tc>
          <w:tcPr>
            <w:tcW w:w="1181" w:type="dxa"/>
            <w:vAlign w:val="top"/>
          </w:tcPr>
          <w:p w14:paraId="0B6642BC">
            <w:pPr>
              <w:jc w:val="center"/>
              <w:rPr>
                <w:rFonts w:hint="eastAsia" w:ascii="仿宋" w:hAnsi="仿宋" w:eastAsia="仿宋" w:cs="仿宋"/>
                <w:color w:val="auto"/>
                <w:kern w:val="2"/>
                <w:sz w:val="21"/>
                <w:szCs w:val="21"/>
                <w:highlight w:val="none"/>
              </w:rPr>
            </w:pPr>
          </w:p>
        </w:tc>
        <w:tc>
          <w:tcPr>
            <w:tcW w:w="1463" w:type="dxa"/>
            <w:vAlign w:val="top"/>
          </w:tcPr>
          <w:p w14:paraId="698E8AE9">
            <w:pPr>
              <w:jc w:val="center"/>
              <w:rPr>
                <w:rFonts w:hint="eastAsia" w:ascii="仿宋" w:hAnsi="仿宋" w:eastAsia="仿宋" w:cs="仿宋"/>
                <w:color w:val="auto"/>
                <w:kern w:val="2"/>
                <w:sz w:val="21"/>
                <w:szCs w:val="21"/>
                <w:highlight w:val="none"/>
              </w:rPr>
            </w:pPr>
          </w:p>
        </w:tc>
        <w:tc>
          <w:tcPr>
            <w:tcW w:w="1316" w:type="dxa"/>
            <w:vAlign w:val="top"/>
          </w:tcPr>
          <w:p w14:paraId="4BB7ACAD">
            <w:pPr>
              <w:jc w:val="center"/>
              <w:rPr>
                <w:rFonts w:hint="eastAsia" w:ascii="仿宋" w:hAnsi="仿宋" w:eastAsia="仿宋" w:cs="仿宋"/>
                <w:color w:val="auto"/>
                <w:kern w:val="2"/>
                <w:sz w:val="21"/>
                <w:szCs w:val="21"/>
                <w:highlight w:val="none"/>
              </w:rPr>
            </w:pPr>
          </w:p>
        </w:tc>
        <w:tc>
          <w:tcPr>
            <w:tcW w:w="742" w:type="dxa"/>
            <w:vAlign w:val="top"/>
          </w:tcPr>
          <w:p w14:paraId="6FD35CF2">
            <w:pPr>
              <w:jc w:val="center"/>
              <w:rPr>
                <w:rFonts w:hint="eastAsia" w:ascii="仿宋" w:hAnsi="仿宋" w:eastAsia="仿宋" w:cs="仿宋"/>
                <w:color w:val="auto"/>
                <w:kern w:val="2"/>
                <w:sz w:val="21"/>
                <w:szCs w:val="21"/>
                <w:highlight w:val="none"/>
              </w:rPr>
            </w:pPr>
          </w:p>
        </w:tc>
      </w:tr>
      <w:tr w14:paraId="6BE63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Align w:val="top"/>
          </w:tcPr>
          <w:p w14:paraId="482B926E">
            <w:pPr>
              <w:jc w:val="center"/>
              <w:rPr>
                <w:rFonts w:hint="eastAsia" w:ascii="仿宋" w:hAnsi="仿宋" w:eastAsia="仿宋" w:cs="仿宋"/>
                <w:color w:val="auto"/>
                <w:kern w:val="2"/>
                <w:sz w:val="21"/>
                <w:szCs w:val="21"/>
                <w:highlight w:val="none"/>
              </w:rPr>
            </w:pPr>
          </w:p>
        </w:tc>
        <w:tc>
          <w:tcPr>
            <w:tcW w:w="992" w:type="dxa"/>
            <w:vAlign w:val="top"/>
          </w:tcPr>
          <w:p w14:paraId="77B73424">
            <w:pPr>
              <w:jc w:val="center"/>
              <w:rPr>
                <w:rFonts w:hint="eastAsia" w:ascii="仿宋" w:hAnsi="仿宋" w:eastAsia="仿宋" w:cs="仿宋"/>
                <w:color w:val="auto"/>
                <w:kern w:val="2"/>
                <w:sz w:val="21"/>
                <w:szCs w:val="21"/>
                <w:highlight w:val="none"/>
              </w:rPr>
            </w:pPr>
          </w:p>
        </w:tc>
        <w:tc>
          <w:tcPr>
            <w:tcW w:w="814" w:type="dxa"/>
            <w:vAlign w:val="top"/>
          </w:tcPr>
          <w:p w14:paraId="2672DBE4">
            <w:pPr>
              <w:jc w:val="center"/>
              <w:rPr>
                <w:rFonts w:hint="eastAsia" w:ascii="仿宋" w:hAnsi="仿宋" w:eastAsia="仿宋" w:cs="仿宋"/>
                <w:color w:val="auto"/>
                <w:kern w:val="2"/>
                <w:sz w:val="21"/>
                <w:szCs w:val="21"/>
                <w:highlight w:val="none"/>
              </w:rPr>
            </w:pPr>
          </w:p>
        </w:tc>
        <w:tc>
          <w:tcPr>
            <w:tcW w:w="1560" w:type="dxa"/>
            <w:vAlign w:val="top"/>
          </w:tcPr>
          <w:p w14:paraId="4AA12AD1">
            <w:pPr>
              <w:jc w:val="center"/>
              <w:rPr>
                <w:rFonts w:hint="eastAsia" w:ascii="仿宋" w:hAnsi="仿宋" w:eastAsia="仿宋" w:cs="仿宋"/>
                <w:color w:val="auto"/>
                <w:kern w:val="2"/>
                <w:sz w:val="21"/>
                <w:szCs w:val="21"/>
                <w:highlight w:val="none"/>
              </w:rPr>
            </w:pPr>
          </w:p>
        </w:tc>
        <w:tc>
          <w:tcPr>
            <w:tcW w:w="1181" w:type="dxa"/>
            <w:vAlign w:val="top"/>
          </w:tcPr>
          <w:p w14:paraId="6F9DBBFA">
            <w:pPr>
              <w:jc w:val="center"/>
              <w:rPr>
                <w:rFonts w:hint="eastAsia" w:ascii="仿宋" w:hAnsi="仿宋" w:eastAsia="仿宋" w:cs="仿宋"/>
                <w:color w:val="auto"/>
                <w:kern w:val="2"/>
                <w:sz w:val="21"/>
                <w:szCs w:val="21"/>
                <w:highlight w:val="none"/>
              </w:rPr>
            </w:pPr>
          </w:p>
        </w:tc>
        <w:tc>
          <w:tcPr>
            <w:tcW w:w="1463" w:type="dxa"/>
            <w:vAlign w:val="top"/>
          </w:tcPr>
          <w:p w14:paraId="5085893B">
            <w:pPr>
              <w:jc w:val="center"/>
              <w:rPr>
                <w:rFonts w:hint="eastAsia" w:ascii="仿宋" w:hAnsi="仿宋" w:eastAsia="仿宋" w:cs="仿宋"/>
                <w:color w:val="auto"/>
                <w:kern w:val="2"/>
                <w:sz w:val="21"/>
                <w:szCs w:val="21"/>
                <w:highlight w:val="none"/>
              </w:rPr>
            </w:pPr>
          </w:p>
        </w:tc>
        <w:tc>
          <w:tcPr>
            <w:tcW w:w="1316" w:type="dxa"/>
            <w:vAlign w:val="top"/>
          </w:tcPr>
          <w:p w14:paraId="6CBEF3C8">
            <w:pPr>
              <w:jc w:val="center"/>
              <w:rPr>
                <w:rFonts w:hint="eastAsia" w:ascii="仿宋" w:hAnsi="仿宋" w:eastAsia="仿宋" w:cs="仿宋"/>
                <w:color w:val="auto"/>
                <w:kern w:val="2"/>
                <w:sz w:val="21"/>
                <w:szCs w:val="21"/>
                <w:highlight w:val="none"/>
              </w:rPr>
            </w:pPr>
          </w:p>
        </w:tc>
        <w:tc>
          <w:tcPr>
            <w:tcW w:w="742" w:type="dxa"/>
            <w:vAlign w:val="top"/>
          </w:tcPr>
          <w:p w14:paraId="49D48534">
            <w:pPr>
              <w:jc w:val="center"/>
              <w:rPr>
                <w:rFonts w:hint="eastAsia" w:ascii="仿宋" w:hAnsi="仿宋" w:eastAsia="仿宋" w:cs="仿宋"/>
                <w:color w:val="auto"/>
                <w:kern w:val="2"/>
                <w:sz w:val="21"/>
                <w:szCs w:val="21"/>
                <w:highlight w:val="none"/>
              </w:rPr>
            </w:pPr>
          </w:p>
        </w:tc>
      </w:tr>
    </w:tbl>
    <w:p w14:paraId="7E3882AE">
      <w:pPr>
        <w:jc w:val="left"/>
        <w:rPr>
          <w:rFonts w:hint="eastAsia" w:ascii="仿宋" w:hAnsi="仿宋" w:eastAsia="仿宋" w:cs="仿宋"/>
          <w:color w:val="auto"/>
          <w:kern w:val="2"/>
          <w:sz w:val="24"/>
          <w:szCs w:val="21"/>
          <w:highlight w:val="none"/>
        </w:rPr>
      </w:pPr>
    </w:p>
    <w:p w14:paraId="3CCE909C">
      <w:pPr>
        <w:spacing w:line="360" w:lineRule="auto"/>
        <w:jc w:val="left"/>
        <w:rPr>
          <w:rFonts w:hint="eastAsia" w:ascii="仿宋" w:hAnsi="仿宋" w:eastAsia="仿宋" w:cs="仿宋"/>
          <w:color w:val="auto"/>
          <w:kern w:val="2"/>
          <w:sz w:val="24"/>
          <w:szCs w:val="21"/>
          <w:highlight w:val="none"/>
        </w:rPr>
      </w:pPr>
      <w:r>
        <w:rPr>
          <w:rFonts w:hint="eastAsia" w:ascii="仿宋" w:hAnsi="仿宋" w:eastAsia="仿宋" w:cs="仿宋"/>
          <w:color w:val="auto"/>
          <w:kern w:val="2"/>
          <w:sz w:val="24"/>
          <w:szCs w:val="21"/>
          <w:highlight w:val="none"/>
        </w:rPr>
        <w:t>注：</w:t>
      </w:r>
      <w:r>
        <w:rPr>
          <w:rFonts w:hint="eastAsia" w:ascii="仿宋" w:hAnsi="仿宋" w:eastAsia="仿宋" w:cs="仿宋"/>
          <w:color w:val="auto"/>
          <w:kern w:val="2"/>
          <w:sz w:val="24"/>
          <w:szCs w:val="21"/>
          <w:highlight w:val="none"/>
          <w:lang w:val="en-US" w:eastAsia="zh-CN"/>
        </w:rPr>
        <w:t>1.</w:t>
      </w:r>
      <w:r>
        <w:rPr>
          <w:rFonts w:hint="eastAsia" w:ascii="仿宋" w:hAnsi="仿宋" w:eastAsia="仿宋" w:cs="仿宋"/>
          <w:color w:val="auto"/>
          <w:kern w:val="2"/>
          <w:sz w:val="24"/>
          <w:szCs w:val="21"/>
          <w:highlight w:val="none"/>
        </w:rPr>
        <w:t>本工程一旦我单位中标，将配备上述项目管理人员。上述填报内容真实，  如不真实，将按照有关规定接受处理。</w:t>
      </w:r>
    </w:p>
    <w:p w14:paraId="4DC444B4">
      <w:pPr>
        <w:pStyle w:val="13"/>
        <w:tabs>
          <w:tab w:val="left" w:pos="336"/>
          <w:tab w:val="center" w:pos="4970"/>
        </w:tabs>
        <w:ind w:firstLine="0"/>
        <w:jc w:val="left"/>
        <w:rPr>
          <w:rFonts w:hint="eastAsia" w:ascii="仿宋" w:hAnsi="仿宋" w:eastAsia="仿宋" w:cs="仿宋"/>
          <w:bCs/>
          <w:color w:val="auto"/>
          <w:highlight w:val="none"/>
        </w:rPr>
      </w:pPr>
      <w:r>
        <w:rPr>
          <w:rFonts w:hint="eastAsia" w:ascii="仿宋" w:hAnsi="仿宋" w:eastAsia="仿宋" w:cs="仿宋"/>
          <w:color w:val="auto"/>
          <w:kern w:val="2"/>
          <w:sz w:val="24"/>
          <w:szCs w:val="21"/>
          <w:highlight w:val="none"/>
          <w:lang w:val="en-US" w:eastAsia="zh-CN" w:bidi="ar-SA"/>
        </w:rPr>
        <w:tab/>
      </w:r>
      <w:bookmarkStart w:id="14" w:name="_Toc27757"/>
      <w:bookmarkStart w:id="15" w:name="_Toc4089"/>
      <w:bookmarkStart w:id="16" w:name="_Toc4716"/>
      <w:bookmarkStart w:id="17" w:name="_Toc18266"/>
      <w:bookmarkStart w:id="18" w:name="_Toc31409"/>
      <w:r>
        <w:rPr>
          <w:rFonts w:hint="eastAsia" w:ascii="仿宋" w:hAnsi="仿宋" w:eastAsia="仿宋" w:cs="仿宋"/>
          <w:color w:val="auto"/>
          <w:kern w:val="2"/>
          <w:sz w:val="24"/>
          <w:szCs w:val="21"/>
          <w:highlight w:val="none"/>
          <w:lang w:val="en-US" w:eastAsia="zh-CN" w:bidi="ar-SA"/>
        </w:rPr>
        <w:t>2.人员资料由供应商自行考虑提供并附相关资料</w:t>
      </w:r>
      <w:bookmarkEnd w:id="14"/>
      <w:bookmarkEnd w:id="15"/>
      <w:bookmarkEnd w:id="16"/>
      <w:bookmarkEnd w:id="17"/>
      <w:r>
        <w:rPr>
          <w:rFonts w:hint="eastAsia" w:ascii="仿宋" w:hAnsi="仿宋" w:eastAsia="仿宋" w:cs="仿宋"/>
          <w:color w:val="auto"/>
          <w:kern w:val="2"/>
          <w:sz w:val="24"/>
          <w:szCs w:val="21"/>
          <w:highlight w:val="none"/>
          <w:lang w:val="en-US" w:eastAsia="zh-CN" w:bidi="ar-SA"/>
        </w:rPr>
        <w:t>，所提供的资料均附于本表后，作为本表的附件。</w:t>
      </w:r>
      <w:bookmarkEnd w:id="18"/>
      <w:r>
        <w:rPr>
          <w:rFonts w:hint="eastAsia" w:ascii="仿宋" w:hAnsi="仿宋" w:eastAsia="仿宋" w:cs="仿宋"/>
          <w:bCs/>
          <w:color w:val="auto"/>
          <w:highlight w:val="none"/>
          <w:lang w:eastAsia="zh-CN"/>
        </w:rPr>
        <w:tab/>
      </w:r>
      <w:r>
        <w:rPr>
          <w:rFonts w:hint="eastAsia" w:ascii="仿宋" w:hAnsi="仿宋" w:eastAsia="仿宋" w:cs="仿宋"/>
          <w:bCs/>
          <w:color w:val="auto"/>
          <w:highlight w:val="none"/>
        </w:rPr>
        <w:t xml:space="preserve">        </w:t>
      </w:r>
    </w:p>
    <w:p w14:paraId="649352CD">
      <w:pPr>
        <w:bidi w:val="0"/>
        <w:spacing w:line="6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供应商名称（盖章）：</w:t>
      </w:r>
    </w:p>
    <w:p w14:paraId="7BFFB513">
      <w:pPr>
        <w:bidi w:val="0"/>
        <w:spacing w:line="600" w:lineRule="auto"/>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法定代表人或委托代理人（签字或盖章）：</w:t>
      </w:r>
    </w:p>
    <w:p w14:paraId="3ABBF9C4">
      <w:pPr>
        <w:spacing w:line="600" w:lineRule="auto"/>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     年   月   日</w:t>
      </w:r>
    </w:p>
    <w:p w14:paraId="17F73CD0">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4A0C92D7">
      <w:pPr>
        <w:adjustRightInd w:val="0"/>
        <w:snapToGrid w:val="0"/>
        <w:spacing w:beforeLines="50"/>
        <w:outlineLvl w:val="1"/>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rPr>
        <w:t>附件22、</w:t>
      </w:r>
      <w:r>
        <w:rPr>
          <w:rFonts w:hint="eastAsia" w:ascii="仿宋" w:hAnsi="仿宋" w:eastAsia="仿宋" w:cs="仿宋"/>
          <w:b/>
          <w:bCs/>
          <w:color w:val="auto"/>
          <w:sz w:val="28"/>
          <w:szCs w:val="28"/>
          <w:highlight w:val="none"/>
        </w:rPr>
        <w:t>其它有利于投标的资料</w:t>
      </w:r>
    </w:p>
    <w:sectPr>
      <w:footerReference r:id="rId11" w:type="first"/>
      <w:headerReference r:id="rId8" w:type="default"/>
      <w:footerReference r:id="rId9" w:type="default"/>
      <w:footerReference r:id="rId10" w:type="even"/>
      <w:pgSz w:w="11906" w:h="16838"/>
      <w:pgMar w:top="1440" w:right="1489"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ACCB8">
    <w:pP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62817">
    <w:pPr>
      <w:pStyle w:val="15"/>
      <w:jc w:val="both"/>
    </w:pPr>
  </w:p>
  <w:p w14:paraId="6BD137C4">
    <w:pPr>
      <w:pStyle w:val="15"/>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5543EC5">
                          <w:pPr>
                            <w:pStyle w:val="15"/>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KHk7unWAQAAswMAAA4AAAAAAAAAAQAg&#10;AAAAIgEAAGRycy9lMm9Eb2MueG1sUEsFBgAAAAAGAAYAWQEAAGoFAAAAAA==&#10;">
              <v:fill on="f" focussize="0,0"/>
              <v:stroke on="f" weight="1.25pt"/>
              <v:imagedata o:title=""/>
              <o:lock v:ext="edit" aspectratio="f"/>
              <v:textbox inset="0mm,0mm,0mm,0mm" style="mso-fit-shape-to-text:t;">
                <w:txbxContent>
                  <w:p w14:paraId="75543EC5">
                    <w:pPr>
                      <w:pStyle w:val="15"/>
                    </w:pPr>
                  </w:p>
                </w:txbxContent>
              </v:textbox>
            </v:shape>
          </w:pict>
        </mc:Fallback>
      </mc:AlternateContent>
    </w:r>
  </w:p>
  <w:p w14:paraId="0D3E5314">
    <w:pPr>
      <w:pStyle w:val="1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37CD0">
    <w:pPr>
      <w:pStyle w:val="8"/>
      <w:spacing w:line="14" w:lineRule="auto"/>
      <w:rPr>
        <w:sz w:val="20"/>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2529430">
                          <w:pPr>
                            <w:pStyle w:val="15"/>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12529430">
                    <w:pPr>
                      <w:pStyle w:val="15"/>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706120</wp:posOffset>
              </wp:positionH>
              <wp:positionV relativeFrom="page">
                <wp:posOffset>10180955</wp:posOffset>
              </wp:positionV>
              <wp:extent cx="1339850" cy="139700"/>
              <wp:effectExtent l="0" t="0" r="0" b="0"/>
              <wp:wrapNone/>
              <wp:docPr id="218" name="文本框 218"/>
              <wp:cNvGraphicFramePr/>
              <a:graphic xmlns:a="http://schemas.openxmlformats.org/drawingml/2006/main">
                <a:graphicData uri="http://schemas.microsoft.com/office/word/2010/wordprocessingShape">
                  <wps:wsp>
                    <wps:cNvSpPr txBox="1"/>
                    <wps:spPr>
                      <a:xfrm>
                        <a:off x="0" y="0"/>
                        <a:ext cx="1339850" cy="139700"/>
                      </a:xfrm>
                      <a:prstGeom prst="rect">
                        <a:avLst/>
                      </a:prstGeom>
                      <a:noFill/>
                      <a:ln>
                        <a:noFill/>
                      </a:ln>
                      <a:effectLst/>
                    </wps:spPr>
                    <wps:txbx>
                      <w:txbxContent>
                        <w:p w14:paraId="2AD77A48">
                          <w:pPr>
                            <w:spacing w:line="220" w:lineRule="exact"/>
                            <w:ind w:left="20"/>
                            <w:jc w:val="left"/>
                            <w:rPr>
                              <w:sz w:val="18"/>
                            </w:rPr>
                          </w:pPr>
                          <w:r>
                            <w:fldChar w:fldCharType="begin"/>
                          </w:r>
                          <w:r>
                            <w:instrText xml:space="preserve"> HYPERLINK "http://www.chinapsp.cn/" \h </w:instrText>
                          </w:r>
                          <w:r>
                            <w:fldChar w:fldCharType="separate"/>
                          </w:r>
                          <w:r>
                            <w:fldChar w:fldCharType="end"/>
                          </w:r>
                        </w:p>
                      </w:txbxContent>
                    </wps:txbx>
                    <wps:bodyPr lIns="0" tIns="0" rIns="0" bIns="0" upright="1"/>
                  </wps:wsp>
                </a:graphicData>
              </a:graphic>
            </wp:anchor>
          </w:drawing>
        </mc:Choice>
        <mc:Fallback>
          <w:pict>
            <v:shape id="_x0000_s1026" o:spid="_x0000_s1026" o:spt="202" type="#_x0000_t202" style="position:absolute;left:0pt;margin-left:55.6pt;margin-top:801.65pt;height:11pt;width:105.5pt;mso-position-horizontal-relative:page;mso-position-vertical-relative:page;z-index:-251657216;mso-width-relative:page;mso-height-relative:page;" filled="f" stroked="f" coordsize="21600,21600" o:gfxdata="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zSnUtkAAAANAQAADwAAAAAAAAABACAAAAAiAAAAZHJzL2Rvd25yZXYu&#10;eG1sUEsBAhQAFAAAAAgAh07iQDPGAPHBAQAAhAMAAA4AAAAAAAAAAQAgAAAAKAEAAGRycy9lMm9E&#10;b2MueG1sUEsFBgAAAAAGAAYAWQEAAFsFAAAAAA==&#10;">
              <v:fill on="f" focussize="0,0"/>
              <v:stroke on="f"/>
              <v:imagedata o:title=""/>
              <o:lock v:ext="edit" aspectratio="f"/>
              <v:textbox inset="0mm,0mm,0mm,0mm">
                <w:txbxContent>
                  <w:p w14:paraId="2AD77A48">
                    <w:pPr>
                      <w:spacing w:line="220" w:lineRule="exact"/>
                      <w:ind w:left="20"/>
                      <w:jc w:val="left"/>
                      <w:rPr>
                        <w:sz w:val="18"/>
                      </w:rPr>
                    </w:pPr>
                    <w:r>
                      <w:fldChar w:fldCharType="begin"/>
                    </w:r>
                    <w:r>
                      <w:instrText xml:space="preserve"> HYPERLINK "http://www.chinapsp.cn/" \h </w:instrText>
                    </w:r>
                    <w:r>
                      <w:fldChar w:fldCharType="separate"/>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4935220</wp:posOffset>
              </wp:positionH>
              <wp:positionV relativeFrom="page">
                <wp:posOffset>10180955</wp:posOffset>
              </wp:positionV>
              <wp:extent cx="2110740" cy="146685"/>
              <wp:effectExtent l="0" t="0" r="0" b="0"/>
              <wp:wrapNone/>
              <wp:docPr id="220" name="文本框 220"/>
              <wp:cNvGraphicFramePr/>
              <a:graphic xmlns:a="http://schemas.openxmlformats.org/drawingml/2006/main">
                <a:graphicData uri="http://schemas.microsoft.com/office/word/2010/wordprocessingShape">
                  <wps:wsp>
                    <wps:cNvSpPr txBox="1"/>
                    <wps:spPr>
                      <a:xfrm>
                        <a:off x="0" y="0"/>
                        <a:ext cx="2110740" cy="146685"/>
                      </a:xfrm>
                      <a:prstGeom prst="rect">
                        <a:avLst/>
                      </a:prstGeom>
                      <a:noFill/>
                      <a:ln>
                        <a:noFill/>
                      </a:ln>
                      <a:effectLst/>
                    </wps:spPr>
                    <wps:txbx>
                      <w:txbxContent>
                        <w:p w14:paraId="372FE61C">
                          <w:pPr>
                            <w:spacing w:line="220" w:lineRule="exact"/>
                            <w:ind w:left="20"/>
                            <w:jc w:val="left"/>
                            <w:rPr>
                              <w:sz w:val="18"/>
                            </w:rPr>
                          </w:pPr>
                        </w:p>
                      </w:txbxContent>
                    </wps:txbx>
                    <wps:bodyPr lIns="0" tIns="0" rIns="0" bIns="0" upright="1"/>
                  </wps:wsp>
                </a:graphicData>
              </a:graphic>
            </wp:anchor>
          </w:drawing>
        </mc:Choice>
        <mc:Fallback>
          <w:pict>
            <v:shape id="_x0000_s1026" o:spid="_x0000_s1026" o:spt="202" type="#_x0000_t202" style="position:absolute;left:0pt;margin-left:388.6pt;margin-top:801.65pt;height:11.55pt;width:166.2pt;mso-position-horizontal-relative:page;mso-position-vertical-relative:page;z-index:-251656192;mso-width-relative:page;mso-height-relative:page;" filled="f" stroked="f" coordsize="21600,21600" o:gfxdata="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W55cxtoAAAAOAQAADwAAAAAAAAABACAAAAAiAAAAZHJzL2Rvd25yZXYu&#10;eG1sUEsBAhQAFAAAAAgAh07iQGAsMHnAAQAAhAMAAA4AAAAAAAAAAQAgAAAAKQEAAGRycy9lMm9E&#10;b2MueG1sUEsFBgAAAAAGAAYAWQEAAFsFAAAAAA==&#10;">
              <v:fill on="f" focussize="0,0"/>
              <v:stroke on="f"/>
              <v:imagedata o:title=""/>
              <o:lock v:ext="edit" aspectratio="f"/>
              <v:textbox inset="0mm,0mm,0mm,0mm">
                <w:txbxContent>
                  <w:p w14:paraId="372FE61C">
                    <w:pPr>
                      <w:spacing w:line="220" w:lineRule="exact"/>
                      <w:ind w:left="20"/>
                      <w:jc w:val="left"/>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C246B">
    <w:pPr>
      <w:pStyle w:val="15"/>
      <w:ind w:right="360"/>
      <w:jc w:val="right"/>
      <w:rPr>
        <w:i/>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40224BA">
                          <w:pPr>
                            <w:pStyle w:val="15"/>
                          </w:pPr>
                          <w:r>
                            <w:rPr>
                              <w:rFonts w:hint="eastAsia"/>
                            </w:rPr>
                            <w:fldChar w:fldCharType="begin"/>
                          </w:r>
                          <w:r>
                            <w:rPr>
                              <w:rFonts w:hint="eastAsia"/>
                            </w:rPr>
                            <w:instrText xml:space="preserve"> PAGE  \* MERGEFORMAT </w:instrText>
                          </w:r>
                          <w:r>
                            <w:rPr>
                              <w:rFonts w:hint="eastAsia"/>
                            </w:rPr>
                            <w:fldChar w:fldCharType="separate"/>
                          </w:r>
                          <w:r>
                            <w:t>81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440224BA">
                    <w:pPr>
                      <w:pStyle w:val="15"/>
                    </w:pPr>
                    <w:r>
                      <w:rPr>
                        <w:rFonts w:hint="eastAsia"/>
                      </w:rPr>
                      <w:fldChar w:fldCharType="begin"/>
                    </w:r>
                    <w:r>
                      <w:rPr>
                        <w:rFonts w:hint="eastAsia"/>
                      </w:rPr>
                      <w:instrText xml:space="preserve"> PAGE  \* MERGEFORMAT </w:instrText>
                    </w:r>
                    <w:r>
                      <w:rPr>
                        <w:rFonts w:hint="eastAsia"/>
                      </w:rPr>
                      <w:fldChar w:fldCharType="separate"/>
                    </w:r>
                    <w:r>
                      <w:t>81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88DD7">
    <w:pPr>
      <w:pStyle w:val="15"/>
      <w:framePr w:wrap="around" w:vAnchor="text" w:hAnchor="margin" w:xAlign="center" w:y="1"/>
      <w:rPr>
        <w:rStyle w:val="27"/>
      </w:rPr>
    </w:pPr>
    <w:r>
      <w:fldChar w:fldCharType="begin"/>
    </w:r>
    <w:r>
      <w:rPr>
        <w:rStyle w:val="27"/>
      </w:rPr>
      <w:instrText xml:space="preserve">PAGE  </w:instrText>
    </w:r>
    <w:r>
      <w:fldChar w:fldCharType="end"/>
    </w:r>
  </w:p>
  <w:p w14:paraId="656487E4">
    <w:pPr>
      <w:pStyle w:val="15"/>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D66EE">
    <w:pPr>
      <w:pStyle w:val="15"/>
    </w:pPr>
  </w:p>
  <w:p w14:paraId="49622393">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F20475">
                          <w:pPr>
                            <w:pStyle w:val="15"/>
                          </w:pPr>
                          <w:r>
                            <w:rPr>
                              <w:rFonts w:hint="eastAsia"/>
                            </w:rPr>
                            <w:fldChar w:fldCharType="begin"/>
                          </w:r>
                          <w:r>
                            <w:rPr>
                              <w:rFonts w:hint="eastAsia"/>
                            </w:rPr>
                            <w:instrText xml:space="preserve"> PAGE  \* MERGEFORMAT </w:instrText>
                          </w:r>
                          <w:r>
                            <w:rPr>
                              <w:rFonts w:hint="eastAsia"/>
                            </w:rPr>
                            <w:fldChar w:fldCharType="separate"/>
                          </w:r>
                          <w:r>
                            <w:t>70</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2CF20475">
                    <w:pPr>
                      <w:pStyle w:val="15"/>
                    </w:pPr>
                    <w:r>
                      <w:rPr>
                        <w:rFonts w:hint="eastAsia"/>
                      </w:rPr>
                      <w:fldChar w:fldCharType="begin"/>
                    </w:r>
                    <w:r>
                      <w:rPr>
                        <w:rFonts w:hint="eastAsia"/>
                      </w:rPr>
                      <w:instrText xml:space="preserve"> PAGE  \* MERGEFORMAT </w:instrText>
                    </w:r>
                    <w:r>
                      <w:rPr>
                        <w:rFonts w:hint="eastAsia"/>
                      </w:rPr>
                      <w:fldChar w:fldCharType="separate"/>
                    </w:r>
                    <w:r>
                      <w:t>70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4E20B">
    <w:pPr>
      <w:pStyle w:val="16"/>
      <w:pBdr>
        <w:bottom w:val="none" w:color="auto" w:sz="0" w:space="1"/>
      </w:pBdr>
      <w:wordWrap w:val="0"/>
      <w:jc w:val="right"/>
      <w:rPr>
        <w:rFonts w:ascii="宋体" w:hAnsi="宋体" w:eastAsia="楷体"/>
      </w:rPr>
    </w:pPr>
  </w:p>
  <w:p w14:paraId="1CED7E44">
    <w:pPr>
      <w:pStyle w:val="16"/>
      <w:pBdr>
        <w:bottom w:val="none" w:color="auto" w:sz="0" w:space="0"/>
      </w:pBdr>
      <w:jc w:val="right"/>
      <w:rPr>
        <w:rFonts w:ascii="楷体_GB2312" w:eastAsia="楷体_GB2312"/>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FF3C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7DA7B">
    <w:pPr>
      <w:pStyle w:val="16"/>
      <w:pBdr>
        <w:bottom w:val="none" w:color="auto" w:sz="0" w:space="1"/>
      </w:pBdr>
      <w:wordWrap w:val="0"/>
      <w:jc w:val="right"/>
      <w:rPr>
        <w:rFonts w:ascii="宋体" w:hAnsi="宋体" w:eastAsia="楷体"/>
      </w:rPr>
    </w:pPr>
  </w:p>
  <w:p w14:paraId="188DF18B">
    <w:pPr>
      <w:pStyle w:val="16"/>
      <w:pBdr>
        <w:bottom w:val="none" w:color="auto" w:sz="0" w:space="1"/>
      </w:pBdr>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C68B6"/>
    <w:multiLevelType w:val="singleLevel"/>
    <w:tmpl w:val="866C68B6"/>
    <w:lvl w:ilvl="0" w:tentative="0">
      <w:start w:val="2"/>
      <w:numFmt w:val="decimal"/>
      <w:suff w:val="nothing"/>
      <w:lvlText w:val="（%1）"/>
      <w:lvlJc w:val="left"/>
    </w:lvl>
  </w:abstractNum>
  <w:abstractNum w:abstractNumId="1">
    <w:nsid w:val="D950F677"/>
    <w:multiLevelType w:val="singleLevel"/>
    <w:tmpl w:val="D950F677"/>
    <w:lvl w:ilvl="0" w:tentative="0">
      <w:start w:val="3"/>
      <w:numFmt w:val="chineseCounting"/>
      <w:suff w:val="space"/>
      <w:lvlText w:val="第%1部分"/>
      <w:lvlJc w:val="left"/>
      <w:rPr>
        <w:rFonts w:hint="eastAsia"/>
      </w:rPr>
    </w:lvl>
  </w:abstractNum>
  <w:abstractNum w:abstractNumId="2">
    <w:nsid w:val="00000002"/>
    <w:multiLevelType w:val="multilevel"/>
    <w:tmpl w:val="00000002"/>
    <w:lvl w:ilvl="0" w:tentative="0">
      <w:start w:val="1"/>
      <w:numFmt w:val="upperLetter"/>
      <w:pStyle w:val="2"/>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AA5679A"/>
    <w:multiLevelType w:val="singleLevel"/>
    <w:tmpl w:val="0AA5679A"/>
    <w:lvl w:ilvl="0" w:tentative="0">
      <w:start w:val="1"/>
      <w:numFmt w:val="decimal"/>
      <w:suff w:val="nothing"/>
      <w:lvlText w:val="%1、"/>
      <w:lvlJc w:val="left"/>
    </w:lvl>
  </w:abstractNum>
  <w:abstractNum w:abstractNumId="4">
    <w:nsid w:val="26AB452D"/>
    <w:multiLevelType w:val="singleLevel"/>
    <w:tmpl w:val="26AB452D"/>
    <w:lvl w:ilvl="0" w:tentative="0">
      <w:start w:val="1"/>
      <w:numFmt w:val="decimal"/>
      <w:suff w:val="nothing"/>
      <w:lvlText w:val="%1、"/>
      <w:lvlJc w:val="left"/>
    </w:lvl>
  </w:abstractNum>
  <w:abstractNum w:abstractNumId="5">
    <w:nsid w:val="35BF0693"/>
    <w:multiLevelType w:val="singleLevel"/>
    <w:tmpl w:val="35BF0693"/>
    <w:lvl w:ilvl="0" w:tentative="0">
      <w:start w:val="3"/>
      <w:numFmt w:val="decimal"/>
      <w:lvlText w:val="%1."/>
      <w:lvlJc w:val="left"/>
      <w:pPr>
        <w:tabs>
          <w:tab w:val="left" w:pos="312"/>
        </w:tabs>
      </w:pPr>
    </w:lvl>
  </w:abstractNum>
  <w:abstractNum w:abstractNumId="6">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66517FDD"/>
    <w:multiLevelType w:val="singleLevel"/>
    <w:tmpl w:val="66517FDD"/>
    <w:lvl w:ilvl="0" w:tentative="0">
      <w:start w:val="1"/>
      <w:numFmt w:val="decimal"/>
      <w:suff w:val="nothing"/>
      <w:lvlText w:val="%1、"/>
      <w:lvlJc w:val="left"/>
    </w:lvl>
  </w:abstractNum>
  <w:abstractNum w:abstractNumId="8">
    <w:nsid w:val="75D70BD0"/>
    <w:multiLevelType w:val="multilevel"/>
    <w:tmpl w:val="75D70BD0"/>
    <w:lvl w:ilvl="0" w:tentative="0">
      <w:start w:val="1"/>
      <w:numFmt w:val="japaneseCounting"/>
      <w:lvlText w:val="第%1节"/>
      <w:lvlJc w:val="left"/>
      <w:pPr>
        <w:ind w:left="1290" w:hanging="12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6"/>
  </w:num>
  <w:num w:numId="3">
    <w:abstractNumId w:val="1"/>
  </w:num>
  <w:num w:numId="4">
    <w:abstractNumId w:val="0"/>
  </w:num>
  <w:num w:numId="5">
    <w:abstractNumId w:val="7"/>
  </w:num>
  <w:num w:numId="6">
    <w:abstractNumId w:val="8"/>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2Mzc0MDNhNzBkYmQ5MGRkMmFiZDk3NDlhOTVjODIifQ=="/>
  </w:docVars>
  <w:rsids>
    <w:rsidRoot w:val="78525E90"/>
    <w:rsid w:val="00097346"/>
    <w:rsid w:val="000A2FB9"/>
    <w:rsid w:val="00150EAD"/>
    <w:rsid w:val="00186FAA"/>
    <w:rsid w:val="001E5FF6"/>
    <w:rsid w:val="002F1091"/>
    <w:rsid w:val="00326CC8"/>
    <w:rsid w:val="003D47A3"/>
    <w:rsid w:val="00521512"/>
    <w:rsid w:val="00580B8B"/>
    <w:rsid w:val="0058756A"/>
    <w:rsid w:val="0060585B"/>
    <w:rsid w:val="00621C19"/>
    <w:rsid w:val="0063393F"/>
    <w:rsid w:val="006D0FAA"/>
    <w:rsid w:val="008E49A0"/>
    <w:rsid w:val="00937528"/>
    <w:rsid w:val="009C5EC8"/>
    <w:rsid w:val="00A51030"/>
    <w:rsid w:val="00A954E0"/>
    <w:rsid w:val="00AC1E5E"/>
    <w:rsid w:val="00B02766"/>
    <w:rsid w:val="00C30909"/>
    <w:rsid w:val="00CB0F01"/>
    <w:rsid w:val="00DB30A2"/>
    <w:rsid w:val="00E33CC3"/>
    <w:rsid w:val="00E83508"/>
    <w:rsid w:val="00ED10C3"/>
    <w:rsid w:val="01062D03"/>
    <w:rsid w:val="0112363F"/>
    <w:rsid w:val="014D4677"/>
    <w:rsid w:val="01821672"/>
    <w:rsid w:val="018D13F0"/>
    <w:rsid w:val="020B4CAB"/>
    <w:rsid w:val="0216443A"/>
    <w:rsid w:val="028950CA"/>
    <w:rsid w:val="02B033CE"/>
    <w:rsid w:val="02B47655"/>
    <w:rsid w:val="02C346CE"/>
    <w:rsid w:val="02DC35C3"/>
    <w:rsid w:val="02E24306"/>
    <w:rsid w:val="02F942E7"/>
    <w:rsid w:val="032B14E1"/>
    <w:rsid w:val="036F1A3A"/>
    <w:rsid w:val="0388408C"/>
    <w:rsid w:val="038D024F"/>
    <w:rsid w:val="03D76C48"/>
    <w:rsid w:val="03EC63C9"/>
    <w:rsid w:val="03F61337"/>
    <w:rsid w:val="046370B3"/>
    <w:rsid w:val="047E40D9"/>
    <w:rsid w:val="04893C18"/>
    <w:rsid w:val="04986C4E"/>
    <w:rsid w:val="04A24CDA"/>
    <w:rsid w:val="04D31337"/>
    <w:rsid w:val="04D929F1"/>
    <w:rsid w:val="051D0075"/>
    <w:rsid w:val="053528AD"/>
    <w:rsid w:val="054C15A1"/>
    <w:rsid w:val="05546CBA"/>
    <w:rsid w:val="055600B9"/>
    <w:rsid w:val="05580882"/>
    <w:rsid w:val="05665D07"/>
    <w:rsid w:val="05741DFD"/>
    <w:rsid w:val="058D5019"/>
    <w:rsid w:val="06113CB0"/>
    <w:rsid w:val="06285912"/>
    <w:rsid w:val="064F2C3F"/>
    <w:rsid w:val="06500E91"/>
    <w:rsid w:val="06550F99"/>
    <w:rsid w:val="06580515"/>
    <w:rsid w:val="06A64F55"/>
    <w:rsid w:val="06B26913"/>
    <w:rsid w:val="06C904B8"/>
    <w:rsid w:val="06F0647F"/>
    <w:rsid w:val="07413D98"/>
    <w:rsid w:val="07741A8A"/>
    <w:rsid w:val="077A66A6"/>
    <w:rsid w:val="078057A6"/>
    <w:rsid w:val="07AA18D8"/>
    <w:rsid w:val="07AD2313"/>
    <w:rsid w:val="07B37081"/>
    <w:rsid w:val="081C4A36"/>
    <w:rsid w:val="0828199A"/>
    <w:rsid w:val="08393100"/>
    <w:rsid w:val="0865562F"/>
    <w:rsid w:val="086A0B4B"/>
    <w:rsid w:val="088875A6"/>
    <w:rsid w:val="08A54756"/>
    <w:rsid w:val="08A80670"/>
    <w:rsid w:val="09210C8A"/>
    <w:rsid w:val="09257AA7"/>
    <w:rsid w:val="096864F2"/>
    <w:rsid w:val="09A432A2"/>
    <w:rsid w:val="09C13E54"/>
    <w:rsid w:val="09DA710F"/>
    <w:rsid w:val="09E3210E"/>
    <w:rsid w:val="09FF3664"/>
    <w:rsid w:val="0A0509EF"/>
    <w:rsid w:val="0A375E19"/>
    <w:rsid w:val="0A704DD2"/>
    <w:rsid w:val="0AB17D93"/>
    <w:rsid w:val="0AC06657"/>
    <w:rsid w:val="0AF966B1"/>
    <w:rsid w:val="0B9176F8"/>
    <w:rsid w:val="0BC70A3F"/>
    <w:rsid w:val="0C011C5F"/>
    <w:rsid w:val="0C131BF2"/>
    <w:rsid w:val="0C2C766F"/>
    <w:rsid w:val="0C432F81"/>
    <w:rsid w:val="0C6236CC"/>
    <w:rsid w:val="0C861343"/>
    <w:rsid w:val="0CC27215"/>
    <w:rsid w:val="0CEB33BE"/>
    <w:rsid w:val="0D023E1D"/>
    <w:rsid w:val="0D0869C0"/>
    <w:rsid w:val="0D252A89"/>
    <w:rsid w:val="0D441657"/>
    <w:rsid w:val="0D524B20"/>
    <w:rsid w:val="0D611BD6"/>
    <w:rsid w:val="0D7A1750"/>
    <w:rsid w:val="0D994BA6"/>
    <w:rsid w:val="0DC91A9B"/>
    <w:rsid w:val="0DD37BE6"/>
    <w:rsid w:val="0DDD63F7"/>
    <w:rsid w:val="0E0C5987"/>
    <w:rsid w:val="0E323572"/>
    <w:rsid w:val="0E375FD3"/>
    <w:rsid w:val="0E3F531B"/>
    <w:rsid w:val="0E880A30"/>
    <w:rsid w:val="0F0841A4"/>
    <w:rsid w:val="0F5C08A7"/>
    <w:rsid w:val="0F5E268A"/>
    <w:rsid w:val="0F955B67"/>
    <w:rsid w:val="0FF92F22"/>
    <w:rsid w:val="102A3E23"/>
    <w:rsid w:val="102B541A"/>
    <w:rsid w:val="103301F6"/>
    <w:rsid w:val="103E61FE"/>
    <w:rsid w:val="105477D0"/>
    <w:rsid w:val="106B3547"/>
    <w:rsid w:val="107C6D27"/>
    <w:rsid w:val="10A5627E"/>
    <w:rsid w:val="10CF4C7A"/>
    <w:rsid w:val="10CF6E57"/>
    <w:rsid w:val="11244EB5"/>
    <w:rsid w:val="118045F5"/>
    <w:rsid w:val="11873DE9"/>
    <w:rsid w:val="11965EB9"/>
    <w:rsid w:val="11A34C1E"/>
    <w:rsid w:val="11AA6255"/>
    <w:rsid w:val="11B76418"/>
    <w:rsid w:val="11D1243D"/>
    <w:rsid w:val="11F72A8C"/>
    <w:rsid w:val="12091E74"/>
    <w:rsid w:val="121B79FB"/>
    <w:rsid w:val="12232D93"/>
    <w:rsid w:val="12627161"/>
    <w:rsid w:val="12B5514D"/>
    <w:rsid w:val="12CE44A2"/>
    <w:rsid w:val="131103EA"/>
    <w:rsid w:val="138E4DA7"/>
    <w:rsid w:val="13B675C5"/>
    <w:rsid w:val="13B934D5"/>
    <w:rsid w:val="13C34FDF"/>
    <w:rsid w:val="14310539"/>
    <w:rsid w:val="14B410A9"/>
    <w:rsid w:val="14B44CE1"/>
    <w:rsid w:val="14CE3EE2"/>
    <w:rsid w:val="14F902DA"/>
    <w:rsid w:val="152C0457"/>
    <w:rsid w:val="15311E8E"/>
    <w:rsid w:val="15424017"/>
    <w:rsid w:val="154F1722"/>
    <w:rsid w:val="156B7B78"/>
    <w:rsid w:val="159E329B"/>
    <w:rsid w:val="15C40F54"/>
    <w:rsid w:val="15CE3CEE"/>
    <w:rsid w:val="15E4326F"/>
    <w:rsid w:val="15E574A2"/>
    <w:rsid w:val="15F27DB5"/>
    <w:rsid w:val="15F41BFA"/>
    <w:rsid w:val="1657090F"/>
    <w:rsid w:val="16781D3E"/>
    <w:rsid w:val="16B17A67"/>
    <w:rsid w:val="16D57191"/>
    <w:rsid w:val="16E80B41"/>
    <w:rsid w:val="17017F86"/>
    <w:rsid w:val="172C5003"/>
    <w:rsid w:val="175400B6"/>
    <w:rsid w:val="178E4079"/>
    <w:rsid w:val="17B57A28"/>
    <w:rsid w:val="17B7662A"/>
    <w:rsid w:val="17C0750C"/>
    <w:rsid w:val="17E01949"/>
    <w:rsid w:val="17E62E22"/>
    <w:rsid w:val="17EA6C63"/>
    <w:rsid w:val="17F3592D"/>
    <w:rsid w:val="183A21CD"/>
    <w:rsid w:val="18716A45"/>
    <w:rsid w:val="18F81343"/>
    <w:rsid w:val="190F3461"/>
    <w:rsid w:val="191B1399"/>
    <w:rsid w:val="192A1801"/>
    <w:rsid w:val="194D1260"/>
    <w:rsid w:val="196A2ABE"/>
    <w:rsid w:val="196D2880"/>
    <w:rsid w:val="19A8738B"/>
    <w:rsid w:val="19E17404"/>
    <w:rsid w:val="19EF056A"/>
    <w:rsid w:val="19F31E08"/>
    <w:rsid w:val="1A49639A"/>
    <w:rsid w:val="1A4B7367"/>
    <w:rsid w:val="1A5328A6"/>
    <w:rsid w:val="1AA03612"/>
    <w:rsid w:val="1AA05648"/>
    <w:rsid w:val="1ABE32D5"/>
    <w:rsid w:val="1AF5111A"/>
    <w:rsid w:val="1AFE66E8"/>
    <w:rsid w:val="1B5E443F"/>
    <w:rsid w:val="1B5F6589"/>
    <w:rsid w:val="1B7A5473"/>
    <w:rsid w:val="1B900EEF"/>
    <w:rsid w:val="1BAA4748"/>
    <w:rsid w:val="1BC25F36"/>
    <w:rsid w:val="1BC76B56"/>
    <w:rsid w:val="1BD73567"/>
    <w:rsid w:val="1BDC33C1"/>
    <w:rsid w:val="1BE20701"/>
    <w:rsid w:val="1BF34341"/>
    <w:rsid w:val="1C011997"/>
    <w:rsid w:val="1C203AC5"/>
    <w:rsid w:val="1C907C71"/>
    <w:rsid w:val="1CDA72AF"/>
    <w:rsid w:val="1D03682B"/>
    <w:rsid w:val="1D1F492F"/>
    <w:rsid w:val="1D200F09"/>
    <w:rsid w:val="1D3679F9"/>
    <w:rsid w:val="1D4B5AB7"/>
    <w:rsid w:val="1D5F680A"/>
    <w:rsid w:val="1D9A6FA9"/>
    <w:rsid w:val="1DAC74A6"/>
    <w:rsid w:val="1DB6418A"/>
    <w:rsid w:val="1E1D2551"/>
    <w:rsid w:val="1E1D38F7"/>
    <w:rsid w:val="1E230FAF"/>
    <w:rsid w:val="1E280203"/>
    <w:rsid w:val="1E5170FD"/>
    <w:rsid w:val="1E5428B9"/>
    <w:rsid w:val="1E7C6B9A"/>
    <w:rsid w:val="1E806FC9"/>
    <w:rsid w:val="1E9407F0"/>
    <w:rsid w:val="1EA6173E"/>
    <w:rsid w:val="1EAD3C13"/>
    <w:rsid w:val="1EBD0C36"/>
    <w:rsid w:val="1EC660CC"/>
    <w:rsid w:val="1F315512"/>
    <w:rsid w:val="1F3F75A1"/>
    <w:rsid w:val="1FBF4F7B"/>
    <w:rsid w:val="1FD977C0"/>
    <w:rsid w:val="1FF71F26"/>
    <w:rsid w:val="2024185C"/>
    <w:rsid w:val="207012F4"/>
    <w:rsid w:val="2084196E"/>
    <w:rsid w:val="20B147CB"/>
    <w:rsid w:val="20BC433F"/>
    <w:rsid w:val="20CA69A3"/>
    <w:rsid w:val="20CB5DD4"/>
    <w:rsid w:val="20DA5ACF"/>
    <w:rsid w:val="20EF0E4F"/>
    <w:rsid w:val="20F80546"/>
    <w:rsid w:val="21243A0B"/>
    <w:rsid w:val="213C71BD"/>
    <w:rsid w:val="21486EDD"/>
    <w:rsid w:val="21797553"/>
    <w:rsid w:val="2196711A"/>
    <w:rsid w:val="220B491C"/>
    <w:rsid w:val="221B7DFB"/>
    <w:rsid w:val="225A14D5"/>
    <w:rsid w:val="228114C2"/>
    <w:rsid w:val="22E87454"/>
    <w:rsid w:val="231C614B"/>
    <w:rsid w:val="232E31E3"/>
    <w:rsid w:val="235C3556"/>
    <w:rsid w:val="2366189C"/>
    <w:rsid w:val="237613B4"/>
    <w:rsid w:val="23863E0F"/>
    <w:rsid w:val="239366F2"/>
    <w:rsid w:val="241E5FD2"/>
    <w:rsid w:val="246B4C91"/>
    <w:rsid w:val="246D108C"/>
    <w:rsid w:val="24A3442A"/>
    <w:rsid w:val="24FD06E9"/>
    <w:rsid w:val="250543A2"/>
    <w:rsid w:val="25127F75"/>
    <w:rsid w:val="252E6A4B"/>
    <w:rsid w:val="2557308A"/>
    <w:rsid w:val="257220CB"/>
    <w:rsid w:val="25777959"/>
    <w:rsid w:val="25814CD5"/>
    <w:rsid w:val="258A62E0"/>
    <w:rsid w:val="259C15A5"/>
    <w:rsid w:val="25A15DAB"/>
    <w:rsid w:val="25E66ED2"/>
    <w:rsid w:val="25F3292B"/>
    <w:rsid w:val="26017C95"/>
    <w:rsid w:val="26712A32"/>
    <w:rsid w:val="27286E6F"/>
    <w:rsid w:val="272F1A59"/>
    <w:rsid w:val="278C3928"/>
    <w:rsid w:val="27AC5CEC"/>
    <w:rsid w:val="27E148FC"/>
    <w:rsid w:val="2802590C"/>
    <w:rsid w:val="28174635"/>
    <w:rsid w:val="282B717C"/>
    <w:rsid w:val="283458F5"/>
    <w:rsid w:val="2859244B"/>
    <w:rsid w:val="289602CC"/>
    <w:rsid w:val="28B17325"/>
    <w:rsid w:val="28CF1152"/>
    <w:rsid w:val="28D54288"/>
    <w:rsid w:val="28F2772E"/>
    <w:rsid w:val="29477A7A"/>
    <w:rsid w:val="29C07ECC"/>
    <w:rsid w:val="2A12724C"/>
    <w:rsid w:val="2A1642FA"/>
    <w:rsid w:val="2A280C75"/>
    <w:rsid w:val="2A6D48C7"/>
    <w:rsid w:val="2A8D1923"/>
    <w:rsid w:val="2AAC71E9"/>
    <w:rsid w:val="2AAD1B5F"/>
    <w:rsid w:val="2AC15854"/>
    <w:rsid w:val="2AC16C40"/>
    <w:rsid w:val="2AC46567"/>
    <w:rsid w:val="2ADD2D39"/>
    <w:rsid w:val="2AF6454E"/>
    <w:rsid w:val="2B13143F"/>
    <w:rsid w:val="2B4E4183"/>
    <w:rsid w:val="2B67742E"/>
    <w:rsid w:val="2BB44B13"/>
    <w:rsid w:val="2C0D4C09"/>
    <w:rsid w:val="2C291DB4"/>
    <w:rsid w:val="2C732934"/>
    <w:rsid w:val="2CAD68AA"/>
    <w:rsid w:val="2CAF44FC"/>
    <w:rsid w:val="2CDA6E57"/>
    <w:rsid w:val="2D222F77"/>
    <w:rsid w:val="2D2F3D9B"/>
    <w:rsid w:val="2D4529EC"/>
    <w:rsid w:val="2D4744ED"/>
    <w:rsid w:val="2D961506"/>
    <w:rsid w:val="2D9D0099"/>
    <w:rsid w:val="2DCE6AA2"/>
    <w:rsid w:val="2E0C5805"/>
    <w:rsid w:val="2E382087"/>
    <w:rsid w:val="2E976DAE"/>
    <w:rsid w:val="2E9D013C"/>
    <w:rsid w:val="2EAA1035"/>
    <w:rsid w:val="2EC766AE"/>
    <w:rsid w:val="2ED51855"/>
    <w:rsid w:val="2F034443"/>
    <w:rsid w:val="2F1773F1"/>
    <w:rsid w:val="2F3C14A7"/>
    <w:rsid w:val="2F55162F"/>
    <w:rsid w:val="2F666780"/>
    <w:rsid w:val="2F6B3D97"/>
    <w:rsid w:val="2F8B71B4"/>
    <w:rsid w:val="2F9037FD"/>
    <w:rsid w:val="2F9978C6"/>
    <w:rsid w:val="2FA220AC"/>
    <w:rsid w:val="30445FC8"/>
    <w:rsid w:val="305F7026"/>
    <w:rsid w:val="306C6018"/>
    <w:rsid w:val="30B5754E"/>
    <w:rsid w:val="30C16364"/>
    <w:rsid w:val="30E36BA8"/>
    <w:rsid w:val="30F32296"/>
    <w:rsid w:val="313D136E"/>
    <w:rsid w:val="31973569"/>
    <w:rsid w:val="31EF6985"/>
    <w:rsid w:val="321C0C2E"/>
    <w:rsid w:val="322B3D92"/>
    <w:rsid w:val="32941177"/>
    <w:rsid w:val="32CB29BE"/>
    <w:rsid w:val="32FE7827"/>
    <w:rsid w:val="332350B4"/>
    <w:rsid w:val="333A529B"/>
    <w:rsid w:val="33A91A8C"/>
    <w:rsid w:val="33C561CF"/>
    <w:rsid w:val="34112296"/>
    <w:rsid w:val="34193D3C"/>
    <w:rsid w:val="34281E00"/>
    <w:rsid w:val="346839BD"/>
    <w:rsid w:val="34AC732B"/>
    <w:rsid w:val="34FD7A88"/>
    <w:rsid w:val="35040F15"/>
    <w:rsid w:val="35382B1A"/>
    <w:rsid w:val="35461581"/>
    <w:rsid w:val="35753BC1"/>
    <w:rsid w:val="3581698D"/>
    <w:rsid w:val="358C17D9"/>
    <w:rsid w:val="35ED7BFB"/>
    <w:rsid w:val="365D08DD"/>
    <w:rsid w:val="366A2FFA"/>
    <w:rsid w:val="36846DB2"/>
    <w:rsid w:val="36853990"/>
    <w:rsid w:val="36A85F66"/>
    <w:rsid w:val="36AF3103"/>
    <w:rsid w:val="36C35DE9"/>
    <w:rsid w:val="36C7634F"/>
    <w:rsid w:val="36CA751D"/>
    <w:rsid w:val="36E05768"/>
    <w:rsid w:val="36E07FB9"/>
    <w:rsid w:val="371B6127"/>
    <w:rsid w:val="37361BAC"/>
    <w:rsid w:val="373D2A8F"/>
    <w:rsid w:val="3772660A"/>
    <w:rsid w:val="37737C8C"/>
    <w:rsid w:val="37AF71BF"/>
    <w:rsid w:val="37C404E8"/>
    <w:rsid w:val="38DC5E0F"/>
    <w:rsid w:val="38E532C1"/>
    <w:rsid w:val="39466AE6"/>
    <w:rsid w:val="395975B6"/>
    <w:rsid w:val="396F565E"/>
    <w:rsid w:val="39921A71"/>
    <w:rsid w:val="39D3299A"/>
    <w:rsid w:val="3A03765F"/>
    <w:rsid w:val="3A282FB0"/>
    <w:rsid w:val="3A60099C"/>
    <w:rsid w:val="3A697E64"/>
    <w:rsid w:val="3A9A678A"/>
    <w:rsid w:val="3AB27E55"/>
    <w:rsid w:val="3B014C8E"/>
    <w:rsid w:val="3B024E57"/>
    <w:rsid w:val="3B0279E9"/>
    <w:rsid w:val="3B42214B"/>
    <w:rsid w:val="3B476960"/>
    <w:rsid w:val="3B79490E"/>
    <w:rsid w:val="3B932066"/>
    <w:rsid w:val="3B942165"/>
    <w:rsid w:val="3B9D751A"/>
    <w:rsid w:val="3BA857C2"/>
    <w:rsid w:val="3BAD0453"/>
    <w:rsid w:val="3BB20402"/>
    <w:rsid w:val="3BB20C2D"/>
    <w:rsid w:val="3BB86F42"/>
    <w:rsid w:val="3BBE6F1D"/>
    <w:rsid w:val="3BBF6EEC"/>
    <w:rsid w:val="3BF842D3"/>
    <w:rsid w:val="3C1D466B"/>
    <w:rsid w:val="3C2E277D"/>
    <w:rsid w:val="3C324366"/>
    <w:rsid w:val="3C4D5FB4"/>
    <w:rsid w:val="3C63750B"/>
    <w:rsid w:val="3C643726"/>
    <w:rsid w:val="3C9F370F"/>
    <w:rsid w:val="3CAF79B9"/>
    <w:rsid w:val="3CEA09F1"/>
    <w:rsid w:val="3CF77B6F"/>
    <w:rsid w:val="3D314871"/>
    <w:rsid w:val="3D35086E"/>
    <w:rsid w:val="3D4C42C2"/>
    <w:rsid w:val="3D4E6832"/>
    <w:rsid w:val="3D8148E3"/>
    <w:rsid w:val="3D8B4C69"/>
    <w:rsid w:val="3D9B60C2"/>
    <w:rsid w:val="3DD32DD1"/>
    <w:rsid w:val="3DDB54C2"/>
    <w:rsid w:val="3E1729ED"/>
    <w:rsid w:val="3E3318C2"/>
    <w:rsid w:val="3E3523E4"/>
    <w:rsid w:val="3E4B09A8"/>
    <w:rsid w:val="3E66112F"/>
    <w:rsid w:val="3E6B3DB3"/>
    <w:rsid w:val="3E895FE7"/>
    <w:rsid w:val="3E9B7CF7"/>
    <w:rsid w:val="3EA352FB"/>
    <w:rsid w:val="3F312800"/>
    <w:rsid w:val="3F3E15DE"/>
    <w:rsid w:val="3F554271"/>
    <w:rsid w:val="3F5B3E28"/>
    <w:rsid w:val="3FC01EDD"/>
    <w:rsid w:val="400E0E9A"/>
    <w:rsid w:val="402C1D2F"/>
    <w:rsid w:val="40384169"/>
    <w:rsid w:val="4039795F"/>
    <w:rsid w:val="40784565"/>
    <w:rsid w:val="40C65EC6"/>
    <w:rsid w:val="40F670A3"/>
    <w:rsid w:val="40FF4EC3"/>
    <w:rsid w:val="4112007A"/>
    <w:rsid w:val="41164447"/>
    <w:rsid w:val="415A1F35"/>
    <w:rsid w:val="416261FF"/>
    <w:rsid w:val="4166265B"/>
    <w:rsid w:val="419A1457"/>
    <w:rsid w:val="41B97F86"/>
    <w:rsid w:val="41E27935"/>
    <w:rsid w:val="41EF2605"/>
    <w:rsid w:val="422A32F2"/>
    <w:rsid w:val="42343F31"/>
    <w:rsid w:val="42425239"/>
    <w:rsid w:val="42450E1B"/>
    <w:rsid w:val="4280477A"/>
    <w:rsid w:val="42C41CE4"/>
    <w:rsid w:val="42F75B7B"/>
    <w:rsid w:val="43095949"/>
    <w:rsid w:val="438C2802"/>
    <w:rsid w:val="43CE55C4"/>
    <w:rsid w:val="44056110"/>
    <w:rsid w:val="444E06E1"/>
    <w:rsid w:val="445C78F7"/>
    <w:rsid w:val="44A24A01"/>
    <w:rsid w:val="44D2693A"/>
    <w:rsid w:val="44FA7B26"/>
    <w:rsid w:val="45430DBC"/>
    <w:rsid w:val="4550785F"/>
    <w:rsid w:val="455A2C50"/>
    <w:rsid w:val="455E28AF"/>
    <w:rsid w:val="45614D7A"/>
    <w:rsid w:val="457A4E08"/>
    <w:rsid w:val="45982A94"/>
    <w:rsid w:val="45991789"/>
    <w:rsid w:val="45EE0C20"/>
    <w:rsid w:val="45F40A6D"/>
    <w:rsid w:val="460E4796"/>
    <w:rsid w:val="461446D4"/>
    <w:rsid w:val="461865CE"/>
    <w:rsid w:val="46334AB0"/>
    <w:rsid w:val="4664486E"/>
    <w:rsid w:val="46767F03"/>
    <w:rsid w:val="46794700"/>
    <w:rsid w:val="468579EE"/>
    <w:rsid w:val="468C6015"/>
    <w:rsid w:val="4697017D"/>
    <w:rsid w:val="46DA7553"/>
    <w:rsid w:val="46F10BCE"/>
    <w:rsid w:val="476154E3"/>
    <w:rsid w:val="477A66E7"/>
    <w:rsid w:val="477F0273"/>
    <w:rsid w:val="47906638"/>
    <w:rsid w:val="48434B95"/>
    <w:rsid w:val="487049C9"/>
    <w:rsid w:val="48950C98"/>
    <w:rsid w:val="48BA5CE3"/>
    <w:rsid w:val="48BB76E5"/>
    <w:rsid w:val="48C103F9"/>
    <w:rsid w:val="48CE11C6"/>
    <w:rsid w:val="48F367D8"/>
    <w:rsid w:val="49180694"/>
    <w:rsid w:val="492A1857"/>
    <w:rsid w:val="493D6047"/>
    <w:rsid w:val="495A1A11"/>
    <w:rsid w:val="49695393"/>
    <w:rsid w:val="49766581"/>
    <w:rsid w:val="498E2B50"/>
    <w:rsid w:val="49945F9E"/>
    <w:rsid w:val="49CA1332"/>
    <w:rsid w:val="49CF5A9C"/>
    <w:rsid w:val="49F42EAF"/>
    <w:rsid w:val="49FA20A9"/>
    <w:rsid w:val="4A1C5F45"/>
    <w:rsid w:val="4A263982"/>
    <w:rsid w:val="4A4200BE"/>
    <w:rsid w:val="4A4B786B"/>
    <w:rsid w:val="4A712751"/>
    <w:rsid w:val="4A80253F"/>
    <w:rsid w:val="4A9C34A5"/>
    <w:rsid w:val="4A9C42D8"/>
    <w:rsid w:val="4AB97C54"/>
    <w:rsid w:val="4AD01990"/>
    <w:rsid w:val="4AD31F88"/>
    <w:rsid w:val="4B4E1182"/>
    <w:rsid w:val="4B582815"/>
    <w:rsid w:val="4B8250FD"/>
    <w:rsid w:val="4C007779"/>
    <w:rsid w:val="4C0A0767"/>
    <w:rsid w:val="4C8C5620"/>
    <w:rsid w:val="4C96649F"/>
    <w:rsid w:val="4CC213F1"/>
    <w:rsid w:val="4CD755EA"/>
    <w:rsid w:val="4CEB4F5E"/>
    <w:rsid w:val="4D297313"/>
    <w:rsid w:val="4D5F2D35"/>
    <w:rsid w:val="4D62409F"/>
    <w:rsid w:val="4D6C2C67"/>
    <w:rsid w:val="4D8A4AF9"/>
    <w:rsid w:val="4D9A471E"/>
    <w:rsid w:val="4DA00909"/>
    <w:rsid w:val="4DEA1FD9"/>
    <w:rsid w:val="4E902F1E"/>
    <w:rsid w:val="4EAC5BC4"/>
    <w:rsid w:val="4ECB1BCC"/>
    <w:rsid w:val="4ED96B17"/>
    <w:rsid w:val="4EDA2B2D"/>
    <w:rsid w:val="4F02323F"/>
    <w:rsid w:val="4F102445"/>
    <w:rsid w:val="4F4F4DFF"/>
    <w:rsid w:val="4F6B59C1"/>
    <w:rsid w:val="4FBC7AB7"/>
    <w:rsid w:val="4FC5585F"/>
    <w:rsid w:val="4FC812D7"/>
    <w:rsid w:val="4FCD667C"/>
    <w:rsid w:val="4FD13FB0"/>
    <w:rsid w:val="4FD56958"/>
    <w:rsid w:val="4FF87563"/>
    <w:rsid w:val="4FFC45E3"/>
    <w:rsid w:val="502C7313"/>
    <w:rsid w:val="50574197"/>
    <w:rsid w:val="505F1638"/>
    <w:rsid w:val="50621842"/>
    <w:rsid w:val="508B1503"/>
    <w:rsid w:val="5112261F"/>
    <w:rsid w:val="511D2CEB"/>
    <w:rsid w:val="51310E43"/>
    <w:rsid w:val="515A7100"/>
    <w:rsid w:val="518646E7"/>
    <w:rsid w:val="51AA652B"/>
    <w:rsid w:val="51B807F7"/>
    <w:rsid w:val="51C55300"/>
    <w:rsid w:val="524260B9"/>
    <w:rsid w:val="525F5585"/>
    <w:rsid w:val="528862DA"/>
    <w:rsid w:val="52DE4E11"/>
    <w:rsid w:val="53211D34"/>
    <w:rsid w:val="53360094"/>
    <w:rsid w:val="534A7FE3"/>
    <w:rsid w:val="53763B7A"/>
    <w:rsid w:val="53A01C3C"/>
    <w:rsid w:val="53AF590E"/>
    <w:rsid w:val="541F6D7A"/>
    <w:rsid w:val="542331C5"/>
    <w:rsid w:val="543B6BBD"/>
    <w:rsid w:val="544D7DE8"/>
    <w:rsid w:val="547215A0"/>
    <w:rsid w:val="54866964"/>
    <w:rsid w:val="54A649A8"/>
    <w:rsid w:val="54AB2BCD"/>
    <w:rsid w:val="54BF54F7"/>
    <w:rsid w:val="55050666"/>
    <w:rsid w:val="55061CE8"/>
    <w:rsid w:val="551529FE"/>
    <w:rsid w:val="551E3FFA"/>
    <w:rsid w:val="553152CF"/>
    <w:rsid w:val="555313D1"/>
    <w:rsid w:val="55A41C2D"/>
    <w:rsid w:val="55AA2EC6"/>
    <w:rsid w:val="55AC288F"/>
    <w:rsid w:val="55BF6A67"/>
    <w:rsid w:val="55EE4C56"/>
    <w:rsid w:val="566A5882"/>
    <w:rsid w:val="56827D24"/>
    <w:rsid w:val="568C0174"/>
    <w:rsid w:val="56A64EBB"/>
    <w:rsid w:val="56B1265B"/>
    <w:rsid w:val="56C74FEE"/>
    <w:rsid w:val="56D025AE"/>
    <w:rsid w:val="573F34B0"/>
    <w:rsid w:val="574D286F"/>
    <w:rsid w:val="579969E8"/>
    <w:rsid w:val="57C1773B"/>
    <w:rsid w:val="57E736D6"/>
    <w:rsid w:val="57E83927"/>
    <w:rsid w:val="5807605B"/>
    <w:rsid w:val="58120FE6"/>
    <w:rsid w:val="5819028C"/>
    <w:rsid w:val="581F55FD"/>
    <w:rsid w:val="58280DA6"/>
    <w:rsid w:val="58542566"/>
    <w:rsid w:val="585B793F"/>
    <w:rsid w:val="58B033DA"/>
    <w:rsid w:val="58C509B0"/>
    <w:rsid w:val="5909413A"/>
    <w:rsid w:val="59494716"/>
    <w:rsid w:val="595E0345"/>
    <w:rsid w:val="597E41BB"/>
    <w:rsid w:val="599B0EF7"/>
    <w:rsid w:val="59A210E1"/>
    <w:rsid w:val="59C93711"/>
    <w:rsid w:val="5A18747F"/>
    <w:rsid w:val="5A6C083F"/>
    <w:rsid w:val="5AB60F49"/>
    <w:rsid w:val="5ABA5A4E"/>
    <w:rsid w:val="5ACC2D05"/>
    <w:rsid w:val="5AF44532"/>
    <w:rsid w:val="5B060C94"/>
    <w:rsid w:val="5B5579B1"/>
    <w:rsid w:val="5B5855BD"/>
    <w:rsid w:val="5B682057"/>
    <w:rsid w:val="5B71045A"/>
    <w:rsid w:val="5BA046DA"/>
    <w:rsid w:val="5BA0637A"/>
    <w:rsid w:val="5BBB21E0"/>
    <w:rsid w:val="5BDF3B3C"/>
    <w:rsid w:val="5C013E42"/>
    <w:rsid w:val="5C20631D"/>
    <w:rsid w:val="5C290ABE"/>
    <w:rsid w:val="5C38691D"/>
    <w:rsid w:val="5C4662D1"/>
    <w:rsid w:val="5C4A4BB0"/>
    <w:rsid w:val="5C5A5A22"/>
    <w:rsid w:val="5CA97B29"/>
    <w:rsid w:val="5CC93D27"/>
    <w:rsid w:val="5CCC2757"/>
    <w:rsid w:val="5CD04451"/>
    <w:rsid w:val="5CD27925"/>
    <w:rsid w:val="5D2E002E"/>
    <w:rsid w:val="5D3055E3"/>
    <w:rsid w:val="5D4D2BAA"/>
    <w:rsid w:val="5D784F89"/>
    <w:rsid w:val="5D972077"/>
    <w:rsid w:val="5DA87DE0"/>
    <w:rsid w:val="5DB6564D"/>
    <w:rsid w:val="5DFB4CA1"/>
    <w:rsid w:val="5E2E01AD"/>
    <w:rsid w:val="5E3B2604"/>
    <w:rsid w:val="5E484631"/>
    <w:rsid w:val="5E6C1079"/>
    <w:rsid w:val="5EBA601D"/>
    <w:rsid w:val="5ED233AA"/>
    <w:rsid w:val="5F1F2324"/>
    <w:rsid w:val="5F2372A2"/>
    <w:rsid w:val="5F2711D9"/>
    <w:rsid w:val="5F2F2D75"/>
    <w:rsid w:val="5F4F0736"/>
    <w:rsid w:val="5F881C77"/>
    <w:rsid w:val="5FAF6488"/>
    <w:rsid w:val="5FC72C10"/>
    <w:rsid w:val="5FD11739"/>
    <w:rsid w:val="5FE51F93"/>
    <w:rsid w:val="5FFC24B8"/>
    <w:rsid w:val="600F625E"/>
    <w:rsid w:val="602E0341"/>
    <w:rsid w:val="60466747"/>
    <w:rsid w:val="605C09DC"/>
    <w:rsid w:val="60C45A9F"/>
    <w:rsid w:val="60D33512"/>
    <w:rsid w:val="60D82F0E"/>
    <w:rsid w:val="60E554D5"/>
    <w:rsid w:val="6106764A"/>
    <w:rsid w:val="615269E1"/>
    <w:rsid w:val="615A3AE7"/>
    <w:rsid w:val="615B2535"/>
    <w:rsid w:val="615E1FB9"/>
    <w:rsid w:val="61BA7E7E"/>
    <w:rsid w:val="61E32559"/>
    <w:rsid w:val="61F21D5B"/>
    <w:rsid w:val="624C2B5E"/>
    <w:rsid w:val="62540E71"/>
    <w:rsid w:val="626E176E"/>
    <w:rsid w:val="629A4F01"/>
    <w:rsid w:val="62A36DC8"/>
    <w:rsid w:val="62AA48B3"/>
    <w:rsid w:val="62B14371"/>
    <w:rsid w:val="62DB0C58"/>
    <w:rsid w:val="62E03D88"/>
    <w:rsid w:val="63164E37"/>
    <w:rsid w:val="631B72A6"/>
    <w:rsid w:val="6321671E"/>
    <w:rsid w:val="63445D7C"/>
    <w:rsid w:val="634F6442"/>
    <w:rsid w:val="6382626D"/>
    <w:rsid w:val="639674EB"/>
    <w:rsid w:val="6397692D"/>
    <w:rsid w:val="63BA4065"/>
    <w:rsid w:val="63FB65F1"/>
    <w:rsid w:val="64021659"/>
    <w:rsid w:val="6454680A"/>
    <w:rsid w:val="64C63A42"/>
    <w:rsid w:val="64CA1C60"/>
    <w:rsid w:val="64E02633"/>
    <w:rsid w:val="64F77CC2"/>
    <w:rsid w:val="64FB113D"/>
    <w:rsid w:val="651D21E6"/>
    <w:rsid w:val="656A0A8D"/>
    <w:rsid w:val="65A436DE"/>
    <w:rsid w:val="65AE4402"/>
    <w:rsid w:val="65ED4F2A"/>
    <w:rsid w:val="661B2089"/>
    <w:rsid w:val="66371F44"/>
    <w:rsid w:val="66524CAA"/>
    <w:rsid w:val="665A1E94"/>
    <w:rsid w:val="667E025A"/>
    <w:rsid w:val="6687396F"/>
    <w:rsid w:val="66952995"/>
    <w:rsid w:val="66974E96"/>
    <w:rsid w:val="669C0CF3"/>
    <w:rsid w:val="66A32488"/>
    <w:rsid w:val="66A440C2"/>
    <w:rsid w:val="66AB26EF"/>
    <w:rsid w:val="66AE066E"/>
    <w:rsid w:val="66E322C0"/>
    <w:rsid w:val="670430D4"/>
    <w:rsid w:val="671F73AE"/>
    <w:rsid w:val="67277FC8"/>
    <w:rsid w:val="674D37A6"/>
    <w:rsid w:val="67581835"/>
    <w:rsid w:val="67633146"/>
    <w:rsid w:val="67714296"/>
    <w:rsid w:val="67F02AB0"/>
    <w:rsid w:val="680E6582"/>
    <w:rsid w:val="685F267C"/>
    <w:rsid w:val="686A2A07"/>
    <w:rsid w:val="688B0A2A"/>
    <w:rsid w:val="689313B3"/>
    <w:rsid w:val="68F62A70"/>
    <w:rsid w:val="690E0431"/>
    <w:rsid w:val="69185200"/>
    <w:rsid w:val="692E7D33"/>
    <w:rsid w:val="693472C5"/>
    <w:rsid w:val="69391EC4"/>
    <w:rsid w:val="694156DB"/>
    <w:rsid w:val="6942733B"/>
    <w:rsid w:val="69504582"/>
    <w:rsid w:val="698F209E"/>
    <w:rsid w:val="69BC21A0"/>
    <w:rsid w:val="69E15B32"/>
    <w:rsid w:val="6A0012EB"/>
    <w:rsid w:val="6A5B6680"/>
    <w:rsid w:val="6A641533"/>
    <w:rsid w:val="6A927E4E"/>
    <w:rsid w:val="6A9A4F55"/>
    <w:rsid w:val="6AA872B1"/>
    <w:rsid w:val="6AC0679A"/>
    <w:rsid w:val="6B1E265E"/>
    <w:rsid w:val="6B5C220A"/>
    <w:rsid w:val="6B7B3CF2"/>
    <w:rsid w:val="6B7F5C68"/>
    <w:rsid w:val="6BAC3141"/>
    <w:rsid w:val="6BBE1C5E"/>
    <w:rsid w:val="6BBF3AFF"/>
    <w:rsid w:val="6BBF3EAA"/>
    <w:rsid w:val="6BD22543"/>
    <w:rsid w:val="6BDD2BE6"/>
    <w:rsid w:val="6C6D4EE1"/>
    <w:rsid w:val="6C8C08A4"/>
    <w:rsid w:val="6CC87B57"/>
    <w:rsid w:val="6D1C2C7B"/>
    <w:rsid w:val="6D415747"/>
    <w:rsid w:val="6D6C38F4"/>
    <w:rsid w:val="6D7C563B"/>
    <w:rsid w:val="6D877A12"/>
    <w:rsid w:val="6DA952E1"/>
    <w:rsid w:val="6DB90FE6"/>
    <w:rsid w:val="6DCC46D9"/>
    <w:rsid w:val="6DD16EDF"/>
    <w:rsid w:val="6DDC0129"/>
    <w:rsid w:val="6DE9247B"/>
    <w:rsid w:val="6E0639FF"/>
    <w:rsid w:val="6E082FB2"/>
    <w:rsid w:val="6E0F3714"/>
    <w:rsid w:val="6E160D96"/>
    <w:rsid w:val="6E2C05BA"/>
    <w:rsid w:val="6E4B702B"/>
    <w:rsid w:val="6E5F4961"/>
    <w:rsid w:val="6E693C8C"/>
    <w:rsid w:val="6E6A1466"/>
    <w:rsid w:val="6E8379F2"/>
    <w:rsid w:val="6E924472"/>
    <w:rsid w:val="6E950ADE"/>
    <w:rsid w:val="6E9C6E90"/>
    <w:rsid w:val="6EAD2734"/>
    <w:rsid w:val="6ECF76FC"/>
    <w:rsid w:val="6F474195"/>
    <w:rsid w:val="6F685621"/>
    <w:rsid w:val="6F881820"/>
    <w:rsid w:val="6FBB2A2C"/>
    <w:rsid w:val="6FBC3D4D"/>
    <w:rsid w:val="6FD45E68"/>
    <w:rsid w:val="700B6CDC"/>
    <w:rsid w:val="70134638"/>
    <w:rsid w:val="705D0EFE"/>
    <w:rsid w:val="708E730A"/>
    <w:rsid w:val="7098030B"/>
    <w:rsid w:val="70B2238B"/>
    <w:rsid w:val="70DD038D"/>
    <w:rsid w:val="711D059B"/>
    <w:rsid w:val="7130059F"/>
    <w:rsid w:val="714A6E09"/>
    <w:rsid w:val="71A96CDF"/>
    <w:rsid w:val="71B11CB6"/>
    <w:rsid w:val="71EA1156"/>
    <w:rsid w:val="72477770"/>
    <w:rsid w:val="728539F0"/>
    <w:rsid w:val="72B426FD"/>
    <w:rsid w:val="72DD451C"/>
    <w:rsid w:val="72E14A61"/>
    <w:rsid w:val="73025D8D"/>
    <w:rsid w:val="73156A77"/>
    <w:rsid w:val="731B5BBE"/>
    <w:rsid w:val="73392DA4"/>
    <w:rsid w:val="736019F1"/>
    <w:rsid w:val="7366631C"/>
    <w:rsid w:val="7371589F"/>
    <w:rsid w:val="73814F04"/>
    <w:rsid w:val="73C92407"/>
    <w:rsid w:val="73F35DE2"/>
    <w:rsid w:val="741175D7"/>
    <w:rsid w:val="74367A9C"/>
    <w:rsid w:val="744877CF"/>
    <w:rsid w:val="749368DE"/>
    <w:rsid w:val="74CA3D78"/>
    <w:rsid w:val="74E176F9"/>
    <w:rsid w:val="751037AE"/>
    <w:rsid w:val="75413C0B"/>
    <w:rsid w:val="75937C94"/>
    <w:rsid w:val="759D32A9"/>
    <w:rsid w:val="75AC0424"/>
    <w:rsid w:val="75F17865"/>
    <w:rsid w:val="75FF4630"/>
    <w:rsid w:val="76287B7D"/>
    <w:rsid w:val="76637371"/>
    <w:rsid w:val="767E1A5D"/>
    <w:rsid w:val="76931A05"/>
    <w:rsid w:val="76A331D2"/>
    <w:rsid w:val="76CA6BC2"/>
    <w:rsid w:val="76CC1AB2"/>
    <w:rsid w:val="76D165F8"/>
    <w:rsid w:val="76E61D03"/>
    <w:rsid w:val="77422856"/>
    <w:rsid w:val="776E1304"/>
    <w:rsid w:val="78525E90"/>
    <w:rsid w:val="785D5FB0"/>
    <w:rsid w:val="78DB3308"/>
    <w:rsid w:val="78E222F4"/>
    <w:rsid w:val="79770859"/>
    <w:rsid w:val="79C6782D"/>
    <w:rsid w:val="79D030EB"/>
    <w:rsid w:val="79E43495"/>
    <w:rsid w:val="7A205520"/>
    <w:rsid w:val="7A27315F"/>
    <w:rsid w:val="7A432F13"/>
    <w:rsid w:val="7A4713D4"/>
    <w:rsid w:val="7A5D66EA"/>
    <w:rsid w:val="7A754EF7"/>
    <w:rsid w:val="7ACA3EBF"/>
    <w:rsid w:val="7AD8796E"/>
    <w:rsid w:val="7AFE2809"/>
    <w:rsid w:val="7B1834AF"/>
    <w:rsid w:val="7B3B0A80"/>
    <w:rsid w:val="7B6F2020"/>
    <w:rsid w:val="7BD01AD0"/>
    <w:rsid w:val="7BE12CF9"/>
    <w:rsid w:val="7BF41F9E"/>
    <w:rsid w:val="7C3D0E30"/>
    <w:rsid w:val="7C4B6622"/>
    <w:rsid w:val="7C583918"/>
    <w:rsid w:val="7C71234B"/>
    <w:rsid w:val="7D0E6704"/>
    <w:rsid w:val="7D5C596A"/>
    <w:rsid w:val="7DA76A01"/>
    <w:rsid w:val="7DB626A9"/>
    <w:rsid w:val="7DBF6E91"/>
    <w:rsid w:val="7DEF37A0"/>
    <w:rsid w:val="7E031C79"/>
    <w:rsid w:val="7E05032B"/>
    <w:rsid w:val="7E1944B0"/>
    <w:rsid w:val="7E3E252F"/>
    <w:rsid w:val="7E7318ED"/>
    <w:rsid w:val="7E755665"/>
    <w:rsid w:val="7E9A331D"/>
    <w:rsid w:val="7EE2286E"/>
    <w:rsid w:val="7EEF3F40"/>
    <w:rsid w:val="7F1B26B0"/>
    <w:rsid w:val="7F2E1278"/>
    <w:rsid w:val="7F536D0A"/>
    <w:rsid w:val="7F9D46F9"/>
    <w:rsid w:val="7FCB3542"/>
    <w:rsid w:val="7FEE4D3D"/>
    <w:rsid w:val="7FFF00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0"/>
    <w:qFormat/>
    <w:uiPriority w:val="0"/>
    <w:pPr>
      <w:keepNext/>
      <w:numPr>
        <w:ilvl w:val="0"/>
        <w:numId w:val="1"/>
      </w:numPr>
      <w:outlineLvl w:val="0"/>
    </w:pPr>
    <w:rPr>
      <w:b/>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spacing w:line="360" w:lineRule="auto"/>
      <w:ind w:firstLine="480" w:firstLineChars="200"/>
      <w:outlineLvl w:val="2"/>
    </w:pPr>
    <w:rPr>
      <w:rFonts w:ascii="宋体" w:hAnsi="宋体" w:cs="宋体"/>
      <w:sz w:val="24"/>
      <w:lang w:val="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semiHidden/>
    <w:qFormat/>
    <w:uiPriority w:val="99"/>
    <w:pPr>
      <w:ind w:left="200" w:leftChars="200"/>
    </w:pPr>
  </w:style>
  <w:style w:type="paragraph" w:styleId="6">
    <w:name w:val="Normal Indent"/>
    <w:basedOn w:val="1"/>
    <w:next w:val="1"/>
    <w:qFormat/>
    <w:uiPriority w:val="0"/>
    <w:pPr>
      <w:ind w:firstLine="420"/>
    </w:pPr>
    <w:rPr>
      <w:kern w:val="0"/>
      <w:sz w:val="20"/>
    </w:rPr>
  </w:style>
  <w:style w:type="paragraph" w:styleId="7">
    <w:name w:val="annotation text"/>
    <w:basedOn w:val="1"/>
    <w:qFormat/>
    <w:uiPriority w:val="0"/>
    <w:pPr>
      <w:jc w:val="left"/>
    </w:pPr>
  </w:style>
  <w:style w:type="paragraph" w:styleId="8">
    <w:name w:val="Body Text"/>
    <w:basedOn w:val="1"/>
    <w:next w:val="1"/>
    <w:qFormat/>
    <w:uiPriority w:val="0"/>
    <w:pPr>
      <w:widowControl/>
      <w:jc w:val="left"/>
    </w:pPr>
    <w:rPr>
      <w:rFonts w:ascii="Tahoma" w:hAnsi="Tahoma"/>
      <w:kern w:val="0"/>
      <w:sz w:val="22"/>
      <w:lang w:val="en-GB"/>
    </w:rPr>
  </w:style>
  <w:style w:type="paragraph" w:styleId="9">
    <w:name w:val="Body Text Indent"/>
    <w:basedOn w:val="1"/>
    <w:next w:val="1"/>
    <w:qFormat/>
    <w:uiPriority w:val="0"/>
    <w:pPr>
      <w:spacing w:after="120"/>
      <w:ind w:left="420" w:leftChars="200"/>
    </w:pPr>
  </w:style>
  <w:style w:type="paragraph" w:styleId="10">
    <w:name w:val="List 2"/>
    <w:basedOn w:val="1"/>
    <w:next w:val="11"/>
    <w:qFormat/>
    <w:uiPriority w:val="0"/>
    <w:pPr>
      <w:ind w:left="100" w:leftChars="200" w:hanging="200" w:hangingChars="200"/>
    </w:pPr>
  </w:style>
  <w:style w:type="paragraph" w:styleId="11">
    <w:name w:val="Plain Text"/>
    <w:basedOn w:val="1"/>
    <w:qFormat/>
    <w:uiPriority w:val="0"/>
    <w:rPr>
      <w:rFonts w:ascii="宋体" w:hAnsi="Courier New"/>
    </w:rPr>
  </w:style>
  <w:style w:type="paragraph" w:styleId="12">
    <w:name w:val="toc 3"/>
    <w:basedOn w:val="1"/>
    <w:next w:val="1"/>
    <w:qFormat/>
    <w:uiPriority w:val="0"/>
    <w:pPr>
      <w:ind w:left="420"/>
      <w:jc w:val="left"/>
    </w:pPr>
    <w:rPr>
      <w:i/>
      <w:sz w:val="20"/>
    </w:rPr>
  </w:style>
  <w:style w:type="paragraph" w:styleId="13">
    <w:name w:val="Body Text Indent 2"/>
    <w:basedOn w:val="1"/>
    <w:qFormat/>
    <w:uiPriority w:val="0"/>
    <w:pPr>
      <w:ind w:firstLine="480"/>
    </w:pPr>
    <w:rPr>
      <w:rFonts w:ascii="宋体" w:hAnsi="宋体"/>
      <w:sz w:val="30"/>
      <w:szCs w:val="24"/>
    </w:rPr>
  </w:style>
  <w:style w:type="paragraph" w:styleId="14">
    <w:name w:val="Balloon Text"/>
    <w:basedOn w:val="1"/>
    <w:link w:val="48"/>
    <w:qFormat/>
    <w:uiPriority w:val="0"/>
    <w:rPr>
      <w:sz w:val="18"/>
      <w:szCs w:val="18"/>
    </w:rPr>
  </w:style>
  <w:style w:type="paragraph" w:styleId="15">
    <w:name w:val="footer"/>
    <w:basedOn w:val="1"/>
    <w:next w:val="1"/>
    <w:link w:val="52"/>
    <w:qFormat/>
    <w:uiPriority w:val="0"/>
    <w:pPr>
      <w:tabs>
        <w:tab w:val="center" w:pos="4153"/>
        <w:tab w:val="right" w:pos="8306"/>
      </w:tabs>
      <w:snapToGrid w:val="0"/>
      <w:jc w:val="left"/>
    </w:pPr>
    <w:rPr>
      <w:sz w:val="18"/>
    </w:rPr>
  </w:style>
  <w:style w:type="paragraph" w:styleId="16">
    <w:name w:val="header"/>
    <w:basedOn w:val="1"/>
    <w:link w:val="51"/>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8">
    <w:name w:val="Subtitle"/>
    <w:next w:val="1"/>
    <w:qFormat/>
    <w:uiPriority w:val="11"/>
    <w:pPr>
      <w:wordWrap w:val="0"/>
      <w:spacing w:after="60"/>
      <w:ind w:left="1024" w:firstLine="18"/>
      <w:jc w:val="center"/>
    </w:pPr>
    <w:rPr>
      <w:rFonts w:ascii="Calibri" w:hAnsi="Calibri" w:eastAsia="宋体" w:cs="Times New Roman"/>
      <w:sz w:val="21"/>
      <w:szCs w:val="22"/>
      <w:lang w:val="en-US" w:eastAsia="zh-CN" w:bidi="ar-SA"/>
    </w:rPr>
  </w:style>
  <w:style w:type="paragraph" w:styleId="19">
    <w:name w:val="List"/>
    <w:basedOn w:val="1"/>
    <w:qFormat/>
    <w:uiPriority w:val="0"/>
    <w:pPr>
      <w:adjustRightInd w:val="0"/>
      <w:spacing w:line="360" w:lineRule="atLeast"/>
      <w:ind w:left="420" w:hanging="420"/>
      <w:jc w:val="left"/>
    </w:pPr>
    <w:rPr>
      <w:rFonts w:hint="eastAsia" w:ascii="宋体"/>
      <w:kern w:val="0"/>
      <w:sz w:val="24"/>
    </w:rPr>
  </w:style>
  <w:style w:type="paragraph" w:styleId="20">
    <w:name w:val="footnote text"/>
    <w:basedOn w:val="1"/>
    <w:qFormat/>
    <w:uiPriority w:val="0"/>
    <w:pPr>
      <w:snapToGrid w:val="0"/>
      <w:jc w:val="left"/>
    </w:pPr>
    <w:rPr>
      <w:sz w:val="18"/>
    </w:r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link w:val="49"/>
    <w:qFormat/>
    <w:uiPriority w:val="0"/>
    <w:pPr>
      <w:jc w:val="center"/>
      <w:outlineLvl w:val="0"/>
    </w:pPr>
    <w:rPr>
      <w:rFonts w:ascii="Arial" w:hAnsi="Arial"/>
      <w:b/>
      <w:sz w:val="32"/>
      <w:szCs w:val="22"/>
    </w:rPr>
  </w:style>
  <w:style w:type="paragraph" w:styleId="23">
    <w:name w:val="Body Text First Indent 2"/>
    <w:basedOn w:val="9"/>
    <w:qFormat/>
    <w:uiPriority w:val="0"/>
    <w:pPr>
      <w:ind w:left="200" w:firstLine="20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rPr>
      <w:rFonts w:ascii="Times New Roman" w:hAnsi="Times New Roman" w:eastAsia="宋体" w:cs="Times New Roman"/>
    </w:rPr>
  </w:style>
  <w:style w:type="character" w:styleId="28">
    <w:name w:val="Hyperlink"/>
    <w:basedOn w:val="26"/>
    <w:qFormat/>
    <w:uiPriority w:val="0"/>
    <w:rPr>
      <w:color w:val="0000FF"/>
      <w:u w:val="single"/>
    </w:rPr>
  </w:style>
  <w:style w:type="paragraph" w:customStyle="1" w:styleId="2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1">
    <w:name w:val="BodyText"/>
    <w:basedOn w:val="1"/>
    <w:next w:val="32"/>
    <w:qFormat/>
    <w:uiPriority w:val="0"/>
    <w:pPr>
      <w:tabs>
        <w:tab w:val="left" w:pos="780"/>
      </w:tabs>
    </w:pPr>
    <w:rPr>
      <w:rFonts w:ascii="黑体" w:eastAsia="黑体"/>
      <w:sz w:val="22"/>
    </w:rPr>
  </w:style>
  <w:style w:type="paragraph" w:customStyle="1" w:styleId="32">
    <w:name w:val="TOC2"/>
    <w:basedOn w:val="1"/>
    <w:next w:val="1"/>
    <w:qFormat/>
    <w:uiPriority w:val="0"/>
    <w:pPr>
      <w:spacing w:line="413" w:lineRule="auto"/>
      <w:ind w:left="240" w:leftChars="100" w:firstLineChars="0"/>
      <w:jc w:val="both"/>
      <w:textAlignment w:val="baseline"/>
    </w:pPr>
    <w:rPr>
      <w:rFonts w:ascii="Calibri" w:hAnsi="Calibri" w:eastAsia="仿宋"/>
      <w:kern w:val="2"/>
      <w:sz w:val="24"/>
      <w:szCs w:val="24"/>
      <w:lang w:val="en-US" w:eastAsia="zh-CN" w:bidi="ar-SA"/>
    </w:rPr>
  </w:style>
  <w:style w:type="paragraph" w:customStyle="1" w:styleId="33">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样式1"/>
    <w:basedOn w:val="1"/>
    <w:qFormat/>
    <w:uiPriority w:val="0"/>
    <w:pPr>
      <w:jc w:val="center"/>
    </w:pPr>
    <w:rPr>
      <w:szCs w:val="30"/>
    </w:rPr>
  </w:style>
  <w:style w:type="paragraph" w:customStyle="1" w:styleId="35">
    <w:name w:val="Table Paragraph"/>
    <w:basedOn w:val="1"/>
    <w:qFormat/>
    <w:uiPriority w:val="1"/>
    <w:rPr>
      <w:rFonts w:ascii="宋体" w:hAnsi="宋体" w:cs="宋体"/>
      <w:lang w:val="zh-CN" w:bidi="zh-CN"/>
    </w:rPr>
  </w:style>
  <w:style w:type="paragraph" w:customStyle="1" w:styleId="36">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37">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8">
    <w:name w:val="List Paragraph"/>
    <w:basedOn w:val="1"/>
    <w:qFormat/>
    <w:uiPriority w:val="99"/>
    <w:pPr>
      <w:ind w:firstLine="420" w:firstLineChars="200"/>
    </w:pPr>
    <w:rPr>
      <w:szCs w:val="24"/>
    </w:rPr>
  </w:style>
  <w:style w:type="paragraph" w:styleId="3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正文1"/>
    <w:qFormat/>
    <w:uiPriority w:val="0"/>
    <w:rPr>
      <w:rFonts w:ascii="Calibri" w:hAnsi="Calibri" w:eastAsia="Times New Roman" w:cs="Times New Roman"/>
      <w:sz w:val="24"/>
      <w:szCs w:val="24"/>
      <w:lang w:val="en-US" w:eastAsia="zh-CN" w:bidi="ar-SA"/>
    </w:rPr>
  </w:style>
  <w:style w:type="paragraph" w:customStyle="1" w:styleId="41">
    <w:name w:val="标题 5（有编号）（绿盟科技）"/>
    <w:basedOn w:val="1"/>
    <w:next w:val="42"/>
    <w:qFormat/>
    <w:uiPriority w:val="99"/>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4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4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4">
    <w:name w:val="Char Char Char Char Char Char Char Char Char Char Char Char Char Char1 Char Char Char Char"/>
    <w:basedOn w:val="1"/>
    <w:qFormat/>
    <w:uiPriority w:val="0"/>
    <w:rPr>
      <w:szCs w:val="21"/>
    </w:rPr>
  </w:style>
  <w:style w:type="character" w:customStyle="1" w:styleId="45">
    <w:name w:val="font21"/>
    <w:basedOn w:val="26"/>
    <w:qFormat/>
    <w:uiPriority w:val="0"/>
    <w:rPr>
      <w:rFonts w:hint="eastAsia" w:ascii="宋体" w:hAnsi="宋体" w:eastAsia="宋体" w:cs="宋体"/>
      <w:color w:val="000000"/>
      <w:sz w:val="24"/>
      <w:szCs w:val="24"/>
      <w:u w:val="none"/>
    </w:rPr>
  </w:style>
  <w:style w:type="paragraph" w:customStyle="1" w:styleId="46">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character" w:customStyle="1" w:styleId="47">
    <w:name w:val="font01"/>
    <w:basedOn w:val="26"/>
    <w:qFormat/>
    <w:uiPriority w:val="0"/>
    <w:rPr>
      <w:rFonts w:hint="eastAsia" w:ascii="宋体" w:hAnsi="宋体" w:eastAsia="宋体" w:cs="宋体"/>
      <w:color w:val="000000"/>
      <w:sz w:val="24"/>
      <w:szCs w:val="24"/>
      <w:u w:val="none"/>
    </w:rPr>
  </w:style>
  <w:style w:type="character" w:customStyle="1" w:styleId="48">
    <w:name w:val="批注框文本 Char"/>
    <w:basedOn w:val="26"/>
    <w:link w:val="14"/>
    <w:qFormat/>
    <w:uiPriority w:val="0"/>
    <w:rPr>
      <w:kern w:val="2"/>
      <w:sz w:val="18"/>
      <w:szCs w:val="18"/>
    </w:rPr>
  </w:style>
  <w:style w:type="character" w:customStyle="1" w:styleId="49">
    <w:name w:val="标题 Char"/>
    <w:basedOn w:val="26"/>
    <w:link w:val="22"/>
    <w:qFormat/>
    <w:uiPriority w:val="0"/>
    <w:rPr>
      <w:rFonts w:ascii="Arial" w:hAnsi="Arial"/>
      <w:b/>
      <w:kern w:val="2"/>
      <w:sz w:val="32"/>
      <w:szCs w:val="22"/>
    </w:rPr>
  </w:style>
  <w:style w:type="character" w:customStyle="1" w:styleId="50">
    <w:name w:val="标题 1 Char"/>
    <w:link w:val="2"/>
    <w:qFormat/>
    <w:uiPriority w:val="0"/>
    <w:rPr>
      <w:b/>
      <w:kern w:val="2"/>
      <w:sz w:val="21"/>
    </w:rPr>
  </w:style>
  <w:style w:type="character" w:customStyle="1" w:styleId="51">
    <w:name w:val="页眉 Char"/>
    <w:basedOn w:val="26"/>
    <w:link w:val="16"/>
    <w:qFormat/>
    <w:uiPriority w:val="0"/>
    <w:rPr>
      <w:kern w:val="2"/>
      <w:sz w:val="18"/>
    </w:rPr>
  </w:style>
  <w:style w:type="character" w:customStyle="1" w:styleId="52">
    <w:name w:val="页脚 Char"/>
    <w:basedOn w:val="26"/>
    <w:link w:val="15"/>
    <w:qFormat/>
    <w:uiPriority w:val="0"/>
    <w:rPr>
      <w:kern w:val="2"/>
      <w:sz w:val="18"/>
    </w:rPr>
  </w:style>
  <w:style w:type="paragraph" w:customStyle="1" w:styleId="53">
    <w:name w:val="样式 标题 2 + Times New Roman 四号 非加粗 段前: 5 磅 段后: 0 磅 行距: 固定值 20..."/>
    <w:basedOn w:val="3"/>
    <w:qFormat/>
    <w:uiPriority w:val="0"/>
    <w:pPr>
      <w:spacing w:before="100" w:beforeLines="0" w:after="0" w:afterLines="0" w:line="400" w:lineRule="exact"/>
    </w:pPr>
    <w:rPr>
      <w:rFonts w:ascii="Times New Roman" w:hAnsi="Times New Roman" w:cs="宋体"/>
      <w:b w:val="0"/>
      <w:sz w:val="28"/>
      <w:szCs w:val="20"/>
    </w:rPr>
  </w:style>
  <w:style w:type="table" w:customStyle="1" w:styleId="5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12080</Words>
  <Characters>13490</Characters>
  <Lines>311</Lines>
  <Paragraphs>87</Paragraphs>
  <TotalTime>5</TotalTime>
  <ScaleCrop>false</ScaleCrop>
  <LinksUpToDate>false</LinksUpToDate>
  <CharactersWithSpaces>13847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2020-07-28T08:49:00Z</dcterms:created>
  <dc:creator>Administrator</dc:creator>
  <cp:lastModifiedBy>一 科 糖</cp:lastModifiedBy>
  <cp:lastPrinted>2025-03-27T07:26:00Z</cp:lastPrinted>
  <dcterms:modified xsi:type="dcterms:W3CDTF">2025-06-17T09:45:24Z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AB53188DEA4D4DF3B57C2B95478329FC_13</vt:lpwstr>
  </property>
  <property fmtid="{D5CDD505-2E9C-101B-9397-08002B2CF9AE}" pid="4" name="KSOTemplateDocerSaveRecord">
    <vt:lpwstr>eyJoZGlkIjoiMzQxYTZhNTIzOTIwZjI3NTEwY2ZiZjE5M2RlYzkxMGMiLCJ1c2VySWQiOiI2MjAxODAyMTEifQ==</vt:lpwstr>
  </property>
</Properties>
</file>